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pPr>
              <w:pStyle w:val="50"/>
              <w:framePr w:w="0" w:hRule="auto" w:wrap="auto" w:vAnchor="margin" w:hAnchor="text" w:xAlign="left" w:yAlign="inline"/>
              <w:rPr>
                <w:rFonts w:ascii="宋体" w:hAnsi="宋体"/>
                <w:sz w:val="28"/>
                <w:szCs w:val="28"/>
              </w:rPr>
            </w:pPr>
            <w:bookmarkStart w:id="2" w:name="_Hlk26473981"/>
            <w:r>
              <w:rPr>
                <w:rFonts w:hint="eastAsia"/>
              </w:rPr>
              <w:t>T/</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GXAS</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2"/>
    <w:p>
      <w:pPr>
        <w:pStyle w:val="196"/>
        <w:framePr w:wrap="around"/>
      </w:pPr>
      <w:r>
        <w:rPr>
          <w:rFonts w:hint="eastAsia"/>
        </w:rPr>
        <w:t>T/</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7"/>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天峨秋蜜桃栽培技术规程</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Tian'e autumn honey peaches cultival</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p>
    <w:p>
      <w:pPr>
        <w:pStyle w:val="126"/>
        <w:framePr w:w="9639" w:h="6974" w:hRule="exact" w:wrap="around" w:vAnchor="page" w:hAnchor="page" w:x="1419" w:y="6408" w:anchorLock="1"/>
        <w:spacing w:beforeLines="300" w:afterLines="30" w:line="240" w:lineRule="auto"/>
        <w:jc w:val="both"/>
        <w:textAlignment w:val="bottom"/>
        <w:rPr>
          <w:b/>
          <w:sz w:val="21"/>
          <w:szCs w:val="28"/>
        </w:rPr>
      </w:pPr>
    </w:p>
    <w:p>
      <w:pPr>
        <w:pStyle w:val="194"/>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path arrowok="t"/>
            <v:fill focussize="0,0"/>
            <v:stroke/>
            <v:imagedata o:title=""/>
            <o:lock v:ext="edit"/>
            <w10:anchorlock/>
          </v:line>
        </w:pict>
      </w:r>
    </w:p>
    <w:p>
      <w:pPr>
        <w:pStyle w:val="90"/>
        <w:spacing w:after="468"/>
      </w:pPr>
      <w:bookmarkStart w:id="19"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本文件由广西壮族自治区农业科学院园艺研究所提出。</w:t>
      </w:r>
    </w:p>
    <w:p>
      <w:pPr>
        <w:pStyle w:val="57"/>
        <w:ind w:firstLine="420"/>
      </w:pPr>
      <w:r>
        <w:rPr>
          <w:rFonts w:hint="eastAsia"/>
        </w:rPr>
        <w:t>本标准起草单位：广西壮族自治区农业科学院园艺研究所。</w:t>
      </w:r>
    </w:p>
    <w:p>
      <w:pPr>
        <w:pStyle w:val="57"/>
        <w:ind w:firstLine="420"/>
      </w:pPr>
      <w:r>
        <w:rPr>
          <w:rFonts w:hint="eastAsia"/>
        </w:rPr>
        <w:t>本标准主要起草人：刘芸、姜新、李一伟、罗瑞鸿。</w:t>
      </w:r>
    </w:p>
    <w:p>
      <w:pPr>
        <w:pStyle w:val="57"/>
        <w:ind w:firstLine="420"/>
        <w:sectPr>
          <w:headerReference r:id="rId11" w:type="default"/>
          <w:footerReference r:id="rId13" w:type="default"/>
          <w:headerReference r:id="rId12" w:type="even"/>
          <w:pgSz w:w="11906" w:h="16838"/>
          <w:pgMar w:top="1871" w:right="1134" w:bottom="1134" w:left="1134" w:header="1418" w:footer="1134" w:gutter="284"/>
          <w:pgNumType w:fmt="upperRoman" w:start="1"/>
          <w:cols w:space="425" w:num="1"/>
          <w:formProt w:val="0"/>
          <w:docGrid w:type="lines"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601A4B44D82D4817AFC1029F20F16D52"/>
        </w:placeholder>
      </w:sdtPr>
      <w:sdtContent>
        <w:p>
          <w:pPr>
            <w:pStyle w:val="178"/>
            <w:spacing w:beforeLines="100" w:afterLines="220"/>
          </w:pPr>
          <w:bookmarkStart w:id="21" w:name="NEW_STAND_NAME"/>
          <w:r>
            <w:rPr>
              <w:rFonts w:hint="eastAsia"/>
            </w:rPr>
            <w:t>天峨秋蜜桃栽培技术规程</w:t>
          </w:r>
        </w:p>
      </w:sdtContent>
    </w:sdt>
    <w:bookmarkEnd w:id="21"/>
    <w:p>
      <w:pPr>
        <w:pStyle w:val="105"/>
        <w:spacing w:before="312" w:after="312"/>
      </w:pPr>
      <w:bookmarkStart w:id="22" w:name="_Toc26986530"/>
      <w:bookmarkStart w:id="23" w:name="_Toc24884218"/>
      <w:bookmarkStart w:id="24" w:name="_Toc26718930"/>
      <w:bookmarkStart w:id="25" w:name="_Toc17233333"/>
      <w:bookmarkStart w:id="26" w:name="_Toc26986771"/>
      <w:bookmarkStart w:id="27" w:name="_Toc24884211"/>
      <w:bookmarkStart w:id="28" w:name="_Toc26648465"/>
      <w:bookmarkStart w:id="29" w:name="_Toc17233325"/>
      <w:r>
        <w:rPr>
          <w:rFonts w:hint="eastAsia"/>
        </w:rPr>
        <w:t>范围</w:t>
      </w:r>
      <w:bookmarkEnd w:id="22"/>
      <w:bookmarkEnd w:id="23"/>
      <w:bookmarkEnd w:id="24"/>
      <w:bookmarkEnd w:id="25"/>
      <w:bookmarkEnd w:id="26"/>
      <w:bookmarkEnd w:id="27"/>
      <w:bookmarkEnd w:id="28"/>
      <w:bookmarkEnd w:id="29"/>
    </w:p>
    <w:p>
      <w:pPr>
        <w:pStyle w:val="233"/>
        <w:rPr>
          <w:rFonts w:ascii="Times New Roman"/>
          <w:szCs w:val="22"/>
        </w:rPr>
      </w:pPr>
      <w:bookmarkStart w:id="30" w:name="_Toc24884212"/>
      <w:bookmarkStart w:id="31" w:name="_Toc17233334"/>
      <w:bookmarkStart w:id="32" w:name="_Toc17233326"/>
      <w:bookmarkStart w:id="33" w:name="_Toc24884219"/>
      <w:bookmarkStart w:id="34" w:name="_Toc26648466"/>
      <w:r>
        <w:rPr>
          <w:rFonts w:hint="eastAsia" w:ascii="Times New Roman"/>
          <w:szCs w:val="22"/>
        </w:rPr>
        <w:t>本文件规定了天峨秋蜜桃栽培技术的要求。</w:t>
      </w:r>
    </w:p>
    <w:p>
      <w:pPr>
        <w:pStyle w:val="233"/>
        <w:rPr>
          <w:rFonts w:ascii="Times New Roman"/>
          <w:szCs w:val="22"/>
        </w:rPr>
      </w:pPr>
      <w:r>
        <w:rPr>
          <w:rFonts w:hint="eastAsia" w:ascii="Times New Roman"/>
          <w:szCs w:val="22"/>
        </w:rPr>
        <w:t>本文件适用于广西行政区域内北部山区天峨秋蜜桃栽培。</w:t>
      </w:r>
    </w:p>
    <w:p>
      <w:pPr>
        <w:pStyle w:val="105"/>
        <w:spacing w:before="312" w:after="312"/>
      </w:pPr>
      <w:bookmarkStart w:id="35" w:name="_Toc26986531"/>
      <w:bookmarkStart w:id="36" w:name="_Toc26986772"/>
      <w:bookmarkStart w:id="37" w:name="_Toc267189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BDA3DD91BF5141EF8101FF47E9F039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3"/>
      </w:pPr>
      <w:r>
        <w:rPr>
          <w:rFonts w:hint="eastAsia"/>
        </w:rPr>
        <w:t>GB/T 8321（所有部分）  农药合理使用准则</w:t>
      </w:r>
    </w:p>
    <w:p>
      <w:pPr>
        <w:pStyle w:val="57"/>
        <w:ind w:firstLine="420"/>
      </w:pPr>
      <w:r>
        <w:rPr>
          <w:rFonts w:hint="eastAsia"/>
        </w:rPr>
        <w:t>GB 19175  桃苗木</w:t>
      </w:r>
    </w:p>
    <w:p>
      <w:pPr>
        <w:pStyle w:val="57"/>
        <w:ind w:firstLine="420"/>
        <w:rPr>
          <w:rFonts w:ascii="Times New Roman"/>
        </w:rPr>
      </w:pPr>
      <w:r>
        <w:rPr>
          <w:rFonts w:hint="eastAsia" w:ascii="宋体" w:hAnsi="宋体" w:eastAsia="宋体" w:cs="宋体"/>
        </w:rPr>
        <w:t>NY/T 5010  无公害农产品  种植业产地环境条件</w:t>
      </w:r>
    </w:p>
    <w:p>
      <w:pPr>
        <w:pStyle w:val="105"/>
        <w:spacing w:before="312" w:after="312"/>
      </w:pPr>
      <w:r>
        <w:rPr>
          <w:rFonts w:hint="eastAsia"/>
          <w:szCs w:val="21"/>
        </w:rPr>
        <w:t>术语和定义</w:t>
      </w:r>
    </w:p>
    <w:sdt>
      <w:sdtPr>
        <w:id w:val="-1909835108"/>
        <w:placeholder>
          <w:docPart w:val="1C7AD118125448A69E2D591952B54FF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8" w:name="_Toc26986532"/>
          <w:bookmarkEnd w:id="38"/>
          <w:r>
            <w:t>下列术语和定义适用于本文件。</w:t>
          </w:r>
        </w:p>
      </w:sdtContent>
    </w:sdt>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 xml:space="preserve">天峨秋蜜桃  </w:t>
      </w:r>
      <w:r>
        <w:rPr>
          <w:rFonts w:ascii="黑体" w:hAnsi="黑体" w:eastAsia="黑体"/>
          <w:szCs w:val="28"/>
        </w:rPr>
        <w:t>Tian'e autumn honey peaches</w:t>
      </w:r>
    </w:p>
    <w:p>
      <w:pPr>
        <w:pStyle w:val="57"/>
        <w:ind w:firstLine="420"/>
        <w:rPr>
          <w:rFonts w:hAnsi="Calibri"/>
        </w:rPr>
      </w:pPr>
      <w:r>
        <w:rPr>
          <w:rFonts w:hint="eastAsia"/>
        </w:rPr>
        <w:t>从天峨当地桃园中芽变选出的，具有果个大、清甜脆爽、挂果多、营养丰富、风味纯正、晚熟等优良特点的新品种蜜桃。</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需冷量  c</w:t>
      </w:r>
      <w:r>
        <w:rPr>
          <w:rFonts w:ascii="黑体" w:hAnsi="黑体" w:eastAsia="黑体"/>
        </w:rPr>
        <w:t>ooling capacity</w:t>
      </w:r>
    </w:p>
    <w:p>
      <w:pPr>
        <w:pStyle w:val="57"/>
        <w:ind w:firstLine="420"/>
      </w:pPr>
      <w:r>
        <w:rPr>
          <w:rFonts w:hint="eastAsia"/>
        </w:rPr>
        <w:t>温带树种从内休眠中解除经历的0</w:t>
      </w:r>
      <w:r>
        <w:rPr>
          <w:rFonts w:hint="eastAsia"/>
          <w:vertAlign w:val="superscript"/>
        </w:rPr>
        <w:t xml:space="preserve"> </w:t>
      </w:r>
      <w:r>
        <w:rPr>
          <w:rFonts w:hint="eastAsia"/>
        </w:rPr>
        <w:t>℃～7.2</w:t>
      </w:r>
      <w:r>
        <w:rPr>
          <w:rFonts w:hint="eastAsia"/>
          <w:vertAlign w:val="superscript"/>
        </w:rPr>
        <w:t xml:space="preserve"> </w:t>
      </w:r>
      <w:r>
        <w:rPr>
          <w:rFonts w:hint="eastAsia"/>
        </w:rPr>
        <w:t>℃低温的累计时数。</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冷温积累量  c</w:t>
      </w:r>
      <w:r>
        <w:rPr>
          <w:rFonts w:ascii="黑体" w:hAnsi="黑体" w:eastAsia="黑体"/>
        </w:rPr>
        <w:t>old temperature accumulation</w:t>
      </w:r>
    </w:p>
    <w:p>
      <w:pPr>
        <w:pStyle w:val="57"/>
        <w:ind w:firstLine="420"/>
      </w:pPr>
      <w:r>
        <w:rPr>
          <w:rFonts w:hint="eastAsia"/>
        </w:rPr>
        <w:t>该地区冬季中0</w:t>
      </w:r>
      <w:r>
        <w:rPr>
          <w:rFonts w:hint="eastAsia"/>
          <w:vertAlign w:val="superscript"/>
        </w:rPr>
        <w:t xml:space="preserve"> </w:t>
      </w:r>
      <w:r>
        <w:rPr>
          <w:rFonts w:hint="eastAsia"/>
        </w:rPr>
        <w:t>℃～7.2</w:t>
      </w:r>
      <w:r>
        <w:rPr>
          <w:rFonts w:hint="eastAsia"/>
          <w:vertAlign w:val="superscript"/>
        </w:rPr>
        <w:t xml:space="preserve"> </w:t>
      </w:r>
      <w:r>
        <w:rPr>
          <w:rFonts w:hint="eastAsia"/>
        </w:rPr>
        <w:t>℃低温的总时长。</w:t>
      </w:r>
    </w:p>
    <w:p>
      <w:pPr>
        <w:pStyle w:val="105"/>
        <w:spacing w:before="312" w:after="312"/>
      </w:pPr>
      <w:r>
        <w:rPr>
          <w:rFonts w:hint="eastAsia"/>
        </w:rPr>
        <w:t>园地选择与规划</w:t>
      </w:r>
    </w:p>
    <w:p>
      <w:pPr>
        <w:pStyle w:val="106"/>
        <w:spacing w:before="156" w:after="156"/>
        <w:rPr>
          <w:color w:val="000000" w:themeColor="text1"/>
        </w:rPr>
      </w:pPr>
      <w:r>
        <w:rPr>
          <w:rFonts w:hint="eastAsia"/>
        </w:rPr>
        <w:t>园地选择</w:t>
      </w:r>
    </w:p>
    <w:p>
      <w:pPr>
        <w:pStyle w:val="57"/>
        <w:ind w:firstLine="420"/>
        <w:rPr>
          <w:color w:val="000000" w:themeColor="text1"/>
        </w:rPr>
      </w:pPr>
      <w:r>
        <w:rPr>
          <w:rFonts w:hint="eastAsia"/>
          <w:color w:val="000000" w:themeColor="text1"/>
        </w:rPr>
        <w:t>宜选择在海拔400</w:t>
      </w:r>
      <w:r>
        <w:rPr>
          <w:rFonts w:hint="eastAsia"/>
          <w:color w:val="000000" w:themeColor="text1"/>
          <w:vertAlign w:val="superscript"/>
        </w:rPr>
        <w:t xml:space="preserve"> </w:t>
      </w:r>
      <w:r>
        <w:rPr>
          <w:rFonts w:hint="eastAsia"/>
          <w:color w:val="000000" w:themeColor="text1"/>
        </w:rPr>
        <w:t>m以上，土层厚度大于80</w:t>
      </w:r>
      <w:r>
        <w:rPr>
          <w:rFonts w:hint="eastAsia"/>
          <w:color w:val="000000" w:themeColor="text1"/>
          <w:vertAlign w:val="superscript"/>
        </w:rPr>
        <w:t xml:space="preserve"> </w:t>
      </w:r>
      <w:r>
        <w:rPr>
          <w:rFonts w:hint="eastAsia"/>
          <w:color w:val="000000" w:themeColor="text1"/>
        </w:rPr>
        <w:t>cm，土壤pH值5～</w:t>
      </w:r>
      <w:r>
        <w:rPr>
          <w:rFonts w:hint="eastAsia" w:hAnsi="宋体" w:cs="宋体"/>
          <w:color w:val="000000" w:themeColor="text1"/>
        </w:rPr>
        <w:t>6</w:t>
      </w:r>
      <w:r>
        <w:rPr>
          <w:rFonts w:hint="eastAsia"/>
          <w:color w:val="000000" w:themeColor="text1"/>
        </w:rPr>
        <w:t>，排水良好的南向缓坡地建园。水质应符合NY/T 5010的规定。种植地冬季冷温积累量200</w:t>
      </w:r>
      <w:r>
        <w:rPr>
          <w:rFonts w:hint="eastAsia"/>
          <w:color w:val="000000" w:themeColor="text1"/>
          <w:vertAlign w:val="superscript"/>
        </w:rPr>
        <w:t xml:space="preserve"> </w:t>
      </w:r>
      <w:r>
        <w:rPr>
          <w:rFonts w:hint="eastAsia"/>
          <w:color w:val="000000" w:themeColor="text1"/>
        </w:rPr>
        <w:t>h以上。</w:t>
      </w:r>
    </w:p>
    <w:p>
      <w:pPr>
        <w:pStyle w:val="106"/>
        <w:spacing w:before="156" w:after="156"/>
      </w:pPr>
      <w:r>
        <w:rPr>
          <w:rFonts w:hint="eastAsia"/>
        </w:rPr>
        <w:t>园地规划</w:t>
      </w:r>
    </w:p>
    <w:p>
      <w:pPr>
        <w:pStyle w:val="57"/>
        <w:ind w:firstLine="420"/>
      </w:pPr>
      <w:r>
        <w:rPr>
          <w:rFonts w:hint="eastAsia"/>
        </w:rPr>
        <w:t>建园时首先进行坡改梯，梯面宽度宜大于3</w:t>
      </w:r>
      <w:r>
        <w:rPr>
          <w:rFonts w:hint="eastAsia"/>
          <w:vertAlign w:val="superscript"/>
        </w:rPr>
        <w:t xml:space="preserve"> </w:t>
      </w:r>
      <w:r>
        <w:rPr>
          <w:rFonts w:hint="eastAsia"/>
        </w:rPr>
        <w:t>m。内侧开梯壁沟，与排水沟相连，规格宜为宽30</w:t>
      </w:r>
      <w:r>
        <w:rPr>
          <w:rFonts w:hint="eastAsia"/>
          <w:vertAlign w:val="superscript"/>
        </w:rPr>
        <w:t xml:space="preserve"> </w:t>
      </w:r>
      <w:r>
        <w:rPr>
          <w:rFonts w:hint="eastAsia"/>
        </w:rPr>
        <w:t>cm、深30</w:t>
      </w:r>
      <w:r>
        <w:rPr>
          <w:rFonts w:hint="eastAsia"/>
          <w:vertAlign w:val="superscript"/>
        </w:rPr>
        <w:t xml:space="preserve"> </w:t>
      </w:r>
      <w:r>
        <w:rPr>
          <w:rFonts w:hint="eastAsia"/>
        </w:rPr>
        <w:t>cm。干道两侧挖排水沟，规格宜为宽50</w:t>
      </w:r>
      <w:r>
        <w:rPr>
          <w:rFonts w:hint="eastAsia"/>
          <w:vertAlign w:val="superscript"/>
        </w:rPr>
        <w:t xml:space="preserve"> </w:t>
      </w:r>
      <w:r>
        <w:rPr>
          <w:rFonts w:hint="eastAsia"/>
        </w:rPr>
        <w:t>cm、深50</w:t>
      </w:r>
      <w:r>
        <w:rPr>
          <w:rFonts w:hint="eastAsia"/>
          <w:vertAlign w:val="superscript"/>
        </w:rPr>
        <w:t xml:space="preserve"> </w:t>
      </w:r>
      <w:r>
        <w:rPr>
          <w:rFonts w:hint="eastAsia"/>
        </w:rPr>
        <w:t>cm。石山地区宜按照每667</w:t>
      </w:r>
      <w:r>
        <w:rPr>
          <w:rFonts w:hint="eastAsia"/>
          <w:vertAlign w:val="subscript"/>
        </w:rPr>
        <w:t xml:space="preserve"> </w:t>
      </w:r>
      <w:r>
        <w:rPr>
          <w:rFonts w:hint="eastAsia"/>
        </w:rPr>
        <w:t>m</w:t>
      </w:r>
      <w:r>
        <w:rPr>
          <w:rFonts w:hint="eastAsia"/>
          <w:vertAlign w:val="superscript"/>
        </w:rPr>
        <w:t>2</w:t>
      </w:r>
      <w:r>
        <w:rPr>
          <w:rFonts w:hint="eastAsia"/>
        </w:rPr>
        <w:t>2.5 m</w:t>
      </w:r>
      <w:r>
        <w:rPr>
          <w:rFonts w:hint="eastAsia"/>
          <w:vertAlign w:val="superscript"/>
        </w:rPr>
        <w:t>3</w:t>
      </w:r>
      <w:r>
        <w:rPr>
          <w:rFonts w:hint="eastAsia"/>
        </w:rPr>
        <w:t>容积建立蓄水池（水柜）或水罐。</w:t>
      </w:r>
    </w:p>
    <w:p>
      <w:pPr>
        <w:pStyle w:val="105"/>
        <w:spacing w:before="312" w:after="312"/>
        <w:rPr>
          <w:color w:val="000000" w:themeColor="text1"/>
        </w:rPr>
      </w:pPr>
      <w:r>
        <w:rPr>
          <w:rFonts w:hint="eastAsia"/>
        </w:rPr>
        <w:t>苗木选择</w:t>
      </w:r>
    </w:p>
    <w:p>
      <w:pPr>
        <w:pStyle w:val="57"/>
        <w:ind w:firstLine="420"/>
        <w:rPr>
          <w:color w:val="000000" w:themeColor="text1"/>
        </w:rPr>
      </w:pPr>
      <w:r>
        <w:rPr>
          <w:rFonts w:hint="eastAsia"/>
          <w:color w:val="000000" w:themeColor="text1"/>
        </w:rPr>
        <w:t>选以毛桃为砧木</w:t>
      </w:r>
      <w:r>
        <w:rPr>
          <w:rFonts w:hint="eastAsia"/>
          <w:color w:val="000000" w:themeColor="text1"/>
          <w:lang w:eastAsia="zh-CN"/>
        </w:rPr>
        <w:t>，</w:t>
      </w:r>
      <w:r>
        <w:rPr>
          <w:rFonts w:hint="eastAsia"/>
          <w:color w:val="000000" w:themeColor="text1"/>
          <w:szCs w:val="21"/>
        </w:rPr>
        <w:t>品种纯正、植株健壮的天峨秋蜜桃品种为</w:t>
      </w:r>
      <w:r>
        <w:rPr>
          <w:rFonts w:hint="eastAsia"/>
          <w:color w:val="000000" w:themeColor="text1"/>
        </w:rPr>
        <w:t>接穗，当年嫁接当年出圃的苗木定植。苗木质量应符合GB 19175的规定。</w:t>
      </w:r>
    </w:p>
    <w:p>
      <w:pPr>
        <w:pStyle w:val="105"/>
        <w:spacing w:before="312" w:after="312"/>
        <w:rPr>
          <w:color w:val="000000" w:themeColor="text1"/>
        </w:rPr>
      </w:pPr>
      <w:r>
        <w:rPr>
          <w:rFonts w:hint="eastAsia"/>
          <w:color w:val="000000" w:themeColor="text1"/>
        </w:rPr>
        <w:t>定植</w:t>
      </w:r>
    </w:p>
    <w:p>
      <w:pPr>
        <w:pStyle w:val="106"/>
        <w:spacing w:before="156" w:after="156"/>
        <w:rPr>
          <w:color w:val="000000" w:themeColor="text1"/>
        </w:rPr>
      </w:pPr>
      <w:r>
        <w:rPr>
          <w:rFonts w:hint="eastAsia"/>
          <w:color w:val="000000" w:themeColor="text1"/>
        </w:rPr>
        <w:t>定植时间</w:t>
      </w:r>
    </w:p>
    <w:p>
      <w:pPr>
        <w:pStyle w:val="57"/>
        <w:ind w:firstLine="420"/>
        <w:rPr>
          <w:color w:val="000000" w:themeColor="text1"/>
        </w:rPr>
      </w:pPr>
      <w:r>
        <w:rPr>
          <w:rFonts w:hint="eastAsia"/>
          <w:color w:val="000000" w:themeColor="text1"/>
        </w:rPr>
        <w:t>广西北部山区宜为11月下旬至次年2月底前，苗木进入休眠期后至萌芽前定植。</w:t>
      </w:r>
    </w:p>
    <w:p>
      <w:pPr>
        <w:pStyle w:val="106"/>
        <w:spacing w:before="156" w:after="156"/>
        <w:rPr>
          <w:color w:val="000000" w:themeColor="text1"/>
        </w:rPr>
      </w:pPr>
      <w:r>
        <w:rPr>
          <w:rFonts w:hint="eastAsia"/>
          <w:color w:val="000000" w:themeColor="text1"/>
        </w:rPr>
        <w:t>定植准备</w:t>
      </w:r>
    </w:p>
    <w:p>
      <w:pPr>
        <w:pStyle w:val="166"/>
        <w:rPr>
          <w:color w:val="000000" w:themeColor="text1"/>
        </w:rPr>
      </w:pPr>
      <w:r>
        <w:rPr>
          <w:rFonts w:hint="eastAsia"/>
          <w:color w:val="000000" w:themeColor="text1"/>
        </w:rPr>
        <w:t>每梯种1行，居中或偏外侧起垄，垄上按株距挖定植穴，定植穴长、宽、深为80</w:t>
      </w:r>
      <w:r>
        <w:rPr>
          <w:rFonts w:hint="eastAsia"/>
          <w:color w:val="000000" w:themeColor="text1"/>
          <w:vertAlign w:val="superscript"/>
        </w:rPr>
        <w:t xml:space="preserve"> </w:t>
      </w:r>
      <w:r>
        <w:rPr>
          <w:rFonts w:hint="eastAsia"/>
          <w:color w:val="000000" w:themeColor="text1"/>
        </w:rPr>
        <w:t>cm×80</w:t>
      </w:r>
      <w:r>
        <w:rPr>
          <w:rFonts w:hint="eastAsia"/>
          <w:color w:val="000000" w:themeColor="text1"/>
          <w:vertAlign w:val="superscript"/>
        </w:rPr>
        <w:t xml:space="preserve"> </w:t>
      </w:r>
      <w:r>
        <w:rPr>
          <w:rFonts w:hint="eastAsia"/>
          <w:color w:val="000000" w:themeColor="text1"/>
        </w:rPr>
        <w:t>cm×40</w:t>
      </w:r>
      <w:r>
        <w:rPr>
          <w:rFonts w:hint="eastAsia"/>
          <w:color w:val="000000" w:themeColor="text1"/>
          <w:vertAlign w:val="superscript"/>
        </w:rPr>
        <w:t xml:space="preserve"> </w:t>
      </w:r>
      <w:r>
        <w:rPr>
          <w:rFonts w:hint="eastAsia"/>
          <w:color w:val="000000" w:themeColor="text1"/>
        </w:rPr>
        <w:t>cm，先填表土，后施腐熟厩肥50</w:t>
      </w:r>
      <w:r>
        <w:rPr>
          <w:rFonts w:hint="eastAsia"/>
          <w:color w:val="000000" w:themeColor="text1"/>
          <w:vertAlign w:val="superscript"/>
        </w:rPr>
        <w:t xml:space="preserve"> </w:t>
      </w:r>
      <w:r>
        <w:rPr>
          <w:rFonts w:hint="eastAsia"/>
          <w:color w:val="000000" w:themeColor="text1"/>
        </w:rPr>
        <w:t>kg～55</w:t>
      </w:r>
      <w:r>
        <w:rPr>
          <w:rFonts w:hint="eastAsia"/>
          <w:color w:val="000000" w:themeColor="text1"/>
          <w:vertAlign w:val="superscript"/>
        </w:rPr>
        <w:t xml:space="preserve"> </w:t>
      </w:r>
      <w:r>
        <w:rPr>
          <w:rFonts w:hint="eastAsia"/>
          <w:color w:val="000000" w:themeColor="text1"/>
        </w:rPr>
        <w:t>kg最后覆土做出高出地面30</w:t>
      </w:r>
      <w:r>
        <w:rPr>
          <w:rFonts w:hint="eastAsia"/>
          <w:color w:val="000000" w:themeColor="text1"/>
          <w:vertAlign w:val="superscript"/>
        </w:rPr>
        <w:t xml:space="preserve"> </w:t>
      </w:r>
      <w:r>
        <w:rPr>
          <w:rFonts w:hint="eastAsia"/>
          <w:color w:val="000000" w:themeColor="text1"/>
        </w:rPr>
        <w:t>cm～35</w:t>
      </w:r>
      <w:r>
        <w:rPr>
          <w:rFonts w:hint="eastAsia"/>
          <w:color w:val="000000" w:themeColor="text1"/>
          <w:vertAlign w:val="superscript"/>
        </w:rPr>
        <w:t xml:space="preserve"> </w:t>
      </w:r>
      <w:r>
        <w:rPr>
          <w:rFonts w:hint="eastAsia"/>
          <w:color w:val="000000" w:themeColor="text1"/>
        </w:rPr>
        <w:t>cm的穴盘。做好后浇透水。</w:t>
      </w:r>
    </w:p>
    <w:p>
      <w:pPr>
        <w:pStyle w:val="166"/>
        <w:rPr>
          <w:color w:val="000000" w:themeColor="text1"/>
        </w:rPr>
      </w:pPr>
      <w:r>
        <w:rPr>
          <w:rFonts w:hint="eastAsia"/>
          <w:color w:val="000000" w:themeColor="text1"/>
        </w:rPr>
        <w:t>定植前对根系进行消毒，可用1</w:t>
      </w:r>
      <w:r>
        <w:rPr>
          <w:rFonts w:hint="eastAsia" w:hAnsi="宋体"/>
          <w:color w:val="000000" w:themeColor="text1"/>
        </w:rPr>
        <w:t>％</w:t>
      </w:r>
      <w:r>
        <w:rPr>
          <w:rFonts w:hint="eastAsia"/>
          <w:color w:val="000000" w:themeColor="text1"/>
        </w:rPr>
        <w:t>硫酸铜溶液浸泡5</w:t>
      </w:r>
      <w:r>
        <w:rPr>
          <w:rFonts w:hint="eastAsia"/>
          <w:color w:val="000000" w:themeColor="text1"/>
          <w:vertAlign w:val="superscript"/>
        </w:rPr>
        <w:t xml:space="preserve"> </w:t>
      </w:r>
      <w:r>
        <w:rPr>
          <w:rFonts w:hint="eastAsia"/>
          <w:color w:val="000000" w:themeColor="text1"/>
        </w:rPr>
        <w:t>min～8</w:t>
      </w:r>
      <w:r>
        <w:rPr>
          <w:rFonts w:hint="eastAsia"/>
          <w:color w:val="000000" w:themeColor="text1"/>
          <w:vertAlign w:val="superscript"/>
        </w:rPr>
        <w:t xml:space="preserve"> </w:t>
      </w:r>
      <w:r>
        <w:rPr>
          <w:rFonts w:hint="eastAsia"/>
          <w:color w:val="000000" w:themeColor="text1"/>
        </w:rPr>
        <w:t>min后，再用2％石灰溶液泡2</w:t>
      </w:r>
      <w:r>
        <w:rPr>
          <w:rFonts w:hint="eastAsia"/>
          <w:color w:val="000000" w:themeColor="text1"/>
          <w:vertAlign w:val="superscript"/>
        </w:rPr>
        <w:t xml:space="preserve"> </w:t>
      </w:r>
      <w:r>
        <w:rPr>
          <w:rFonts w:hint="eastAsia"/>
          <w:color w:val="000000" w:themeColor="text1"/>
        </w:rPr>
        <w:t>min～3</w:t>
      </w:r>
      <w:r>
        <w:rPr>
          <w:rFonts w:hint="eastAsia"/>
          <w:color w:val="000000" w:themeColor="text1"/>
          <w:vertAlign w:val="superscript"/>
        </w:rPr>
        <w:t xml:space="preserve"> </w:t>
      </w:r>
      <w:r>
        <w:rPr>
          <w:rFonts w:hint="eastAsia"/>
          <w:color w:val="000000" w:themeColor="text1"/>
        </w:rPr>
        <w:t>min。</w:t>
      </w:r>
    </w:p>
    <w:p>
      <w:pPr>
        <w:pStyle w:val="106"/>
        <w:spacing w:before="156" w:after="156"/>
        <w:rPr>
          <w:color w:val="000000" w:themeColor="text1"/>
        </w:rPr>
      </w:pPr>
      <w:r>
        <w:rPr>
          <w:rFonts w:hint="eastAsia"/>
          <w:color w:val="000000" w:themeColor="text1"/>
        </w:rPr>
        <w:t>定植密度</w:t>
      </w:r>
    </w:p>
    <w:p>
      <w:pPr>
        <w:pStyle w:val="57"/>
        <w:ind w:firstLine="420"/>
        <w:rPr>
          <w:color w:val="000000" w:themeColor="text1"/>
        </w:rPr>
      </w:pPr>
      <w:r>
        <w:rPr>
          <w:rFonts w:hint="eastAsia"/>
          <w:color w:val="000000" w:themeColor="text1"/>
        </w:rPr>
        <w:t>行距3</w:t>
      </w:r>
      <w:r>
        <w:rPr>
          <w:rFonts w:hint="eastAsia"/>
          <w:color w:val="000000" w:themeColor="text1"/>
          <w:vertAlign w:val="superscript"/>
        </w:rPr>
        <w:t xml:space="preserve"> </w:t>
      </w:r>
      <w:r>
        <w:rPr>
          <w:rFonts w:hint="eastAsia"/>
          <w:color w:val="000000" w:themeColor="text1"/>
        </w:rPr>
        <w:t>m～5</w:t>
      </w:r>
      <w:r>
        <w:rPr>
          <w:rFonts w:hint="eastAsia"/>
          <w:color w:val="000000" w:themeColor="text1"/>
          <w:vertAlign w:val="superscript"/>
        </w:rPr>
        <w:t xml:space="preserve"> </w:t>
      </w:r>
      <w:r>
        <w:rPr>
          <w:rFonts w:hint="eastAsia"/>
          <w:color w:val="000000" w:themeColor="text1"/>
        </w:rPr>
        <w:t>m，株距2.5</w:t>
      </w:r>
      <w:r>
        <w:rPr>
          <w:rFonts w:hint="eastAsia"/>
          <w:color w:val="000000" w:themeColor="text1"/>
          <w:vertAlign w:val="superscript"/>
        </w:rPr>
        <w:t xml:space="preserve"> </w:t>
      </w:r>
      <w:r>
        <w:rPr>
          <w:rFonts w:hint="eastAsia"/>
          <w:color w:val="000000" w:themeColor="text1"/>
        </w:rPr>
        <w:t>m～3.0</w:t>
      </w:r>
      <w:r>
        <w:rPr>
          <w:rFonts w:hint="eastAsia"/>
          <w:color w:val="000000" w:themeColor="text1"/>
          <w:vertAlign w:val="superscript"/>
        </w:rPr>
        <w:t xml:space="preserve"> </w:t>
      </w:r>
      <w:r>
        <w:rPr>
          <w:rFonts w:hint="eastAsia"/>
          <w:color w:val="000000" w:themeColor="text1"/>
        </w:rPr>
        <w:t>m。</w:t>
      </w:r>
    </w:p>
    <w:p>
      <w:pPr>
        <w:pStyle w:val="106"/>
        <w:spacing w:before="156" w:after="156"/>
        <w:rPr>
          <w:color w:val="000000" w:themeColor="text1"/>
        </w:rPr>
      </w:pPr>
      <w:r>
        <w:rPr>
          <w:rFonts w:hint="eastAsia"/>
          <w:color w:val="000000" w:themeColor="text1"/>
        </w:rPr>
        <w:t>定植方法</w:t>
      </w:r>
    </w:p>
    <w:p>
      <w:pPr>
        <w:pStyle w:val="57"/>
        <w:ind w:firstLine="420"/>
        <w:rPr>
          <w:color w:val="000000" w:themeColor="text1"/>
        </w:rPr>
      </w:pPr>
      <w:r>
        <w:rPr>
          <w:rFonts w:hint="eastAsia"/>
          <w:color w:val="000000" w:themeColor="text1"/>
        </w:rPr>
        <w:t>在已经起好的穴盘上定植果苗，将带土团苗木垂直种入，回土，同时将苗木轻轻上提，踏实土层，定植深度为苗木根颈与地面相平。定植后立刻浇足定根水。</w:t>
      </w:r>
    </w:p>
    <w:p>
      <w:pPr>
        <w:pStyle w:val="105"/>
        <w:spacing w:before="312" w:after="312"/>
        <w:rPr>
          <w:color w:val="000000" w:themeColor="text1"/>
        </w:rPr>
      </w:pPr>
      <w:r>
        <w:rPr>
          <w:rFonts w:hint="eastAsia"/>
          <w:color w:val="000000" w:themeColor="text1"/>
        </w:rPr>
        <w:t>栽培管理</w:t>
      </w:r>
    </w:p>
    <w:p>
      <w:pPr>
        <w:pStyle w:val="106"/>
        <w:spacing w:before="156" w:after="156"/>
        <w:rPr>
          <w:color w:val="000000" w:themeColor="text1"/>
        </w:rPr>
      </w:pPr>
      <w:r>
        <w:rPr>
          <w:rFonts w:hint="eastAsia"/>
          <w:color w:val="000000" w:themeColor="text1"/>
        </w:rPr>
        <w:t>施肥管理</w:t>
      </w:r>
    </w:p>
    <w:p>
      <w:pPr>
        <w:pStyle w:val="66"/>
        <w:spacing w:before="156" w:after="156"/>
        <w:rPr>
          <w:color w:val="000000" w:themeColor="text1"/>
        </w:rPr>
      </w:pPr>
      <w:r>
        <w:rPr>
          <w:rFonts w:hint="eastAsia"/>
          <w:color w:val="000000" w:themeColor="text1"/>
        </w:rPr>
        <w:t>土壤追肥</w:t>
      </w:r>
    </w:p>
    <w:p>
      <w:pPr>
        <w:pStyle w:val="95"/>
        <w:spacing w:before="156" w:after="156"/>
        <w:rPr>
          <w:color w:val="000000" w:themeColor="text1"/>
        </w:rPr>
      </w:pPr>
      <w:r>
        <w:rPr>
          <w:rFonts w:hint="eastAsia"/>
          <w:color w:val="000000" w:themeColor="text1"/>
        </w:rPr>
        <w:t>施肥时间和施肥量</w:t>
      </w:r>
    </w:p>
    <w:p>
      <w:pPr>
        <w:pStyle w:val="168"/>
        <w:rPr>
          <w:color w:val="000000" w:themeColor="text1"/>
        </w:rPr>
      </w:pPr>
      <w:r>
        <w:rPr>
          <w:rFonts w:hint="eastAsia"/>
          <w:color w:val="000000" w:themeColor="text1"/>
        </w:rPr>
        <w:t>幼树每年3月至7月上旬， 每月每株施0.1</w:t>
      </w:r>
      <w:r>
        <w:rPr>
          <w:rFonts w:hint="eastAsia"/>
          <w:color w:val="000000" w:themeColor="text1"/>
          <w:vertAlign w:val="superscript"/>
        </w:rPr>
        <w:t xml:space="preserve"> </w:t>
      </w:r>
      <w:r>
        <w:rPr>
          <w:rFonts w:hint="eastAsia"/>
          <w:color w:val="000000" w:themeColor="text1"/>
        </w:rPr>
        <w:t>kg～0.3</w:t>
      </w:r>
      <w:r>
        <w:rPr>
          <w:rFonts w:hint="eastAsia"/>
          <w:color w:val="000000" w:themeColor="text1"/>
          <w:vertAlign w:val="superscript"/>
        </w:rPr>
        <w:t xml:space="preserve"> </w:t>
      </w:r>
      <w:r>
        <w:rPr>
          <w:rFonts w:hint="eastAsia"/>
          <w:color w:val="000000" w:themeColor="text1"/>
        </w:rPr>
        <w:t>kg复合肥，10月份每株施有机肥10</w:t>
      </w:r>
      <w:r>
        <w:rPr>
          <w:rFonts w:hint="eastAsia"/>
          <w:color w:val="000000" w:themeColor="text1"/>
          <w:vertAlign w:val="superscript"/>
        </w:rPr>
        <w:t xml:space="preserve"> </w:t>
      </w:r>
      <w:r>
        <w:rPr>
          <w:rFonts w:hint="eastAsia"/>
          <w:color w:val="000000" w:themeColor="text1"/>
        </w:rPr>
        <w:t>kg～15</w:t>
      </w:r>
      <w:r>
        <w:rPr>
          <w:rFonts w:hint="eastAsia"/>
          <w:color w:val="000000" w:themeColor="text1"/>
          <w:vertAlign w:val="superscript"/>
        </w:rPr>
        <w:t xml:space="preserve"> </w:t>
      </w:r>
      <w:r>
        <w:rPr>
          <w:rFonts w:hint="eastAsia"/>
          <w:color w:val="000000" w:themeColor="text1"/>
        </w:rPr>
        <w:t>kg。</w:t>
      </w:r>
    </w:p>
    <w:p>
      <w:pPr>
        <w:pStyle w:val="168"/>
        <w:rPr>
          <w:color w:val="000000" w:themeColor="text1"/>
        </w:rPr>
      </w:pPr>
      <w:r>
        <w:rPr>
          <w:rFonts w:hint="eastAsia"/>
          <w:color w:val="000000" w:themeColor="text1"/>
        </w:rPr>
        <w:t>结果树每年2月至萌芽前，每株施复合肥1.0</w:t>
      </w:r>
      <w:r>
        <w:rPr>
          <w:rFonts w:hint="eastAsia"/>
          <w:color w:val="000000" w:themeColor="text1"/>
          <w:vertAlign w:val="superscript"/>
        </w:rPr>
        <w:t xml:space="preserve"> </w:t>
      </w:r>
      <w:r>
        <w:rPr>
          <w:rFonts w:hint="eastAsia"/>
          <w:color w:val="000000" w:themeColor="text1"/>
        </w:rPr>
        <w:t>kg～1.5 kg；4月下旬至5月上旬施壮果肥，每株施复合肥1</w:t>
      </w:r>
      <w:r>
        <w:rPr>
          <w:rFonts w:hint="eastAsia"/>
          <w:color w:val="000000" w:themeColor="text1"/>
          <w:vertAlign w:val="superscript"/>
        </w:rPr>
        <w:t xml:space="preserve"> </w:t>
      </w:r>
      <w:r>
        <w:rPr>
          <w:rFonts w:hint="eastAsia"/>
          <w:color w:val="000000" w:themeColor="text1"/>
        </w:rPr>
        <w:t>kg～2</w:t>
      </w:r>
      <w:r>
        <w:rPr>
          <w:rFonts w:hint="eastAsia"/>
          <w:color w:val="000000" w:themeColor="text1"/>
          <w:vertAlign w:val="superscript"/>
        </w:rPr>
        <w:t xml:space="preserve"> </w:t>
      </w:r>
      <w:r>
        <w:rPr>
          <w:rFonts w:hint="eastAsia"/>
          <w:color w:val="000000" w:themeColor="text1"/>
        </w:rPr>
        <w:t>kg；10月果实采收后每株施复合肥1</w:t>
      </w:r>
      <w:r>
        <w:rPr>
          <w:rFonts w:hint="eastAsia"/>
          <w:color w:val="000000" w:themeColor="text1"/>
          <w:vertAlign w:val="superscript"/>
        </w:rPr>
        <w:t xml:space="preserve"> </w:t>
      </w:r>
      <w:r>
        <w:rPr>
          <w:rFonts w:hint="eastAsia"/>
          <w:color w:val="000000" w:themeColor="text1"/>
        </w:rPr>
        <w:t>kg～2</w:t>
      </w:r>
      <w:r>
        <w:rPr>
          <w:rFonts w:hint="eastAsia"/>
          <w:color w:val="000000" w:themeColor="text1"/>
          <w:vertAlign w:val="superscript"/>
        </w:rPr>
        <w:t xml:space="preserve"> </w:t>
      </w:r>
      <w:r>
        <w:rPr>
          <w:rFonts w:hint="eastAsia"/>
          <w:color w:val="000000" w:themeColor="text1"/>
        </w:rPr>
        <w:t>kg；落叶后施基肥，每株施腐熟有机肥30</w:t>
      </w:r>
      <w:r>
        <w:rPr>
          <w:rFonts w:hint="eastAsia"/>
          <w:color w:val="000000" w:themeColor="text1"/>
          <w:vertAlign w:val="superscript"/>
        </w:rPr>
        <w:t xml:space="preserve"> </w:t>
      </w:r>
      <w:r>
        <w:rPr>
          <w:rFonts w:hint="eastAsia"/>
          <w:color w:val="000000" w:themeColor="text1"/>
        </w:rPr>
        <w:t>kg～50</w:t>
      </w:r>
      <w:r>
        <w:rPr>
          <w:rFonts w:hint="eastAsia"/>
          <w:color w:val="000000" w:themeColor="text1"/>
          <w:vertAlign w:val="superscript"/>
        </w:rPr>
        <w:t xml:space="preserve"> </w:t>
      </w:r>
      <w:r>
        <w:rPr>
          <w:rFonts w:hint="eastAsia"/>
          <w:color w:val="000000" w:themeColor="text1"/>
        </w:rPr>
        <w:t>kg、过磷酸钙1</w:t>
      </w:r>
      <w:r>
        <w:rPr>
          <w:rFonts w:hint="eastAsia"/>
          <w:color w:val="000000" w:themeColor="text1"/>
          <w:vertAlign w:val="superscript"/>
        </w:rPr>
        <w:t xml:space="preserve"> </w:t>
      </w:r>
      <w:r>
        <w:rPr>
          <w:rFonts w:hint="eastAsia"/>
          <w:color w:val="000000" w:themeColor="text1"/>
        </w:rPr>
        <w:t>kg。</w:t>
      </w:r>
    </w:p>
    <w:p>
      <w:pPr>
        <w:pStyle w:val="95"/>
        <w:spacing w:before="156" w:after="156"/>
        <w:rPr>
          <w:color w:val="000000" w:themeColor="text1"/>
        </w:rPr>
      </w:pPr>
      <w:r>
        <w:rPr>
          <w:rFonts w:hint="eastAsia"/>
          <w:color w:val="000000" w:themeColor="text1"/>
        </w:rPr>
        <w:t>施肥方法</w:t>
      </w:r>
    </w:p>
    <w:p>
      <w:pPr>
        <w:pStyle w:val="57"/>
        <w:ind w:firstLine="420"/>
      </w:pPr>
      <w:r>
        <w:rPr>
          <w:rFonts w:hint="eastAsia"/>
          <w:color w:val="000000" w:themeColor="text1"/>
        </w:rPr>
        <w:t>在树冠滴水线位置挖环形沟，深30</w:t>
      </w:r>
      <w:r>
        <w:rPr>
          <w:rFonts w:hint="eastAsia"/>
          <w:color w:val="000000" w:themeColor="text1"/>
          <w:vertAlign w:val="superscript"/>
        </w:rPr>
        <w:t xml:space="preserve"> </w:t>
      </w:r>
      <w:r>
        <w:rPr>
          <w:rFonts w:hint="eastAsia"/>
          <w:color w:val="000000" w:themeColor="text1"/>
        </w:rPr>
        <w:t>cm～50</w:t>
      </w:r>
      <w:r>
        <w:rPr>
          <w:rFonts w:hint="eastAsia"/>
          <w:color w:val="000000" w:themeColor="text1"/>
          <w:vertAlign w:val="superscript"/>
        </w:rPr>
        <w:t xml:space="preserve"> </w:t>
      </w:r>
      <w:r>
        <w:rPr>
          <w:rFonts w:hint="eastAsia"/>
          <w:color w:val="000000" w:themeColor="text1"/>
        </w:rPr>
        <w:t>cm，将</w:t>
      </w:r>
      <w:r>
        <w:rPr>
          <w:rFonts w:hint="eastAsia"/>
        </w:rPr>
        <w:t>肥料施下后复土。</w:t>
      </w:r>
    </w:p>
    <w:p>
      <w:pPr>
        <w:pStyle w:val="66"/>
        <w:spacing w:before="156" w:after="156"/>
      </w:pPr>
      <w:r>
        <w:rPr>
          <w:rFonts w:hint="eastAsia"/>
        </w:rPr>
        <w:t xml:space="preserve"> 叶面追肥</w:t>
      </w:r>
    </w:p>
    <w:p>
      <w:pPr>
        <w:pStyle w:val="57"/>
        <w:ind w:firstLine="420"/>
      </w:pPr>
      <w:r>
        <w:rPr>
          <w:rFonts w:hint="eastAsia"/>
        </w:rPr>
        <w:t>花期喷0.2％硼砂。在生长季节，根据树体长势，可喷施0.3％尿素和0.2％磷酸二氢钾。</w:t>
      </w:r>
    </w:p>
    <w:p>
      <w:pPr>
        <w:pStyle w:val="106"/>
        <w:spacing w:before="156" w:after="156"/>
      </w:pPr>
      <w:r>
        <w:rPr>
          <w:rFonts w:hint="eastAsia"/>
        </w:rPr>
        <w:t>土壤管理</w:t>
      </w:r>
    </w:p>
    <w:p>
      <w:pPr>
        <w:pStyle w:val="57"/>
        <w:ind w:firstLine="420"/>
      </w:pPr>
      <w:r>
        <w:rPr>
          <w:rFonts w:hint="eastAsia"/>
        </w:rPr>
        <w:t>4月～5月结合除草、施肥进行耕地。落叶后进行深耕，深度40</w:t>
      </w:r>
      <w:r>
        <w:rPr>
          <w:rFonts w:hint="eastAsia"/>
          <w:vertAlign w:val="superscript"/>
        </w:rPr>
        <w:t xml:space="preserve"> </w:t>
      </w:r>
      <w:r>
        <w:rPr>
          <w:rFonts w:hint="eastAsia"/>
        </w:rPr>
        <w:t>cm～50</w:t>
      </w:r>
      <w:r>
        <w:rPr>
          <w:rFonts w:hint="eastAsia"/>
          <w:vertAlign w:val="superscript"/>
        </w:rPr>
        <w:t xml:space="preserve"> </w:t>
      </w:r>
      <w:r>
        <w:rPr>
          <w:rFonts w:hint="eastAsia"/>
        </w:rPr>
        <w:t>cm。</w:t>
      </w:r>
      <w:r>
        <w:rPr>
          <w:rFonts w:hint="eastAsia"/>
          <w:szCs w:val="22"/>
        </w:rPr>
        <w:t>除草宜人工进行和使用防草布，少施化学除草剂。</w:t>
      </w:r>
    </w:p>
    <w:p>
      <w:pPr>
        <w:pStyle w:val="106"/>
        <w:spacing w:before="156" w:after="156"/>
      </w:pPr>
      <w:r>
        <w:rPr>
          <w:rFonts w:hint="eastAsia"/>
        </w:rPr>
        <w:t>水分管理</w:t>
      </w:r>
    </w:p>
    <w:p>
      <w:pPr>
        <w:pStyle w:val="57"/>
        <w:ind w:firstLine="420"/>
      </w:pPr>
      <w:r>
        <w:rPr>
          <w:rFonts w:hint="eastAsia"/>
        </w:rPr>
        <w:t>山区果园，宜使用滴灌等管道灌溉。生长季根据天气情况，连续7</w:t>
      </w:r>
      <w:r>
        <w:rPr>
          <w:rFonts w:hint="eastAsia"/>
          <w:vertAlign w:val="superscript"/>
        </w:rPr>
        <w:t xml:space="preserve"> </w:t>
      </w:r>
      <w:r>
        <w:rPr>
          <w:rFonts w:hint="eastAsia"/>
        </w:rPr>
        <w:t>d无降水，全园开启滴灌一次，穴盘浇透。果实膨大期不应灌溉。</w:t>
      </w:r>
    </w:p>
    <w:p>
      <w:pPr>
        <w:pStyle w:val="106"/>
        <w:spacing w:before="156" w:after="156"/>
      </w:pPr>
      <w:r>
        <w:rPr>
          <w:rFonts w:hint="eastAsia"/>
        </w:rPr>
        <w:t>整形修剪</w:t>
      </w:r>
    </w:p>
    <w:p>
      <w:pPr>
        <w:pStyle w:val="66"/>
        <w:spacing w:before="156" w:after="156"/>
      </w:pPr>
      <w:r>
        <w:rPr>
          <w:rFonts w:hint="eastAsia"/>
        </w:rPr>
        <w:t>树形选择</w:t>
      </w:r>
    </w:p>
    <w:p>
      <w:pPr>
        <w:pStyle w:val="57"/>
        <w:ind w:firstLine="420"/>
      </w:pPr>
      <w:r>
        <w:rPr>
          <w:rFonts w:hint="eastAsia"/>
        </w:rPr>
        <w:t>宜选择三主枝开心型</w:t>
      </w:r>
      <w:r>
        <w:rPr>
          <w:rFonts w:hint="eastAsia"/>
          <w:lang w:eastAsia="zh-CN"/>
        </w:rPr>
        <w:t>：</w:t>
      </w:r>
      <w:r>
        <w:rPr>
          <w:rFonts w:hint="eastAsia"/>
        </w:rPr>
        <w:t>干高1</w:t>
      </w:r>
      <w:r>
        <w:rPr>
          <w:rFonts w:hint="eastAsia"/>
          <w:vertAlign w:val="superscript"/>
        </w:rPr>
        <w:t xml:space="preserve"> </w:t>
      </w:r>
      <w:r>
        <w:rPr>
          <w:rFonts w:hint="eastAsia"/>
        </w:rPr>
        <w:t>m，定干后选留3个主枝，主枝方向均匀分布，主枝开张角度45°。在主枝两侧均匀错落配置10～12个小型枝组或中、长果枝，间距18</w:t>
      </w:r>
      <w:r>
        <w:rPr>
          <w:rFonts w:hint="eastAsia"/>
          <w:vertAlign w:val="superscript"/>
        </w:rPr>
        <w:t xml:space="preserve"> </w:t>
      </w:r>
      <w:r>
        <w:rPr>
          <w:rFonts w:hint="eastAsia"/>
        </w:rPr>
        <w:t>cm～20</w:t>
      </w:r>
      <w:r>
        <w:rPr>
          <w:rFonts w:hint="eastAsia"/>
          <w:vertAlign w:val="superscript"/>
        </w:rPr>
        <w:t xml:space="preserve"> </w:t>
      </w:r>
      <w:r>
        <w:rPr>
          <w:rFonts w:hint="eastAsia"/>
        </w:rPr>
        <w:t>cm。</w:t>
      </w:r>
    </w:p>
    <w:p>
      <w:pPr>
        <w:pStyle w:val="66"/>
        <w:spacing w:before="156" w:after="156"/>
      </w:pPr>
      <w:r>
        <w:rPr>
          <w:rFonts w:hint="eastAsia"/>
        </w:rPr>
        <w:t>幼果期树修剪</w:t>
      </w:r>
    </w:p>
    <w:p>
      <w:pPr>
        <w:pStyle w:val="165"/>
      </w:pPr>
      <w:r>
        <w:rPr>
          <w:rFonts w:hint="eastAsia"/>
        </w:rPr>
        <w:t>夏季修剪：当枝条长到25</w:t>
      </w:r>
      <w:r>
        <w:rPr>
          <w:rFonts w:hint="eastAsia"/>
          <w:vertAlign w:val="superscript"/>
        </w:rPr>
        <w:t xml:space="preserve"> </w:t>
      </w:r>
      <w:r>
        <w:rPr>
          <w:rFonts w:hint="eastAsia"/>
        </w:rPr>
        <w:t>cm以上时选留主枝，其他枝条进行拉枝，并对主枝角度按减5°撑开，对主枝上直立枝进行扭梢。</w:t>
      </w:r>
    </w:p>
    <w:p>
      <w:pPr>
        <w:pStyle w:val="165"/>
      </w:pPr>
      <w:r>
        <w:rPr>
          <w:rFonts w:hint="eastAsia"/>
        </w:rPr>
        <w:t>冬季修剪：主枝上选留小型结果枝组或直接着生结果枝，主枝外的辅养枝和无花枝条全部去除。竞争枝头留一个方向理想的轻剪长放。</w:t>
      </w:r>
    </w:p>
    <w:p>
      <w:pPr>
        <w:pStyle w:val="66"/>
        <w:spacing w:before="156" w:after="156"/>
      </w:pPr>
      <w:r>
        <w:rPr>
          <w:rFonts w:hint="eastAsia"/>
        </w:rPr>
        <w:t>盛果期树修剪</w:t>
      </w:r>
    </w:p>
    <w:p>
      <w:pPr>
        <w:pStyle w:val="165"/>
      </w:pPr>
      <w:r>
        <w:rPr>
          <w:rFonts w:hint="eastAsia"/>
        </w:rPr>
        <w:t>夏季修剪：根据桃树长势多次修剪。疏除背上直立枝、竞争枝。枝条过多时，可用扭梢来削弱其长势。生长势过旺，宜使用1</w:t>
      </w:r>
      <w:r>
        <w:rPr>
          <w:rFonts w:hint="eastAsia"/>
          <w:vertAlign w:val="superscript"/>
        </w:rPr>
        <w:t xml:space="preserve"> </w:t>
      </w:r>
      <w:r>
        <w:rPr>
          <w:rFonts w:hint="eastAsia"/>
        </w:rPr>
        <w:t>500</w:t>
      </w:r>
      <w:r>
        <w:rPr>
          <w:rFonts w:hint="eastAsia"/>
          <w:vertAlign w:val="superscript"/>
        </w:rPr>
        <w:t xml:space="preserve"> </w:t>
      </w:r>
      <w:r>
        <w:rPr>
          <w:rFonts w:hint="eastAsia"/>
        </w:rPr>
        <w:t>mg/L的多效唑叶面喷施1～2次。</w:t>
      </w:r>
    </w:p>
    <w:p>
      <w:pPr>
        <w:pStyle w:val="165"/>
      </w:pPr>
      <w:r>
        <w:rPr>
          <w:rFonts w:hint="eastAsia"/>
        </w:rPr>
        <w:t>冬季修剪：落叶后即可进行。去除背上直立枝、背下衰弱枝，留主枝两侧平斜枝，每隔20</w:t>
      </w:r>
      <w:r>
        <w:rPr>
          <w:rFonts w:hint="eastAsia"/>
          <w:vertAlign w:val="superscript"/>
        </w:rPr>
        <w:t xml:space="preserve"> </w:t>
      </w:r>
      <w:r>
        <w:rPr>
          <w:rFonts w:hint="eastAsia"/>
        </w:rPr>
        <w:t>cm～30</w:t>
      </w:r>
      <w:r>
        <w:rPr>
          <w:rFonts w:hint="eastAsia"/>
          <w:vertAlign w:val="superscript"/>
        </w:rPr>
        <w:t xml:space="preserve"> </w:t>
      </w:r>
      <w:r>
        <w:rPr>
          <w:rFonts w:hint="eastAsia"/>
        </w:rPr>
        <w:t>cm留1个中长果枝，疏除过密的中、短果枝，留花束状果枝。枝头留中、长果枝，轻短截或甩放。</w:t>
      </w:r>
    </w:p>
    <w:p>
      <w:pPr>
        <w:pStyle w:val="106"/>
        <w:spacing w:before="156" w:after="156"/>
      </w:pPr>
      <w:r>
        <w:rPr>
          <w:rFonts w:hint="eastAsia"/>
        </w:rPr>
        <w:t xml:space="preserve"> 保花保果和疏果</w:t>
      </w:r>
    </w:p>
    <w:p>
      <w:pPr>
        <w:pStyle w:val="166"/>
      </w:pPr>
      <w:r>
        <w:rPr>
          <w:rFonts w:hint="eastAsia"/>
        </w:rPr>
        <w:t>花期以及生长期可用花期放蜂、增施磷钾肥等方法。宜搭建避雨棚。</w:t>
      </w:r>
    </w:p>
    <w:p>
      <w:pPr>
        <w:pStyle w:val="166"/>
      </w:pPr>
      <w:r>
        <w:rPr>
          <w:rFonts w:hint="eastAsia"/>
        </w:rPr>
        <w:t>第一次生理落果后进行疏果，疏除小果、畸形果、病虫果、过密果等。长果枝中上部留3～5个果，中果枝中部留2～3个果，短果枝留2个果。</w:t>
      </w:r>
    </w:p>
    <w:p>
      <w:pPr>
        <w:pStyle w:val="106"/>
        <w:spacing w:before="156" w:after="156"/>
      </w:pPr>
      <w:r>
        <w:rPr>
          <w:rFonts w:hint="eastAsia"/>
        </w:rPr>
        <w:t>套袋</w:t>
      </w:r>
    </w:p>
    <w:p>
      <w:pPr>
        <w:pStyle w:val="66"/>
        <w:spacing w:before="156" w:after="156"/>
      </w:pPr>
      <w:r>
        <w:rPr>
          <w:rFonts w:hint="eastAsia"/>
        </w:rPr>
        <w:t>套袋时期</w:t>
      </w:r>
    </w:p>
    <w:p>
      <w:pPr>
        <w:pStyle w:val="57"/>
        <w:ind w:firstLine="420"/>
      </w:pPr>
      <w:r>
        <w:rPr>
          <w:rFonts w:hint="eastAsia"/>
        </w:rPr>
        <w:t>宜在四月初定果后进行。</w:t>
      </w:r>
    </w:p>
    <w:p>
      <w:pPr>
        <w:pStyle w:val="66"/>
        <w:spacing w:before="156" w:after="156"/>
      </w:pPr>
      <w:r>
        <w:rPr>
          <w:rFonts w:hint="eastAsia"/>
        </w:rPr>
        <w:t>套袋种类</w:t>
      </w:r>
    </w:p>
    <w:p>
      <w:pPr>
        <w:pStyle w:val="57"/>
        <w:ind w:firstLine="420"/>
      </w:pPr>
      <w:r>
        <w:rPr>
          <w:rFonts w:hint="eastAsia"/>
        </w:rPr>
        <w:t>宜选用黄色/白色单层透光专用袋。</w:t>
      </w:r>
    </w:p>
    <w:p>
      <w:pPr>
        <w:pStyle w:val="66"/>
        <w:spacing w:before="156" w:after="156"/>
      </w:pPr>
      <w:r>
        <w:rPr>
          <w:rFonts w:hint="eastAsia"/>
        </w:rPr>
        <w:t>套袋方法</w:t>
      </w:r>
    </w:p>
    <w:p>
      <w:pPr>
        <w:pStyle w:val="57"/>
        <w:ind w:firstLine="420"/>
      </w:pPr>
      <w:r>
        <w:rPr>
          <w:rFonts w:hint="eastAsia"/>
        </w:rPr>
        <w:t>套袋前1</w:t>
      </w:r>
      <w:r>
        <w:rPr>
          <w:rFonts w:hint="eastAsia"/>
          <w:vertAlign w:val="superscript"/>
        </w:rPr>
        <w:t xml:space="preserve"> </w:t>
      </w:r>
      <w:r>
        <w:rPr>
          <w:rFonts w:hint="eastAsia"/>
        </w:rPr>
        <w:t>d～2</w:t>
      </w:r>
      <w:r>
        <w:rPr>
          <w:rFonts w:hint="eastAsia"/>
          <w:vertAlign w:val="superscript"/>
        </w:rPr>
        <w:t xml:space="preserve"> </w:t>
      </w:r>
      <w:r>
        <w:rPr>
          <w:rFonts w:hint="eastAsia"/>
        </w:rPr>
        <w:t>d喷1次杀菌虫混合药剂，药水或者雨水风干后套袋。套袋顺序应先上后下，先里后外。套袋后不摘袋，直到采收。</w:t>
      </w:r>
    </w:p>
    <w:p>
      <w:pPr>
        <w:pStyle w:val="105"/>
        <w:spacing w:before="312" w:after="312"/>
        <w:rPr>
          <w:szCs w:val="22"/>
        </w:rPr>
      </w:pPr>
      <w:r>
        <w:rPr>
          <w:rFonts w:hint="eastAsia"/>
        </w:rPr>
        <w:t>病虫害防治</w:t>
      </w:r>
    </w:p>
    <w:p>
      <w:pPr>
        <w:pStyle w:val="106"/>
        <w:spacing w:before="156" w:after="156"/>
      </w:pPr>
      <w:r>
        <w:rPr>
          <w:rFonts w:hint="eastAsia"/>
        </w:rPr>
        <w:t>主要病虫害</w:t>
      </w:r>
    </w:p>
    <w:p>
      <w:pPr>
        <w:pStyle w:val="57"/>
        <w:ind w:firstLine="420"/>
        <w:rPr>
          <w:szCs w:val="22"/>
        </w:rPr>
      </w:pPr>
      <w:r>
        <w:t>主要病害</w:t>
      </w:r>
      <w:r>
        <w:rPr>
          <w:szCs w:val="22"/>
        </w:rPr>
        <w:t>：流胶病、桃褐腐病、细菌性穿孔病等</w:t>
      </w:r>
      <w:r>
        <w:rPr>
          <w:rFonts w:hint="eastAsia"/>
          <w:szCs w:val="22"/>
        </w:rPr>
        <w:t>；</w:t>
      </w:r>
      <w:r>
        <w:rPr>
          <w:rFonts w:hint="eastAsia"/>
        </w:rPr>
        <w:t>主要虫害</w:t>
      </w:r>
      <w:r>
        <w:rPr>
          <w:rFonts w:hint="eastAsia"/>
          <w:szCs w:val="22"/>
        </w:rPr>
        <w:t>：果实蝇、</w:t>
      </w:r>
      <w:r>
        <w:rPr>
          <w:szCs w:val="22"/>
        </w:rPr>
        <w:t>桃蚜</w:t>
      </w:r>
      <w:r>
        <w:rPr>
          <w:rFonts w:hint="eastAsia"/>
          <w:szCs w:val="22"/>
        </w:rPr>
        <w:t>、</w:t>
      </w:r>
      <w:r>
        <w:rPr>
          <w:szCs w:val="22"/>
        </w:rPr>
        <w:t>梨小</w:t>
      </w:r>
      <w:r>
        <w:rPr>
          <w:rFonts w:hint="eastAsia"/>
          <w:szCs w:val="22"/>
        </w:rPr>
        <w:t>食心虫</w:t>
      </w:r>
      <w:r>
        <w:rPr>
          <w:szCs w:val="22"/>
        </w:rPr>
        <w:t>、红蜘蛛</w:t>
      </w:r>
      <w:r>
        <w:rPr>
          <w:rFonts w:hint="eastAsia"/>
          <w:szCs w:val="22"/>
        </w:rPr>
        <w:t>、桑白介壳虫、吸汁夜蛾等。</w:t>
      </w:r>
    </w:p>
    <w:p>
      <w:pPr>
        <w:pStyle w:val="106"/>
        <w:spacing w:before="156" w:after="156"/>
        <w:rPr>
          <w:color w:val="000000" w:themeColor="text1"/>
        </w:rPr>
      </w:pPr>
      <w:r>
        <w:rPr>
          <w:rFonts w:hint="eastAsia"/>
          <w:color w:val="000000" w:themeColor="text1"/>
        </w:rPr>
        <w:t>防治原则</w:t>
      </w:r>
    </w:p>
    <w:p>
      <w:pPr>
        <w:pStyle w:val="233"/>
        <w:rPr>
          <w:color w:val="000000" w:themeColor="text1"/>
        </w:rPr>
      </w:pPr>
      <w:r>
        <w:rPr>
          <w:rFonts w:hint="eastAsia"/>
          <w:color w:val="000000" w:themeColor="text1"/>
        </w:rPr>
        <w:t>坚持“预防为主，综合防治”的植保方针，优先采用农业和物理防治措施，辅助以安全合理的化学防治措施。</w:t>
      </w:r>
    </w:p>
    <w:p>
      <w:pPr>
        <w:pStyle w:val="106"/>
        <w:spacing w:before="156" w:after="156"/>
        <w:rPr>
          <w:color w:val="000000" w:themeColor="text1"/>
        </w:rPr>
      </w:pPr>
      <w:r>
        <w:rPr>
          <w:rFonts w:hint="eastAsia"/>
          <w:color w:val="000000" w:themeColor="text1"/>
        </w:rPr>
        <w:t>农业防治</w:t>
      </w:r>
    </w:p>
    <w:p>
      <w:pPr>
        <w:pStyle w:val="57"/>
        <w:ind w:firstLine="420"/>
        <w:rPr>
          <w:rFonts w:cs="T42"/>
        </w:rPr>
      </w:pPr>
      <w:r>
        <w:t>冬季清园</w:t>
      </w:r>
      <w:r>
        <w:rPr>
          <w:rFonts w:hint="eastAsia"/>
        </w:rPr>
        <w:t>；</w:t>
      </w:r>
      <w:r>
        <w:rPr>
          <w:szCs w:val="22"/>
        </w:rPr>
        <w:t>修剪时剪除病虫枝，将残枝败叶清出果园。</w:t>
      </w:r>
    </w:p>
    <w:p>
      <w:pPr>
        <w:pStyle w:val="106"/>
        <w:spacing w:before="156" w:after="156"/>
      </w:pPr>
      <w:r>
        <w:rPr>
          <w:rFonts w:hint="eastAsia"/>
        </w:rPr>
        <w:t>物理防治</w:t>
      </w:r>
    </w:p>
    <w:p>
      <w:pPr>
        <w:pStyle w:val="57"/>
        <w:ind w:firstLine="420"/>
        <w:rPr>
          <w:color w:val="000000" w:themeColor="text1"/>
        </w:rPr>
      </w:pPr>
      <w:r>
        <w:rPr>
          <w:rFonts w:hint="eastAsia"/>
          <w:color w:val="000000" w:themeColor="text1"/>
        </w:rPr>
        <w:t>按7.6进行套袋或每667</w:t>
      </w:r>
      <w:r>
        <w:rPr>
          <w:rFonts w:hint="eastAsia"/>
          <w:color w:val="000000" w:themeColor="text1"/>
          <w:vertAlign w:val="subscript"/>
        </w:rPr>
        <w:t xml:space="preserve"> </w:t>
      </w:r>
      <w:r>
        <w:rPr>
          <w:rFonts w:hint="eastAsia"/>
          <w:color w:val="000000" w:themeColor="text1"/>
        </w:rPr>
        <w:t>m</w:t>
      </w:r>
      <w:r>
        <w:rPr>
          <w:rFonts w:hint="eastAsia"/>
          <w:color w:val="000000" w:themeColor="text1"/>
          <w:vertAlign w:val="superscript"/>
        </w:rPr>
        <w:t>2</w:t>
      </w:r>
      <w:r>
        <w:rPr>
          <w:rFonts w:hint="eastAsia"/>
          <w:color w:val="000000" w:themeColor="text1"/>
        </w:rPr>
        <w:t>悬挂诱虫灯、可降解黄板等诱粘剂30个诱杀吸汁夜蛾、果实蝇。</w:t>
      </w:r>
    </w:p>
    <w:p>
      <w:pPr>
        <w:pStyle w:val="106"/>
        <w:spacing w:before="156" w:after="156"/>
      </w:pPr>
      <w:r>
        <w:rPr>
          <w:rFonts w:hint="eastAsia"/>
        </w:rPr>
        <w:t>化学防治</w:t>
      </w:r>
    </w:p>
    <w:p>
      <w:pPr>
        <w:pStyle w:val="57"/>
        <w:ind w:firstLine="420"/>
      </w:pPr>
      <w:r>
        <w:rPr>
          <w:rFonts w:hint="eastAsia"/>
          <w:szCs w:val="22"/>
        </w:rPr>
        <w:t>具体</w:t>
      </w:r>
      <w:r>
        <w:rPr>
          <w:rFonts w:hint="eastAsia"/>
          <w:color w:val="000000" w:themeColor="text1"/>
        </w:rPr>
        <w:t>化学防治方法参见附录A，所选用的农药应符合GB/T 8321（所有部分）的规定。</w:t>
      </w:r>
      <w:r>
        <w:rPr>
          <w:szCs w:val="22"/>
        </w:rPr>
        <w:t>果实采摘前</w:t>
      </w:r>
      <w:r>
        <w:rPr>
          <w:rFonts w:hint="eastAsia"/>
          <w:szCs w:val="22"/>
          <w:lang w:val="en-US" w:eastAsia="zh-CN"/>
        </w:rPr>
        <w:t xml:space="preserve">    </w:t>
      </w:r>
      <w:r>
        <w:rPr>
          <w:szCs w:val="22"/>
        </w:rPr>
        <w:t>20</w:t>
      </w:r>
      <w:r>
        <w:rPr>
          <w:szCs w:val="22"/>
          <w:vertAlign w:val="superscript"/>
        </w:rPr>
        <w:t xml:space="preserve"> </w:t>
      </w:r>
      <w:r>
        <w:rPr>
          <w:szCs w:val="22"/>
        </w:rPr>
        <w:t>d不</w:t>
      </w:r>
      <w:r>
        <w:rPr>
          <w:rFonts w:hint="eastAsia"/>
          <w:szCs w:val="22"/>
        </w:rPr>
        <w:t>应使用农药。</w:t>
      </w:r>
    </w:p>
    <w:p>
      <w:pPr>
        <w:pStyle w:val="105"/>
        <w:spacing w:before="312" w:after="312"/>
        <w:rPr>
          <w:rFonts w:ascii="Times New Roman" w:eastAsia="宋体"/>
          <w:szCs w:val="22"/>
        </w:rPr>
      </w:pPr>
      <w:r>
        <w:rPr>
          <w:rFonts w:hint="eastAsia"/>
        </w:rPr>
        <w:t>采收</w:t>
      </w:r>
    </w:p>
    <w:p>
      <w:pPr>
        <w:pStyle w:val="106"/>
        <w:spacing w:before="156" w:after="156"/>
      </w:pPr>
      <w:r>
        <w:rPr>
          <w:rFonts w:hint="eastAsia"/>
        </w:rPr>
        <w:t>采收时间</w:t>
      </w:r>
    </w:p>
    <w:p>
      <w:pPr>
        <w:pStyle w:val="57"/>
        <w:ind w:firstLine="420"/>
      </w:pPr>
      <w:r>
        <w:rPr>
          <w:rFonts w:hint="eastAsia"/>
        </w:rPr>
        <w:t>就地供应鲜桃宜在完熟期采收，建议补充外销的桃子采收时间。</w:t>
      </w:r>
    </w:p>
    <w:p>
      <w:pPr>
        <w:pStyle w:val="106"/>
        <w:spacing w:before="156" w:after="156"/>
      </w:pPr>
      <w:r>
        <w:rPr>
          <w:rFonts w:hint="eastAsia"/>
        </w:rPr>
        <w:t>采收方法</w:t>
      </w:r>
    </w:p>
    <w:p>
      <w:pPr>
        <w:pStyle w:val="57"/>
        <w:ind w:firstLine="420"/>
      </w:pPr>
      <w:r>
        <w:rPr>
          <w:rFonts w:hint="eastAsia"/>
        </w:rPr>
        <w:t>采收安排在早晨凉爽时进行。采收时，一手扶住结果枝，一手采摘，手握果实轻轻扭转采下，轻拿轻放，然后分级装箱。</w:t>
      </w:r>
    </w:p>
    <w:p>
      <w:pPr>
        <w:pStyle w:val="105"/>
        <w:spacing w:before="312" w:after="312"/>
        <w:rPr>
          <w:color w:val="000000" w:themeColor="text1"/>
        </w:rPr>
      </w:pPr>
      <w:bookmarkStart w:id="39" w:name="_Toc63093983"/>
      <w:r>
        <w:rPr>
          <w:rFonts w:hint="eastAsia"/>
          <w:color w:val="000000" w:themeColor="text1"/>
        </w:rPr>
        <w:t>建立生产档案</w:t>
      </w:r>
      <w:bookmarkEnd w:id="39"/>
    </w:p>
    <w:p>
      <w:pPr>
        <w:pStyle w:val="57"/>
        <w:ind w:firstLine="420"/>
      </w:pPr>
      <w:r>
        <w:rPr>
          <w:rFonts w:hint="eastAsia"/>
          <w:color w:val="000000" w:themeColor="text1"/>
        </w:rPr>
        <w:t>建立生产技术档案并妥善保存，</w:t>
      </w:r>
      <w:r>
        <w:rPr>
          <w:rFonts w:hint="eastAsia"/>
        </w:rPr>
        <w:t>内容宜包括园地环境、苗木选择、定植、栽培管理、病虫害防治、采收等各环节的具体内容。</w:t>
      </w:r>
    </w:p>
    <w:p>
      <w:pPr>
        <w:pStyle w:val="57"/>
        <w:ind w:firstLine="420"/>
        <w:sectPr>
          <w:pgSz w:w="11906" w:h="16838"/>
          <w:pgMar w:top="1871" w:right="1134" w:bottom="1134" w:left="1134" w:header="1418" w:footer="1134" w:gutter="284"/>
          <w:pgNumType w:start="1"/>
          <w:cols w:space="425" w:num="1"/>
          <w:formProt w:val="0"/>
          <w:docGrid w:type="lines" w:linePitch="312" w:charSpace="0"/>
        </w:sectPr>
      </w:pPr>
    </w:p>
    <w:bookmarkEnd w:id="20"/>
    <w:p>
      <w:pPr>
        <w:pStyle w:val="199"/>
      </w:pPr>
      <w:bookmarkStart w:id="40" w:name="BookMark5"/>
    </w:p>
    <w:p>
      <w:pPr>
        <w:pStyle w:val="200"/>
      </w:pPr>
    </w:p>
    <w:p>
      <w:pPr>
        <w:pStyle w:val="77"/>
        <w:spacing w:before="78" w:after="156"/>
      </w:pPr>
      <w:r>
        <w:br w:type="textWrapping"/>
      </w:r>
      <w:r>
        <w:rPr>
          <w:rFonts w:hint="eastAsia"/>
        </w:rPr>
        <w:t>（资料性）</w:t>
      </w:r>
      <w:r>
        <w:br w:type="textWrapping"/>
      </w:r>
      <w:r>
        <w:rPr>
          <w:rFonts w:hint="eastAsia"/>
        </w:rPr>
        <w:t>天峨秋蜜桃主要病虫害化学防治方法</w:t>
      </w:r>
    </w:p>
    <w:p>
      <w:pPr>
        <w:pStyle w:val="57"/>
        <w:ind w:firstLine="420"/>
      </w:pPr>
      <w:r>
        <w:rPr>
          <w:rFonts w:hint="eastAsia"/>
        </w:rPr>
        <w:t>见表A.1。</w:t>
      </w:r>
    </w:p>
    <w:p>
      <w:pPr>
        <w:pStyle w:val="78"/>
        <w:spacing w:before="156" w:after="156"/>
      </w:pPr>
      <w:r>
        <w:rPr>
          <w:rFonts w:hint="eastAsia"/>
        </w:rPr>
        <w:t>天峨秋蜜桃主要病虫害化学防治方法</w:t>
      </w:r>
    </w:p>
    <w:tbl>
      <w:tblPr>
        <w:tblStyle w:val="27"/>
        <w:tblW w:w="499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373"/>
        <w:gridCol w:w="71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1" w:type="pct"/>
            <w:tcBorders>
              <w:top w:val="single" w:color="auto" w:sz="8" w:space="0"/>
              <w:bottom w:val="single" w:color="auto" w:sz="8" w:space="0"/>
            </w:tcBorders>
            <w:vAlign w:val="center"/>
          </w:tcPr>
          <w:p>
            <w:pPr>
              <w:pStyle w:val="233"/>
              <w:ind w:firstLine="0" w:firstLineChars="0"/>
              <w:jc w:val="center"/>
              <w:rPr>
                <w:rFonts w:hAnsi="宋体"/>
                <w:color w:val="000000" w:themeColor="text1"/>
                <w:sz w:val="18"/>
                <w:szCs w:val="18"/>
              </w:rPr>
            </w:pPr>
            <w:r>
              <w:rPr>
                <w:rFonts w:hint="eastAsia" w:hAnsi="宋体"/>
                <w:color w:val="000000" w:themeColor="text1"/>
                <w:sz w:val="18"/>
                <w:szCs w:val="18"/>
              </w:rPr>
              <w:t>防治对象</w:t>
            </w:r>
          </w:p>
        </w:tc>
        <w:tc>
          <w:tcPr>
            <w:tcW w:w="3758" w:type="pct"/>
            <w:tcBorders>
              <w:top w:val="single" w:color="auto" w:sz="8" w:space="0"/>
              <w:bottom w:val="single" w:color="auto" w:sz="8" w:space="0"/>
            </w:tcBorders>
            <w:vAlign w:val="center"/>
          </w:tcPr>
          <w:p>
            <w:pPr>
              <w:pStyle w:val="233"/>
              <w:ind w:firstLine="0" w:firstLineChars="0"/>
              <w:jc w:val="center"/>
              <w:rPr>
                <w:rFonts w:hAnsi="宋体"/>
                <w:color w:val="000000" w:themeColor="text1"/>
                <w:sz w:val="18"/>
                <w:szCs w:val="18"/>
              </w:rPr>
            </w:pPr>
            <w:r>
              <w:rPr>
                <w:rFonts w:hint="eastAsia" w:hAnsi="宋体"/>
                <w:color w:val="000000" w:themeColor="text1"/>
                <w:sz w:val="18"/>
                <w:szCs w:val="18"/>
              </w:rPr>
              <w:t>防治方法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1" w:type="pct"/>
            <w:tcBorders>
              <w:top w:val="single" w:color="auto" w:sz="8" w:space="0"/>
            </w:tcBorders>
            <w:vAlign w:val="center"/>
          </w:tcPr>
          <w:p>
            <w:pPr>
              <w:spacing w:line="240" w:lineRule="auto"/>
              <w:jc w:val="center"/>
              <w:rPr>
                <w:rFonts w:ascii="宋体" w:hAnsi="宋体"/>
                <w:color w:val="000000" w:themeColor="text1"/>
                <w:sz w:val="18"/>
                <w:szCs w:val="18"/>
              </w:rPr>
            </w:pPr>
            <w:r>
              <w:rPr>
                <w:rFonts w:ascii="宋体" w:hAnsi="宋体"/>
                <w:color w:val="000000" w:themeColor="text1"/>
                <w:sz w:val="18"/>
                <w:szCs w:val="18"/>
              </w:rPr>
              <w:t>流胶病</w:t>
            </w:r>
          </w:p>
        </w:tc>
        <w:tc>
          <w:tcPr>
            <w:tcW w:w="3758" w:type="pct"/>
            <w:tcBorders>
              <w:top w:val="single" w:color="auto" w:sz="8" w:space="0"/>
            </w:tcBorders>
            <w:vAlign w:val="center"/>
          </w:tcPr>
          <w:p>
            <w:pPr>
              <w:spacing w:line="240" w:lineRule="auto"/>
              <w:rPr>
                <w:rFonts w:ascii="宋体" w:hAnsi="宋体"/>
                <w:color w:val="000000" w:themeColor="text1"/>
                <w:kern w:val="0"/>
                <w:sz w:val="18"/>
                <w:szCs w:val="18"/>
              </w:rPr>
            </w:pPr>
            <w:r>
              <w:rPr>
                <w:rFonts w:hint="eastAsia" w:ascii="宋体" w:hAnsi="宋体"/>
                <w:color w:val="000000" w:themeColor="text1"/>
                <w:kern w:val="0"/>
                <w:sz w:val="18"/>
                <w:szCs w:val="18"/>
              </w:rPr>
              <w:t>主干涂白（石灰），降低果园湿度，减少虫蛀等伤口。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1" w:type="pct"/>
            <w:vAlign w:val="center"/>
          </w:tcPr>
          <w:p>
            <w:pPr>
              <w:spacing w:line="240" w:lineRule="auto"/>
              <w:jc w:val="center"/>
              <w:rPr>
                <w:rFonts w:ascii="宋体" w:hAnsi="宋体"/>
                <w:color w:val="000000" w:themeColor="text1"/>
                <w:sz w:val="18"/>
                <w:szCs w:val="18"/>
              </w:rPr>
            </w:pPr>
            <w:r>
              <w:rPr>
                <w:rFonts w:ascii="宋体" w:hAnsi="宋体"/>
                <w:color w:val="000000" w:themeColor="text1"/>
                <w:sz w:val="18"/>
                <w:szCs w:val="18"/>
              </w:rPr>
              <w:t>桃褐腐病</w:t>
            </w:r>
          </w:p>
        </w:tc>
        <w:tc>
          <w:tcPr>
            <w:tcW w:w="3758" w:type="pct"/>
            <w:vAlign w:val="center"/>
          </w:tcPr>
          <w:p>
            <w:pPr>
              <w:spacing w:line="240" w:lineRule="auto"/>
              <w:rPr>
                <w:rFonts w:ascii="宋体" w:hAnsi="宋体"/>
                <w:color w:val="000000" w:themeColor="text1"/>
                <w:sz w:val="18"/>
                <w:szCs w:val="18"/>
              </w:rPr>
            </w:pPr>
            <w:r>
              <w:rPr>
                <w:rFonts w:hint="eastAsia" w:ascii="宋体" w:hAnsi="宋体"/>
                <w:color w:val="000000" w:themeColor="text1"/>
                <w:sz w:val="18"/>
                <w:szCs w:val="18"/>
              </w:rPr>
              <w:t>叶面喷施噻菌灵、苯醚甲</w:t>
            </w:r>
            <w:bookmarkStart w:id="42" w:name="_GoBack"/>
            <w:bookmarkEnd w:id="42"/>
            <w:r>
              <w:rPr>
                <w:rFonts w:hint="eastAsia" w:ascii="宋体" w:hAnsi="宋体"/>
                <w:color w:val="000000" w:themeColor="text1"/>
                <w:sz w:val="18"/>
                <w:szCs w:val="18"/>
              </w:rPr>
              <w:t>环唑、嘧菌酯、戊唑醇、甲基硫菌灵等药剂，结合叶面肥使用防治，间隔7</w:t>
            </w:r>
            <w:r>
              <w:rPr>
                <w:rFonts w:hint="eastAsia" w:ascii="宋体" w:hAnsi="宋体"/>
                <w:color w:val="000000" w:themeColor="text1"/>
                <w:sz w:val="18"/>
                <w:szCs w:val="18"/>
                <w:vertAlign w:val="superscript"/>
              </w:rPr>
              <w:t xml:space="preserve"> </w:t>
            </w:r>
            <w:r>
              <w:rPr>
                <w:rFonts w:hint="eastAsia" w:ascii="宋体" w:hAnsi="宋体"/>
                <w:color w:val="000000" w:themeColor="text1"/>
                <w:sz w:val="18"/>
                <w:szCs w:val="18"/>
              </w:rPr>
              <w:t>d～10</w:t>
            </w:r>
            <w:r>
              <w:rPr>
                <w:rFonts w:hint="eastAsia" w:ascii="宋体" w:hAnsi="宋体"/>
                <w:color w:val="000000" w:themeColor="text1"/>
                <w:sz w:val="18"/>
                <w:szCs w:val="18"/>
                <w:vertAlign w:val="superscript"/>
              </w:rPr>
              <w:t xml:space="preserve"> </w:t>
            </w:r>
            <w:r>
              <w:rPr>
                <w:rFonts w:hint="eastAsia" w:ascii="宋体" w:hAnsi="宋体"/>
                <w:color w:val="000000" w:themeColor="text1"/>
                <w:sz w:val="18"/>
                <w:szCs w:val="18"/>
              </w:rPr>
              <w:t>d，防治2～3次。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1" w:type="pct"/>
            <w:vAlign w:val="center"/>
          </w:tcPr>
          <w:p>
            <w:pPr>
              <w:spacing w:line="240" w:lineRule="auto"/>
              <w:jc w:val="center"/>
              <w:rPr>
                <w:rFonts w:ascii="宋体" w:hAnsi="宋体"/>
                <w:color w:val="000000" w:themeColor="text1"/>
                <w:sz w:val="18"/>
                <w:szCs w:val="18"/>
              </w:rPr>
            </w:pPr>
            <w:r>
              <w:rPr>
                <w:rFonts w:ascii="宋体" w:hAnsi="宋体"/>
                <w:color w:val="000000" w:themeColor="text1"/>
                <w:sz w:val="18"/>
                <w:szCs w:val="18"/>
              </w:rPr>
              <w:t>细菌性穿孔病</w:t>
            </w:r>
          </w:p>
        </w:tc>
        <w:tc>
          <w:tcPr>
            <w:tcW w:w="3758" w:type="pct"/>
            <w:vAlign w:val="center"/>
          </w:tcPr>
          <w:p>
            <w:pPr>
              <w:pStyle w:val="233"/>
              <w:widowControl w:val="0"/>
              <w:ind w:firstLine="0" w:firstLineChars="0"/>
              <w:rPr>
                <w:rFonts w:hAnsi="宋体"/>
                <w:color w:val="000000" w:themeColor="text1"/>
                <w:sz w:val="18"/>
                <w:szCs w:val="18"/>
              </w:rPr>
            </w:pPr>
            <w:r>
              <w:rPr>
                <w:rFonts w:hint="eastAsia" w:hAnsi="宋体"/>
                <w:color w:val="000000" w:themeColor="text1"/>
                <w:sz w:val="18"/>
                <w:szCs w:val="18"/>
              </w:rPr>
              <w:t>叶枯唑、乙蒜素、中生菌素、春雷霉素等药剂结合磷酸二氢钾+碧护交替使用，间隔7</w:t>
            </w:r>
            <w:r>
              <w:rPr>
                <w:rFonts w:hint="eastAsia" w:hAnsi="宋体"/>
                <w:color w:val="000000" w:themeColor="text1"/>
                <w:sz w:val="18"/>
                <w:szCs w:val="18"/>
                <w:vertAlign w:val="superscript"/>
              </w:rPr>
              <w:t xml:space="preserve"> </w:t>
            </w:r>
            <w:r>
              <w:rPr>
                <w:rFonts w:hint="eastAsia" w:hAnsi="宋体"/>
                <w:color w:val="000000" w:themeColor="text1"/>
                <w:sz w:val="18"/>
                <w:szCs w:val="18"/>
              </w:rPr>
              <w:t>d～10</w:t>
            </w:r>
            <w:r>
              <w:rPr>
                <w:rFonts w:hint="eastAsia" w:hAnsi="宋体"/>
                <w:color w:val="000000" w:themeColor="text1"/>
                <w:sz w:val="18"/>
                <w:szCs w:val="18"/>
                <w:vertAlign w:val="superscript"/>
              </w:rPr>
              <w:t xml:space="preserve"> </w:t>
            </w:r>
            <w:r>
              <w:rPr>
                <w:rFonts w:hint="eastAsia" w:hAnsi="宋体"/>
                <w:color w:val="000000" w:themeColor="text1"/>
                <w:sz w:val="18"/>
                <w:szCs w:val="18"/>
              </w:rPr>
              <w:t>d，雨季需连续喷药。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1" w:type="pct"/>
            <w:vAlign w:val="center"/>
          </w:tcPr>
          <w:p>
            <w:pPr>
              <w:spacing w:line="240" w:lineRule="auto"/>
              <w:jc w:val="center"/>
              <w:rPr>
                <w:rFonts w:ascii="宋体" w:hAnsi="宋体"/>
                <w:color w:val="000000" w:themeColor="text1"/>
                <w:sz w:val="18"/>
                <w:szCs w:val="18"/>
              </w:rPr>
            </w:pPr>
            <w:r>
              <w:rPr>
                <w:rFonts w:hint="eastAsia" w:ascii="宋体" w:hAnsi="宋体"/>
                <w:color w:val="000000" w:themeColor="text1"/>
                <w:sz w:val="18"/>
                <w:szCs w:val="18"/>
              </w:rPr>
              <w:t>果实蝇</w:t>
            </w:r>
          </w:p>
        </w:tc>
        <w:tc>
          <w:tcPr>
            <w:tcW w:w="3758" w:type="pct"/>
            <w:vAlign w:val="center"/>
          </w:tcPr>
          <w:p>
            <w:pPr>
              <w:pStyle w:val="233"/>
              <w:widowControl w:val="0"/>
              <w:ind w:firstLine="0" w:firstLineChars="0"/>
              <w:rPr>
                <w:rFonts w:hAnsi="宋体"/>
                <w:color w:val="000000" w:themeColor="text1"/>
                <w:sz w:val="18"/>
                <w:szCs w:val="18"/>
              </w:rPr>
            </w:pPr>
            <w:r>
              <w:rPr>
                <w:rFonts w:hint="eastAsia" w:hAnsi="宋体"/>
                <w:color w:val="000000" w:themeColor="text1"/>
                <w:sz w:val="18"/>
                <w:szCs w:val="18"/>
              </w:rPr>
              <w:t>可选用90</w:t>
            </w:r>
            <w:r>
              <w:rPr>
                <w:rFonts w:hint="eastAsia" w:hAnsi="宋体" w:cs="宋体"/>
                <w:color w:val="000000" w:themeColor="text1"/>
                <w:sz w:val="18"/>
                <w:szCs w:val="18"/>
              </w:rPr>
              <w:t>％</w:t>
            </w:r>
            <w:r>
              <w:rPr>
                <w:rFonts w:hint="eastAsia" w:hAnsi="宋体"/>
                <w:color w:val="000000" w:themeColor="text1"/>
                <w:sz w:val="18"/>
                <w:szCs w:val="18"/>
              </w:rPr>
              <w:t>晶体敌百虫800倍或4.5</w:t>
            </w:r>
            <w:r>
              <w:rPr>
                <w:rFonts w:hint="eastAsia" w:hAnsi="宋体" w:cs="宋体"/>
                <w:color w:val="000000" w:themeColor="text1"/>
                <w:sz w:val="18"/>
                <w:szCs w:val="18"/>
              </w:rPr>
              <w:t>％</w:t>
            </w:r>
            <w:r>
              <w:rPr>
                <w:rFonts w:hint="eastAsia" w:hAnsi="宋体"/>
                <w:color w:val="000000" w:themeColor="text1"/>
                <w:sz w:val="18"/>
                <w:szCs w:val="18"/>
              </w:rPr>
              <w:t>高效氯氰菊酯1</w:t>
            </w:r>
            <w:r>
              <w:rPr>
                <w:rFonts w:hint="eastAsia" w:hAnsi="宋体"/>
                <w:color w:val="000000" w:themeColor="text1"/>
                <w:sz w:val="18"/>
                <w:szCs w:val="18"/>
                <w:vertAlign w:val="superscript"/>
              </w:rPr>
              <w:t xml:space="preserve"> </w:t>
            </w:r>
            <w:r>
              <w:rPr>
                <w:rFonts w:hint="eastAsia" w:hAnsi="宋体"/>
                <w:color w:val="000000" w:themeColor="text1"/>
                <w:sz w:val="18"/>
                <w:szCs w:val="18"/>
              </w:rPr>
              <w:t>500倍液均匀喷雾。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1" w:type="pct"/>
            <w:vAlign w:val="center"/>
          </w:tcPr>
          <w:p>
            <w:pPr>
              <w:spacing w:line="240" w:lineRule="auto"/>
              <w:jc w:val="center"/>
              <w:rPr>
                <w:rFonts w:ascii="宋体" w:hAnsi="宋体"/>
                <w:color w:val="000000" w:themeColor="text1"/>
                <w:sz w:val="18"/>
                <w:szCs w:val="18"/>
              </w:rPr>
            </w:pPr>
            <w:r>
              <w:rPr>
                <w:rFonts w:ascii="宋体" w:hAnsi="宋体"/>
                <w:color w:val="000000" w:themeColor="text1"/>
                <w:sz w:val="18"/>
                <w:szCs w:val="18"/>
              </w:rPr>
              <w:t>桃蚜</w:t>
            </w:r>
          </w:p>
        </w:tc>
        <w:tc>
          <w:tcPr>
            <w:tcW w:w="3758" w:type="pct"/>
            <w:vAlign w:val="center"/>
          </w:tcPr>
          <w:p>
            <w:pPr>
              <w:pStyle w:val="236"/>
              <w:widowControl/>
              <w:numPr>
                <w:ilvl w:val="0"/>
                <w:numId w:val="32"/>
              </w:numPr>
              <w:spacing w:line="240" w:lineRule="auto"/>
              <w:ind w:left="0" w:firstLine="0" w:firstLineChars="0"/>
              <w:rPr>
                <w:rFonts w:ascii="宋体" w:hAnsi="宋体"/>
                <w:color w:val="000000" w:themeColor="text1"/>
                <w:kern w:val="0"/>
                <w:sz w:val="18"/>
                <w:szCs w:val="18"/>
              </w:rPr>
            </w:pPr>
            <w:r>
              <w:rPr>
                <w:rFonts w:ascii="宋体" w:hAnsi="宋体" w:cs="FZSSK--GBK1-0"/>
                <w:color w:val="000000" w:themeColor="text1"/>
                <w:kern w:val="0"/>
                <w:sz w:val="18"/>
                <w:szCs w:val="18"/>
              </w:rPr>
              <w:t>早春桃树萌芽前彻底喷施</w:t>
            </w:r>
            <w:r>
              <w:rPr>
                <w:rFonts w:hint="eastAsia" w:ascii="宋体" w:hAnsi="宋体" w:cs="宋体"/>
                <w:color w:val="000000" w:themeColor="text1"/>
                <w:kern w:val="0"/>
                <w:sz w:val="18"/>
                <w:szCs w:val="18"/>
              </w:rPr>
              <w:t>3°</w:t>
            </w:r>
            <w:r>
              <w:rPr>
                <w:rFonts w:ascii="宋体" w:hAnsi="宋体" w:cs="宋体"/>
                <w:color w:val="000000" w:themeColor="text1"/>
                <w:kern w:val="0"/>
                <w:sz w:val="18"/>
                <w:szCs w:val="18"/>
              </w:rPr>
              <w:t>Bé</w:t>
            </w:r>
            <w:r>
              <w:rPr>
                <w:rFonts w:hint="eastAsia" w:ascii="宋体" w:hAnsi="宋体" w:cs="宋体"/>
                <w:color w:val="000000" w:themeColor="text1"/>
                <w:kern w:val="0"/>
                <w:sz w:val="18"/>
                <w:szCs w:val="18"/>
              </w:rPr>
              <w:t>～5</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w:t>
            </w:r>
            <w:r>
              <w:rPr>
                <w:rFonts w:ascii="宋体" w:hAnsi="宋体" w:cs="宋体"/>
                <w:color w:val="000000" w:themeColor="text1"/>
                <w:kern w:val="0"/>
                <w:sz w:val="18"/>
                <w:szCs w:val="18"/>
              </w:rPr>
              <w:t>Bé</w:t>
            </w:r>
            <w:r>
              <w:rPr>
                <w:rFonts w:ascii="宋体" w:hAnsi="宋体" w:cs="FZSSK--GBK1-0"/>
                <w:color w:val="000000" w:themeColor="text1"/>
                <w:kern w:val="0"/>
                <w:sz w:val="18"/>
                <w:szCs w:val="18"/>
              </w:rPr>
              <w:t>石硫合剂</w:t>
            </w:r>
            <w:r>
              <w:rPr>
                <w:rFonts w:hint="eastAsia" w:ascii="宋体" w:hAnsi="宋体" w:cs="FZSSK--GBK1-0"/>
                <w:color w:val="000000" w:themeColor="text1"/>
                <w:kern w:val="0"/>
                <w:sz w:val="18"/>
                <w:szCs w:val="18"/>
              </w:rPr>
              <w:t>；</w:t>
            </w:r>
          </w:p>
          <w:p>
            <w:pPr>
              <w:pStyle w:val="236"/>
              <w:widowControl/>
              <w:numPr>
                <w:ilvl w:val="0"/>
                <w:numId w:val="32"/>
              </w:numPr>
              <w:spacing w:line="240" w:lineRule="auto"/>
              <w:ind w:left="0" w:firstLine="0" w:firstLineChars="0"/>
              <w:rPr>
                <w:rFonts w:ascii="宋体" w:hAnsi="宋体"/>
                <w:color w:val="000000" w:themeColor="text1"/>
                <w:kern w:val="0"/>
                <w:sz w:val="18"/>
                <w:szCs w:val="18"/>
              </w:rPr>
            </w:pPr>
            <w:r>
              <w:rPr>
                <w:rFonts w:hint="eastAsia" w:ascii="宋体" w:hAnsi="宋体" w:cs="宋体"/>
                <w:color w:val="000000" w:themeColor="text1"/>
                <w:kern w:val="0"/>
                <w:sz w:val="18"/>
                <w:szCs w:val="18"/>
              </w:rPr>
              <w:t>4月～5</w:t>
            </w:r>
            <w:r>
              <w:rPr>
                <w:rFonts w:ascii="宋体" w:hAnsi="宋体" w:cs="FZSSK--GBK1-0"/>
                <w:color w:val="000000" w:themeColor="text1"/>
                <w:kern w:val="0"/>
                <w:sz w:val="18"/>
                <w:szCs w:val="18"/>
              </w:rPr>
              <w:t>月初进行化学药剂防治，如使用吡蚜酮和甲维盐、高效氯氰菊酯、功夫菊酯、异丙威、速灭威、螺虫乙酯等速效性杀虫剂或混合使用、高效氯氰菊酯、功夫菊酯、异丙威、速灭威、螺虫乙酯等速效性杀虫剂或混合使用</w:t>
            </w:r>
            <w:r>
              <w:rPr>
                <w:rFonts w:hint="eastAsia" w:ascii="宋体" w:hAnsi="宋体"/>
                <w:color w:val="000000" w:themeColor="text1"/>
                <w:kern w:val="0"/>
                <w:sz w:val="18"/>
                <w:szCs w:val="18"/>
              </w:rPr>
              <w:t>；</w:t>
            </w:r>
          </w:p>
          <w:p>
            <w:pPr>
              <w:pStyle w:val="236"/>
              <w:widowControl/>
              <w:numPr>
                <w:ilvl w:val="0"/>
                <w:numId w:val="32"/>
              </w:numPr>
              <w:spacing w:line="240" w:lineRule="auto"/>
              <w:ind w:left="0" w:firstLine="0" w:firstLineChars="0"/>
              <w:rPr>
                <w:rFonts w:ascii="宋体" w:hAnsi="宋体"/>
                <w:color w:val="000000" w:themeColor="text1"/>
                <w:sz w:val="18"/>
                <w:szCs w:val="18"/>
              </w:rPr>
            </w:pPr>
            <w:r>
              <w:rPr>
                <w:rFonts w:hint="eastAsia" w:ascii="宋体" w:hAnsi="宋体" w:cs="宋体"/>
                <w:color w:val="000000" w:themeColor="text1"/>
                <w:kern w:val="0"/>
                <w:sz w:val="18"/>
                <w:szCs w:val="18"/>
              </w:rPr>
              <w:t>10</w:t>
            </w:r>
            <w:r>
              <w:rPr>
                <w:rFonts w:hint="eastAsia" w:ascii="宋体" w:hAnsi="宋体"/>
                <w:color w:val="000000" w:themeColor="text1"/>
                <w:kern w:val="0"/>
                <w:sz w:val="18"/>
                <w:szCs w:val="18"/>
              </w:rPr>
              <w:t>月中下旬再喷一次高效药剂，减少越冬数量。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1" w:type="pct"/>
            <w:vAlign w:val="center"/>
          </w:tcPr>
          <w:p>
            <w:pPr>
              <w:spacing w:line="240" w:lineRule="auto"/>
              <w:jc w:val="center"/>
              <w:rPr>
                <w:rFonts w:ascii="宋体" w:hAnsi="宋体"/>
                <w:color w:val="000000" w:themeColor="text1"/>
                <w:sz w:val="18"/>
                <w:szCs w:val="18"/>
              </w:rPr>
            </w:pPr>
            <w:r>
              <w:rPr>
                <w:rFonts w:ascii="宋体" w:hAnsi="宋体"/>
                <w:color w:val="000000" w:themeColor="text1"/>
                <w:sz w:val="18"/>
                <w:szCs w:val="18"/>
              </w:rPr>
              <w:t>梨小</w:t>
            </w:r>
            <w:r>
              <w:rPr>
                <w:rFonts w:hint="eastAsia" w:ascii="宋体" w:hAnsi="宋体"/>
                <w:color w:val="000000" w:themeColor="text1"/>
                <w:sz w:val="18"/>
                <w:szCs w:val="18"/>
              </w:rPr>
              <w:t>食心虫</w:t>
            </w:r>
          </w:p>
        </w:tc>
        <w:tc>
          <w:tcPr>
            <w:tcW w:w="3758" w:type="pct"/>
            <w:vAlign w:val="center"/>
          </w:tcPr>
          <w:p>
            <w:pPr>
              <w:widowControl/>
              <w:spacing w:line="240" w:lineRule="auto"/>
              <w:rPr>
                <w:rFonts w:ascii="宋体" w:hAnsi="宋体"/>
                <w:color w:val="000000" w:themeColor="text1"/>
                <w:sz w:val="18"/>
                <w:szCs w:val="18"/>
              </w:rPr>
            </w:pPr>
            <w:r>
              <w:rPr>
                <w:rFonts w:ascii="宋体" w:hAnsi="宋体" w:cs="FZSSK--GBK1-0"/>
                <w:color w:val="000000" w:themeColor="text1"/>
                <w:kern w:val="0"/>
                <w:sz w:val="18"/>
                <w:szCs w:val="18"/>
              </w:rPr>
              <w:t>在成虫高峰期后</w:t>
            </w:r>
            <w:r>
              <w:rPr>
                <w:rFonts w:hint="eastAsia" w:ascii="宋体" w:hAnsi="宋体" w:cs="宋体"/>
                <w:color w:val="000000" w:themeColor="text1"/>
                <w:kern w:val="0"/>
                <w:sz w:val="18"/>
                <w:szCs w:val="18"/>
              </w:rPr>
              <w:t>3</w:t>
            </w:r>
            <w:r>
              <w:rPr>
                <w:rFonts w:hint="eastAsia" w:ascii="宋体" w:hAnsi="宋体"/>
                <w:color w:val="000000" w:themeColor="text1"/>
                <w:sz w:val="18"/>
                <w:szCs w:val="18"/>
                <w:vertAlign w:val="superscript"/>
              </w:rPr>
              <w:t xml:space="preserve"> </w:t>
            </w:r>
            <w:r>
              <w:rPr>
                <w:rFonts w:hint="eastAsia" w:ascii="宋体" w:hAnsi="宋体"/>
                <w:color w:val="000000" w:themeColor="text1"/>
                <w:sz w:val="18"/>
                <w:szCs w:val="18"/>
              </w:rPr>
              <w:t>d</w:t>
            </w:r>
            <w:r>
              <w:rPr>
                <w:rFonts w:hint="eastAsia" w:ascii="宋体" w:hAnsi="宋体" w:cs="宋体"/>
                <w:color w:val="000000" w:themeColor="text1"/>
                <w:kern w:val="0"/>
                <w:sz w:val="18"/>
                <w:szCs w:val="18"/>
              </w:rPr>
              <w:t xml:space="preserve"> ～5</w:t>
            </w:r>
            <w:r>
              <w:rPr>
                <w:rFonts w:hint="eastAsia" w:ascii="宋体" w:hAnsi="宋体"/>
                <w:color w:val="000000" w:themeColor="text1"/>
                <w:sz w:val="18"/>
                <w:szCs w:val="18"/>
                <w:vertAlign w:val="superscript"/>
              </w:rPr>
              <w:t xml:space="preserve"> </w:t>
            </w:r>
            <w:r>
              <w:rPr>
                <w:rFonts w:hint="eastAsia" w:ascii="宋体" w:hAnsi="宋体"/>
                <w:color w:val="000000" w:themeColor="text1"/>
                <w:sz w:val="18"/>
                <w:szCs w:val="18"/>
              </w:rPr>
              <w:t>d</w:t>
            </w:r>
            <w:r>
              <w:rPr>
                <w:rFonts w:ascii="宋体" w:hAnsi="宋体" w:cs="FZSSK--GBK1-0"/>
                <w:color w:val="000000" w:themeColor="text1"/>
                <w:kern w:val="0"/>
                <w:sz w:val="18"/>
                <w:szCs w:val="18"/>
              </w:rPr>
              <w:t>开始防治，药剂可选用</w:t>
            </w:r>
            <w:r>
              <w:rPr>
                <w:rFonts w:hint="eastAsia" w:ascii="宋体" w:hAnsi="宋体" w:cs="宋体"/>
                <w:color w:val="000000" w:themeColor="text1"/>
                <w:kern w:val="0"/>
                <w:sz w:val="18"/>
                <w:szCs w:val="18"/>
              </w:rPr>
              <w:t>1.8％</w:t>
            </w:r>
            <w:r>
              <w:rPr>
                <w:rFonts w:ascii="宋体" w:hAnsi="宋体" w:cs="FZSSK--GBK1-0"/>
                <w:color w:val="000000" w:themeColor="text1"/>
                <w:kern w:val="0"/>
                <w:sz w:val="18"/>
                <w:szCs w:val="18"/>
              </w:rPr>
              <w:t>阿维菌素乳油、</w:t>
            </w:r>
            <w:r>
              <w:rPr>
                <w:rFonts w:hint="eastAsia" w:ascii="宋体" w:hAnsi="宋体" w:cs="宋体"/>
                <w:color w:val="000000" w:themeColor="text1"/>
                <w:kern w:val="0"/>
                <w:sz w:val="18"/>
                <w:szCs w:val="18"/>
              </w:rPr>
              <w:t>2.5％</w:t>
            </w:r>
            <w:r>
              <w:rPr>
                <w:rFonts w:ascii="宋体" w:hAnsi="宋体" w:cs="FZSSK--GBK1-0"/>
                <w:color w:val="000000" w:themeColor="text1"/>
                <w:kern w:val="0"/>
                <w:sz w:val="18"/>
                <w:szCs w:val="18"/>
              </w:rPr>
              <w:t>高效氯氰菊酯、</w:t>
            </w:r>
            <w:r>
              <w:rPr>
                <w:rFonts w:hint="eastAsia" w:ascii="宋体" w:hAnsi="宋体" w:cs="宋体"/>
                <w:color w:val="000000" w:themeColor="text1"/>
                <w:kern w:val="0"/>
                <w:sz w:val="18"/>
                <w:szCs w:val="18"/>
              </w:rPr>
              <w:t>25％</w:t>
            </w:r>
            <w:r>
              <w:rPr>
                <w:rFonts w:ascii="宋体" w:hAnsi="宋体" w:cs="FZSSK--GBK1-0"/>
                <w:color w:val="000000" w:themeColor="text1"/>
                <w:kern w:val="0"/>
                <w:sz w:val="18"/>
                <w:szCs w:val="18"/>
              </w:rPr>
              <w:t>灭幼脲</w:t>
            </w:r>
            <w:r>
              <w:rPr>
                <w:rFonts w:hint="eastAsia" w:ascii="宋体" w:hAnsi="宋体" w:cs="宋体"/>
                <w:color w:val="000000" w:themeColor="text1"/>
                <w:kern w:val="0"/>
                <w:sz w:val="18"/>
                <w:szCs w:val="18"/>
              </w:rPr>
              <w:t>3</w:t>
            </w:r>
            <w:r>
              <w:rPr>
                <w:rFonts w:ascii="宋体" w:hAnsi="宋体" w:cs="FZSSK--GBK1-0"/>
                <w:color w:val="000000" w:themeColor="text1"/>
                <w:kern w:val="0"/>
                <w:sz w:val="18"/>
                <w:szCs w:val="18"/>
              </w:rPr>
              <w:t>号悬浮剂</w:t>
            </w:r>
            <w:r>
              <w:rPr>
                <w:rFonts w:hint="eastAsia" w:ascii="宋体" w:hAnsi="宋体" w:cs="FZSSK--GBK1-0"/>
                <w:color w:val="000000" w:themeColor="text1"/>
                <w:kern w:val="0"/>
                <w:sz w:val="18"/>
                <w:szCs w:val="18"/>
              </w:rPr>
              <w:t>和</w:t>
            </w:r>
            <w:r>
              <w:rPr>
                <w:rFonts w:hint="eastAsia" w:ascii="宋体" w:hAnsi="宋体" w:cs="宋体"/>
                <w:color w:val="000000" w:themeColor="text1"/>
                <w:kern w:val="0"/>
                <w:sz w:val="18"/>
                <w:szCs w:val="18"/>
              </w:rPr>
              <w:t>20％</w:t>
            </w:r>
            <w:r>
              <w:rPr>
                <w:rFonts w:ascii="宋体" w:hAnsi="宋体" w:cs="FZSSK--GBK1-0"/>
                <w:color w:val="000000" w:themeColor="text1"/>
                <w:kern w:val="0"/>
                <w:sz w:val="18"/>
                <w:szCs w:val="18"/>
              </w:rPr>
              <w:t>氟铃脲悬浮剂和</w:t>
            </w:r>
            <w:r>
              <w:rPr>
                <w:rFonts w:hint="eastAsia" w:ascii="宋体" w:hAnsi="宋体" w:cs="宋体"/>
                <w:color w:val="000000" w:themeColor="text1"/>
                <w:kern w:val="0"/>
                <w:sz w:val="18"/>
                <w:szCs w:val="18"/>
              </w:rPr>
              <w:t>Bt</w:t>
            </w:r>
            <w:r>
              <w:rPr>
                <w:rFonts w:ascii="宋体" w:hAnsi="宋体" w:cs="FZSSK--GBK1-0"/>
                <w:color w:val="000000" w:themeColor="text1"/>
                <w:kern w:val="0"/>
                <w:sz w:val="18"/>
                <w:szCs w:val="18"/>
              </w:rPr>
              <w:t>粉剂加溴氰菊酯。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41" w:type="pct"/>
            <w:vAlign w:val="center"/>
          </w:tcPr>
          <w:p>
            <w:pPr>
              <w:spacing w:line="240" w:lineRule="auto"/>
              <w:jc w:val="center"/>
              <w:rPr>
                <w:rFonts w:ascii="宋体" w:hAnsi="宋体"/>
                <w:color w:val="000000" w:themeColor="text1"/>
                <w:kern w:val="0"/>
                <w:sz w:val="18"/>
                <w:szCs w:val="18"/>
              </w:rPr>
            </w:pPr>
            <w:r>
              <w:rPr>
                <w:rFonts w:hint="eastAsia" w:ascii="宋体" w:hAnsi="宋体"/>
                <w:color w:val="000000" w:themeColor="text1"/>
                <w:sz w:val="18"/>
                <w:szCs w:val="18"/>
              </w:rPr>
              <w:t>吸汁夜蛾</w:t>
            </w:r>
          </w:p>
        </w:tc>
        <w:tc>
          <w:tcPr>
            <w:tcW w:w="3758" w:type="pct"/>
            <w:vAlign w:val="center"/>
          </w:tcPr>
          <w:p>
            <w:pPr>
              <w:pStyle w:val="233"/>
              <w:widowControl w:val="0"/>
              <w:ind w:firstLine="0" w:firstLineChars="0"/>
              <w:rPr>
                <w:rFonts w:hAnsi="宋体"/>
                <w:color w:val="000000" w:themeColor="text1"/>
                <w:sz w:val="18"/>
                <w:szCs w:val="18"/>
              </w:rPr>
            </w:pPr>
            <w:r>
              <w:rPr>
                <w:rFonts w:hint="eastAsia" w:hAnsi="宋体"/>
                <w:color w:val="000000" w:themeColor="text1"/>
                <w:sz w:val="18"/>
                <w:szCs w:val="18"/>
              </w:rPr>
              <w:t>8月下旬开始，树冠喷洒50</w:t>
            </w:r>
            <w:r>
              <w:rPr>
                <w:rFonts w:hint="eastAsia" w:hAnsi="宋体" w:cs="宋体"/>
                <w:color w:val="000000" w:themeColor="text1"/>
                <w:sz w:val="18"/>
                <w:szCs w:val="18"/>
              </w:rPr>
              <w:t>％</w:t>
            </w:r>
            <w:r>
              <w:rPr>
                <w:rFonts w:hint="eastAsia" w:hAnsi="宋体"/>
                <w:color w:val="000000" w:themeColor="text1"/>
                <w:sz w:val="18"/>
                <w:szCs w:val="18"/>
              </w:rPr>
              <w:t>丙溴磷1</w:t>
            </w:r>
            <w:r>
              <w:rPr>
                <w:rFonts w:hint="eastAsia" w:hAnsi="宋体"/>
                <w:color w:val="000000" w:themeColor="text1"/>
                <w:sz w:val="18"/>
                <w:szCs w:val="18"/>
                <w:vertAlign w:val="superscript"/>
              </w:rPr>
              <w:t xml:space="preserve"> </w:t>
            </w:r>
            <w:r>
              <w:rPr>
                <w:rFonts w:hint="eastAsia" w:hAnsi="宋体"/>
                <w:color w:val="000000" w:themeColor="text1"/>
                <w:sz w:val="18"/>
                <w:szCs w:val="18"/>
              </w:rPr>
              <w:t>000～1</w:t>
            </w:r>
            <w:r>
              <w:rPr>
                <w:rFonts w:hint="eastAsia" w:hAnsi="宋体"/>
                <w:color w:val="000000" w:themeColor="text1"/>
                <w:sz w:val="18"/>
                <w:szCs w:val="18"/>
                <w:vertAlign w:val="superscript"/>
              </w:rPr>
              <w:t xml:space="preserve"> </w:t>
            </w:r>
            <w:r>
              <w:rPr>
                <w:rFonts w:hint="eastAsia" w:hAnsi="宋体"/>
                <w:color w:val="000000" w:themeColor="text1"/>
                <w:sz w:val="18"/>
                <w:szCs w:val="18"/>
              </w:rPr>
              <w:t>500倍液或5.7</w:t>
            </w:r>
            <w:r>
              <w:rPr>
                <w:rFonts w:hint="eastAsia" w:hAnsi="宋体" w:cs="宋体"/>
                <w:color w:val="000000" w:themeColor="text1"/>
                <w:sz w:val="18"/>
                <w:szCs w:val="18"/>
              </w:rPr>
              <w:t>％</w:t>
            </w:r>
            <w:r>
              <w:rPr>
                <w:rFonts w:hint="eastAsia" w:hAnsi="宋体"/>
                <w:color w:val="000000" w:themeColor="text1"/>
                <w:sz w:val="18"/>
                <w:szCs w:val="18"/>
              </w:rPr>
              <w:t>氟氯氰菊酯1</w:t>
            </w:r>
            <w:r>
              <w:rPr>
                <w:rFonts w:hint="eastAsia" w:hAnsi="宋体"/>
                <w:color w:val="000000" w:themeColor="text1"/>
                <w:sz w:val="18"/>
                <w:szCs w:val="18"/>
                <w:vertAlign w:val="superscript"/>
              </w:rPr>
              <w:t xml:space="preserve"> </w:t>
            </w:r>
            <w:r>
              <w:rPr>
                <w:rFonts w:hint="eastAsia" w:hAnsi="宋体"/>
                <w:color w:val="000000" w:themeColor="text1"/>
                <w:sz w:val="18"/>
                <w:szCs w:val="18"/>
              </w:rPr>
              <w:t>500～2</w:t>
            </w:r>
            <w:r>
              <w:rPr>
                <w:rFonts w:hint="eastAsia" w:hAnsi="宋体"/>
                <w:color w:val="000000" w:themeColor="text1"/>
                <w:sz w:val="18"/>
                <w:szCs w:val="18"/>
                <w:vertAlign w:val="superscript"/>
              </w:rPr>
              <w:t xml:space="preserve"> </w:t>
            </w:r>
            <w:r>
              <w:rPr>
                <w:rFonts w:hint="eastAsia" w:hAnsi="宋体"/>
                <w:color w:val="000000" w:themeColor="text1"/>
                <w:sz w:val="18"/>
                <w:szCs w:val="18"/>
              </w:rPr>
              <w:t>000倍液防治。</w:t>
            </w:r>
          </w:p>
        </w:tc>
      </w:tr>
    </w:tbl>
    <w:p>
      <w:pPr>
        <w:pStyle w:val="57"/>
        <w:ind w:firstLine="420"/>
      </w:pPr>
    </w:p>
    <w:p>
      <w:pPr>
        <w:pStyle w:val="57"/>
        <w:ind w:firstLine="420"/>
      </w:pPr>
    </w:p>
    <w:p>
      <w:pPr>
        <w:pStyle w:val="57"/>
        <w:ind w:firstLine="420"/>
      </w:pPr>
    </w:p>
    <w:bookmarkEnd w:id="40"/>
    <w:p>
      <w:pPr>
        <w:pStyle w:val="57"/>
        <w:ind w:firstLine="0" w:firstLineChars="0"/>
        <w:jc w:val="center"/>
      </w:pPr>
      <w:bookmarkStart w:id="41"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cstate="print"/>
                    <a:stretch>
                      <a:fillRect/>
                    </a:stretch>
                  </pic:blipFill>
                  <pic:spPr>
                    <a:xfrm>
                      <a:off x="0" y="0"/>
                      <a:ext cx="1485900" cy="317500"/>
                    </a:xfrm>
                    <a:prstGeom prst="rect">
                      <a:avLst/>
                    </a:prstGeom>
                  </pic:spPr>
                </pic:pic>
              </a:graphicData>
            </a:graphic>
          </wp:inline>
        </w:drawing>
      </w:r>
      <w:bookmarkEnd w:id="41"/>
    </w:p>
    <w:sectPr>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T42">
    <w:altName w:val="宋体"/>
    <w:panose1 w:val="00000000000000000000"/>
    <w:charset w:val="86"/>
    <w:family w:val="swiss"/>
    <w:pitch w:val="default"/>
    <w:sig w:usb0="00000000" w:usb1="00000000" w:usb2="00000010" w:usb3="00000000" w:csb0="00040000" w:csb1="00000000"/>
  </w:font>
  <w:font w:name="FZSSK--GBK1-0">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T/GXAS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pStyle w:val="234"/>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002AD9"/>
    <w:multiLevelType w:val="multilevel"/>
    <w:tmpl w:val="55002AD9"/>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attachedTemplate r:id="rId1"/>
  <w:documentProtection w:edit="forms" w:enforcement="1" w:cryptProviderType="rsaAES" w:cryptAlgorithmClass="hash" w:cryptAlgorithmType="typeAny" w:cryptAlgorithmSid="14" w:cryptSpinCount="100000" w:hash="vjNlaAm9gwLRm7eUlRPzAG5olk9FskT/3qp2BFnc38hHAVnyneS/chES1CXDdyjm9tJPkHjLL6/2&#10;jU1+8cVbzg=====" w:salt="wOlhXDaNHSog3RUPA7NIg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C25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1E"/>
    <w:rsid w:val="0004249A"/>
    <w:rsid w:val="00043282"/>
    <w:rsid w:val="00044286"/>
    <w:rsid w:val="00047F28"/>
    <w:rsid w:val="000503AA"/>
    <w:rsid w:val="000506A1"/>
    <w:rsid w:val="000515DD"/>
    <w:rsid w:val="0005265A"/>
    <w:rsid w:val="000539DD"/>
    <w:rsid w:val="00053BD3"/>
    <w:rsid w:val="0005486B"/>
    <w:rsid w:val="000556ED"/>
    <w:rsid w:val="00055FE2"/>
    <w:rsid w:val="0005616F"/>
    <w:rsid w:val="00060C2E"/>
    <w:rsid w:val="00061033"/>
    <w:rsid w:val="0006181A"/>
    <w:rsid w:val="000619E9"/>
    <w:rsid w:val="000622D4"/>
    <w:rsid w:val="0006357D"/>
    <w:rsid w:val="00067F1E"/>
    <w:rsid w:val="00071CC0"/>
    <w:rsid w:val="00073C8C"/>
    <w:rsid w:val="0007667D"/>
    <w:rsid w:val="00077B64"/>
    <w:rsid w:val="00080A1C"/>
    <w:rsid w:val="00082317"/>
    <w:rsid w:val="00083D2C"/>
    <w:rsid w:val="00084EB2"/>
    <w:rsid w:val="00086AA1"/>
    <w:rsid w:val="00087A77"/>
    <w:rsid w:val="00090CA6"/>
    <w:rsid w:val="0009292A"/>
    <w:rsid w:val="00092B8A"/>
    <w:rsid w:val="00092FB0"/>
    <w:rsid w:val="000934C5"/>
    <w:rsid w:val="00093D25"/>
    <w:rsid w:val="00093DAB"/>
    <w:rsid w:val="00094D73"/>
    <w:rsid w:val="00096164"/>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5E2F"/>
    <w:rsid w:val="000C6362"/>
    <w:rsid w:val="000C7666"/>
    <w:rsid w:val="000D0A9C"/>
    <w:rsid w:val="000D1795"/>
    <w:rsid w:val="000D329A"/>
    <w:rsid w:val="000D4B9C"/>
    <w:rsid w:val="000D4EB6"/>
    <w:rsid w:val="000D5724"/>
    <w:rsid w:val="000D753B"/>
    <w:rsid w:val="000E4C9E"/>
    <w:rsid w:val="000E6FD7"/>
    <w:rsid w:val="000F06E1"/>
    <w:rsid w:val="000F0E3C"/>
    <w:rsid w:val="000F19D5"/>
    <w:rsid w:val="000F4AEA"/>
    <w:rsid w:val="000F67E9"/>
    <w:rsid w:val="0010131B"/>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0E9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A6B"/>
    <w:rsid w:val="00210B15"/>
    <w:rsid w:val="002142EA"/>
    <w:rsid w:val="002204BB"/>
    <w:rsid w:val="00221B79"/>
    <w:rsid w:val="00221C6B"/>
    <w:rsid w:val="0022420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47F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8E9"/>
    <w:rsid w:val="002E4D5A"/>
    <w:rsid w:val="002E6326"/>
    <w:rsid w:val="002F30E0"/>
    <w:rsid w:val="002F35E4"/>
    <w:rsid w:val="002F3730"/>
    <w:rsid w:val="002F38E1"/>
    <w:rsid w:val="002F7AF6"/>
    <w:rsid w:val="00300E63"/>
    <w:rsid w:val="00302F5F"/>
    <w:rsid w:val="0030441D"/>
    <w:rsid w:val="00306063"/>
    <w:rsid w:val="003111DB"/>
    <w:rsid w:val="00313B85"/>
    <w:rsid w:val="00317988"/>
    <w:rsid w:val="003214B7"/>
    <w:rsid w:val="003221B4"/>
    <w:rsid w:val="0032258D"/>
    <w:rsid w:val="00322E62"/>
    <w:rsid w:val="00324D13"/>
    <w:rsid w:val="00324EDD"/>
    <w:rsid w:val="00325D9E"/>
    <w:rsid w:val="00331E2D"/>
    <w:rsid w:val="003331E4"/>
    <w:rsid w:val="00336C64"/>
    <w:rsid w:val="00337162"/>
    <w:rsid w:val="0034194F"/>
    <w:rsid w:val="00344605"/>
    <w:rsid w:val="003474AA"/>
    <w:rsid w:val="00350D1D"/>
    <w:rsid w:val="00352C83"/>
    <w:rsid w:val="00352FEE"/>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429"/>
    <w:rsid w:val="00400E72"/>
    <w:rsid w:val="00401400"/>
    <w:rsid w:val="00404869"/>
    <w:rsid w:val="00405884"/>
    <w:rsid w:val="00407D39"/>
    <w:rsid w:val="0041477A"/>
    <w:rsid w:val="004167A3"/>
    <w:rsid w:val="0042335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4F2A"/>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DF4"/>
    <w:rsid w:val="004D7C42"/>
    <w:rsid w:val="004E0465"/>
    <w:rsid w:val="004E127B"/>
    <w:rsid w:val="004E1C0A"/>
    <w:rsid w:val="004E30C5"/>
    <w:rsid w:val="004E4AA5"/>
    <w:rsid w:val="004E4AEE"/>
    <w:rsid w:val="004E59E3"/>
    <w:rsid w:val="004E67C0"/>
    <w:rsid w:val="004F391A"/>
    <w:rsid w:val="004F3CFB"/>
    <w:rsid w:val="004F5DA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C0A"/>
    <w:rsid w:val="00533D04"/>
    <w:rsid w:val="00534804"/>
    <w:rsid w:val="00534BDF"/>
    <w:rsid w:val="005354EA"/>
    <w:rsid w:val="0053585F"/>
    <w:rsid w:val="00535EC4"/>
    <w:rsid w:val="00535ED9"/>
    <w:rsid w:val="0053692B"/>
    <w:rsid w:val="00541853"/>
    <w:rsid w:val="00543BDA"/>
    <w:rsid w:val="005441CC"/>
    <w:rsid w:val="005476C6"/>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0A42"/>
    <w:rsid w:val="00596160"/>
    <w:rsid w:val="005966E2"/>
    <w:rsid w:val="00597007"/>
    <w:rsid w:val="005A0966"/>
    <w:rsid w:val="005A11B7"/>
    <w:rsid w:val="005A260B"/>
    <w:rsid w:val="005A4A1B"/>
    <w:rsid w:val="005A4FD9"/>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0F72"/>
    <w:rsid w:val="00612952"/>
    <w:rsid w:val="00614CC1"/>
    <w:rsid w:val="00615A9D"/>
    <w:rsid w:val="0061723E"/>
    <w:rsid w:val="00617387"/>
    <w:rsid w:val="006205D6"/>
    <w:rsid w:val="006252D8"/>
    <w:rsid w:val="006259BC"/>
    <w:rsid w:val="0062636B"/>
    <w:rsid w:val="00632182"/>
    <w:rsid w:val="0063278D"/>
    <w:rsid w:val="00632AE0"/>
    <w:rsid w:val="00633C17"/>
    <w:rsid w:val="00634D9E"/>
    <w:rsid w:val="00636E3E"/>
    <w:rsid w:val="006379F7"/>
    <w:rsid w:val="00637E4D"/>
    <w:rsid w:val="00640620"/>
    <w:rsid w:val="00641A1F"/>
    <w:rsid w:val="00645904"/>
    <w:rsid w:val="0065141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31C"/>
    <w:rsid w:val="006D3E96"/>
    <w:rsid w:val="006D4515"/>
    <w:rsid w:val="006D4BB1"/>
    <w:rsid w:val="006D6593"/>
    <w:rsid w:val="006F03A8"/>
    <w:rsid w:val="006F2ACA"/>
    <w:rsid w:val="006F2ADC"/>
    <w:rsid w:val="006F2BFE"/>
    <w:rsid w:val="006F31E9"/>
    <w:rsid w:val="006F6284"/>
    <w:rsid w:val="007002C5"/>
    <w:rsid w:val="00703ABA"/>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BCC"/>
    <w:rsid w:val="007671CA"/>
    <w:rsid w:val="00767C61"/>
    <w:rsid w:val="0077008A"/>
    <w:rsid w:val="00773C1F"/>
    <w:rsid w:val="00774DA4"/>
    <w:rsid w:val="00776599"/>
    <w:rsid w:val="0078114B"/>
    <w:rsid w:val="00781A3A"/>
    <w:rsid w:val="00781DD2"/>
    <w:rsid w:val="00782A83"/>
    <w:rsid w:val="00783ECF"/>
    <w:rsid w:val="0078413A"/>
    <w:rsid w:val="007855C2"/>
    <w:rsid w:val="00792918"/>
    <w:rsid w:val="007959E8"/>
    <w:rsid w:val="00795E9C"/>
    <w:rsid w:val="007A0521"/>
    <w:rsid w:val="007A2E12"/>
    <w:rsid w:val="007A3475"/>
    <w:rsid w:val="007A41C8"/>
    <w:rsid w:val="007A54CE"/>
    <w:rsid w:val="007A6E5A"/>
    <w:rsid w:val="007A6FD9"/>
    <w:rsid w:val="007A7615"/>
    <w:rsid w:val="007A7FFA"/>
    <w:rsid w:val="007B04EB"/>
    <w:rsid w:val="007B0D4F"/>
    <w:rsid w:val="007B5A3D"/>
    <w:rsid w:val="007B5B95"/>
    <w:rsid w:val="007B68EA"/>
    <w:rsid w:val="007B7453"/>
    <w:rsid w:val="007B7EC0"/>
    <w:rsid w:val="007C2D89"/>
    <w:rsid w:val="007C4593"/>
    <w:rsid w:val="007C5309"/>
    <w:rsid w:val="007C6069"/>
    <w:rsid w:val="007D06C4"/>
    <w:rsid w:val="007D1352"/>
    <w:rsid w:val="007D2508"/>
    <w:rsid w:val="007D346A"/>
    <w:rsid w:val="007D6518"/>
    <w:rsid w:val="007D76BD"/>
    <w:rsid w:val="007E0BF1"/>
    <w:rsid w:val="007E3C43"/>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260"/>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C53"/>
    <w:rsid w:val="00853BF9"/>
    <w:rsid w:val="008603CE"/>
    <w:rsid w:val="008620FC"/>
    <w:rsid w:val="008627A5"/>
    <w:rsid w:val="00862D79"/>
    <w:rsid w:val="00863E05"/>
    <w:rsid w:val="00865ACA"/>
    <w:rsid w:val="00865D28"/>
    <w:rsid w:val="00865F85"/>
    <w:rsid w:val="00867C10"/>
    <w:rsid w:val="00870439"/>
    <w:rsid w:val="00870DA1"/>
    <w:rsid w:val="00883F93"/>
    <w:rsid w:val="00884DB3"/>
    <w:rsid w:val="00885A9D"/>
    <w:rsid w:val="008864F6"/>
    <w:rsid w:val="00887E6A"/>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45C"/>
    <w:rsid w:val="008D2D1D"/>
    <w:rsid w:val="008D3E73"/>
    <w:rsid w:val="008D453D"/>
    <w:rsid w:val="008D4B1C"/>
    <w:rsid w:val="008D53AD"/>
    <w:rsid w:val="008D562B"/>
    <w:rsid w:val="008D5733"/>
    <w:rsid w:val="008D622B"/>
    <w:rsid w:val="008D666C"/>
    <w:rsid w:val="008D7B54"/>
    <w:rsid w:val="008D7F6C"/>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601D"/>
    <w:rsid w:val="00977010"/>
    <w:rsid w:val="00977D02"/>
    <w:rsid w:val="009809BB"/>
    <w:rsid w:val="0098364B"/>
    <w:rsid w:val="009911AF"/>
    <w:rsid w:val="00991875"/>
    <w:rsid w:val="00991F92"/>
    <w:rsid w:val="00992985"/>
    <w:rsid w:val="00993889"/>
    <w:rsid w:val="0099544E"/>
    <w:rsid w:val="0099551B"/>
    <w:rsid w:val="00997BF1"/>
    <w:rsid w:val="009A089C"/>
    <w:rsid w:val="009A118E"/>
    <w:rsid w:val="009A21CD"/>
    <w:rsid w:val="009A278C"/>
    <w:rsid w:val="009A2BC2"/>
    <w:rsid w:val="009A42C1"/>
    <w:rsid w:val="009A5429"/>
    <w:rsid w:val="009A5849"/>
    <w:rsid w:val="009A72AD"/>
    <w:rsid w:val="009B09E0"/>
    <w:rsid w:val="009B0BC5"/>
    <w:rsid w:val="009B1247"/>
    <w:rsid w:val="009B6029"/>
    <w:rsid w:val="009B6971"/>
    <w:rsid w:val="009C2758"/>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7DE5"/>
    <w:rsid w:val="00A0096C"/>
    <w:rsid w:val="00A01757"/>
    <w:rsid w:val="00A028C0"/>
    <w:rsid w:val="00A02BAE"/>
    <w:rsid w:val="00A05B58"/>
    <w:rsid w:val="00A06A6B"/>
    <w:rsid w:val="00A07E47"/>
    <w:rsid w:val="00A129D0"/>
    <w:rsid w:val="00A12C33"/>
    <w:rsid w:val="00A138BA"/>
    <w:rsid w:val="00A14C8E"/>
    <w:rsid w:val="00A153D9"/>
    <w:rsid w:val="00A15F09"/>
    <w:rsid w:val="00A169B6"/>
    <w:rsid w:val="00A213BC"/>
    <w:rsid w:val="00A2271D"/>
    <w:rsid w:val="00A237D5"/>
    <w:rsid w:val="00A30EFC"/>
    <w:rsid w:val="00A31984"/>
    <w:rsid w:val="00A3205D"/>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A69"/>
    <w:rsid w:val="00A77CCB"/>
    <w:rsid w:val="00A83D8D"/>
    <w:rsid w:val="00A83F63"/>
    <w:rsid w:val="00A8446B"/>
    <w:rsid w:val="00A8473F"/>
    <w:rsid w:val="00A862D6"/>
    <w:rsid w:val="00A8715E"/>
    <w:rsid w:val="00A90E2D"/>
    <w:rsid w:val="00A9295B"/>
    <w:rsid w:val="00A93B09"/>
    <w:rsid w:val="00A952D7"/>
    <w:rsid w:val="00A963F7"/>
    <w:rsid w:val="00A96AD8"/>
    <w:rsid w:val="00AA052C"/>
    <w:rsid w:val="00AA1E45"/>
    <w:rsid w:val="00AA4286"/>
    <w:rsid w:val="00AA456B"/>
    <w:rsid w:val="00AA57F5"/>
    <w:rsid w:val="00AA672E"/>
    <w:rsid w:val="00AA6EC9"/>
    <w:rsid w:val="00AB0A98"/>
    <w:rsid w:val="00AB6309"/>
    <w:rsid w:val="00AB6C5F"/>
    <w:rsid w:val="00AB7129"/>
    <w:rsid w:val="00AC27A6"/>
    <w:rsid w:val="00AC30F7"/>
    <w:rsid w:val="00AC3A5A"/>
    <w:rsid w:val="00AC4D95"/>
    <w:rsid w:val="00AC516D"/>
    <w:rsid w:val="00AC5DF4"/>
    <w:rsid w:val="00AD0AEF"/>
    <w:rsid w:val="00AD11B7"/>
    <w:rsid w:val="00AD1A94"/>
    <w:rsid w:val="00AD1C05"/>
    <w:rsid w:val="00AD4126"/>
    <w:rsid w:val="00AD421C"/>
    <w:rsid w:val="00AD44FA"/>
    <w:rsid w:val="00AE070A"/>
    <w:rsid w:val="00AE101C"/>
    <w:rsid w:val="00AE2E8F"/>
    <w:rsid w:val="00AE37E5"/>
    <w:rsid w:val="00AE5EB4"/>
    <w:rsid w:val="00AF0C18"/>
    <w:rsid w:val="00AF47C5"/>
    <w:rsid w:val="00AF5398"/>
    <w:rsid w:val="00B03D8D"/>
    <w:rsid w:val="00B049AF"/>
    <w:rsid w:val="00B07242"/>
    <w:rsid w:val="00B10534"/>
    <w:rsid w:val="00B113DB"/>
    <w:rsid w:val="00B11D8A"/>
    <w:rsid w:val="00B12981"/>
    <w:rsid w:val="00B136A0"/>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B26"/>
    <w:rsid w:val="00B60ACF"/>
    <w:rsid w:val="00B61000"/>
    <w:rsid w:val="00B62B58"/>
    <w:rsid w:val="00B65149"/>
    <w:rsid w:val="00B66567"/>
    <w:rsid w:val="00B66F52"/>
    <w:rsid w:val="00B66FE5"/>
    <w:rsid w:val="00B71EB6"/>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3647"/>
    <w:rsid w:val="00BC5DC7"/>
    <w:rsid w:val="00BC6B8B"/>
    <w:rsid w:val="00BC73D8"/>
    <w:rsid w:val="00BD52D7"/>
    <w:rsid w:val="00BD5AD2"/>
    <w:rsid w:val="00BE22F3"/>
    <w:rsid w:val="00BE5B52"/>
    <w:rsid w:val="00BE7B8D"/>
    <w:rsid w:val="00BF0993"/>
    <w:rsid w:val="00BF10A9"/>
    <w:rsid w:val="00BF1703"/>
    <w:rsid w:val="00BF231C"/>
    <w:rsid w:val="00BF37F9"/>
    <w:rsid w:val="00BF51E5"/>
    <w:rsid w:val="00BF74A6"/>
    <w:rsid w:val="00C013AD"/>
    <w:rsid w:val="00C04904"/>
    <w:rsid w:val="00C056B3"/>
    <w:rsid w:val="00C103E5"/>
    <w:rsid w:val="00C13319"/>
    <w:rsid w:val="00C13EE9"/>
    <w:rsid w:val="00C2107B"/>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450"/>
    <w:rsid w:val="00C521D6"/>
    <w:rsid w:val="00C55232"/>
    <w:rsid w:val="00C553A4"/>
    <w:rsid w:val="00C55A06"/>
    <w:rsid w:val="00C55D03"/>
    <w:rsid w:val="00C57304"/>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BC9"/>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D70"/>
    <w:rsid w:val="00D4162B"/>
    <w:rsid w:val="00D43C5E"/>
    <w:rsid w:val="00D44051"/>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3811"/>
    <w:rsid w:val="00DC5B90"/>
    <w:rsid w:val="00DC70F6"/>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AEB"/>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7CB"/>
    <w:rsid w:val="00E44A83"/>
    <w:rsid w:val="00E45BBA"/>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E3C"/>
    <w:rsid w:val="00E822E8"/>
    <w:rsid w:val="00E82554"/>
    <w:rsid w:val="00E82606"/>
    <w:rsid w:val="00E845FB"/>
    <w:rsid w:val="00E846C8"/>
    <w:rsid w:val="00E84957"/>
    <w:rsid w:val="00E84A55"/>
    <w:rsid w:val="00E85BFF"/>
    <w:rsid w:val="00E90391"/>
    <w:rsid w:val="00E906C2"/>
    <w:rsid w:val="00E9311F"/>
    <w:rsid w:val="00E934D1"/>
    <w:rsid w:val="00E94AF0"/>
    <w:rsid w:val="00E95B96"/>
    <w:rsid w:val="00E95D13"/>
    <w:rsid w:val="00E95DD3"/>
    <w:rsid w:val="00E969D5"/>
    <w:rsid w:val="00EA58D1"/>
    <w:rsid w:val="00EA61BC"/>
    <w:rsid w:val="00EA681A"/>
    <w:rsid w:val="00EA735B"/>
    <w:rsid w:val="00EB001B"/>
    <w:rsid w:val="00EB1E69"/>
    <w:rsid w:val="00EB2086"/>
    <w:rsid w:val="00EB5EDF"/>
    <w:rsid w:val="00EB60FE"/>
    <w:rsid w:val="00EB74DB"/>
    <w:rsid w:val="00EC52C9"/>
    <w:rsid w:val="00EC5359"/>
    <w:rsid w:val="00EC562A"/>
    <w:rsid w:val="00ED067A"/>
    <w:rsid w:val="00ED2AD7"/>
    <w:rsid w:val="00ED2B50"/>
    <w:rsid w:val="00EE0350"/>
    <w:rsid w:val="00EE0719"/>
    <w:rsid w:val="00EE0E80"/>
    <w:rsid w:val="00EE613F"/>
    <w:rsid w:val="00EE7295"/>
    <w:rsid w:val="00EE7869"/>
    <w:rsid w:val="00EF054A"/>
    <w:rsid w:val="00EF3235"/>
    <w:rsid w:val="00EF7E72"/>
    <w:rsid w:val="00EF7EF8"/>
    <w:rsid w:val="00F06D37"/>
    <w:rsid w:val="00F07B9D"/>
    <w:rsid w:val="00F11586"/>
    <w:rsid w:val="00F1183B"/>
    <w:rsid w:val="00F11C9F"/>
    <w:rsid w:val="00F12263"/>
    <w:rsid w:val="00F1409D"/>
    <w:rsid w:val="00F14214"/>
    <w:rsid w:val="00F157A9"/>
    <w:rsid w:val="00F15F27"/>
    <w:rsid w:val="00F25BB6"/>
    <w:rsid w:val="00F26B7E"/>
    <w:rsid w:val="00F27A3B"/>
    <w:rsid w:val="00F33817"/>
    <w:rsid w:val="00F420D5"/>
    <w:rsid w:val="00F451EA"/>
    <w:rsid w:val="00F45447"/>
    <w:rsid w:val="00F456C6"/>
    <w:rsid w:val="00F4577B"/>
    <w:rsid w:val="00F46496"/>
    <w:rsid w:val="00F474D0"/>
    <w:rsid w:val="00F50179"/>
    <w:rsid w:val="00F515EE"/>
    <w:rsid w:val="00F5183B"/>
    <w:rsid w:val="00F56511"/>
    <w:rsid w:val="00F6194E"/>
    <w:rsid w:val="00F623AC"/>
    <w:rsid w:val="00F6412A"/>
    <w:rsid w:val="00F65893"/>
    <w:rsid w:val="00F66A4A"/>
    <w:rsid w:val="00F71E22"/>
    <w:rsid w:val="00F72142"/>
    <w:rsid w:val="00F72AE7"/>
    <w:rsid w:val="00F833BA"/>
    <w:rsid w:val="00F84FD0"/>
    <w:rsid w:val="00F859A8"/>
    <w:rsid w:val="00F86D87"/>
    <w:rsid w:val="00F90F17"/>
    <w:rsid w:val="00F9108B"/>
    <w:rsid w:val="00F91349"/>
    <w:rsid w:val="00F93A8A"/>
    <w:rsid w:val="00F95248"/>
    <w:rsid w:val="00F956A9"/>
    <w:rsid w:val="00F963ED"/>
    <w:rsid w:val="00F966CF"/>
    <w:rsid w:val="00F96CAE"/>
    <w:rsid w:val="00F9706D"/>
    <w:rsid w:val="00F97C99"/>
    <w:rsid w:val="00FA64C3"/>
    <w:rsid w:val="00FA662D"/>
    <w:rsid w:val="00FA73B1"/>
    <w:rsid w:val="00FB0CB9"/>
    <w:rsid w:val="00FB231D"/>
    <w:rsid w:val="00FB45F1"/>
    <w:rsid w:val="00FB4A72"/>
    <w:rsid w:val="00FB54E8"/>
    <w:rsid w:val="00FB7054"/>
    <w:rsid w:val="00FC17B7"/>
    <w:rsid w:val="00FC256D"/>
    <w:rsid w:val="00FC2CB7"/>
    <w:rsid w:val="00FC4090"/>
    <w:rsid w:val="00FC55B4"/>
    <w:rsid w:val="00FD00E6"/>
    <w:rsid w:val="00FD0482"/>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7E462E"/>
    <w:rsid w:val="0836249C"/>
    <w:rsid w:val="126E5BCE"/>
    <w:rsid w:val="15F304D9"/>
    <w:rsid w:val="16B51793"/>
    <w:rsid w:val="16D82272"/>
    <w:rsid w:val="18A05DFA"/>
    <w:rsid w:val="1CDA175F"/>
    <w:rsid w:val="23E33A0F"/>
    <w:rsid w:val="25B959C4"/>
    <w:rsid w:val="268A3DC2"/>
    <w:rsid w:val="27266C4F"/>
    <w:rsid w:val="2C2C379C"/>
    <w:rsid w:val="2C3633A9"/>
    <w:rsid w:val="2DC945B3"/>
    <w:rsid w:val="345D6D2C"/>
    <w:rsid w:val="369A421F"/>
    <w:rsid w:val="3959344A"/>
    <w:rsid w:val="41B26DF4"/>
    <w:rsid w:val="4573367D"/>
    <w:rsid w:val="47527A73"/>
    <w:rsid w:val="4AF35CDA"/>
    <w:rsid w:val="50D63797"/>
    <w:rsid w:val="5448617A"/>
    <w:rsid w:val="58757A0C"/>
    <w:rsid w:val="5C966A70"/>
    <w:rsid w:val="64AA4152"/>
    <w:rsid w:val="6A9348B1"/>
    <w:rsid w:val="6F946F9A"/>
    <w:rsid w:val="71653AE1"/>
    <w:rsid w:val="71D5632D"/>
    <w:rsid w:val="75905F3C"/>
    <w:rsid w:val="76AE7171"/>
    <w:rsid w:val="78D170D6"/>
    <w:rsid w:val="7CD74D80"/>
    <w:rsid w:val="7E6A3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 w:type="character" w:customStyle="1" w:styleId="232">
    <w:name w:val="段 Char"/>
    <w:basedOn w:val="29"/>
    <w:link w:val="233"/>
    <w:qFormat/>
    <w:uiPriority w:val="0"/>
    <w:rPr>
      <w:rFonts w:ascii="宋体"/>
      <w:sz w:val="21"/>
    </w:rPr>
  </w:style>
  <w:style w:type="paragraph" w:customStyle="1" w:styleId="233">
    <w:name w:val="段"/>
    <w:link w:val="232"/>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4">
    <w:name w:val="一级条标题"/>
    <w:next w:val="23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35">
    <w:name w:val="章标题"/>
    <w:next w:val="233"/>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paragraph" w:styleId="23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01A4B44D82D4817AFC1029F20F16D52"/>
        <w:style w:val=""/>
        <w:category>
          <w:name w:val="常规"/>
          <w:gallery w:val="placeholder"/>
        </w:category>
        <w:types>
          <w:type w:val="bbPlcHdr"/>
        </w:types>
        <w:behaviors>
          <w:behavior w:val="content"/>
        </w:behaviors>
        <w:description w:val=""/>
        <w:guid w:val="{22410001-9250-457E-AA9A-898B764B3A40}"/>
      </w:docPartPr>
      <w:docPartBody>
        <w:p>
          <w:pPr>
            <w:pStyle w:val="5"/>
          </w:pPr>
          <w:r>
            <w:rPr>
              <w:rStyle w:val="4"/>
              <w:rFonts w:hint="eastAsia"/>
            </w:rPr>
            <w:t>单击或点击此处输入文字。</w:t>
          </w:r>
        </w:p>
      </w:docPartBody>
    </w:docPart>
    <w:docPart>
      <w:docPartPr>
        <w:name w:val="BDA3DD91BF5141EF8101FF47E9F039E3"/>
        <w:style w:val=""/>
        <w:category>
          <w:name w:val="常规"/>
          <w:gallery w:val="placeholder"/>
        </w:category>
        <w:types>
          <w:type w:val="bbPlcHdr"/>
        </w:types>
        <w:behaviors>
          <w:behavior w:val="content"/>
        </w:behaviors>
        <w:description w:val=""/>
        <w:guid w:val="{3622B91B-9365-4FE1-A0A1-6AA6783EC1DB}"/>
      </w:docPartPr>
      <w:docPartBody>
        <w:p>
          <w:pPr>
            <w:pStyle w:val="6"/>
          </w:pPr>
          <w:r>
            <w:rPr>
              <w:rStyle w:val="4"/>
              <w:rFonts w:hint="eastAsia"/>
            </w:rPr>
            <w:t>选择一项。</w:t>
          </w:r>
        </w:p>
      </w:docPartBody>
    </w:docPart>
    <w:docPart>
      <w:docPartPr>
        <w:name w:val="1C7AD118125448A69E2D591952B54FF2"/>
        <w:style w:val=""/>
        <w:category>
          <w:name w:val="常规"/>
          <w:gallery w:val="placeholder"/>
        </w:category>
        <w:types>
          <w:type w:val="bbPlcHdr"/>
        </w:types>
        <w:behaviors>
          <w:behavior w:val="content"/>
        </w:behaviors>
        <w:description w:val=""/>
        <w:guid w:val="{3FD5E1F7-D1B7-4D3C-BC3A-763E96ACD4D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96AAB"/>
    <w:rsid w:val="00031CE4"/>
    <w:rsid w:val="00345F6A"/>
    <w:rsid w:val="00346AD5"/>
    <w:rsid w:val="00655DE4"/>
    <w:rsid w:val="00B405CA"/>
    <w:rsid w:val="00F95588"/>
    <w:rsid w:val="00F96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01A4B44D82D4817AFC1029F20F16D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DA3DD91BF5141EF8101FF47E9F039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C7AD118125448A69E2D591952B54FF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BE5A5D-3F78-4FAD-A522-3574ED07C040}">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559</Words>
  <Characters>3189</Characters>
  <Lines>26</Lines>
  <Paragraphs>7</Paragraphs>
  <TotalTime>1</TotalTime>
  <ScaleCrop>false</ScaleCrop>
  <LinksUpToDate>false</LinksUpToDate>
  <CharactersWithSpaces>3741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2020-11-24T07:10:00Z</dcterms:created>
  <dc:creator>Administrator</dc:creator>
  <dc:description>&lt;config cover="true" show_menu="true" version="1.0.0" doctype="SDKXY"&gt;_x000d_
&lt;/config&gt;</dc:description>
  <cp:lastModifiedBy>誰念誰川</cp:lastModifiedBy>
  <cp:lastPrinted>2020-08-30T10:00:00Z</cp:lastPrinted>
  <dcterms:modified xsi:type="dcterms:W3CDTF">2021-03-19T09:55:55Z</dcterms:modified>
  <dc:title>地方标准</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2052-11.1.0.10356</vt:lpwstr>
  </property>
  <property fmtid="{D5CDD505-2E9C-101B-9397-08002B2CF9AE}" pid="15" name="ICV">
    <vt:lpwstr>98F65D0D24A249008A1689A85F53AF27</vt:lpwstr>
  </property>
</Properties>
</file>