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41" w:name="_GoBack"/>
            <w:bookmarkEnd w:id="41"/>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16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pPr>
              <w:pStyle w:val="50"/>
              <w:framePr w:w="0" w:hRule="auto" w:wrap="auto" w:vAnchor="margin" w:hAnchor="text" w:xAlign="left" w:yAlign="inline"/>
              <w:rPr>
                <w:rFonts w:ascii="宋体" w:hAnsi="宋体"/>
                <w:sz w:val="28"/>
                <w:szCs w:val="28"/>
              </w:rPr>
            </w:pPr>
            <w:bookmarkStart w:id="2" w:name="_Hlk26473981"/>
            <w:r>
              <w:rPr>
                <w:rFonts w:hint="eastAsia"/>
              </w:rPr>
              <w:t>T</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团体标准</w:t>
      </w:r>
    </w:p>
    <w:bookmarkEnd w:id="2"/>
    <w:p>
      <w:pPr>
        <w:pStyle w:val="196"/>
        <w:framePr/>
      </w:pPr>
      <w:r>
        <w:rPr>
          <w:rFonts w:hint="eastAsia"/>
        </w:rPr>
        <w:t>T/</w:t>
      </w: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3+I8zYAAAADAEAAA8AAAAAAAAAAQAgAAAAIgAAAGRycy9k&#10;b3ducmV2LnhtbFBLAQIUABQAAAAIAIdO4kAiPcYDyQEAAF4DAAAOAAAAAAAAAAEAIAAAACcBAABk&#10;cnMvZTJvRG9jLnhtbFBLBQYAAAAABgAGAFkBAABiBQ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桂葡6号葡萄白粉病绿色防治技术规程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 xml:space="preserve">Technical </w:t>
      </w:r>
      <w:r>
        <w:rPr>
          <w:rFonts w:hint="eastAsia" w:ascii="黑体" w:hAnsi="黑体" w:eastAsia="黑体"/>
          <w:szCs w:val="28"/>
        </w:rPr>
        <w:t>code of practice</w:t>
      </w:r>
      <w:r>
        <w:rPr>
          <w:rFonts w:ascii="黑体" w:hAnsi="黑体" w:eastAsia="黑体"/>
          <w:szCs w:val="28"/>
        </w:rPr>
        <w:t xml:space="preserve"> </w:t>
      </w:r>
      <w:r>
        <w:rPr>
          <w:rFonts w:hint="eastAsia" w:ascii="黑体" w:hAnsi="黑体" w:eastAsia="黑体"/>
          <w:szCs w:val="28"/>
        </w:rPr>
        <w:t>for green prevention and control of powdery mildew of Guipu No.6 grape</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bookmarkStart w:id="10" w:name="下拉1"/>
      <w:r>
        <w:rPr>
          <w:rFonts w:hint="eastAsia"/>
          <w:sz w:val="24"/>
          <w:szCs w:val="28"/>
        </w:rPr>
        <w:t>征求意见稿</w:t>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94"/>
        <w:framePr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mp0YvXAAAADgEAAA8AAAAAAAAAAQAgAAAAIgAAAGRycy9kb3du&#10;cmV2LnhtbFBLAQIUABQAAAAIAIdO4kDwxhcxxwEAAFwDAAAOAAAAAAAAAAEAIAAAACYBAABkcnMv&#10;ZTJvRG9jLnhtbFBLBQYAAAAABgAGAFkBAABfBQAAAAA=&#10;">
                <v:fill on="f" focussize="0,0"/>
                <v:stroke color="#000000" joinstyle="round"/>
                <v:imagedata o:title=""/>
                <o:lock v:ext="edit" aspectratio="f"/>
                <w10:anchorlock/>
              </v:line>
            </w:pict>
          </mc:Fallback>
        </mc:AlternateContent>
      </w:r>
    </w:p>
    <w:p>
      <w:pPr>
        <w:pStyle w:val="90"/>
        <w:spacing w:after="468"/>
      </w:pPr>
      <w:bookmarkStart w:id="19"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本文件由广西壮族自治区农业科学院葡萄与葡萄酒研究所提出。</w:t>
      </w:r>
    </w:p>
    <w:p>
      <w:pPr>
        <w:pStyle w:val="57"/>
        <w:ind w:firstLine="420"/>
      </w:pPr>
      <w:r>
        <w:rPr>
          <w:rFonts w:hint="eastAsia"/>
        </w:rPr>
        <w:t>本文件起草单位：广西壮族自治区农业科学院葡萄与葡萄酒研究所、广西特色作物研究院。</w:t>
      </w:r>
    </w:p>
    <w:p>
      <w:pPr>
        <w:pStyle w:val="57"/>
        <w:ind w:firstLine="420"/>
      </w:pPr>
      <w:r>
        <w:rPr>
          <w:rFonts w:hint="eastAsia"/>
        </w:rPr>
        <w:t>本文件主要起草人：周思泓、李洪艳、谢太理、周咏梅、韦荣福、郭荣荣、宋雅琴、余欢、刘金标、陈爱军、林玲、成果、张劲、娄兵海、何建军、冯启艳、杨通管、李春燕。</w:t>
      </w:r>
    </w:p>
    <w:p>
      <w:pPr>
        <w:pStyle w:val="57"/>
        <w:ind w:firstLine="420"/>
        <w:sectPr>
          <w:headerReference r:id="rId7" w:type="default"/>
          <w:footerReference r:id="rId9" w:type="default"/>
          <w:headerReference r:id="rId8" w:type="even"/>
          <w:footerReference r:id="rId10" w:type="even"/>
          <w:pgSz w:w="11906" w:h="16838"/>
          <w:pgMar w:top="1871" w:right="1134" w:bottom="1134" w:left="1134" w:header="1418" w:footer="1134" w:gutter="284"/>
          <w:pgNumType w:fmt="upperRoman" w:start="1"/>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64626BA513BF41BDABCDF262B5E816D1"/>
        </w:placeholder>
      </w:sdtPr>
      <w:sdtContent>
        <w:p>
          <w:pPr>
            <w:pStyle w:val="178"/>
            <w:spacing w:before="312" w:beforeLines="100" w:after="686" w:afterLines="220"/>
          </w:pPr>
          <w:bookmarkStart w:id="21" w:name="NEW_STAND_NAME"/>
          <w:r>
            <w:rPr>
              <w:rFonts w:hint="eastAsia"/>
            </w:rPr>
            <w:t>桂葡</w:t>
          </w:r>
          <w:r>
            <w:t>6号葡萄白粉病绿色防治技术规程</w:t>
          </w:r>
        </w:p>
      </w:sdtContent>
    </w:sdt>
    <w:bookmarkEnd w:id="21"/>
    <w:p>
      <w:pPr>
        <w:pStyle w:val="105"/>
        <w:spacing w:before="312" w:after="312"/>
        <w:ind w:left="0"/>
      </w:pPr>
      <w:bookmarkStart w:id="22" w:name="_Toc26986530"/>
      <w:bookmarkStart w:id="23" w:name="_Toc26986771"/>
      <w:bookmarkStart w:id="24" w:name="_Toc17233333"/>
      <w:bookmarkStart w:id="25" w:name="_Toc24884218"/>
      <w:bookmarkStart w:id="26" w:name="_Toc26718930"/>
      <w:bookmarkStart w:id="27" w:name="_Toc24884211"/>
      <w:bookmarkStart w:id="28" w:name="_Toc26648465"/>
      <w:bookmarkStart w:id="29" w:name="_Toc17233325"/>
      <w:r>
        <w:rPr>
          <w:rFonts w:hint="eastAsia"/>
        </w:rPr>
        <w:t>范围</w:t>
      </w:r>
      <w:bookmarkEnd w:id="22"/>
      <w:bookmarkEnd w:id="23"/>
      <w:bookmarkEnd w:id="24"/>
      <w:bookmarkEnd w:id="25"/>
      <w:bookmarkEnd w:id="26"/>
      <w:bookmarkEnd w:id="27"/>
      <w:bookmarkEnd w:id="28"/>
      <w:bookmarkEnd w:id="29"/>
    </w:p>
    <w:p>
      <w:pPr>
        <w:pStyle w:val="57"/>
        <w:ind w:firstLine="420"/>
      </w:pPr>
      <w:bookmarkStart w:id="30" w:name="_Toc17233326"/>
      <w:bookmarkStart w:id="31" w:name="_Toc26648466"/>
      <w:bookmarkStart w:id="32" w:name="_Toc24884219"/>
      <w:bookmarkStart w:id="33" w:name="_Toc24884212"/>
      <w:bookmarkStart w:id="34" w:name="_Toc17233334"/>
      <w:r>
        <w:rPr>
          <w:rFonts w:hint="eastAsia"/>
        </w:rPr>
        <w:t>本文件规定了桂葡</w:t>
      </w:r>
      <w:r>
        <w:t>6号葡萄白粉病绿色防治</w:t>
      </w:r>
      <w:r>
        <w:rPr>
          <w:rFonts w:hint="eastAsia"/>
        </w:rPr>
        <w:t>的防治程序，规定了发病规律、发病症状、防控措施的操作指示。</w:t>
      </w:r>
    </w:p>
    <w:p>
      <w:pPr>
        <w:pStyle w:val="57"/>
        <w:ind w:firstLine="420"/>
      </w:pPr>
      <w:r>
        <w:rPr>
          <w:rFonts w:hint="eastAsia"/>
        </w:rPr>
        <w:t>本文件适用于广西行政区内北回归线以南地区的桂葡6号葡萄白粉病绿色防治。</w:t>
      </w:r>
    </w:p>
    <w:p>
      <w:pPr>
        <w:pStyle w:val="105"/>
        <w:spacing w:before="312" w:after="312"/>
        <w:ind w:left="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5084  农田灌溉水质标准</w:t>
      </w:r>
    </w:p>
    <w:p>
      <w:pPr>
        <w:pStyle w:val="57"/>
        <w:ind w:firstLine="420"/>
      </w:pPr>
      <w:r>
        <w:rPr>
          <w:rFonts w:hint="eastAsia"/>
        </w:rPr>
        <w:t>GB/T 8321（所有部分）  农药使用合理准则</w:t>
      </w:r>
    </w:p>
    <w:p>
      <w:pPr>
        <w:pStyle w:val="57"/>
        <w:ind w:firstLine="420"/>
      </w:pPr>
      <w:r>
        <w:rPr>
          <w:rFonts w:hint="eastAsia"/>
        </w:rPr>
        <w:t>NY/T 469  葡萄苗木</w:t>
      </w:r>
    </w:p>
    <w:p>
      <w:pPr>
        <w:pStyle w:val="57"/>
        <w:ind w:firstLine="420"/>
      </w:pPr>
      <w:r>
        <w:t>T/GXAS 171—2021</w:t>
      </w:r>
      <w:r>
        <w:rPr>
          <w:rFonts w:hint="eastAsia"/>
        </w:rPr>
        <w:t xml:space="preserve">  桂葡6号葡萄一年两收栽培技术规程</w:t>
      </w:r>
    </w:p>
    <w:p>
      <w:pPr>
        <w:pStyle w:val="105"/>
        <w:spacing w:before="312" w:after="312"/>
        <w:ind w:left="0"/>
      </w:pPr>
      <w:r>
        <w:rPr>
          <w:rFonts w:hint="eastAsia"/>
          <w:szCs w:val="21"/>
        </w:rPr>
        <w:t>术语和定义</w:t>
      </w:r>
    </w:p>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8" w:name="_Toc26986532"/>
          <w:bookmarkEnd w:id="38"/>
          <w:r>
            <w:rPr>
              <w:rFonts w:hint="eastAsia"/>
            </w:rPr>
            <w:t>T/GXAS 171—2021</w:t>
          </w:r>
          <w:r>
            <w:t>界定的以及下列术语和定义适用于本文件。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桂葡6号葡萄  Guipu No.6 grape</w:t>
      </w:r>
    </w:p>
    <w:p>
      <w:pPr>
        <w:pStyle w:val="57"/>
        <w:ind w:firstLine="420"/>
      </w:pPr>
      <w:r>
        <w:rPr>
          <w:rFonts w:hint="eastAsia"/>
        </w:rPr>
        <w:t>源于广西本地收集的野生资源，经驯化筛选出的丰产、优质、抗病性好，适宜酿酒的葡萄品系。</w:t>
      </w:r>
    </w:p>
    <w:p>
      <w:pPr>
        <w:pStyle w:val="57"/>
        <w:ind w:firstLine="420"/>
      </w:pPr>
      <w:r>
        <w:rPr>
          <w:rFonts w:hint="eastAsia"/>
        </w:rPr>
        <w:t>[来源：T/GXAS 171—2021，3.1]</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白粉病  </w:t>
      </w:r>
      <w:r>
        <w:rPr>
          <w:rFonts w:ascii="黑体" w:hAnsi="黑体" w:eastAsia="黑体"/>
        </w:rPr>
        <w:t>powdery mildew</w:t>
      </w:r>
    </w:p>
    <w:p>
      <w:pPr>
        <w:pStyle w:val="57"/>
        <w:ind w:firstLine="420"/>
      </w:pPr>
      <w:r>
        <w:rPr>
          <w:rFonts w:hint="eastAsia"/>
        </w:rPr>
        <w:t>由病原菌为</w:t>
      </w:r>
      <w:r>
        <w:rPr>
          <w:rFonts w:hint="eastAsia"/>
          <w:i/>
        </w:rPr>
        <w:t>Uncinula necator</w:t>
      </w:r>
      <w:r>
        <w:rPr>
          <w:rFonts w:hint="eastAsia"/>
        </w:rPr>
        <w:t>( Schw.) Burr.引起，为害葡萄叶、果、蔓等，影响叶片光合作用、导致果实酸度高、不能成熟。易造成裂果导致灰霉病、酸腐病等二次侵染。</w:t>
      </w:r>
    </w:p>
    <w:p>
      <w:pPr>
        <w:pStyle w:val="105"/>
        <w:spacing w:before="312" w:after="312"/>
        <w:ind w:left="0"/>
        <w:rPr>
          <w:rFonts w:eastAsia="宋体"/>
        </w:rPr>
      </w:pPr>
      <w:r>
        <w:rPr>
          <w:rFonts w:hint="eastAsia"/>
        </w:rPr>
        <w:t>发病规律</w:t>
      </w:r>
    </w:p>
    <w:p>
      <w:pPr>
        <w:numPr>
          <w:ilvl w:val="2"/>
          <w:numId w:val="3"/>
        </w:numPr>
        <w:spacing w:before="156" w:beforeLines="50" w:after="156" w:afterLines="50"/>
        <w:ind w:left="0"/>
        <w:outlineLvl w:val="1"/>
        <w:rPr>
          <w:rFonts w:ascii="黑体" w:hAnsi="Times New Roman" w:eastAsia="黑体"/>
        </w:rPr>
      </w:pPr>
      <w:r>
        <w:rPr>
          <w:rFonts w:hint="eastAsia" w:ascii="黑体" w:hAnsi="黑体" w:eastAsia="黑体"/>
        </w:rPr>
        <w:t>发病时期</w:t>
      </w:r>
    </w:p>
    <w:p>
      <w:pPr>
        <w:spacing w:line="240" w:lineRule="auto"/>
        <w:ind w:firstLine="420" w:firstLineChars="200"/>
        <w:rPr>
          <w:rFonts w:ascii="宋体" w:hAnsi="宋体"/>
        </w:rPr>
      </w:pPr>
      <w:r>
        <w:rPr>
          <w:rFonts w:hint="eastAsia" w:ascii="宋体" w:hAnsi="宋体"/>
        </w:rPr>
        <w:t>夏季果4月中下旬即进入发病期，5月～6月为发病盛期；冬季果10月上中旬进入发病期，11月～12月为发病盛期。</w:t>
      </w:r>
    </w:p>
    <w:p>
      <w:pPr>
        <w:pStyle w:val="106"/>
        <w:spacing w:before="156" w:after="156"/>
        <w:ind w:left="0"/>
      </w:pPr>
      <w:r>
        <w:rPr>
          <w:rFonts w:hint="eastAsia"/>
        </w:rPr>
        <w:t>传播途径</w:t>
      </w:r>
    </w:p>
    <w:p>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病原菌以菌丝体在被害组织内或芽鳞间越冬，第二年在适宜的环境条件下产生分生孢子，通过气流传播进行初侵染，初侵染发病后只要条件适宜，可产生大量分生孢子不断进行再侵染。</w:t>
      </w:r>
    </w:p>
    <w:p>
      <w:pPr>
        <w:pStyle w:val="106"/>
        <w:spacing w:before="156" w:after="156"/>
        <w:ind w:left="0"/>
      </w:pPr>
      <w:r>
        <w:rPr>
          <w:rFonts w:hint="eastAsia" w:hAnsi="黑体"/>
        </w:rPr>
        <w:t>适宜发生条件</w:t>
      </w:r>
    </w:p>
    <w:p>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叶面干燥、弱光照、气候温暖都有利于发病。湿度为40%～100%时适宜白粉病分生孢子萌发和侵入，温度20</w:t>
      </w:r>
      <w:r>
        <w:rPr>
          <w:rFonts w:hint="eastAsia" w:ascii="宋体" w:hAnsi="宋体"/>
          <w:kern w:val="0"/>
          <w:vertAlign w:val="subscript"/>
        </w:rPr>
        <w:t xml:space="preserve"> </w:t>
      </w:r>
      <w:r>
        <w:rPr>
          <w:rFonts w:hint="eastAsia" w:ascii="宋体" w:hAnsi="宋体"/>
          <w:kern w:val="0"/>
        </w:rPr>
        <w:t>℃～27</w:t>
      </w:r>
      <w:r>
        <w:rPr>
          <w:rFonts w:hint="eastAsia" w:ascii="宋体" w:hAnsi="宋体"/>
          <w:kern w:val="0"/>
          <w:vertAlign w:val="subscript"/>
        </w:rPr>
        <w:t xml:space="preserve"> </w:t>
      </w:r>
      <w:r>
        <w:rPr>
          <w:rFonts w:hint="eastAsia" w:ascii="宋体" w:hAnsi="宋体"/>
          <w:kern w:val="0"/>
        </w:rPr>
        <w:t>℃时最适宜病原菌侵染和病斑扩展，但在6</w:t>
      </w:r>
      <w:r>
        <w:rPr>
          <w:rFonts w:hint="eastAsia" w:ascii="宋体" w:hAnsi="宋体"/>
          <w:kern w:val="0"/>
          <w:vertAlign w:val="subscript"/>
        </w:rPr>
        <w:t xml:space="preserve"> </w:t>
      </w:r>
      <w:r>
        <w:rPr>
          <w:rFonts w:hint="eastAsia" w:ascii="宋体" w:hAnsi="宋体"/>
          <w:kern w:val="0"/>
        </w:rPr>
        <w:t>℃～32</w:t>
      </w:r>
      <w:r>
        <w:rPr>
          <w:rFonts w:hint="eastAsia" w:ascii="宋体" w:hAnsi="宋体"/>
          <w:kern w:val="0"/>
          <w:vertAlign w:val="subscript"/>
        </w:rPr>
        <w:t xml:space="preserve"> </w:t>
      </w:r>
      <w:r>
        <w:rPr>
          <w:rFonts w:hint="eastAsia" w:ascii="宋体" w:hAnsi="宋体"/>
          <w:kern w:val="0"/>
        </w:rPr>
        <w:t>℃时，病原菌均可生长。超过35</w:t>
      </w:r>
      <w:r>
        <w:rPr>
          <w:rFonts w:hint="eastAsia" w:ascii="宋体" w:hAnsi="宋体"/>
          <w:kern w:val="0"/>
          <w:vertAlign w:val="subscript"/>
        </w:rPr>
        <w:t xml:space="preserve"> </w:t>
      </w:r>
      <w:r>
        <w:rPr>
          <w:rFonts w:hint="eastAsia" w:ascii="宋体" w:hAnsi="宋体"/>
          <w:kern w:val="0"/>
        </w:rPr>
        <w:t>℃的高温会抑制白粉病的发生和流行。</w:t>
      </w:r>
    </w:p>
    <w:p>
      <w:pPr>
        <w:pStyle w:val="105"/>
        <w:spacing w:before="312" w:after="312"/>
        <w:ind w:left="0"/>
      </w:pPr>
      <w:r>
        <w:rPr>
          <w:rFonts w:hint="eastAsia"/>
        </w:rPr>
        <w:t>发病症状</w:t>
      </w:r>
    </w:p>
    <w:p>
      <w:pPr>
        <w:pStyle w:val="163"/>
        <w:ind w:left="0"/>
      </w:pPr>
      <w:r>
        <w:rPr>
          <w:rFonts w:hint="eastAsia"/>
        </w:rPr>
        <w:t>侵染叶片时最初在叶片正面面产生细小、淡白色的斑点，以后逐渐扩大形成灰白色粉末状，病斑中心形成黑色坏死斑后病斑不再扩大。极少叶片感病后会蔓延到整个叶片，但感病叶片较正常叶片早衰。</w:t>
      </w:r>
    </w:p>
    <w:p>
      <w:pPr>
        <w:pStyle w:val="163"/>
        <w:ind w:left="0"/>
      </w:pPr>
      <w:r>
        <w:rPr>
          <w:rFonts w:hint="eastAsia"/>
        </w:rPr>
        <w:t>侵染果粒时在果面产生粉状霉层，去掉霉层后，果面有褐色斑纹，果实发育减缓、硬化。</w:t>
      </w:r>
    </w:p>
    <w:p>
      <w:pPr>
        <w:pStyle w:val="105"/>
        <w:spacing w:before="312" w:after="312"/>
        <w:ind w:left="-2" w:leftChars="-1"/>
      </w:pPr>
      <w:r>
        <w:rPr>
          <w:rFonts w:hint="eastAsia"/>
        </w:rPr>
        <w:t>防治措施</w:t>
      </w:r>
    </w:p>
    <w:p>
      <w:pPr>
        <w:pStyle w:val="106"/>
        <w:spacing w:before="156" w:after="156"/>
        <w:ind w:left="0"/>
      </w:pPr>
      <w:r>
        <w:rPr>
          <w:rFonts w:hint="eastAsia"/>
        </w:rPr>
        <w:t>苗木选择</w:t>
      </w:r>
    </w:p>
    <w:p>
      <w:pPr>
        <w:pStyle w:val="57"/>
        <w:ind w:firstLine="420"/>
        <w:rPr>
          <w:rFonts w:hAnsi="Calibri"/>
        </w:rPr>
      </w:pPr>
      <w:r>
        <w:rPr>
          <w:rFonts w:hint="eastAsia"/>
          <w:szCs w:val="21"/>
        </w:rPr>
        <w:t>宜选择根系发达、生长健壮、无病虫害的健康</w:t>
      </w:r>
      <w:r>
        <w:rPr>
          <w:rFonts w:hint="eastAsia"/>
        </w:rPr>
        <w:t>苗木，苗木质量应符合</w:t>
      </w:r>
      <w:r>
        <w:rPr>
          <w:rFonts w:hint="eastAsia" w:cs="Calibri"/>
        </w:rPr>
        <w:t>NY/T 469</w:t>
      </w:r>
      <w:r>
        <w:rPr>
          <w:rFonts w:hint="eastAsia"/>
        </w:rPr>
        <w:t>规定。</w:t>
      </w:r>
    </w:p>
    <w:p>
      <w:pPr>
        <w:pStyle w:val="106"/>
        <w:spacing w:before="156" w:after="156"/>
        <w:ind w:left="0"/>
      </w:pPr>
      <w:r>
        <w:rPr>
          <w:rFonts w:hint="eastAsia"/>
        </w:rPr>
        <w:t>合理密植</w:t>
      </w:r>
    </w:p>
    <w:p>
      <w:pPr>
        <w:pStyle w:val="57"/>
        <w:ind w:firstLine="420"/>
      </w:pPr>
      <w:r>
        <w:rPr>
          <w:rFonts w:hint="eastAsia"/>
        </w:rPr>
        <w:t>每667</w:t>
      </w:r>
      <w:r>
        <w:rPr>
          <w:rFonts w:hint="eastAsia"/>
          <w:vertAlign w:val="subscript"/>
        </w:rPr>
        <w:t xml:space="preserve"> </w:t>
      </w:r>
      <w:r>
        <w:rPr>
          <w:rFonts w:hint="eastAsia"/>
        </w:rPr>
        <w:t>m²栽种70～110株，株行距为3</w:t>
      </w:r>
      <w:r>
        <w:rPr>
          <w:rFonts w:hint="eastAsia"/>
          <w:vertAlign w:val="subscript"/>
        </w:rPr>
        <w:t xml:space="preserve"> </w:t>
      </w:r>
      <w:r>
        <w:rPr>
          <w:rFonts w:hint="eastAsia"/>
        </w:rPr>
        <w:t>m×3</w:t>
      </w:r>
      <w:r>
        <w:rPr>
          <w:rFonts w:hint="eastAsia"/>
          <w:vertAlign w:val="superscript"/>
        </w:rPr>
        <w:t xml:space="preserve"> </w:t>
      </w:r>
      <w:r>
        <w:rPr>
          <w:rFonts w:hint="eastAsia"/>
        </w:rPr>
        <w:t>m或3</w:t>
      </w:r>
      <w:r>
        <w:rPr>
          <w:rFonts w:hint="eastAsia"/>
          <w:vertAlign w:val="superscript"/>
        </w:rPr>
        <w:t xml:space="preserve"> </w:t>
      </w:r>
      <w:r>
        <w:rPr>
          <w:rFonts w:hint="eastAsia"/>
        </w:rPr>
        <w:t>m×2</w:t>
      </w:r>
      <w:r>
        <w:rPr>
          <w:rFonts w:hint="eastAsia"/>
          <w:vertAlign w:val="superscript"/>
        </w:rPr>
        <w:t xml:space="preserve"> </w:t>
      </w:r>
      <w:r>
        <w:rPr>
          <w:rFonts w:hint="eastAsia"/>
        </w:rPr>
        <w:t>m。</w:t>
      </w:r>
    </w:p>
    <w:p>
      <w:pPr>
        <w:pStyle w:val="66"/>
        <w:spacing w:before="156" w:after="156"/>
      </w:pPr>
      <w:r>
        <w:rPr>
          <w:rFonts w:hint="eastAsia"/>
        </w:rPr>
        <w:t>水分管理</w:t>
      </w:r>
    </w:p>
    <w:p>
      <w:pPr>
        <w:pStyle w:val="57"/>
        <w:ind w:firstLine="420"/>
      </w:pPr>
      <w:r>
        <w:rPr>
          <w:rFonts w:hint="eastAsia"/>
        </w:rPr>
        <w:t>两季果栽培管理期间均在萌芽期、始花前后、果实膨大期结合施肥灌水，转色至成熟期严格控制灌水，使土壤保持干燥。种植期间注意排水防渍，水质应符合GB/T 5084的规定。</w:t>
      </w:r>
    </w:p>
    <w:p>
      <w:pPr>
        <w:pStyle w:val="106"/>
        <w:spacing w:before="156" w:after="156"/>
        <w:ind w:left="0"/>
      </w:pPr>
      <w:r>
        <w:rPr>
          <w:rFonts w:hint="eastAsia"/>
        </w:rPr>
        <w:t>植株管理</w:t>
      </w:r>
    </w:p>
    <w:p>
      <w:pPr>
        <w:pStyle w:val="166"/>
      </w:pPr>
      <w:r>
        <w:rPr>
          <w:rFonts w:hint="eastAsia"/>
        </w:rPr>
        <w:t>葡萄发芽后，根据田间情况及时进行绑蔓、疏花、疏果、摘心，剪除卷须。枝梢管理参照</w:t>
      </w:r>
      <w:r>
        <w:t>T/GXAS 171</w:t>
      </w:r>
      <w:r>
        <w:rPr>
          <w:rFonts w:hint="eastAsia"/>
        </w:rPr>
        <w:t>的要求执行。</w:t>
      </w:r>
    </w:p>
    <w:p>
      <w:pPr>
        <w:pStyle w:val="166"/>
      </w:pPr>
      <w:r>
        <w:rPr>
          <w:rFonts w:hint="eastAsia"/>
        </w:rPr>
        <w:t>果实转色期可在果穗周围适当采取摘叶处理。</w:t>
      </w:r>
    </w:p>
    <w:p>
      <w:pPr>
        <w:pStyle w:val="166"/>
      </w:pPr>
      <w:r>
        <w:rPr>
          <w:rFonts w:hint="eastAsia"/>
        </w:rPr>
        <w:t>夏季果采收后及时修剪，清除病枝病叶，并带离园区集中销毁。</w:t>
      </w:r>
    </w:p>
    <w:p>
      <w:pPr>
        <w:pStyle w:val="166"/>
      </w:pPr>
      <w:r>
        <w:rPr>
          <w:rFonts w:hint="eastAsia"/>
        </w:rPr>
        <w:t>冬季果采收后，剪除病枝，进行全园深翻，清除杂草，并带离园区集中进行无害化处理。</w:t>
      </w:r>
    </w:p>
    <w:p>
      <w:pPr>
        <w:pStyle w:val="106"/>
        <w:spacing w:before="156" w:after="156"/>
        <w:ind w:left="0"/>
      </w:pPr>
      <w:r>
        <w:rPr>
          <w:rFonts w:hint="eastAsia"/>
        </w:rPr>
        <w:t>药剂防治</w:t>
      </w:r>
    </w:p>
    <w:p>
      <w:pPr>
        <w:pStyle w:val="233"/>
      </w:pPr>
      <w:r>
        <w:rPr>
          <w:rFonts w:hint="eastAsia"/>
        </w:rPr>
        <w:t>选用高效安全药剂，不同类型药剂应交替使用或混合使用。农药使用应符合GB/T 8321(所有部分)、NY/T 393的规定。推荐防治方法及药剂参见附录A。</w:t>
      </w:r>
    </w:p>
    <w:p>
      <w:pPr>
        <w:pStyle w:val="57"/>
        <w:ind w:firstLine="420"/>
        <w:rPr>
          <w:color w:val="FF0000"/>
        </w:rPr>
        <w:sectPr>
          <w:headerReference r:id="rId11" w:type="default"/>
          <w:footerReference r:id="rId13" w:type="default"/>
          <w:headerReference r:id="rId12" w:type="even"/>
          <w:footerReference r:id="rId14" w:type="even"/>
          <w:pgSz w:w="11906" w:h="16838"/>
          <w:pgMar w:top="1871" w:right="1134" w:bottom="1134" w:left="1134" w:header="1418" w:footer="1134" w:gutter="284"/>
          <w:pgNumType w:start="1"/>
          <w:cols w:space="425" w:num="1"/>
          <w:formProt w:val="0"/>
          <w:docGrid w:type="lines" w:linePitch="312" w:charSpace="0"/>
        </w:sectPr>
      </w:pPr>
    </w:p>
    <w:bookmarkEnd w:id="20"/>
    <w:p>
      <w:pPr>
        <w:pStyle w:val="199"/>
      </w:pPr>
      <w:bookmarkStart w:id="39" w:name="BookMark5"/>
    </w:p>
    <w:p>
      <w:pPr>
        <w:pStyle w:val="200"/>
      </w:pPr>
    </w:p>
    <w:p>
      <w:pPr>
        <w:pStyle w:val="199"/>
      </w:pPr>
    </w:p>
    <w:p>
      <w:pPr>
        <w:pStyle w:val="200"/>
      </w:pPr>
    </w:p>
    <w:p>
      <w:pPr>
        <w:pStyle w:val="77"/>
        <w:spacing w:before="78" w:after="156"/>
      </w:pPr>
      <w:r>
        <w:br w:type="textWrapping"/>
      </w:r>
      <w:r>
        <w:rPr>
          <w:rFonts w:hint="eastAsia"/>
        </w:rPr>
        <w:t>（资料性）</w:t>
      </w:r>
      <w:r>
        <w:br w:type="textWrapping"/>
      </w:r>
      <w:r>
        <w:rPr>
          <w:rFonts w:hint="eastAsia"/>
        </w:rPr>
        <w:t>推荐防治方法及药剂</w:t>
      </w:r>
    </w:p>
    <w:p>
      <w:pPr>
        <w:pStyle w:val="57"/>
        <w:ind w:firstLine="420"/>
      </w:pPr>
      <w:r>
        <w:rPr>
          <w:rFonts w:hint="eastAsia"/>
        </w:rPr>
        <w:t>推荐防治方法及药剂见表A.1。</w:t>
      </w:r>
    </w:p>
    <w:p>
      <w:pPr>
        <w:pStyle w:val="78"/>
        <w:numPr>
          <w:ilvl w:val="0"/>
          <w:numId w:val="0"/>
        </w:numPr>
        <w:spacing w:before="156" w:after="156"/>
        <w:ind w:left="420"/>
        <w:rPr>
          <w:color w:val="FF0000"/>
        </w:rPr>
      </w:pPr>
      <w:r>
        <w:rPr>
          <w:rFonts w:hint="eastAsia"/>
        </w:rPr>
        <w:t>表A.1  推荐防治方法及药剂</w:t>
      </w:r>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96"/>
        <w:gridCol w:w="1398"/>
        <w:gridCol w:w="2349"/>
        <w:gridCol w:w="4477"/>
        <w:gridCol w:w="9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38" w:type="pct"/>
            <w:gridSpan w:val="2"/>
            <w:tcBorders>
              <w:bottom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防治时期</w:t>
            </w:r>
          </w:p>
        </w:tc>
        <w:tc>
          <w:tcPr>
            <w:tcW w:w="1228" w:type="pct"/>
            <w:tcBorders>
              <w:bottom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使用药剂</w:t>
            </w:r>
          </w:p>
        </w:tc>
        <w:tc>
          <w:tcPr>
            <w:tcW w:w="2832" w:type="pct"/>
            <w:gridSpan w:val="2"/>
            <w:tcBorders>
              <w:bottom w:val="single" w:color="auto" w:sz="8" w:space="0"/>
            </w:tcBorders>
          </w:tcPr>
          <w:p>
            <w:pPr>
              <w:adjustRightInd/>
              <w:spacing w:line="240" w:lineRule="auto"/>
              <w:jc w:val="center"/>
              <w:rPr>
                <w:rFonts w:ascii="宋体" w:hAnsi="宋体" w:cs="宋体"/>
                <w:sz w:val="18"/>
                <w:szCs w:val="18"/>
              </w:rPr>
            </w:pPr>
            <w:r>
              <w:rPr>
                <w:rFonts w:hint="eastAsia" w:ascii="宋体" w:hAnsi="宋体" w:cs="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restart"/>
            <w:tcBorders>
              <w:top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夏季果</w:t>
            </w:r>
          </w:p>
        </w:tc>
        <w:tc>
          <w:tcPr>
            <w:tcW w:w="731" w:type="pct"/>
            <w:tcBorders>
              <w:top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萌芽前</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（2月中下旬）</w:t>
            </w:r>
          </w:p>
        </w:tc>
        <w:tc>
          <w:tcPr>
            <w:tcW w:w="1228" w:type="pct"/>
            <w:tcBorders>
              <w:top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29%石硫合剂水剂（7～12倍液）</w:t>
            </w:r>
          </w:p>
        </w:tc>
        <w:tc>
          <w:tcPr>
            <w:tcW w:w="2341" w:type="pct"/>
            <w:tcBorders>
              <w:top w:val="single" w:color="auto" w:sz="8" w:space="0"/>
            </w:tcBorders>
            <w:vAlign w:val="center"/>
          </w:tcPr>
          <w:p>
            <w:pPr>
              <w:adjustRightInd/>
              <w:spacing w:line="240" w:lineRule="auto"/>
              <w:rPr>
                <w:rFonts w:ascii="宋体" w:hAnsi="宋体" w:cs="宋体"/>
                <w:kern w:val="0"/>
                <w:sz w:val="18"/>
                <w:szCs w:val="18"/>
              </w:rPr>
            </w:pPr>
            <w:r>
              <w:rPr>
                <w:rFonts w:hint="eastAsia" w:ascii="宋体" w:hAnsi="宋体" w:cs="宋体"/>
                <w:kern w:val="0"/>
                <w:sz w:val="18"/>
                <w:szCs w:val="18"/>
              </w:rPr>
              <w:t>清园使用。</w:t>
            </w:r>
          </w:p>
        </w:tc>
        <w:tc>
          <w:tcPr>
            <w:tcW w:w="491" w:type="pct"/>
            <w:vMerge w:val="restart"/>
            <w:tcBorders>
              <w:top w:val="single" w:color="auto" w:sz="8" w:space="0"/>
            </w:tcBorders>
            <w:vAlign w:val="center"/>
          </w:tcPr>
          <w:p>
            <w:pPr>
              <w:adjustRightInd/>
              <w:spacing w:line="240" w:lineRule="auto"/>
              <w:rPr>
                <w:rFonts w:ascii="宋体" w:hAnsi="宋体" w:cs="宋体"/>
                <w:sz w:val="18"/>
                <w:szCs w:val="18"/>
              </w:rPr>
            </w:pPr>
            <w:r>
              <w:rPr>
                <w:rFonts w:hint="eastAsia" w:ascii="宋体" w:hAnsi="宋体" w:cs="宋体"/>
                <w:kern w:val="0"/>
                <w:sz w:val="18"/>
                <w:szCs w:val="18"/>
              </w:rPr>
              <w:t>一般每个防治时期按推荐药剂方案使用1次即可，个别年份可根据白粉病发生情况酌情增减药剂使用次数。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spacing w:line="240" w:lineRule="auto"/>
              <w:jc w:val="center"/>
              <w:rPr>
                <w:rFonts w:ascii="宋体" w:hAnsi="宋体" w:cs="宋体"/>
                <w:kern w:val="0"/>
                <w:sz w:val="18"/>
                <w:szCs w:val="18"/>
              </w:rPr>
            </w:pPr>
          </w:p>
        </w:tc>
        <w:tc>
          <w:tcPr>
            <w:tcW w:w="731" w:type="pct"/>
            <w:vAlign w:val="center"/>
          </w:tcPr>
          <w:p>
            <w:pPr>
              <w:spacing w:line="240" w:lineRule="auto"/>
              <w:jc w:val="center"/>
              <w:rPr>
                <w:rFonts w:ascii="宋体" w:hAnsi="宋体" w:cs="宋体"/>
                <w:kern w:val="0"/>
                <w:sz w:val="18"/>
                <w:szCs w:val="18"/>
              </w:rPr>
            </w:pPr>
            <w:r>
              <w:rPr>
                <w:rFonts w:hint="eastAsia" w:ascii="宋体" w:hAnsi="宋体" w:cs="宋体"/>
                <w:kern w:val="0"/>
                <w:sz w:val="18"/>
                <w:szCs w:val="18"/>
              </w:rPr>
              <w:t>花后</w:t>
            </w:r>
          </w:p>
          <w:p>
            <w:pPr>
              <w:spacing w:line="240" w:lineRule="auto"/>
              <w:jc w:val="center"/>
              <w:rPr>
                <w:rFonts w:ascii="宋体" w:hAnsi="宋体" w:cs="宋体"/>
                <w:kern w:val="0"/>
                <w:sz w:val="18"/>
                <w:szCs w:val="18"/>
              </w:rPr>
            </w:pPr>
            <w:r>
              <w:rPr>
                <w:rFonts w:hint="eastAsia" w:ascii="宋体" w:hAnsi="宋体" w:cs="宋体"/>
                <w:kern w:val="0"/>
                <w:sz w:val="18"/>
                <w:szCs w:val="18"/>
              </w:rPr>
              <w:t>（4月上旬）</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97%矿物油乳油（300</w:t>
            </w:r>
            <w:r>
              <w:rPr>
                <w:rFonts w:hint="eastAsia" w:ascii="宋体" w:hAnsi="宋体" w:cs="宋体"/>
                <w:kern w:val="0"/>
                <w:sz w:val="18"/>
                <w:szCs w:val="18"/>
              </w:rPr>
              <w:t>～</w:t>
            </w:r>
            <w:r>
              <w:rPr>
                <w:rFonts w:hint="eastAsia" w:ascii="宋体" w:hAnsi="宋体" w:cs="宋体"/>
                <w:sz w:val="18"/>
                <w:szCs w:val="18"/>
              </w:rPr>
              <w:t>400倍液），或1%蛇床子素可溶液剂（1</w:t>
            </w:r>
            <w:r>
              <w:rPr>
                <w:rFonts w:hint="eastAsia" w:ascii="宋体" w:hAnsi="宋体" w:cs="宋体"/>
                <w:sz w:val="18"/>
                <w:szCs w:val="18"/>
                <w:vertAlign w:val="superscript"/>
              </w:rPr>
              <w:t xml:space="preserve"> </w:t>
            </w:r>
            <w:r>
              <w:rPr>
                <w:rFonts w:hint="eastAsia" w:ascii="宋体" w:hAnsi="宋体" w:cs="宋体"/>
                <w:sz w:val="18"/>
                <w:szCs w:val="18"/>
              </w:rPr>
              <w:t>000</w:t>
            </w:r>
            <w:r>
              <w:rPr>
                <w:rFonts w:hint="eastAsia" w:ascii="宋体" w:hAnsi="宋体" w:cs="宋体"/>
                <w:kern w:val="0"/>
                <w:sz w:val="18"/>
                <w:szCs w:val="18"/>
              </w:rPr>
              <w:t>～</w:t>
            </w:r>
            <w:r>
              <w:rPr>
                <w:rFonts w:hint="eastAsia" w:ascii="宋体" w:hAnsi="宋体" w:cs="宋体"/>
                <w:sz w:val="18"/>
                <w:szCs w:val="18"/>
              </w:rPr>
              <w:t>2</w:t>
            </w:r>
            <w:r>
              <w:rPr>
                <w:rFonts w:hint="eastAsia" w:ascii="宋体" w:hAnsi="宋体" w:cs="宋体"/>
                <w:sz w:val="18"/>
                <w:szCs w:val="18"/>
                <w:vertAlign w:val="subscript"/>
              </w:rPr>
              <w:t xml:space="preserve"> </w:t>
            </w:r>
            <w:r>
              <w:rPr>
                <w:rFonts w:hint="eastAsia" w:ascii="宋体" w:hAnsi="宋体" w:cs="宋体"/>
                <w:sz w:val="18"/>
                <w:szCs w:val="18"/>
              </w:rPr>
              <w:t>000倍液）</w:t>
            </w:r>
          </w:p>
        </w:tc>
        <w:tc>
          <w:tcPr>
            <w:tcW w:w="2341" w:type="pct"/>
          </w:tcPr>
          <w:p>
            <w:pPr>
              <w:adjustRightInd/>
              <w:spacing w:line="240" w:lineRule="auto"/>
              <w:rPr>
                <w:rFonts w:ascii="宋体" w:hAnsi="宋体" w:cs="宋体"/>
                <w:kern w:val="0"/>
                <w:sz w:val="18"/>
                <w:szCs w:val="18"/>
              </w:rPr>
            </w:pPr>
            <w:r>
              <w:rPr>
                <w:rFonts w:hint="eastAsia" w:ascii="宋体" w:hAnsi="宋体" w:cs="宋体"/>
                <w:sz w:val="18"/>
                <w:szCs w:val="18"/>
              </w:rPr>
              <w:t>97%矿物油乳油：避免在30</w:t>
            </w:r>
            <w:r>
              <w:rPr>
                <w:rFonts w:hint="eastAsia" w:ascii="宋体" w:hAnsi="宋体" w:cs="宋体"/>
                <w:sz w:val="18"/>
                <w:szCs w:val="18"/>
                <w:vertAlign w:val="subscript"/>
              </w:rPr>
              <w:t xml:space="preserve"> </w:t>
            </w:r>
            <w:r>
              <w:rPr>
                <w:rFonts w:hint="eastAsia" w:ascii="宋体" w:hAnsi="宋体" w:cs="宋体"/>
                <w:sz w:val="18"/>
                <w:szCs w:val="18"/>
              </w:rPr>
              <w:t>℃以上使用，建议在下午4点以后使用。</w:t>
            </w:r>
          </w:p>
          <w:p>
            <w:pPr>
              <w:adjustRightInd/>
              <w:spacing w:line="240" w:lineRule="auto"/>
              <w:rPr>
                <w:rFonts w:ascii="宋体" w:hAnsi="宋体" w:cs="宋体"/>
                <w:sz w:val="18"/>
                <w:szCs w:val="18"/>
              </w:rPr>
            </w:pPr>
            <w:r>
              <w:rPr>
                <w:rFonts w:hint="eastAsia" w:ascii="宋体" w:hAnsi="宋体" w:cs="宋体"/>
                <w:sz w:val="18"/>
                <w:szCs w:val="18"/>
              </w:rPr>
              <w:t>1%蛇床子素可溶液剂：间隔7</w:t>
            </w:r>
            <w:r>
              <w:rPr>
                <w:rFonts w:hint="eastAsia" w:ascii="宋体" w:hAnsi="宋体" w:cs="宋体"/>
                <w:sz w:val="18"/>
                <w:szCs w:val="18"/>
                <w:vertAlign w:val="superscript"/>
              </w:rPr>
              <w:t xml:space="preserve"> </w:t>
            </w:r>
            <w:r>
              <w:rPr>
                <w:rFonts w:hint="eastAsia" w:ascii="宋体" w:hAnsi="宋体" w:cs="宋体"/>
                <w:sz w:val="18"/>
                <w:szCs w:val="18"/>
              </w:rPr>
              <w:t>d</w:t>
            </w:r>
            <w:r>
              <w:rPr>
                <w:rFonts w:hint="eastAsia" w:ascii="宋体" w:hAnsi="宋体" w:cs="宋体"/>
                <w:kern w:val="0"/>
                <w:sz w:val="18"/>
                <w:szCs w:val="18"/>
              </w:rPr>
              <w:t>～</w:t>
            </w:r>
            <w:r>
              <w:rPr>
                <w:rFonts w:hint="eastAsia" w:ascii="宋体" w:hAnsi="宋体" w:cs="宋体"/>
                <w:sz w:val="18"/>
                <w:szCs w:val="18"/>
              </w:rPr>
              <w:t>10</w:t>
            </w:r>
            <w:r>
              <w:rPr>
                <w:rFonts w:hint="eastAsia" w:ascii="宋体" w:hAnsi="宋体" w:cs="宋体"/>
                <w:sz w:val="18"/>
                <w:szCs w:val="18"/>
                <w:vertAlign w:val="superscript"/>
              </w:rPr>
              <w:t xml:space="preserve"> </w:t>
            </w:r>
            <w:r>
              <w:rPr>
                <w:rFonts w:hint="eastAsia" w:ascii="宋体" w:hAnsi="宋体" w:cs="宋体"/>
                <w:sz w:val="18"/>
                <w:szCs w:val="18"/>
              </w:rPr>
              <w:t xml:space="preserve">d施药1次，连续使用不超过2次。 </w:t>
            </w:r>
          </w:p>
        </w:tc>
        <w:tc>
          <w:tcPr>
            <w:tcW w:w="491" w:type="pct"/>
            <w:vMerge w:val="continue"/>
            <w:vAlign w:val="center"/>
          </w:tcPr>
          <w:p>
            <w:pPr>
              <w:adjustRightInd/>
              <w:spacing w:line="240" w:lineRule="auto"/>
              <w:rPr>
                <w:rFonts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spacing w:line="240" w:lineRule="auto"/>
              <w:jc w:val="center"/>
              <w:rPr>
                <w:rFonts w:ascii="宋体" w:hAnsi="宋体" w:cs="宋体"/>
                <w:kern w:val="0"/>
                <w:sz w:val="18"/>
                <w:szCs w:val="18"/>
              </w:rPr>
            </w:pP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绿果期</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（4月底～5月上旬）</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0.5%大黄素甲醚水剂（800</w:t>
            </w:r>
            <w:r>
              <w:rPr>
                <w:rFonts w:hint="eastAsia" w:ascii="宋体" w:hAnsi="宋体" w:cs="宋体"/>
                <w:kern w:val="0"/>
                <w:sz w:val="18"/>
                <w:szCs w:val="18"/>
              </w:rPr>
              <w:t>～</w:t>
            </w:r>
            <w:r>
              <w:rPr>
                <w:rFonts w:hint="eastAsia" w:ascii="宋体" w:hAnsi="宋体" w:cs="宋体"/>
                <w:sz w:val="18"/>
                <w:szCs w:val="18"/>
              </w:rPr>
              <w:t>1</w:t>
            </w:r>
            <w:r>
              <w:rPr>
                <w:rFonts w:hint="eastAsia" w:ascii="宋体" w:hAnsi="宋体" w:cs="宋体"/>
                <w:sz w:val="18"/>
                <w:szCs w:val="18"/>
                <w:vertAlign w:val="subscript"/>
              </w:rPr>
              <w:t xml:space="preserve"> </w:t>
            </w:r>
            <w:r>
              <w:rPr>
                <w:rFonts w:hint="eastAsia" w:ascii="宋体" w:hAnsi="宋体" w:cs="宋体"/>
                <w:sz w:val="18"/>
                <w:szCs w:val="18"/>
              </w:rPr>
              <w:t>000倍液）+80%硫磺水分散粒剂（1</w:t>
            </w:r>
            <w:r>
              <w:rPr>
                <w:rFonts w:hint="eastAsia" w:ascii="宋体" w:hAnsi="宋体" w:cs="宋体"/>
                <w:sz w:val="18"/>
                <w:szCs w:val="18"/>
                <w:vertAlign w:val="subscript"/>
              </w:rPr>
              <w:t xml:space="preserve"> </w:t>
            </w:r>
            <w:r>
              <w:rPr>
                <w:rFonts w:hint="eastAsia" w:ascii="宋体" w:hAnsi="宋体" w:cs="宋体"/>
                <w:sz w:val="18"/>
                <w:szCs w:val="18"/>
              </w:rPr>
              <w:t>000倍液）</w:t>
            </w:r>
          </w:p>
        </w:tc>
        <w:tc>
          <w:tcPr>
            <w:tcW w:w="2341" w:type="pct"/>
          </w:tcPr>
          <w:p>
            <w:pPr>
              <w:adjustRightInd/>
              <w:spacing w:line="240" w:lineRule="auto"/>
              <w:rPr>
                <w:rFonts w:ascii="宋体" w:hAnsi="宋体" w:cs="宋体"/>
                <w:kern w:val="0"/>
                <w:sz w:val="18"/>
                <w:szCs w:val="18"/>
              </w:rPr>
            </w:pPr>
            <w:r>
              <w:rPr>
                <w:rFonts w:hint="eastAsia" w:ascii="宋体" w:hAnsi="宋体" w:cs="宋体"/>
                <w:sz w:val="18"/>
                <w:szCs w:val="18"/>
              </w:rPr>
              <w:t>0.5%大黄素甲醚水剂：</w:t>
            </w:r>
            <w:r>
              <w:rPr>
                <w:rFonts w:hint="eastAsia" w:ascii="宋体" w:hAnsi="宋体" w:cs="宋体"/>
                <w:kern w:val="0"/>
                <w:sz w:val="18"/>
                <w:szCs w:val="18"/>
              </w:rPr>
              <w:t>每隔7</w:t>
            </w:r>
            <w:r>
              <w:rPr>
                <w:rFonts w:hint="eastAsia" w:ascii="宋体" w:hAnsi="宋体" w:cs="宋体"/>
                <w:kern w:val="0"/>
                <w:sz w:val="18"/>
                <w:szCs w:val="18"/>
                <w:vertAlign w:val="subscript"/>
              </w:rPr>
              <w:t xml:space="preserve"> </w:t>
            </w:r>
            <w:r>
              <w:rPr>
                <w:rFonts w:hint="eastAsia" w:ascii="宋体" w:hAnsi="宋体" w:cs="宋体"/>
                <w:kern w:val="0"/>
                <w:sz w:val="18"/>
                <w:szCs w:val="18"/>
              </w:rPr>
              <w:t>d～10</w:t>
            </w:r>
            <w:r>
              <w:rPr>
                <w:rFonts w:hint="eastAsia" w:ascii="宋体" w:hAnsi="宋体" w:cs="宋体"/>
                <w:kern w:val="0"/>
                <w:sz w:val="18"/>
                <w:szCs w:val="18"/>
                <w:vertAlign w:val="subscript"/>
              </w:rPr>
              <w:t xml:space="preserve"> </w:t>
            </w:r>
            <w:r>
              <w:rPr>
                <w:rFonts w:hint="eastAsia" w:ascii="宋体" w:hAnsi="宋体" w:cs="宋体"/>
                <w:kern w:val="0"/>
                <w:sz w:val="18"/>
                <w:szCs w:val="18"/>
              </w:rPr>
              <w:t>d施1次药，连喷2～3次效果较好。</w:t>
            </w:r>
          </w:p>
          <w:p>
            <w:pPr>
              <w:adjustRightInd/>
              <w:spacing w:line="240" w:lineRule="auto"/>
              <w:rPr>
                <w:rFonts w:ascii="宋体" w:hAnsi="宋体" w:cs="宋体"/>
                <w:kern w:val="0"/>
                <w:sz w:val="18"/>
                <w:szCs w:val="18"/>
              </w:rPr>
            </w:pPr>
            <w:r>
              <w:rPr>
                <w:rFonts w:hint="eastAsia" w:ascii="宋体" w:hAnsi="宋体" w:cs="宋体"/>
                <w:sz w:val="18"/>
                <w:szCs w:val="18"/>
              </w:rPr>
              <w:t>80%硫磺水分散粒剂：每季作物施药2次，间隔7</w:t>
            </w:r>
            <w:r>
              <w:rPr>
                <w:rFonts w:hint="eastAsia" w:ascii="宋体" w:hAnsi="宋体" w:cs="宋体"/>
                <w:sz w:val="18"/>
                <w:szCs w:val="18"/>
                <w:vertAlign w:val="subscript"/>
              </w:rPr>
              <w:t xml:space="preserve"> </w:t>
            </w:r>
            <w:r>
              <w:rPr>
                <w:rFonts w:hint="eastAsia" w:ascii="宋体" w:hAnsi="宋体" w:cs="宋体"/>
                <w:sz w:val="18"/>
                <w:szCs w:val="18"/>
              </w:rPr>
              <w:t>d</w:t>
            </w:r>
            <w:r>
              <w:rPr>
                <w:rFonts w:hint="eastAsia" w:ascii="宋体" w:hAnsi="宋体" w:cs="宋体"/>
                <w:kern w:val="0"/>
                <w:sz w:val="18"/>
                <w:szCs w:val="18"/>
              </w:rPr>
              <w:t>～</w:t>
            </w:r>
            <w:r>
              <w:rPr>
                <w:rFonts w:hint="eastAsia" w:ascii="宋体" w:hAnsi="宋体" w:cs="宋体"/>
                <w:sz w:val="18"/>
                <w:szCs w:val="18"/>
              </w:rPr>
              <w:t>10</w:t>
            </w:r>
            <w:r>
              <w:rPr>
                <w:rFonts w:hint="eastAsia" w:ascii="宋体" w:hAnsi="宋体" w:cs="宋体"/>
                <w:sz w:val="18"/>
                <w:szCs w:val="18"/>
                <w:vertAlign w:val="subscript"/>
              </w:rPr>
              <w:t xml:space="preserve"> </w:t>
            </w:r>
            <w:r>
              <w:rPr>
                <w:rFonts w:hint="eastAsia" w:ascii="宋体" w:hAnsi="宋体" w:cs="宋体"/>
                <w:sz w:val="18"/>
                <w:szCs w:val="18"/>
              </w:rPr>
              <w:t>d；避免在幼果期使用、避免在30</w:t>
            </w:r>
            <w:r>
              <w:rPr>
                <w:rFonts w:hint="eastAsia" w:ascii="宋体" w:hAnsi="宋体" w:cs="宋体"/>
                <w:sz w:val="18"/>
                <w:szCs w:val="18"/>
                <w:vertAlign w:val="subscript"/>
              </w:rPr>
              <w:t xml:space="preserve"> </w:t>
            </w:r>
            <w:r>
              <w:rPr>
                <w:rFonts w:hint="eastAsia" w:ascii="宋体" w:hAnsi="宋体" w:cs="宋体"/>
                <w:sz w:val="18"/>
                <w:szCs w:val="18"/>
              </w:rPr>
              <w:t>℃以上使用。</w:t>
            </w:r>
          </w:p>
        </w:tc>
        <w:tc>
          <w:tcPr>
            <w:tcW w:w="491" w:type="pct"/>
            <w:vMerge w:val="continue"/>
            <w:vAlign w:val="center"/>
          </w:tcPr>
          <w:p>
            <w:pPr>
              <w:adjustRightInd/>
              <w:spacing w:line="240" w:lineRule="auto"/>
              <w:rPr>
                <w:rFonts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spacing w:line="240" w:lineRule="auto"/>
              <w:jc w:val="center"/>
              <w:rPr>
                <w:rFonts w:ascii="宋体" w:hAnsi="宋体" w:cs="宋体"/>
                <w:kern w:val="0"/>
                <w:sz w:val="18"/>
                <w:szCs w:val="18"/>
              </w:rPr>
            </w:pP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转色期</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（5月底～6月初）</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6%嘧啶核苷类抗菌素水剂（600倍液）</w:t>
            </w:r>
          </w:p>
        </w:tc>
        <w:tc>
          <w:tcPr>
            <w:tcW w:w="2341" w:type="pct"/>
          </w:tcPr>
          <w:p>
            <w:pPr>
              <w:adjustRightInd/>
              <w:spacing w:line="240" w:lineRule="auto"/>
              <w:rPr>
                <w:rFonts w:ascii="宋体" w:hAnsi="宋体" w:cs="宋体"/>
                <w:kern w:val="0"/>
                <w:sz w:val="18"/>
                <w:szCs w:val="18"/>
              </w:rPr>
            </w:pPr>
            <w:r>
              <w:rPr>
                <w:rFonts w:hint="eastAsia" w:ascii="宋体" w:hAnsi="宋体" w:cs="宋体"/>
                <w:kern w:val="0"/>
                <w:sz w:val="18"/>
                <w:szCs w:val="18"/>
              </w:rPr>
              <w:t>每次施药间隔10</w:t>
            </w:r>
            <w:r>
              <w:rPr>
                <w:rFonts w:hint="eastAsia" w:ascii="宋体" w:hAnsi="宋体" w:cs="宋体"/>
                <w:kern w:val="0"/>
                <w:sz w:val="18"/>
                <w:szCs w:val="18"/>
                <w:vertAlign w:val="subscript"/>
              </w:rPr>
              <w:t xml:space="preserve"> </w:t>
            </w:r>
            <w:r>
              <w:rPr>
                <w:rFonts w:hint="eastAsia" w:ascii="宋体" w:hAnsi="宋体" w:cs="宋体"/>
                <w:kern w:val="0"/>
                <w:sz w:val="18"/>
                <w:szCs w:val="18"/>
              </w:rPr>
              <w:t>d～15</w:t>
            </w:r>
            <w:r>
              <w:rPr>
                <w:rFonts w:hint="eastAsia" w:ascii="宋体" w:hAnsi="宋体" w:cs="宋体"/>
                <w:kern w:val="0"/>
                <w:sz w:val="18"/>
                <w:szCs w:val="18"/>
                <w:vertAlign w:val="superscript"/>
              </w:rPr>
              <w:t xml:space="preserve"> </w:t>
            </w:r>
            <w:r>
              <w:rPr>
                <w:rFonts w:hint="eastAsia" w:ascii="宋体" w:hAnsi="宋体" w:cs="宋体"/>
                <w:kern w:val="0"/>
                <w:sz w:val="18"/>
                <w:szCs w:val="18"/>
              </w:rPr>
              <w:t>d，可连续用药2次。</w:t>
            </w:r>
          </w:p>
        </w:tc>
        <w:tc>
          <w:tcPr>
            <w:tcW w:w="491" w:type="pct"/>
            <w:vMerge w:val="continue"/>
            <w:vAlign w:val="center"/>
          </w:tcPr>
          <w:p>
            <w:pPr>
              <w:adjustRightInd/>
              <w:spacing w:line="240" w:lineRule="auto"/>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restar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冬季果</w:t>
            </w: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萌芽前</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（8月上中旬）</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80%硫磺水分散粒剂（1</w:t>
            </w:r>
            <w:r>
              <w:rPr>
                <w:rFonts w:hint="eastAsia" w:ascii="宋体" w:hAnsi="宋体" w:cs="宋体"/>
                <w:sz w:val="18"/>
                <w:szCs w:val="18"/>
                <w:vertAlign w:val="superscript"/>
              </w:rPr>
              <w:t xml:space="preserve"> </w:t>
            </w:r>
            <w:r>
              <w:rPr>
                <w:rFonts w:hint="eastAsia" w:ascii="宋体" w:hAnsi="宋体" w:cs="宋体"/>
                <w:sz w:val="18"/>
                <w:szCs w:val="18"/>
              </w:rPr>
              <w:t>000倍液）、或</w:t>
            </w:r>
            <w:r>
              <w:rPr>
                <w:rFonts w:hint="eastAsia" w:ascii="宋体" w:hAnsi="宋体" w:cs="宋体"/>
                <w:kern w:val="0"/>
                <w:sz w:val="18"/>
                <w:szCs w:val="18"/>
              </w:rPr>
              <w:t>29%石硫合剂水剂（80～100倍液）</w:t>
            </w:r>
          </w:p>
        </w:tc>
        <w:tc>
          <w:tcPr>
            <w:tcW w:w="2341" w:type="pct"/>
          </w:tcPr>
          <w:p>
            <w:pPr>
              <w:adjustRightInd/>
              <w:spacing w:line="240" w:lineRule="auto"/>
              <w:rPr>
                <w:rFonts w:ascii="宋体" w:hAnsi="宋体" w:cs="宋体"/>
                <w:kern w:val="0"/>
                <w:sz w:val="18"/>
                <w:szCs w:val="18"/>
              </w:rPr>
            </w:pPr>
            <w:r>
              <w:rPr>
                <w:rFonts w:hint="eastAsia" w:ascii="宋体" w:hAnsi="宋体" w:cs="宋体"/>
                <w:kern w:val="0"/>
                <w:sz w:val="18"/>
                <w:szCs w:val="18"/>
              </w:rPr>
              <w:t>清园使用；</w:t>
            </w:r>
            <w:r>
              <w:rPr>
                <w:rFonts w:hint="eastAsia" w:ascii="宋体" w:hAnsi="宋体" w:cs="宋体"/>
                <w:sz w:val="18"/>
                <w:szCs w:val="18"/>
              </w:rPr>
              <w:t>避免在30</w:t>
            </w:r>
            <w:r>
              <w:rPr>
                <w:rFonts w:hint="eastAsia" w:ascii="宋体" w:hAnsi="宋体" w:cs="宋体"/>
                <w:sz w:val="18"/>
                <w:szCs w:val="18"/>
                <w:vertAlign w:val="subscript"/>
              </w:rPr>
              <w:t xml:space="preserve">  </w:t>
            </w:r>
            <w:r>
              <w:rPr>
                <w:rFonts w:hint="eastAsia" w:ascii="宋体" w:hAnsi="宋体" w:cs="宋体"/>
                <w:sz w:val="18"/>
                <w:szCs w:val="18"/>
              </w:rPr>
              <w:t>℃以上使用。</w:t>
            </w:r>
          </w:p>
        </w:tc>
        <w:tc>
          <w:tcPr>
            <w:tcW w:w="491" w:type="pct"/>
            <w:vMerge w:val="continue"/>
            <w:vAlign w:val="center"/>
          </w:tcPr>
          <w:p>
            <w:pPr>
              <w:adjustRightInd/>
              <w:spacing w:line="240" w:lineRule="auto"/>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adjustRightInd/>
              <w:spacing w:line="240" w:lineRule="auto"/>
              <w:jc w:val="center"/>
              <w:rPr>
                <w:rFonts w:ascii="宋体" w:hAnsi="宋体" w:cs="宋体"/>
                <w:kern w:val="0"/>
                <w:sz w:val="18"/>
                <w:szCs w:val="18"/>
              </w:rPr>
            </w:pPr>
          </w:p>
        </w:tc>
        <w:tc>
          <w:tcPr>
            <w:tcW w:w="731" w:type="pct"/>
            <w:vAlign w:val="center"/>
          </w:tcPr>
          <w:p>
            <w:pPr>
              <w:spacing w:line="240" w:lineRule="auto"/>
              <w:jc w:val="center"/>
              <w:rPr>
                <w:rFonts w:ascii="宋体" w:hAnsi="宋体" w:cs="宋体"/>
                <w:kern w:val="0"/>
                <w:sz w:val="18"/>
                <w:szCs w:val="18"/>
              </w:rPr>
            </w:pPr>
            <w:r>
              <w:rPr>
                <w:rFonts w:hint="eastAsia" w:ascii="宋体" w:hAnsi="宋体" w:cs="宋体"/>
                <w:kern w:val="0"/>
                <w:sz w:val="18"/>
                <w:szCs w:val="18"/>
              </w:rPr>
              <w:t>花后</w:t>
            </w:r>
          </w:p>
          <w:p>
            <w:pPr>
              <w:spacing w:line="240" w:lineRule="auto"/>
              <w:jc w:val="center"/>
              <w:rPr>
                <w:rFonts w:ascii="宋体" w:hAnsi="宋体" w:cs="宋体"/>
                <w:kern w:val="0"/>
                <w:sz w:val="18"/>
                <w:szCs w:val="18"/>
              </w:rPr>
            </w:pPr>
            <w:r>
              <w:rPr>
                <w:rFonts w:hint="eastAsia" w:ascii="宋体" w:hAnsi="宋体" w:cs="宋体"/>
                <w:kern w:val="0"/>
                <w:sz w:val="18"/>
                <w:szCs w:val="18"/>
              </w:rPr>
              <w:t>（10月初）</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10%多抗霉素可湿性粉剂（800</w:t>
            </w:r>
            <w:r>
              <w:rPr>
                <w:rFonts w:hint="eastAsia" w:ascii="宋体" w:hAnsi="宋体" w:cs="宋体"/>
                <w:kern w:val="0"/>
                <w:sz w:val="18"/>
                <w:szCs w:val="18"/>
              </w:rPr>
              <w:t>～</w:t>
            </w:r>
            <w:r>
              <w:rPr>
                <w:rFonts w:hint="eastAsia" w:ascii="宋体" w:hAnsi="宋体" w:cs="宋体"/>
                <w:sz w:val="18"/>
                <w:szCs w:val="18"/>
              </w:rPr>
              <w:t>1000倍液）+97%矿物油乳油（200</w:t>
            </w:r>
            <w:r>
              <w:rPr>
                <w:rFonts w:hint="eastAsia" w:ascii="宋体" w:hAnsi="宋体" w:cs="宋体"/>
                <w:kern w:val="0"/>
                <w:sz w:val="18"/>
                <w:szCs w:val="18"/>
              </w:rPr>
              <w:t>～</w:t>
            </w:r>
            <w:r>
              <w:rPr>
                <w:rFonts w:hint="eastAsia" w:ascii="宋体" w:hAnsi="宋体" w:cs="宋体"/>
                <w:sz w:val="18"/>
                <w:szCs w:val="18"/>
              </w:rPr>
              <w:t>300倍液）</w:t>
            </w:r>
          </w:p>
        </w:tc>
        <w:tc>
          <w:tcPr>
            <w:tcW w:w="2341" w:type="pct"/>
          </w:tcPr>
          <w:p>
            <w:pPr>
              <w:adjustRightInd/>
              <w:spacing w:line="240" w:lineRule="auto"/>
              <w:rPr>
                <w:rFonts w:ascii="宋体" w:hAnsi="宋体" w:cs="宋体"/>
                <w:sz w:val="18"/>
                <w:szCs w:val="18"/>
              </w:rPr>
            </w:pPr>
            <w:r>
              <w:rPr>
                <w:rFonts w:hint="eastAsia" w:ascii="宋体" w:hAnsi="宋体" w:cs="宋体"/>
                <w:sz w:val="18"/>
                <w:szCs w:val="18"/>
              </w:rPr>
              <w:t>10%多抗霉素可湿性粉剂：安全间隔期为7</w:t>
            </w:r>
            <w:r>
              <w:rPr>
                <w:rFonts w:hint="eastAsia" w:ascii="宋体" w:hAnsi="宋体" w:cs="宋体"/>
                <w:sz w:val="18"/>
                <w:szCs w:val="18"/>
                <w:vertAlign w:val="subscript"/>
              </w:rPr>
              <w:t xml:space="preserve"> </w:t>
            </w:r>
            <w:r>
              <w:rPr>
                <w:rFonts w:hint="eastAsia" w:ascii="宋体" w:hAnsi="宋体" w:cs="宋体"/>
                <w:sz w:val="18"/>
                <w:szCs w:val="18"/>
              </w:rPr>
              <w:t>d，每季最多使用次数为3次。</w:t>
            </w:r>
          </w:p>
          <w:p>
            <w:pPr>
              <w:adjustRightInd/>
              <w:spacing w:line="240" w:lineRule="auto"/>
              <w:rPr>
                <w:rFonts w:ascii="宋体" w:hAnsi="宋体" w:cs="宋体"/>
                <w:kern w:val="0"/>
                <w:sz w:val="18"/>
                <w:szCs w:val="18"/>
              </w:rPr>
            </w:pPr>
            <w:r>
              <w:rPr>
                <w:rFonts w:hint="eastAsia" w:ascii="宋体" w:hAnsi="宋体" w:cs="宋体"/>
                <w:sz w:val="18"/>
                <w:szCs w:val="18"/>
              </w:rPr>
              <w:t>97%矿物油乳油避免在30</w:t>
            </w:r>
            <w:r>
              <w:rPr>
                <w:rFonts w:hint="eastAsia" w:ascii="宋体" w:hAnsi="宋体" w:cs="宋体"/>
                <w:sz w:val="18"/>
                <w:szCs w:val="18"/>
                <w:vertAlign w:val="subscript"/>
              </w:rPr>
              <w:t xml:space="preserve"> </w:t>
            </w:r>
            <w:r>
              <w:rPr>
                <w:rFonts w:hint="eastAsia" w:ascii="宋体" w:hAnsi="宋体" w:cs="宋体"/>
                <w:sz w:val="18"/>
                <w:szCs w:val="18"/>
              </w:rPr>
              <w:t>℃以上使用，建议在下午4点以后使用。</w:t>
            </w:r>
          </w:p>
        </w:tc>
        <w:tc>
          <w:tcPr>
            <w:tcW w:w="491" w:type="pct"/>
            <w:vMerge w:val="continue"/>
            <w:vAlign w:val="center"/>
          </w:tcPr>
          <w:p>
            <w:pPr>
              <w:adjustRightInd/>
              <w:spacing w:line="240" w:lineRule="auto"/>
              <w:rPr>
                <w:rFonts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adjustRightInd/>
              <w:spacing w:line="240" w:lineRule="auto"/>
              <w:jc w:val="center"/>
              <w:rPr>
                <w:rFonts w:ascii="宋体" w:hAnsi="宋体" w:cs="宋体"/>
                <w:kern w:val="0"/>
                <w:sz w:val="18"/>
                <w:szCs w:val="18"/>
              </w:rPr>
            </w:pP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花后15</w:t>
            </w:r>
            <w:r>
              <w:rPr>
                <w:rFonts w:hint="eastAsia" w:ascii="宋体" w:hAnsi="宋体" w:cs="宋体"/>
                <w:kern w:val="0"/>
                <w:sz w:val="18"/>
                <w:szCs w:val="18"/>
                <w:vertAlign w:val="superscript"/>
              </w:rPr>
              <w:t xml:space="preserve"> </w:t>
            </w:r>
            <w:r>
              <w:rPr>
                <w:rFonts w:hint="eastAsia" w:ascii="宋体" w:hAnsi="宋体" w:cs="宋体"/>
                <w:kern w:val="0"/>
                <w:sz w:val="18"/>
                <w:szCs w:val="18"/>
              </w:rPr>
              <w:t>d</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（10月中旬）</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1%蛇床子素可溶液剂（1</w:t>
            </w:r>
            <w:r>
              <w:rPr>
                <w:rFonts w:hint="eastAsia" w:ascii="宋体" w:hAnsi="宋体" w:cs="宋体"/>
                <w:sz w:val="18"/>
                <w:szCs w:val="18"/>
                <w:vertAlign w:val="subscript"/>
              </w:rPr>
              <w:t xml:space="preserve"> </w:t>
            </w:r>
            <w:r>
              <w:rPr>
                <w:rFonts w:hint="eastAsia" w:ascii="宋体" w:hAnsi="宋体" w:cs="宋体"/>
                <w:sz w:val="18"/>
                <w:szCs w:val="18"/>
              </w:rPr>
              <w:t>000</w:t>
            </w:r>
            <w:r>
              <w:rPr>
                <w:rFonts w:hint="eastAsia" w:ascii="宋体" w:hAnsi="宋体" w:cs="宋体"/>
                <w:kern w:val="0"/>
                <w:sz w:val="18"/>
                <w:szCs w:val="18"/>
              </w:rPr>
              <w:t>～</w:t>
            </w:r>
            <w:r>
              <w:rPr>
                <w:rFonts w:hint="eastAsia" w:ascii="宋体" w:hAnsi="宋体" w:cs="宋体"/>
                <w:sz w:val="18"/>
                <w:szCs w:val="18"/>
              </w:rPr>
              <w:t>2</w:t>
            </w:r>
            <w:r>
              <w:rPr>
                <w:rFonts w:hint="eastAsia" w:ascii="宋体" w:hAnsi="宋体" w:cs="宋体"/>
                <w:sz w:val="18"/>
                <w:szCs w:val="18"/>
                <w:vertAlign w:val="subscript"/>
              </w:rPr>
              <w:t xml:space="preserve"> </w:t>
            </w:r>
            <w:r>
              <w:rPr>
                <w:rFonts w:hint="eastAsia" w:ascii="宋体" w:hAnsi="宋体" w:cs="宋体"/>
                <w:sz w:val="18"/>
                <w:szCs w:val="18"/>
              </w:rPr>
              <w:t>000倍液）+6%嘧啶核苷类抗菌素水剂（600倍液）</w:t>
            </w:r>
          </w:p>
        </w:tc>
        <w:tc>
          <w:tcPr>
            <w:tcW w:w="2341" w:type="pct"/>
          </w:tcPr>
          <w:p>
            <w:pPr>
              <w:adjustRightInd/>
              <w:spacing w:line="240" w:lineRule="auto"/>
              <w:rPr>
                <w:rFonts w:ascii="宋体" w:hAnsi="宋体" w:cs="宋体"/>
                <w:kern w:val="0"/>
                <w:sz w:val="18"/>
                <w:szCs w:val="18"/>
              </w:rPr>
            </w:pPr>
            <w:r>
              <w:rPr>
                <w:rFonts w:hint="eastAsia" w:ascii="宋体" w:hAnsi="宋体" w:cs="宋体"/>
                <w:kern w:val="0"/>
                <w:sz w:val="18"/>
                <w:szCs w:val="18"/>
              </w:rPr>
              <w:t>1%蛇床子素可溶液剂：间隔7</w:t>
            </w:r>
            <w:r>
              <w:rPr>
                <w:rFonts w:hint="eastAsia" w:ascii="宋体" w:hAnsi="宋体" w:cs="宋体"/>
                <w:kern w:val="0"/>
                <w:sz w:val="18"/>
                <w:szCs w:val="18"/>
                <w:vertAlign w:val="superscript"/>
              </w:rPr>
              <w:t xml:space="preserve"> </w:t>
            </w:r>
            <w:r>
              <w:rPr>
                <w:rFonts w:hint="eastAsia" w:ascii="宋体" w:hAnsi="宋体" w:cs="宋体"/>
                <w:kern w:val="0"/>
                <w:sz w:val="18"/>
                <w:szCs w:val="18"/>
              </w:rPr>
              <w:t>d～10</w:t>
            </w:r>
            <w:r>
              <w:rPr>
                <w:rFonts w:hint="eastAsia" w:ascii="宋体" w:hAnsi="宋体" w:cs="宋体"/>
                <w:kern w:val="0"/>
                <w:sz w:val="18"/>
                <w:szCs w:val="18"/>
                <w:vertAlign w:val="subscript"/>
              </w:rPr>
              <w:t xml:space="preserve"> </w:t>
            </w:r>
            <w:r>
              <w:rPr>
                <w:rFonts w:hint="eastAsia" w:ascii="宋体" w:hAnsi="宋体" w:cs="宋体"/>
                <w:kern w:val="0"/>
                <w:sz w:val="18"/>
                <w:szCs w:val="18"/>
              </w:rPr>
              <w:t>d施药1次，连续使用不超过2次。</w:t>
            </w:r>
          </w:p>
          <w:p>
            <w:pPr>
              <w:adjustRightInd/>
              <w:spacing w:line="240" w:lineRule="auto"/>
              <w:rPr>
                <w:rFonts w:ascii="宋体" w:hAnsi="宋体" w:cs="宋体"/>
                <w:kern w:val="0"/>
                <w:sz w:val="18"/>
                <w:szCs w:val="18"/>
              </w:rPr>
            </w:pPr>
            <w:r>
              <w:rPr>
                <w:rFonts w:hint="eastAsia" w:ascii="宋体" w:hAnsi="宋体" w:cs="宋体"/>
                <w:sz w:val="18"/>
                <w:szCs w:val="18"/>
              </w:rPr>
              <w:t>6%嘧啶核苷类抗菌素水剂：</w:t>
            </w:r>
            <w:r>
              <w:rPr>
                <w:rFonts w:hint="eastAsia" w:ascii="宋体" w:hAnsi="宋体" w:cs="宋体"/>
                <w:kern w:val="0"/>
                <w:sz w:val="18"/>
                <w:szCs w:val="18"/>
              </w:rPr>
              <w:t>每次施药间隔10</w:t>
            </w:r>
            <w:r>
              <w:rPr>
                <w:rFonts w:hint="eastAsia" w:ascii="宋体" w:hAnsi="宋体" w:cs="宋体"/>
                <w:kern w:val="0"/>
                <w:sz w:val="18"/>
                <w:szCs w:val="18"/>
                <w:vertAlign w:val="subscript"/>
              </w:rPr>
              <w:t xml:space="preserve"> </w:t>
            </w:r>
            <w:r>
              <w:rPr>
                <w:rFonts w:hint="eastAsia" w:ascii="宋体" w:hAnsi="宋体" w:cs="宋体"/>
                <w:kern w:val="0"/>
                <w:sz w:val="18"/>
                <w:szCs w:val="18"/>
              </w:rPr>
              <w:t>d～15</w:t>
            </w:r>
            <w:r>
              <w:rPr>
                <w:rFonts w:hint="eastAsia" w:ascii="宋体" w:hAnsi="宋体" w:cs="宋体"/>
                <w:kern w:val="0"/>
                <w:sz w:val="18"/>
                <w:szCs w:val="18"/>
                <w:vertAlign w:val="subscript"/>
              </w:rPr>
              <w:t xml:space="preserve"> </w:t>
            </w:r>
            <w:r>
              <w:rPr>
                <w:rFonts w:hint="eastAsia" w:ascii="宋体" w:hAnsi="宋体" w:cs="宋体"/>
                <w:kern w:val="0"/>
                <w:sz w:val="18"/>
                <w:szCs w:val="18"/>
              </w:rPr>
              <w:t>d，可连续用药2次。</w:t>
            </w:r>
          </w:p>
        </w:tc>
        <w:tc>
          <w:tcPr>
            <w:tcW w:w="491" w:type="pct"/>
            <w:vMerge w:val="continue"/>
            <w:vAlign w:val="center"/>
          </w:tcPr>
          <w:p>
            <w:pPr>
              <w:adjustRightInd/>
              <w:spacing w:line="240" w:lineRule="auto"/>
              <w:rPr>
                <w:rFonts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adjustRightInd/>
              <w:spacing w:line="240" w:lineRule="auto"/>
              <w:jc w:val="center"/>
              <w:rPr>
                <w:rFonts w:ascii="宋体" w:hAnsi="宋体" w:cs="宋体"/>
                <w:kern w:val="0"/>
                <w:sz w:val="18"/>
                <w:szCs w:val="18"/>
              </w:rPr>
            </w:pP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绿果期</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（11月初）</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0.5%大黄素甲醚水剂（800</w:t>
            </w:r>
            <w:r>
              <w:rPr>
                <w:rFonts w:hint="eastAsia" w:ascii="宋体" w:hAnsi="宋体" w:cs="宋体"/>
                <w:kern w:val="0"/>
                <w:sz w:val="18"/>
                <w:szCs w:val="18"/>
              </w:rPr>
              <w:t>～</w:t>
            </w:r>
            <w:r>
              <w:rPr>
                <w:rFonts w:hint="eastAsia" w:ascii="宋体" w:hAnsi="宋体" w:cs="宋体"/>
                <w:sz w:val="18"/>
                <w:szCs w:val="18"/>
              </w:rPr>
              <w:t>1</w:t>
            </w:r>
            <w:r>
              <w:rPr>
                <w:rFonts w:hint="eastAsia" w:ascii="宋体" w:hAnsi="宋体" w:cs="宋体"/>
                <w:sz w:val="18"/>
                <w:szCs w:val="18"/>
                <w:vertAlign w:val="subscript"/>
              </w:rPr>
              <w:t xml:space="preserve"> </w:t>
            </w:r>
            <w:r>
              <w:rPr>
                <w:rFonts w:hint="eastAsia" w:ascii="宋体" w:hAnsi="宋体" w:cs="宋体"/>
                <w:sz w:val="18"/>
                <w:szCs w:val="18"/>
              </w:rPr>
              <w:t>000倍液）+10%多抗霉素可湿性粉剂（800</w:t>
            </w:r>
            <w:r>
              <w:rPr>
                <w:rFonts w:hint="eastAsia" w:ascii="宋体" w:hAnsi="宋体" w:cs="宋体"/>
                <w:kern w:val="0"/>
                <w:sz w:val="18"/>
                <w:szCs w:val="18"/>
              </w:rPr>
              <w:t>～</w:t>
            </w:r>
            <w:r>
              <w:rPr>
                <w:rFonts w:hint="eastAsia" w:ascii="宋体" w:hAnsi="宋体" w:cs="宋体"/>
                <w:sz w:val="18"/>
                <w:szCs w:val="18"/>
              </w:rPr>
              <w:t>1</w:t>
            </w:r>
            <w:r>
              <w:rPr>
                <w:rFonts w:hint="eastAsia" w:ascii="宋体" w:hAnsi="宋体" w:cs="宋体"/>
                <w:sz w:val="18"/>
                <w:szCs w:val="18"/>
                <w:vertAlign w:val="subscript"/>
              </w:rPr>
              <w:t xml:space="preserve"> </w:t>
            </w:r>
            <w:r>
              <w:rPr>
                <w:rFonts w:hint="eastAsia" w:ascii="宋体" w:hAnsi="宋体" w:cs="宋体"/>
                <w:sz w:val="18"/>
                <w:szCs w:val="18"/>
              </w:rPr>
              <w:t>000倍液）+80%硫磺水分散粒剂（1</w:t>
            </w:r>
            <w:r>
              <w:rPr>
                <w:rFonts w:hint="eastAsia" w:ascii="宋体" w:hAnsi="宋体" w:cs="宋体"/>
                <w:sz w:val="18"/>
                <w:szCs w:val="18"/>
                <w:vertAlign w:val="superscript"/>
              </w:rPr>
              <w:t xml:space="preserve"> </w:t>
            </w:r>
            <w:r>
              <w:rPr>
                <w:rFonts w:hint="eastAsia" w:ascii="宋体" w:hAnsi="宋体" w:cs="宋体"/>
                <w:sz w:val="18"/>
                <w:szCs w:val="18"/>
              </w:rPr>
              <w:t>000倍液）</w:t>
            </w:r>
          </w:p>
        </w:tc>
        <w:tc>
          <w:tcPr>
            <w:tcW w:w="2341" w:type="pct"/>
          </w:tcPr>
          <w:p>
            <w:pPr>
              <w:adjustRightInd/>
              <w:spacing w:line="240" w:lineRule="auto"/>
              <w:rPr>
                <w:rFonts w:ascii="宋体" w:hAnsi="宋体" w:cs="宋体"/>
                <w:kern w:val="0"/>
                <w:sz w:val="18"/>
                <w:szCs w:val="18"/>
              </w:rPr>
            </w:pPr>
            <w:r>
              <w:rPr>
                <w:rFonts w:hint="eastAsia" w:ascii="宋体" w:hAnsi="宋体" w:cs="宋体"/>
                <w:sz w:val="18"/>
                <w:szCs w:val="18"/>
              </w:rPr>
              <w:t>0.5%大黄素甲醚水剂：</w:t>
            </w:r>
            <w:r>
              <w:rPr>
                <w:rFonts w:hint="eastAsia" w:ascii="宋体" w:hAnsi="宋体" w:cs="宋体"/>
                <w:kern w:val="0"/>
                <w:sz w:val="18"/>
                <w:szCs w:val="18"/>
              </w:rPr>
              <w:t>每隔7</w:t>
            </w:r>
            <w:r>
              <w:rPr>
                <w:rFonts w:hint="eastAsia" w:ascii="宋体" w:hAnsi="宋体" w:cs="宋体"/>
                <w:kern w:val="0"/>
                <w:sz w:val="18"/>
                <w:szCs w:val="18"/>
                <w:vertAlign w:val="subscript"/>
              </w:rPr>
              <w:t xml:space="preserve"> </w:t>
            </w:r>
            <w:r>
              <w:rPr>
                <w:rFonts w:hint="eastAsia" w:ascii="宋体" w:hAnsi="宋体" w:cs="宋体"/>
                <w:kern w:val="0"/>
                <w:sz w:val="18"/>
                <w:szCs w:val="18"/>
              </w:rPr>
              <w:t>d～10</w:t>
            </w:r>
            <w:r>
              <w:rPr>
                <w:rFonts w:hint="eastAsia" w:ascii="宋体" w:hAnsi="宋体" w:cs="宋体"/>
                <w:kern w:val="0"/>
                <w:sz w:val="18"/>
                <w:szCs w:val="18"/>
                <w:vertAlign w:val="superscript"/>
              </w:rPr>
              <w:t xml:space="preserve"> </w:t>
            </w:r>
            <w:r>
              <w:rPr>
                <w:rFonts w:hint="eastAsia" w:ascii="宋体" w:hAnsi="宋体" w:cs="宋体"/>
                <w:kern w:val="0"/>
                <w:sz w:val="18"/>
                <w:szCs w:val="18"/>
              </w:rPr>
              <w:t>d施1次药，连喷2～3次效果较好。</w:t>
            </w:r>
          </w:p>
          <w:p>
            <w:pPr>
              <w:adjustRightInd/>
              <w:spacing w:line="240" w:lineRule="auto"/>
              <w:rPr>
                <w:rFonts w:ascii="宋体" w:hAnsi="宋体" w:cs="宋体"/>
                <w:kern w:val="0"/>
                <w:sz w:val="18"/>
                <w:szCs w:val="18"/>
              </w:rPr>
            </w:pPr>
            <w:r>
              <w:rPr>
                <w:rFonts w:hint="eastAsia" w:ascii="宋体" w:hAnsi="宋体" w:cs="宋体"/>
                <w:sz w:val="18"/>
                <w:szCs w:val="18"/>
              </w:rPr>
              <w:t>10%多抗霉素可湿性粉剂：安全间隔期为7</w:t>
            </w:r>
            <w:r>
              <w:rPr>
                <w:rFonts w:hint="eastAsia" w:ascii="宋体" w:hAnsi="宋体" w:cs="宋体"/>
                <w:sz w:val="18"/>
                <w:szCs w:val="18"/>
                <w:vertAlign w:val="superscript"/>
              </w:rPr>
              <w:t xml:space="preserve"> </w:t>
            </w:r>
            <w:r>
              <w:rPr>
                <w:rFonts w:hint="eastAsia" w:ascii="宋体" w:hAnsi="宋体" w:cs="宋体"/>
                <w:sz w:val="18"/>
                <w:szCs w:val="18"/>
              </w:rPr>
              <w:t>d，每季最多使用次数为3次。</w:t>
            </w:r>
          </w:p>
          <w:p>
            <w:pPr>
              <w:adjustRightInd/>
              <w:spacing w:line="240" w:lineRule="auto"/>
              <w:rPr>
                <w:rFonts w:ascii="宋体" w:hAnsi="宋体" w:cs="宋体"/>
                <w:kern w:val="0"/>
                <w:sz w:val="18"/>
                <w:szCs w:val="18"/>
              </w:rPr>
            </w:pPr>
            <w:r>
              <w:rPr>
                <w:rFonts w:hint="eastAsia" w:ascii="宋体" w:hAnsi="宋体" w:cs="宋体"/>
                <w:sz w:val="18"/>
                <w:szCs w:val="18"/>
              </w:rPr>
              <w:t>80%硫磺水分散粒剂避免在幼果期使用；避免在30</w:t>
            </w:r>
            <w:r>
              <w:rPr>
                <w:rFonts w:hint="eastAsia" w:ascii="宋体" w:hAnsi="宋体" w:cs="宋体"/>
                <w:sz w:val="18"/>
                <w:szCs w:val="18"/>
                <w:vertAlign w:val="subscript"/>
              </w:rPr>
              <w:t xml:space="preserve"> </w:t>
            </w:r>
            <w:r>
              <w:rPr>
                <w:rFonts w:hint="eastAsia" w:ascii="宋体" w:hAnsi="宋体" w:cs="宋体"/>
                <w:sz w:val="18"/>
                <w:szCs w:val="18"/>
              </w:rPr>
              <w:t>℃以上使用。</w:t>
            </w:r>
          </w:p>
        </w:tc>
        <w:tc>
          <w:tcPr>
            <w:tcW w:w="491" w:type="pct"/>
            <w:vMerge w:val="continue"/>
            <w:vAlign w:val="center"/>
          </w:tcPr>
          <w:p>
            <w:pPr>
              <w:adjustRightInd/>
              <w:spacing w:line="240" w:lineRule="auto"/>
              <w:rPr>
                <w:rFonts w:ascii="宋体" w:hAnsi="宋体" w:cs="宋体"/>
                <w:sz w:val="18"/>
                <w:szCs w:val="18"/>
              </w:rPr>
            </w:pPr>
          </w:p>
        </w:tc>
      </w:tr>
      <w:bookmarkEnd w:id="39"/>
    </w:tbl>
    <w:p>
      <w:pPr>
        <w:pStyle w:val="57"/>
        <w:ind w:firstLine="0" w:firstLineChars="0"/>
        <w:jc w:val="center"/>
      </w:pPr>
      <w:bookmarkStart w:id="40" w:name="BookMark8"/>
    </w:p>
    <w:p>
      <w:pPr>
        <w:pStyle w:val="57"/>
        <w:ind w:firstLine="0" w:firstLineChars="0"/>
        <w:jc w:val="center"/>
      </w:pPr>
    </w:p>
    <w:p>
      <w:pPr>
        <w:pStyle w:val="57"/>
        <w:ind w:firstLine="0" w:firstLineChars="0"/>
        <w:jc w:val="center"/>
      </w:pPr>
    </w:p>
    <w:p>
      <w:pPr>
        <w:pStyle w:val="57"/>
        <w:ind w:firstLine="0" w:firstLineChars="0"/>
        <w:jc w:val="center"/>
      </w:pPr>
    </w:p>
    <w:p>
      <w:pPr>
        <w:pStyle w:val="57"/>
        <w:ind w:firstLine="0" w:firstLineChars="0"/>
        <w:jc w:val="center"/>
      </w:pPr>
    </w:p>
    <w:p>
      <w:pPr>
        <w:pStyle w:val="78"/>
        <w:numPr>
          <w:ilvl w:val="0"/>
          <w:numId w:val="0"/>
        </w:numPr>
        <w:spacing w:before="156" w:after="156"/>
        <w:ind w:left="420"/>
        <w:rPr>
          <w:color w:val="FF0000"/>
        </w:rPr>
      </w:pPr>
      <w:r>
        <w:rPr>
          <w:rFonts w:hint="eastAsia"/>
        </w:rPr>
        <w:t>表A.1  推荐防治方法及药剂</w:t>
      </w:r>
      <w:r>
        <w:rPr>
          <w:rFonts w:hint="eastAsia" w:ascii="宋体" w:hAnsi="宋体" w:eastAsia="宋体" w:cs="宋体"/>
        </w:rPr>
        <w:t>(续）</w:t>
      </w:r>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96"/>
        <w:gridCol w:w="1398"/>
        <w:gridCol w:w="2349"/>
        <w:gridCol w:w="4305"/>
        <w:gridCol w:w="11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38" w:type="pct"/>
            <w:gridSpan w:val="2"/>
            <w:tcBorders>
              <w:bottom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防治时期</w:t>
            </w:r>
          </w:p>
        </w:tc>
        <w:tc>
          <w:tcPr>
            <w:tcW w:w="1228" w:type="pct"/>
            <w:tcBorders>
              <w:bottom w:val="single" w:color="auto" w:sz="8" w:space="0"/>
            </w:tcBorders>
            <w:vAlign w:val="center"/>
          </w:tcPr>
          <w:p>
            <w:pPr>
              <w:adjustRightInd/>
              <w:spacing w:line="240" w:lineRule="auto"/>
              <w:jc w:val="center"/>
              <w:rPr>
                <w:rFonts w:ascii="宋体" w:hAnsi="宋体" w:cs="宋体"/>
                <w:sz w:val="18"/>
                <w:szCs w:val="18"/>
              </w:rPr>
            </w:pPr>
            <w:r>
              <w:rPr>
                <w:rFonts w:hint="eastAsia" w:ascii="宋体" w:hAnsi="宋体" w:cs="宋体"/>
                <w:sz w:val="18"/>
                <w:szCs w:val="18"/>
              </w:rPr>
              <w:t>使用药剂</w:t>
            </w:r>
          </w:p>
        </w:tc>
        <w:tc>
          <w:tcPr>
            <w:tcW w:w="2832" w:type="pct"/>
            <w:gridSpan w:val="2"/>
            <w:tcBorders>
              <w:bottom w:val="single" w:color="auto" w:sz="8" w:space="0"/>
            </w:tcBorders>
            <w:vAlign w:val="center"/>
          </w:tcPr>
          <w:p>
            <w:pPr>
              <w:adjustRightInd/>
              <w:spacing w:line="240" w:lineRule="auto"/>
              <w:jc w:val="center"/>
              <w:rPr>
                <w:rFonts w:ascii="宋体" w:hAnsi="宋体" w:cs="宋体"/>
                <w:sz w:val="18"/>
                <w:szCs w:val="18"/>
              </w:rPr>
            </w:pPr>
            <w:r>
              <w:rPr>
                <w:rFonts w:hint="eastAsia" w:ascii="宋体" w:hAnsi="宋体" w:cs="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restart"/>
            <w:tcBorders>
              <w:top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冬季果</w:t>
            </w:r>
          </w:p>
        </w:tc>
        <w:tc>
          <w:tcPr>
            <w:tcW w:w="731" w:type="pct"/>
            <w:tcBorders>
              <w:top w:val="single" w:color="auto" w:sz="8" w:space="0"/>
            </w:tcBorders>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转色期</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（11月中旬）</w:t>
            </w:r>
          </w:p>
        </w:tc>
        <w:tc>
          <w:tcPr>
            <w:tcW w:w="1228" w:type="pct"/>
            <w:tcBorders>
              <w:top w:val="single" w:color="auto" w:sz="8" w:space="0"/>
            </w:tcBorders>
            <w:vAlign w:val="center"/>
          </w:tcPr>
          <w:p>
            <w:pPr>
              <w:adjustRightInd/>
              <w:spacing w:line="240" w:lineRule="auto"/>
              <w:jc w:val="center"/>
              <w:rPr>
                <w:rFonts w:ascii="宋体" w:hAnsi="宋体" w:cs="宋体"/>
                <w:sz w:val="18"/>
                <w:szCs w:val="18"/>
              </w:rPr>
            </w:pPr>
            <w:r>
              <w:rPr>
                <w:rFonts w:hint="eastAsia" w:ascii="宋体" w:hAnsi="宋体" w:cs="宋体"/>
                <w:sz w:val="18"/>
                <w:szCs w:val="18"/>
              </w:rPr>
              <w:t>1%蛇床子素（1</w:t>
            </w:r>
            <w:r>
              <w:rPr>
                <w:rFonts w:hint="eastAsia" w:ascii="宋体" w:hAnsi="宋体" w:cs="宋体"/>
                <w:sz w:val="18"/>
                <w:szCs w:val="18"/>
                <w:vertAlign w:val="subscript"/>
              </w:rPr>
              <w:t xml:space="preserve"> </w:t>
            </w:r>
            <w:r>
              <w:rPr>
                <w:rFonts w:hint="eastAsia" w:ascii="宋体" w:hAnsi="宋体" w:cs="宋体"/>
                <w:sz w:val="18"/>
                <w:szCs w:val="18"/>
              </w:rPr>
              <w:t>000</w:t>
            </w:r>
            <w:r>
              <w:rPr>
                <w:rFonts w:hint="eastAsia" w:ascii="宋体" w:hAnsi="宋体" w:cs="宋体"/>
                <w:kern w:val="0"/>
                <w:sz w:val="18"/>
                <w:szCs w:val="18"/>
              </w:rPr>
              <w:t>～</w:t>
            </w:r>
            <w:r>
              <w:rPr>
                <w:rFonts w:hint="eastAsia" w:ascii="宋体" w:hAnsi="宋体" w:cs="宋体"/>
                <w:sz w:val="18"/>
                <w:szCs w:val="18"/>
              </w:rPr>
              <w:t>2</w:t>
            </w:r>
            <w:r>
              <w:rPr>
                <w:rFonts w:hint="eastAsia" w:ascii="宋体" w:hAnsi="宋体" w:cs="宋体"/>
                <w:sz w:val="18"/>
                <w:szCs w:val="18"/>
                <w:vertAlign w:val="subscript"/>
              </w:rPr>
              <w:t xml:space="preserve"> </w:t>
            </w:r>
            <w:r>
              <w:rPr>
                <w:rFonts w:hint="eastAsia" w:ascii="宋体" w:hAnsi="宋体" w:cs="宋体"/>
                <w:sz w:val="18"/>
                <w:szCs w:val="18"/>
              </w:rPr>
              <w:t>000倍液）+6%嘧啶核苷类抗菌素水剂（600倍液）+20%β-羽扇豆球蛋白多肽可溶液剂（300</w:t>
            </w:r>
            <w:r>
              <w:rPr>
                <w:rFonts w:hint="eastAsia" w:ascii="宋体" w:hAnsi="宋体" w:cs="宋体"/>
                <w:kern w:val="0"/>
                <w:sz w:val="18"/>
                <w:szCs w:val="18"/>
              </w:rPr>
              <w:t>～</w:t>
            </w:r>
            <w:r>
              <w:rPr>
                <w:rFonts w:hint="eastAsia" w:ascii="宋体" w:hAnsi="宋体" w:cs="宋体"/>
                <w:sz w:val="18"/>
                <w:szCs w:val="18"/>
              </w:rPr>
              <w:t>500倍液）</w:t>
            </w:r>
          </w:p>
        </w:tc>
        <w:tc>
          <w:tcPr>
            <w:tcW w:w="2251" w:type="pct"/>
            <w:tcBorders>
              <w:top w:val="single" w:color="auto" w:sz="8" w:space="0"/>
            </w:tcBorders>
          </w:tcPr>
          <w:p>
            <w:pPr>
              <w:adjustRightInd/>
              <w:spacing w:line="240" w:lineRule="auto"/>
              <w:rPr>
                <w:rFonts w:ascii="宋体" w:hAnsi="宋体" w:cs="宋体"/>
                <w:kern w:val="0"/>
                <w:sz w:val="18"/>
                <w:szCs w:val="18"/>
              </w:rPr>
            </w:pPr>
            <w:r>
              <w:rPr>
                <w:rFonts w:hint="eastAsia" w:ascii="宋体" w:hAnsi="宋体" w:cs="宋体"/>
                <w:kern w:val="0"/>
                <w:sz w:val="18"/>
                <w:szCs w:val="18"/>
              </w:rPr>
              <w:t>1%蛇床子素可溶液剂：间隔7</w:t>
            </w:r>
            <w:r>
              <w:rPr>
                <w:rFonts w:hint="eastAsia" w:ascii="宋体" w:hAnsi="宋体" w:cs="宋体"/>
                <w:kern w:val="0"/>
                <w:sz w:val="18"/>
                <w:szCs w:val="18"/>
                <w:vertAlign w:val="subscript"/>
              </w:rPr>
              <w:t xml:space="preserve"> </w:t>
            </w:r>
            <w:r>
              <w:rPr>
                <w:rFonts w:hint="eastAsia" w:ascii="宋体" w:hAnsi="宋体" w:cs="宋体"/>
                <w:kern w:val="0"/>
                <w:sz w:val="18"/>
                <w:szCs w:val="18"/>
              </w:rPr>
              <w:t>d～10</w:t>
            </w:r>
            <w:r>
              <w:rPr>
                <w:rFonts w:hint="eastAsia" w:ascii="宋体" w:hAnsi="宋体" w:cs="宋体"/>
                <w:kern w:val="0"/>
                <w:sz w:val="18"/>
                <w:szCs w:val="18"/>
                <w:vertAlign w:val="subscript"/>
              </w:rPr>
              <w:t xml:space="preserve"> </w:t>
            </w:r>
            <w:r>
              <w:rPr>
                <w:rFonts w:hint="eastAsia" w:ascii="宋体" w:hAnsi="宋体" w:cs="宋体"/>
                <w:kern w:val="0"/>
                <w:sz w:val="18"/>
                <w:szCs w:val="18"/>
              </w:rPr>
              <w:t>d施药1次，连续使用不超过2次。</w:t>
            </w:r>
          </w:p>
          <w:p>
            <w:pPr>
              <w:adjustRightInd/>
              <w:spacing w:line="240" w:lineRule="auto"/>
              <w:rPr>
                <w:rFonts w:ascii="宋体" w:hAnsi="宋体" w:cs="宋体"/>
                <w:kern w:val="0"/>
                <w:sz w:val="18"/>
                <w:szCs w:val="18"/>
              </w:rPr>
            </w:pPr>
            <w:r>
              <w:rPr>
                <w:rFonts w:hint="eastAsia" w:ascii="宋体" w:hAnsi="宋体" w:cs="宋体"/>
                <w:sz w:val="18"/>
                <w:szCs w:val="18"/>
              </w:rPr>
              <w:t>6%嘧啶核苷类抗菌素水剂：</w:t>
            </w:r>
            <w:r>
              <w:rPr>
                <w:rFonts w:hint="eastAsia" w:ascii="宋体" w:hAnsi="宋体" w:cs="宋体"/>
                <w:kern w:val="0"/>
                <w:sz w:val="18"/>
                <w:szCs w:val="18"/>
              </w:rPr>
              <w:t>每次施药间隔10</w:t>
            </w:r>
            <w:r>
              <w:rPr>
                <w:rFonts w:hint="eastAsia" w:ascii="宋体" w:hAnsi="宋体" w:cs="宋体"/>
                <w:kern w:val="0"/>
                <w:sz w:val="18"/>
                <w:szCs w:val="18"/>
                <w:vertAlign w:val="superscript"/>
              </w:rPr>
              <w:t xml:space="preserve"> </w:t>
            </w:r>
            <w:r>
              <w:rPr>
                <w:rFonts w:hint="eastAsia" w:ascii="宋体" w:hAnsi="宋体" w:cs="宋体"/>
                <w:kern w:val="0"/>
                <w:sz w:val="18"/>
                <w:szCs w:val="18"/>
              </w:rPr>
              <w:t>d～15</w:t>
            </w:r>
            <w:r>
              <w:rPr>
                <w:rFonts w:hint="eastAsia" w:ascii="宋体" w:hAnsi="宋体" w:cs="宋体"/>
                <w:kern w:val="0"/>
                <w:sz w:val="18"/>
                <w:szCs w:val="18"/>
                <w:vertAlign w:val="superscript"/>
              </w:rPr>
              <w:t xml:space="preserve"> </w:t>
            </w:r>
            <w:r>
              <w:rPr>
                <w:rFonts w:hint="eastAsia" w:ascii="宋体" w:hAnsi="宋体" w:cs="宋体"/>
                <w:kern w:val="0"/>
                <w:sz w:val="18"/>
                <w:szCs w:val="18"/>
              </w:rPr>
              <w:t>d，可连续用药2次。</w:t>
            </w:r>
          </w:p>
          <w:p>
            <w:pPr>
              <w:adjustRightInd/>
              <w:spacing w:line="240" w:lineRule="auto"/>
              <w:rPr>
                <w:rFonts w:ascii="宋体" w:hAnsi="宋体" w:cs="宋体"/>
                <w:sz w:val="18"/>
                <w:szCs w:val="18"/>
              </w:rPr>
            </w:pPr>
            <w:r>
              <w:rPr>
                <w:rFonts w:hint="eastAsia" w:ascii="宋体" w:hAnsi="宋体" w:cs="宋体"/>
                <w:sz w:val="18"/>
                <w:szCs w:val="18"/>
              </w:rPr>
              <w:t>20%β-羽扇豆球蛋白多肽可溶液剂：</w:t>
            </w:r>
            <w:r>
              <w:rPr>
                <w:rFonts w:hint="eastAsia" w:ascii="宋体" w:hAnsi="宋体" w:cs="宋体"/>
                <w:kern w:val="0"/>
                <w:sz w:val="18"/>
                <w:szCs w:val="18"/>
              </w:rPr>
              <w:t>每隔7</w:t>
            </w:r>
            <w:r>
              <w:rPr>
                <w:rFonts w:hint="eastAsia" w:ascii="宋体" w:hAnsi="宋体" w:cs="宋体"/>
                <w:kern w:val="0"/>
                <w:sz w:val="18"/>
                <w:szCs w:val="18"/>
                <w:vertAlign w:val="superscript"/>
              </w:rPr>
              <w:t xml:space="preserve"> </w:t>
            </w:r>
            <w:r>
              <w:rPr>
                <w:rFonts w:hint="eastAsia" w:ascii="宋体" w:hAnsi="宋体" w:cs="宋体"/>
                <w:kern w:val="0"/>
                <w:sz w:val="18"/>
                <w:szCs w:val="18"/>
              </w:rPr>
              <w:t>d左右1次，可连续施药2～4次。</w:t>
            </w:r>
          </w:p>
        </w:tc>
        <w:tc>
          <w:tcPr>
            <w:tcW w:w="581" w:type="pct"/>
            <w:vMerge w:val="restart"/>
            <w:tcBorders>
              <w:top w:val="single" w:color="auto" w:sz="8" w:space="0"/>
            </w:tcBorders>
            <w:vAlign w:val="center"/>
          </w:tcPr>
          <w:p>
            <w:pPr>
              <w:adjustRightInd/>
              <w:spacing w:line="240" w:lineRule="auto"/>
              <w:rPr>
                <w:rFonts w:ascii="宋体" w:hAnsi="宋体" w:cs="宋体"/>
                <w:sz w:val="18"/>
                <w:szCs w:val="18"/>
              </w:rPr>
            </w:pPr>
            <w:r>
              <w:rPr>
                <w:rFonts w:hint="eastAsia" w:ascii="宋体" w:hAnsi="宋体" w:cs="宋体"/>
                <w:kern w:val="0"/>
                <w:sz w:val="18"/>
                <w:szCs w:val="18"/>
              </w:rPr>
              <w:t>一般每个防治时期按推荐药剂方案使用1次即可，个别年份可根据白粉病发生情况酌情增减药剂使用次数。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adjustRightInd/>
              <w:spacing w:line="240" w:lineRule="auto"/>
              <w:jc w:val="center"/>
              <w:rPr>
                <w:rFonts w:ascii="宋体" w:hAnsi="宋体" w:cs="宋体"/>
                <w:kern w:val="0"/>
                <w:sz w:val="18"/>
                <w:szCs w:val="18"/>
              </w:rPr>
            </w:pP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转色后</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（11月底）</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0.5%大黄素甲醚水剂（500</w:t>
            </w:r>
            <w:r>
              <w:rPr>
                <w:rFonts w:hint="eastAsia" w:ascii="宋体" w:hAnsi="宋体" w:cs="宋体"/>
                <w:kern w:val="0"/>
                <w:sz w:val="18"/>
                <w:szCs w:val="18"/>
              </w:rPr>
              <w:t>～800</w:t>
            </w:r>
            <w:r>
              <w:rPr>
                <w:rFonts w:hint="eastAsia" w:ascii="宋体" w:hAnsi="宋体" w:cs="宋体"/>
                <w:sz w:val="18"/>
                <w:szCs w:val="18"/>
              </w:rPr>
              <w:t>倍液）</w:t>
            </w:r>
          </w:p>
        </w:tc>
        <w:tc>
          <w:tcPr>
            <w:tcW w:w="2251" w:type="pct"/>
          </w:tcPr>
          <w:p>
            <w:pPr>
              <w:adjustRightInd/>
              <w:spacing w:line="240" w:lineRule="auto"/>
              <w:rPr>
                <w:rFonts w:ascii="宋体" w:hAnsi="宋体" w:cs="宋体"/>
                <w:kern w:val="0"/>
                <w:sz w:val="18"/>
                <w:szCs w:val="18"/>
              </w:rPr>
            </w:pPr>
            <w:r>
              <w:rPr>
                <w:rFonts w:hint="eastAsia" w:ascii="宋体" w:hAnsi="宋体" w:cs="宋体"/>
                <w:sz w:val="18"/>
                <w:szCs w:val="18"/>
              </w:rPr>
              <w:t>0.5%大黄素甲醚水剂：</w:t>
            </w:r>
            <w:r>
              <w:rPr>
                <w:rFonts w:hint="eastAsia" w:ascii="宋体" w:hAnsi="宋体" w:cs="宋体"/>
                <w:kern w:val="0"/>
                <w:sz w:val="18"/>
                <w:szCs w:val="18"/>
              </w:rPr>
              <w:t>每隔7</w:t>
            </w:r>
            <w:r>
              <w:rPr>
                <w:rFonts w:hint="eastAsia" w:ascii="宋体" w:hAnsi="宋体" w:cs="宋体"/>
                <w:kern w:val="0"/>
                <w:sz w:val="18"/>
                <w:szCs w:val="18"/>
                <w:vertAlign w:val="superscript"/>
              </w:rPr>
              <w:t xml:space="preserve"> </w:t>
            </w:r>
            <w:r>
              <w:rPr>
                <w:rFonts w:hint="eastAsia" w:ascii="宋体" w:hAnsi="宋体" w:cs="宋体"/>
                <w:kern w:val="0"/>
                <w:sz w:val="18"/>
                <w:szCs w:val="18"/>
              </w:rPr>
              <w:t>d～10</w:t>
            </w:r>
            <w:r>
              <w:rPr>
                <w:rFonts w:hint="eastAsia" w:ascii="宋体" w:hAnsi="宋体" w:cs="宋体"/>
                <w:kern w:val="0"/>
                <w:sz w:val="18"/>
                <w:szCs w:val="18"/>
                <w:vertAlign w:val="subscript"/>
              </w:rPr>
              <w:t xml:space="preserve"> </w:t>
            </w:r>
            <w:r>
              <w:rPr>
                <w:rFonts w:hint="eastAsia" w:ascii="宋体" w:hAnsi="宋体" w:cs="宋体"/>
                <w:kern w:val="0"/>
                <w:sz w:val="18"/>
                <w:szCs w:val="18"/>
              </w:rPr>
              <w:t>d施1次药，连喷2～3次效果较好。</w:t>
            </w:r>
          </w:p>
        </w:tc>
        <w:tc>
          <w:tcPr>
            <w:tcW w:w="581" w:type="pct"/>
            <w:vMerge w:val="continue"/>
            <w:vAlign w:val="center"/>
          </w:tcPr>
          <w:p>
            <w:pPr>
              <w:adjustRightInd/>
              <w:spacing w:line="240" w:lineRule="auto"/>
              <w:rPr>
                <w:rFonts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7" w:type="pct"/>
            <w:vMerge w:val="continue"/>
            <w:vAlign w:val="center"/>
          </w:tcPr>
          <w:p>
            <w:pPr>
              <w:adjustRightInd/>
              <w:spacing w:line="240" w:lineRule="auto"/>
              <w:jc w:val="center"/>
              <w:rPr>
                <w:rFonts w:ascii="宋体" w:hAnsi="宋体" w:cs="宋体"/>
                <w:kern w:val="0"/>
                <w:sz w:val="18"/>
                <w:szCs w:val="18"/>
              </w:rPr>
            </w:pPr>
          </w:p>
        </w:tc>
        <w:tc>
          <w:tcPr>
            <w:tcW w:w="731" w:type="pct"/>
            <w:vAlign w:val="center"/>
          </w:tcPr>
          <w:p>
            <w:pPr>
              <w:adjustRightInd/>
              <w:spacing w:line="240" w:lineRule="auto"/>
              <w:jc w:val="center"/>
              <w:rPr>
                <w:rFonts w:ascii="宋体" w:hAnsi="宋体" w:cs="宋体"/>
                <w:kern w:val="0"/>
                <w:sz w:val="18"/>
                <w:szCs w:val="18"/>
              </w:rPr>
            </w:pPr>
            <w:r>
              <w:rPr>
                <w:rFonts w:hint="eastAsia" w:ascii="宋体" w:hAnsi="宋体" w:cs="宋体"/>
                <w:kern w:val="0"/>
                <w:sz w:val="18"/>
                <w:szCs w:val="18"/>
              </w:rPr>
              <w:t>采收后</w:t>
            </w:r>
          </w:p>
          <w:p>
            <w:pPr>
              <w:adjustRightInd/>
              <w:spacing w:line="240" w:lineRule="auto"/>
              <w:jc w:val="center"/>
              <w:rPr>
                <w:rFonts w:ascii="宋体" w:hAnsi="宋体" w:cs="宋体"/>
                <w:kern w:val="0"/>
                <w:sz w:val="18"/>
                <w:szCs w:val="18"/>
              </w:rPr>
            </w:pPr>
            <w:r>
              <w:rPr>
                <w:rFonts w:hint="eastAsia" w:ascii="宋体" w:hAnsi="宋体" w:cs="宋体"/>
                <w:kern w:val="0"/>
                <w:sz w:val="18"/>
                <w:szCs w:val="18"/>
              </w:rPr>
              <w:t>（1月中旬）</w:t>
            </w:r>
          </w:p>
        </w:tc>
        <w:tc>
          <w:tcPr>
            <w:tcW w:w="1228" w:type="pct"/>
            <w:vAlign w:val="center"/>
          </w:tcPr>
          <w:p>
            <w:pPr>
              <w:adjustRightInd/>
              <w:spacing w:line="240" w:lineRule="auto"/>
              <w:jc w:val="center"/>
              <w:rPr>
                <w:rFonts w:ascii="宋体" w:hAnsi="宋体" w:cs="宋体"/>
                <w:sz w:val="18"/>
                <w:szCs w:val="18"/>
              </w:rPr>
            </w:pPr>
            <w:r>
              <w:rPr>
                <w:rFonts w:hint="eastAsia" w:ascii="宋体" w:hAnsi="宋体" w:cs="宋体"/>
                <w:sz w:val="18"/>
                <w:szCs w:val="18"/>
              </w:rPr>
              <w:t>80%硫磺水分散粒剂（600倍液）</w:t>
            </w:r>
          </w:p>
        </w:tc>
        <w:tc>
          <w:tcPr>
            <w:tcW w:w="2251" w:type="pct"/>
          </w:tcPr>
          <w:p>
            <w:pPr>
              <w:adjustRightInd/>
              <w:spacing w:line="240" w:lineRule="auto"/>
              <w:rPr>
                <w:rFonts w:ascii="宋体" w:hAnsi="宋体" w:cs="宋体"/>
                <w:kern w:val="0"/>
                <w:sz w:val="18"/>
                <w:szCs w:val="18"/>
              </w:rPr>
            </w:pPr>
            <w:r>
              <w:rPr>
                <w:rFonts w:hint="eastAsia" w:ascii="宋体" w:hAnsi="宋体" w:cs="宋体"/>
                <w:kern w:val="0"/>
                <w:sz w:val="18"/>
                <w:szCs w:val="18"/>
              </w:rPr>
              <w:t>清园使用。</w:t>
            </w:r>
          </w:p>
        </w:tc>
        <w:tc>
          <w:tcPr>
            <w:tcW w:w="581" w:type="pct"/>
            <w:vMerge w:val="continue"/>
            <w:vAlign w:val="center"/>
          </w:tcPr>
          <w:p>
            <w:pPr>
              <w:adjustRightInd/>
              <w:spacing w:line="240" w:lineRule="auto"/>
              <w:rPr>
                <w:rFonts w:ascii="宋体" w:hAnsi="宋体" w:cs="宋体"/>
                <w:kern w:val="0"/>
                <w:sz w:val="18"/>
                <w:szCs w:val="18"/>
              </w:rPr>
            </w:pPr>
          </w:p>
        </w:tc>
      </w:tr>
    </w:tbl>
    <w:p>
      <w:pPr>
        <w:pStyle w:val="57"/>
        <w:ind w:firstLine="0" w:firstLineChars="0"/>
        <w:jc w:val="center"/>
      </w:pPr>
    </w:p>
    <w:p>
      <w:pPr>
        <w:pStyle w:val="57"/>
        <w:ind w:firstLine="0" w:firstLineChars="0"/>
        <w:jc w:val="center"/>
      </w:pPr>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cstate="print"/>
                    <a:stretch>
                      <a:fillRect/>
                    </a:stretch>
                  </pic:blipFill>
                  <pic:spPr>
                    <a:xfrm>
                      <a:off x="0" y="0"/>
                      <a:ext cx="1485900" cy="317500"/>
                    </a:xfrm>
                    <a:prstGeom prst="rect">
                      <a:avLst/>
                    </a:prstGeom>
                  </pic:spPr>
                </pic:pic>
              </a:graphicData>
            </a:graphic>
          </wp:inline>
        </w:drawing>
      </w:r>
      <w:bookmarkEnd w:id="40"/>
    </w:p>
    <w:p>
      <w:pPr>
        <w:pStyle w:val="57"/>
        <w:ind w:firstLine="0" w:firstLineChars="0"/>
      </w:pPr>
    </w:p>
    <w:sectPr>
      <w:headerReference r:id="rId15" w:type="default"/>
      <w:footerReference r:id="rId17" w:type="default"/>
      <w:headerReference r:id="rId16" w:type="even"/>
      <w:footerReference r:id="rId18" w:type="even"/>
      <w:pgSz w:w="11906" w:h="16838"/>
      <w:pgMar w:top="1871"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Ansi="黑体"/>
      </w:rPr>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Ansi="黑体"/>
      </w:rPr>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Ansi="黑体"/>
      </w:rPr>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2EA31"/>
    <w:multiLevelType w:val="multilevel"/>
    <w:tmpl w:val="DD12EA31"/>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2978"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284" w:firstLine="0"/>
      </w:pPr>
      <w:rPr>
        <w:rFonts w:hint="eastAsia" w:ascii="黑体" w:eastAsia="黑体"/>
        <w:b w:val="0"/>
        <w:i w:val="0"/>
        <w:sz w:val="21"/>
      </w:rPr>
    </w:lvl>
    <w:lvl w:ilvl="2" w:tentative="0">
      <w:start w:val="1"/>
      <w:numFmt w:val="decimal"/>
      <w:pStyle w:val="106"/>
      <w:suff w:val="nothing"/>
      <w:lvlText w:val="%1%2.%3　"/>
      <w:lvlJc w:val="left"/>
      <w:pPr>
        <w:ind w:left="568"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9"/>
  </w:num>
  <w:num w:numId="4">
    <w:abstractNumId w:val="6"/>
  </w:num>
  <w:num w:numId="5">
    <w:abstractNumId w:val="25"/>
  </w:num>
  <w:num w:numId="6">
    <w:abstractNumId w:val="20"/>
  </w:num>
  <w:num w:numId="7">
    <w:abstractNumId w:val="15"/>
  </w:num>
  <w:num w:numId="8">
    <w:abstractNumId w:val="9"/>
  </w:num>
  <w:num w:numId="9">
    <w:abstractNumId w:val="4"/>
  </w:num>
  <w:num w:numId="10">
    <w:abstractNumId w:val="10"/>
  </w:num>
  <w:num w:numId="11">
    <w:abstractNumId w:val="18"/>
  </w:num>
  <w:num w:numId="12">
    <w:abstractNumId w:val="27"/>
  </w:num>
  <w:num w:numId="13">
    <w:abstractNumId w:val="13"/>
  </w:num>
  <w:num w:numId="14">
    <w:abstractNumId w:val="14"/>
  </w:num>
  <w:num w:numId="15">
    <w:abstractNumId w:val="8"/>
  </w:num>
  <w:num w:numId="16">
    <w:abstractNumId w:val="21"/>
  </w:num>
  <w:num w:numId="17">
    <w:abstractNumId w:val="23"/>
  </w:num>
  <w:num w:numId="18">
    <w:abstractNumId w:val="19"/>
  </w:num>
  <w:num w:numId="19">
    <w:abstractNumId w:val="31"/>
  </w:num>
  <w:num w:numId="20">
    <w:abstractNumId w:val="17"/>
  </w:num>
  <w:num w:numId="21">
    <w:abstractNumId w:val="2"/>
  </w:num>
  <w:num w:numId="22">
    <w:abstractNumId w:val="12"/>
  </w:num>
  <w:num w:numId="23">
    <w:abstractNumId w:val="32"/>
  </w:num>
  <w:num w:numId="24">
    <w:abstractNumId w:val="22"/>
  </w:num>
  <w:num w:numId="25">
    <w:abstractNumId w:val="7"/>
  </w:num>
  <w:num w:numId="26">
    <w:abstractNumId w:val="28"/>
  </w:num>
  <w:num w:numId="27">
    <w:abstractNumId w:val="30"/>
  </w:num>
  <w:num w:numId="28">
    <w:abstractNumId w:val="3"/>
  </w:num>
  <w:num w:numId="29">
    <w:abstractNumId w:val="5"/>
  </w:num>
  <w:num w:numId="30">
    <w:abstractNumId w:val="16"/>
  </w:num>
  <w:num w:numId="31">
    <w:abstractNumId w:val="26"/>
  </w:num>
  <w:num w:numId="32">
    <w:abstractNumId w:val="2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00E"/>
    <w:rsid w:val="0000040A"/>
    <w:rsid w:val="00000A94"/>
    <w:rsid w:val="00001972"/>
    <w:rsid w:val="00001D9A"/>
    <w:rsid w:val="00007B3A"/>
    <w:rsid w:val="000107E0"/>
    <w:rsid w:val="00011FDE"/>
    <w:rsid w:val="00012C65"/>
    <w:rsid w:val="00012FFD"/>
    <w:rsid w:val="00014162"/>
    <w:rsid w:val="00014340"/>
    <w:rsid w:val="00016A9C"/>
    <w:rsid w:val="000213B6"/>
    <w:rsid w:val="00022184"/>
    <w:rsid w:val="00022762"/>
    <w:rsid w:val="000238E0"/>
    <w:rsid w:val="00023955"/>
    <w:rsid w:val="000249DB"/>
    <w:rsid w:val="0002595E"/>
    <w:rsid w:val="000303C3"/>
    <w:rsid w:val="00030491"/>
    <w:rsid w:val="000331D3"/>
    <w:rsid w:val="000346A5"/>
    <w:rsid w:val="000359C3"/>
    <w:rsid w:val="00035A7D"/>
    <w:rsid w:val="000365ED"/>
    <w:rsid w:val="000370D4"/>
    <w:rsid w:val="0004249A"/>
    <w:rsid w:val="00043282"/>
    <w:rsid w:val="00044286"/>
    <w:rsid w:val="0004641F"/>
    <w:rsid w:val="00046D2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BA2"/>
    <w:rsid w:val="0006357D"/>
    <w:rsid w:val="00067F1E"/>
    <w:rsid w:val="00070E32"/>
    <w:rsid w:val="00071CC0"/>
    <w:rsid w:val="00072F9C"/>
    <w:rsid w:val="00073C8C"/>
    <w:rsid w:val="0007602A"/>
    <w:rsid w:val="0007745E"/>
    <w:rsid w:val="00077B64"/>
    <w:rsid w:val="00080A1C"/>
    <w:rsid w:val="00082317"/>
    <w:rsid w:val="00083D2C"/>
    <w:rsid w:val="00086AA1"/>
    <w:rsid w:val="00087A77"/>
    <w:rsid w:val="00090CA6"/>
    <w:rsid w:val="00092B3E"/>
    <w:rsid w:val="00092B8A"/>
    <w:rsid w:val="00092FB0"/>
    <w:rsid w:val="000934C5"/>
    <w:rsid w:val="00093D25"/>
    <w:rsid w:val="00093DAB"/>
    <w:rsid w:val="00094D73"/>
    <w:rsid w:val="00096D63"/>
    <w:rsid w:val="000A0B60"/>
    <w:rsid w:val="000A0EB8"/>
    <w:rsid w:val="000A19FC"/>
    <w:rsid w:val="000A296B"/>
    <w:rsid w:val="000A2993"/>
    <w:rsid w:val="000A4A84"/>
    <w:rsid w:val="000A7311"/>
    <w:rsid w:val="000B060F"/>
    <w:rsid w:val="000B1592"/>
    <w:rsid w:val="000B1FF2"/>
    <w:rsid w:val="000B3CDA"/>
    <w:rsid w:val="000B6A0B"/>
    <w:rsid w:val="000B774E"/>
    <w:rsid w:val="000C0F6C"/>
    <w:rsid w:val="000C11DB"/>
    <w:rsid w:val="000C1492"/>
    <w:rsid w:val="000C2FBD"/>
    <w:rsid w:val="000C4B41"/>
    <w:rsid w:val="000C57D6"/>
    <w:rsid w:val="000C6362"/>
    <w:rsid w:val="000C7666"/>
    <w:rsid w:val="000C7E55"/>
    <w:rsid w:val="000D0A9C"/>
    <w:rsid w:val="000D1795"/>
    <w:rsid w:val="000D329A"/>
    <w:rsid w:val="000D4ACA"/>
    <w:rsid w:val="000D4B9C"/>
    <w:rsid w:val="000D4EB6"/>
    <w:rsid w:val="000D753B"/>
    <w:rsid w:val="000E4C9E"/>
    <w:rsid w:val="000E6FD7"/>
    <w:rsid w:val="000F06E1"/>
    <w:rsid w:val="000F0E3C"/>
    <w:rsid w:val="000F19D5"/>
    <w:rsid w:val="000F1C1D"/>
    <w:rsid w:val="000F2B7E"/>
    <w:rsid w:val="000F3A4C"/>
    <w:rsid w:val="000F4AEA"/>
    <w:rsid w:val="000F67E9"/>
    <w:rsid w:val="00104926"/>
    <w:rsid w:val="00107A57"/>
    <w:rsid w:val="00110C5B"/>
    <w:rsid w:val="00110E78"/>
    <w:rsid w:val="00113B1E"/>
    <w:rsid w:val="0011711C"/>
    <w:rsid w:val="00123981"/>
    <w:rsid w:val="00124E4F"/>
    <w:rsid w:val="001260B7"/>
    <w:rsid w:val="001265CB"/>
    <w:rsid w:val="001321C6"/>
    <w:rsid w:val="001325C4"/>
    <w:rsid w:val="00133010"/>
    <w:rsid w:val="001338EE"/>
    <w:rsid w:val="00133AAE"/>
    <w:rsid w:val="00135323"/>
    <w:rsid w:val="001356C4"/>
    <w:rsid w:val="00141114"/>
    <w:rsid w:val="00142089"/>
    <w:rsid w:val="00142969"/>
    <w:rsid w:val="001446C2"/>
    <w:rsid w:val="001457E7"/>
    <w:rsid w:val="00145D9D"/>
    <w:rsid w:val="00146388"/>
    <w:rsid w:val="0014789E"/>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2DB"/>
    <w:rsid w:val="00174A77"/>
    <w:rsid w:val="00175FE2"/>
    <w:rsid w:val="00176DFD"/>
    <w:rsid w:val="001852C9"/>
    <w:rsid w:val="00190087"/>
    <w:rsid w:val="001913C4"/>
    <w:rsid w:val="00192411"/>
    <w:rsid w:val="0019348F"/>
    <w:rsid w:val="00193A07"/>
    <w:rsid w:val="001943FB"/>
    <w:rsid w:val="00194C95"/>
    <w:rsid w:val="00195C34"/>
    <w:rsid w:val="00196EF5"/>
    <w:rsid w:val="00197675"/>
    <w:rsid w:val="001A019E"/>
    <w:rsid w:val="001A1A53"/>
    <w:rsid w:val="001A234A"/>
    <w:rsid w:val="001A39D0"/>
    <w:rsid w:val="001A4CF3"/>
    <w:rsid w:val="001A6195"/>
    <w:rsid w:val="001B06E8"/>
    <w:rsid w:val="001B29A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003"/>
    <w:rsid w:val="001E1B5E"/>
    <w:rsid w:val="001E1B6A"/>
    <w:rsid w:val="001E2484"/>
    <w:rsid w:val="001E3CC4"/>
    <w:rsid w:val="001E4882"/>
    <w:rsid w:val="001E73AB"/>
    <w:rsid w:val="001F092D"/>
    <w:rsid w:val="001F143A"/>
    <w:rsid w:val="001F1605"/>
    <w:rsid w:val="001F1D2E"/>
    <w:rsid w:val="001F2508"/>
    <w:rsid w:val="001F4816"/>
    <w:rsid w:val="001F69B4"/>
    <w:rsid w:val="001F77C7"/>
    <w:rsid w:val="00200183"/>
    <w:rsid w:val="00200333"/>
    <w:rsid w:val="0020107D"/>
    <w:rsid w:val="00202AA4"/>
    <w:rsid w:val="002031F7"/>
    <w:rsid w:val="00203C95"/>
    <w:rsid w:val="002040E6"/>
    <w:rsid w:val="00204EB2"/>
    <w:rsid w:val="0020527B"/>
    <w:rsid w:val="00205F2C"/>
    <w:rsid w:val="00210B15"/>
    <w:rsid w:val="002114C7"/>
    <w:rsid w:val="002142EA"/>
    <w:rsid w:val="002204BB"/>
    <w:rsid w:val="002206E6"/>
    <w:rsid w:val="00221B79"/>
    <w:rsid w:val="00221C6B"/>
    <w:rsid w:val="00224E16"/>
    <w:rsid w:val="002253A1"/>
    <w:rsid w:val="00225CF8"/>
    <w:rsid w:val="002274A5"/>
    <w:rsid w:val="0022794E"/>
    <w:rsid w:val="002306D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09"/>
    <w:rsid w:val="00281BB8"/>
    <w:rsid w:val="00281E9E"/>
    <w:rsid w:val="00282405"/>
    <w:rsid w:val="00282C48"/>
    <w:rsid w:val="0028500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409"/>
    <w:rsid w:val="002A4CEA"/>
    <w:rsid w:val="002A5977"/>
    <w:rsid w:val="002A5A13"/>
    <w:rsid w:val="002A5CA8"/>
    <w:rsid w:val="002A757F"/>
    <w:rsid w:val="002A7F44"/>
    <w:rsid w:val="002B0C40"/>
    <w:rsid w:val="002B1966"/>
    <w:rsid w:val="002B34CD"/>
    <w:rsid w:val="002B4508"/>
    <w:rsid w:val="002B5779"/>
    <w:rsid w:val="002B682A"/>
    <w:rsid w:val="002B7332"/>
    <w:rsid w:val="002B7F51"/>
    <w:rsid w:val="002C00E2"/>
    <w:rsid w:val="002C09E7"/>
    <w:rsid w:val="002C11B0"/>
    <w:rsid w:val="002C1E06"/>
    <w:rsid w:val="002C3F07"/>
    <w:rsid w:val="002C5278"/>
    <w:rsid w:val="002C7EBB"/>
    <w:rsid w:val="002D06C1"/>
    <w:rsid w:val="002D42B5"/>
    <w:rsid w:val="002D4F1A"/>
    <w:rsid w:val="002D5040"/>
    <w:rsid w:val="002D6EC6"/>
    <w:rsid w:val="002D794D"/>
    <w:rsid w:val="002D79AC"/>
    <w:rsid w:val="002E039D"/>
    <w:rsid w:val="002E19A8"/>
    <w:rsid w:val="002E349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9F3"/>
    <w:rsid w:val="00322E62"/>
    <w:rsid w:val="00324D13"/>
    <w:rsid w:val="00324EDD"/>
    <w:rsid w:val="003331E4"/>
    <w:rsid w:val="00336C64"/>
    <w:rsid w:val="00337162"/>
    <w:rsid w:val="00340FB9"/>
    <w:rsid w:val="0034194F"/>
    <w:rsid w:val="00344605"/>
    <w:rsid w:val="003474AA"/>
    <w:rsid w:val="00350D1D"/>
    <w:rsid w:val="00352C83"/>
    <w:rsid w:val="00354E9B"/>
    <w:rsid w:val="003615D2"/>
    <w:rsid w:val="0036356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7CF"/>
    <w:rsid w:val="00382DE7"/>
    <w:rsid w:val="00384FFC"/>
    <w:rsid w:val="003872FC"/>
    <w:rsid w:val="00387ADC"/>
    <w:rsid w:val="00390020"/>
    <w:rsid w:val="003903D6"/>
    <w:rsid w:val="00390EE6"/>
    <w:rsid w:val="0039118F"/>
    <w:rsid w:val="0039201D"/>
    <w:rsid w:val="00392AD7"/>
    <w:rsid w:val="003938D9"/>
    <w:rsid w:val="00394376"/>
    <w:rsid w:val="003943FF"/>
    <w:rsid w:val="003974EB"/>
    <w:rsid w:val="003978E4"/>
    <w:rsid w:val="00397CC5"/>
    <w:rsid w:val="003A1582"/>
    <w:rsid w:val="003A4077"/>
    <w:rsid w:val="003A6269"/>
    <w:rsid w:val="003A7EC1"/>
    <w:rsid w:val="003B09AD"/>
    <w:rsid w:val="003B1F18"/>
    <w:rsid w:val="003B5BF0"/>
    <w:rsid w:val="003B60BF"/>
    <w:rsid w:val="003B6BE3"/>
    <w:rsid w:val="003B6D1E"/>
    <w:rsid w:val="003C010C"/>
    <w:rsid w:val="003C0A6C"/>
    <w:rsid w:val="003C14F8"/>
    <w:rsid w:val="003C465A"/>
    <w:rsid w:val="003C5A43"/>
    <w:rsid w:val="003D0519"/>
    <w:rsid w:val="003D0FF6"/>
    <w:rsid w:val="003D262C"/>
    <w:rsid w:val="003D6D61"/>
    <w:rsid w:val="003E091D"/>
    <w:rsid w:val="003E1C53"/>
    <w:rsid w:val="003E2A69"/>
    <w:rsid w:val="003E2D49"/>
    <w:rsid w:val="003E2FD4"/>
    <w:rsid w:val="003E49F6"/>
    <w:rsid w:val="003E660F"/>
    <w:rsid w:val="003E76F3"/>
    <w:rsid w:val="003F0841"/>
    <w:rsid w:val="003F23D3"/>
    <w:rsid w:val="003F3F08"/>
    <w:rsid w:val="003F4478"/>
    <w:rsid w:val="003F49F1"/>
    <w:rsid w:val="003F6272"/>
    <w:rsid w:val="003F7DC3"/>
    <w:rsid w:val="00400E72"/>
    <w:rsid w:val="00401400"/>
    <w:rsid w:val="00403C50"/>
    <w:rsid w:val="00404869"/>
    <w:rsid w:val="00405884"/>
    <w:rsid w:val="00407D39"/>
    <w:rsid w:val="0041477A"/>
    <w:rsid w:val="004167A3"/>
    <w:rsid w:val="004233A2"/>
    <w:rsid w:val="00432DAA"/>
    <w:rsid w:val="00434305"/>
    <w:rsid w:val="00435B03"/>
    <w:rsid w:val="00435DF7"/>
    <w:rsid w:val="00436EEC"/>
    <w:rsid w:val="0044083F"/>
    <w:rsid w:val="00441AE7"/>
    <w:rsid w:val="00445574"/>
    <w:rsid w:val="004467FB"/>
    <w:rsid w:val="00452D6B"/>
    <w:rsid w:val="00454484"/>
    <w:rsid w:val="0045517B"/>
    <w:rsid w:val="004576A8"/>
    <w:rsid w:val="004611AC"/>
    <w:rsid w:val="0046162A"/>
    <w:rsid w:val="00462754"/>
    <w:rsid w:val="00463B77"/>
    <w:rsid w:val="00463C7B"/>
    <w:rsid w:val="00463FBB"/>
    <w:rsid w:val="004644A6"/>
    <w:rsid w:val="004659BD"/>
    <w:rsid w:val="00470775"/>
    <w:rsid w:val="004746B1"/>
    <w:rsid w:val="0047583F"/>
    <w:rsid w:val="00475DE8"/>
    <w:rsid w:val="00481C44"/>
    <w:rsid w:val="00484361"/>
    <w:rsid w:val="00484936"/>
    <w:rsid w:val="00485C89"/>
    <w:rsid w:val="00486BE3"/>
    <w:rsid w:val="004905E4"/>
    <w:rsid w:val="00490A89"/>
    <w:rsid w:val="00490AB4"/>
    <w:rsid w:val="00492F02"/>
    <w:rsid w:val="004939AE"/>
    <w:rsid w:val="004A12DF"/>
    <w:rsid w:val="004A1BA8"/>
    <w:rsid w:val="004A2F7B"/>
    <w:rsid w:val="004A4B57"/>
    <w:rsid w:val="004A5EAB"/>
    <w:rsid w:val="004A63FA"/>
    <w:rsid w:val="004A7A06"/>
    <w:rsid w:val="004B0272"/>
    <w:rsid w:val="004B2701"/>
    <w:rsid w:val="004B2E1B"/>
    <w:rsid w:val="004B3AA8"/>
    <w:rsid w:val="004B3E93"/>
    <w:rsid w:val="004B5F5E"/>
    <w:rsid w:val="004C1FBC"/>
    <w:rsid w:val="004C3F1D"/>
    <w:rsid w:val="004C458D"/>
    <w:rsid w:val="004C4793"/>
    <w:rsid w:val="004C5C8D"/>
    <w:rsid w:val="004C7556"/>
    <w:rsid w:val="004C7E8B"/>
    <w:rsid w:val="004C7E9D"/>
    <w:rsid w:val="004C7F67"/>
    <w:rsid w:val="004D076D"/>
    <w:rsid w:val="004D0EF1"/>
    <w:rsid w:val="004D14DD"/>
    <w:rsid w:val="004D2253"/>
    <w:rsid w:val="004D4406"/>
    <w:rsid w:val="004D7765"/>
    <w:rsid w:val="004D7C42"/>
    <w:rsid w:val="004E0465"/>
    <w:rsid w:val="004E127B"/>
    <w:rsid w:val="004E1C0A"/>
    <w:rsid w:val="004E2058"/>
    <w:rsid w:val="004E30C5"/>
    <w:rsid w:val="004E4AA5"/>
    <w:rsid w:val="004E4AEE"/>
    <w:rsid w:val="004E59E3"/>
    <w:rsid w:val="004E67C0"/>
    <w:rsid w:val="004E781D"/>
    <w:rsid w:val="004F391A"/>
    <w:rsid w:val="004F3CFB"/>
    <w:rsid w:val="004F6456"/>
    <w:rsid w:val="004F696E"/>
    <w:rsid w:val="004F6C71"/>
    <w:rsid w:val="00500B94"/>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4D8"/>
    <w:rsid w:val="00525B16"/>
    <w:rsid w:val="00526143"/>
    <w:rsid w:val="00533D04"/>
    <w:rsid w:val="00534804"/>
    <w:rsid w:val="00534BDF"/>
    <w:rsid w:val="005354EA"/>
    <w:rsid w:val="0053585F"/>
    <w:rsid w:val="00535EC4"/>
    <w:rsid w:val="00535ED9"/>
    <w:rsid w:val="0053692B"/>
    <w:rsid w:val="00540011"/>
    <w:rsid w:val="005417CF"/>
    <w:rsid w:val="00541853"/>
    <w:rsid w:val="00543BDA"/>
    <w:rsid w:val="005441CC"/>
    <w:rsid w:val="005479DA"/>
    <w:rsid w:val="00547BCC"/>
    <w:rsid w:val="0055013B"/>
    <w:rsid w:val="00551F6F"/>
    <w:rsid w:val="00555044"/>
    <w:rsid w:val="00555687"/>
    <w:rsid w:val="00561475"/>
    <w:rsid w:val="00563CAB"/>
    <w:rsid w:val="0056487B"/>
    <w:rsid w:val="00564FB9"/>
    <w:rsid w:val="005677AA"/>
    <w:rsid w:val="00573D9E"/>
    <w:rsid w:val="005801E3"/>
    <w:rsid w:val="00581802"/>
    <w:rsid w:val="005836A8"/>
    <w:rsid w:val="0058409C"/>
    <w:rsid w:val="00584262"/>
    <w:rsid w:val="00586630"/>
    <w:rsid w:val="00587ADD"/>
    <w:rsid w:val="00593435"/>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C29B8"/>
    <w:rsid w:val="005C4ABF"/>
    <w:rsid w:val="005C536C"/>
    <w:rsid w:val="005C5F21"/>
    <w:rsid w:val="005C7156"/>
    <w:rsid w:val="005D0C75"/>
    <w:rsid w:val="005D4171"/>
    <w:rsid w:val="005D46B2"/>
    <w:rsid w:val="005D4D6B"/>
    <w:rsid w:val="005D6A95"/>
    <w:rsid w:val="005D6B2C"/>
    <w:rsid w:val="005D6D9C"/>
    <w:rsid w:val="005E2335"/>
    <w:rsid w:val="005E34CA"/>
    <w:rsid w:val="005E3C18"/>
    <w:rsid w:val="005E6812"/>
    <w:rsid w:val="005E7881"/>
    <w:rsid w:val="005E78E0"/>
    <w:rsid w:val="005F0D9C"/>
    <w:rsid w:val="005F0DFA"/>
    <w:rsid w:val="005F17DF"/>
    <w:rsid w:val="005F284E"/>
    <w:rsid w:val="005F6EB5"/>
    <w:rsid w:val="005F7D1F"/>
    <w:rsid w:val="006015CE"/>
    <w:rsid w:val="00603F4E"/>
    <w:rsid w:val="00604784"/>
    <w:rsid w:val="00605291"/>
    <w:rsid w:val="00606419"/>
    <w:rsid w:val="006077D7"/>
    <w:rsid w:val="00607D29"/>
    <w:rsid w:val="006117DD"/>
    <w:rsid w:val="006127DE"/>
    <w:rsid w:val="00612952"/>
    <w:rsid w:val="006132BB"/>
    <w:rsid w:val="00614CC1"/>
    <w:rsid w:val="00615A9D"/>
    <w:rsid w:val="00616B41"/>
    <w:rsid w:val="00617387"/>
    <w:rsid w:val="0061738D"/>
    <w:rsid w:val="00617984"/>
    <w:rsid w:val="006205D6"/>
    <w:rsid w:val="006252D8"/>
    <w:rsid w:val="006259BC"/>
    <w:rsid w:val="0062636B"/>
    <w:rsid w:val="0063082D"/>
    <w:rsid w:val="00632182"/>
    <w:rsid w:val="00632AE0"/>
    <w:rsid w:val="00633C17"/>
    <w:rsid w:val="00634D9E"/>
    <w:rsid w:val="00636548"/>
    <w:rsid w:val="00636E3E"/>
    <w:rsid w:val="006379F7"/>
    <w:rsid w:val="00637E4D"/>
    <w:rsid w:val="00640620"/>
    <w:rsid w:val="00640B73"/>
    <w:rsid w:val="00641A1F"/>
    <w:rsid w:val="006439F3"/>
    <w:rsid w:val="00645904"/>
    <w:rsid w:val="00645E3D"/>
    <w:rsid w:val="006512E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1F"/>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70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404"/>
    <w:rsid w:val="006F6284"/>
    <w:rsid w:val="007002C5"/>
    <w:rsid w:val="00700C80"/>
    <w:rsid w:val="00704387"/>
    <w:rsid w:val="00705693"/>
    <w:rsid w:val="00707669"/>
    <w:rsid w:val="00711CBA"/>
    <w:rsid w:val="00711FB5"/>
    <w:rsid w:val="00712A01"/>
    <w:rsid w:val="0071491F"/>
    <w:rsid w:val="00714F58"/>
    <w:rsid w:val="00716D38"/>
    <w:rsid w:val="007219AB"/>
    <w:rsid w:val="0072208F"/>
    <w:rsid w:val="00722FBF"/>
    <w:rsid w:val="00722FC2"/>
    <w:rsid w:val="00724E1B"/>
    <w:rsid w:val="00725949"/>
    <w:rsid w:val="00726BF3"/>
    <w:rsid w:val="00727FA2"/>
    <w:rsid w:val="00730712"/>
    <w:rsid w:val="007322D9"/>
    <w:rsid w:val="00732BC0"/>
    <w:rsid w:val="0073720F"/>
    <w:rsid w:val="00737796"/>
    <w:rsid w:val="007402BE"/>
    <w:rsid w:val="0074080A"/>
    <w:rsid w:val="0074165C"/>
    <w:rsid w:val="00742C35"/>
    <w:rsid w:val="007432CA"/>
    <w:rsid w:val="007439EB"/>
    <w:rsid w:val="00743CB4"/>
    <w:rsid w:val="00743F0A"/>
    <w:rsid w:val="007444E8"/>
    <w:rsid w:val="007447F2"/>
    <w:rsid w:val="0074548E"/>
    <w:rsid w:val="00745773"/>
    <w:rsid w:val="00746800"/>
    <w:rsid w:val="007501A8"/>
    <w:rsid w:val="00750C1C"/>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792"/>
    <w:rsid w:val="007959E8"/>
    <w:rsid w:val="00795C1B"/>
    <w:rsid w:val="00795E9C"/>
    <w:rsid w:val="007A03FA"/>
    <w:rsid w:val="007A0521"/>
    <w:rsid w:val="007A1B88"/>
    <w:rsid w:val="007A2E12"/>
    <w:rsid w:val="007A3475"/>
    <w:rsid w:val="007A41C8"/>
    <w:rsid w:val="007A4599"/>
    <w:rsid w:val="007A54CE"/>
    <w:rsid w:val="007A6585"/>
    <w:rsid w:val="007A6FD9"/>
    <w:rsid w:val="007A7A6B"/>
    <w:rsid w:val="007A7FFA"/>
    <w:rsid w:val="007B04EB"/>
    <w:rsid w:val="007B0D4F"/>
    <w:rsid w:val="007B5A3D"/>
    <w:rsid w:val="007B5B95"/>
    <w:rsid w:val="007B68EA"/>
    <w:rsid w:val="007B726C"/>
    <w:rsid w:val="007B7453"/>
    <w:rsid w:val="007C2D89"/>
    <w:rsid w:val="007C4593"/>
    <w:rsid w:val="007C5309"/>
    <w:rsid w:val="007C6069"/>
    <w:rsid w:val="007C6A0C"/>
    <w:rsid w:val="007D06C4"/>
    <w:rsid w:val="007D1352"/>
    <w:rsid w:val="007D2508"/>
    <w:rsid w:val="007D346A"/>
    <w:rsid w:val="007D6518"/>
    <w:rsid w:val="007D76BD"/>
    <w:rsid w:val="007E0BF1"/>
    <w:rsid w:val="007F0BC2"/>
    <w:rsid w:val="007F0ED8"/>
    <w:rsid w:val="007F0F63"/>
    <w:rsid w:val="007F3FA4"/>
    <w:rsid w:val="007F75CE"/>
    <w:rsid w:val="008013A4"/>
    <w:rsid w:val="008027CE"/>
    <w:rsid w:val="00802F42"/>
    <w:rsid w:val="00804383"/>
    <w:rsid w:val="00804BB7"/>
    <w:rsid w:val="00804D41"/>
    <w:rsid w:val="00805388"/>
    <w:rsid w:val="0080756A"/>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92F"/>
    <w:rsid w:val="008269DD"/>
    <w:rsid w:val="00830621"/>
    <w:rsid w:val="0083348C"/>
    <w:rsid w:val="008373D3"/>
    <w:rsid w:val="00840617"/>
    <w:rsid w:val="00840F84"/>
    <w:rsid w:val="00842A47"/>
    <w:rsid w:val="00843C13"/>
    <w:rsid w:val="008454F8"/>
    <w:rsid w:val="00850845"/>
    <w:rsid w:val="0085173A"/>
    <w:rsid w:val="008603CE"/>
    <w:rsid w:val="008620FC"/>
    <w:rsid w:val="008627A5"/>
    <w:rsid w:val="00863B59"/>
    <w:rsid w:val="00863E05"/>
    <w:rsid w:val="00865ACA"/>
    <w:rsid w:val="00865D28"/>
    <w:rsid w:val="00865F85"/>
    <w:rsid w:val="00867C10"/>
    <w:rsid w:val="00870439"/>
    <w:rsid w:val="00870DA1"/>
    <w:rsid w:val="008812D3"/>
    <w:rsid w:val="00881EF2"/>
    <w:rsid w:val="00883F93"/>
    <w:rsid w:val="00884DB3"/>
    <w:rsid w:val="00885A9D"/>
    <w:rsid w:val="008864F6"/>
    <w:rsid w:val="0089049D"/>
    <w:rsid w:val="008928C9"/>
    <w:rsid w:val="008930CB"/>
    <w:rsid w:val="008938DC"/>
    <w:rsid w:val="00893FD1"/>
    <w:rsid w:val="00894836"/>
    <w:rsid w:val="00895172"/>
    <w:rsid w:val="00895680"/>
    <w:rsid w:val="0089642C"/>
    <w:rsid w:val="00896DFF"/>
    <w:rsid w:val="0089762C"/>
    <w:rsid w:val="008A1893"/>
    <w:rsid w:val="008A57E6"/>
    <w:rsid w:val="008A61EC"/>
    <w:rsid w:val="008A6F81"/>
    <w:rsid w:val="008A769A"/>
    <w:rsid w:val="008B0C9C"/>
    <w:rsid w:val="008B166D"/>
    <w:rsid w:val="008B17F4"/>
    <w:rsid w:val="008B3615"/>
    <w:rsid w:val="008B4AC4"/>
    <w:rsid w:val="008B50C8"/>
    <w:rsid w:val="008B5281"/>
    <w:rsid w:val="008B7E05"/>
    <w:rsid w:val="008C0ED0"/>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B4"/>
    <w:rsid w:val="008E6A84"/>
    <w:rsid w:val="008F0CDC"/>
    <w:rsid w:val="008F17A3"/>
    <w:rsid w:val="008F1ED3"/>
    <w:rsid w:val="008F4C29"/>
    <w:rsid w:val="008F70BD"/>
    <w:rsid w:val="008F788F"/>
    <w:rsid w:val="008F7EA2"/>
    <w:rsid w:val="00902722"/>
    <w:rsid w:val="009027BC"/>
    <w:rsid w:val="00904E17"/>
    <w:rsid w:val="009062E6"/>
    <w:rsid w:val="0090702B"/>
    <w:rsid w:val="0091043D"/>
    <w:rsid w:val="00911349"/>
    <w:rsid w:val="00911BE5"/>
    <w:rsid w:val="00913CA9"/>
    <w:rsid w:val="009145AE"/>
    <w:rsid w:val="0091465E"/>
    <w:rsid w:val="009146CE"/>
    <w:rsid w:val="00914CA7"/>
    <w:rsid w:val="00915C3E"/>
    <w:rsid w:val="009161A8"/>
    <w:rsid w:val="009178A8"/>
    <w:rsid w:val="0092039E"/>
    <w:rsid w:val="009245F5"/>
    <w:rsid w:val="009249EC"/>
    <w:rsid w:val="009273B3"/>
    <w:rsid w:val="00930166"/>
    <w:rsid w:val="009305B5"/>
    <w:rsid w:val="009429D5"/>
    <w:rsid w:val="00942BF1"/>
    <w:rsid w:val="00945180"/>
    <w:rsid w:val="00945428"/>
    <w:rsid w:val="0094607B"/>
    <w:rsid w:val="00953604"/>
    <w:rsid w:val="0095496B"/>
    <w:rsid w:val="009610DC"/>
    <w:rsid w:val="00961490"/>
    <w:rsid w:val="00961DBA"/>
    <w:rsid w:val="0096381A"/>
    <w:rsid w:val="00965E04"/>
    <w:rsid w:val="009674AD"/>
    <w:rsid w:val="00970CDC"/>
    <w:rsid w:val="00977010"/>
    <w:rsid w:val="00977D02"/>
    <w:rsid w:val="0098099B"/>
    <w:rsid w:val="009809BB"/>
    <w:rsid w:val="0098364B"/>
    <w:rsid w:val="00984118"/>
    <w:rsid w:val="00985EBE"/>
    <w:rsid w:val="009911AF"/>
    <w:rsid w:val="00991875"/>
    <w:rsid w:val="00991F92"/>
    <w:rsid w:val="00992985"/>
    <w:rsid w:val="00993030"/>
    <w:rsid w:val="00993889"/>
    <w:rsid w:val="0099551B"/>
    <w:rsid w:val="00997BF1"/>
    <w:rsid w:val="009A089C"/>
    <w:rsid w:val="009A118E"/>
    <w:rsid w:val="009A21CD"/>
    <w:rsid w:val="009A278C"/>
    <w:rsid w:val="009A2BC2"/>
    <w:rsid w:val="009A42C1"/>
    <w:rsid w:val="009A5429"/>
    <w:rsid w:val="009A72AD"/>
    <w:rsid w:val="009B06DC"/>
    <w:rsid w:val="009B09E0"/>
    <w:rsid w:val="009B0BC5"/>
    <w:rsid w:val="009B1247"/>
    <w:rsid w:val="009B6029"/>
    <w:rsid w:val="009B6971"/>
    <w:rsid w:val="009C0EBC"/>
    <w:rsid w:val="009C0F81"/>
    <w:rsid w:val="009C1099"/>
    <w:rsid w:val="009C27F1"/>
    <w:rsid w:val="009C3152"/>
    <w:rsid w:val="009C4CFA"/>
    <w:rsid w:val="009C5070"/>
    <w:rsid w:val="009D112C"/>
    <w:rsid w:val="009D2FC8"/>
    <w:rsid w:val="009D47FA"/>
    <w:rsid w:val="009D4C5B"/>
    <w:rsid w:val="009D50D2"/>
    <w:rsid w:val="009D6BCA"/>
    <w:rsid w:val="009E0F62"/>
    <w:rsid w:val="009E4A58"/>
    <w:rsid w:val="009E5A2D"/>
    <w:rsid w:val="009E5AB2"/>
    <w:rsid w:val="009E6219"/>
    <w:rsid w:val="009F03B3"/>
    <w:rsid w:val="009F737C"/>
    <w:rsid w:val="00A0096C"/>
    <w:rsid w:val="00A01757"/>
    <w:rsid w:val="00A028C0"/>
    <w:rsid w:val="00A02BAE"/>
    <w:rsid w:val="00A048AE"/>
    <w:rsid w:val="00A06A6B"/>
    <w:rsid w:val="00A07E47"/>
    <w:rsid w:val="00A129D0"/>
    <w:rsid w:val="00A12C33"/>
    <w:rsid w:val="00A138BA"/>
    <w:rsid w:val="00A145D3"/>
    <w:rsid w:val="00A14C8E"/>
    <w:rsid w:val="00A153D9"/>
    <w:rsid w:val="00A15E5E"/>
    <w:rsid w:val="00A15F09"/>
    <w:rsid w:val="00A169B6"/>
    <w:rsid w:val="00A2271D"/>
    <w:rsid w:val="00A237D5"/>
    <w:rsid w:val="00A24E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DCF"/>
    <w:rsid w:val="00A648CD"/>
    <w:rsid w:val="00A6537A"/>
    <w:rsid w:val="00A67866"/>
    <w:rsid w:val="00A70B07"/>
    <w:rsid w:val="00A723F8"/>
    <w:rsid w:val="00A77CCB"/>
    <w:rsid w:val="00A8161E"/>
    <w:rsid w:val="00A83D8D"/>
    <w:rsid w:val="00A8446B"/>
    <w:rsid w:val="00A8473F"/>
    <w:rsid w:val="00A854A4"/>
    <w:rsid w:val="00A85C39"/>
    <w:rsid w:val="00A862D6"/>
    <w:rsid w:val="00A8715E"/>
    <w:rsid w:val="00A9295B"/>
    <w:rsid w:val="00A93B09"/>
    <w:rsid w:val="00A952D7"/>
    <w:rsid w:val="00A963F7"/>
    <w:rsid w:val="00A96AD8"/>
    <w:rsid w:val="00AA052C"/>
    <w:rsid w:val="00AA1E45"/>
    <w:rsid w:val="00AA29A9"/>
    <w:rsid w:val="00AA4286"/>
    <w:rsid w:val="00AA456B"/>
    <w:rsid w:val="00AA5000"/>
    <w:rsid w:val="00AA57F5"/>
    <w:rsid w:val="00AA5A66"/>
    <w:rsid w:val="00AA5F1E"/>
    <w:rsid w:val="00AA672E"/>
    <w:rsid w:val="00AA6EC9"/>
    <w:rsid w:val="00AB146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67"/>
    <w:rsid w:val="00AE37E5"/>
    <w:rsid w:val="00AE5EB4"/>
    <w:rsid w:val="00AF0C18"/>
    <w:rsid w:val="00AF257C"/>
    <w:rsid w:val="00AF351C"/>
    <w:rsid w:val="00AF47C5"/>
    <w:rsid w:val="00AF5398"/>
    <w:rsid w:val="00B049AF"/>
    <w:rsid w:val="00B07242"/>
    <w:rsid w:val="00B10534"/>
    <w:rsid w:val="00B113DB"/>
    <w:rsid w:val="00B11D8A"/>
    <w:rsid w:val="00B12981"/>
    <w:rsid w:val="00B147DD"/>
    <w:rsid w:val="00B156FD"/>
    <w:rsid w:val="00B21F61"/>
    <w:rsid w:val="00B22E92"/>
    <w:rsid w:val="00B261F1"/>
    <w:rsid w:val="00B265BC"/>
    <w:rsid w:val="00B266E1"/>
    <w:rsid w:val="00B31FB1"/>
    <w:rsid w:val="00B32C48"/>
    <w:rsid w:val="00B33952"/>
    <w:rsid w:val="00B33C5E"/>
    <w:rsid w:val="00B342F4"/>
    <w:rsid w:val="00B34369"/>
    <w:rsid w:val="00B348E6"/>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474"/>
    <w:rsid w:val="00B72880"/>
    <w:rsid w:val="00B758BF"/>
    <w:rsid w:val="00B77EC8"/>
    <w:rsid w:val="00B827A6"/>
    <w:rsid w:val="00B831CE"/>
    <w:rsid w:val="00B8529A"/>
    <w:rsid w:val="00B86677"/>
    <w:rsid w:val="00B87131"/>
    <w:rsid w:val="00B921BD"/>
    <w:rsid w:val="00B939B1"/>
    <w:rsid w:val="00B96D40"/>
    <w:rsid w:val="00B97386"/>
    <w:rsid w:val="00BA263B"/>
    <w:rsid w:val="00BA42B2"/>
    <w:rsid w:val="00BA58D4"/>
    <w:rsid w:val="00BA5B9E"/>
    <w:rsid w:val="00BA7C9A"/>
    <w:rsid w:val="00BB3216"/>
    <w:rsid w:val="00BB5F8F"/>
    <w:rsid w:val="00BB657A"/>
    <w:rsid w:val="00BB78F1"/>
    <w:rsid w:val="00BB796B"/>
    <w:rsid w:val="00BC1A4E"/>
    <w:rsid w:val="00BC5DC7"/>
    <w:rsid w:val="00BC6B8B"/>
    <w:rsid w:val="00BC73D8"/>
    <w:rsid w:val="00BC75B1"/>
    <w:rsid w:val="00BD52D7"/>
    <w:rsid w:val="00BD5AD2"/>
    <w:rsid w:val="00BE22F3"/>
    <w:rsid w:val="00BE26A2"/>
    <w:rsid w:val="00BE4E9A"/>
    <w:rsid w:val="00BE5B52"/>
    <w:rsid w:val="00BE73D2"/>
    <w:rsid w:val="00BE7B8D"/>
    <w:rsid w:val="00BF0993"/>
    <w:rsid w:val="00BF10A9"/>
    <w:rsid w:val="00BF1703"/>
    <w:rsid w:val="00BF231C"/>
    <w:rsid w:val="00BF51E5"/>
    <w:rsid w:val="00BF74A6"/>
    <w:rsid w:val="00C013AD"/>
    <w:rsid w:val="00C04904"/>
    <w:rsid w:val="00C056B3"/>
    <w:rsid w:val="00C1029A"/>
    <w:rsid w:val="00C103E5"/>
    <w:rsid w:val="00C1234D"/>
    <w:rsid w:val="00C13319"/>
    <w:rsid w:val="00C13EE9"/>
    <w:rsid w:val="00C17101"/>
    <w:rsid w:val="00C1735F"/>
    <w:rsid w:val="00C2075A"/>
    <w:rsid w:val="00C21540"/>
    <w:rsid w:val="00C21906"/>
    <w:rsid w:val="00C21A7E"/>
    <w:rsid w:val="00C21BFA"/>
    <w:rsid w:val="00C22148"/>
    <w:rsid w:val="00C24C8D"/>
    <w:rsid w:val="00C25FE2"/>
    <w:rsid w:val="00C26B53"/>
    <w:rsid w:val="00C279B2"/>
    <w:rsid w:val="00C33E50"/>
    <w:rsid w:val="00C34196"/>
    <w:rsid w:val="00C34C20"/>
    <w:rsid w:val="00C35A3E"/>
    <w:rsid w:val="00C35A41"/>
    <w:rsid w:val="00C42130"/>
    <w:rsid w:val="00C423A4"/>
    <w:rsid w:val="00C44BF5"/>
    <w:rsid w:val="00C4613F"/>
    <w:rsid w:val="00C462AD"/>
    <w:rsid w:val="00C521D6"/>
    <w:rsid w:val="00C55232"/>
    <w:rsid w:val="00C553A4"/>
    <w:rsid w:val="00C55A06"/>
    <w:rsid w:val="00C55D03"/>
    <w:rsid w:val="00C601BC"/>
    <w:rsid w:val="00C62F0A"/>
    <w:rsid w:val="00C6329F"/>
    <w:rsid w:val="00C63340"/>
    <w:rsid w:val="00C63E58"/>
    <w:rsid w:val="00C64049"/>
    <w:rsid w:val="00C643F9"/>
    <w:rsid w:val="00C64E95"/>
    <w:rsid w:val="00C71372"/>
    <w:rsid w:val="00C72410"/>
    <w:rsid w:val="00C7287F"/>
    <w:rsid w:val="00C80CB8"/>
    <w:rsid w:val="00C819F8"/>
    <w:rsid w:val="00C8248C"/>
    <w:rsid w:val="00C82ECE"/>
    <w:rsid w:val="00C84E33"/>
    <w:rsid w:val="00C86D6F"/>
    <w:rsid w:val="00C905FC"/>
    <w:rsid w:val="00C92D03"/>
    <w:rsid w:val="00C9319C"/>
    <w:rsid w:val="00C9435D"/>
    <w:rsid w:val="00C94DF2"/>
    <w:rsid w:val="00C96741"/>
    <w:rsid w:val="00CA1C11"/>
    <w:rsid w:val="00CA2D1B"/>
    <w:rsid w:val="00CA375D"/>
    <w:rsid w:val="00CA662A"/>
    <w:rsid w:val="00CA7515"/>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CD"/>
    <w:rsid w:val="00CC5DE6"/>
    <w:rsid w:val="00CC6E4E"/>
    <w:rsid w:val="00CC6FE8"/>
    <w:rsid w:val="00CC7202"/>
    <w:rsid w:val="00CC7533"/>
    <w:rsid w:val="00CD079E"/>
    <w:rsid w:val="00CD2808"/>
    <w:rsid w:val="00CD28BF"/>
    <w:rsid w:val="00CD4092"/>
    <w:rsid w:val="00CD4A20"/>
    <w:rsid w:val="00CD50A1"/>
    <w:rsid w:val="00CD519E"/>
    <w:rsid w:val="00CD74C9"/>
    <w:rsid w:val="00CE0C4F"/>
    <w:rsid w:val="00CE30EA"/>
    <w:rsid w:val="00CF048A"/>
    <w:rsid w:val="00CF155A"/>
    <w:rsid w:val="00CF2947"/>
    <w:rsid w:val="00CF686F"/>
    <w:rsid w:val="00CF6E60"/>
    <w:rsid w:val="00CF7BCA"/>
    <w:rsid w:val="00CF7EB0"/>
    <w:rsid w:val="00D008FD"/>
    <w:rsid w:val="00D0321C"/>
    <w:rsid w:val="00D035EC"/>
    <w:rsid w:val="00D06AB1"/>
    <w:rsid w:val="00D072ED"/>
    <w:rsid w:val="00D07A16"/>
    <w:rsid w:val="00D1067E"/>
    <w:rsid w:val="00D10F50"/>
    <w:rsid w:val="00D11272"/>
    <w:rsid w:val="00D122A6"/>
    <w:rsid w:val="00D126F5"/>
    <w:rsid w:val="00D1489E"/>
    <w:rsid w:val="00D173EB"/>
    <w:rsid w:val="00D20737"/>
    <w:rsid w:val="00D21E81"/>
    <w:rsid w:val="00D223DE"/>
    <w:rsid w:val="00D25E37"/>
    <w:rsid w:val="00D2661A"/>
    <w:rsid w:val="00D27582"/>
    <w:rsid w:val="00D27EC4"/>
    <w:rsid w:val="00D32719"/>
    <w:rsid w:val="00D33333"/>
    <w:rsid w:val="00D352A2"/>
    <w:rsid w:val="00D3574E"/>
    <w:rsid w:val="00D4162B"/>
    <w:rsid w:val="00D4514F"/>
    <w:rsid w:val="00D451E2"/>
    <w:rsid w:val="00D45E89"/>
    <w:rsid w:val="00D45E8D"/>
    <w:rsid w:val="00D466AE"/>
    <w:rsid w:val="00D4734F"/>
    <w:rsid w:val="00D47B3C"/>
    <w:rsid w:val="00D51BF3"/>
    <w:rsid w:val="00D523B6"/>
    <w:rsid w:val="00D65BA1"/>
    <w:rsid w:val="00D66846"/>
    <w:rsid w:val="00D675FB"/>
    <w:rsid w:val="00D71F25"/>
    <w:rsid w:val="00D72A9C"/>
    <w:rsid w:val="00D77031"/>
    <w:rsid w:val="00D8427A"/>
    <w:rsid w:val="00D84941"/>
    <w:rsid w:val="00D84FA1"/>
    <w:rsid w:val="00D851F0"/>
    <w:rsid w:val="00D86DB7"/>
    <w:rsid w:val="00D873FB"/>
    <w:rsid w:val="00D926D0"/>
    <w:rsid w:val="00D92D01"/>
    <w:rsid w:val="00D93030"/>
    <w:rsid w:val="00D950E1"/>
    <w:rsid w:val="00D952A6"/>
    <w:rsid w:val="00D97F99"/>
    <w:rsid w:val="00DA0126"/>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7AE"/>
    <w:rsid w:val="00DC3067"/>
    <w:rsid w:val="00DC370B"/>
    <w:rsid w:val="00DC5B90"/>
    <w:rsid w:val="00DC7852"/>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617"/>
    <w:rsid w:val="00E01138"/>
    <w:rsid w:val="00E02DFB"/>
    <w:rsid w:val="00E030F9"/>
    <w:rsid w:val="00E0311A"/>
    <w:rsid w:val="00E03138"/>
    <w:rsid w:val="00E06404"/>
    <w:rsid w:val="00E11A85"/>
    <w:rsid w:val="00E12495"/>
    <w:rsid w:val="00E15CCD"/>
    <w:rsid w:val="00E202EF"/>
    <w:rsid w:val="00E20AD3"/>
    <w:rsid w:val="00E210B5"/>
    <w:rsid w:val="00E23D99"/>
    <w:rsid w:val="00E2552F"/>
    <w:rsid w:val="00E259DD"/>
    <w:rsid w:val="00E3137A"/>
    <w:rsid w:val="00E32CCF"/>
    <w:rsid w:val="00E34A98"/>
    <w:rsid w:val="00E353A0"/>
    <w:rsid w:val="00E35D1E"/>
    <w:rsid w:val="00E364F9"/>
    <w:rsid w:val="00E365FA"/>
    <w:rsid w:val="00E36789"/>
    <w:rsid w:val="00E44A83"/>
    <w:rsid w:val="00E502C1"/>
    <w:rsid w:val="00E502DD"/>
    <w:rsid w:val="00E50D3A"/>
    <w:rsid w:val="00E51387"/>
    <w:rsid w:val="00E514D1"/>
    <w:rsid w:val="00E51E68"/>
    <w:rsid w:val="00E52EFD"/>
    <w:rsid w:val="00E5408A"/>
    <w:rsid w:val="00E56800"/>
    <w:rsid w:val="00E5756E"/>
    <w:rsid w:val="00E60C63"/>
    <w:rsid w:val="00E60CC8"/>
    <w:rsid w:val="00E61D5C"/>
    <w:rsid w:val="00E62FF9"/>
    <w:rsid w:val="00E635D6"/>
    <w:rsid w:val="00E639BC"/>
    <w:rsid w:val="00E664CC"/>
    <w:rsid w:val="00E70388"/>
    <w:rsid w:val="00E70F92"/>
    <w:rsid w:val="00E74C54"/>
    <w:rsid w:val="00E752DE"/>
    <w:rsid w:val="00E7695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5D39"/>
    <w:rsid w:val="00EA61BC"/>
    <w:rsid w:val="00EA681A"/>
    <w:rsid w:val="00EA735B"/>
    <w:rsid w:val="00EB1A1B"/>
    <w:rsid w:val="00EB1E69"/>
    <w:rsid w:val="00EB2086"/>
    <w:rsid w:val="00EB5EDF"/>
    <w:rsid w:val="00EB60FE"/>
    <w:rsid w:val="00EB74DB"/>
    <w:rsid w:val="00EC5359"/>
    <w:rsid w:val="00EC562A"/>
    <w:rsid w:val="00ED067A"/>
    <w:rsid w:val="00ED2B50"/>
    <w:rsid w:val="00ED5DAF"/>
    <w:rsid w:val="00ED682B"/>
    <w:rsid w:val="00EE0350"/>
    <w:rsid w:val="00EE0719"/>
    <w:rsid w:val="00EE082E"/>
    <w:rsid w:val="00EE0E80"/>
    <w:rsid w:val="00EE103B"/>
    <w:rsid w:val="00EE173C"/>
    <w:rsid w:val="00EE613F"/>
    <w:rsid w:val="00EE7295"/>
    <w:rsid w:val="00EE7869"/>
    <w:rsid w:val="00EF054A"/>
    <w:rsid w:val="00EF3235"/>
    <w:rsid w:val="00EF3336"/>
    <w:rsid w:val="00EF4DF2"/>
    <w:rsid w:val="00EF7E72"/>
    <w:rsid w:val="00F06D37"/>
    <w:rsid w:val="00F07B9D"/>
    <w:rsid w:val="00F11586"/>
    <w:rsid w:val="00F1183B"/>
    <w:rsid w:val="00F11C9F"/>
    <w:rsid w:val="00F12263"/>
    <w:rsid w:val="00F1344C"/>
    <w:rsid w:val="00F1409D"/>
    <w:rsid w:val="00F14214"/>
    <w:rsid w:val="00F157A9"/>
    <w:rsid w:val="00F25BB6"/>
    <w:rsid w:val="00F26B7E"/>
    <w:rsid w:val="00F27A3B"/>
    <w:rsid w:val="00F33817"/>
    <w:rsid w:val="00F41D85"/>
    <w:rsid w:val="00F420D5"/>
    <w:rsid w:val="00F451EA"/>
    <w:rsid w:val="00F45447"/>
    <w:rsid w:val="00F456C6"/>
    <w:rsid w:val="00F4577B"/>
    <w:rsid w:val="00F45F7A"/>
    <w:rsid w:val="00F46496"/>
    <w:rsid w:val="00F474D0"/>
    <w:rsid w:val="00F50179"/>
    <w:rsid w:val="00F5036B"/>
    <w:rsid w:val="00F5107F"/>
    <w:rsid w:val="00F515EE"/>
    <w:rsid w:val="00F540DB"/>
    <w:rsid w:val="00F56511"/>
    <w:rsid w:val="00F6194E"/>
    <w:rsid w:val="00F623AC"/>
    <w:rsid w:val="00F6412A"/>
    <w:rsid w:val="00F65893"/>
    <w:rsid w:val="00F66A4A"/>
    <w:rsid w:val="00F71E22"/>
    <w:rsid w:val="00F72142"/>
    <w:rsid w:val="00F72AE7"/>
    <w:rsid w:val="00F75564"/>
    <w:rsid w:val="00F833BA"/>
    <w:rsid w:val="00F84FD0"/>
    <w:rsid w:val="00F859A8"/>
    <w:rsid w:val="00F86D87"/>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45F1"/>
    <w:rsid w:val="00FB4A72"/>
    <w:rsid w:val="00FB54E8"/>
    <w:rsid w:val="00FB7054"/>
    <w:rsid w:val="00FC17B7"/>
    <w:rsid w:val="00FC2622"/>
    <w:rsid w:val="00FC2CB7"/>
    <w:rsid w:val="00FC4090"/>
    <w:rsid w:val="00FC55B4"/>
    <w:rsid w:val="00FC7FF6"/>
    <w:rsid w:val="00FD00E6"/>
    <w:rsid w:val="00FD09A1"/>
    <w:rsid w:val="00FD2A7C"/>
    <w:rsid w:val="00FD3DFB"/>
    <w:rsid w:val="00FD5408"/>
    <w:rsid w:val="00FD59EB"/>
    <w:rsid w:val="00FD7299"/>
    <w:rsid w:val="00FE1FBE"/>
    <w:rsid w:val="00FE3901"/>
    <w:rsid w:val="00FE39D3"/>
    <w:rsid w:val="00FE4BCE"/>
    <w:rsid w:val="00FE54AE"/>
    <w:rsid w:val="00FE576A"/>
    <w:rsid w:val="00FE7E79"/>
    <w:rsid w:val="00FF20BB"/>
    <w:rsid w:val="00FF3E7D"/>
    <w:rsid w:val="00FF5B99"/>
    <w:rsid w:val="00FF60CD"/>
    <w:rsid w:val="00FF730C"/>
    <w:rsid w:val="00FF73F4"/>
    <w:rsid w:val="00FF7CE4"/>
    <w:rsid w:val="00FF7E39"/>
    <w:rsid w:val="025130DC"/>
    <w:rsid w:val="02FD0ECD"/>
    <w:rsid w:val="07347C42"/>
    <w:rsid w:val="081E6CF8"/>
    <w:rsid w:val="0F3E45E3"/>
    <w:rsid w:val="0FA51E9A"/>
    <w:rsid w:val="1159117D"/>
    <w:rsid w:val="122B66D5"/>
    <w:rsid w:val="14467EFB"/>
    <w:rsid w:val="14670F28"/>
    <w:rsid w:val="181500A7"/>
    <w:rsid w:val="194D5CF9"/>
    <w:rsid w:val="23AE3F25"/>
    <w:rsid w:val="254C70A4"/>
    <w:rsid w:val="2EB623C9"/>
    <w:rsid w:val="339A0805"/>
    <w:rsid w:val="37380508"/>
    <w:rsid w:val="37B77B86"/>
    <w:rsid w:val="486508DF"/>
    <w:rsid w:val="5AF2179E"/>
    <w:rsid w:val="5E1E5104"/>
    <w:rsid w:val="640B1BB4"/>
    <w:rsid w:val="6B060FB2"/>
    <w:rsid w:val="6D0069C5"/>
    <w:rsid w:val="71530958"/>
    <w:rsid w:val="73694B04"/>
    <w:rsid w:val="768F53D1"/>
    <w:rsid w:val="77D849E4"/>
    <w:rsid w:val="7E935C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8"/>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numPr>
        <w:ilvl w:val="4"/>
        <w:numId w:val="1"/>
      </w:numPr>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numPr>
        <w:ilvl w:val="5"/>
        <w:numId w:val="1"/>
      </w:numPr>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numPr>
        <w:ilvl w:val="6"/>
        <w:numId w:val="1"/>
      </w:numPr>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numPr>
        <w:ilvl w:val="7"/>
        <w:numId w:val="1"/>
      </w:numPr>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numPr>
        <w:ilvl w:val="8"/>
        <w:numId w:val="1"/>
      </w:numPr>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2"/>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3"/>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4"/>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5"/>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6"/>
      </w:numPr>
      <w:adjustRightInd w:val="0"/>
      <w:snapToGrid w:val="0"/>
      <w:spacing w:beforeLines="50" w:afterLines="50"/>
      <w:ind w:left="0"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5"/>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5"/>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5"/>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7"/>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5"/>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9"/>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10"/>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1"/>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2"/>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3"/>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3"/>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3"/>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3"/>
      </w:numPr>
      <w:spacing w:beforeLines="100" w:afterLines="100"/>
      <w:ind w:left="142"/>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4"/>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7"/>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4"/>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1"/>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2"/>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3"/>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1"/>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1"/>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1"/>
      </w:numPr>
      <w:adjustRightInd/>
    </w:pPr>
    <w:rPr>
      <w:szCs w:val="24"/>
    </w:rPr>
  </w:style>
  <w:style w:type="paragraph" w:customStyle="1" w:styleId="160">
    <w:name w:val="一级无标题条"/>
    <w:basedOn w:val="1"/>
    <w:qFormat/>
    <w:uiPriority w:val="0"/>
    <w:pPr>
      <w:numPr>
        <w:ilvl w:val="2"/>
        <w:numId w:val="21"/>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link w:val="240"/>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4"/>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5"/>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2"/>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6"/>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8"/>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9"/>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30"/>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2"/>
      </w:numPr>
      <w:ind w:left="1271" w:hanging="420" w:firstLineChars="0"/>
    </w:pPr>
  </w:style>
  <w:style w:type="paragraph" w:customStyle="1" w:styleId="189">
    <w:name w:val="标准文件_三级项2"/>
    <w:basedOn w:val="57"/>
    <w:qFormat/>
    <w:uiPriority w:val="0"/>
    <w:pPr>
      <w:numPr>
        <w:ilvl w:val="0"/>
        <w:numId w:val="31"/>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2"/>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6"/>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9"/>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9"/>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9"/>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9"/>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9"/>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paragraph" w:customStyle="1" w:styleId="232">
    <w:name w:val="正文1"/>
    <w:qFormat/>
    <w:uiPriority w:val="0"/>
    <w:pPr>
      <w:jc w:val="both"/>
    </w:pPr>
    <w:rPr>
      <w:rFonts w:ascii="宋体" w:hAnsi="宋体" w:eastAsia="宋体" w:cs="宋体"/>
      <w:kern w:val="2"/>
      <w:sz w:val="21"/>
      <w:szCs w:val="21"/>
      <w:lang w:val="en-US" w:eastAsia="zh-CN" w:bidi="ar-SA"/>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二级条标题"/>
    <w:basedOn w:val="235"/>
    <w:next w:val="233"/>
    <w:link w:val="241"/>
    <w:qFormat/>
    <w:uiPriority w:val="0"/>
    <w:pPr>
      <w:numPr>
        <w:ilvl w:val="2"/>
      </w:numPr>
      <w:spacing w:before="50" w:after="50"/>
      <w:outlineLvl w:val="3"/>
    </w:pPr>
  </w:style>
  <w:style w:type="paragraph" w:customStyle="1" w:styleId="235">
    <w:name w:val="一级条标题"/>
    <w:next w:val="233"/>
    <w:qFormat/>
    <w:uiPriority w:val="0"/>
    <w:pPr>
      <w:numPr>
        <w:ilvl w:val="1"/>
        <w:numId w:val="33"/>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Other|1"/>
    <w:basedOn w:val="1"/>
    <w:qFormat/>
    <w:uiPriority w:val="0"/>
    <w:pPr>
      <w:spacing w:line="343" w:lineRule="auto"/>
      <w:ind w:firstLine="400"/>
    </w:pPr>
    <w:rPr>
      <w:rFonts w:ascii="宋体" w:hAnsi="宋体" w:cs="宋体"/>
      <w:sz w:val="19"/>
      <w:szCs w:val="19"/>
      <w:lang w:val="zh-TW" w:eastAsia="zh-TW" w:bidi="zh-TW"/>
    </w:rPr>
  </w:style>
  <w:style w:type="paragraph" w:customStyle="1" w:styleId="23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238">
    <w:name w:val="正文3"/>
    <w:qFormat/>
    <w:uiPriority w:val="0"/>
    <w:pPr>
      <w:jc w:val="both"/>
    </w:pPr>
    <w:rPr>
      <w:rFonts w:ascii="Times New Roman" w:hAnsi="Times New Roman" w:eastAsia="宋体" w:cs="Times New Roman"/>
      <w:kern w:val="2"/>
      <w:sz w:val="21"/>
      <w:szCs w:val="21"/>
      <w:lang w:val="en-US" w:eastAsia="zh-CN" w:bidi="ar-SA"/>
    </w:rPr>
  </w:style>
  <w:style w:type="table" w:customStyle="1" w:styleId="239">
    <w:name w:val="网格型1"/>
    <w:basedOn w:val="27"/>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0">
    <w:name w:val="标准文件_二级无标题 Char"/>
    <w:link w:val="166"/>
    <w:qFormat/>
    <w:uiPriority w:val="0"/>
    <w:rPr>
      <w:rFonts w:ascii="宋体" w:eastAsia="宋体"/>
    </w:rPr>
  </w:style>
  <w:style w:type="character" w:customStyle="1" w:styleId="241">
    <w:name w:val="二级条标题 Char"/>
    <w:link w:val="23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4626BA513BF41BDABCDF262B5E816D1"/>
        <w:style w:val=""/>
        <w:category>
          <w:name w:val="常规"/>
          <w:gallery w:val="placeholder"/>
        </w:category>
        <w:types>
          <w:type w:val="bbPlcHdr"/>
        </w:types>
        <w:behaviors>
          <w:behavior w:val="content"/>
        </w:behaviors>
        <w:description w:val=""/>
        <w:guid w:val="{2D3F561A-BD23-49F6-8D5E-BAB6189BB892}"/>
      </w:docPartPr>
      <w:docPartBody>
        <w:p>
          <w:pPr>
            <w:pStyle w:val="5"/>
          </w:pPr>
          <w:r>
            <w:rPr>
              <w:rStyle w:val="4"/>
              <w:rFonts w:hint="eastAsia"/>
            </w:rPr>
            <w:t>单击或点击此处输入文字。</w:t>
          </w:r>
        </w:p>
      </w:docPartBody>
    </w:docPart>
    <w:docPart>
      <w:docPartPr>
        <w:name w:val="BB93D0049C9B456FA128EE067A891932"/>
        <w:style w:val=""/>
        <w:category>
          <w:name w:val="常规"/>
          <w:gallery w:val="placeholder"/>
        </w:category>
        <w:types>
          <w:type w:val="bbPlcHdr"/>
        </w:types>
        <w:behaviors>
          <w:behavior w:val="content"/>
        </w:behaviors>
        <w:description w:val=""/>
        <w:guid w:val="{19DD7EB3-25F7-4349-8B81-3209FEE00C98}"/>
      </w:docPartPr>
      <w:docPartBody>
        <w:p>
          <w:pPr>
            <w:pStyle w:val="6"/>
          </w:pPr>
          <w:r>
            <w:rPr>
              <w:rStyle w:val="4"/>
              <w:rFonts w:hint="eastAsia"/>
            </w:rPr>
            <w:t>选择一项。</w:t>
          </w:r>
        </w:p>
      </w:docPartBody>
    </w:docPart>
    <w:docPart>
      <w:docPartPr>
        <w:name w:val="4BF96A1E4CC24C868D56820A8DFE56CE"/>
        <w:style w:val=""/>
        <w:category>
          <w:name w:val="常规"/>
          <w:gallery w:val="placeholder"/>
        </w:category>
        <w:types>
          <w:type w:val="bbPlcHdr"/>
        </w:types>
        <w:behaviors>
          <w:behavior w:val="content"/>
        </w:behaviors>
        <w:description w:val=""/>
        <w:guid w:val="{7C992291-DBD2-43E2-8DDD-3349A833CA0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102F0"/>
    <w:rsid w:val="000167DB"/>
    <w:rsid w:val="00027C6C"/>
    <w:rsid w:val="001B02BD"/>
    <w:rsid w:val="00275D3F"/>
    <w:rsid w:val="00345B54"/>
    <w:rsid w:val="003935CE"/>
    <w:rsid w:val="003C40F9"/>
    <w:rsid w:val="004102F0"/>
    <w:rsid w:val="004614BC"/>
    <w:rsid w:val="0048146C"/>
    <w:rsid w:val="00484BF4"/>
    <w:rsid w:val="004C48A5"/>
    <w:rsid w:val="00512E48"/>
    <w:rsid w:val="00550071"/>
    <w:rsid w:val="00647B84"/>
    <w:rsid w:val="007A22D0"/>
    <w:rsid w:val="007B0938"/>
    <w:rsid w:val="007C369F"/>
    <w:rsid w:val="00855214"/>
    <w:rsid w:val="008B0138"/>
    <w:rsid w:val="008E0442"/>
    <w:rsid w:val="0094334C"/>
    <w:rsid w:val="009704AA"/>
    <w:rsid w:val="009B63FC"/>
    <w:rsid w:val="009D0BA4"/>
    <w:rsid w:val="009E4030"/>
    <w:rsid w:val="009F2FB3"/>
    <w:rsid w:val="00A3031B"/>
    <w:rsid w:val="00B35B48"/>
    <w:rsid w:val="00B5535C"/>
    <w:rsid w:val="00B96BEF"/>
    <w:rsid w:val="00C93297"/>
    <w:rsid w:val="00C978B2"/>
    <w:rsid w:val="00D63DDE"/>
    <w:rsid w:val="00D80DEE"/>
    <w:rsid w:val="00E35BE7"/>
    <w:rsid w:val="00F162A2"/>
    <w:rsid w:val="00F310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4626BA513BF41BDABCDF262B5E816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B93D0049C9B456FA128EE067A8919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BF96A1E4CC24C868D56820A8DFE56C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32A67-0004-4606-8157-066E387A7C7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530</Words>
  <Characters>3022</Characters>
  <Lines>25</Lines>
  <Paragraphs>7</Paragraphs>
  <TotalTime>29</TotalTime>
  <ScaleCrop>false</ScaleCrop>
  <LinksUpToDate>false</LinksUpToDate>
  <CharactersWithSpaces>3545</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2021-05-03T09:10:00Z</dcterms:created>
  <dc:creator>USER</dc:creator>
  <cp:lastModifiedBy>fly</cp:lastModifiedBy>
  <cp:lastPrinted>2021-03-23T03:37:00Z</cp:lastPrinted>
  <dcterms:modified xsi:type="dcterms:W3CDTF">2021-05-12T10:30:07Z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2052-11.1.0.9192</vt:lpwstr>
  </property>
  <property fmtid="{D5CDD505-2E9C-101B-9397-08002B2CF9AE}" pid="16" name="ICV">
    <vt:lpwstr>F302F6D9E6C148CF8A30654A624B28DC</vt:lpwstr>
  </property>
</Properties>
</file>