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Cs/>
          <w:color w:val="000000"/>
          <w:sz w:val="36"/>
          <w:szCs w:val="36"/>
        </w:rPr>
      </w:pPr>
      <w:r>
        <w:rPr>
          <w:rFonts w:hint="eastAsia" w:ascii="黑体" w:hAnsi="黑体" w:eastAsia="黑体" w:cs="黑体"/>
          <w:bCs/>
          <w:color w:val="000000"/>
          <w:sz w:val="36"/>
          <w:szCs w:val="36"/>
        </w:rPr>
        <w:t>团体标准《贵妃红荔枝生产技术规程》</w:t>
      </w:r>
    </w:p>
    <w:p>
      <w:pPr>
        <w:jc w:val="center"/>
        <w:rPr>
          <w:rFonts w:ascii="黑体" w:hAnsi="黑体" w:eastAsia="黑体" w:cs="黑体"/>
          <w:bCs/>
          <w:sz w:val="36"/>
          <w:szCs w:val="36"/>
        </w:rPr>
      </w:pPr>
      <w:r>
        <w:rPr>
          <w:rFonts w:hint="eastAsia" w:ascii="黑体" w:hAnsi="黑体" w:eastAsia="黑体" w:cs="黑体"/>
          <w:bCs/>
          <w:color w:val="000000"/>
          <w:sz w:val="36"/>
          <w:szCs w:val="36"/>
        </w:rPr>
        <w:t>（征求意见稿）编制说明</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一、项目来源</w:t>
      </w:r>
    </w:p>
    <w:p>
      <w:pPr>
        <w:spacing w:line="600" w:lineRule="exact"/>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根据《关于下达2021年第十一批团体标准制修订项目计划的通知》（桂标协﹝2021﹞28号）文件精神，由</w:t>
      </w:r>
      <w:r>
        <w:rPr>
          <w:rFonts w:hint="eastAsia" w:ascii="仿宋_GB2312" w:hAnsi="宋体" w:eastAsia="仿宋_GB2312"/>
          <w:sz w:val="28"/>
          <w:szCs w:val="32"/>
          <w:lang w:val="zh-CN"/>
        </w:rPr>
        <w:t>广西壮族自治区农业科学院园艺研究所</w:t>
      </w:r>
      <w:r>
        <w:rPr>
          <w:rFonts w:hint="eastAsia" w:ascii="仿宋_GB2312" w:hAnsi="宋体" w:eastAsia="仿宋_GB2312"/>
          <w:sz w:val="28"/>
          <w:szCs w:val="28"/>
          <w:lang w:val="zh-CN"/>
        </w:rPr>
        <w:t>提出，</w:t>
      </w:r>
      <w:r>
        <w:rPr>
          <w:rFonts w:hint="eastAsia" w:ascii="仿宋_GB2312" w:hAnsi="宋体" w:eastAsia="仿宋_GB2312"/>
          <w:sz w:val="28"/>
          <w:szCs w:val="32"/>
          <w:lang w:val="zh-CN"/>
        </w:rPr>
        <w:t>广西壮族自治区农业科学院园艺研究所</w:t>
      </w:r>
      <w:r>
        <w:rPr>
          <w:rFonts w:hint="eastAsia" w:ascii="仿宋_GB2312" w:hAnsi="宋体" w:eastAsia="仿宋_GB2312"/>
          <w:sz w:val="28"/>
          <w:szCs w:val="28"/>
          <w:lang w:val="zh-CN"/>
        </w:rPr>
        <w:t>起草的团体标准《</w:t>
      </w:r>
      <w:r>
        <w:rPr>
          <w:rFonts w:hint="eastAsia" w:ascii="仿宋_GB2312" w:hAnsi="宋体" w:eastAsia="仿宋_GB2312"/>
          <w:sz w:val="28"/>
          <w:szCs w:val="32"/>
          <w:lang w:val="zh-CN"/>
        </w:rPr>
        <w:t>贵妃红荔枝生产技术规程</w:t>
      </w:r>
      <w:r>
        <w:rPr>
          <w:rFonts w:hint="eastAsia" w:ascii="仿宋_GB2312" w:hAnsi="宋体" w:eastAsia="仿宋_GB2312"/>
          <w:sz w:val="28"/>
          <w:szCs w:val="28"/>
          <w:lang w:val="zh-CN"/>
        </w:rPr>
        <w:t>》(项目编号：2021-1103)。</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二、项目背景及目的意义</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荔枝是南方热带亚热带地区的著名特色水果，以其精致的外观，剔透的果肉及爽口的风味享誉中外，被誉为果中之王，其丰富的营养以及较高的药用价值更引起国内外消费者喜爱。我国荔枝种植总面积为813万亩，产量为229.6 万吨，主要分布在广东、广西、海南、四川、云南和福建等地，占世界总产量60％以上。广西是我国荔枝的主要产区，荔枝栽培面积240多万亩，产量60多万吨均居全国第二。目前我国荔枝生产上存在着品种结构不合理、种植标准化程度低以及单产低、商品果率低等突出问题，难以满足优质丰产栽培的需求。作为国内荔枝主产省区的广西，也同样普遍存在这些问题。其中品质中等的禾荔和黑叶占到种植面积的</w:t>
      </w:r>
      <w:r>
        <w:rPr>
          <w:rFonts w:hint="eastAsia" w:ascii="仿宋_GB2312" w:hAnsi="宋体" w:eastAsia="仿宋_GB2312"/>
          <w:sz w:val="28"/>
          <w:szCs w:val="32"/>
        </w:rPr>
        <w:t>70％</w:t>
      </w:r>
      <w:r>
        <w:rPr>
          <w:rFonts w:hint="eastAsia" w:ascii="仿宋_GB2312" w:hAnsi="宋体" w:eastAsia="仿宋_GB2312"/>
          <w:sz w:val="28"/>
          <w:szCs w:val="32"/>
          <w:lang w:val="zh-CN"/>
        </w:rPr>
        <w:t>以上，卖价低，效益差；桂味、糯米糍等传统优质品种丰产稳产性差，大小年结果现象严重。面对这些问题，</w:t>
      </w:r>
      <w:r>
        <w:rPr>
          <w:rFonts w:hint="eastAsia" w:ascii="仿宋_GB2312" w:hAnsi="宋体" w:eastAsia="仿宋_GB2312"/>
          <w:sz w:val="28"/>
          <w:szCs w:val="32"/>
        </w:rPr>
        <w:t>科研人员</w:t>
      </w:r>
      <w:r>
        <w:rPr>
          <w:rFonts w:hint="eastAsia" w:ascii="仿宋_GB2312" w:hAnsi="宋体" w:eastAsia="仿宋_GB2312"/>
          <w:sz w:val="28"/>
          <w:szCs w:val="32"/>
          <w:lang w:val="zh-CN"/>
        </w:rPr>
        <w:t>利用优良新品种开展区试示范和高接换种进行品种改良，从而达到促进广西荔枝品种结构优化调整和良种化商品化生产发展的目的。</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贵妃红荔枝为全国热带作物品种审定委员会首次受理并通过终审的荔枝品种，属中晚熟荔枝品种。主要特点：果型较大，着色鲜红艳丽；丰产稳产，无隔年结果及大小年结果现象；较少发生霜疫病，商品果率较高，品质优。平均单果重32.4±1.8</w:t>
      </w:r>
      <w:r>
        <w:rPr>
          <w:rFonts w:hint="eastAsia" w:ascii="仿宋_GB2312" w:hAnsi="宋体" w:eastAsia="仿宋_GB2312"/>
          <w:sz w:val="28"/>
          <w:szCs w:val="32"/>
        </w:rPr>
        <w:t xml:space="preserve"> </w:t>
      </w:r>
      <w:r>
        <w:rPr>
          <w:rFonts w:hint="eastAsia" w:ascii="仿宋_GB2312" w:hAnsi="宋体" w:eastAsia="仿宋_GB2312"/>
          <w:sz w:val="28"/>
          <w:szCs w:val="32"/>
          <w:lang w:val="zh-CN"/>
        </w:rPr>
        <w:t>g，可溶性固形物含量18±0.8％；可食率76.4％。焦核率46％。该品种目前已在广西、云南、广东、福建等荔枝产区引种试种并获得成功，也颇受当地果农的欢迎。但由于新品种推广较快，缺乏规范化栽培使得该品种的优势不能充分表现，导致新优品种未能在产业中发挥应有的作用。</w:t>
      </w:r>
    </w:p>
    <w:p>
      <w:pPr>
        <w:ind w:firstLine="560" w:firstLineChars="200"/>
        <w:rPr>
          <w:rFonts w:ascii="仿宋_GB2312" w:hAnsi="宋体" w:eastAsia="仿宋_GB2312"/>
          <w:sz w:val="32"/>
          <w:szCs w:val="32"/>
        </w:rPr>
      </w:pPr>
      <w:r>
        <w:rPr>
          <w:rFonts w:hint="eastAsia" w:ascii="仿宋_GB2312" w:hAnsi="宋体" w:eastAsia="仿宋_GB2312"/>
          <w:sz w:val="28"/>
          <w:szCs w:val="32"/>
          <w:lang w:val="zh-CN"/>
        </w:rPr>
        <w:t>针对贵妃红荔枝栽培存在的问题，广西农科院园艺所荔枝龙眼研究团队从资源调查开始，对该品种的特性进行了非常深入的研究，加上这几年在区内外的多点试验研究，将这些研究结果进行总结，编写成生产技术规程，为提高贵妃红荔枝推广的经济效益提供技术保障。经查阅《中华人民共和国国家标准批准发布公告》与《中华人民共和国地方标准备案公告》，目前贵妃红荔枝规范化种植技术规程无国家标准、行业标准和地方标准，本标准的制定，填补了国内贵妃红荔枝规范化生产技术规程的空白，保证了贵妃红荔枝商品的质量，具有一定的先进性和实用性。</w:t>
      </w:r>
      <w:r>
        <w:rPr>
          <w:rFonts w:hint="eastAsia" w:ascii="仿宋_GB2312" w:hAnsi="宋体" w:eastAsia="仿宋_GB2312"/>
          <w:sz w:val="32"/>
          <w:szCs w:val="32"/>
        </w:rPr>
        <w:t xml:space="preserve"> </w:t>
      </w:r>
    </w:p>
    <w:p>
      <w:pPr>
        <w:spacing w:line="60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三、标准编制过程</w:t>
      </w:r>
    </w:p>
    <w:p>
      <w:pPr>
        <w:ind w:firstLine="562" w:firstLineChars="200"/>
        <w:rPr>
          <w:rFonts w:ascii="仿宋_GB2312" w:hAnsi="宋体" w:eastAsia="仿宋_GB2312"/>
          <w:b/>
          <w:sz w:val="28"/>
          <w:szCs w:val="32"/>
          <w:lang w:val="zh-CN"/>
        </w:rPr>
      </w:pPr>
      <w:r>
        <w:rPr>
          <w:rFonts w:hint="eastAsia" w:ascii="仿宋_GB2312" w:hAnsi="宋体" w:eastAsia="仿宋_GB2312"/>
          <w:b/>
          <w:sz w:val="28"/>
          <w:szCs w:val="32"/>
          <w:lang w:val="zh-CN"/>
        </w:rPr>
        <w:t>（一）成立标准编制工作组</w:t>
      </w:r>
    </w:p>
    <w:p>
      <w:pPr>
        <w:ind w:firstLine="560" w:firstLineChars="200"/>
        <w:rPr>
          <w:rFonts w:ascii="仿宋_GB2312" w:hAnsi="宋体" w:eastAsia="仿宋_GB2312"/>
          <w:sz w:val="28"/>
          <w:szCs w:val="28"/>
        </w:rPr>
      </w:pPr>
      <w:r>
        <w:rPr>
          <w:rFonts w:hint="eastAsia" w:ascii="仿宋_GB2312" w:hAnsi="宋体" w:eastAsia="仿宋_GB2312"/>
          <w:sz w:val="28"/>
          <w:szCs w:val="28"/>
        </w:rPr>
        <w:t>团体标准《</w:t>
      </w:r>
      <w:r>
        <w:rPr>
          <w:rFonts w:hint="eastAsia" w:ascii="仿宋_GB2312" w:hAnsi="宋体" w:eastAsia="仿宋_GB2312"/>
          <w:sz w:val="28"/>
          <w:szCs w:val="32"/>
          <w:lang w:val="zh-CN"/>
        </w:rPr>
        <w:t>贵妃红荔枝生产技术规程</w:t>
      </w:r>
      <w:r>
        <w:rPr>
          <w:rFonts w:hint="eastAsia" w:ascii="仿宋_GB2312" w:hAnsi="宋体" w:eastAsia="仿宋_GB2312"/>
          <w:sz w:val="28"/>
          <w:szCs w:val="28"/>
        </w:rPr>
        <w:t>》项目任务下达后，成立了标准编制工作组，制定了标准编写方案，明确任务职责，确定工作技术路线，开展标准研制工作，具体标准编制工作由广西壮族自治区农业科学院园艺研究所相关人员配合。</w:t>
      </w:r>
    </w:p>
    <w:p>
      <w:pPr>
        <w:ind w:firstLine="640" w:firstLineChars="200"/>
        <w:rPr>
          <w:rFonts w:ascii="仿宋_GB2312" w:hAnsi="宋体" w:eastAsia="仿宋_GB2312"/>
          <w:sz w:val="32"/>
          <w:szCs w:val="32"/>
          <w:lang w:val="zh-CN"/>
        </w:rPr>
      </w:pPr>
    </w:p>
    <w:p>
      <w:pPr>
        <w:ind w:firstLine="562" w:firstLineChars="200"/>
        <w:rPr>
          <w:rFonts w:ascii="仿宋_GB2312" w:hAnsi="宋体" w:eastAsia="仿宋_GB2312"/>
          <w:b/>
          <w:sz w:val="28"/>
          <w:szCs w:val="32"/>
          <w:lang w:val="zh-CN"/>
        </w:rPr>
      </w:pPr>
      <w:r>
        <w:rPr>
          <w:rFonts w:hint="eastAsia" w:ascii="仿宋_GB2312" w:hAnsi="宋体" w:eastAsia="仿宋_GB2312"/>
          <w:b/>
          <w:sz w:val="28"/>
          <w:szCs w:val="32"/>
          <w:lang w:val="zh-CN"/>
        </w:rPr>
        <w:t>（</w:t>
      </w:r>
      <w:r>
        <w:rPr>
          <w:rFonts w:hint="eastAsia" w:ascii="仿宋_GB2312" w:hAnsi="宋体" w:eastAsia="仿宋_GB2312"/>
          <w:b/>
          <w:sz w:val="28"/>
          <w:szCs w:val="32"/>
        </w:rPr>
        <w:t>二</w:t>
      </w:r>
      <w:r>
        <w:rPr>
          <w:rFonts w:hint="eastAsia" w:ascii="仿宋_GB2312" w:hAnsi="宋体" w:eastAsia="仿宋_GB2312"/>
          <w:b/>
          <w:sz w:val="28"/>
          <w:szCs w:val="32"/>
          <w:lang w:val="zh-CN"/>
        </w:rPr>
        <w:t>）收集整理文献资料</w:t>
      </w:r>
    </w:p>
    <w:p>
      <w:pPr>
        <w:ind w:firstLine="560" w:firstLineChars="200"/>
        <w:rPr>
          <w:rFonts w:ascii="仿宋_GB2312" w:hAnsi="宋体" w:eastAsia="仿宋_GB2312"/>
          <w:sz w:val="28"/>
          <w:szCs w:val="32"/>
        </w:rPr>
      </w:pPr>
      <w:r>
        <w:rPr>
          <w:rFonts w:hint="eastAsia" w:ascii="仿宋_GB2312" w:hAnsi="宋体" w:eastAsia="仿宋_GB2312"/>
          <w:sz w:val="28"/>
          <w:szCs w:val="32"/>
          <w:lang w:val="zh-CN"/>
        </w:rPr>
        <w:t>目前国内关于</w:t>
      </w:r>
      <w:r>
        <w:rPr>
          <w:rFonts w:hint="eastAsia" w:ascii="仿宋_GB2312" w:hAnsi="宋体" w:eastAsia="仿宋_GB2312"/>
          <w:sz w:val="28"/>
          <w:szCs w:val="32"/>
        </w:rPr>
        <w:t>贵妃红荔枝</w:t>
      </w:r>
      <w:r>
        <w:rPr>
          <w:rFonts w:hint="eastAsia" w:ascii="仿宋_GB2312" w:hAnsi="宋体" w:eastAsia="仿宋_GB2312"/>
          <w:sz w:val="28"/>
          <w:szCs w:val="32"/>
          <w:lang w:val="zh-CN"/>
        </w:rPr>
        <w:t>生产</w:t>
      </w:r>
      <w:r>
        <w:rPr>
          <w:rFonts w:hint="eastAsia" w:ascii="仿宋_GB2312" w:hAnsi="宋体" w:eastAsia="仿宋_GB2312"/>
          <w:sz w:val="28"/>
          <w:szCs w:val="32"/>
        </w:rPr>
        <w:t>的</w:t>
      </w:r>
      <w:r>
        <w:rPr>
          <w:rFonts w:hint="eastAsia" w:ascii="仿宋_GB2312" w:hAnsi="宋体" w:eastAsia="仿宋_GB2312"/>
          <w:sz w:val="28"/>
          <w:szCs w:val="32"/>
          <w:lang w:val="zh-CN"/>
        </w:rPr>
        <w:t xml:space="preserve">标准还未见相关报道，通过查阅参考了其他品种荔枝种植标准和一些常规化种植的标准，具体列出如下： </w:t>
      </w:r>
    </w:p>
    <w:p>
      <w:pPr>
        <w:ind w:firstLine="560" w:firstLineChars="200"/>
        <w:rPr>
          <w:rFonts w:ascii="仿宋_GB2312" w:hAnsi="宋体" w:eastAsia="仿宋_GB2312"/>
          <w:sz w:val="28"/>
          <w:szCs w:val="32"/>
        </w:rPr>
      </w:pPr>
      <w:r>
        <w:rPr>
          <w:rFonts w:hint="eastAsia" w:ascii="仿宋_GB2312" w:hAnsi="宋体" w:eastAsia="仿宋_GB2312"/>
          <w:sz w:val="28"/>
          <w:szCs w:val="32"/>
        </w:rPr>
        <w:t>NY/T 355  荔枝  种苗</w:t>
      </w:r>
    </w:p>
    <w:p>
      <w:pPr>
        <w:ind w:firstLine="560" w:firstLineChars="200"/>
        <w:rPr>
          <w:rFonts w:ascii="仿宋_GB2312" w:hAnsi="宋体" w:eastAsia="仿宋_GB2312"/>
          <w:sz w:val="28"/>
          <w:szCs w:val="32"/>
        </w:rPr>
      </w:pPr>
      <w:r>
        <w:rPr>
          <w:rFonts w:hint="eastAsia" w:ascii="仿宋_GB2312" w:hAnsi="宋体" w:eastAsia="仿宋_GB2312"/>
          <w:sz w:val="28"/>
          <w:szCs w:val="32"/>
        </w:rPr>
        <w:t>NY/T 1478  热带作物主要病虫害防治技术规程  荔枝</w:t>
      </w:r>
    </w:p>
    <w:p>
      <w:pPr>
        <w:ind w:firstLine="560" w:firstLineChars="200"/>
        <w:rPr>
          <w:rFonts w:ascii="仿宋_GB2312" w:hAnsi="宋体" w:eastAsia="仿宋_GB2312"/>
          <w:sz w:val="28"/>
          <w:szCs w:val="32"/>
        </w:rPr>
      </w:pPr>
      <w:r>
        <w:rPr>
          <w:rFonts w:hint="eastAsia" w:ascii="仿宋_GB2312" w:hAnsi="宋体" w:eastAsia="仿宋_GB2312"/>
          <w:sz w:val="28"/>
          <w:szCs w:val="32"/>
        </w:rPr>
        <w:t>NY/T 5174  无公害食品  荔枝生产技术规程</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DB45/T 880</w:t>
      </w:r>
      <w:r>
        <w:rPr>
          <w:rFonts w:hint="eastAsia" w:ascii="仿宋_GB2312" w:hAnsi="宋体" w:eastAsia="仿宋_GB2312"/>
          <w:sz w:val="28"/>
          <w:szCs w:val="32"/>
        </w:rPr>
        <w:t xml:space="preserve">  </w:t>
      </w:r>
      <w:r>
        <w:rPr>
          <w:rFonts w:ascii="仿宋_GB2312" w:hAnsi="宋体" w:eastAsia="仿宋_GB2312"/>
          <w:sz w:val="28"/>
          <w:szCs w:val="32"/>
          <w:lang w:val="zh-CN"/>
        </w:rPr>
        <w:t>无公害食品 荔枝生产技术规程</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 xml:space="preserve">DB45/T </w:t>
      </w:r>
      <w:r>
        <w:rPr>
          <w:rFonts w:hint="eastAsia" w:ascii="仿宋_GB2312" w:hAnsi="宋体" w:eastAsia="仿宋_GB2312"/>
          <w:sz w:val="28"/>
          <w:szCs w:val="32"/>
        </w:rPr>
        <w:t xml:space="preserve">923  </w:t>
      </w:r>
      <w:r>
        <w:rPr>
          <w:rFonts w:ascii="仿宋_GB2312" w:hAnsi="宋体" w:eastAsia="仿宋_GB2312"/>
          <w:sz w:val="28"/>
          <w:szCs w:val="32"/>
          <w:lang w:val="zh-CN"/>
        </w:rPr>
        <w:t>有机荔枝生产技术规程</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rPr>
        <w:t>DB45/T 1477  荔枝高接换种技术规程</w:t>
      </w:r>
    </w:p>
    <w:p>
      <w:pPr>
        <w:ind w:firstLine="562" w:firstLineChars="200"/>
        <w:rPr>
          <w:rFonts w:ascii="仿宋_GB2312" w:hAnsi="宋体" w:eastAsia="仿宋_GB2312"/>
          <w:b/>
          <w:sz w:val="28"/>
          <w:szCs w:val="32"/>
          <w:lang w:val="zh-CN"/>
        </w:rPr>
      </w:pPr>
      <w:r>
        <w:rPr>
          <w:rFonts w:hint="eastAsia" w:ascii="仿宋_GB2312" w:hAnsi="宋体" w:eastAsia="仿宋_GB2312"/>
          <w:b/>
          <w:sz w:val="28"/>
          <w:szCs w:val="32"/>
          <w:lang w:val="zh-CN"/>
        </w:rPr>
        <w:t>（三）研讨确定标准主体内容</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标准编制工作组在对收集的资料进行整理研究后，标准编制工作组召开了标准编制会议，对标准的整体框架进行了研究，并对标准的关键性问题进行了初步探讨。经过研究，标准的主体内容包括术语和定义、园地选择和建园、定植、土壤管理、施肥管理、水分管理、整形修剪、培养结果母枝、控冬梢促花、壮花保果、病虫害防治、采收。</w:t>
      </w:r>
    </w:p>
    <w:p>
      <w:pPr>
        <w:numPr>
          <w:ilvl w:val="0"/>
          <w:numId w:val="2"/>
        </w:numPr>
        <w:ind w:firstLine="562" w:firstLineChars="200"/>
        <w:rPr>
          <w:rFonts w:ascii="仿宋_GB2312" w:hAnsi="宋体" w:eastAsia="仿宋_GB2312"/>
          <w:b/>
          <w:sz w:val="28"/>
          <w:szCs w:val="32"/>
          <w:lang w:val="zh-CN"/>
        </w:rPr>
      </w:pPr>
      <w:r>
        <w:rPr>
          <w:rFonts w:hint="eastAsia" w:ascii="仿宋_GB2312" w:hAnsi="宋体" w:eastAsia="仿宋_GB2312"/>
          <w:b/>
          <w:sz w:val="28"/>
          <w:szCs w:val="32"/>
          <w:lang w:val="zh-CN"/>
        </w:rPr>
        <w:t>形成文本草案、征求意见稿、送审稿</w:t>
      </w:r>
    </w:p>
    <w:p>
      <w:pPr>
        <w:ind w:firstLine="560" w:firstLineChars="200"/>
        <w:rPr>
          <w:rFonts w:ascii="仿宋_GB2312" w:hAnsi="宋体" w:eastAsia="仿宋_GB2312"/>
          <w:sz w:val="28"/>
          <w:szCs w:val="28"/>
        </w:rPr>
      </w:pPr>
      <w:r>
        <w:rPr>
          <w:rFonts w:hint="eastAsia" w:ascii="仿宋_GB2312" w:hAnsi="宋体" w:eastAsia="仿宋_GB2312"/>
          <w:sz w:val="28"/>
          <w:szCs w:val="28"/>
        </w:rPr>
        <w:t>2016年7月</w:t>
      </w:r>
      <w:r>
        <w:rPr>
          <w:rFonts w:hint="eastAsia" w:ascii="宋体" w:hAnsi="宋体"/>
          <w:sz w:val="28"/>
          <w:szCs w:val="28"/>
        </w:rPr>
        <w:t>～</w:t>
      </w:r>
      <w:r>
        <w:rPr>
          <w:rFonts w:hint="eastAsia" w:ascii="仿宋_GB2312" w:hAnsi="宋体" w:eastAsia="仿宋_GB2312"/>
          <w:sz w:val="28"/>
          <w:szCs w:val="28"/>
        </w:rPr>
        <w:t>2020年12月，标准起草工作小组进行了广泛实地调研工作，查阅了大量的国内外文献资料，对贵妃红荔枝的种植模式进行系统总结，并于</w:t>
      </w:r>
      <w:r>
        <w:rPr>
          <w:rFonts w:hint="eastAsia" w:ascii="仿宋_GB2312" w:hAnsi="宋体" w:eastAsia="仿宋_GB2312"/>
          <w:sz w:val="28"/>
          <w:szCs w:val="28"/>
          <w:lang w:val="zh-CN"/>
        </w:rPr>
        <w:t>南宁、玉林、贵港、梧州、北海、百色等地建立秋植</w:t>
      </w:r>
      <w:r>
        <w:rPr>
          <w:rFonts w:hint="eastAsia" w:ascii="仿宋_GB2312" w:hAnsi="宋体" w:eastAsia="仿宋_GB2312"/>
          <w:sz w:val="28"/>
          <w:szCs w:val="28"/>
        </w:rPr>
        <w:t>贵妃红荔枝</w:t>
      </w:r>
      <w:r>
        <w:rPr>
          <w:rFonts w:hint="eastAsia" w:ascii="仿宋_GB2312" w:hAnsi="宋体" w:eastAsia="仿宋_GB2312"/>
          <w:sz w:val="28"/>
          <w:szCs w:val="28"/>
          <w:lang w:val="zh-CN"/>
        </w:rPr>
        <w:t>的种植示范园</w:t>
      </w:r>
      <w:r>
        <w:rPr>
          <w:rFonts w:hint="eastAsia" w:ascii="仿宋_GB2312" w:hAnsi="宋体" w:eastAsia="仿宋_GB2312"/>
          <w:sz w:val="28"/>
          <w:szCs w:val="28"/>
        </w:rPr>
        <w:t>。经编制组反复讨论，形成了标准的基本构架，对主要内容进行了讨论并对项目的工作进行了部署和安排。</w:t>
      </w:r>
    </w:p>
    <w:p>
      <w:pPr>
        <w:ind w:firstLine="560" w:firstLineChars="200"/>
        <w:rPr>
          <w:rFonts w:ascii="仿宋_GB2312" w:hAnsi="宋体" w:eastAsia="仿宋_GB2312"/>
          <w:sz w:val="28"/>
          <w:szCs w:val="28"/>
        </w:rPr>
      </w:pPr>
      <w:r>
        <w:rPr>
          <w:rFonts w:hint="eastAsia" w:ascii="仿宋_GB2312" w:hAnsi="宋体" w:eastAsia="仿宋_GB2312"/>
          <w:sz w:val="28"/>
          <w:szCs w:val="28"/>
        </w:rPr>
        <w:t>在前期工作的基础之上，通过理清逻辑脉络，整合已有的参考资料中有关贵妃红荔枝的栽培技术，并结合区内秋植贵妃红荔枝栽培实际要求的基础上，按照简化、统一等原则编制完成团体标准《</w:t>
      </w:r>
      <w:r>
        <w:rPr>
          <w:rFonts w:hint="eastAsia" w:ascii="仿宋_GB2312" w:hAnsi="宋体" w:eastAsia="仿宋_GB2312"/>
          <w:sz w:val="28"/>
          <w:szCs w:val="32"/>
        </w:rPr>
        <w:t>贵妃红荔枝生产技术规程</w:t>
      </w:r>
      <w:r>
        <w:rPr>
          <w:rFonts w:hint="eastAsia" w:ascii="仿宋_GB2312" w:hAnsi="宋体" w:eastAsia="仿宋_GB2312"/>
          <w:sz w:val="28"/>
          <w:szCs w:val="28"/>
        </w:rPr>
        <w:t>》（草案）。</w:t>
      </w:r>
    </w:p>
    <w:p>
      <w:pPr>
        <w:ind w:firstLine="560" w:firstLineChars="200"/>
        <w:rPr>
          <w:rFonts w:ascii="仿宋_GB2312" w:hAnsi="宋体" w:eastAsia="仿宋_GB2312"/>
          <w:sz w:val="28"/>
          <w:szCs w:val="28"/>
        </w:rPr>
      </w:pPr>
      <w:r>
        <w:rPr>
          <w:rFonts w:hint="eastAsia" w:ascii="仿宋_GB2312" w:hAnsi="宋体" w:eastAsia="仿宋_GB2312"/>
          <w:sz w:val="28"/>
          <w:szCs w:val="32"/>
        </w:rPr>
        <w:t>2021年01月至2020年5月，</w:t>
      </w:r>
      <w:r>
        <w:rPr>
          <w:rFonts w:hint="eastAsia" w:ascii="仿宋_GB2312" w:hAnsi="宋体" w:eastAsia="仿宋_GB2312"/>
          <w:sz w:val="28"/>
          <w:szCs w:val="28"/>
        </w:rPr>
        <w:t>编制组深入</w:t>
      </w:r>
      <w:r>
        <w:rPr>
          <w:rFonts w:hint="eastAsia" w:ascii="仿宋_GB2312" w:hAnsi="宋体" w:eastAsia="仿宋_GB2312"/>
          <w:sz w:val="28"/>
          <w:szCs w:val="28"/>
          <w:lang w:val="zh-CN"/>
        </w:rPr>
        <w:t>南宁、玉林、贵港、梧州、北海、百色等荔枝产区进行分组调研，</w:t>
      </w:r>
      <w:r>
        <w:rPr>
          <w:rFonts w:hint="eastAsia" w:ascii="仿宋_GB2312" w:hAnsi="宋体" w:eastAsia="仿宋_GB2312"/>
          <w:sz w:val="28"/>
          <w:szCs w:val="28"/>
        </w:rPr>
        <w:t>向贵妃红荔枝生产企业、合作社以及农户征求栽培生产技术意见，并针对贵妃红荔枝种植实际情况，分别在农户和我所荔枝试验示范基地进行试验，从授粉树选择、高接换种砧木选择、定植、培养结果母枝、控梢促花、花果管理等方面进行实验研究，通过比较品质及产量确定贵妃红荔枝栽培技术，取得阶段性进展，建立了贵妃红荔枝栽培示范基地。根据反馈意见及试验成果，标准编制工作组多次召开会议，对标准草案进行反复修改和研究讨论，形成团体标准《</w:t>
      </w:r>
      <w:r>
        <w:rPr>
          <w:rFonts w:hint="eastAsia" w:ascii="仿宋_GB2312" w:hAnsi="宋体" w:eastAsia="仿宋_GB2312"/>
          <w:sz w:val="28"/>
          <w:szCs w:val="32"/>
        </w:rPr>
        <w:t>贵妃红荔枝生产技术规程</w:t>
      </w:r>
      <w:r>
        <w:rPr>
          <w:rFonts w:hint="eastAsia" w:ascii="仿宋_GB2312" w:hAnsi="宋体" w:eastAsia="仿宋_GB2312"/>
          <w:sz w:val="28"/>
          <w:szCs w:val="28"/>
        </w:rPr>
        <w:t>》（征求意见稿）和（征求意见稿）编制说明。</w:t>
      </w:r>
    </w:p>
    <w:p>
      <w:pPr>
        <w:spacing w:line="60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四、标准制定原则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1、实用性原则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是在充分收集相关资料和文献，分析广西中晚熟荔枝品种贵妃红荔枝的种植特点及生长发育特性，在现有国家、行业标准相关荔枝栽培技术要求的基础上，结合多年实践而总结起草的。符合当前广西行政区域内贵妃红荔枝规范化种植的要求，有利于行业的长远发展，具有较强的实用性和可操作性。</w:t>
      </w:r>
    </w:p>
    <w:p>
      <w:pPr>
        <w:ind w:firstLine="560" w:firstLineChars="200"/>
        <w:rPr>
          <w:rFonts w:ascii="仿宋_GB2312" w:hAnsi="宋体" w:eastAsia="仿宋_GB2312"/>
          <w:sz w:val="28"/>
          <w:szCs w:val="28"/>
        </w:rPr>
      </w:pPr>
      <w:r>
        <w:rPr>
          <w:rFonts w:hint="eastAsia" w:ascii="仿宋_GB2312" w:hAnsi="宋体" w:eastAsia="仿宋_GB2312"/>
          <w:sz w:val="28"/>
          <w:szCs w:val="28"/>
        </w:rPr>
        <w:t>2、协调性原则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本文件编写过程中注意了与</w:t>
      </w:r>
      <w:r>
        <w:rPr>
          <w:rFonts w:hint="eastAsia" w:ascii="仿宋_GB2312" w:hAnsi="宋体" w:eastAsia="仿宋_GB2312"/>
          <w:sz w:val="28"/>
          <w:szCs w:val="32"/>
        </w:rPr>
        <w:t>贵妃红荔枝生产技术规程</w:t>
      </w:r>
      <w:r>
        <w:rPr>
          <w:rFonts w:hint="eastAsia" w:ascii="仿宋_GB2312" w:hAnsi="宋体" w:eastAsia="仿宋_GB2312"/>
          <w:sz w:val="28"/>
          <w:szCs w:val="28"/>
        </w:rPr>
        <w:t>相关法律法规的协调问题，在内容上与现行法律法规、标准协调一致。</w:t>
      </w:r>
    </w:p>
    <w:p>
      <w:pPr>
        <w:ind w:firstLine="560" w:firstLineChars="200"/>
        <w:rPr>
          <w:rFonts w:ascii="仿宋_GB2312" w:hAnsi="宋体" w:eastAsia="仿宋_GB2312"/>
          <w:sz w:val="28"/>
          <w:szCs w:val="28"/>
        </w:rPr>
      </w:pPr>
      <w:r>
        <w:rPr>
          <w:rFonts w:hint="eastAsia" w:ascii="仿宋_GB2312" w:hAnsi="宋体" w:eastAsia="仿宋_GB2312"/>
          <w:sz w:val="28"/>
          <w:szCs w:val="28"/>
        </w:rPr>
        <w:t>3、规范性原则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本文件严格按照GB/T 1.1—2020《标准化工作导则 第1部分：标准的结构和编写》的要求和规定编写本标准的内容，保证标准的编写质量。</w:t>
      </w:r>
    </w:p>
    <w:p>
      <w:pPr>
        <w:ind w:firstLine="560" w:firstLineChars="200"/>
        <w:rPr>
          <w:rFonts w:ascii="仿宋_GB2312" w:hAnsi="宋体" w:eastAsia="仿宋_GB2312"/>
          <w:sz w:val="28"/>
          <w:szCs w:val="28"/>
        </w:rPr>
      </w:pPr>
      <w:r>
        <w:rPr>
          <w:rFonts w:hint="eastAsia" w:ascii="仿宋_GB2312" w:hAnsi="宋体" w:eastAsia="仿宋_GB2312"/>
          <w:sz w:val="28"/>
          <w:szCs w:val="28"/>
        </w:rPr>
        <w:t>4、前瞻性原则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根据当前广西区内各荔枝产区，通过引进荔枝新品种改善其品种差、效益低、不能满足市场需求的现状，同时考虑中晚熟新品种贵妃红荔枝栽培技术的需求，在标准中体现了个别特色性、前瞻性和先进性条款，作为对</w:t>
      </w:r>
      <w:r>
        <w:rPr>
          <w:rFonts w:hint="eastAsia" w:ascii="仿宋_GB2312" w:hAnsi="宋体" w:eastAsia="仿宋_GB2312"/>
          <w:sz w:val="28"/>
          <w:szCs w:val="32"/>
        </w:rPr>
        <w:t>贵妃红荔枝栽培管理</w:t>
      </w:r>
      <w:r>
        <w:rPr>
          <w:rFonts w:hint="eastAsia" w:ascii="仿宋_GB2312" w:hAnsi="宋体" w:eastAsia="仿宋_GB2312"/>
          <w:sz w:val="28"/>
          <w:szCs w:val="28"/>
        </w:rPr>
        <w:t>的指导。</w:t>
      </w:r>
    </w:p>
    <w:p>
      <w:pPr>
        <w:spacing w:line="60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五、标准主要章节内容及确定依据</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团体标准《贵妃红荔枝生产技术规程》主要内容包括园地选择与规划、定植、土壤管理、施肥管理、水分管理、整形修剪、培养结果母枝、控冬梢促花、壮花保果、病虫害防治、采收。贵妃红荔枝新品种为标准编制单位选育的荔枝新品种，2005年通过广西农作物品种审定委员会审定，通过对其栽培适应性的研究，并推广到广东、云南、福建等荔枝产区进行种植。2013年获得云南省林木品种审定委员会的认定，2014年获得全国热带作物品种审定委员会终首次受理并通过终审的荔枝品种。同时进行配套技术的研究，针对生产中遇到的问题作了重点研究，部分研究结果如下：</w:t>
      </w:r>
    </w:p>
    <w:p>
      <w:pPr>
        <w:ind w:firstLine="562" w:firstLineChars="200"/>
        <w:rPr>
          <w:rFonts w:ascii="仿宋_GB2312" w:hAnsi="宋体" w:eastAsia="仿宋_GB2312"/>
          <w:b/>
          <w:sz w:val="28"/>
          <w:szCs w:val="32"/>
        </w:rPr>
      </w:pPr>
      <w:r>
        <w:rPr>
          <w:rFonts w:hint="eastAsia" w:ascii="仿宋_GB2312" w:hAnsi="宋体" w:eastAsia="仿宋_GB2312"/>
          <w:b/>
          <w:sz w:val="28"/>
          <w:szCs w:val="32"/>
        </w:rPr>
        <w:t>1园地设计及规划</w:t>
      </w:r>
    </w:p>
    <w:p>
      <w:pPr>
        <w:ind w:firstLine="560" w:firstLineChars="200"/>
        <w:rPr>
          <w:rFonts w:ascii="仿宋_GB2312" w:hAnsi="宋体" w:eastAsia="仿宋_GB2312"/>
          <w:sz w:val="28"/>
          <w:szCs w:val="32"/>
        </w:rPr>
      </w:pPr>
      <w:r>
        <w:rPr>
          <w:rFonts w:hint="eastAsia" w:ascii="仿宋_GB2312" w:hAnsi="宋体" w:eastAsia="仿宋_GB2312"/>
          <w:sz w:val="28"/>
          <w:szCs w:val="32"/>
        </w:rPr>
        <w:t>强化水肥一体化管理，园区设有水肥滴灌管网3000 m及3个蓄水池共100 m</w:t>
      </w:r>
      <w:r>
        <w:rPr>
          <w:rFonts w:hint="eastAsia" w:ascii="仿宋_GB2312" w:hAnsi="宋体" w:eastAsia="仿宋_GB2312"/>
          <w:sz w:val="28"/>
          <w:szCs w:val="32"/>
          <w:vertAlign w:val="superscript"/>
        </w:rPr>
        <w:t>2</w:t>
      </w:r>
      <w:r>
        <w:rPr>
          <w:rFonts w:hint="eastAsia" w:ascii="仿宋_GB2312" w:hAnsi="宋体" w:eastAsia="仿宋_GB2312"/>
          <w:sz w:val="28"/>
          <w:szCs w:val="32"/>
        </w:rPr>
        <w:t>，通过管道将水肥输送到作物根部土壤，易于吸收，发挥肥效快，提供工效。除平时施用促梢肥、花前肥、壮果肥及根外施肥外，由于贵妃红荔枝为大果型品种，壮果肥应更加重视。第二次生理落果前后，按照每生产100 kg的鲜荔枝施花生麸粉2 kg～3 kg、复合肥（15-15-15）1kg，同时，可结合根据树势、结果量进行2～3次根外追肥，如0.2％尿素+0.2％磷酸二氢钾+0.2％硫酸钾。同一小区里应当搭配种植5％</w:t>
      </w:r>
      <w:r>
        <w:rPr>
          <w:rFonts w:hint="eastAsia" w:ascii="仿宋" w:hAnsi="仿宋" w:eastAsia="仿宋"/>
          <w:sz w:val="28"/>
          <w:szCs w:val="32"/>
        </w:rPr>
        <w:t>～</w:t>
      </w:r>
      <w:r>
        <w:rPr>
          <w:rFonts w:hint="eastAsia" w:ascii="仿宋_GB2312" w:hAnsi="宋体" w:eastAsia="仿宋_GB2312"/>
          <w:sz w:val="28"/>
          <w:szCs w:val="32"/>
        </w:rPr>
        <w:t>7％与贵妃红荔枝花期相近的其他品种作为授粉品种，适宜作为贵妃红荔枝授粉品种的有鸡嘴荔、糯米糍、禾荔等。</w:t>
      </w:r>
    </w:p>
    <w:p>
      <w:pPr>
        <w:ind w:firstLine="562" w:firstLineChars="200"/>
        <w:rPr>
          <w:rFonts w:ascii="仿宋_GB2312" w:hAnsi="宋体" w:eastAsia="仿宋_GB2312"/>
          <w:b/>
          <w:sz w:val="28"/>
          <w:szCs w:val="32"/>
        </w:rPr>
      </w:pPr>
      <w:r>
        <w:rPr>
          <w:rFonts w:hint="eastAsia" w:ascii="仿宋_GB2312" w:hAnsi="宋体" w:eastAsia="仿宋_GB2312"/>
          <w:b/>
          <w:sz w:val="28"/>
          <w:szCs w:val="32"/>
        </w:rPr>
        <w:t>2高接换种及砧木选择</w:t>
      </w:r>
    </w:p>
    <w:p>
      <w:pPr>
        <w:ind w:firstLine="560" w:firstLineChars="200"/>
        <w:rPr>
          <w:rFonts w:ascii="仿宋_GB2312" w:hAnsi="宋体" w:eastAsia="仿宋_GB2312"/>
          <w:sz w:val="28"/>
          <w:szCs w:val="32"/>
        </w:rPr>
      </w:pPr>
      <w:r>
        <w:rPr>
          <w:rFonts w:hint="eastAsia" w:ascii="仿宋_GB2312" w:hAnsi="宋体" w:eastAsia="仿宋_GB2312"/>
          <w:sz w:val="28"/>
          <w:szCs w:val="32"/>
        </w:rPr>
        <w:t xml:space="preserve"> 高接换种是利用优良品种的早果、高产、优质的特性，改变实生树结果晚、产量低、品质差、不抗病等缺点，是一种改劣换优最快捷的有效措施。对于立地条件较好、树势较强、无病虫为害的低产实生荔枝园，高接后效果显著。根据编制组种植经验得出适宜作为高接换种的砧木品种有禾荔，其次为镇奉和黑叶，不宜以大造、糖驳、立夏红为砧木，嫁接成活率低，苗木生长差。</w:t>
      </w:r>
    </w:p>
    <w:p>
      <w:pPr>
        <w:ind w:firstLine="562" w:firstLineChars="200"/>
        <w:rPr>
          <w:rFonts w:ascii="仿宋_GB2312" w:hAnsi="宋体" w:eastAsia="仿宋_GB2312"/>
          <w:b/>
          <w:sz w:val="28"/>
          <w:szCs w:val="32"/>
        </w:rPr>
      </w:pPr>
      <w:r>
        <w:rPr>
          <w:rFonts w:hint="eastAsia" w:ascii="仿宋_GB2312" w:hAnsi="宋体" w:eastAsia="仿宋_GB2312"/>
          <w:b/>
          <w:sz w:val="28"/>
          <w:szCs w:val="32"/>
        </w:rPr>
        <w:t>3定植</w:t>
      </w:r>
    </w:p>
    <w:p>
      <w:pPr>
        <w:ind w:firstLine="560" w:firstLineChars="200"/>
        <w:rPr>
          <w:rFonts w:ascii="仿宋_GB2312" w:hAnsi="宋体" w:eastAsia="仿宋_GB2312"/>
          <w:sz w:val="28"/>
          <w:szCs w:val="32"/>
        </w:rPr>
      </w:pPr>
      <w:r>
        <w:rPr>
          <w:rFonts w:hint="eastAsia" w:ascii="仿宋_GB2312" w:hAnsi="宋体" w:eastAsia="仿宋_GB2312"/>
          <w:sz w:val="28"/>
          <w:szCs w:val="32"/>
        </w:rPr>
        <w:t>定植时间分为春植和秋植，春植为2月～4月，秋植为9月～10月，其中以春植较好，成活率高。采用宽行窄株方式定植，株行距为5 m×6 m。宽行窄株种植方式有利改善通风透光条件，植株封行晚，有利于中后期的田间管理。定植前1～2个月挖种植穴，种植穴规格为长和宽各100 cm，深80 cm～100 cm。挖好后让其风化一段时间。每穴施腐熟的有机肥、绿肥、土杂肥等40 kg～50 kg、过磷酸钙1 kg，表土与基肥混匀，填入种植穴，做成直径80 cm、高20 cm～30 cm的定植墩，待回于种植穴的泥土座实后再进行种植。定植应选择阴天或晴天下午进行，定植前将种苗叶片剪去1/2～2/3左右以减少水分蒸发，定植时不能将嫁接口埋入土中。定植后在植穴的周围做一个四周高中间低的直径100 cm左右的浅盘状圆形树盘，盖上干草，淋水保湿。</w:t>
      </w:r>
    </w:p>
    <w:p>
      <w:pPr>
        <w:ind w:firstLine="562" w:firstLineChars="200"/>
        <w:rPr>
          <w:rFonts w:ascii="仿宋_GB2312" w:hAnsi="宋体" w:eastAsia="仿宋_GB2312"/>
          <w:b/>
          <w:sz w:val="28"/>
          <w:szCs w:val="32"/>
          <w:lang w:val="zh-CN"/>
        </w:rPr>
      </w:pPr>
      <w:r>
        <w:rPr>
          <w:rFonts w:hint="eastAsia" w:ascii="仿宋_GB2312" w:hAnsi="宋体" w:eastAsia="仿宋_GB2312"/>
          <w:b/>
          <w:sz w:val="28"/>
          <w:szCs w:val="32"/>
        </w:rPr>
        <w:t>4修剪及</w:t>
      </w:r>
      <w:r>
        <w:rPr>
          <w:rFonts w:hint="eastAsia" w:ascii="仿宋_GB2312" w:hAnsi="宋体" w:eastAsia="仿宋_GB2312"/>
          <w:b/>
          <w:sz w:val="28"/>
          <w:szCs w:val="32"/>
          <w:lang w:val="zh-CN"/>
        </w:rPr>
        <w:t>培养结果母枝</w:t>
      </w:r>
    </w:p>
    <w:p>
      <w:pPr>
        <w:pStyle w:val="20"/>
        <w:numPr>
          <w:ilvl w:val="0"/>
          <w:numId w:val="0"/>
        </w:numPr>
        <w:ind w:firstLine="560" w:firstLineChars="200"/>
        <w:rPr>
          <w:rFonts w:ascii="仿宋_GB2312" w:hAnsi="宋体" w:eastAsia="仿宋_GB2312"/>
          <w:kern w:val="2"/>
          <w:sz w:val="28"/>
          <w:szCs w:val="32"/>
          <w:lang w:val="zh-CN"/>
        </w:rPr>
      </w:pPr>
      <w:r>
        <w:rPr>
          <w:rFonts w:hint="eastAsia" w:ascii="仿宋_GB2312" w:hAnsi="宋体" w:eastAsia="仿宋_GB2312"/>
          <w:kern w:val="2"/>
          <w:sz w:val="28"/>
          <w:szCs w:val="32"/>
          <w:lang w:val="zh-CN"/>
        </w:rPr>
        <w:t>结果树修剪：采果后7 d～10 d内完成，</w:t>
      </w:r>
      <w:r>
        <w:rPr>
          <w:rFonts w:ascii="仿宋_GB2312" w:hAnsi="宋体" w:eastAsia="仿宋_GB2312"/>
          <w:kern w:val="2"/>
          <w:sz w:val="28"/>
          <w:szCs w:val="32"/>
          <w:lang w:val="zh-CN"/>
        </w:rPr>
        <w:t>用</w:t>
      </w:r>
      <w:r>
        <w:rPr>
          <w:rFonts w:hint="eastAsia" w:ascii="仿宋_GB2312" w:hAnsi="宋体" w:eastAsia="仿宋_GB2312"/>
          <w:kern w:val="2"/>
          <w:sz w:val="28"/>
          <w:szCs w:val="32"/>
          <w:lang w:val="zh-CN"/>
        </w:rPr>
        <w:t>轻剪的</w:t>
      </w:r>
      <w:r>
        <w:rPr>
          <w:rFonts w:ascii="仿宋_GB2312" w:hAnsi="宋体" w:eastAsia="仿宋_GB2312"/>
          <w:kern w:val="2"/>
          <w:sz w:val="28"/>
          <w:szCs w:val="32"/>
          <w:lang w:val="zh-CN"/>
        </w:rPr>
        <w:t>方法，</w:t>
      </w:r>
      <w:r>
        <w:rPr>
          <w:rFonts w:hint="eastAsia" w:ascii="仿宋_GB2312" w:hAnsi="宋体" w:eastAsia="仿宋_GB2312"/>
          <w:kern w:val="2"/>
          <w:sz w:val="28"/>
          <w:szCs w:val="32"/>
          <w:lang w:val="zh-CN"/>
        </w:rPr>
        <w:t>剪至结果枝第一个葫芦结下，尽可能多留叶片，</w:t>
      </w:r>
      <w:r>
        <w:rPr>
          <w:rFonts w:ascii="仿宋_GB2312" w:hAnsi="宋体" w:eastAsia="仿宋_GB2312"/>
          <w:kern w:val="2"/>
          <w:sz w:val="28"/>
          <w:szCs w:val="32"/>
          <w:lang w:val="zh-CN"/>
        </w:rPr>
        <w:t>尽量保留阳枝、强壮枝及生长良好的水平枝</w:t>
      </w:r>
      <w:r>
        <w:rPr>
          <w:rFonts w:hint="eastAsia" w:ascii="仿宋_GB2312" w:hAnsi="宋体" w:eastAsia="仿宋_GB2312"/>
          <w:kern w:val="2"/>
          <w:sz w:val="28"/>
          <w:szCs w:val="32"/>
          <w:lang w:val="zh-CN"/>
        </w:rPr>
        <w:t>，</w:t>
      </w:r>
      <w:r>
        <w:rPr>
          <w:rFonts w:ascii="仿宋_GB2312" w:hAnsi="宋体" w:eastAsia="仿宋_GB2312"/>
          <w:kern w:val="2"/>
          <w:sz w:val="28"/>
          <w:szCs w:val="32"/>
          <w:lang w:val="zh-CN"/>
        </w:rPr>
        <w:t>衰老的大枝可进行回缩修剪。</w:t>
      </w:r>
      <w:r>
        <w:rPr>
          <w:rFonts w:hint="eastAsia" w:ascii="仿宋_GB2312" w:hAnsi="宋体" w:eastAsia="仿宋_GB2312"/>
          <w:kern w:val="2"/>
          <w:sz w:val="28"/>
          <w:szCs w:val="32"/>
          <w:lang w:val="zh-CN"/>
        </w:rPr>
        <w:t>抽花穗前适当疏剪。</w:t>
      </w:r>
      <w:r>
        <w:rPr>
          <w:rFonts w:ascii="仿宋_GB2312" w:hAnsi="宋体" w:eastAsia="仿宋_GB2312"/>
          <w:kern w:val="2"/>
          <w:sz w:val="28"/>
          <w:szCs w:val="32"/>
          <w:lang w:val="zh-CN"/>
        </w:rPr>
        <w:t>合理</w:t>
      </w:r>
      <w:r>
        <w:rPr>
          <w:rFonts w:hint="eastAsia" w:ascii="仿宋_GB2312" w:hAnsi="宋体" w:eastAsia="仿宋_GB2312"/>
          <w:kern w:val="2"/>
          <w:sz w:val="28"/>
          <w:szCs w:val="32"/>
          <w:lang w:val="zh-CN"/>
        </w:rPr>
        <w:t>去</w:t>
      </w:r>
      <w:r>
        <w:rPr>
          <w:rFonts w:ascii="仿宋_GB2312" w:hAnsi="宋体" w:eastAsia="仿宋_GB2312"/>
          <w:kern w:val="2"/>
          <w:sz w:val="28"/>
          <w:szCs w:val="32"/>
          <w:lang w:val="zh-CN"/>
        </w:rPr>
        <w:t>除过密枝、荫枝、弱枝、交叉枝、重叠枝、下垂枝、病虫枝等，</w:t>
      </w:r>
      <w:r>
        <w:rPr>
          <w:rFonts w:hint="eastAsia" w:ascii="仿宋_GB2312" w:hAnsi="宋体" w:eastAsia="仿宋_GB2312"/>
          <w:kern w:val="2"/>
          <w:sz w:val="28"/>
          <w:szCs w:val="32"/>
          <w:lang w:val="zh-CN"/>
        </w:rPr>
        <w:t>每个结果母枝单元留1～2条结果枝。</w:t>
      </w:r>
      <w:r>
        <w:rPr>
          <w:rFonts w:hint="eastAsia" w:ascii="仿宋_GB2312" w:hAnsi="宋体" w:eastAsia="仿宋_GB2312"/>
          <w:sz w:val="28"/>
          <w:szCs w:val="32"/>
          <w:lang w:val="zh-CN"/>
        </w:rPr>
        <w:t xml:space="preserve">贵妃红荔枝在栽培上要求合理疏枝，培养节间短而粗壮的秋梢结果母枝，在雄花准备开放期疏删或短截花穗，以促进花穗短壮。通过修剪、灌溉和施肥等措施，培养健壮的结果母枝，使秋梢老熟后不再抽生冬梢。根据树势强弱确定当年的放梢次数，幼树采果后一般放3次秋梢，青壮年结果树放2次秋梢，老树视树势放1次至2次秋梢。放2次秋梢以上的树，末次梢萌出的最佳时间是9月下旬。秋梢要健壮、营养积累充足、无病虫危害，新梢中部直径0.4 cm～0.5 </w:t>
      </w:r>
      <w:r>
        <w:rPr>
          <w:rFonts w:hint="eastAsia" w:hAnsi="宋体" w:cs="宋体"/>
          <w:sz w:val="28"/>
          <w:szCs w:val="32"/>
          <w:lang w:val="zh-CN"/>
        </w:rPr>
        <w:t>㎝</w:t>
      </w:r>
      <w:r>
        <w:rPr>
          <w:rFonts w:hint="eastAsia" w:ascii="仿宋_GB2312" w:hAnsi="仿宋_GB2312" w:eastAsia="仿宋_GB2312" w:cs="仿宋_GB2312"/>
          <w:sz w:val="28"/>
          <w:szCs w:val="32"/>
          <w:lang w:val="zh-CN"/>
        </w:rPr>
        <w:t>，</w:t>
      </w:r>
      <w:r>
        <w:rPr>
          <w:rFonts w:hint="eastAsia" w:ascii="仿宋_GB2312" w:hAnsi="宋体" w:eastAsia="仿宋_GB2312"/>
          <w:sz w:val="28"/>
          <w:szCs w:val="32"/>
          <w:lang w:val="zh-CN"/>
        </w:rPr>
        <w:t>45～50片叶，叶片浓绿完好，不抽发冬梢。</w:t>
      </w:r>
    </w:p>
    <w:p>
      <w:pPr>
        <w:ind w:firstLine="562" w:firstLineChars="200"/>
        <w:rPr>
          <w:rFonts w:ascii="仿宋_GB2312" w:hAnsi="宋体" w:eastAsia="仿宋_GB2312"/>
          <w:b/>
          <w:sz w:val="28"/>
          <w:szCs w:val="32"/>
        </w:rPr>
      </w:pPr>
      <w:r>
        <w:rPr>
          <w:rFonts w:hint="eastAsia" w:ascii="仿宋_GB2312" w:hAnsi="宋体" w:eastAsia="仿宋_GB2312"/>
          <w:b/>
          <w:sz w:val="28"/>
          <w:szCs w:val="32"/>
        </w:rPr>
        <w:t>5控梢促花</w:t>
      </w:r>
    </w:p>
    <w:p>
      <w:pPr>
        <w:ind w:firstLine="560" w:firstLineChars="200"/>
        <w:rPr>
          <w:rFonts w:ascii="仿宋_GB2312" w:hAnsi="宋体" w:eastAsia="仿宋_GB2312"/>
          <w:sz w:val="28"/>
          <w:szCs w:val="32"/>
        </w:rPr>
      </w:pPr>
      <w:r>
        <w:rPr>
          <w:rFonts w:hint="eastAsia" w:ascii="仿宋_GB2312" w:hAnsi="宋体" w:eastAsia="仿宋_GB2312"/>
          <w:sz w:val="28"/>
          <w:szCs w:val="32"/>
        </w:rPr>
        <w:t>在加强肥水调控的基础上，可以有针对性地采取物理或化学措施，促使优良秋梢适时老熟后不再抽生冬梢。控杀冬梢促花的物理措施可选用晒根、断根、环割、环剥、人工摘除等方法，但贯彻措施时一定要注意树龄、树势、立地条件等影响。环剥处理作为当下荔枝控梢促花主要方式，编制组进行以下研究：以环剥其中</w:t>
      </w:r>
      <w:r>
        <w:rPr>
          <w:rFonts w:hint="eastAsia" w:ascii="仿宋_GB2312" w:hAnsi="宋体" w:eastAsia="仿宋_GB2312"/>
          <w:sz w:val="28"/>
          <w:szCs w:val="32"/>
          <w:lang w:val="zh-CN"/>
        </w:rPr>
        <w:t>试验材料为种植在广西农科院里建科研基地荔枝种质资源圃的贵妃红荔枝，树龄10年。2015年11月16日随机选取10株树势相近的树进行试验，对其中5株进行环剥，剩余5株不环剥设为试验对照。</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①环剥处理对荔枝末次梢叶片N、P、K元素含量的影响</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环割后15天末次梢叶片N、P、K元素含量迅速下降，三种元素含量明显低于对照。环割后15天～75天5次检测显示环剥处理的末次梢叶片N、P元素含量均低于对照。对环剥和对照荔枝末次梢叶片N、P、K元素含量进行t检验分析结果见表</w:t>
      </w:r>
      <w:r>
        <w:rPr>
          <w:rFonts w:hint="eastAsia" w:ascii="仿宋_GB2312" w:hAnsi="宋体" w:eastAsia="仿宋_GB2312"/>
          <w:sz w:val="28"/>
          <w:szCs w:val="32"/>
        </w:rPr>
        <w:t>1</w:t>
      </w:r>
      <w:r>
        <w:rPr>
          <w:rFonts w:hint="eastAsia" w:ascii="仿宋_GB2312" w:hAnsi="宋体" w:eastAsia="仿宋_GB2312"/>
          <w:sz w:val="28"/>
          <w:szCs w:val="32"/>
          <w:lang w:val="zh-CN"/>
        </w:rPr>
        <w:t>。从数据分析来看在环剥处理当天处理树和对照树的末次梢叶片N、P、K元素含量无显著差异。环剥后15、30、45、75天N元素含量出现显著性差异。环剥后15、30、45、60、75天P元素含量出现显著性差异。环剥后15、75天K元素含量出现显著性差异。</w:t>
      </w:r>
    </w:p>
    <w:p>
      <w:pPr>
        <w:pStyle w:val="8"/>
        <w:spacing w:beforeLines="50" w:afterLines="50"/>
        <w:ind w:firstLine="0" w:firstLineChars="0"/>
        <w:jc w:val="center"/>
        <w:rPr>
          <w:rFonts w:ascii="仿宋" w:hAnsi="仿宋" w:eastAsia="仿宋" w:cs="仿宋"/>
          <w:sz w:val="24"/>
          <w:szCs w:val="24"/>
        </w:rPr>
      </w:pPr>
      <w:r>
        <w:rPr>
          <w:rFonts w:hint="eastAsia" w:ascii="仿宋" w:hAnsi="仿宋" w:eastAsia="仿宋" w:cs="仿宋"/>
          <w:sz w:val="24"/>
          <w:szCs w:val="24"/>
        </w:rPr>
        <w:t>表1 环剥对荔枝末次梢叶片N、P、K元素含量的影响</w:t>
      </w:r>
    </w:p>
    <w:tbl>
      <w:tblPr>
        <w:tblStyle w:val="5"/>
        <w:tblW w:w="8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721"/>
        <w:gridCol w:w="1721"/>
        <w:gridCol w:w="1974"/>
        <w:gridCol w:w="1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721" w:type="dxa"/>
            <w:vMerge w:val="restar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测定元素</w:t>
            </w:r>
          </w:p>
        </w:tc>
        <w:tc>
          <w:tcPr>
            <w:tcW w:w="1721" w:type="dxa"/>
            <w:vMerge w:val="restar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处理后天数</w:t>
            </w:r>
          </w:p>
        </w:tc>
        <w:tc>
          <w:tcPr>
            <w:tcW w:w="3695" w:type="dxa"/>
            <w:gridSpan w:val="2"/>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处理</w:t>
            </w:r>
          </w:p>
        </w:tc>
        <w:tc>
          <w:tcPr>
            <w:tcW w:w="1721" w:type="dxa"/>
            <w:vMerge w:val="restar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t检验 p值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A环割</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B对照</w:t>
            </w:r>
          </w:p>
        </w:tc>
        <w:tc>
          <w:tcPr>
            <w:tcW w:w="1721" w:type="dxa"/>
            <w:vMerge w:val="continue"/>
            <w:vAlign w:val="center"/>
          </w:tcPr>
          <w:p>
            <w:pPr>
              <w:widowControl/>
              <w:spacing w:line="240" w:lineRule="exact"/>
              <w:jc w:val="center"/>
              <w:rPr>
                <w:rFonts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restar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N</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20.34</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19.38</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15</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16.00</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20.61</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0.001</w:t>
            </w:r>
            <w:r>
              <w:rPr>
                <w:rFonts w:hint="eastAsia" w:ascii="仿宋" w:hAnsi="仿宋" w:eastAsia="仿宋" w:cs="仿宋"/>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30</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18.17</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20.01</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0.032</w:t>
            </w:r>
            <w:r>
              <w:rPr>
                <w:rFonts w:hint="eastAsia" w:ascii="仿宋" w:hAnsi="仿宋" w:eastAsia="仿宋" w:cs="仿宋"/>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45</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17.54</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21.37</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0.003</w:t>
            </w:r>
            <w:r>
              <w:rPr>
                <w:rFonts w:hint="eastAsia" w:ascii="仿宋" w:hAnsi="仿宋" w:eastAsia="仿宋" w:cs="仿宋"/>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60</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18.05</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20.15</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75</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18.94</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21.27</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0.003</w:t>
            </w:r>
            <w:r>
              <w:rPr>
                <w:rFonts w:hint="eastAsia" w:ascii="仿宋" w:hAnsi="仿宋" w:eastAsia="仿宋" w:cs="仿宋"/>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restar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P</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2.43</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2.42</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15</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1.54</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2.29</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0.000</w:t>
            </w:r>
            <w:r>
              <w:rPr>
                <w:rFonts w:hint="eastAsia" w:ascii="仿宋" w:hAnsi="仿宋" w:eastAsia="仿宋" w:cs="仿宋"/>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30</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1.73</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2.22</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0.003</w:t>
            </w:r>
            <w:r>
              <w:rPr>
                <w:rFonts w:hint="eastAsia" w:ascii="仿宋" w:hAnsi="仿宋" w:eastAsia="仿宋" w:cs="仿宋"/>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45</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1.48</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2.17</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0.002</w:t>
            </w:r>
            <w:r>
              <w:rPr>
                <w:rFonts w:hint="eastAsia" w:ascii="仿宋" w:hAnsi="仿宋" w:eastAsia="仿宋" w:cs="仿宋"/>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60</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1.47</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1.91</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0.042</w:t>
            </w:r>
            <w:r>
              <w:rPr>
                <w:rFonts w:hint="eastAsia" w:ascii="仿宋" w:hAnsi="仿宋" w:eastAsia="仿宋" w:cs="仿宋"/>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75</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1.24</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1.55</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0.004</w:t>
            </w:r>
            <w:r>
              <w:rPr>
                <w:rFonts w:hint="eastAsia" w:ascii="仿宋" w:hAnsi="仿宋" w:eastAsia="仿宋" w:cs="仿宋"/>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restar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K</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9.30</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9.29</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15</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7.77</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9.16</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0.001</w:t>
            </w:r>
            <w:r>
              <w:rPr>
                <w:rFonts w:hint="eastAsia" w:ascii="仿宋" w:hAnsi="仿宋" w:eastAsia="仿宋" w:cs="仿宋"/>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30</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8.18</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8.31</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45</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7.59</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7.91</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60</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7.80</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7.21</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721" w:type="dxa"/>
            <w:vMerge w:val="continue"/>
            <w:vAlign w:val="center"/>
          </w:tcPr>
          <w:p>
            <w:pPr>
              <w:widowControl/>
              <w:spacing w:line="240" w:lineRule="exact"/>
              <w:jc w:val="center"/>
              <w:rPr>
                <w:rFonts w:ascii="仿宋" w:hAnsi="仿宋" w:eastAsia="仿宋" w:cs="仿宋"/>
                <w:kern w:val="0"/>
                <w:sz w:val="18"/>
                <w:szCs w:val="18"/>
              </w:rPr>
            </w:pP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75</w:t>
            </w:r>
          </w:p>
        </w:tc>
        <w:tc>
          <w:tcPr>
            <w:tcW w:w="1721"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7.15</w:t>
            </w:r>
          </w:p>
        </w:tc>
        <w:tc>
          <w:tcPr>
            <w:tcW w:w="1974"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6.34</w:t>
            </w:r>
          </w:p>
        </w:tc>
        <w:tc>
          <w:tcPr>
            <w:tcW w:w="1721" w:type="dxa"/>
            <w:vAlign w:val="center"/>
          </w:tcPr>
          <w:p>
            <w:pPr>
              <w:spacing w:line="240" w:lineRule="exact"/>
              <w:jc w:val="center"/>
              <w:rPr>
                <w:rFonts w:ascii="仿宋" w:hAnsi="仿宋" w:eastAsia="仿宋" w:cs="仿宋"/>
                <w:sz w:val="18"/>
                <w:szCs w:val="18"/>
              </w:rPr>
            </w:pPr>
            <w:r>
              <w:rPr>
                <w:rFonts w:hint="eastAsia" w:ascii="仿宋" w:hAnsi="仿宋" w:eastAsia="仿宋" w:cs="仿宋"/>
                <w:sz w:val="18"/>
                <w:szCs w:val="18"/>
              </w:rPr>
              <w:t>0.039</w:t>
            </w:r>
            <w:r>
              <w:rPr>
                <w:rFonts w:hint="eastAsia" w:ascii="仿宋" w:hAnsi="仿宋" w:eastAsia="仿宋" w:cs="仿宋"/>
                <w:sz w:val="18"/>
                <w:szCs w:val="18"/>
                <w:vertAlign w:val="superscript"/>
              </w:rPr>
              <w:t>*</w:t>
            </w:r>
          </w:p>
        </w:tc>
      </w:tr>
    </w:tbl>
    <w:p>
      <w:pPr>
        <w:pStyle w:val="8"/>
        <w:ind w:left="70" w:firstLine="0" w:firstLineChars="0"/>
        <w:rPr>
          <w:sz w:val="15"/>
          <w:szCs w:val="15"/>
        </w:rPr>
      </w:pPr>
      <w:r>
        <w:rPr>
          <w:rFonts w:hint="eastAsia"/>
          <w:sz w:val="15"/>
          <w:szCs w:val="15"/>
        </w:rPr>
        <w:t xml:space="preserve">     </w:t>
      </w:r>
      <w:r>
        <w:rPr>
          <w:rFonts w:hint="eastAsia" w:ascii="仿宋" w:hAnsi="仿宋" w:eastAsia="仿宋" w:cs="仿宋"/>
          <w:sz w:val="18"/>
          <w:szCs w:val="18"/>
        </w:rPr>
        <w:t xml:space="preserve"> 注：*号表示在5%水平上差异显</w:t>
      </w:r>
      <w:r>
        <w:rPr>
          <w:sz w:val="15"/>
          <w:szCs w:val="15"/>
        </w:rPr>
        <w:t xml:space="preserve">  </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②环剥处理对荔枝末次梢叶片叶绿素含量的影响</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环割处理后环割树叶片叶绿素含量明显低于对照。对环剥和对照荔枝末次梢叶片叶绿素含量进行t检验分析结果见表</w:t>
      </w:r>
      <w:r>
        <w:rPr>
          <w:rFonts w:hint="eastAsia" w:ascii="仿宋_GB2312" w:hAnsi="宋体" w:eastAsia="仿宋_GB2312"/>
          <w:sz w:val="28"/>
          <w:szCs w:val="32"/>
        </w:rPr>
        <w:t>2</w:t>
      </w:r>
      <w:r>
        <w:rPr>
          <w:rFonts w:hint="eastAsia" w:ascii="仿宋_GB2312" w:hAnsi="宋体" w:eastAsia="仿宋_GB2312"/>
          <w:sz w:val="28"/>
          <w:szCs w:val="32"/>
          <w:lang w:val="zh-CN"/>
        </w:rPr>
        <w:t>。从数据分析来看在环剥处理当天处理树和对照树的末次梢叶片叶绿素含量无显著差异。环剥后45、60、75天叶绿素b、总叶绿素含量出现显著性差异。环剥后45、75天叶绿素a含量出现显著性差异。</w:t>
      </w:r>
    </w:p>
    <w:p>
      <w:pPr>
        <w:pStyle w:val="8"/>
        <w:spacing w:beforeLines="50" w:afterLines="50"/>
        <w:ind w:firstLine="0" w:firstLineChars="0"/>
        <w:jc w:val="center"/>
        <w:rPr>
          <w:rFonts w:ascii="仿宋" w:hAnsi="仿宋" w:eastAsia="仿宋" w:cs="仿宋"/>
          <w:sz w:val="24"/>
          <w:szCs w:val="24"/>
        </w:rPr>
      </w:pPr>
      <w:r>
        <w:rPr>
          <w:rFonts w:hint="eastAsia" w:ascii="仿宋" w:hAnsi="仿宋" w:eastAsia="仿宋" w:cs="仿宋"/>
          <w:sz w:val="24"/>
          <w:szCs w:val="24"/>
        </w:rPr>
        <w:t>表2  环剥对荔枝末次梢叶片叶绿素含量的影响</w:t>
      </w:r>
    </w:p>
    <w:tbl>
      <w:tblPr>
        <w:tblStyle w:val="5"/>
        <w:tblW w:w="48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8"/>
        <w:gridCol w:w="1538"/>
        <w:gridCol w:w="1538"/>
        <w:gridCol w:w="1547"/>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1380" w:type="pct"/>
            <w:vMerge w:val="restar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测定项目</w:t>
            </w:r>
          </w:p>
        </w:tc>
        <w:tc>
          <w:tcPr>
            <w:tcW w:w="860" w:type="pct"/>
            <w:vMerge w:val="restar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处理后天数</w:t>
            </w:r>
          </w:p>
        </w:tc>
        <w:tc>
          <w:tcPr>
            <w:tcW w:w="1725" w:type="pct"/>
            <w:gridSpan w:val="2"/>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处理</w:t>
            </w:r>
          </w:p>
        </w:tc>
        <w:tc>
          <w:tcPr>
            <w:tcW w:w="1032" w:type="pct"/>
            <w:vMerge w:val="restar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t检验 p值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A环割</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B对照</w:t>
            </w:r>
          </w:p>
        </w:tc>
        <w:tc>
          <w:tcPr>
            <w:tcW w:w="1032" w:type="pct"/>
            <w:vMerge w:val="continue"/>
            <w:vAlign w:val="center"/>
          </w:tcPr>
          <w:p>
            <w:pPr>
              <w:widowControl/>
              <w:spacing w:line="240" w:lineRule="exact"/>
              <w:jc w:val="center"/>
              <w:rPr>
                <w:rFonts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restar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叶绿素a</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1.53</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1.55</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15</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1.50</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1.70</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30</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1.41</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1.64</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45</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1.43</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1.79</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60</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1.65</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1.82</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75</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1.57</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1.84</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restar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叶绿素b</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0.59</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0.63</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15</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0.72</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0.73</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30</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0.53</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0.58</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45</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0.56</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0.71</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60</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0.32</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0.58</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75</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0.62</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0.73</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restar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总叶绿素</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2.13</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2.19</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15</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2.22</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2.43</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30</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1.93</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2.23</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45</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1.99</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2.50</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60</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1.97</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2.40</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1380" w:type="pct"/>
            <w:vMerge w:val="continue"/>
            <w:vAlign w:val="center"/>
          </w:tcPr>
          <w:p>
            <w:pPr>
              <w:widowControl/>
              <w:spacing w:line="240" w:lineRule="exact"/>
              <w:jc w:val="center"/>
              <w:rPr>
                <w:rFonts w:ascii="仿宋" w:hAnsi="仿宋" w:eastAsia="仿宋" w:cs="仿宋"/>
                <w:kern w:val="0"/>
                <w:sz w:val="18"/>
                <w:szCs w:val="18"/>
              </w:rPr>
            </w:pP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75</w:t>
            </w:r>
          </w:p>
        </w:tc>
        <w:tc>
          <w:tcPr>
            <w:tcW w:w="860"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2.19</w:t>
            </w:r>
          </w:p>
        </w:tc>
        <w:tc>
          <w:tcPr>
            <w:tcW w:w="864"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2.57</w:t>
            </w:r>
          </w:p>
        </w:tc>
        <w:tc>
          <w:tcPr>
            <w:tcW w:w="1032" w:type="pc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0.003*</w:t>
            </w:r>
          </w:p>
        </w:tc>
      </w:tr>
    </w:tbl>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③环剥处理对荔枝花穗生长的影响</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环剥处理对荔枝花穗生长的影响见表</w:t>
      </w:r>
      <w:r>
        <w:rPr>
          <w:rFonts w:hint="eastAsia" w:ascii="仿宋_GB2312" w:hAnsi="宋体" w:eastAsia="仿宋_GB2312"/>
          <w:sz w:val="28"/>
          <w:szCs w:val="32"/>
        </w:rPr>
        <w:t>3</w:t>
      </w:r>
      <w:r>
        <w:rPr>
          <w:rFonts w:hint="eastAsia" w:ascii="仿宋_GB2312" w:hAnsi="宋体" w:eastAsia="仿宋_GB2312"/>
          <w:sz w:val="28"/>
          <w:szCs w:val="32"/>
          <w:lang w:val="zh-CN"/>
        </w:rPr>
        <w:t>。环剥处理的荔枝树花穗抽生率和花穗宽度比对照树较高，花穗长度比对照树较短。进行t检验分析，环割和对照之间的数值差异不显著。</w:t>
      </w:r>
    </w:p>
    <w:p>
      <w:pPr>
        <w:adjustRightInd w:val="0"/>
        <w:snapToGrid w:val="0"/>
        <w:spacing w:beforeLines="50" w:afterLines="50"/>
        <w:jc w:val="center"/>
        <w:rPr>
          <w:rFonts w:hint="eastAsia" w:ascii="仿宋" w:hAnsi="仿宋" w:eastAsia="仿宋" w:cs="仿宋"/>
          <w:sz w:val="24"/>
        </w:rPr>
      </w:pPr>
    </w:p>
    <w:p>
      <w:pPr>
        <w:adjustRightInd w:val="0"/>
        <w:snapToGrid w:val="0"/>
        <w:spacing w:beforeLines="50" w:afterLines="50"/>
        <w:jc w:val="center"/>
        <w:rPr>
          <w:rFonts w:hint="eastAsia" w:ascii="仿宋" w:hAnsi="仿宋" w:eastAsia="仿宋" w:cs="仿宋"/>
          <w:sz w:val="24"/>
        </w:rPr>
      </w:pPr>
    </w:p>
    <w:p>
      <w:pPr>
        <w:adjustRightInd w:val="0"/>
        <w:snapToGrid w:val="0"/>
        <w:spacing w:beforeLines="50" w:afterLines="50"/>
        <w:jc w:val="center"/>
        <w:rPr>
          <w:rFonts w:hint="eastAsia" w:ascii="仿宋" w:hAnsi="仿宋" w:eastAsia="仿宋" w:cs="仿宋"/>
          <w:sz w:val="24"/>
        </w:rPr>
      </w:pPr>
    </w:p>
    <w:p>
      <w:pPr>
        <w:adjustRightInd w:val="0"/>
        <w:snapToGrid w:val="0"/>
        <w:spacing w:beforeLines="50" w:afterLines="50"/>
        <w:jc w:val="center"/>
        <w:rPr>
          <w:rFonts w:ascii="仿宋" w:hAnsi="仿宋" w:eastAsia="仿宋" w:cs="仿宋"/>
          <w:sz w:val="24"/>
        </w:rPr>
      </w:pPr>
      <w:bookmarkStart w:id="0" w:name="_GoBack"/>
      <w:bookmarkEnd w:id="0"/>
      <w:r>
        <w:rPr>
          <w:rFonts w:hint="eastAsia" w:ascii="仿宋" w:hAnsi="仿宋" w:eastAsia="仿宋" w:cs="仿宋"/>
          <w:sz w:val="24"/>
        </w:rPr>
        <w:t>表3  环剥对荔枝花穗生长的影响</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2"/>
        <w:gridCol w:w="2009"/>
        <w:gridCol w:w="2420"/>
        <w:gridCol w:w="2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492" w:type="dxa"/>
            <w:vMerge w:val="restar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测定项目</w:t>
            </w:r>
          </w:p>
        </w:tc>
        <w:tc>
          <w:tcPr>
            <w:tcW w:w="4429" w:type="dxa"/>
            <w:gridSpan w:val="2"/>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处理</w:t>
            </w:r>
          </w:p>
        </w:tc>
        <w:tc>
          <w:tcPr>
            <w:tcW w:w="2017" w:type="dxa"/>
            <w:vMerge w:val="restart"/>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t检验 p值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2492" w:type="dxa"/>
            <w:vMerge w:val="continue"/>
            <w:vAlign w:val="center"/>
          </w:tcPr>
          <w:p>
            <w:pPr>
              <w:widowControl/>
              <w:spacing w:line="240" w:lineRule="exact"/>
              <w:jc w:val="center"/>
              <w:rPr>
                <w:rFonts w:ascii="仿宋" w:hAnsi="仿宋" w:eastAsia="仿宋" w:cs="仿宋"/>
                <w:kern w:val="0"/>
                <w:sz w:val="18"/>
                <w:szCs w:val="18"/>
              </w:rPr>
            </w:pPr>
          </w:p>
        </w:tc>
        <w:tc>
          <w:tcPr>
            <w:tcW w:w="2009"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A环割</w:t>
            </w:r>
          </w:p>
        </w:tc>
        <w:tc>
          <w:tcPr>
            <w:tcW w:w="2420"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B对照</w:t>
            </w:r>
          </w:p>
        </w:tc>
        <w:tc>
          <w:tcPr>
            <w:tcW w:w="2017" w:type="dxa"/>
            <w:vMerge w:val="continue"/>
            <w:vAlign w:val="center"/>
          </w:tcPr>
          <w:p>
            <w:pPr>
              <w:widowControl/>
              <w:spacing w:line="240" w:lineRule="exact"/>
              <w:jc w:val="center"/>
              <w:rPr>
                <w:rFonts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2492"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花穗抽生率/(%)</w:t>
            </w:r>
          </w:p>
        </w:tc>
        <w:tc>
          <w:tcPr>
            <w:tcW w:w="2009"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87.92</w:t>
            </w:r>
          </w:p>
        </w:tc>
        <w:tc>
          <w:tcPr>
            <w:tcW w:w="2420"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80.88</w:t>
            </w:r>
          </w:p>
        </w:tc>
        <w:tc>
          <w:tcPr>
            <w:tcW w:w="2017"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2492"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花穗长度/(cm)</w:t>
            </w:r>
          </w:p>
        </w:tc>
        <w:tc>
          <w:tcPr>
            <w:tcW w:w="2009"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16.52</w:t>
            </w:r>
          </w:p>
        </w:tc>
        <w:tc>
          <w:tcPr>
            <w:tcW w:w="2420"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16.58</w:t>
            </w:r>
          </w:p>
        </w:tc>
        <w:tc>
          <w:tcPr>
            <w:tcW w:w="2017"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492"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花穗宽度/(cm)</w:t>
            </w:r>
          </w:p>
        </w:tc>
        <w:tc>
          <w:tcPr>
            <w:tcW w:w="2009"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17.80</w:t>
            </w:r>
          </w:p>
        </w:tc>
        <w:tc>
          <w:tcPr>
            <w:tcW w:w="2420"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17.11</w:t>
            </w:r>
          </w:p>
        </w:tc>
        <w:tc>
          <w:tcPr>
            <w:tcW w:w="2017" w:type="dxa"/>
            <w:vAlign w:val="center"/>
          </w:tcPr>
          <w:p>
            <w:pPr>
              <w:widowControl/>
              <w:spacing w:line="240" w:lineRule="exact"/>
              <w:jc w:val="center"/>
              <w:rPr>
                <w:rFonts w:ascii="仿宋" w:hAnsi="仿宋" w:eastAsia="仿宋" w:cs="仿宋"/>
                <w:kern w:val="0"/>
                <w:sz w:val="18"/>
                <w:szCs w:val="18"/>
              </w:rPr>
            </w:pPr>
            <w:r>
              <w:rPr>
                <w:rFonts w:hint="eastAsia" w:ascii="仿宋" w:hAnsi="仿宋" w:eastAsia="仿宋" w:cs="仿宋"/>
                <w:kern w:val="0"/>
                <w:sz w:val="18"/>
                <w:szCs w:val="18"/>
              </w:rPr>
              <w:t>0.530</w:t>
            </w:r>
          </w:p>
        </w:tc>
      </w:tr>
    </w:tbl>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根据以上研究得出，在冬季末次梢老熟后新梢萌发前对贵妃红荔枝树体进行环剥能够有效的抑制冬梢的生长，提高花穗抽生率，是实现贵妃红荔枝丰产、稳产的简单且有效的技术措施。</w:t>
      </w:r>
    </w:p>
    <w:p>
      <w:pPr>
        <w:ind w:firstLine="562" w:firstLineChars="200"/>
        <w:rPr>
          <w:rFonts w:ascii="仿宋_GB2312" w:hAnsi="宋体" w:eastAsia="仿宋_GB2312"/>
          <w:b/>
          <w:sz w:val="28"/>
          <w:szCs w:val="32"/>
        </w:rPr>
      </w:pPr>
      <w:r>
        <w:rPr>
          <w:rFonts w:hint="eastAsia" w:ascii="仿宋_GB2312" w:hAnsi="宋体" w:eastAsia="仿宋_GB2312"/>
          <w:b/>
          <w:sz w:val="28"/>
          <w:szCs w:val="32"/>
        </w:rPr>
        <w:t>6花果管理</w:t>
      </w:r>
    </w:p>
    <w:p>
      <w:pPr>
        <w:pStyle w:val="9"/>
        <w:ind w:firstLine="560"/>
      </w:pPr>
      <w:r>
        <w:rPr>
          <w:rFonts w:hint="eastAsia" w:ascii="仿宋_GB2312" w:hAnsi="宋体" w:eastAsia="仿宋_GB2312"/>
          <w:sz w:val="28"/>
          <w:szCs w:val="32"/>
        </w:rPr>
        <w:t>贵妃红荔枝开花前半个月停止使用杀虫剂；在开花前3 d～5 d，按照每亩1箱蜜蜂的比例引入蜂群授粉；在第一批雄花开放后、雌花少量开放时喷0.1％硼砂；此外还可以采用雨后摇花、高温干燥天气果园喷水等措施创造良好的授粉条件，促进授粉受精。生长壮旺的幼龄树、中年树在雌花谢花后的10 d～15 d，在主干或直径15 cm以上侧枝进行螺旋环剥环割保果，割口宽2 mm，环剥1～1.5圈。在第二次生理落果期可喷30 mg/L</w:t>
      </w:r>
      <w:r>
        <w:rPr>
          <w:rFonts w:hint="eastAsia" w:ascii="仿宋" w:hAnsi="仿宋" w:eastAsia="仿宋"/>
          <w:sz w:val="28"/>
          <w:szCs w:val="32"/>
        </w:rPr>
        <w:t>～</w:t>
      </w:r>
      <w:r>
        <w:rPr>
          <w:rFonts w:hint="eastAsia" w:ascii="仿宋_GB2312" w:hAnsi="宋体" w:eastAsia="仿宋_GB2312"/>
          <w:sz w:val="28"/>
          <w:szCs w:val="32"/>
        </w:rPr>
        <w:t>50 mg/L的赤霉素、荔枝保果素等植物生长调节剂保果。使用生长调节剂时，必须严格按照使用说明规定的浓度、使用方法进行，严禁使用未经国家批准登记和生产的植物生长调节剂。谢花后40 d进行疏果，疏去畸形果、小果和过多的果实，根据树势、结果母枝粗度和叶片数量，每穗保留5～8个果。根据用途、市场需要和果实的成熟度分期分批采收。在6月下旬</w:t>
      </w:r>
      <w:r>
        <w:rPr>
          <w:rFonts w:ascii="仿宋_GB2312" w:hAnsi="宋体" w:eastAsia="仿宋_GB2312"/>
          <w:sz w:val="28"/>
          <w:szCs w:val="32"/>
        </w:rPr>
        <w:t>果皮转变成鲜红色，可溶性固形物</w:t>
      </w:r>
      <w:r>
        <w:rPr>
          <w:rFonts w:hint="eastAsia" w:ascii="仿宋_GB2312" w:hAnsi="宋体" w:eastAsia="仿宋_GB2312"/>
          <w:sz w:val="28"/>
          <w:szCs w:val="32"/>
        </w:rPr>
        <w:t>含量≥16.5％</w:t>
      </w:r>
      <w:r>
        <w:rPr>
          <w:rFonts w:ascii="仿宋_GB2312" w:hAnsi="宋体" w:eastAsia="仿宋_GB2312"/>
          <w:sz w:val="28"/>
          <w:szCs w:val="32"/>
        </w:rPr>
        <w:t>时</w:t>
      </w:r>
      <w:r>
        <w:rPr>
          <w:rFonts w:hint="eastAsia" w:ascii="仿宋_GB2312" w:hAnsi="宋体" w:eastAsia="仿宋_GB2312"/>
          <w:sz w:val="28"/>
          <w:szCs w:val="32"/>
        </w:rPr>
        <w:t>可采收，实行短枝采果，宜在7 d内采收完毕。采收时间应选择晴天上午露水干后或阴天进行，采收过程中避免机械损伤和果实暴晒。</w:t>
      </w:r>
    </w:p>
    <w:p>
      <w:pPr>
        <w:spacing w:line="60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六、国内外同类标准制修订情况及与法律法规、强制性标准关系</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经查阅，国内与荔枝生产有关的行业及地方标准有：</w:t>
      </w:r>
      <w:r>
        <w:rPr>
          <w:rFonts w:hint="eastAsia" w:ascii="仿宋_GB2312" w:hAnsi="宋体" w:eastAsia="仿宋_GB2312"/>
          <w:sz w:val="28"/>
          <w:szCs w:val="32"/>
        </w:rPr>
        <w:t>NY/T 5174</w:t>
      </w:r>
      <w:r>
        <w:rPr>
          <w:rFonts w:hint="eastAsia" w:ascii="仿宋_GB2312" w:hAnsi="宋体" w:eastAsia="仿宋_GB2312"/>
          <w:sz w:val="28"/>
          <w:szCs w:val="32"/>
          <w:lang w:val="zh-CN"/>
        </w:rPr>
        <w:t>《无公害食品 荔枝生产技术规程》和DB45/T 880《</w:t>
      </w:r>
      <w:r>
        <w:rPr>
          <w:rFonts w:ascii="仿宋_GB2312" w:hAnsi="宋体" w:eastAsia="仿宋_GB2312"/>
          <w:sz w:val="28"/>
          <w:szCs w:val="32"/>
          <w:lang w:val="zh-CN"/>
        </w:rPr>
        <w:t>无公害食品 荔枝生产技术规程</w:t>
      </w:r>
      <w:r>
        <w:rPr>
          <w:rFonts w:hint="eastAsia" w:ascii="仿宋_GB2312" w:hAnsi="宋体" w:eastAsia="仿宋_GB2312"/>
          <w:sz w:val="28"/>
          <w:szCs w:val="32"/>
          <w:lang w:val="zh-CN"/>
        </w:rPr>
        <w:t>》。以上标准均对于中晚熟的荔枝新品种贵妃红栽培管理存在较大差异，不能满足对广西贵妃红荔枝种植的指导。</w:t>
      </w:r>
    </w:p>
    <w:p>
      <w:pPr>
        <w:ind w:firstLine="560" w:firstLineChars="200"/>
        <w:rPr>
          <w:rFonts w:ascii="仿宋_GB2312" w:hAnsi="宋体" w:eastAsia="仿宋_GB2312"/>
          <w:sz w:val="28"/>
          <w:szCs w:val="32"/>
        </w:rPr>
      </w:pPr>
      <w:r>
        <w:rPr>
          <w:rFonts w:hint="eastAsia" w:ascii="仿宋_GB2312" w:hAnsi="宋体" w:eastAsia="仿宋_GB2312"/>
          <w:sz w:val="28"/>
          <w:szCs w:val="32"/>
          <w:lang w:val="zh-CN"/>
        </w:rPr>
        <w:t>本标准的内容与现行的法律、法规及强制性标准无冲突，标准的编写符合</w:t>
      </w:r>
      <w:r>
        <w:rPr>
          <w:rFonts w:hint="eastAsia" w:ascii="仿宋_GB2312" w:hAnsi="宋体" w:eastAsia="仿宋_GB2312"/>
          <w:sz w:val="28"/>
          <w:szCs w:val="32"/>
        </w:rPr>
        <w:t>GB/T 1.1-2020的要求。</w:t>
      </w:r>
    </w:p>
    <w:p>
      <w:pPr>
        <w:spacing w:line="60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七、重大分歧意见发处理经过和依据</w:t>
      </w:r>
    </w:p>
    <w:p>
      <w:pPr>
        <w:spacing w:line="520" w:lineRule="exact"/>
        <w:ind w:firstLine="560" w:firstLineChars="200"/>
        <w:rPr>
          <w:rFonts w:ascii="仿宋_GB2312" w:hAnsi="宋体" w:eastAsia="仿宋_GB2312"/>
          <w:sz w:val="28"/>
          <w:szCs w:val="32"/>
        </w:rPr>
      </w:pPr>
      <w:r>
        <w:rPr>
          <w:rFonts w:hint="eastAsia" w:ascii="仿宋_GB2312" w:hAnsi="宋体" w:eastAsia="仿宋_GB2312"/>
          <w:sz w:val="28"/>
          <w:szCs w:val="32"/>
        </w:rPr>
        <w:t>本标准研制过程中无重大分歧意见。</w:t>
      </w:r>
    </w:p>
    <w:p>
      <w:pPr>
        <w:spacing w:line="520" w:lineRule="exact"/>
        <w:ind w:firstLine="560" w:firstLineChars="200"/>
        <w:rPr>
          <w:rFonts w:ascii="仿宋_GB2312" w:hAnsi="宋体" w:eastAsia="仿宋_GB2312"/>
          <w:sz w:val="28"/>
          <w:szCs w:val="32"/>
          <w:lang w:val="zh-CN"/>
        </w:rPr>
      </w:pPr>
    </w:p>
    <w:p>
      <w:pPr>
        <w:spacing w:line="520" w:lineRule="exact"/>
        <w:ind w:firstLine="560" w:firstLineChars="200"/>
        <w:rPr>
          <w:rFonts w:ascii="仿宋_GB2312" w:hAnsi="宋体" w:eastAsia="仿宋_GB2312"/>
          <w:sz w:val="28"/>
          <w:szCs w:val="32"/>
          <w:lang w:val="zh-CN"/>
        </w:rPr>
      </w:pPr>
    </w:p>
    <w:p>
      <w:pPr>
        <w:spacing w:line="520" w:lineRule="exact"/>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 xml:space="preserve">                       团体标准 《贵妃红荔枝</w:t>
      </w:r>
      <w:r>
        <w:rPr>
          <w:rFonts w:hint="eastAsia" w:ascii="仿宋_GB2312" w:hAnsi="宋体" w:eastAsia="仿宋_GB2312"/>
          <w:sz w:val="28"/>
          <w:szCs w:val="32"/>
        </w:rPr>
        <w:t>生产</w:t>
      </w:r>
      <w:r>
        <w:rPr>
          <w:rFonts w:hint="eastAsia" w:ascii="仿宋_GB2312" w:hAnsi="宋体" w:eastAsia="仿宋_GB2312"/>
          <w:sz w:val="28"/>
          <w:szCs w:val="32"/>
          <w:lang w:val="zh-CN"/>
        </w:rPr>
        <w:t>技术规程》</w:t>
      </w:r>
    </w:p>
    <w:p>
      <w:pPr>
        <w:spacing w:line="520" w:lineRule="exact"/>
        <w:ind w:firstLine="5180" w:firstLineChars="1850"/>
        <w:rPr>
          <w:rFonts w:ascii="仿宋_GB2312" w:hAnsi="宋体" w:eastAsia="仿宋_GB2312"/>
          <w:sz w:val="28"/>
          <w:szCs w:val="32"/>
          <w:lang w:val="zh-CN"/>
        </w:rPr>
      </w:pPr>
      <w:r>
        <w:rPr>
          <w:rFonts w:hint="eastAsia" w:ascii="仿宋_GB2312" w:hAnsi="宋体" w:eastAsia="仿宋_GB2312"/>
          <w:sz w:val="28"/>
          <w:szCs w:val="32"/>
          <w:lang w:val="zh-CN"/>
        </w:rPr>
        <w:t>标准编制小组</w:t>
      </w:r>
    </w:p>
    <w:p>
      <w:pPr>
        <w:spacing w:line="520" w:lineRule="exact"/>
        <w:ind w:firstLine="560" w:firstLineChars="200"/>
        <w:rPr>
          <w:rFonts w:ascii="仿宋_GB2312" w:hAnsi="宋体" w:eastAsia="仿宋_GB2312"/>
          <w:sz w:val="28"/>
          <w:szCs w:val="32"/>
        </w:rPr>
      </w:pPr>
      <w:r>
        <w:rPr>
          <w:rFonts w:hint="eastAsia" w:ascii="仿宋_GB2312" w:hAnsi="宋体" w:eastAsia="仿宋_GB2312"/>
          <w:sz w:val="28"/>
          <w:szCs w:val="32"/>
          <w:lang w:val="zh-CN"/>
        </w:rPr>
        <w:t xml:space="preserve">                               </w:t>
      </w:r>
      <w:r>
        <w:rPr>
          <w:rFonts w:hint="eastAsia" w:ascii="仿宋_GB2312" w:hAnsi="宋体" w:eastAsia="仿宋_GB2312"/>
          <w:sz w:val="28"/>
          <w:szCs w:val="32"/>
        </w:rPr>
        <w:t>2021</w:t>
      </w:r>
      <w:r>
        <w:rPr>
          <w:rFonts w:hint="eastAsia" w:ascii="仿宋_GB2312" w:hAnsi="宋体" w:eastAsia="仿宋_GB2312"/>
          <w:sz w:val="28"/>
          <w:szCs w:val="32"/>
          <w:lang w:val="zh-CN"/>
        </w:rPr>
        <w:t>年</w:t>
      </w:r>
      <w:r>
        <w:rPr>
          <w:rFonts w:hint="eastAsia" w:ascii="仿宋_GB2312" w:hAnsi="宋体" w:eastAsia="仿宋_GB2312"/>
          <w:sz w:val="28"/>
          <w:szCs w:val="32"/>
        </w:rPr>
        <w:t>05</w:t>
      </w:r>
      <w:r>
        <w:rPr>
          <w:rFonts w:hint="eastAsia" w:ascii="仿宋_GB2312" w:hAnsi="宋体" w:eastAsia="仿宋_GB2312"/>
          <w:sz w:val="28"/>
          <w:szCs w:val="32"/>
          <w:lang w:val="zh-CN"/>
        </w:rPr>
        <w:t>月</w:t>
      </w:r>
      <w:r>
        <w:rPr>
          <w:rFonts w:hint="eastAsia" w:ascii="仿宋_GB2312" w:hAnsi="宋体" w:eastAsia="仿宋_GB2312"/>
          <w:sz w:val="28"/>
          <w:szCs w:val="32"/>
        </w:rPr>
        <w:t>18日</w:t>
      </w:r>
    </w:p>
    <w:p/>
    <w:sectPr>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C27CF"/>
    <w:multiLevelType w:val="singleLevel"/>
    <w:tmpl w:val="F7EC27CF"/>
    <w:lvl w:ilvl="0" w:tentative="0">
      <w:start w:val="4"/>
      <w:numFmt w:val="chineseCounting"/>
      <w:suff w:val="nothing"/>
      <w:lvlText w:val="（%1）"/>
      <w:lvlJc w:val="left"/>
      <w:rPr>
        <w:rFonts w:hint="eastAsia"/>
      </w:rPr>
    </w:lvl>
  </w:abstractNum>
  <w:abstractNum w:abstractNumId="1">
    <w:nsid w:val="6CEA2025"/>
    <w:multiLevelType w:val="multilevel"/>
    <w:tmpl w:val="6CEA2025"/>
    <w:lvl w:ilvl="0" w:tentative="0">
      <w:start w:val="1"/>
      <w:numFmt w:val="none"/>
      <w:pStyle w:val="19"/>
      <w:suff w:val="nothing"/>
      <w:lvlText w:val="%1"/>
      <w:lvlJc w:val="left"/>
      <w:pPr>
        <w:ind w:left="0" w:firstLine="0"/>
      </w:pPr>
      <w:rPr>
        <w:rFonts w:hint="eastAsia"/>
      </w:rPr>
    </w:lvl>
    <w:lvl w:ilvl="1" w:tentative="0">
      <w:start w:val="1"/>
      <w:numFmt w:val="decimal"/>
      <w:pStyle w:val="17"/>
      <w:suff w:val="nothing"/>
      <w:lvlText w:val="%1%2　"/>
      <w:lvlJc w:val="left"/>
      <w:pPr>
        <w:ind w:left="0" w:firstLine="0"/>
      </w:pPr>
      <w:rPr>
        <w:rFonts w:hint="eastAsia" w:ascii="黑体" w:eastAsia="黑体"/>
        <w:b w:val="0"/>
        <w:i w:val="0"/>
        <w:sz w:val="21"/>
      </w:rPr>
    </w:lvl>
    <w:lvl w:ilvl="2" w:tentative="0">
      <w:start w:val="1"/>
      <w:numFmt w:val="decimal"/>
      <w:pStyle w:val="1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3"/>
      <w:suff w:val="nothing"/>
      <w:lvlText w:val="%1%2.%3.%4　"/>
      <w:lvlJc w:val="left"/>
      <w:pPr>
        <w:ind w:left="0" w:firstLine="0"/>
      </w:pPr>
      <w:rPr>
        <w:rFonts w:hint="eastAsia" w:ascii="黑体" w:eastAsia="黑体"/>
        <w:b w:val="0"/>
        <w:i w:val="0"/>
        <w:color w:val="auto"/>
        <w:sz w:val="21"/>
      </w:rPr>
    </w:lvl>
    <w:lvl w:ilvl="4" w:tentative="0">
      <w:start w:val="1"/>
      <w:numFmt w:val="decimal"/>
      <w:pStyle w:val="14"/>
      <w:suff w:val="nothing"/>
      <w:lvlText w:val="%1%2.%3.%4.%5　"/>
      <w:lvlJc w:val="left"/>
      <w:pPr>
        <w:ind w:left="0" w:firstLine="0"/>
      </w:pPr>
      <w:rPr>
        <w:rFonts w:hint="eastAsia" w:ascii="黑体" w:eastAsia="黑体"/>
        <w:b w:val="0"/>
        <w:i w:val="0"/>
        <w:sz w:val="21"/>
      </w:rPr>
    </w:lvl>
    <w:lvl w:ilvl="5" w:tentative="0">
      <w:start w:val="1"/>
      <w:numFmt w:val="decimal"/>
      <w:pStyle w:val="15"/>
      <w:suff w:val="nothing"/>
      <w:lvlText w:val="%1%2.%3.%4.%5.%6　"/>
      <w:lvlJc w:val="left"/>
      <w:pPr>
        <w:ind w:left="0" w:firstLine="0"/>
      </w:pPr>
      <w:rPr>
        <w:rFonts w:hint="eastAsia" w:ascii="黑体" w:eastAsia="黑体"/>
        <w:b w:val="0"/>
        <w:i w:val="0"/>
        <w:sz w:val="21"/>
      </w:rPr>
    </w:lvl>
    <w:lvl w:ilvl="6" w:tentative="0">
      <w:start w:val="1"/>
      <w:numFmt w:val="decimal"/>
      <w:pStyle w:val="1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2F40A7A"/>
    <w:rsid w:val="00045D6D"/>
    <w:rsid w:val="00057AD3"/>
    <w:rsid w:val="00072AE1"/>
    <w:rsid w:val="000A029B"/>
    <w:rsid w:val="000C7B94"/>
    <w:rsid w:val="000D4AA2"/>
    <w:rsid w:val="000E68F4"/>
    <w:rsid w:val="00106E48"/>
    <w:rsid w:val="00113EE6"/>
    <w:rsid w:val="0011771D"/>
    <w:rsid w:val="001240E5"/>
    <w:rsid w:val="00151C6D"/>
    <w:rsid w:val="001C2136"/>
    <w:rsid w:val="001E2028"/>
    <w:rsid w:val="0022611B"/>
    <w:rsid w:val="002324AB"/>
    <w:rsid w:val="00265259"/>
    <w:rsid w:val="002B656B"/>
    <w:rsid w:val="002C18A8"/>
    <w:rsid w:val="002D6E7D"/>
    <w:rsid w:val="002D7CF5"/>
    <w:rsid w:val="0030658C"/>
    <w:rsid w:val="0033374E"/>
    <w:rsid w:val="0033381E"/>
    <w:rsid w:val="0034170B"/>
    <w:rsid w:val="00371733"/>
    <w:rsid w:val="003E3F3F"/>
    <w:rsid w:val="003F76C4"/>
    <w:rsid w:val="004057CB"/>
    <w:rsid w:val="004071AD"/>
    <w:rsid w:val="00427AB0"/>
    <w:rsid w:val="00430FDB"/>
    <w:rsid w:val="004364E4"/>
    <w:rsid w:val="004427FE"/>
    <w:rsid w:val="00446864"/>
    <w:rsid w:val="004476EC"/>
    <w:rsid w:val="00487AD3"/>
    <w:rsid w:val="00487CD5"/>
    <w:rsid w:val="004A085B"/>
    <w:rsid w:val="00505174"/>
    <w:rsid w:val="005334DC"/>
    <w:rsid w:val="00543432"/>
    <w:rsid w:val="0055791F"/>
    <w:rsid w:val="00563A69"/>
    <w:rsid w:val="00575CAC"/>
    <w:rsid w:val="005B1C23"/>
    <w:rsid w:val="00603C54"/>
    <w:rsid w:val="00605579"/>
    <w:rsid w:val="006255F6"/>
    <w:rsid w:val="0062579B"/>
    <w:rsid w:val="006C2D86"/>
    <w:rsid w:val="007473CE"/>
    <w:rsid w:val="0077269F"/>
    <w:rsid w:val="007C14D0"/>
    <w:rsid w:val="007C4BD4"/>
    <w:rsid w:val="007F37EE"/>
    <w:rsid w:val="007F5AD7"/>
    <w:rsid w:val="008252D1"/>
    <w:rsid w:val="00827B75"/>
    <w:rsid w:val="008451F4"/>
    <w:rsid w:val="008507CD"/>
    <w:rsid w:val="00854E95"/>
    <w:rsid w:val="0087690D"/>
    <w:rsid w:val="00877AC9"/>
    <w:rsid w:val="008A5EFE"/>
    <w:rsid w:val="008B75DD"/>
    <w:rsid w:val="008C6BD8"/>
    <w:rsid w:val="008D1373"/>
    <w:rsid w:val="008D4E14"/>
    <w:rsid w:val="008E2021"/>
    <w:rsid w:val="008F2F90"/>
    <w:rsid w:val="009671CA"/>
    <w:rsid w:val="009B0913"/>
    <w:rsid w:val="009B62A8"/>
    <w:rsid w:val="009C3228"/>
    <w:rsid w:val="009D23FA"/>
    <w:rsid w:val="009D266B"/>
    <w:rsid w:val="009E0C0B"/>
    <w:rsid w:val="00A32B67"/>
    <w:rsid w:val="00A74EE5"/>
    <w:rsid w:val="00A775A4"/>
    <w:rsid w:val="00AB2DA5"/>
    <w:rsid w:val="00B0296E"/>
    <w:rsid w:val="00B03ACD"/>
    <w:rsid w:val="00B604A5"/>
    <w:rsid w:val="00B925F3"/>
    <w:rsid w:val="00BC171F"/>
    <w:rsid w:val="00C13F3F"/>
    <w:rsid w:val="00C2083A"/>
    <w:rsid w:val="00C31177"/>
    <w:rsid w:val="00C4029B"/>
    <w:rsid w:val="00C42251"/>
    <w:rsid w:val="00C512F4"/>
    <w:rsid w:val="00C62B66"/>
    <w:rsid w:val="00C653E2"/>
    <w:rsid w:val="00C86E93"/>
    <w:rsid w:val="00CC05D2"/>
    <w:rsid w:val="00D129C1"/>
    <w:rsid w:val="00D31E19"/>
    <w:rsid w:val="00D35563"/>
    <w:rsid w:val="00D64185"/>
    <w:rsid w:val="00D6621F"/>
    <w:rsid w:val="00DC0876"/>
    <w:rsid w:val="00DF5055"/>
    <w:rsid w:val="00DF671D"/>
    <w:rsid w:val="00E0763C"/>
    <w:rsid w:val="00E22B90"/>
    <w:rsid w:val="00E34597"/>
    <w:rsid w:val="00E352F7"/>
    <w:rsid w:val="00E55B1A"/>
    <w:rsid w:val="00E801DC"/>
    <w:rsid w:val="00E93D18"/>
    <w:rsid w:val="00EC5B56"/>
    <w:rsid w:val="00EE78B6"/>
    <w:rsid w:val="00F0301A"/>
    <w:rsid w:val="00F13400"/>
    <w:rsid w:val="00F718EB"/>
    <w:rsid w:val="00F77801"/>
    <w:rsid w:val="00F9435B"/>
    <w:rsid w:val="00FC68A8"/>
    <w:rsid w:val="00FF6348"/>
    <w:rsid w:val="012073A2"/>
    <w:rsid w:val="01973053"/>
    <w:rsid w:val="027E74CA"/>
    <w:rsid w:val="04DB3C44"/>
    <w:rsid w:val="088863D5"/>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B878C1"/>
    <w:rsid w:val="22723962"/>
    <w:rsid w:val="241C4DDC"/>
    <w:rsid w:val="24CD0EEF"/>
    <w:rsid w:val="24D067A5"/>
    <w:rsid w:val="29204D61"/>
    <w:rsid w:val="29F563F0"/>
    <w:rsid w:val="2B97780B"/>
    <w:rsid w:val="2CCB46E5"/>
    <w:rsid w:val="2E2A5CB9"/>
    <w:rsid w:val="2E6073FD"/>
    <w:rsid w:val="2F24002C"/>
    <w:rsid w:val="31AE15C3"/>
    <w:rsid w:val="31FF6CE2"/>
    <w:rsid w:val="35BB3EF4"/>
    <w:rsid w:val="369C4E13"/>
    <w:rsid w:val="386B0FD9"/>
    <w:rsid w:val="3933479C"/>
    <w:rsid w:val="396D1326"/>
    <w:rsid w:val="3EE2552D"/>
    <w:rsid w:val="46ED03C2"/>
    <w:rsid w:val="484F252F"/>
    <w:rsid w:val="4A8A1CA2"/>
    <w:rsid w:val="4B011028"/>
    <w:rsid w:val="4C661C38"/>
    <w:rsid w:val="4C9A5EA5"/>
    <w:rsid w:val="4EE2079C"/>
    <w:rsid w:val="4F4E509D"/>
    <w:rsid w:val="51885345"/>
    <w:rsid w:val="52F40A7A"/>
    <w:rsid w:val="53AB37CE"/>
    <w:rsid w:val="555F515E"/>
    <w:rsid w:val="579529A0"/>
    <w:rsid w:val="5B20154B"/>
    <w:rsid w:val="5DB11630"/>
    <w:rsid w:val="5EB85928"/>
    <w:rsid w:val="60090E87"/>
    <w:rsid w:val="616855EF"/>
    <w:rsid w:val="62E269BE"/>
    <w:rsid w:val="63273FE2"/>
    <w:rsid w:val="633C4553"/>
    <w:rsid w:val="635E1DC8"/>
    <w:rsid w:val="63F8153B"/>
    <w:rsid w:val="66BF71C4"/>
    <w:rsid w:val="68A1291D"/>
    <w:rsid w:val="68B76BCA"/>
    <w:rsid w:val="68D12C7B"/>
    <w:rsid w:val="693646B5"/>
    <w:rsid w:val="6F100594"/>
    <w:rsid w:val="6FB05B67"/>
    <w:rsid w:val="70241AA7"/>
    <w:rsid w:val="73222030"/>
    <w:rsid w:val="76552FDB"/>
    <w:rsid w:val="77A46809"/>
    <w:rsid w:val="7A5B26E7"/>
    <w:rsid w:val="7A610B9B"/>
    <w:rsid w:val="7AFA5663"/>
    <w:rsid w:val="7DAB739D"/>
    <w:rsid w:val="7EBB4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rPr>
  </w:style>
  <w:style w:type="paragraph" w:styleId="8">
    <w:name w:val="List Paragraph"/>
    <w:basedOn w:val="1"/>
    <w:qFormat/>
    <w:uiPriority w:val="0"/>
    <w:pPr>
      <w:ind w:firstLine="420" w:firstLineChars="200"/>
    </w:pPr>
    <w:rPr>
      <w:szCs w:val="22"/>
    </w:rPr>
  </w:style>
  <w:style w:type="paragraph" w:customStyle="1" w:styleId="9">
    <w:name w:val="标准文件_段"/>
    <w:link w:val="1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0">
    <w:name w:val="标准文件_段 Char"/>
    <w:link w:val="9"/>
    <w:qFormat/>
    <w:uiPriority w:val="0"/>
    <w:rPr>
      <w:rFonts w:ascii="宋体"/>
      <w:sz w:val="21"/>
    </w:rPr>
  </w:style>
  <w:style w:type="character" w:customStyle="1" w:styleId="11">
    <w:name w:val="页眉 Char"/>
    <w:basedOn w:val="6"/>
    <w:link w:val="4"/>
    <w:qFormat/>
    <w:uiPriority w:val="0"/>
    <w:rPr>
      <w:rFonts w:ascii="Times New Roman" w:hAnsi="Times New Roman"/>
      <w:kern w:val="2"/>
      <w:sz w:val="18"/>
      <w:szCs w:val="18"/>
    </w:rPr>
  </w:style>
  <w:style w:type="character" w:customStyle="1" w:styleId="12">
    <w:name w:val="页脚 Char"/>
    <w:basedOn w:val="6"/>
    <w:link w:val="3"/>
    <w:qFormat/>
    <w:uiPriority w:val="0"/>
    <w:rPr>
      <w:rFonts w:ascii="Times New Roman" w:hAnsi="Times New Roman"/>
      <w:kern w:val="2"/>
      <w:sz w:val="18"/>
      <w:szCs w:val="18"/>
    </w:rPr>
  </w:style>
  <w:style w:type="paragraph" w:customStyle="1" w:styleId="13">
    <w:name w:val="标准文件_二级条标题"/>
    <w:next w:val="9"/>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14">
    <w:name w:val="标准文件_三级条标题"/>
    <w:basedOn w:val="13"/>
    <w:next w:val="9"/>
    <w:qFormat/>
    <w:uiPriority w:val="0"/>
    <w:pPr>
      <w:widowControl/>
      <w:numPr>
        <w:ilvl w:val="4"/>
      </w:numPr>
      <w:outlineLvl w:val="3"/>
    </w:pPr>
  </w:style>
  <w:style w:type="paragraph" w:customStyle="1" w:styleId="15">
    <w:name w:val="标准文件_四级条标题"/>
    <w:next w:val="9"/>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16">
    <w:name w:val="标准文件_五级条标题"/>
    <w:next w:val="9"/>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17">
    <w:name w:val="标准文件_章标题"/>
    <w:next w:val="9"/>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18">
    <w:name w:val="标准文件_一级条标题"/>
    <w:basedOn w:val="17"/>
    <w:next w:val="9"/>
    <w:qFormat/>
    <w:uiPriority w:val="0"/>
    <w:pPr>
      <w:numPr>
        <w:ilvl w:val="2"/>
      </w:numPr>
      <w:spacing w:beforeLines="50" w:afterLines="50"/>
      <w:outlineLvl w:val="1"/>
    </w:pPr>
  </w:style>
  <w:style w:type="paragraph" w:customStyle="1" w:styleId="19">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0">
    <w:name w:val="标准文件_二级无标题"/>
    <w:basedOn w:val="13"/>
    <w:qFormat/>
    <w:uiPriority w:val="0"/>
    <w:pPr>
      <w:spacing w:beforeLines="0" w:afterLines="0"/>
      <w:outlineLvl w:val="9"/>
    </w:pPr>
    <w:rPr>
      <w:rFonts w:ascii="宋体"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34959B-BF4B-4DFB-94DF-A4E90CF51313}">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1011</Words>
  <Characters>5766</Characters>
  <Lines>48</Lines>
  <Paragraphs>13</Paragraphs>
  <TotalTime>168</TotalTime>
  <ScaleCrop>false</ScaleCrop>
  <LinksUpToDate>false</LinksUpToDate>
  <CharactersWithSpaces>6764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2020-12-08T06:37:00Z</dcterms:created>
  <dc:creator>Administrator</dc:creator>
  <cp:lastModifiedBy>誰念誰川</cp:lastModifiedBy>
  <dcterms:modified xsi:type="dcterms:W3CDTF">2021-05-26T07:01:42Z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C9AB0678DFA441E591139AC0071D47DE</vt:lpwstr>
  </property>
</Properties>
</file>