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67.080.10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24</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pPr>
        <w:pStyle w:val="196"/>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7"/>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桂林柿子干制品</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Guilin dried persimmon products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v:path arrowok="t"/>
            <v:fill focussize="0,0"/>
            <v:stroke/>
            <v:imagedata o:title=""/>
            <o:lock v:ext="edit"/>
            <w10:anchorlock/>
          </v:line>
        </w:pict>
      </w:r>
    </w:p>
    <w:p>
      <w:pPr>
        <w:pStyle w:val="90"/>
        <w:spacing w:after="360"/>
      </w:pPr>
      <w:bookmarkStart w:id="20"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本文件由桂林市市场监督管理局提出。</w:t>
      </w:r>
    </w:p>
    <w:p>
      <w:pPr>
        <w:pStyle w:val="57"/>
        <w:ind w:firstLine="420"/>
      </w:pPr>
      <w:r>
        <w:rPr>
          <w:rFonts w:hint="eastAsia"/>
        </w:rPr>
        <w:t>本文件起草单位：桂林市产品质量检验所、广西工商学校、桂林市食品药品审评查验中心、平乐县市场监督管理局、恭城县市场监督管理局、恭城县柿子产业协会、平乐县月柿饼协会 、桂林恭城丰华园食品有限公司、平乐县富康食品有限公司、平乐县金土地农产品有限责任公司、平乐县广源农产品有限公司。</w:t>
      </w:r>
    </w:p>
    <w:p>
      <w:pPr>
        <w:pStyle w:val="57"/>
        <w:ind w:firstLine="420"/>
      </w:pPr>
      <w:r>
        <w:rPr>
          <w:rFonts w:hint="eastAsia"/>
        </w:rPr>
        <w:t>本文件主要起草人：石相莉、蒙泳、梁玉、谭冬明、官民、阳文琼、农彦贤、李玉英、韦炜、邓华、李青、李冬。</w:t>
      </w:r>
    </w:p>
    <w:p>
      <w:pPr>
        <w:pStyle w:val="57"/>
        <w:ind w:firstLine="420"/>
      </w:pPr>
    </w:p>
    <w:p>
      <w:pPr>
        <w:pStyle w:val="57"/>
        <w:ind w:firstLine="420"/>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6237E082F646441E9FC4EB5D556C0E9F"/>
        </w:placeholder>
      </w:sdtPr>
      <w:sdtContent>
        <w:p>
          <w:pPr>
            <w:pStyle w:val="178"/>
            <w:spacing w:before="2" w:beforeLines="1" w:after="528" w:afterLines="220"/>
          </w:pPr>
          <w:bookmarkStart w:id="22" w:name="NEW_STAND_NAME"/>
          <w:r>
            <w:rPr>
              <w:rFonts w:hint="eastAsia"/>
            </w:rPr>
            <w:t>桂林柿子干制品</w:t>
          </w:r>
        </w:p>
      </w:sdtContent>
    </w:sdt>
    <w:bookmarkEnd w:id="22"/>
    <w:p>
      <w:pPr>
        <w:pStyle w:val="105"/>
        <w:spacing w:before="240" w:after="240"/>
      </w:pPr>
      <w:bookmarkStart w:id="23" w:name="_Toc26986530"/>
      <w:bookmarkStart w:id="24" w:name="_Toc26986771"/>
      <w:bookmarkStart w:id="25" w:name="_Toc26648465"/>
      <w:bookmarkStart w:id="26" w:name="_Toc17233325"/>
      <w:bookmarkStart w:id="27" w:name="_Toc24884218"/>
      <w:bookmarkStart w:id="28" w:name="_Toc24884211"/>
      <w:bookmarkStart w:id="29" w:name="_Toc17233333"/>
      <w:bookmarkStart w:id="30" w:name="_Toc26718930"/>
      <w:r>
        <w:rPr>
          <w:rFonts w:hint="eastAsia"/>
        </w:rPr>
        <w:t>范围</w:t>
      </w:r>
      <w:bookmarkEnd w:id="23"/>
      <w:bookmarkEnd w:id="24"/>
      <w:bookmarkEnd w:id="25"/>
      <w:bookmarkEnd w:id="26"/>
      <w:bookmarkEnd w:id="27"/>
      <w:bookmarkEnd w:id="28"/>
      <w:bookmarkEnd w:id="29"/>
      <w:bookmarkEnd w:id="30"/>
    </w:p>
    <w:p>
      <w:pPr>
        <w:pStyle w:val="57"/>
        <w:ind w:firstLine="420"/>
      </w:pPr>
      <w:bookmarkStart w:id="31" w:name="_Toc24884212"/>
      <w:bookmarkStart w:id="32" w:name="_Toc17233334"/>
      <w:bookmarkStart w:id="33" w:name="_Toc26648466"/>
      <w:bookmarkStart w:id="34" w:name="_Toc17233326"/>
      <w:bookmarkStart w:id="35" w:name="_Toc24884219"/>
      <w:r>
        <w:rPr>
          <w:rFonts w:hint="eastAsia"/>
        </w:rPr>
        <w:t>本文件界定了柿子干制品涉及的术语和定义，规定了柿子干制品的感官、理化指标、安全卫生指标、净含量等技术要求，描述了相应的检验方法和检验规则，规定了标志、包装、运输、贮存和保质期等方面的内容。</w:t>
      </w:r>
    </w:p>
    <w:p>
      <w:pPr>
        <w:pStyle w:val="57"/>
        <w:ind w:firstLine="420"/>
      </w:pPr>
      <w:r>
        <w:rPr>
          <w:rFonts w:hint="eastAsia"/>
        </w:rPr>
        <w:t>本文件适用于桂林柿子干制品。</w:t>
      </w:r>
    </w:p>
    <w:p>
      <w:pPr>
        <w:pStyle w:val="105"/>
        <w:spacing w:before="240" w:after="240"/>
      </w:pPr>
      <w:bookmarkStart w:id="36" w:name="_Toc26986531"/>
      <w:bookmarkStart w:id="37" w:name="_Toc26986772"/>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rPr>
          <w:color w:val="000000"/>
        </w:rPr>
      </w:pPr>
      <w:r>
        <w:rPr>
          <w:rFonts w:hint="eastAsia"/>
          <w:color w:val="000000"/>
        </w:rPr>
        <w:t>GB/T 191  包装储运图示标志</w:t>
      </w:r>
    </w:p>
    <w:p>
      <w:pPr>
        <w:pStyle w:val="231"/>
        <w:rPr>
          <w:color w:val="000000"/>
        </w:rPr>
      </w:pPr>
      <w:r>
        <w:rPr>
          <w:rFonts w:hint="eastAsia"/>
          <w:color w:val="000000"/>
        </w:rPr>
        <w:t>GB 2760  食品安全国家标准  食品添加剂使用标准</w:t>
      </w:r>
    </w:p>
    <w:p>
      <w:pPr>
        <w:pStyle w:val="231"/>
        <w:rPr>
          <w:color w:val="000000"/>
        </w:rPr>
      </w:pPr>
      <w:r>
        <w:rPr>
          <w:rFonts w:hint="eastAsia"/>
          <w:color w:val="000000"/>
        </w:rPr>
        <w:t>GB 2762  食品安全国家标准  食品中污染物限量</w:t>
      </w:r>
    </w:p>
    <w:p>
      <w:pPr>
        <w:pStyle w:val="231"/>
        <w:rPr>
          <w:color w:val="000000"/>
        </w:rPr>
      </w:pPr>
      <w:r>
        <w:rPr>
          <w:rFonts w:hint="eastAsia"/>
          <w:color w:val="000000"/>
        </w:rPr>
        <w:t>GB 2763  食品安全国家标准  食品中农药最大残留限量</w:t>
      </w:r>
    </w:p>
    <w:p>
      <w:pPr>
        <w:pStyle w:val="231"/>
        <w:rPr>
          <w:color w:val="000000"/>
        </w:rPr>
      </w:pPr>
      <w:r>
        <w:rPr>
          <w:rFonts w:hint="eastAsia"/>
          <w:color w:val="000000"/>
        </w:rPr>
        <w:t>GB 4789.2  食品安全国家标准  食品微生物学检验  菌落总数测定</w:t>
      </w:r>
    </w:p>
    <w:p>
      <w:pPr>
        <w:pStyle w:val="231"/>
        <w:rPr>
          <w:color w:val="000000"/>
        </w:rPr>
      </w:pPr>
      <w:r>
        <w:rPr>
          <w:rFonts w:hint="eastAsia"/>
          <w:color w:val="000000"/>
        </w:rPr>
        <w:t>GB 4789.3  食品安全国家标准  食品微生物学检验  大肠菌群计数</w:t>
      </w:r>
    </w:p>
    <w:p>
      <w:pPr>
        <w:pStyle w:val="231"/>
        <w:rPr>
          <w:color w:val="000000"/>
        </w:rPr>
      </w:pPr>
      <w:r>
        <w:rPr>
          <w:rFonts w:hint="eastAsia"/>
          <w:color w:val="000000"/>
        </w:rPr>
        <w:t>GB 4789.4  食品安全国家标准  食品微生物学检验  沙门氏菌检验</w:t>
      </w:r>
    </w:p>
    <w:p>
      <w:pPr>
        <w:pStyle w:val="231"/>
        <w:rPr>
          <w:color w:val="000000"/>
        </w:rPr>
      </w:pPr>
      <w:r>
        <w:rPr>
          <w:rFonts w:hint="eastAsia"/>
          <w:color w:val="000000"/>
        </w:rPr>
        <w:t>GB 4789.10  食品安全国家标准  食品微生物学检验  金黄色葡萄球菌检验</w:t>
      </w:r>
    </w:p>
    <w:p>
      <w:pPr>
        <w:pStyle w:val="231"/>
        <w:rPr>
          <w:color w:val="000000"/>
        </w:rPr>
      </w:pPr>
      <w:r>
        <w:rPr>
          <w:rFonts w:hint="eastAsia"/>
          <w:color w:val="000000"/>
        </w:rPr>
        <w:t>GB 4789.15  食品安全国家标准  食品微生物学检验  霉菌和酵母计数</w:t>
      </w:r>
    </w:p>
    <w:p>
      <w:pPr>
        <w:pStyle w:val="231"/>
        <w:rPr>
          <w:color w:val="000000"/>
        </w:rPr>
      </w:pPr>
      <w:r>
        <w:rPr>
          <w:rFonts w:hint="eastAsia"/>
          <w:color w:val="000000"/>
        </w:rPr>
        <w:t>GB 5009.3  食品安全国家标准  食品中水分的测定</w:t>
      </w:r>
    </w:p>
    <w:p>
      <w:pPr>
        <w:pStyle w:val="231"/>
        <w:rPr>
          <w:color w:val="000000"/>
        </w:rPr>
      </w:pPr>
      <w:r>
        <w:rPr>
          <w:rFonts w:hint="eastAsia"/>
          <w:color w:val="000000"/>
        </w:rPr>
        <w:t>GB 5009.12  食品安全国家标准  食品中铅的测定</w:t>
      </w:r>
    </w:p>
    <w:p>
      <w:pPr>
        <w:pStyle w:val="231"/>
        <w:rPr>
          <w:color w:val="000000"/>
        </w:rPr>
      </w:pPr>
      <w:r>
        <w:rPr>
          <w:rFonts w:hint="eastAsia"/>
          <w:color w:val="000000"/>
        </w:rPr>
        <w:t>GB 5009.34  食品安全国家标准  食品中二氧化硫的测定</w:t>
      </w:r>
    </w:p>
    <w:p>
      <w:pPr>
        <w:pStyle w:val="231"/>
        <w:rPr>
          <w:color w:val="000000"/>
        </w:rPr>
      </w:pPr>
      <w:bookmarkStart w:id="39" w:name="_Hlk79111667"/>
      <w:r>
        <w:rPr>
          <w:rFonts w:hint="eastAsia"/>
          <w:color w:val="000000"/>
        </w:rPr>
        <w:t>GB 7718  食品安全国家标准  预包装食品标签通则</w:t>
      </w:r>
    </w:p>
    <w:bookmarkEnd w:id="39"/>
    <w:p>
      <w:pPr>
        <w:pStyle w:val="231"/>
        <w:rPr>
          <w:color w:val="000000"/>
        </w:rPr>
      </w:pPr>
      <w:r>
        <w:rPr>
          <w:rFonts w:hint="eastAsia"/>
          <w:color w:val="000000"/>
        </w:rPr>
        <w:t xml:space="preserve">GB 12456  </w:t>
      </w:r>
      <w:r>
        <w:rPr>
          <w:color w:val="000000"/>
        </w:rPr>
        <w:t xml:space="preserve">食品安全国家标准 </w:t>
      </w:r>
      <w:r>
        <w:rPr>
          <w:rFonts w:hint="eastAsia"/>
          <w:color w:val="000000"/>
        </w:rPr>
        <w:t xml:space="preserve"> </w:t>
      </w:r>
      <w:r>
        <w:rPr>
          <w:color w:val="000000"/>
        </w:rPr>
        <w:t>食品中总酸的测定</w:t>
      </w:r>
    </w:p>
    <w:p>
      <w:pPr>
        <w:pStyle w:val="231"/>
      </w:pPr>
      <w:bookmarkStart w:id="40" w:name="_Hlk79111777"/>
      <w:r>
        <w:rPr>
          <w:rFonts w:hint="eastAsia"/>
        </w:rPr>
        <w:t>GB 28050  食品安全国家标准  预包装食品营养标签通则</w:t>
      </w:r>
    </w:p>
    <w:bookmarkEnd w:id="40"/>
    <w:p>
      <w:pPr>
        <w:pStyle w:val="231"/>
      </w:pPr>
      <w:r>
        <w:rPr>
          <w:rFonts w:hint="eastAsia"/>
        </w:rPr>
        <w:t>JJF 1070  定量包装商品净含量计量检验规则</w:t>
      </w:r>
    </w:p>
    <w:p>
      <w:pPr>
        <w:pStyle w:val="105"/>
        <w:spacing w:before="240" w:after="240"/>
      </w:pPr>
      <w:r>
        <w:rPr>
          <w:rFonts w:hint="eastAsia"/>
          <w:szCs w:val="21"/>
        </w:rPr>
        <w:t>术语和定义</w:t>
      </w:r>
    </w:p>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1" w:name="_Toc26986532"/>
          <w:bookmarkEnd w:id="41"/>
          <w:r>
            <w:t>下列术语和定义适用于本文件。</w:t>
          </w:r>
        </w:p>
      </w:sdtContent>
    </w:sdt>
    <w:p>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柿子干制品  dried </w:t>
      </w:r>
      <w:r>
        <w:rPr>
          <w:rFonts w:ascii="黑体" w:hAnsi="黑体" w:eastAsia="黑体"/>
        </w:rPr>
        <w:t>persimmon products</w:t>
      </w:r>
    </w:p>
    <w:p>
      <w:pPr>
        <w:pStyle w:val="57"/>
        <w:ind w:firstLine="420"/>
      </w:pPr>
      <w:r>
        <w:rPr>
          <w:rFonts w:hint="eastAsia"/>
        </w:rPr>
        <w:t>以鲜柿子为原料，经去皮、切分或不切分、自然晾晒或其他干燥方式脱水、包装等工艺制成的预包装产品；或以粗坯为原料，经切分或不切分、自然晾晒或其他干燥方式脱水、包装等工艺制成的预包装产品。</w:t>
      </w:r>
    </w:p>
    <w:p>
      <w:pPr>
        <w:pStyle w:val="224"/>
        <w:ind w:left="420" w:hanging="420" w:hangingChars="200"/>
        <w:rPr>
          <w:rFonts w:ascii="黑体" w:hAnsi="黑体" w:eastAsia="黑体"/>
        </w:rPr>
      </w:pPr>
      <w:r>
        <w:rPr>
          <w:rFonts w:hAnsi="黑体"/>
        </w:rPr>
        <w:br w:type="textWrapping"/>
      </w:r>
      <w:r>
        <w:rPr>
          <w:rFonts w:hint="eastAsia" w:ascii="黑体" w:hAnsi="黑体" w:eastAsia="黑体"/>
        </w:rPr>
        <w:t>粗坯  r</w:t>
      </w:r>
      <w:r>
        <w:rPr>
          <w:rFonts w:ascii="黑体" w:hAnsi="黑体" w:eastAsia="黑体"/>
        </w:rPr>
        <w:t>oughcast</w:t>
      </w:r>
    </w:p>
    <w:p>
      <w:pPr>
        <w:pStyle w:val="57"/>
        <w:ind w:firstLine="420"/>
      </w:pPr>
      <w:r>
        <w:rPr>
          <w:rFonts w:hint="eastAsia"/>
        </w:rPr>
        <w:t>鲜柿子去皮后经自然晾晒或其他干燥方式脱水所形成的半成品。</w:t>
      </w:r>
    </w:p>
    <w:p>
      <w:pPr>
        <w:pStyle w:val="57"/>
        <w:ind w:firstLine="420"/>
      </w:pPr>
    </w:p>
    <w:p>
      <w:pPr>
        <w:pStyle w:val="57"/>
        <w:ind w:firstLine="420"/>
      </w:pPr>
    </w:p>
    <w:p>
      <w:pPr>
        <w:pStyle w:val="57"/>
        <w:ind w:firstLine="420"/>
      </w:pPr>
    </w:p>
    <w:p>
      <w:pPr>
        <w:pStyle w:val="57"/>
        <w:ind w:firstLine="420"/>
      </w:pPr>
    </w:p>
    <w:p>
      <w:pPr>
        <w:pStyle w:val="105"/>
        <w:spacing w:before="240" w:after="240"/>
      </w:pPr>
      <w:r>
        <w:rPr>
          <w:rFonts w:hint="eastAsia"/>
        </w:rPr>
        <w:t>要求</w:t>
      </w:r>
    </w:p>
    <w:p>
      <w:pPr>
        <w:pStyle w:val="106"/>
        <w:spacing w:before="120" w:after="120"/>
      </w:pPr>
      <w:r>
        <w:rPr>
          <w:rFonts w:hint="eastAsia"/>
        </w:rPr>
        <w:t>感官</w:t>
      </w:r>
    </w:p>
    <w:p>
      <w:pPr>
        <w:pStyle w:val="231"/>
        <w:rPr>
          <w:color w:val="000000"/>
        </w:rPr>
      </w:pPr>
      <w:r>
        <w:rPr>
          <w:rFonts w:hint="eastAsia"/>
          <w:color w:val="000000"/>
        </w:rPr>
        <w:t>应符合表1的规定。</w:t>
      </w:r>
    </w:p>
    <w:p>
      <w:pPr>
        <w:pStyle w:val="241"/>
        <w:numPr>
          <w:ilvl w:val="0"/>
          <w:numId w:val="16"/>
        </w:numPr>
        <w:spacing w:before="120" w:after="120"/>
        <w:ind w:left="735"/>
        <w:rPr>
          <w:color w:val="000000"/>
        </w:rPr>
      </w:pPr>
      <w:r>
        <w:rPr>
          <w:rFonts w:hint="eastAsia"/>
          <w:color w:val="000000"/>
        </w:rPr>
        <w:t>感官要求</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518" w:type="dxa"/>
            <w:tcBorders>
              <w:top w:val="single" w:color="auto" w:sz="8" w:space="0"/>
              <w:bottom w:val="single" w:color="auto" w:sz="8" w:space="0"/>
            </w:tcBorders>
            <w:shd w:val="clear" w:color="auto" w:fill="auto"/>
            <w:vAlign w:val="center"/>
          </w:tcPr>
          <w:p>
            <w:pPr>
              <w:spacing w:line="240" w:lineRule="auto"/>
              <w:jc w:val="center"/>
              <w:rPr>
                <w:rFonts w:ascii="宋体"/>
                <w:color w:val="000000"/>
                <w:sz w:val="18"/>
                <w:szCs w:val="18"/>
              </w:rPr>
            </w:pPr>
            <w:r>
              <w:rPr>
                <w:rFonts w:hint="eastAsia" w:ascii="宋体"/>
                <w:color w:val="000000"/>
                <w:sz w:val="18"/>
                <w:szCs w:val="18"/>
              </w:rPr>
              <w:t>项  目</w:t>
            </w:r>
          </w:p>
        </w:tc>
        <w:tc>
          <w:tcPr>
            <w:tcW w:w="7052" w:type="dxa"/>
            <w:tcBorders>
              <w:top w:val="single" w:color="auto" w:sz="8" w:space="0"/>
              <w:bottom w:val="single" w:color="auto" w:sz="8" w:space="0"/>
            </w:tcBorders>
            <w:shd w:val="clear" w:color="auto" w:fill="auto"/>
            <w:vAlign w:val="center"/>
          </w:tcPr>
          <w:p>
            <w:pPr>
              <w:spacing w:line="240" w:lineRule="auto"/>
              <w:jc w:val="center"/>
              <w:rPr>
                <w:rFonts w:ascii="宋体"/>
                <w:color w:val="000000"/>
                <w:sz w:val="18"/>
                <w:szCs w:val="18"/>
              </w:rPr>
            </w:pPr>
            <w:r>
              <w:rPr>
                <w:rFonts w:hint="eastAsia" w:ascii="宋体"/>
                <w:color w:val="000000"/>
                <w:sz w:val="18"/>
                <w:szCs w:val="18"/>
              </w:rPr>
              <w:t>要     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518" w:type="dxa"/>
            <w:tcBorders>
              <w:top w:val="single" w:color="auto" w:sz="8" w:space="0"/>
            </w:tcBorders>
            <w:shd w:val="clear" w:color="auto" w:fill="auto"/>
            <w:vAlign w:val="center"/>
          </w:tcPr>
          <w:p>
            <w:pPr>
              <w:spacing w:line="240" w:lineRule="auto"/>
              <w:jc w:val="center"/>
              <w:rPr>
                <w:rFonts w:ascii="宋体"/>
                <w:color w:val="000000"/>
                <w:sz w:val="18"/>
                <w:szCs w:val="18"/>
              </w:rPr>
            </w:pPr>
            <w:r>
              <w:rPr>
                <w:rFonts w:hint="eastAsia" w:ascii="宋体"/>
                <w:color w:val="000000"/>
                <w:sz w:val="18"/>
                <w:szCs w:val="18"/>
              </w:rPr>
              <w:t>色  泽</w:t>
            </w:r>
          </w:p>
        </w:tc>
        <w:tc>
          <w:tcPr>
            <w:tcW w:w="7052" w:type="dxa"/>
            <w:tcBorders>
              <w:top w:val="single" w:color="auto" w:sz="8" w:space="0"/>
            </w:tcBorders>
            <w:shd w:val="clear" w:color="auto" w:fill="auto"/>
            <w:vAlign w:val="center"/>
          </w:tcPr>
          <w:p>
            <w:pPr>
              <w:spacing w:line="240" w:lineRule="auto"/>
              <w:jc w:val="center"/>
              <w:rPr>
                <w:rFonts w:ascii="宋体"/>
                <w:color w:val="000000"/>
                <w:sz w:val="18"/>
                <w:szCs w:val="18"/>
              </w:rPr>
            </w:pPr>
            <w:r>
              <w:rPr>
                <w:rFonts w:hint="eastAsia" w:ascii="宋体"/>
                <w:color w:val="000000"/>
                <w:sz w:val="18"/>
                <w:szCs w:val="18"/>
              </w:rPr>
              <w:t>应具有品种应有的色泽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518" w:type="dxa"/>
            <w:shd w:val="clear" w:color="auto" w:fill="auto"/>
            <w:vAlign w:val="center"/>
          </w:tcPr>
          <w:p>
            <w:pPr>
              <w:spacing w:line="240" w:lineRule="auto"/>
              <w:jc w:val="center"/>
              <w:rPr>
                <w:rFonts w:ascii="宋体"/>
                <w:color w:val="000000"/>
                <w:sz w:val="18"/>
                <w:szCs w:val="18"/>
              </w:rPr>
            </w:pPr>
            <w:r>
              <w:rPr>
                <w:rFonts w:hint="eastAsia" w:ascii="宋体"/>
                <w:color w:val="000000"/>
                <w:sz w:val="18"/>
                <w:szCs w:val="18"/>
              </w:rPr>
              <w:t>外  观</w:t>
            </w:r>
          </w:p>
        </w:tc>
        <w:tc>
          <w:tcPr>
            <w:tcW w:w="7052" w:type="dxa"/>
            <w:shd w:val="clear" w:color="auto" w:fill="auto"/>
            <w:vAlign w:val="center"/>
          </w:tcPr>
          <w:p>
            <w:pPr>
              <w:spacing w:line="240" w:lineRule="auto"/>
              <w:jc w:val="center"/>
              <w:rPr>
                <w:rFonts w:ascii="宋体"/>
                <w:color w:val="000000"/>
                <w:sz w:val="18"/>
                <w:szCs w:val="18"/>
              </w:rPr>
            </w:pPr>
            <w:r>
              <w:rPr>
                <w:rFonts w:hint="eastAsia" w:ascii="宋体"/>
                <w:color w:val="000000"/>
                <w:sz w:val="18"/>
                <w:szCs w:val="18"/>
              </w:rPr>
              <w:t>无虫蛀、无霉变，表面可有白色柿霜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2518" w:type="dxa"/>
            <w:shd w:val="clear" w:color="auto" w:fill="auto"/>
            <w:vAlign w:val="center"/>
          </w:tcPr>
          <w:p>
            <w:pPr>
              <w:spacing w:line="240" w:lineRule="auto"/>
              <w:jc w:val="center"/>
              <w:rPr>
                <w:rFonts w:ascii="宋体"/>
                <w:color w:val="000000"/>
                <w:sz w:val="18"/>
                <w:szCs w:val="18"/>
              </w:rPr>
            </w:pPr>
            <w:r>
              <w:rPr>
                <w:rFonts w:hint="eastAsia" w:ascii="宋体"/>
                <w:color w:val="000000"/>
                <w:sz w:val="18"/>
                <w:szCs w:val="18"/>
              </w:rPr>
              <w:t>气味和滋味</w:t>
            </w:r>
          </w:p>
        </w:tc>
        <w:tc>
          <w:tcPr>
            <w:tcW w:w="7052" w:type="dxa"/>
            <w:shd w:val="clear" w:color="auto" w:fill="auto"/>
            <w:vAlign w:val="center"/>
          </w:tcPr>
          <w:p>
            <w:pPr>
              <w:spacing w:line="240" w:lineRule="auto"/>
              <w:jc w:val="center"/>
              <w:rPr>
                <w:rFonts w:ascii="宋体"/>
                <w:color w:val="000000"/>
                <w:sz w:val="18"/>
                <w:szCs w:val="18"/>
              </w:rPr>
            </w:pPr>
            <w:r>
              <w:rPr>
                <w:rFonts w:hint="eastAsia" w:ascii="宋体"/>
                <w:color w:val="000000"/>
                <w:sz w:val="18"/>
                <w:szCs w:val="18"/>
              </w:rPr>
              <w:t>具有产品固有的气味和滋味，无异味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5" w:hRule="exact"/>
        </w:trPr>
        <w:tc>
          <w:tcPr>
            <w:tcW w:w="2518" w:type="dxa"/>
            <w:shd w:val="clear" w:color="auto" w:fill="auto"/>
            <w:vAlign w:val="center"/>
          </w:tcPr>
          <w:p>
            <w:pPr>
              <w:spacing w:line="240" w:lineRule="auto"/>
              <w:jc w:val="center"/>
              <w:rPr>
                <w:rFonts w:ascii="宋体"/>
                <w:color w:val="000000"/>
                <w:sz w:val="18"/>
                <w:szCs w:val="18"/>
              </w:rPr>
            </w:pPr>
            <w:r>
              <w:rPr>
                <w:rFonts w:hint="eastAsia" w:ascii="宋体"/>
                <w:color w:val="000000"/>
                <w:sz w:val="18"/>
                <w:szCs w:val="18"/>
              </w:rPr>
              <w:t>杂  质</w:t>
            </w:r>
          </w:p>
        </w:tc>
        <w:tc>
          <w:tcPr>
            <w:tcW w:w="7052" w:type="dxa"/>
            <w:shd w:val="clear" w:color="auto" w:fill="auto"/>
            <w:vAlign w:val="center"/>
          </w:tcPr>
          <w:p>
            <w:pPr>
              <w:spacing w:line="240" w:lineRule="auto"/>
              <w:jc w:val="center"/>
              <w:rPr>
                <w:rFonts w:ascii="宋体"/>
                <w:color w:val="000000"/>
                <w:sz w:val="18"/>
                <w:szCs w:val="18"/>
              </w:rPr>
            </w:pPr>
            <w:r>
              <w:rPr>
                <w:rFonts w:hint="eastAsia" w:ascii="宋体"/>
                <w:color w:val="000000"/>
                <w:sz w:val="18"/>
                <w:szCs w:val="18"/>
              </w:rPr>
              <w:t>无杂质</w:t>
            </w:r>
          </w:p>
        </w:tc>
      </w:tr>
    </w:tbl>
    <w:p>
      <w:pPr>
        <w:pStyle w:val="106"/>
        <w:spacing w:before="120" w:after="120"/>
      </w:pPr>
      <w:r>
        <w:rPr>
          <w:rFonts w:hint="eastAsia"/>
        </w:rPr>
        <w:t>理化指标</w:t>
      </w:r>
    </w:p>
    <w:p>
      <w:pPr>
        <w:pStyle w:val="231"/>
        <w:rPr>
          <w:color w:val="000000"/>
        </w:rPr>
      </w:pPr>
      <w:r>
        <w:rPr>
          <w:rFonts w:hint="eastAsia"/>
          <w:color w:val="000000"/>
        </w:rPr>
        <w:t>应符合表2的规定。</w:t>
      </w:r>
    </w:p>
    <w:p>
      <w:pPr>
        <w:pStyle w:val="241"/>
        <w:numPr>
          <w:ilvl w:val="0"/>
          <w:numId w:val="16"/>
        </w:numPr>
        <w:spacing w:before="120" w:after="120"/>
        <w:ind w:left="735"/>
        <w:rPr>
          <w:color w:val="000000"/>
        </w:rPr>
      </w:pPr>
      <w:r>
        <w:rPr>
          <w:rFonts w:hint="eastAsia"/>
          <w:color w:val="000000"/>
        </w:rPr>
        <w:t>理化指标</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888"/>
        <w:gridCol w:w="56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888" w:type="dxa"/>
            <w:tcBorders>
              <w:top w:val="single" w:color="auto" w:sz="8" w:space="0"/>
              <w:bottom w:val="single" w:color="auto" w:sz="8" w:space="0"/>
            </w:tcBorders>
            <w:shd w:val="clear" w:color="auto" w:fill="auto"/>
            <w:vAlign w:val="center"/>
          </w:tcPr>
          <w:p>
            <w:pPr>
              <w:jc w:val="center"/>
              <w:rPr>
                <w:rFonts w:ascii="宋体" w:hAnsi="宋体"/>
                <w:color w:val="000000"/>
                <w:sz w:val="18"/>
              </w:rPr>
            </w:pPr>
            <w:r>
              <w:rPr>
                <w:rFonts w:hint="eastAsia" w:ascii="宋体" w:hAnsi="宋体"/>
                <w:color w:val="000000"/>
                <w:sz w:val="18"/>
              </w:rPr>
              <w:t>项   目</w:t>
            </w:r>
          </w:p>
        </w:tc>
        <w:tc>
          <w:tcPr>
            <w:tcW w:w="5682" w:type="dxa"/>
            <w:tcBorders>
              <w:top w:val="single" w:color="auto" w:sz="8" w:space="0"/>
              <w:bottom w:val="single" w:color="auto" w:sz="8" w:space="0"/>
            </w:tcBorders>
            <w:shd w:val="clear" w:color="auto" w:fill="auto"/>
          </w:tcPr>
          <w:p>
            <w:pPr>
              <w:jc w:val="center"/>
              <w:rPr>
                <w:rFonts w:ascii="宋体" w:hAnsi="宋体"/>
                <w:color w:val="000000"/>
                <w:sz w:val="18"/>
              </w:rPr>
            </w:pPr>
            <w:r>
              <w:rPr>
                <w:rFonts w:hint="eastAsia" w:ascii="宋体" w:hAnsi="宋体"/>
                <w:color w:val="000000"/>
                <w:sz w:val="18"/>
              </w:rPr>
              <w:t>指   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888" w:type="dxa"/>
            <w:tcBorders>
              <w:top w:val="single" w:color="auto" w:sz="8" w:space="0"/>
            </w:tcBorders>
            <w:shd w:val="clear" w:color="auto" w:fill="auto"/>
          </w:tcPr>
          <w:p>
            <w:pPr>
              <w:rPr>
                <w:rFonts w:ascii="宋体" w:hAnsi="宋体"/>
                <w:color w:val="000000" w:themeColor="text1"/>
                <w:sz w:val="18"/>
              </w:rPr>
            </w:pPr>
            <w:r>
              <w:rPr>
                <w:rFonts w:hint="eastAsia" w:ascii="宋体" w:hAnsi="宋体"/>
                <w:color w:val="000000" w:themeColor="text1"/>
                <w:sz w:val="18"/>
              </w:rPr>
              <w:t>水分/(g/100g)                         ≤</w:t>
            </w:r>
          </w:p>
        </w:tc>
        <w:tc>
          <w:tcPr>
            <w:tcW w:w="5682" w:type="dxa"/>
            <w:tcBorders>
              <w:top w:val="single" w:color="auto" w:sz="8" w:space="0"/>
            </w:tcBorders>
            <w:shd w:val="clear" w:color="auto" w:fill="auto"/>
          </w:tcPr>
          <w:p>
            <w:pPr>
              <w:jc w:val="center"/>
              <w:rPr>
                <w:rFonts w:ascii="宋体" w:hAnsi="宋体"/>
                <w:color w:val="FF0000"/>
                <w:sz w:val="18"/>
              </w:rPr>
            </w:pPr>
            <w:r>
              <w:rPr>
                <w:rFonts w:hint="eastAsia" w:ascii="宋体" w:hAnsi="宋体"/>
                <w:sz w:val="18"/>
              </w:rPr>
              <w:t>35.0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888" w:type="dxa"/>
            <w:shd w:val="clear" w:color="auto" w:fill="auto"/>
          </w:tcPr>
          <w:p>
            <w:pPr>
              <w:rPr>
                <w:rFonts w:ascii="宋体" w:hAnsi="宋体"/>
                <w:color w:val="000000" w:themeColor="text1"/>
                <w:sz w:val="18"/>
              </w:rPr>
            </w:pPr>
            <w:r>
              <w:rPr>
                <w:rFonts w:hint="eastAsia" w:ascii="宋体" w:hAnsi="宋体"/>
                <w:color w:val="000000" w:themeColor="text1"/>
                <w:sz w:val="18"/>
              </w:rPr>
              <w:t>总酸(以柠檬酸计)/(g/100g)             ≤</w:t>
            </w:r>
          </w:p>
        </w:tc>
        <w:tc>
          <w:tcPr>
            <w:tcW w:w="5682" w:type="dxa"/>
            <w:shd w:val="clear" w:color="auto" w:fill="auto"/>
          </w:tcPr>
          <w:p>
            <w:pPr>
              <w:jc w:val="center"/>
              <w:rPr>
                <w:rFonts w:ascii="宋体" w:hAnsi="宋体"/>
                <w:color w:val="000000" w:themeColor="text1"/>
                <w:sz w:val="18"/>
              </w:rPr>
            </w:pPr>
            <w:r>
              <w:rPr>
                <w:rFonts w:hint="eastAsia" w:ascii="宋体" w:hAnsi="宋体"/>
                <w:color w:val="000000" w:themeColor="text1"/>
                <w:sz w:val="18"/>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888" w:type="dxa"/>
            <w:shd w:val="clear" w:color="auto" w:fill="auto"/>
          </w:tcPr>
          <w:p>
            <w:pPr>
              <w:rPr>
                <w:rFonts w:ascii="宋体" w:hAnsi="宋体"/>
                <w:color w:val="000000" w:themeColor="text1"/>
                <w:sz w:val="18"/>
              </w:rPr>
            </w:pPr>
            <w:r>
              <w:rPr>
                <w:rFonts w:hint="eastAsia" w:ascii="宋体" w:hAnsi="宋体"/>
                <w:color w:val="000000" w:themeColor="text1"/>
                <w:sz w:val="18"/>
              </w:rPr>
              <w:t>二氧化硫残留量/(g/kg)                 ≤</w:t>
            </w:r>
            <w:bookmarkStart w:id="48" w:name="_GoBack"/>
            <w:bookmarkEnd w:id="48"/>
          </w:p>
        </w:tc>
        <w:tc>
          <w:tcPr>
            <w:tcW w:w="5682" w:type="dxa"/>
            <w:shd w:val="clear" w:color="auto" w:fill="auto"/>
          </w:tcPr>
          <w:p>
            <w:pPr>
              <w:jc w:val="center"/>
              <w:rPr>
                <w:rFonts w:ascii="宋体" w:hAnsi="宋体" w:cs="仿宋_GB2312"/>
                <w:color w:val="FF0000"/>
                <w:sz w:val="18"/>
                <w:szCs w:val="18"/>
              </w:rPr>
            </w:pPr>
            <w:r>
              <w:rPr>
                <w:rFonts w:hint="eastAsia" w:ascii="宋体" w:hAnsi="宋体" w:cs="仿宋_GB2312"/>
                <w:sz w:val="18"/>
                <w:szCs w:val="18"/>
              </w:rPr>
              <w:t>0.1</w:t>
            </w:r>
          </w:p>
        </w:tc>
      </w:tr>
    </w:tbl>
    <w:p>
      <w:pPr>
        <w:pStyle w:val="106"/>
        <w:spacing w:before="120" w:after="120"/>
        <w:rPr>
          <w:color w:val="000000" w:themeColor="text1"/>
        </w:rPr>
      </w:pPr>
      <w:r>
        <w:rPr>
          <w:rFonts w:hint="eastAsia"/>
          <w:color w:val="000000" w:themeColor="text1"/>
        </w:rPr>
        <w:t>安全卫生指标</w:t>
      </w:r>
    </w:p>
    <w:p>
      <w:pPr>
        <w:pStyle w:val="66"/>
        <w:spacing w:before="120" w:after="120"/>
        <w:rPr>
          <w:color w:val="000000" w:themeColor="text1"/>
        </w:rPr>
      </w:pPr>
      <w:r>
        <w:rPr>
          <w:rFonts w:hint="eastAsia"/>
          <w:color w:val="000000" w:themeColor="text1"/>
        </w:rPr>
        <w:t>微生物限量</w:t>
      </w:r>
    </w:p>
    <w:p>
      <w:pPr>
        <w:pStyle w:val="231"/>
        <w:ind w:left="105"/>
        <w:rPr>
          <w:color w:val="000000" w:themeColor="text1"/>
        </w:rPr>
      </w:pPr>
      <w:r>
        <w:rPr>
          <w:rFonts w:hint="eastAsia"/>
          <w:color w:val="000000" w:themeColor="text1"/>
        </w:rPr>
        <w:t>应符合表3的规定。</w:t>
      </w:r>
    </w:p>
    <w:p>
      <w:pPr>
        <w:pStyle w:val="241"/>
        <w:numPr>
          <w:ilvl w:val="0"/>
          <w:numId w:val="16"/>
        </w:numPr>
        <w:spacing w:before="120" w:after="120"/>
        <w:ind w:left="735"/>
        <w:rPr>
          <w:color w:val="000000" w:themeColor="text1"/>
        </w:rPr>
      </w:pPr>
      <w:r>
        <w:rPr>
          <w:rFonts w:hint="eastAsia"/>
          <w:color w:val="000000" w:themeColor="text1"/>
        </w:rPr>
        <w:t>微生物限量</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575"/>
        <w:gridCol w:w="1739"/>
        <w:gridCol w:w="1575"/>
        <w:gridCol w:w="15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53" w:type="dxa"/>
            <w:vMerge w:val="restart"/>
            <w:tcBorders>
              <w:top w:val="single" w:color="auto" w:sz="8" w:space="0"/>
              <w:bottom w:val="single" w:color="auto" w:sz="4" w:space="0"/>
            </w:tcBorders>
            <w:shd w:val="clear" w:color="auto" w:fill="auto"/>
            <w:vAlign w:val="center"/>
          </w:tcPr>
          <w:p>
            <w:pPr>
              <w:jc w:val="center"/>
              <w:rPr>
                <w:rFonts w:ascii="宋体" w:hAnsi="宋体"/>
                <w:color w:val="000000" w:themeColor="text1"/>
                <w:sz w:val="18"/>
                <w:szCs w:val="18"/>
              </w:rPr>
            </w:pPr>
            <w:bookmarkStart w:id="42" w:name="_Hlk79107906"/>
            <w:r>
              <w:rPr>
                <w:rFonts w:hint="eastAsia" w:ascii="宋体" w:hAnsi="宋体"/>
                <w:color w:val="000000" w:themeColor="text1"/>
                <w:sz w:val="18"/>
                <w:szCs w:val="18"/>
              </w:rPr>
              <w:t>项  目</w:t>
            </w:r>
          </w:p>
        </w:tc>
        <w:tc>
          <w:tcPr>
            <w:tcW w:w="6405" w:type="dxa"/>
            <w:gridSpan w:val="4"/>
            <w:tcBorders>
              <w:top w:val="single" w:color="auto" w:sz="8" w:space="0"/>
              <w:bottom w:val="single" w:color="auto" w:sz="4" w:space="0"/>
            </w:tcBorders>
            <w:shd w:val="clear" w:color="auto" w:fill="auto"/>
            <w:vAlign w:val="center"/>
          </w:tcPr>
          <w:p>
            <w:pPr>
              <w:jc w:val="center"/>
              <w:rPr>
                <w:rFonts w:ascii="宋体" w:hAnsi="宋体"/>
                <w:color w:val="000000" w:themeColor="text1"/>
                <w:sz w:val="18"/>
                <w:szCs w:val="18"/>
              </w:rPr>
            </w:pPr>
            <w:r>
              <w:rPr>
                <w:rFonts w:hint="eastAsia" w:ascii="宋体" w:hAnsi="宋体"/>
                <w:color w:val="000000" w:themeColor="text1"/>
                <w:sz w:val="18"/>
                <w:szCs w:val="18"/>
              </w:rPr>
              <w:t>采样方案及限量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53" w:type="dxa"/>
            <w:vMerge w:val="continue"/>
            <w:tcBorders>
              <w:top w:val="single" w:color="auto" w:sz="4" w:space="0"/>
              <w:bottom w:val="single" w:color="auto" w:sz="8" w:space="0"/>
            </w:tcBorders>
            <w:shd w:val="clear" w:color="auto" w:fill="auto"/>
            <w:vAlign w:val="center"/>
          </w:tcPr>
          <w:p>
            <w:pPr>
              <w:rPr>
                <w:rFonts w:ascii="宋体" w:hAnsi="宋体"/>
                <w:color w:val="000000" w:themeColor="text1"/>
                <w:sz w:val="18"/>
                <w:szCs w:val="18"/>
              </w:rPr>
            </w:pPr>
          </w:p>
        </w:tc>
        <w:tc>
          <w:tcPr>
            <w:tcW w:w="1575" w:type="dxa"/>
            <w:tcBorders>
              <w:top w:val="single" w:color="auto" w:sz="4" w:space="0"/>
              <w:bottom w:val="single" w:color="auto" w:sz="8" w:space="0"/>
            </w:tcBorders>
            <w:shd w:val="clear" w:color="auto" w:fill="auto"/>
            <w:vAlign w:val="center"/>
          </w:tcPr>
          <w:p>
            <w:pPr>
              <w:jc w:val="center"/>
              <w:rPr>
                <w:rFonts w:ascii="宋体" w:hAnsi="宋体"/>
                <w:color w:val="000000" w:themeColor="text1"/>
                <w:sz w:val="18"/>
                <w:szCs w:val="18"/>
              </w:rPr>
            </w:pPr>
            <w:r>
              <w:rPr>
                <w:rFonts w:hint="eastAsia" w:ascii="宋体" w:hAnsi="宋体"/>
                <w:color w:val="000000" w:themeColor="text1"/>
                <w:sz w:val="18"/>
                <w:szCs w:val="18"/>
              </w:rPr>
              <w:t>n</w:t>
            </w:r>
          </w:p>
        </w:tc>
        <w:tc>
          <w:tcPr>
            <w:tcW w:w="1739" w:type="dxa"/>
            <w:tcBorders>
              <w:top w:val="single" w:color="auto" w:sz="4" w:space="0"/>
              <w:bottom w:val="single" w:color="auto" w:sz="8" w:space="0"/>
            </w:tcBorders>
            <w:shd w:val="clear" w:color="auto" w:fill="auto"/>
            <w:vAlign w:val="center"/>
          </w:tcPr>
          <w:p>
            <w:pPr>
              <w:jc w:val="center"/>
              <w:rPr>
                <w:rFonts w:ascii="宋体" w:hAnsi="宋体"/>
                <w:color w:val="000000" w:themeColor="text1"/>
                <w:sz w:val="18"/>
                <w:szCs w:val="18"/>
              </w:rPr>
            </w:pPr>
            <w:r>
              <w:rPr>
                <w:rFonts w:hint="eastAsia" w:ascii="宋体" w:hAnsi="宋体"/>
                <w:color w:val="000000" w:themeColor="text1"/>
                <w:sz w:val="18"/>
                <w:szCs w:val="18"/>
              </w:rPr>
              <w:t>c</w:t>
            </w:r>
          </w:p>
        </w:tc>
        <w:tc>
          <w:tcPr>
            <w:tcW w:w="1575" w:type="dxa"/>
            <w:tcBorders>
              <w:top w:val="single" w:color="auto" w:sz="4" w:space="0"/>
              <w:bottom w:val="single" w:color="auto" w:sz="8" w:space="0"/>
            </w:tcBorders>
            <w:shd w:val="clear" w:color="auto" w:fill="auto"/>
            <w:vAlign w:val="center"/>
          </w:tcPr>
          <w:p>
            <w:pPr>
              <w:jc w:val="center"/>
              <w:rPr>
                <w:rFonts w:ascii="宋体" w:hAnsi="宋体"/>
                <w:color w:val="000000" w:themeColor="text1"/>
                <w:sz w:val="18"/>
                <w:szCs w:val="18"/>
              </w:rPr>
            </w:pPr>
            <w:r>
              <w:rPr>
                <w:rFonts w:hint="eastAsia" w:ascii="宋体" w:hAnsi="宋体"/>
                <w:color w:val="000000" w:themeColor="text1"/>
                <w:sz w:val="18"/>
                <w:szCs w:val="18"/>
              </w:rPr>
              <w:t>m</w:t>
            </w:r>
          </w:p>
        </w:tc>
        <w:tc>
          <w:tcPr>
            <w:tcW w:w="1516" w:type="dxa"/>
            <w:tcBorders>
              <w:top w:val="single" w:color="auto" w:sz="4" w:space="0"/>
              <w:bottom w:val="single" w:color="auto" w:sz="8" w:space="0"/>
            </w:tcBorders>
            <w:shd w:val="clear" w:color="auto" w:fill="auto"/>
            <w:vAlign w:val="center"/>
          </w:tcPr>
          <w:p>
            <w:pPr>
              <w:jc w:val="center"/>
              <w:rPr>
                <w:rFonts w:ascii="宋体" w:hAnsi="宋体"/>
                <w:color w:val="000000" w:themeColor="text1"/>
                <w:sz w:val="18"/>
                <w:szCs w:val="18"/>
              </w:rPr>
            </w:pPr>
            <w:r>
              <w:rPr>
                <w:rFonts w:ascii="宋体" w:hAnsi="宋体"/>
                <w:color w:val="000000" w:themeColor="text1"/>
                <w:sz w:val="18"/>
                <w:szCs w:val="18"/>
              </w:rPr>
              <w:t>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53" w:type="dxa"/>
            <w:tcBorders>
              <w:top w:val="single" w:color="auto" w:sz="8" w:space="0"/>
            </w:tcBorders>
            <w:shd w:val="clear" w:color="auto" w:fill="auto"/>
            <w:vAlign w:val="center"/>
          </w:tcPr>
          <w:p>
            <w:pPr>
              <w:rPr>
                <w:rFonts w:ascii="宋体" w:hAnsi="宋体"/>
                <w:color w:val="000000" w:themeColor="text1"/>
                <w:sz w:val="18"/>
                <w:szCs w:val="18"/>
              </w:rPr>
            </w:pPr>
            <w:r>
              <w:rPr>
                <w:rFonts w:hint="eastAsia" w:ascii="宋体" w:hAnsi="宋体"/>
                <w:color w:val="000000" w:themeColor="text1"/>
                <w:sz w:val="18"/>
                <w:szCs w:val="18"/>
              </w:rPr>
              <w:t>菌落总数（CFU/g）</w:t>
            </w:r>
          </w:p>
        </w:tc>
        <w:tc>
          <w:tcPr>
            <w:tcW w:w="1575" w:type="dxa"/>
            <w:tcBorders>
              <w:top w:val="single" w:color="auto" w:sz="8" w:space="0"/>
            </w:tcBorders>
            <w:shd w:val="clear" w:color="auto" w:fill="auto"/>
            <w:vAlign w:val="center"/>
          </w:tcPr>
          <w:p>
            <w:pPr>
              <w:jc w:val="center"/>
              <w:rPr>
                <w:rFonts w:ascii="宋体" w:hAnsi="宋体" w:cs="仿宋_GB2312"/>
                <w:color w:val="000000" w:themeColor="text1"/>
                <w:kern w:val="0"/>
                <w:sz w:val="18"/>
                <w:szCs w:val="18"/>
              </w:rPr>
            </w:pPr>
            <w:r>
              <w:rPr>
                <w:rFonts w:hint="eastAsia" w:ascii="宋体" w:hAnsi="宋体" w:cs="仿宋_GB2312"/>
                <w:color w:val="000000" w:themeColor="text1"/>
                <w:kern w:val="0"/>
                <w:sz w:val="18"/>
                <w:szCs w:val="18"/>
              </w:rPr>
              <w:t>5</w:t>
            </w:r>
          </w:p>
        </w:tc>
        <w:tc>
          <w:tcPr>
            <w:tcW w:w="1739" w:type="dxa"/>
            <w:tcBorders>
              <w:top w:val="single" w:color="auto" w:sz="8" w:space="0"/>
            </w:tcBorders>
            <w:shd w:val="clear" w:color="auto" w:fill="auto"/>
            <w:vAlign w:val="center"/>
          </w:tcPr>
          <w:p>
            <w:pPr>
              <w:jc w:val="center"/>
              <w:rPr>
                <w:rFonts w:ascii="宋体" w:hAnsi="宋体" w:cs="仿宋_GB2312"/>
                <w:color w:val="000000" w:themeColor="text1"/>
                <w:kern w:val="0"/>
                <w:sz w:val="18"/>
                <w:szCs w:val="18"/>
              </w:rPr>
            </w:pPr>
            <w:r>
              <w:rPr>
                <w:rFonts w:hint="eastAsia" w:ascii="宋体" w:hAnsi="宋体" w:cs="仿宋_GB2312"/>
                <w:color w:val="000000" w:themeColor="text1"/>
                <w:kern w:val="0"/>
                <w:sz w:val="18"/>
                <w:szCs w:val="18"/>
              </w:rPr>
              <w:t>2</w:t>
            </w:r>
          </w:p>
        </w:tc>
        <w:tc>
          <w:tcPr>
            <w:tcW w:w="1575" w:type="dxa"/>
            <w:tcBorders>
              <w:top w:val="single" w:color="auto" w:sz="8" w:space="0"/>
            </w:tcBorders>
            <w:shd w:val="clear" w:color="auto" w:fill="auto"/>
            <w:vAlign w:val="center"/>
          </w:tcPr>
          <w:p>
            <w:pPr>
              <w:jc w:val="center"/>
              <w:rPr>
                <w:rFonts w:ascii="宋体" w:hAnsi="宋体"/>
                <w:color w:val="000000" w:themeColor="text1"/>
                <w:sz w:val="18"/>
                <w:szCs w:val="18"/>
                <w:vertAlign w:val="superscript"/>
              </w:rPr>
            </w:pPr>
            <w:r>
              <w:rPr>
                <w:rFonts w:hint="eastAsia" w:ascii="宋体" w:hAnsi="宋体" w:cs="仿宋_GB2312"/>
                <w:color w:val="000000" w:themeColor="text1"/>
                <w:kern w:val="0"/>
                <w:sz w:val="18"/>
                <w:szCs w:val="18"/>
              </w:rPr>
              <w:t>10</w:t>
            </w:r>
            <w:r>
              <w:rPr>
                <w:rFonts w:hint="eastAsia" w:ascii="宋体" w:hAnsi="宋体"/>
                <w:color w:val="000000" w:themeColor="text1"/>
                <w:sz w:val="18"/>
                <w:szCs w:val="18"/>
                <w:vertAlign w:val="superscript"/>
              </w:rPr>
              <w:t>4</w:t>
            </w:r>
          </w:p>
        </w:tc>
        <w:tc>
          <w:tcPr>
            <w:tcW w:w="1516" w:type="dxa"/>
            <w:tcBorders>
              <w:top w:val="single" w:color="auto" w:sz="8" w:space="0"/>
            </w:tcBorders>
            <w:shd w:val="clear" w:color="auto" w:fill="auto"/>
            <w:vAlign w:val="center"/>
          </w:tcPr>
          <w:p>
            <w:pPr>
              <w:jc w:val="center"/>
              <w:rPr>
                <w:rFonts w:ascii="宋体" w:hAnsi="宋体"/>
                <w:color w:val="000000" w:themeColor="text1"/>
                <w:sz w:val="18"/>
                <w:szCs w:val="18"/>
                <w:vertAlign w:val="superscript"/>
              </w:rPr>
            </w:pPr>
            <w:r>
              <w:rPr>
                <w:rFonts w:hint="eastAsia" w:ascii="宋体" w:hAnsi="宋体"/>
                <w:color w:val="000000" w:themeColor="text1"/>
                <w:sz w:val="18"/>
                <w:szCs w:val="18"/>
              </w:rPr>
              <w:t>10</w:t>
            </w:r>
            <w:r>
              <w:rPr>
                <w:rFonts w:hint="eastAsia" w:ascii="宋体" w:hAnsi="宋体"/>
                <w:color w:val="000000" w:themeColor="text1"/>
                <w:sz w:val="18"/>
                <w:szCs w:val="18"/>
                <w:vertAlign w:val="superscript"/>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53" w:type="dxa"/>
            <w:shd w:val="clear" w:color="auto" w:fill="auto"/>
            <w:vAlign w:val="center"/>
          </w:tcPr>
          <w:p>
            <w:pPr>
              <w:rPr>
                <w:rFonts w:ascii="宋体" w:hAnsi="宋体"/>
                <w:color w:val="000000" w:themeColor="text1"/>
                <w:sz w:val="18"/>
                <w:szCs w:val="18"/>
              </w:rPr>
            </w:pPr>
            <w:r>
              <w:rPr>
                <w:rFonts w:hint="eastAsia" w:ascii="宋体" w:hAnsi="宋体"/>
                <w:color w:val="000000" w:themeColor="text1"/>
                <w:sz w:val="18"/>
                <w:szCs w:val="18"/>
              </w:rPr>
              <w:t>大肠菌群（CFU/g）</w:t>
            </w:r>
          </w:p>
        </w:tc>
        <w:tc>
          <w:tcPr>
            <w:tcW w:w="1575" w:type="dxa"/>
            <w:shd w:val="clear" w:color="auto" w:fill="auto"/>
            <w:vAlign w:val="center"/>
          </w:tcPr>
          <w:p>
            <w:pPr>
              <w:jc w:val="center"/>
              <w:rPr>
                <w:rFonts w:ascii="宋体" w:hAnsi="宋体" w:cs="仿宋_GB2312"/>
                <w:color w:val="000000" w:themeColor="text1"/>
                <w:kern w:val="0"/>
                <w:sz w:val="18"/>
                <w:szCs w:val="18"/>
              </w:rPr>
            </w:pPr>
            <w:r>
              <w:rPr>
                <w:rFonts w:hint="eastAsia" w:ascii="宋体" w:hAnsi="宋体" w:cs="仿宋_GB2312"/>
                <w:color w:val="000000" w:themeColor="text1"/>
                <w:kern w:val="0"/>
                <w:sz w:val="18"/>
                <w:szCs w:val="18"/>
              </w:rPr>
              <w:t>5</w:t>
            </w:r>
          </w:p>
        </w:tc>
        <w:tc>
          <w:tcPr>
            <w:tcW w:w="1739" w:type="dxa"/>
            <w:shd w:val="clear" w:color="auto" w:fill="auto"/>
            <w:vAlign w:val="center"/>
          </w:tcPr>
          <w:p>
            <w:pPr>
              <w:jc w:val="center"/>
              <w:rPr>
                <w:rFonts w:ascii="宋体" w:hAnsi="宋体" w:cs="仿宋_GB2312"/>
                <w:color w:val="000000" w:themeColor="text1"/>
                <w:kern w:val="0"/>
                <w:sz w:val="18"/>
                <w:szCs w:val="18"/>
              </w:rPr>
            </w:pPr>
            <w:r>
              <w:rPr>
                <w:rFonts w:hint="eastAsia" w:ascii="宋体" w:hAnsi="宋体" w:cs="仿宋_GB2312"/>
                <w:color w:val="000000" w:themeColor="text1"/>
                <w:kern w:val="0"/>
                <w:sz w:val="18"/>
                <w:szCs w:val="18"/>
              </w:rPr>
              <w:t>2</w:t>
            </w:r>
          </w:p>
        </w:tc>
        <w:tc>
          <w:tcPr>
            <w:tcW w:w="1575" w:type="dxa"/>
            <w:shd w:val="clear" w:color="auto" w:fill="auto"/>
            <w:vAlign w:val="center"/>
          </w:tcPr>
          <w:p>
            <w:pPr>
              <w:jc w:val="center"/>
              <w:rPr>
                <w:rFonts w:ascii="宋体" w:hAnsi="宋体"/>
                <w:color w:val="000000" w:themeColor="text1"/>
                <w:sz w:val="18"/>
                <w:szCs w:val="18"/>
                <w:vertAlign w:val="superscript"/>
              </w:rPr>
            </w:pPr>
            <w:r>
              <w:rPr>
                <w:rFonts w:hint="eastAsia" w:ascii="宋体" w:hAnsi="宋体"/>
                <w:color w:val="000000" w:themeColor="text1"/>
                <w:sz w:val="18"/>
                <w:szCs w:val="18"/>
              </w:rPr>
              <w:t>10</w:t>
            </w:r>
          </w:p>
        </w:tc>
        <w:tc>
          <w:tcPr>
            <w:tcW w:w="1516" w:type="dxa"/>
            <w:shd w:val="clear" w:color="auto" w:fill="auto"/>
            <w:vAlign w:val="center"/>
          </w:tcPr>
          <w:p>
            <w:pPr>
              <w:jc w:val="center"/>
              <w:rPr>
                <w:rFonts w:ascii="宋体" w:hAnsi="宋体"/>
                <w:color w:val="000000" w:themeColor="text1"/>
                <w:sz w:val="18"/>
                <w:szCs w:val="18"/>
                <w:vertAlign w:val="superscript"/>
              </w:rPr>
            </w:pPr>
            <w:r>
              <w:rPr>
                <w:rFonts w:hint="eastAsia" w:ascii="宋体" w:hAnsi="宋体"/>
                <w:color w:val="000000" w:themeColor="text1"/>
                <w:sz w:val="18"/>
                <w:szCs w:val="18"/>
              </w:rPr>
              <w:t>10</w:t>
            </w:r>
            <w:r>
              <w:rPr>
                <w:rFonts w:hint="eastAsia" w:ascii="宋体" w:hAnsi="宋体"/>
                <w:color w:val="000000" w:themeColor="text1"/>
                <w:sz w:val="18"/>
                <w:szCs w:val="18"/>
                <w:vertAlign w:val="superscript"/>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53" w:type="dxa"/>
            <w:shd w:val="clear" w:color="auto" w:fill="auto"/>
            <w:vAlign w:val="center"/>
          </w:tcPr>
          <w:p>
            <w:pPr>
              <w:rPr>
                <w:rFonts w:ascii="宋体" w:hAnsi="宋体"/>
                <w:color w:val="000000" w:themeColor="text1"/>
                <w:sz w:val="18"/>
                <w:szCs w:val="18"/>
              </w:rPr>
            </w:pPr>
            <w:r>
              <w:rPr>
                <w:rFonts w:hint="eastAsia" w:ascii="宋体" w:hAnsi="宋体"/>
                <w:color w:val="000000" w:themeColor="text1"/>
                <w:sz w:val="18"/>
                <w:szCs w:val="18"/>
              </w:rPr>
              <w:t>沙门氏菌（/25g）</w:t>
            </w:r>
          </w:p>
        </w:tc>
        <w:tc>
          <w:tcPr>
            <w:tcW w:w="1575" w:type="dxa"/>
            <w:shd w:val="clear" w:color="auto" w:fill="auto"/>
            <w:vAlign w:val="center"/>
          </w:tcPr>
          <w:p>
            <w:pPr>
              <w:jc w:val="center"/>
              <w:rPr>
                <w:rFonts w:ascii="宋体" w:hAnsi="宋体" w:cs="仿宋_GB2312"/>
                <w:color w:val="000000" w:themeColor="text1"/>
                <w:kern w:val="0"/>
                <w:sz w:val="18"/>
                <w:szCs w:val="18"/>
              </w:rPr>
            </w:pPr>
            <w:r>
              <w:rPr>
                <w:rFonts w:hint="eastAsia" w:ascii="宋体" w:hAnsi="宋体" w:cs="仿宋_GB2312"/>
                <w:color w:val="000000" w:themeColor="text1"/>
                <w:kern w:val="0"/>
                <w:sz w:val="18"/>
                <w:szCs w:val="18"/>
              </w:rPr>
              <w:t xml:space="preserve">5 </w:t>
            </w:r>
          </w:p>
        </w:tc>
        <w:tc>
          <w:tcPr>
            <w:tcW w:w="1739" w:type="dxa"/>
            <w:shd w:val="clear" w:color="auto" w:fill="auto"/>
            <w:vAlign w:val="center"/>
          </w:tcPr>
          <w:p>
            <w:pPr>
              <w:jc w:val="center"/>
              <w:rPr>
                <w:rFonts w:ascii="宋体" w:hAnsi="宋体" w:cs="仿宋_GB2312"/>
                <w:color w:val="000000" w:themeColor="text1"/>
                <w:kern w:val="0"/>
                <w:sz w:val="18"/>
                <w:szCs w:val="18"/>
              </w:rPr>
            </w:pPr>
            <w:r>
              <w:rPr>
                <w:rFonts w:hint="eastAsia" w:ascii="宋体" w:hAnsi="宋体" w:cs="仿宋_GB2312"/>
                <w:color w:val="000000" w:themeColor="text1"/>
                <w:kern w:val="0"/>
                <w:sz w:val="18"/>
                <w:szCs w:val="18"/>
              </w:rPr>
              <w:t>0</w:t>
            </w:r>
          </w:p>
        </w:tc>
        <w:tc>
          <w:tcPr>
            <w:tcW w:w="1575" w:type="dxa"/>
            <w:shd w:val="clear" w:color="auto" w:fill="auto"/>
            <w:vAlign w:val="center"/>
          </w:tcPr>
          <w:p>
            <w:pPr>
              <w:jc w:val="center"/>
              <w:rPr>
                <w:rFonts w:ascii="宋体" w:hAnsi="宋体"/>
                <w:color w:val="000000" w:themeColor="text1"/>
                <w:sz w:val="18"/>
                <w:szCs w:val="18"/>
              </w:rPr>
            </w:pPr>
            <w:r>
              <w:rPr>
                <w:rFonts w:hint="eastAsia" w:ascii="宋体" w:hAnsi="宋体"/>
                <w:color w:val="000000" w:themeColor="text1"/>
                <w:sz w:val="18"/>
                <w:szCs w:val="18"/>
              </w:rPr>
              <w:t>0</w:t>
            </w:r>
          </w:p>
        </w:tc>
        <w:tc>
          <w:tcPr>
            <w:tcW w:w="1516" w:type="dxa"/>
            <w:shd w:val="clear" w:color="auto" w:fill="auto"/>
            <w:vAlign w:val="center"/>
          </w:tcPr>
          <w:p>
            <w:pPr>
              <w:jc w:val="center"/>
              <w:rPr>
                <w:rFonts w:ascii="宋体" w:hAnsi="宋体"/>
                <w:color w:val="000000" w:themeColor="text1"/>
                <w:sz w:val="18"/>
                <w:szCs w:val="18"/>
              </w:rPr>
            </w:pPr>
            <w:r>
              <w:rPr>
                <w:rFonts w:hint="eastAsia" w:ascii="宋体" w:hAnsi="宋体"/>
                <w:color w:val="000000" w:themeColor="text1"/>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53" w:type="dxa"/>
            <w:shd w:val="clear" w:color="auto" w:fill="auto"/>
            <w:vAlign w:val="center"/>
          </w:tcPr>
          <w:p>
            <w:pPr>
              <w:rPr>
                <w:rFonts w:ascii="宋体" w:hAnsi="宋体"/>
                <w:color w:val="000000" w:themeColor="text1"/>
                <w:sz w:val="18"/>
                <w:szCs w:val="18"/>
              </w:rPr>
            </w:pPr>
            <w:r>
              <w:rPr>
                <w:rFonts w:hint="eastAsia" w:ascii="宋体" w:hAnsi="宋体"/>
                <w:color w:val="000000" w:themeColor="text1"/>
                <w:sz w:val="18"/>
                <w:szCs w:val="18"/>
              </w:rPr>
              <w:t>金黄色葡萄球菌（CFU/g）</w:t>
            </w:r>
          </w:p>
        </w:tc>
        <w:tc>
          <w:tcPr>
            <w:tcW w:w="1575" w:type="dxa"/>
            <w:shd w:val="clear" w:color="auto" w:fill="auto"/>
            <w:vAlign w:val="center"/>
          </w:tcPr>
          <w:p>
            <w:pPr>
              <w:jc w:val="center"/>
              <w:rPr>
                <w:rFonts w:ascii="宋体" w:hAnsi="宋体" w:cs="仿宋_GB2312"/>
                <w:color w:val="000000" w:themeColor="text1"/>
                <w:kern w:val="0"/>
                <w:sz w:val="18"/>
                <w:szCs w:val="18"/>
              </w:rPr>
            </w:pPr>
            <w:r>
              <w:rPr>
                <w:rFonts w:hint="eastAsia" w:ascii="宋体" w:hAnsi="宋体" w:cs="仿宋_GB2312"/>
                <w:color w:val="000000" w:themeColor="text1"/>
                <w:kern w:val="0"/>
                <w:sz w:val="18"/>
                <w:szCs w:val="18"/>
              </w:rPr>
              <w:t xml:space="preserve">5 </w:t>
            </w:r>
          </w:p>
        </w:tc>
        <w:tc>
          <w:tcPr>
            <w:tcW w:w="1739" w:type="dxa"/>
            <w:shd w:val="clear" w:color="auto" w:fill="auto"/>
            <w:vAlign w:val="center"/>
          </w:tcPr>
          <w:p>
            <w:pPr>
              <w:jc w:val="center"/>
              <w:rPr>
                <w:rFonts w:ascii="宋体" w:hAnsi="宋体" w:cs="仿宋_GB2312"/>
                <w:color w:val="000000" w:themeColor="text1"/>
                <w:kern w:val="0"/>
                <w:sz w:val="18"/>
                <w:szCs w:val="18"/>
              </w:rPr>
            </w:pPr>
            <w:r>
              <w:rPr>
                <w:rFonts w:hint="eastAsia" w:ascii="宋体" w:hAnsi="宋体" w:cs="仿宋_GB2312"/>
                <w:color w:val="000000" w:themeColor="text1"/>
                <w:kern w:val="0"/>
                <w:sz w:val="18"/>
                <w:szCs w:val="18"/>
              </w:rPr>
              <w:t xml:space="preserve">1 </w:t>
            </w:r>
          </w:p>
        </w:tc>
        <w:tc>
          <w:tcPr>
            <w:tcW w:w="1575" w:type="dxa"/>
            <w:shd w:val="clear" w:color="auto" w:fill="auto"/>
            <w:vAlign w:val="center"/>
          </w:tcPr>
          <w:p>
            <w:pPr>
              <w:jc w:val="center"/>
              <w:rPr>
                <w:rFonts w:ascii="宋体" w:hAnsi="宋体"/>
                <w:color w:val="000000" w:themeColor="text1"/>
                <w:sz w:val="18"/>
                <w:szCs w:val="18"/>
              </w:rPr>
            </w:pPr>
            <w:r>
              <w:rPr>
                <w:rFonts w:hint="eastAsia" w:ascii="宋体" w:hAnsi="宋体"/>
                <w:color w:val="000000" w:themeColor="text1"/>
                <w:sz w:val="18"/>
                <w:szCs w:val="18"/>
              </w:rPr>
              <w:t>10</w:t>
            </w:r>
            <w:r>
              <w:rPr>
                <w:rFonts w:hint="eastAsia" w:ascii="宋体" w:hAnsi="宋体"/>
                <w:color w:val="000000" w:themeColor="text1"/>
                <w:sz w:val="18"/>
                <w:szCs w:val="18"/>
                <w:vertAlign w:val="superscript"/>
              </w:rPr>
              <w:t>2</w:t>
            </w:r>
          </w:p>
        </w:tc>
        <w:tc>
          <w:tcPr>
            <w:tcW w:w="1516" w:type="dxa"/>
            <w:shd w:val="clear" w:color="auto" w:fill="auto"/>
            <w:vAlign w:val="center"/>
          </w:tcPr>
          <w:p>
            <w:pPr>
              <w:jc w:val="center"/>
              <w:rPr>
                <w:rFonts w:ascii="宋体" w:hAnsi="宋体"/>
                <w:color w:val="000000" w:themeColor="text1"/>
                <w:sz w:val="18"/>
                <w:szCs w:val="18"/>
              </w:rPr>
            </w:pPr>
            <w:r>
              <w:rPr>
                <w:rFonts w:hint="eastAsia" w:ascii="宋体" w:hAnsi="宋体"/>
                <w:color w:val="000000" w:themeColor="text1"/>
                <w:sz w:val="18"/>
                <w:szCs w:val="18"/>
              </w:rPr>
              <w:t>10</w:t>
            </w:r>
            <w:r>
              <w:rPr>
                <w:rFonts w:hint="eastAsia" w:ascii="宋体" w:hAnsi="宋体"/>
                <w:color w:val="000000" w:themeColor="text1"/>
                <w:sz w:val="18"/>
                <w:szCs w:val="18"/>
                <w:vertAlign w:val="superscript"/>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153" w:type="dxa"/>
            <w:shd w:val="clear" w:color="auto" w:fill="auto"/>
            <w:vAlign w:val="center"/>
          </w:tcPr>
          <w:p>
            <w:pPr>
              <w:rPr>
                <w:rFonts w:ascii="宋体" w:hAnsi="宋体"/>
                <w:color w:val="000000" w:themeColor="text1"/>
                <w:sz w:val="18"/>
                <w:szCs w:val="18"/>
              </w:rPr>
            </w:pPr>
            <w:r>
              <w:rPr>
                <w:rFonts w:hint="eastAsia" w:ascii="宋体" w:hAnsi="宋体"/>
                <w:color w:val="000000" w:themeColor="text1"/>
                <w:sz w:val="18"/>
                <w:szCs w:val="18"/>
              </w:rPr>
              <w:t xml:space="preserve">霉菌（CFU/g）              </w:t>
            </w:r>
          </w:p>
        </w:tc>
        <w:tc>
          <w:tcPr>
            <w:tcW w:w="1575" w:type="dxa"/>
            <w:shd w:val="clear" w:color="auto" w:fill="auto"/>
            <w:vAlign w:val="center"/>
          </w:tcPr>
          <w:p>
            <w:pPr>
              <w:jc w:val="center"/>
              <w:rPr>
                <w:rFonts w:ascii="宋体" w:hAnsi="宋体" w:cs="仿宋_GB2312"/>
                <w:color w:val="000000" w:themeColor="text1"/>
                <w:kern w:val="0"/>
                <w:sz w:val="18"/>
                <w:szCs w:val="18"/>
              </w:rPr>
            </w:pPr>
            <w:r>
              <w:rPr>
                <w:rFonts w:hint="eastAsia" w:ascii="宋体" w:hAnsi="宋体" w:cs="仿宋_GB2312"/>
                <w:color w:val="000000" w:themeColor="text1"/>
                <w:kern w:val="0"/>
                <w:sz w:val="18"/>
                <w:szCs w:val="18"/>
              </w:rPr>
              <w:t>5</w:t>
            </w:r>
          </w:p>
        </w:tc>
        <w:tc>
          <w:tcPr>
            <w:tcW w:w="1739" w:type="dxa"/>
            <w:shd w:val="clear" w:color="auto" w:fill="auto"/>
            <w:vAlign w:val="center"/>
          </w:tcPr>
          <w:p>
            <w:pPr>
              <w:jc w:val="center"/>
              <w:rPr>
                <w:rFonts w:ascii="宋体" w:hAnsi="宋体" w:cs="仿宋_GB2312"/>
                <w:color w:val="000000" w:themeColor="text1"/>
                <w:kern w:val="0"/>
                <w:sz w:val="18"/>
                <w:szCs w:val="18"/>
              </w:rPr>
            </w:pPr>
            <w:r>
              <w:rPr>
                <w:rFonts w:hint="eastAsia" w:ascii="宋体" w:hAnsi="宋体" w:cs="仿宋_GB2312"/>
                <w:color w:val="000000" w:themeColor="text1"/>
                <w:kern w:val="0"/>
                <w:sz w:val="18"/>
                <w:szCs w:val="18"/>
              </w:rPr>
              <w:t>2</w:t>
            </w:r>
          </w:p>
        </w:tc>
        <w:tc>
          <w:tcPr>
            <w:tcW w:w="1575" w:type="dxa"/>
            <w:shd w:val="clear" w:color="auto" w:fill="auto"/>
            <w:vAlign w:val="center"/>
          </w:tcPr>
          <w:p>
            <w:pPr>
              <w:jc w:val="center"/>
              <w:rPr>
                <w:rFonts w:ascii="宋体" w:hAnsi="宋体"/>
                <w:color w:val="000000" w:themeColor="text1"/>
                <w:sz w:val="18"/>
                <w:szCs w:val="18"/>
              </w:rPr>
            </w:pPr>
            <w:r>
              <w:rPr>
                <w:rFonts w:hint="eastAsia" w:ascii="宋体" w:hAnsi="宋体"/>
                <w:color w:val="000000" w:themeColor="text1"/>
                <w:sz w:val="18"/>
                <w:szCs w:val="18"/>
              </w:rPr>
              <w:t>50</w:t>
            </w:r>
          </w:p>
        </w:tc>
        <w:tc>
          <w:tcPr>
            <w:tcW w:w="1516" w:type="dxa"/>
            <w:shd w:val="clear" w:color="auto" w:fill="auto"/>
            <w:vAlign w:val="center"/>
          </w:tcPr>
          <w:p>
            <w:pPr>
              <w:jc w:val="center"/>
              <w:rPr>
                <w:rFonts w:ascii="宋体" w:hAnsi="宋体"/>
                <w:color w:val="000000" w:themeColor="text1"/>
                <w:sz w:val="18"/>
                <w:szCs w:val="18"/>
              </w:rPr>
            </w:pPr>
            <w:r>
              <w:rPr>
                <w:rFonts w:hint="eastAsia" w:ascii="宋体" w:hAnsi="宋体"/>
                <w:color w:val="000000" w:themeColor="text1"/>
                <w:sz w:val="18"/>
                <w:szCs w:val="18"/>
              </w:rPr>
              <w:t>10</w:t>
            </w:r>
            <w:r>
              <w:rPr>
                <w:rFonts w:hint="eastAsia" w:ascii="宋体" w:hAnsi="宋体"/>
                <w:color w:val="000000" w:themeColor="text1"/>
                <w:sz w:val="18"/>
                <w:szCs w:val="18"/>
                <w:vertAlign w:val="superscript"/>
              </w:rPr>
              <w:t>2</w:t>
            </w:r>
          </w:p>
        </w:tc>
      </w:tr>
      <w:bookmarkEnd w:id="42"/>
    </w:tbl>
    <w:p>
      <w:pPr>
        <w:pStyle w:val="66"/>
        <w:spacing w:before="120" w:after="120"/>
        <w:rPr>
          <w:color w:val="000000" w:themeColor="text1"/>
        </w:rPr>
      </w:pPr>
      <w:r>
        <w:rPr>
          <w:rFonts w:hint="eastAsia"/>
          <w:color w:val="000000" w:themeColor="text1"/>
        </w:rPr>
        <w:t>污染物限量</w:t>
      </w:r>
    </w:p>
    <w:p>
      <w:pPr>
        <w:pStyle w:val="57"/>
        <w:ind w:firstLine="420"/>
        <w:rPr>
          <w:color w:val="000000" w:themeColor="text1"/>
        </w:rPr>
      </w:pPr>
      <w:r>
        <w:rPr>
          <w:rFonts w:hint="eastAsia"/>
          <w:color w:val="000000" w:themeColor="text1"/>
        </w:rPr>
        <w:t>应符合GB 2762的规定，其中铅的限量值按鲜柿水分含量85</w:t>
      </w:r>
      <w:r>
        <w:rPr>
          <w:rFonts w:hint="eastAsia" w:hAnsi="宋体"/>
          <w:color w:val="000000" w:themeColor="text1"/>
        </w:rPr>
        <w:t>％</w:t>
      </w:r>
      <w:r>
        <w:rPr>
          <w:rFonts w:hint="eastAsia"/>
          <w:color w:val="000000" w:themeColor="text1"/>
        </w:rPr>
        <w:t>折算。</w:t>
      </w:r>
    </w:p>
    <w:p>
      <w:pPr>
        <w:pStyle w:val="57"/>
        <w:ind w:firstLine="420"/>
        <w:rPr>
          <w:color w:val="000000" w:themeColor="text1"/>
        </w:rPr>
      </w:pPr>
    </w:p>
    <w:p>
      <w:pPr>
        <w:pStyle w:val="66"/>
        <w:spacing w:before="120" w:after="120"/>
        <w:rPr>
          <w:color w:val="000000" w:themeColor="text1"/>
        </w:rPr>
      </w:pPr>
      <w:r>
        <w:rPr>
          <w:rFonts w:hint="eastAsia"/>
          <w:color w:val="000000" w:themeColor="text1"/>
        </w:rPr>
        <w:t>农药残留限量</w:t>
      </w:r>
    </w:p>
    <w:p>
      <w:pPr>
        <w:pStyle w:val="57"/>
        <w:ind w:firstLine="420"/>
        <w:rPr>
          <w:color w:val="000000" w:themeColor="text1"/>
        </w:rPr>
      </w:pPr>
      <w:r>
        <w:rPr>
          <w:rFonts w:hint="eastAsia"/>
          <w:color w:val="000000" w:themeColor="text1"/>
        </w:rPr>
        <w:t>应符合GB 2763的规定。</w:t>
      </w:r>
    </w:p>
    <w:p>
      <w:pPr>
        <w:pStyle w:val="66"/>
        <w:spacing w:before="120" w:after="120"/>
        <w:rPr>
          <w:color w:val="000000" w:themeColor="text1"/>
        </w:rPr>
      </w:pPr>
      <w:r>
        <w:rPr>
          <w:rFonts w:hint="eastAsia"/>
          <w:color w:val="000000" w:themeColor="text1"/>
        </w:rPr>
        <w:t>食品添加剂</w:t>
      </w:r>
    </w:p>
    <w:p>
      <w:pPr>
        <w:pStyle w:val="57"/>
        <w:ind w:firstLine="420"/>
        <w:rPr>
          <w:color w:val="000000" w:themeColor="text1"/>
        </w:rPr>
      </w:pPr>
      <w:r>
        <w:rPr>
          <w:rFonts w:hint="eastAsia"/>
          <w:color w:val="000000" w:themeColor="text1"/>
        </w:rPr>
        <w:t>应符合GB 2760的规定。</w:t>
      </w:r>
    </w:p>
    <w:p>
      <w:pPr>
        <w:pStyle w:val="106"/>
        <w:spacing w:before="120" w:after="120"/>
        <w:rPr>
          <w:color w:val="000000" w:themeColor="text1"/>
        </w:rPr>
      </w:pPr>
      <w:r>
        <w:rPr>
          <w:rFonts w:hint="eastAsia"/>
          <w:color w:val="000000" w:themeColor="text1"/>
        </w:rPr>
        <w:t>净含量</w:t>
      </w:r>
    </w:p>
    <w:p>
      <w:pPr>
        <w:pStyle w:val="57"/>
        <w:ind w:firstLine="420"/>
        <w:rPr>
          <w:color w:val="000000" w:themeColor="text1"/>
        </w:rPr>
      </w:pPr>
      <w:r>
        <w:rPr>
          <w:rFonts w:hint="eastAsia"/>
          <w:color w:val="000000" w:themeColor="text1"/>
        </w:rPr>
        <w:t>参见《定量包装商品计量监督管理办法》。</w:t>
      </w:r>
    </w:p>
    <w:p>
      <w:pPr>
        <w:pStyle w:val="105"/>
        <w:spacing w:before="240" w:after="240"/>
        <w:rPr>
          <w:color w:val="000000" w:themeColor="text1"/>
        </w:rPr>
      </w:pPr>
      <w:r>
        <w:rPr>
          <w:rFonts w:hint="eastAsia"/>
          <w:color w:val="000000" w:themeColor="text1"/>
        </w:rPr>
        <w:t>检验方法</w:t>
      </w:r>
    </w:p>
    <w:p>
      <w:pPr>
        <w:pStyle w:val="106"/>
        <w:spacing w:before="120" w:after="120"/>
        <w:rPr>
          <w:color w:val="000000" w:themeColor="text1"/>
        </w:rPr>
      </w:pPr>
      <w:r>
        <w:rPr>
          <w:rFonts w:hint="eastAsia"/>
          <w:color w:val="000000" w:themeColor="text1"/>
        </w:rPr>
        <w:t>感官要求</w:t>
      </w:r>
    </w:p>
    <w:p>
      <w:pPr>
        <w:pStyle w:val="231"/>
        <w:rPr>
          <w:color w:val="000000" w:themeColor="text1"/>
        </w:rPr>
      </w:pPr>
      <w:r>
        <w:rPr>
          <w:rFonts w:hint="eastAsia"/>
          <w:color w:val="000000" w:themeColor="text1"/>
        </w:rPr>
        <w:t>取适量样品，置于洁净的白瓷盘中，用目测、鼻嗅、口尝的方法测定。</w:t>
      </w:r>
    </w:p>
    <w:p>
      <w:pPr>
        <w:pStyle w:val="106"/>
        <w:spacing w:before="120" w:after="120"/>
        <w:rPr>
          <w:color w:val="000000" w:themeColor="text1"/>
        </w:rPr>
      </w:pPr>
      <w:r>
        <w:rPr>
          <w:rFonts w:hint="eastAsia"/>
          <w:color w:val="000000" w:themeColor="text1"/>
        </w:rPr>
        <w:t>理化指标</w:t>
      </w:r>
    </w:p>
    <w:p>
      <w:pPr>
        <w:pStyle w:val="66"/>
        <w:spacing w:before="120" w:after="120"/>
        <w:rPr>
          <w:color w:val="000000" w:themeColor="text1"/>
        </w:rPr>
      </w:pPr>
      <w:r>
        <w:rPr>
          <w:rFonts w:hint="eastAsia"/>
          <w:color w:val="000000" w:themeColor="text1"/>
        </w:rPr>
        <w:t>水分</w:t>
      </w:r>
    </w:p>
    <w:p>
      <w:pPr>
        <w:pStyle w:val="231"/>
        <w:rPr>
          <w:color w:val="000000" w:themeColor="text1"/>
        </w:rPr>
      </w:pPr>
      <w:r>
        <w:rPr>
          <w:rFonts w:hint="eastAsia"/>
          <w:color w:val="000000" w:themeColor="text1"/>
        </w:rPr>
        <w:t>按GB 5009.3规定的方法测定。</w:t>
      </w:r>
    </w:p>
    <w:p>
      <w:pPr>
        <w:pStyle w:val="66"/>
        <w:spacing w:before="120" w:after="120"/>
        <w:rPr>
          <w:color w:val="000000" w:themeColor="text1"/>
        </w:rPr>
      </w:pPr>
      <w:r>
        <w:rPr>
          <w:rFonts w:hint="eastAsia"/>
          <w:color w:val="000000" w:themeColor="text1"/>
        </w:rPr>
        <w:t>总酸</w:t>
      </w:r>
    </w:p>
    <w:p>
      <w:pPr>
        <w:pStyle w:val="231"/>
        <w:rPr>
          <w:color w:val="000000" w:themeColor="text1"/>
        </w:rPr>
      </w:pPr>
      <w:r>
        <w:rPr>
          <w:rFonts w:hint="eastAsia"/>
          <w:color w:val="000000" w:themeColor="text1"/>
        </w:rPr>
        <w:t>按GB/T 12456规定的方法测定。</w:t>
      </w:r>
    </w:p>
    <w:p>
      <w:pPr>
        <w:pStyle w:val="66"/>
        <w:spacing w:before="120" w:after="120"/>
        <w:rPr>
          <w:color w:val="000000" w:themeColor="text1"/>
        </w:rPr>
      </w:pPr>
      <w:r>
        <w:rPr>
          <w:rFonts w:hint="eastAsia"/>
          <w:color w:val="000000" w:themeColor="text1"/>
        </w:rPr>
        <w:t>二氧化硫</w:t>
      </w:r>
    </w:p>
    <w:p>
      <w:pPr>
        <w:pStyle w:val="231"/>
        <w:rPr>
          <w:color w:val="000000" w:themeColor="text1"/>
        </w:rPr>
      </w:pPr>
      <w:r>
        <w:rPr>
          <w:rFonts w:hint="eastAsia"/>
          <w:color w:val="000000" w:themeColor="text1"/>
        </w:rPr>
        <w:t>按GB 5009.34规定的方法测定。</w:t>
      </w:r>
    </w:p>
    <w:p>
      <w:pPr>
        <w:pStyle w:val="106"/>
        <w:spacing w:before="120" w:after="120"/>
        <w:rPr>
          <w:color w:val="000000" w:themeColor="text1"/>
        </w:rPr>
      </w:pPr>
      <w:r>
        <w:rPr>
          <w:rFonts w:hint="eastAsia"/>
          <w:color w:val="000000" w:themeColor="text1"/>
        </w:rPr>
        <w:t>安全卫生指标</w:t>
      </w:r>
    </w:p>
    <w:p>
      <w:pPr>
        <w:pStyle w:val="66"/>
        <w:spacing w:before="120" w:after="120"/>
        <w:rPr>
          <w:color w:val="000000" w:themeColor="text1"/>
        </w:rPr>
      </w:pPr>
      <w:r>
        <w:rPr>
          <w:rFonts w:hint="eastAsia"/>
          <w:color w:val="000000" w:themeColor="text1"/>
        </w:rPr>
        <w:t>微生物限量</w:t>
      </w:r>
    </w:p>
    <w:p>
      <w:pPr>
        <w:pStyle w:val="95"/>
        <w:spacing w:before="120" w:after="120"/>
        <w:rPr>
          <w:color w:val="000000" w:themeColor="text1"/>
        </w:rPr>
      </w:pPr>
      <w:r>
        <w:rPr>
          <w:rFonts w:hint="eastAsia"/>
          <w:color w:val="000000" w:themeColor="text1"/>
        </w:rPr>
        <w:t>菌落总数</w:t>
      </w:r>
    </w:p>
    <w:p>
      <w:pPr>
        <w:pStyle w:val="231"/>
        <w:rPr>
          <w:color w:val="000000" w:themeColor="text1"/>
        </w:rPr>
      </w:pPr>
      <w:r>
        <w:rPr>
          <w:rFonts w:hint="eastAsia"/>
          <w:color w:val="000000" w:themeColor="text1"/>
        </w:rPr>
        <w:t>按GB 4789.2规定的方法测定</w:t>
      </w:r>
      <w:r>
        <w:rPr>
          <w:color w:val="000000" w:themeColor="text1"/>
        </w:rPr>
        <w:t>。</w:t>
      </w:r>
    </w:p>
    <w:p>
      <w:pPr>
        <w:pStyle w:val="95"/>
        <w:spacing w:before="120" w:after="120"/>
        <w:rPr>
          <w:color w:val="000000" w:themeColor="text1"/>
        </w:rPr>
      </w:pPr>
      <w:r>
        <w:rPr>
          <w:rFonts w:hint="eastAsia"/>
          <w:color w:val="000000" w:themeColor="text1"/>
        </w:rPr>
        <w:t>大肠菌群</w:t>
      </w:r>
    </w:p>
    <w:p>
      <w:pPr>
        <w:pStyle w:val="231"/>
        <w:rPr>
          <w:color w:val="000000" w:themeColor="text1"/>
        </w:rPr>
      </w:pPr>
      <w:r>
        <w:rPr>
          <w:rFonts w:hint="eastAsia"/>
          <w:color w:val="000000" w:themeColor="text1"/>
        </w:rPr>
        <w:t>按GB 4789.3规定的方法测定</w:t>
      </w:r>
      <w:r>
        <w:rPr>
          <w:color w:val="000000" w:themeColor="text1"/>
        </w:rPr>
        <w:t>。</w:t>
      </w:r>
    </w:p>
    <w:p>
      <w:pPr>
        <w:pStyle w:val="95"/>
        <w:spacing w:before="120" w:after="120"/>
        <w:rPr>
          <w:color w:val="000000" w:themeColor="text1"/>
        </w:rPr>
      </w:pPr>
      <w:r>
        <w:rPr>
          <w:rFonts w:hint="eastAsia"/>
          <w:color w:val="000000" w:themeColor="text1"/>
        </w:rPr>
        <w:t>沙门氏菌</w:t>
      </w:r>
    </w:p>
    <w:p>
      <w:pPr>
        <w:pStyle w:val="231"/>
        <w:rPr>
          <w:color w:val="000000" w:themeColor="text1"/>
        </w:rPr>
      </w:pPr>
      <w:r>
        <w:rPr>
          <w:rFonts w:hint="eastAsia"/>
          <w:color w:val="000000" w:themeColor="text1"/>
        </w:rPr>
        <w:t>按GB 4789.4规定的方法测定</w:t>
      </w:r>
      <w:r>
        <w:rPr>
          <w:color w:val="000000" w:themeColor="text1"/>
        </w:rPr>
        <w:t>。</w:t>
      </w:r>
    </w:p>
    <w:p>
      <w:pPr>
        <w:pStyle w:val="95"/>
        <w:spacing w:before="120" w:after="120"/>
        <w:rPr>
          <w:color w:val="000000" w:themeColor="text1"/>
        </w:rPr>
      </w:pPr>
      <w:r>
        <w:rPr>
          <w:rFonts w:hint="eastAsia"/>
          <w:color w:val="000000" w:themeColor="text1"/>
        </w:rPr>
        <w:t>金黄色葡萄球菌</w:t>
      </w:r>
    </w:p>
    <w:p>
      <w:pPr>
        <w:pStyle w:val="231"/>
        <w:rPr>
          <w:color w:val="000000" w:themeColor="text1"/>
        </w:rPr>
      </w:pPr>
      <w:r>
        <w:rPr>
          <w:rFonts w:hint="eastAsia"/>
          <w:color w:val="000000" w:themeColor="text1"/>
        </w:rPr>
        <w:t>按GB 4789.10平板计数法规定的方法测定</w:t>
      </w:r>
      <w:r>
        <w:rPr>
          <w:color w:val="000000" w:themeColor="text1"/>
        </w:rPr>
        <w:t>。</w:t>
      </w:r>
    </w:p>
    <w:p>
      <w:pPr>
        <w:pStyle w:val="95"/>
        <w:spacing w:before="120" w:after="120"/>
        <w:rPr>
          <w:color w:val="000000" w:themeColor="text1"/>
        </w:rPr>
      </w:pPr>
      <w:r>
        <w:rPr>
          <w:rFonts w:hint="eastAsia"/>
          <w:color w:val="000000" w:themeColor="text1"/>
        </w:rPr>
        <w:t>霉菌</w:t>
      </w:r>
    </w:p>
    <w:p>
      <w:pPr>
        <w:pStyle w:val="231"/>
        <w:rPr>
          <w:color w:val="000000" w:themeColor="text1"/>
        </w:rPr>
      </w:pPr>
      <w:r>
        <w:rPr>
          <w:rFonts w:hint="eastAsia"/>
          <w:color w:val="000000" w:themeColor="text1"/>
        </w:rPr>
        <w:t>按GB 4789.15规定的方法测定</w:t>
      </w:r>
      <w:r>
        <w:rPr>
          <w:color w:val="000000" w:themeColor="text1"/>
        </w:rPr>
        <w:t>。</w:t>
      </w:r>
    </w:p>
    <w:p>
      <w:pPr>
        <w:pStyle w:val="66"/>
        <w:spacing w:before="120" w:after="120"/>
        <w:rPr>
          <w:color w:val="000000" w:themeColor="text1"/>
        </w:rPr>
      </w:pPr>
      <w:r>
        <w:rPr>
          <w:rFonts w:hint="eastAsia"/>
          <w:color w:val="000000" w:themeColor="text1"/>
        </w:rPr>
        <w:t>污染物限量</w:t>
      </w:r>
    </w:p>
    <w:p>
      <w:pPr>
        <w:pStyle w:val="57"/>
        <w:ind w:firstLine="420"/>
        <w:rPr>
          <w:color w:val="000000" w:themeColor="text1"/>
        </w:rPr>
      </w:pPr>
      <w:r>
        <w:rPr>
          <w:rFonts w:hint="eastAsia"/>
          <w:color w:val="000000" w:themeColor="text1"/>
        </w:rPr>
        <w:t>按GB 2762规定的方法测定；铅按GB 5009.12规定的方法测定。</w:t>
      </w:r>
    </w:p>
    <w:p>
      <w:pPr>
        <w:pStyle w:val="66"/>
        <w:spacing w:before="120" w:after="120"/>
        <w:rPr>
          <w:color w:val="000000" w:themeColor="text1"/>
        </w:rPr>
      </w:pPr>
      <w:r>
        <w:rPr>
          <w:rFonts w:hint="eastAsia"/>
          <w:color w:val="000000" w:themeColor="text1"/>
        </w:rPr>
        <w:t>农药残留限量</w:t>
      </w:r>
    </w:p>
    <w:p>
      <w:pPr>
        <w:pStyle w:val="231"/>
        <w:rPr>
          <w:color w:val="000000" w:themeColor="text1"/>
        </w:rPr>
      </w:pPr>
      <w:r>
        <w:rPr>
          <w:rFonts w:hint="eastAsia"/>
          <w:color w:val="000000" w:themeColor="text1"/>
        </w:rPr>
        <w:t>按GB 2763规定的方法测定。</w:t>
      </w:r>
    </w:p>
    <w:p>
      <w:pPr>
        <w:pStyle w:val="66"/>
        <w:spacing w:before="120" w:after="120"/>
        <w:rPr>
          <w:color w:val="000000" w:themeColor="text1"/>
        </w:rPr>
      </w:pPr>
      <w:r>
        <w:rPr>
          <w:rFonts w:hint="eastAsia"/>
          <w:color w:val="000000" w:themeColor="text1"/>
        </w:rPr>
        <w:t>食品添加剂</w:t>
      </w:r>
    </w:p>
    <w:p>
      <w:pPr>
        <w:pStyle w:val="231"/>
        <w:rPr>
          <w:color w:val="000000" w:themeColor="text1"/>
        </w:rPr>
      </w:pPr>
      <w:r>
        <w:rPr>
          <w:rFonts w:hint="eastAsia"/>
          <w:color w:val="000000" w:themeColor="text1"/>
        </w:rPr>
        <w:t>按相关标准规定的方法测定。</w:t>
      </w:r>
    </w:p>
    <w:p>
      <w:pPr>
        <w:pStyle w:val="106"/>
        <w:spacing w:before="120" w:after="120"/>
        <w:rPr>
          <w:color w:val="000000" w:themeColor="text1"/>
        </w:rPr>
      </w:pPr>
      <w:r>
        <w:rPr>
          <w:rFonts w:hint="eastAsia"/>
          <w:color w:val="000000" w:themeColor="text1"/>
        </w:rPr>
        <w:t>净含量</w:t>
      </w:r>
    </w:p>
    <w:p>
      <w:pPr>
        <w:pStyle w:val="57"/>
        <w:ind w:firstLine="420"/>
        <w:rPr>
          <w:color w:val="000000" w:themeColor="text1"/>
        </w:rPr>
      </w:pPr>
      <w:r>
        <w:rPr>
          <w:rFonts w:hint="eastAsia"/>
          <w:color w:val="000000" w:themeColor="text1"/>
        </w:rPr>
        <w:t>按JJF 1070规定的方法测定。</w:t>
      </w:r>
    </w:p>
    <w:p>
      <w:pPr>
        <w:pStyle w:val="105"/>
        <w:spacing w:before="240" w:after="240"/>
        <w:rPr>
          <w:color w:val="000000" w:themeColor="text1"/>
        </w:rPr>
      </w:pPr>
      <w:r>
        <w:rPr>
          <w:rFonts w:hint="eastAsia"/>
          <w:color w:val="000000" w:themeColor="text1"/>
        </w:rPr>
        <w:t>检验规则</w:t>
      </w:r>
    </w:p>
    <w:p>
      <w:pPr>
        <w:pStyle w:val="106"/>
        <w:spacing w:before="120" w:after="120"/>
        <w:rPr>
          <w:color w:val="000000" w:themeColor="text1"/>
        </w:rPr>
      </w:pPr>
      <w:r>
        <w:rPr>
          <w:rFonts w:hint="eastAsia"/>
          <w:color w:val="000000" w:themeColor="text1"/>
        </w:rPr>
        <w:t>组批</w:t>
      </w:r>
    </w:p>
    <w:p>
      <w:pPr>
        <w:pStyle w:val="231"/>
        <w:rPr>
          <w:color w:val="000000" w:themeColor="text1"/>
        </w:rPr>
      </w:pPr>
      <w:r>
        <w:rPr>
          <w:rFonts w:hint="eastAsia"/>
          <w:color w:val="000000" w:themeColor="text1"/>
        </w:rPr>
        <w:t>以同一批原料、同一生产线在同一生产日期加工的同一包装规格的产品为一个检验批。</w:t>
      </w:r>
    </w:p>
    <w:p>
      <w:pPr>
        <w:pStyle w:val="106"/>
        <w:spacing w:before="120" w:after="120"/>
        <w:rPr>
          <w:color w:val="000000" w:themeColor="text1"/>
        </w:rPr>
      </w:pPr>
      <w:r>
        <w:rPr>
          <w:rFonts w:hint="eastAsia"/>
          <w:color w:val="000000" w:themeColor="text1"/>
        </w:rPr>
        <w:t>抽样</w:t>
      </w:r>
    </w:p>
    <w:p>
      <w:pPr>
        <w:pStyle w:val="231"/>
        <w:rPr>
          <w:color w:val="000000" w:themeColor="text1"/>
        </w:rPr>
      </w:pPr>
      <w:r>
        <w:rPr>
          <w:rFonts w:hint="eastAsia"/>
          <w:color w:val="000000" w:themeColor="text1"/>
        </w:rPr>
        <w:t>每批产品按生产批次及数量比例随机抽样，抽样数量应满足检验要求。</w:t>
      </w:r>
    </w:p>
    <w:p>
      <w:pPr>
        <w:pStyle w:val="106"/>
        <w:spacing w:before="120" w:after="120"/>
        <w:rPr>
          <w:color w:val="000000" w:themeColor="text1"/>
        </w:rPr>
      </w:pPr>
      <w:r>
        <w:rPr>
          <w:rFonts w:hint="eastAsia"/>
          <w:color w:val="000000" w:themeColor="text1"/>
        </w:rPr>
        <w:t>出厂检验</w:t>
      </w:r>
    </w:p>
    <w:p>
      <w:pPr>
        <w:pStyle w:val="166"/>
        <w:rPr>
          <w:color w:val="000000" w:themeColor="text1"/>
        </w:rPr>
      </w:pPr>
      <w:r>
        <w:rPr>
          <w:color w:val="000000" w:themeColor="text1"/>
        </w:rPr>
        <w:t>产品出厂前</w:t>
      </w:r>
      <w:r>
        <w:rPr>
          <w:rFonts w:hint="eastAsia"/>
          <w:color w:val="000000" w:themeColor="text1"/>
        </w:rPr>
        <w:t>，</w:t>
      </w:r>
      <w:r>
        <w:rPr>
          <w:color w:val="000000" w:themeColor="text1"/>
        </w:rPr>
        <w:t>应由生产厂的质检部门按本文件规定逐批进行检验</w:t>
      </w:r>
      <w:r>
        <w:rPr>
          <w:rFonts w:hint="eastAsia"/>
          <w:color w:val="000000" w:themeColor="text1"/>
        </w:rPr>
        <w:t>，</w:t>
      </w:r>
      <w:r>
        <w:rPr>
          <w:color w:val="000000" w:themeColor="text1"/>
        </w:rPr>
        <w:t>检验合格</w:t>
      </w:r>
      <w:r>
        <w:rPr>
          <w:rFonts w:hint="eastAsia"/>
          <w:color w:val="000000" w:themeColor="text1"/>
        </w:rPr>
        <w:t>，</w:t>
      </w:r>
      <w:r>
        <w:rPr>
          <w:color w:val="000000" w:themeColor="text1"/>
        </w:rPr>
        <w:t>并附上质量合格证明</w:t>
      </w:r>
      <w:r>
        <w:rPr>
          <w:rFonts w:hint="eastAsia"/>
          <w:color w:val="000000" w:themeColor="text1"/>
        </w:rPr>
        <w:t>，</w:t>
      </w:r>
      <w:r>
        <w:rPr>
          <w:color w:val="000000" w:themeColor="text1"/>
        </w:rPr>
        <w:t>方可出厂</w:t>
      </w:r>
      <w:r>
        <w:rPr>
          <w:rFonts w:hint="eastAsia"/>
          <w:color w:val="000000" w:themeColor="text1"/>
        </w:rPr>
        <w:t>。</w:t>
      </w:r>
    </w:p>
    <w:p>
      <w:pPr>
        <w:pStyle w:val="166"/>
        <w:rPr>
          <w:color w:val="000000" w:themeColor="text1"/>
        </w:rPr>
      </w:pPr>
      <w:r>
        <w:rPr>
          <w:rFonts w:hint="eastAsia"/>
          <w:color w:val="000000" w:themeColor="text1"/>
        </w:rPr>
        <w:t>出厂检验项目包括：感官、水分、总酸、二氧化硫、</w:t>
      </w:r>
      <w:r>
        <w:rPr>
          <w:rFonts w:hint="eastAsia" w:cs="宋体"/>
          <w:color w:val="000000" w:themeColor="text1"/>
          <w:szCs w:val="18"/>
        </w:rPr>
        <w:t>菌落总数、大肠菌群、</w:t>
      </w:r>
      <w:r>
        <w:rPr>
          <w:rFonts w:hint="eastAsia"/>
          <w:color w:val="000000" w:themeColor="text1"/>
        </w:rPr>
        <w:t>净含量。</w:t>
      </w:r>
    </w:p>
    <w:p>
      <w:pPr>
        <w:pStyle w:val="106"/>
        <w:spacing w:before="120" w:after="120"/>
        <w:rPr>
          <w:color w:val="000000" w:themeColor="text1"/>
        </w:rPr>
      </w:pPr>
      <w:r>
        <w:rPr>
          <w:rFonts w:hint="eastAsia"/>
          <w:color w:val="000000" w:themeColor="text1"/>
        </w:rPr>
        <w:t>型式检验</w:t>
      </w:r>
    </w:p>
    <w:p>
      <w:pPr>
        <w:pStyle w:val="166"/>
        <w:rPr>
          <w:color w:val="000000" w:themeColor="text1"/>
        </w:rPr>
      </w:pPr>
      <w:r>
        <w:rPr>
          <w:rFonts w:hint="eastAsia"/>
          <w:color w:val="000000" w:themeColor="text1"/>
        </w:rPr>
        <w:t>型式检验项目为本文件第4章规定的项目。</w:t>
      </w:r>
    </w:p>
    <w:p>
      <w:pPr>
        <w:pStyle w:val="166"/>
        <w:rPr>
          <w:color w:val="000000" w:themeColor="text1"/>
        </w:rPr>
      </w:pPr>
      <w:r>
        <w:rPr>
          <w:rFonts w:hint="eastAsia"/>
          <w:color w:val="000000" w:themeColor="text1"/>
        </w:rPr>
        <w:t>有下列情形之一时，应进行型式检验：</w:t>
      </w:r>
    </w:p>
    <w:p>
      <w:pPr>
        <w:pStyle w:val="133"/>
        <w:rPr>
          <w:color w:val="000000" w:themeColor="text1"/>
        </w:rPr>
      </w:pPr>
      <w:r>
        <w:rPr>
          <w:rFonts w:hint="eastAsia"/>
          <w:color w:val="000000" w:themeColor="text1"/>
        </w:rPr>
        <w:t>原材料有重大改变，可能影响产品质量时；</w:t>
      </w:r>
    </w:p>
    <w:p>
      <w:pPr>
        <w:pStyle w:val="133"/>
        <w:rPr>
          <w:color w:val="000000" w:themeColor="text1"/>
        </w:rPr>
      </w:pPr>
      <w:r>
        <w:rPr>
          <w:rFonts w:hint="eastAsia"/>
          <w:color w:val="000000" w:themeColor="text1"/>
        </w:rPr>
        <w:t>更改关键工艺或设备时；</w:t>
      </w:r>
    </w:p>
    <w:p>
      <w:pPr>
        <w:pStyle w:val="133"/>
        <w:rPr>
          <w:color w:val="000000" w:themeColor="text1"/>
        </w:rPr>
      </w:pPr>
      <w:r>
        <w:rPr>
          <w:rFonts w:hint="eastAsia"/>
          <w:color w:val="000000" w:themeColor="text1"/>
        </w:rPr>
        <w:t>出厂检验与上次型式检验结果有较大差异时；</w:t>
      </w:r>
    </w:p>
    <w:p>
      <w:pPr>
        <w:pStyle w:val="133"/>
        <w:rPr>
          <w:color w:val="000000" w:themeColor="text1"/>
        </w:rPr>
      </w:pPr>
      <w:r>
        <w:rPr>
          <w:rFonts w:hint="eastAsia"/>
          <w:color w:val="000000" w:themeColor="text1"/>
        </w:rPr>
        <w:t>新试制的产品或正常生产的产品停产3个月后，恢复生产时；</w:t>
      </w:r>
    </w:p>
    <w:p>
      <w:pPr>
        <w:pStyle w:val="133"/>
        <w:rPr>
          <w:color w:val="000000" w:themeColor="text1"/>
        </w:rPr>
      </w:pPr>
      <w:r>
        <w:rPr>
          <w:rFonts w:hint="eastAsia"/>
          <w:color w:val="000000" w:themeColor="text1"/>
        </w:rPr>
        <w:t>国家市场监督管理局按有关规定抽检时。</w:t>
      </w:r>
    </w:p>
    <w:p>
      <w:pPr>
        <w:pStyle w:val="106"/>
        <w:spacing w:before="120" w:after="120"/>
        <w:rPr>
          <w:color w:val="000000" w:themeColor="text1"/>
        </w:rPr>
      </w:pPr>
      <w:r>
        <w:rPr>
          <w:rFonts w:hint="eastAsia"/>
          <w:color w:val="000000" w:themeColor="text1"/>
        </w:rPr>
        <w:t>判定规则</w:t>
      </w:r>
    </w:p>
    <w:p>
      <w:pPr>
        <w:pStyle w:val="166"/>
        <w:rPr>
          <w:color w:val="000000" w:themeColor="text1"/>
        </w:rPr>
      </w:pPr>
      <w:r>
        <w:rPr>
          <w:rFonts w:hint="eastAsia"/>
          <w:color w:val="000000" w:themeColor="text1"/>
        </w:rPr>
        <w:t>检验结果全部符合本文件时，判定该批产品合格。</w:t>
      </w:r>
    </w:p>
    <w:p>
      <w:pPr>
        <w:pStyle w:val="166"/>
        <w:rPr>
          <w:color w:val="000000" w:themeColor="text1"/>
        </w:rPr>
      </w:pPr>
      <w:r>
        <w:rPr>
          <w:rFonts w:hint="eastAsia"/>
          <w:color w:val="000000" w:themeColor="text1"/>
        </w:rPr>
        <w:t>检验结果中若微生物指标有不符合本文件规定时，判该批产品为不合格；检验结果中微生物指标检验符合本文件要求，其他项目出现不符合项时，允许按相关规定进行复检，复检仍有不符合项时，则判该批产品为不合格。</w:t>
      </w:r>
    </w:p>
    <w:p>
      <w:pPr>
        <w:pStyle w:val="105"/>
        <w:spacing w:before="240" w:after="240"/>
        <w:rPr>
          <w:color w:val="000000" w:themeColor="text1"/>
        </w:rPr>
      </w:pPr>
      <w:r>
        <w:rPr>
          <w:rFonts w:hint="eastAsia"/>
          <w:color w:val="000000" w:themeColor="text1"/>
        </w:rPr>
        <w:t>标签、标志、包装、运输、贮存</w:t>
      </w:r>
    </w:p>
    <w:p>
      <w:pPr>
        <w:pStyle w:val="106"/>
        <w:spacing w:before="120" w:after="120"/>
        <w:rPr>
          <w:color w:val="000000" w:themeColor="text1"/>
        </w:rPr>
      </w:pPr>
      <w:r>
        <w:rPr>
          <w:rFonts w:hint="eastAsia"/>
          <w:color w:val="000000" w:themeColor="text1"/>
        </w:rPr>
        <w:t>标签、标志</w:t>
      </w:r>
    </w:p>
    <w:p>
      <w:pPr>
        <w:pStyle w:val="166"/>
        <w:rPr>
          <w:color w:val="000000" w:themeColor="text1"/>
        </w:rPr>
      </w:pPr>
      <w:r>
        <w:rPr>
          <w:rFonts w:hint="eastAsia"/>
          <w:color w:val="000000" w:themeColor="text1"/>
        </w:rPr>
        <w:t>预包装产品标签应符合GB 7718和GB 28050的规定。</w:t>
      </w:r>
    </w:p>
    <w:p>
      <w:pPr>
        <w:pStyle w:val="166"/>
        <w:rPr>
          <w:color w:val="000000" w:themeColor="text1"/>
        </w:rPr>
      </w:pPr>
      <w:r>
        <w:rPr>
          <w:rFonts w:hint="eastAsia"/>
          <w:color w:val="000000" w:themeColor="text1"/>
        </w:rPr>
        <w:t>外包装储运图示标志应符合GB/T 191的规定。</w:t>
      </w:r>
    </w:p>
    <w:p>
      <w:pPr>
        <w:pStyle w:val="106"/>
        <w:spacing w:before="120" w:after="120"/>
        <w:rPr>
          <w:color w:val="000000" w:themeColor="text1"/>
        </w:rPr>
      </w:pPr>
      <w:r>
        <w:rPr>
          <w:rFonts w:hint="eastAsia"/>
          <w:color w:val="000000" w:themeColor="text1"/>
        </w:rPr>
        <w:t>包装</w:t>
      </w:r>
    </w:p>
    <w:p>
      <w:pPr>
        <w:pStyle w:val="166"/>
        <w:rPr>
          <w:color w:val="000000" w:themeColor="text1"/>
        </w:rPr>
      </w:pPr>
      <w:r>
        <w:rPr>
          <w:rFonts w:hint="eastAsia"/>
          <w:color w:val="000000" w:themeColor="text1"/>
        </w:rPr>
        <w:t>产品内包装材料应无毒、无害、无异味，符合国家食品安全要求。</w:t>
      </w:r>
    </w:p>
    <w:p>
      <w:pPr>
        <w:pStyle w:val="166"/>
        <w:rPr>
          <w:color w:val="000000" w:themeColor="text1"/>
        </w:rPr>
      </w:pPr>
      <w:r>
        <w:rPr>
          <w:rFonts w:hint="eastAsia"/>
          <w:color w:val="000000" w:themeColor="text1"/>
        </w:rPr>
        <w:t>产品包装应密封、牢固、产品不应散漏。</w:t>
      </w:r>
    </w:p>
    <w:p>
      <w:pPr>
        <w:pStyle w:val="166"/>
        <w:rPr>
          <w:color w:val="000000" w:themeColor="text1"/>
        </w:rPr>
      </w:pPr>
      <w:r>
        <w:rPr>
          <w:rFonts w:hint="eastAsia"/>
          <w:color w:val="000000" w:themeColor="text1"/>
        </w:rPr>
        <w:t>外包装材料应符合国家有关规定。</w:t>
      </w:r>
    </w:p>
    <w:p>
      <w:pPr>
        <w:pStyle w:val="106"/>
        <w:spacing w:before="120" w:after="120"/>
        <w:rPr>
          <w:color w:val="000000" w:themeColor="text1"/>
        </w:rPr>
      </w:pPr>
      <w:r>
        <w:rPr>
          <w:rFonts w:hint="eastAsia"/>
          <w:color w:val="000000" w:themeColor="text1"/>
        </w:rPr>
        <w:t>运输</w:t>
      </w:r>
    </w:p>
    <w:p>
      <w:pPr>
        <w:pStyle w:val="166"/>
        <w:rPr>
          <w:color w:val="000000" w:themeColor="text1"/>
        </w:rPr>
      </w:pPr>
      <w:bookmarkStart w:id="43" w:name="_Hlk79111994"/>
      <w:r>
        <w:rPr>
          <w:rFonts w:hint="eastAsia"/>
          <w:color w:val="000000" w:themeColor="text1"/>
        </w:rPr>
        <w:t>运输工具应清洁卫生、干燥、无异味、无污染。不应与有毒、有害、有异味的物品混装混运。</w:t>
      </w:r>
    </w:p>
    <w:bookmarkEnd w:id="43"/>
    <w:p>
      <w:pPr>
        <w:pStyle w:val="166"/>
        <w:rPr>
          <w:color w:val="000000" w:themeColor="text1"/>
        </w:rPr>
      </w:pPr>
      <w:bookmarkStart w:id="44" w:name="_Hlk79112007"/>
      <w:r>
        <w:rPr>
          <w:rFonts w:hint="eastAsia"/>
          <w:color w:val="000000" w:themeColor="text1"/>
        </w:rPr>
        <w:t>运输途中应注意防潮、防雨、防曝晒。</w:t>
      </w:r>
    </w:p>
    <w:bookmarkEnd w:id="44"/>
    <w:p>
      <w:pPr>
        <w:pStyle w:val="57"/>
        <w:ind w:firstLine="420"/>
      </w:pPr>
    </w:p>
    <w:p>
      <w:pPr>
        <w:pStyle w:val="106"/>
        <w:spacing w:before="120" w:after="120"/>
        <w:rPr>
          <w:color w:val="000000" w:themeColor="text1"/>
        </w:rPr>
      </w:pPr>
      <w:r>
        <w:rPr>
          <w:rFonts w:hint="eastAsia"/>
          <w:color w:val="000000" w:themeColor="text1"/>
        </w:rPr>
        <w:t>贮存</w:t>
      </w:r>
    </w:p>
    <w:p>
      <w:pPr>
        <w:pStyle w:val="231"/>
        <w:rPr>
          <w:color w:val="000000" w:themeColor="text1"/>
        </w:rPr>
      </w:pPr>
      <w:bookmarkStart w:id="45" w:name="_Hlk79112253"/>
      <w:r>
        <w:rPr>
          <w:rFonts w:hint="eastAsia"/>
          <w:color w:val="000000" w:themeColor="text1"/>
        </w:rPr>
        <w:t>产品应贮存在清洁卫生、通风干燥、无异味、无污染的室内，离地、离墙存放，不应与有毒、有害、有腐蚀性易挥发或有异味的物品同库贮存。</w:t>
      </w:r>
    </w:p>
    <w:bookmarkEnd w:id="45"/>
    <w:p>
      <w:pPr>
        <w:pStyle w:val="105"/>
        <w:spacing w:before="240" w:after="240"/>
        <w:rPr>
          <w:color w:val="000000" w:themeColor="text1"/>
        </w:rPr>
      </w:pPr>
      <w:r>
        <w:rPr>
          <w:rFonts w:hint="eastAsia"/>
          <w:color w:val="000000" w:themeColor="text1"/>
        </w:rPr>
        <w:t>保质期</w:t>
      </w:r>
    </w:p>
    <w:p>
      <w:pPr>
        <w:pStyle w:val="231"/>
        <w:rPr>
          <w:color w:val="000000"/>
        </w:rPr>
      </w:pPr>
      <w:r>
        <w:rPr>
          <w:rFonts w:hint="eastAsia"/>
          <w:color w:val="000000" w:themeColor="text1"/>
        </w:rPr>
        <w:t>企业可根据自身工艺确定保</w:t>
      </w:r>
      <w:r>
        <w:rPr>
          <w:rFonts w:hint="eastAsia"/>
          <w:color w:val="000000"/>
        </w:rPr>
        <w:t>质期。</w:t>
      </w:r>
    </w:p>
    <w:bookmarkEnd w:id="21"/>
    <w:p>
      <w:pPr>
        <w:pStyle w:val="231"/>
        <w:rPr>
          <w:color w:val="000000"/>
        </w:rPr>
        <w:sectPr>
          <w:headerReference r:id="rId15" w:type="default"/>
          <w:footerReference r:id="rId17" w:type="default"/>
          <w:headerReference r:id="rId16" w:type="even"/>
          <w:footerReference r:id="rId18" w:type="even"/>
          <w:pgSz w:w="11906" w:h="16838"/>
          <w:pgMar w:top="2410" w:right="1134" w:bottom="1134" w:left="1134" w:header="1418" w:footer="1134" w:gutter="284"/>
          <w:pgNumType w:start="1"/>
          <w:cols w:space="425" w:num="1"/>
          <w:formProt w:val="0"/>
          <w:docGrid w:linePitch="312" w:charSpace="0"/>
        </w:sectPr>
      </w:pPr>
      <w:bookmarkStart w:id="46" w:name="BookMark6"/>
    </w:p>
    <w:p>
      <w:pPr>
        <w:pStyle w:val="64"/>
        <w:spacing w:before="96" w:after="120"/>
      </w:pPr>
      <w:r>
        <w:rPr>
          <w:rFonts w:hint="eastAsia"/>
          <w:spacing w:val="105"/>
        </w:rPr>
        <w:t>参考文</w:t>
      </w:r>
      <w:r>
        <w:rPr>
          <w:rFonts w:hint="eastAsia"/>
        </w:rPr>
        <w:t>献</w:t>
      </w:r>
    </w:p>
    <w:p>
      <w:pPr>
        <w:pStyle w:val="57"/>
        <w:ind w:firstLine="420"/>
      </w:pPr>
    </w:p>
    <w:p>
      <w:pPr>
        <w:pStyle w:val="57"/>
        <w:ind w:firstLine="420"/>
      </w:pPr>
    </w:p>
    <w:p>
      <w:pPr>
        <w:pStyle w:val="231"/>
      </w:pPr>
      <w:r>
        <w:rPr>
          <w:rFonts w:hint="eastAsia"/>
        </w:rPr>
        <w:t>[1]  国家质量监督检验检疫总局令〔2005〕第75号  定量包装商品计量监督管理办法</w:t>
      </w:r>
    </w:p>
    <w:bookmarkEnd w:id="46"/>
    <w:p>
      <w:pPr>
        <w:pStyle w:val="231"/>
        <w:ind w:firstLine="0" w:firstLineChars="0"/>
        <w:rPr>
          <w:color w:val="000000"/>
        </w:rPr>
      </w:pPr>
    </w:p>
    <w:p>
      <w:pPr>
        <w:pStyle w:val="57"/>
        <w:ind w:firstLine="0" w:firstLineChars="0"/>
        <w:jc w:val="center"/>
      </w:pPr>
      <w:bookmarkStart w:id="47"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cstate="print"/>
                    <a:stretch>
                      <a:fillRect/>
                    </a:stretch>
                  </pic:blipFill>
                  <pic:spPr>
                    <a:xfrm>
                      <a:off x="0" y="0"/>
                      <a:ext cx="1485900" cy="317500"/>
                    </a:xfrm>
                    <a:prstGeom prst="rect">
                      <a:avLst/>
                    </a:prstGeom>
                  </pic:spPr>
                </pic:pic>
              </a:graphicData>
            </a:graphic>
          </wp:inline>
        </w:drawing>
      </w:r>
      <w:bookmarkEnd w:id="47"/>
    </w:p>
    <w:sectPr>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1" w:cryptProviderType="rsaFull" w:cryptAlgorithmClass="hash" w:cryptAlgorithmType="typeAny" w:cryptAlgorithmSid="4" w:cryptSpinCount="100000" w:hash="AX4pybzFdbaOzl0jtm5qYaZpbZ8=" w:salt="ehxvDihQDxxOh4Mm4Dixl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1BB8"/>
    <w:rsid w:val="0000040A"/>
    <w:rsid w:val="000006A4"/>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39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0B4"/>
    <w:rsid w:val="000E6FD7"/>
    <w:rsid w:val="000F06E1"/>
    <w:rsid w:val="000F0E3C"/>
    <w:rsid w:val="000F19D5"/>
    <w:rsid w:val="000F4050"/>
    <w:rsid w:val="000F4AEA"/>
    <w:rsid w:val="000F67E9"/>
    <w:rsid w:val="0010350D"/>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0CF"/>
    <w:rsid w:val="0017340B"/>
    <w:rsid w:val="00173FB1"/>
    <w:rsid w:val="00176DFD"/>
    <w:rsid w:val="00180A0B"/>
    <w:rsid w:val="0018515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84C"/>
    <w:rsid w:val="001B71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5EF"/>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5F55"/>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A6E"/>
    <w:rsid w:val="0026148A"/>
    <w:rsid w:val="00262696"/>
    <w:rsid w:val="00263D25"/>
    <w:rsid w:val="002643C3"/>
    <w:rsid w:val="00264A0C"/>
    <w:rsid w:val="00266EEB"/>
    <w:rsid w:val="002678DE"/>
    <w:rsid w:val="00267EF4"/>
    <w:rsid w:val="00270CB8"/>
    <w:rsid w:val="00272B08"/>
    <w:rsid w:val="00281BB8"/>
    <w:rsid w:val="00281E9E"/>
    <w:rsid w:val="00282405"/>
    <w:rsid w:val="0028471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8D3"/>
    <w:rsid w:val="002D6EC6"/>
    <w:rsid w:val="002D79AC"/>
    <w:rsid w:val="002E039D"/>
    <w:rsid w:val="002E4D5A"/>
    <w:rsid w:val="002E5234"/>
    <w:rsid w:val="002E6326"/>
    <w:rsid w:val="002F105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A34"/>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5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67A"/>
    <w:rsid w:val="003A3D9C"/>
    <w:rsid w:val="003A4077"/>
    <w:rsid w:val="003A4AA7"/>
    <w:rsid w:val="003B09AD"/>
    <w:rsid w:val="003B1F18"/>
    <w:rsid w:val="003B5359"/>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66B"/>
    <w:rsid w:val="003F0841"/>
    <w:rsid w:val="003F23D3"/>
    <w:rsid w:val="003F3F08"/>
    <w:rsid w:val="003F49F1"/>
    <w:rsid w:val="003F6272"/>
    <w:rsid w:val="00400E72"/>
    <w:rsid w:val="00401400"/>
    <w:rsid w:val="00404869"/>
    <w:rsid w:val="00405884"/>
    <w:rsid w:val="00407D39"/>
    <w:rsid w:val="0041005B"/>
    <w:rsid w:val="0041477A"/>
    <w:rsid w:val="004167A3"/>
    <w:rsid w:val="00422BEB"/>
    <w:rsid w:val="00432DAA"/>
    <w:rsid w:val="00434305"/>
    <w:rsid w:val="00435DF7"/>
    <w:rsid w:val="0044083F"/>
    <w:rsid w:val="00441AE7"/>
    <w:rsid w:val="00445574"/>
    <w:rsid w:val="004467FB"/>
    <w:rsid w:val="00452D6B"/>
    <w:rsid w:val="00454484"/>
    <w:rsid w:val="0045517B"/>
    <w:rsid w:val="00461415"/>
    <w:rsid w:val="00463B77"/>
    <w:rsid w:val="00463C7B"/>
    <w:rsid w:val="004644A6"/>
    <w:rsid w:val="004659BD"/>
    <w:rsid w:val="00470775"/>
    <w:rsid w:val="004746B1"/>
    <w:rsid w:val="0047583F"/>
    <w:rsid w:val="00475DE8"/>
    <w:rsid w:val="00481C44"/>
    <w:rsid w:val="00484936"/>
    <w:rsid w:val="00485266"/>
    <w:rsid w:val="00485C89"/>
    <w:rsid w:val="00486BE3"/>
    <w:rsid w:val="004905E4"/>
    <w:rsid w:val="00490A89"/>
    <w:rsid w:val="00490AB4"/>
    <w:rsid w:val="00492F02"/>
    <w:rsid w:val="004933E9"/>
    <w:rsid w:val="004939AE"/>
    <w:rsid w:val="004A12DF"/>
    <w:rsid w:val="004A1BA8"/>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56C"/>
    <w:rsid w:val="004F391A"/>
    <w:rsid w:val="004F3CFB"/>
    <w:rsid w:val="004F50F3"/>
    <w:rsid w:val="004F6456"/>
    <w:rsid w:val="004F696E"/>
    <w:rsid w:val="004F6C71"/>
    <w:rsid w:val="00501139"/>
    <w:rsid w:val="0050363E"/>
    <w:rsid w:val="005039BC"/>
    <w:rsid w:val="005043BB"/>
    <w:rsid w:val="00504A3D"/>
    <w:rsid w:val="00505767"/>
    <w:rsid w:val="0050632E"/>
    <w:rsid w:val="005073F0"/>
    <w:rsid w:val="00510A7B"/>
    <w:rsid w:val="00512F6E"/>
    <w:rsid w:val="00513038"/>
    <w:rsid w:val="00514174"/>
    <w:rsid w:val="00516088"/>
    <w:rsid w:val="00516B0B"/>
    <w:rsid w:val="0052136C"/>
    <w:rsid w:val="005220EC"/>
    <w:rsid w:val="00523F95"/>
    <w:rsid w:val="00524D65"/>
    <w:rsid w:val="00525B16"/>
    <w:rsid w:val="00533D04"/>
    <w:rsid w:val="00534804"/>
    <w:rsid w:val="00534BDF"/>
    <w:rsid w:val="005354EA"/>
    <w:rsid w:val="0053585F"/>
    <w:rsid w:val="00535EC4"/>
    <w:rsid w:val="00535ED9"/>
    <w:rsid w:val="005368D2"/>
    <w:rsid w:val="0053692B"/>
    <w:rsid w:val="00541853"/>
    <w:rsid w:val="00543BDA"/>
    <w:rsid w:val="005441CC"/>
    <w:rsid w:val="005473D4"/>
    <w:rsid w:val="005479DA"/>
    <w:rsid w:val="00547BCC"/>
    <w:rsid w:val="0055013B"/>
    <w:rsid w:val="00551F6F"/>
    <w:rsid w:val="0055487C"/>
    <w:rsid w:val="00555044"/>
    <w:rsid w:val="00561475"/>
    <w:rsid w:val="00562308"/>
    <w:rsid w:val="0056487B"/>
    <w:rsid w:val="00564FB9"/>
    <w:rsid w:val="0057164D"/>
    <w:rsid w:val="00571BE5"/>
    <w:rsid w:val="00571D70"/>
    <w:rsid w:val="00573D9E"/>
    <w:rsid w:val="005801E3"/>
    <w:rsid w:val="00581802"/>
    <w:rsid w:val="005836A8"/>
    <w:rsid w:val="0058409C"/>
    <w:rsid w:val="00584262"/>
    <w:rsid w:val="00586630"/>
    <w:rsid w:val="00587ADD"/>
    <w:rsid w:val="00593A49"/>
    <w:rsid w:val="00595B93"/>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57E"/>
    <w:rsid w:val="005C29B8"/>
    <w:rsid w:val="005C5F21"/>
    <w:rsid w:val="005C7156"/>
    <w:rsid w:val="005D0C75"/>
    <w:rsid w:val="005D4171"/>
    <w:rsid w:val="005D6A95"/>
    <w:rsid w:val="005D6AED"/>
    <w:rsid w:val="005D6B2C"/>
    <w:rsid w:val="005D6D9C"/>
    <w:rsid w:val="005E1359"/>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0FD9"/>
    <w:rsid w:val="00632182"/>
    <w:rsid w:val="00632AE0"/>
    <w:rsid w:val="00633C17"/>
    <w:rsid w:val="00634D9E"/>
    <w:rsid w:val="00636E3E"/>
    <w:rsid w:val="006379F7"/>
    <w:rsid w:val="00637E4D"/>
    <w:rsid w:val="00640620"/>
    <w:rsid w:val="00641A1F"/>
    <w:rsid w:val="00645904"/>
    <w:rsid w:val="00651ACB"/>
    <w:rsid w:val="00651C47"/>
    <w:rsid w:val="00652AB2"/>
    <w:rsid w:val="00652E24"/>
    <w:rsid w:val="00653FED"/>
    <w:rsid w:val="00654EC0"/>
    <w:rsid w:val="0065525B"/>
    <w:rsid w:val="00655D4F"/>
    <w:rsid w:val="00656D29"/>
    <w:rsid w:val="006640E5"/>
    <w:rsid w:val="006646F1"/>
    <w:rsid w:val="00664929"/>
    <w:rsid w:val="00664F62"/>
    <w:rsid w:val="006655E1"/>
    <w:rsid w:val="00672060"/>
    <w:rsid w:val="00672BFD"/>
    <w:rsid w:val="00674F91"/>
    <w:rsid w:val="006770F4"/>
    <w:rsid w:val="00677A84"/>
    <w:rsid w:val="0068026D"/>
    <w:rsid w:val="00680A27"/>
    <w:rsid w:val="006816A4"/>
    <w:rsid w:val="006819B8"/>
    <w:rsid w:val="006840A6"/>
    <w:rsid w:val="006850CD"/>
    <w:rsid w:val="00685AAB"/>
    <w:rsid w:val="0069617F"/>
    <w:rsid w:val="006A07AA"/>
    <w:rsid w:val="006A25E5"/>
    <w:rsid w:val="006A2B46"/>
    <w:rsid w:val="006A336D"/>
    <w:rsid w:val="006A37B9"/>
    <w:rsid w:val="006B2672"/>
    <w:rsid w:val="006B54BF"/>
    <w:rsid w:val="006B5F44"/>
    <w:rsid w:val="006B5F90"/>
    <w:rsid w:val="006B62E4"/>
    <w:rsid w:val="006B6EBB"/>
    <w:rsid w:val="006C1BB8"/>
    <w:rsid w:val="006C1BBA"/>
    <w:rsid w:val="006C2079"/>
    <w:rsid w:val="006C22C7"/>
    <w:rsid w:val="006C5A62"/>
    <w:rsid w:val="006C5D68"/>
    <w:rsid w:val="006C6976"/>
    <w:rsid w:val="006C6DD0"/>
    <w:rsid w:val="006D04EA"/>
    <w:rsid w:val="006D16C4"/>
    <w:rsid w:val="006D3E96"/>
    <w:rsid w:val="006D4515"/>
    <w:rsid w:val="006D4BB1"/>
    <w:rsid w:val="006D6593"/>
    <w:rsid w:val="006E7216"/>
    <w:rsid w:val="006F03A8"/>
    <w:rsid w:val="006F2ACA"/>
    <w:rsid w:val="006F2ADC"/>
    <w:rsid w:val="006F2BFE"/>
    <w:rsid w:val="006F31E9"/>
    <w:rsid w:val="006F4AC7"/>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58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265"/>
    <w:rsid w:val="007B2E68"/>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4AE"/>
    <w:rsid w:val="00817325"/>
    <w:rsid w:val="008209E6"/>
    <w:rsid w:val="00823303"/>
    <w:rsid w:val="008233B2"/>
    <w:rsid w:val="00823A9F"/>
    <w:rsid w:val="00823C85"/>
    <w:rsid w:val="00825138"/>
    <w:rsid w:val="008269DD"/>
    <w:rsid w:val="00830621"/>
    <w:rsid w:val="0083348C"/>
    <w:rsid w:val="00835C14"/>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1801"/>
    <w:rsid w:val="00875D14"/>
    <w:rsid w:val="00882725"/>
    <w:rsid w:val="00883F93"/>
    <w:rsid w:val="00884DB3"/>
    <w:rsid w:val="00885A9D"/>
    <w:rsid w:val="008864F6"/>
    <w:rsid w:val="0089049D"/>
    <w:rsid w:val="008928C9"/>
    <w:rsid w:val="008930CB"/>
    <w:rsid w:val="008938DC"/>
    <w:rsid w:val="00893FD1"/>
    <w:rsid w:val="00894032"/>
    <w:rsid w:val="00894836"/>
    <w:rsid w:val="00895172"/>
    <w:rsid w:val="00895680"/>
    <w:rsid w:val="00896DFF"/>
    <w:rsid w:val="0089762C"/>
    <w:rsid w:val="008A173B"/>
    <w:rsid w:val="008A1893"/>
    <w:rsid w:val="008A1EF9"/>
    <w:rsid w:val="008A57E6"/>
    <w:rsid w:val="008A6F81"/>
    <w:rsid w:val="008A769A"/>
    <w:rsid w:val="008B0C9C"/>
    <w:rsid w:val="008B166D"/>
    <w:rsid w:val="008B17F4"/>
    <w:rsid w:val="008B3615"/>
    <w:rsid w:val="008B4AC4"/>
    <w:rsid w:val="008B50C8"/>
    <w:rsid w:val="008B5281"/>
    <w:rsid w:val="008B7E05"/>
    <w:rsid w:val="008C1797"/>
    <w:rsid w:val="008C219C"/>
    <w:rsid w:val="008C24E8"/>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155"/>
    <w:rsid w:val="008F70BD"/>
    <w:rsid w:val="008F788F"/>
    <w:rsid w:val="008F7EA2"/>
    <w:rsid w:val="00902722"/>
    <w:rsid w:val="009027BC"/>
    <w:rsid w:val="009062E6"/>
    <w:rsid w:val="00911BE5"/>
    <w:rsid w:val="00913CA9"/>
    <w:rsid w:val="009145AE"/>
    <w:rsid w:val="009146CE"/>
    <w:rsid w:val="00914CA7"/>
    <w:rsid w:val="00915C3E"/>
    <w:rsid w:val="009161A8"/>
    <w:rsid w:val="00920669"/>
    <w:rsid w:val="009245AE"/>
    <w:rsid w:val="009245F5"/>
    <w:rsid w:val="009249EC"/>
    <w:rsid w:val="009273B3"/>
    <w:rsid w:val="009305B5"/>
    <w:rsid w:val="009370F6"/>
    <w:rsid w:val="009378DD"/>
    <w:rsid w:val="00942351"/>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355"/>
    <w:rsid w:val="00A06A6B"/>
    <w:rsid w:val="00A07E47"/>
    <w:rsid w:val="00A12082"/>
    <w:rsid w:val="00A129D0"/>
    <w:rsid w:val="00A12C33"/>
    <w:rsid w:val="00A138BA"/>
    <w:rsid w:val="00A14C8E"/>
    <w:rsid w:val="00A153D9"/>
    <w:rsid w:val="00A15F09"/>
    <w:rsid w:val="00A169B6"/>
    <w:rsid w:val="00A17FCB"/>
    <w:rsid w:val="00A2271D"/>
    <w:rsid w:val="00A237D5"/>
    <w:rsid w:val="00A2774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012"/>
    <w:rsid w:val="00A55BD6"/>
    <w:rsid w:val="00A55D50"/>
    <w:rsid w:val="00A57142"/>
    <w:rsid w:val="00A62CEA"/>
    <w:rsid w:val="00A648CD"/>
    <w:rsid w:val="00A6537A"/>
    <w:rsid w:val="00A674C0"/>
    <w:rsid w:val="00A67866"/>
    <w:rsid w:val="00A70B07"/>
    <w:rsid w:val="00A723F8"/>
    <w:rsid w:val="00A77CCB"/>
    <w:rsid w:val="00A83D8D"/>
    <w:rsid w:val="00A8446B"/>
    <w:rsid w:val="00A8473F"/>
    <w:rsid w:val="00A862D6"/>
    <w:rsid w:val="00A8715E"/>
    <w:rsid w:val="00A873C0"/>
    <w:rsid w:val="00A9295B"/>
    <w:rsid w:val="00A93B09"/>
    <w:rsid w:val="00A952D7"/>
    <w:rsid w:val="00A963F7"/>
    <w:rsid w:val="00A96AD8"/>
    <w:rsid w:val="00AA052C"/>
    <w:rsid w:val="00AA1E45"/>
    <w:rsid w:val="00AA4286"/>
    <w:rsid w:val="00AA456B"/>
    <w:rsid w:val="00AA57F5"/>
    <w:rsid w:val="00AA672E"/>
    <w:rsid w:val="00AA6EC9"/>
    <w:rsid w:val="00AA7C02"/>
    <w:rsid w:val="00AB6309"/>
    <w:rsid w:val="00AB6C5F"/>
    <w:rsid w:val="00AB7129"/>
    <w:rsid w:val="00AC27A6"/>
    <w:rsid w:val="00AC30F7"/>
    <w:rsid w:val="00AC3A5A"/>
    <w:rsid w:val="00AC4D95"/>
    <w:rsid w:val="00AC57FB"/>
    <w:rsid w:val="00AC5DF4"/>
    <w:rsid w:val="00AD0AEF"/>
    <w:rsid w:val="00AD11B7"/>
    <w:rsid w:val="00AD1A94"/>
    <w:rsid w:val="00AD1C05"/>
    <w:rsid w:val="00AD239B"/>
    <w:rsid w:val="00AD4126"/>
    <w:rsid w:val="00AD421C"/>
    <w:rsid w:val="00AD44FA"/>
    <w:rsid w:val="00AE070A"/>
    <w:rsid w:val="00AE101C"/>
    <w:rsid w:val="00AE2A69"/>
    <w:rsid w:val="00AE37E5"/>
    <w:rsid w:val="00AE5EB4"/>
    <w:rsid w:val="00AE68E8"/>
    <w:rsid w:val="00AF0C18"/>
    <w:rsid w:val="00AF47C5"/>
    <w:rsid w:val="00AF5398"/>
    <w:rsid w:val="00B02015"/>
    <w:rsid w:val="00B038AF"/>
    <w:rsid w:val="00B049AF"/>
    <w:rsid w:val="00B05955"/>
    <w:rsid w:val="00B07242"/>
    <w:rsid w:val="00B10534"/>
    <w:rsid w:val="00B113DB"/>
    <w:rsid w:val="00B11D8A"/>
    <w:rsid w:val="00B12981"/>
    <w:rsid w:val="00B147DD"/>
    <w:rsid w:val="00B153E3"/>
    <w:rsid w:val="00B156FD"/>
    <w:rsid w:val="00B21F61"/>
    <w:rsid w:val="00B261F1"/>
    <w:rsid w:val="00B265BC"/>
    <w:rsid w:val="00B31FB1"/>
    <w:rsid w:val="00B33952"/>
    <w:rsid w:val="00B33C5E"/>
    <w:rsid w:val="00B34289"/>
    <w:rsid w:val="00B342F4"/>
    <w:rsid w:val="00B34369"/>
    <w:rsid w:val="00B34DC2"/>
    <w:rsid w:val="00B35BD4"/>
    <w:rsid w:val="00B378E5"/>
    <w:rsid w:val="00B4346D"/>
    <w:rsid w:val="00B440F4"/>
    <w:rsid w:val="00B447A5"/>
    <w:rsid w:val="00B4654C"/>
    <w:rsid w:val="00B47293"/>
    <w:rsid w:val="00B50E50"/>
    <w:rsid w:val="00B52120"/>
    <w:rsid w:val="00B54ABC"/>
    <w:rsid w:val="00B56FBE"/>
    <w:rsid w:val="00B60ACF"/>
    <w:rsid w:val="00B62B58"/>
    <w:rsid w:val="00B63BEF"/>
    <w:rsid w:val="00B65149"/>
    <w:rsid w:val="00B66567"/>
    <w:rsid w:val="00B66F52"/>
    <w:rsid w:val="00B66FE5"/>
    <w:rsid w:val="00B72880"/>
    <w:rsid w:val="00B758BF"/>
    <w:rsid w:val="00B77EC8"/>
    <w:rsid w:val="00B827A6"/>
    <w:rsid w:val="00B831CE"/>
    <w:rsid w:val="00B86677"/>
    <w:rsid w:val="00B87131"/>
    <w:rsid w:val="00B939B1"/>
    <w:rsid w:val="00B94727"/>
    <w:rsid w:val="00B94EB2"/>
    <w:rsid w:val="00B96D40"/>
    <w:rsid w:val="00B971CC"/>
    <w:rsid w:val="00B97386"/>
    <w:rsid w:val="00B9777D"/>
    <w:rsid w:val="00BA263B"/>
    <w:rsid w:val="00BA42B2"/>
    <w:rsid w:val="00BA58D4"/>
    <w:rsid w:val="00BA5B9E"/>
    <w:rsid w:val="00BA7C9A"/>
    <w:rsid w:val="00BB5F8F"/>
    <w:rsid w:val="00BB657A"/>
    <w:rsid w:val="00BC1A4E"/>
    <w:rsid w:val="00BC5DC7"/>
    <w:rsid w:val="00BC6B8B"/>
    <w:rsid w:val="00BC73D8"/>
    <w:rsid w:val="00BD52D7"/>
    <w:rsid w:val="00BD5AD2"/>
    <w:rsid w:val="00BD6E3F"/>
    <w:rsid w:val="00BE22F3"/>
    <w:rsid w:val="00BE3B15"/>
    <w:rsid w:val="00BE5B52"/>
    <w:rsid w:val="00BE7B8D"/>
    <w:rsid w:val="00BF0993"/>
    <w:rsid w:val="00BF10A9"/>
    <w:rsid w:val="00BF1703"/>
    <w:rsid w:val="00BF231C"/>
    <w:rsid w:val="00BF3A4B"/>
    <w:rsid w:val="00BF51E5"/>
    <w:rsid w:val="00BF5C72"/>
    <w:rsid w:val="00BF74A6"/>
    <w:rsid w:val="00C013AD"/>
    <w:rsid w:val="00C04904"/>
    <w:rsid w:val="00C056B3"/>
    <w:rsid w:val="00C103E5"/>
    <w:rsid w:val="00C13319"/>
    <w:rsid w:val="00C13EE9"/>
    <w:rsid w:val="00C17731"/>
    <w:rsid w:val="00C21540"/>
    <w:rsid w:val="00C21906"/>
    <w:rsid w:val="00C21BFA"/>
    <w:rsid w:val="00C24C8D"/>
    <w:rsid w:val="00C25FE2"/>
    <w:rsid w:val="00C26B53"/>
    <w:rsid w:val="00C279B2"/>
    <w:rsid w:val="00C33E50"/>
    <w:rsid w:val="00C34C20"/>
    <w:rsid w:val="00C35A3E"/>
    <w:rsid w:val="00C35D6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523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121"/>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6D12"/>
    <w:rsid w:val="00D27582"/>
    <w:rsid w:val="00D27EC4"/>
    <w:rsid w:val="00D32719"/>
    <w:rsid w:val="00D33333"/>
    <w:rsid w:val="00D352A2"/>
    <w:rsid w:val="00D4162B"/>
    <w:rsid w:val="00D41EE6"/>
    <w:rsid w:val="00D4514F"/>
    <w:rsid w:val="00D451E2"/>
    <w:rsid w:val="00D45E89"/>
    <w:rsid w:val="00D45E8D"/>
    <w:rsid w:val="00D466AE"/>
    <w:rsid w:val="00D4734F"/>
    <w:rsid w:val="00D51BF3"/>
    <w:rsid w:val="00D57985"/>
    <w:rsid w:val="00D66846"/>
    <w:rsid w:val="00D675FB"/>
    <w:rsid w:val="00D71F25"/>
    <w:rsid w:val="00D72A9C"/>
    <w:rsid w:val="00D77031"/>
    <w:rsid w:val="00D83E17"/>
    <w:rsid w:val="00D84941"/>
    <w:rsid w:val="00D84FA1"/>
    <w:rsid w:val="00D851F0"/>
    <w:rsid w:val="00D86285"/>
    <w:rsid w:val="00D86DB7"/>
    <w:rsid w:val="00D87BF5"/>
    <w:rsid w:val="00D90721"/>
    <w:rsid w:val="00D90BA8"/>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3CA"/>
    <w:rsid w:val="00DB38EE"/>
    <w:rsid w:val="00DB498B"/>
    <w:rsid w:val="00DB66CA"/>
    <w:rsid w:val="00DB6BCA"/>
    <w:rsid w:val="00DB6F54"/>
    <w:rsid w:val="00DB73F7"/>
    <w:rsid w:val="00DC0321"/>
    <w:rsid w:val="00DC3067"/>
    <w:rsid w:val="00DC370B"/>
    <w:rsid w:val="00DC5B90"/>
    <w:rsid w:val="00DC667F"/>
    <w:rsid w:val="00DD00FF"/>
    <w:rsid w:val="00DD0619"/>
    <w:rsid w:val="00DD07FB"/>
    <w:rsid w:val="00DD25C6"/>
    <w:rsid w:val="00DD4FE5"/>
    <w:rsid w:val="00DD54B0"/>
    <w:rsid w:val="00DD57EE"/>
    <w:rsid w:val="00DD6BCC"/>
    <w:rsid w:val="00DE0544"/>
    <w:rsid w:val="00DE0A4B"/>
    <w:rsid w:val="00DE2410"/>
    <w:rsid w:val="00DE2939"/>
    <w:rsid w:val="00DE6700"/>
    <w:rsid w:val="00DE6E81"/>
    <w:rsid w:val="00DE703F"/>
    <w:rsid w:val="00DE7595"/>
    <w:rsid w:val="00DF1961"/>
    <w:rsid w:val="00DF44DE"/>
    <w:rsid w:val="00E01138"/>
    <w:rsid w:val="00E02DFB"/>
    <w:rsid w:val="00E030F9"/>
    <w:rsid w:val="00E0311A"/>
    <w:rsid w:val="00E03138"/>
    <w:rsid w:val="00E06404"/>
    <w:rsid w:val="00E11A85"/>
    <w:rsid w:val="00E12495"/>
    <w:rsid w:val="00E1581D"/>
    <w:rsid w:val="00E15CCD"/>
    <w:rsid w:val="00E202EF"/>
    <w:rsid w:val="00E210B5"/>
    <w:rsid w:val="00E252F6"/>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1A56"/>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44E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5C8D"/>
    <w:rsid w:val="00F26B7E"/>
    <w:rsid w:val="00F27A3B"/>
    <w:rsid w:val="00F31DC5"/>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19C"/>
    <w:rsid w:val="00F833BA"/>
    <w:rsid w:val="00F84FD0"/>
    <w:rsid w:val="00F859A8"/>
    <w:rsid w:val="00F86D87"/>
    <w:rsid w:val="00F9108B"/>
    <w:rsid w:val="00F91349"/>
    <w:rsid w:val="00F93688"/>
    <w:rsid w:val="00F93A8A"/>
    <w:rsid w:val="00F95248"/>
    <w:rsid w:val="00F956A9"/>
    <w:rsid w:val="00F963ED"/>
    <w:rsid w:val="00F966CF"/>
    <w:rsid w:val="00F96CAE"/>
    <w:rsid w:val="00F97C99"/>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7E79"/>
    <w:rsid w:val="00FF3E7D"/>
    <w:rsid w:val="00FF5B99"/>
    <w:rsid w:val="00FF730C"/>
    <w:rsid w:val="00FF73F4"/>
    <w:rsid w:val="00FF7CE4"/>
    <w:rsid w:val="00FF7E39"/>
    <w:rsid w:val="11E42018"/>
    <w:rsid w:val="35823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47"/>
    <w:semiHidden/>
    <w:unhideWhenUsed/>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0"/>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uiPriority w:val="0"/>
    <w:rPr>
      <w:rFonts w:ascii="宋体" w:hAnsi="宋体" w:eastAsia="宋体" w:cs="Times New Roman"/>
      <w:spacing w:val="0"/>
      <w:sz w:val="18"/>
      <w:vertAlign w:val="superscript"/>
    </w:rPr>
  </w:style>
  <w:style w:type="character" w:customStyle="1" w:styleId="35">
    <w:name w:val="标题 1 Char"/>
    <w:link w:val="2"/>
    <w:qFormat/>
    <w:uiPriority w:val="0"/>
    <w:rPr>
      <w:rFonts w:ascii="Times New Roman" w:hAnsi="Times New Roman" w:eastAsia="宋体" w:cs="Times New Roman"/>
      <w:b/>
      <w:bCs/>
      <w:kern w:val="44"/>
      <w:sz w:val="44"/>
      <w:szCs w:val="44"/>
    </w:rPr>
  </w:style>
  <w:style w:type="character" w:customStyle="1" w:styleId="36">
    <w:name w:val="标题 2 Char"/>
    <w:link w:val="3"/>
    <w:qFormat/>
    <w:uiPriority w:val="0"/>
    <w:rPr>
      <w:rFonts w:ascii="Arial" w:hAnsi="Arial" w:eastAsia="黑体" w:cs="Times New Roman"/>
      <w:b/>
      <w:bCs/>
      <w:sz w:val="32"/>
      <w:szCs w:val="32"/>
    </w:rPr>
  </w:style>
  <w:style w:type="character" w:customStyle="1" w:styleId="37">
    <w:name w:val="标题 3 Char"/>
    <w:link w:val="4"/>
    <w:qFormat/>
    <w:uiPriority w:val="0"/>
    <w:rPr>
      <w:rFonts w:ascii="Times New Roman" w:hAnsi="Times New Roman" w:eastAsia="宋体" w:cs="Times New Roman"/>
      <w:b/>
      <w:bCs/>
      <w:sz w:val="32"/>
      <w:szCs w:val="32"/>
    </w:rPr>
  </w:style>
  <w:style w:type="character" w:customStyle="1" w:styleId="38">
    <w:name w:val="标题 4 Char"/>
    <w:link w:val="5"/>
    <w:qFormat/>
    <w:uiPriority w:val="0"/>
    <w:rPr>
      <w:rFonts w:ascii="Arial" w:hAnsi="Arial" w:eastAsia="黑体" w:cs="Times New Roman"/>
      <w:b/>
      <w:bCs/>
      <w:sz w:val="28"/>
      <w:szCs w:val="28"/>
    </w:rPr>
  </w:style>
  <w:style w:type="character" w:customStyle="1" w:styleId="39">
    <w:name w:val="标题 5 Char"/>
    <w:link w:val="6"/>
    <w:qFormat/>
    <w:uiPriority w:val="0"/>
    <w:rPr>
      <w:rFonts w:ascii="Times New Roman" w:hAnsi="Times New Roman" w:eastAsia="宋体" w:cs="Times New Roman"/>
      <w:b/>
      <w:bCs/>
      <w:sz w:val="28"/>
      <w:szCs w:val="28"/>
    </w:rPr>
  </w:style>
  <w:style w:type="character" w:customStyle="1" w:styleId="40">
    <w:name w:val="标题 6 Char"/>
    <w:link w:val="7"/>
    <w:qFormat/>
    <w:uiPriority w:val="0"/>
    <w:rPr>
      <w:rFonts w:ascii="Arial" w:hAnsi="Arial" w:eastAsia="黑体" w:cs="Times New Roman"/>
      <w:b/>
      <w:bCs/>
      <w:sz w:val="24"/>
      <w:szCs w:val="24"/>
    </w:rPr>
  </w:style>
  <w:style w:type="character" w:customStyle="1" w:styleId="41">
    <w:name w:val="标题 7 Char"/>
    <w:link w:val="8"/>
    <w:qFormat/>
    <w:uiPriority w:val="0"/>
    <w:rPr>
      <w:rFonts w:ascii="Times New Roman" w:hAnsi="Times New Roman" w:eastAsia="宋体" w:cs="Times New Roman"/>
      <w:b/>
      <w:bCs/>
      <w:sz w:val="24"/>
      <w:szCs w:val="24"/>
    </w:rPr>
  </w:style>
  <w:style w:type="character" w:customStyle="1" w:styleId="42">
    <w:name w:val="标题 8 Char"/>
    <w:link w:val="9"/>
    <w:qFormat/>
    <w:uiPriority w:val="0"/>
    <w:rPr>
      <w:rFonts w:ascii="Arial" w:hAnsi="Arial" w:eastAsia="黑体" w:cs="Times New Roman"/>
      <w:sz w:val="24"/>
      <w:szCs w:val="24"/>
    </w:rPr>
  </w:style>
  <w:style w:type="character" w:customStyle="1" w:styleId="43">
    <w:name w:val="标题 9 Char"/>
    <w:link w:val="10"/>
    <w:qFormat/>
    <w:uiPriority w:val="0"/>
    <w:rPr>
      <w:rFonts w:ascii="Arial" w:hAnsi="Arial" w:eastAsia="黑体" w:cs="Times New Roman"/>
      <w:szCs w:val="21"/>
    </w:rPr>
  </w:style>
  <w:style w:type="character" w:customStyle="1" w:styleId="44">
    <w:name w:val="页眉 Char"/>
    <w:link w:val="19"/>
    <w:uiPriority w:val="99"/>
    <w:rPr>
      <w:rFonts w:ascii="Times New Roman" w:hAnsi="Times New Roman" w:eastAsia="宋体" w:cs="Times New Roman"/>
      <w:sz w:val="18"/>
      <w:szCs w:val="18"/>
    </w:rPr>
  </w:style>
  <w:style w:type="character" w:customStyle="1" w:styleId="45">
    <w:name w:val="页脚 Char"/>
    <w:link w:val="18"/>
    <w:uiPriority w:val="99"/>
    <w:rPr>
      <w:rFonts w:ascii="宋体" w:hAnsi="Times New Roman" w:eastAsia="宋体" w:cs="Times New Roman"/>
      <w:sz w:val="18"/>
      <w:szCs w:val="18"/>
    </w:rPr>
  </w:style>
  <w:style w:type="character" w:customStyle="1" w:styleId="46">
    <w:name w:val="批注框文本 Char"/>
    <w:link w:val="17"/>
    <w:semiHidden/>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uiPriority w:val="29"/>
    <w:rPr>
      <w:i/>
      <w:iCs/>
      <w:color w:val="000000"/>
    </w:rPr>
  </w:style>
  <w:style w:type="character" w:customStyle="1" w:styleId="49">
    <w:name w:val="标题 Char"/>
    <w:link w:val="26"/>
    <w:uiPriority w:val="0"/>
    <w:rPr>
      <w:rFonts w:ascii="Arial" w:hAnsi="Arial" w:eastAsia="宋体" w:cs="Arial"/>
      <w:b/>
      <w:bCs/>
      <w:sz w:val="32"/>
      <w:szCs w:val="32"/>
    </w:rPr>
  </w:style>
  <w:style w:type="paragraph" w:customStyle="1" w:styleId="50">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uiPriority w:val="0"/>
    <w:pPr>
      <w:spacing w:line="0" w:lineRule="atLeast"/>
    </w:pPr>
    <w:rPr>
      <w:rFonts w:ascii="黑体" w:hAnsi="宋体" w:eastAsia="黑体"/>
    </w:rPr>
  </w:style>
  <w:style w:type="paragraph" w:customStyle="1" w:styleId="56">
    <w:name w:val="标准文件_标准正文"/>
    <w:basedOn w:val="1"/>
    <w:next w:val="57"/>
    <w:uiPriority w:val="0"/>
    <w:pPr>
      <w:snapToGrid w:val="0"/>
      <w:ind w:firstLine="200" w:firstLineChars="200"/>
    </w:pPr>
    <w:rPr>
      <w:kern w:val="0"/>
    </w:rPr>
  </w:style>
  <w:style w:type="paragraph" w:customStyle="1" w:styleId="57">
    <w:name w:val="标准文件_段"/>
    <w:link w:val="185"/>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uiPriority w:val="0"/>
    <w:pPr>
      <w:adjustRightInd/>
      <w:snapToGrid/>
      <w:ind w:firstLine="0" w:firstLineChars="0"/>
    </w:pPr>
    <w:rPr>
      <w:rFonts w:ascii="宋体" w:hAnsi="宋体"/>
      <w:kern w:val="2"/>
    </w:rPr>
  </w:style>
  <w:style w:type="paragraph" w:customStyle="1" w:styleId="59">
    <w:name w:val="标准文件_标准部门"/>
    <w:basedOn w:val="1"/>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uiPriority w:val="0"/>
    <w:pPr>
      <w:jc w:val="left"/>
    </w:pPr>
  </w:style>
  <w:style w:type="paragraph" w:customStyle="1" w:styleId="64">
    <w:name w:val="标准文件_参考文献标题"/>
    <w:basedOn w:val="1"/>
    <w:next w:val="1"/>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uiPriority w:val="0"/>
    <w:rPr>
      <w:rFonts w:ascii="黑体" w:eastAsia="黑体"/>
      <w:spacing w:val="0"/>
      <w:w w:val="100"/>
      <w:position w:val="3"/>
      <w:sz w:val="28"/>
    </w:rPr>
  </w:style>
  <w:style w:type="paragraph" w:customStyle="1" w:styleId="68">
    <w:name w:val="标准文件_方框数字列项"/>
    <w:basedOn w:val="57"/>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uiPriority w:val="0"/>
    <w:rPr>
      <w:rFonts w:ascii="Times New Roman" w:hAnsi="Times New Roman" w:eastAsia="宋体" w:cs="Times New Roman"/>
      <w:szCs w:val="20"/>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pPr>
  </w:style>
  <w:style w:type="paragraph" w:customStyle="1" w:styleId="92">
    <w:name w:val="标准文件_目录标题"/>
    <w:basedOn w:val="1"/>
    <w:uiPriority w:val="0"/>
    <w:pPr>
      <w:spacing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ind w:left="0" w:firstLine="200"/>
    </w:pPr>
  </w:style>
  <w:style w:type="paragraph" w:customStyle="1" w:styleId="95">
    <w:name w:val="标准文件_三级条标题"/>
    <w:basedOn w:val="66"/>
    <w:next w:val="57"/>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uiPriority w:val="0"/>
    <w:rPr>
      <w:rFonts w:ascii="宋体" w:hAnsi="Times New Roman" w:eastAsia="宋体" w:cs="Times New Roman"/>
      <w:sz w:val="18"/>
      <w:szCs w:val="18"/>
    </w:rPr>
  </w:style>
  <w:style w:type="paragraph" w:customStyle="1" w:styleId="101">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uiPriority w:val="0"/>
    <w:pPr>
      <w:numPr>
        <w:ilvl w:val="2"/>
      </w:numPr>
      <w:spacing w:beforeLines="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uiPriority w:val="0"/>
    <w:pPr>
      <w:spacing w:line="240" w:lineRule="auto"/>
    </w:pPr>
    <w:rPr>
      <w:rFonts w:ascii="宋体" w:hAnsi="宋体"/>
    </w:rPr>
  </w:style>
  <w:style w:type="paragraph" w:customStyle="1" w:styleId="147">
    <w:name w:val="目录 61"/>
    <w:basedOn w:val="1"/>
    <w:next w:val="1"/>
    <w:semiHidden/>
    <w:uiPriority w:val="0"/>
    <w:pPr>
      <w:adjustRightInd/>
      <w:spacing w:line="240" w:lineRule="auto"/>
      <w:jc w:val="left"/>
    </w:pPr>
  </w:style>
  <w:style w:type="paragraph" w:customStyle="1" w:styleId="148">
    <w:name w:val="目录 71"/>
    <w:basedOn w:val="147"/>
    <w:semiHidden/>
    <w:uiPriority w:val="0"/>
    <w:pPr>
      <w:ind w:left="1260"/>
    </w:pPr>
  </w:style>
  <w:style w:type="paragraph" w:customStyle="1" w:styleId="149">
    <w:name w:val="目录 81"/>
    <w:basedOn w:val="148"/>
    <w:semiHidden/>
    <w:uiPriority w:val="0"/>
    <w:pPr>
      <w:ind w:left="1470"/>
    </w:pPr>
  </w:style>
  <w:style w:type="paragraph" w:customStyle="1" w:styleId="150">
    <w:name w:val="目录 91"/>
    <w:basedOn w:val="149"/>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paragraph" w:customStyle="1" w:styleId="231">
    <w:name w:val="段"/>
    <w:link w:val="232"/>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basedOn w:val="29"/>
    <w:link w:val="231"/>
    <w:uiPriority w:val="0"/>
    <w:rPr>
      <w:rFonts w:ascii="宋体" w:hAnsi="Times New Roman"/>
      <w:sz w:val="21"/>
    </w:rPr>
  </w:style>
  <w:style w:type="paragraph" w:customStyle="1" w:styleId="233">
    <w:name w:val="一级条标题"/>
    <w:next w:val="231"/>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4">
    <w:name w:val="章标题"/>
    <w:next w:val="231"/>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231"/>
    <w:uiPriority w:val="0"/>
    <w:pPr>
      <w:numPr>
        <w:ilvl w:val="2"/>
      </w:numPr>
      <w:spacing w:before="50" w:after="50"/>
      <w:outlineLvl w:val="3"/>
    </w:pPr>
  </w:style>
  <w:style w:type="paragraph" w:customStyle="1" w:styleId="236">
    <w:name w:val="三级条标题"/>
    <w:basedOn w:val="235"/>
    <w:next w:val="231"/>
    <w:uiPriority w:val="0"/>
    <w:pPr>
      <w:numPr>
        <w:ilvl w:val="3"/>
      </w:numPr>
      <w:outlineLvl w:val="4"/>
    </w:pPr>
  </w:style>
  <w:style w:type="paragraph" w:customStyle="1" w:styleId="237">
    <w:name w:val="四级条标题"/>
    <w:basedOn w:val="236"/>
    <w:next w:val="231"/>
    <w:uiPriority w:val="0"/>
    <w:pPr>
      <w:numPr>
        <w:ilvl w:val="4"/>
      </w:numPr>
      <w:outlineLvl w:val="5"/>
    </w:pPr>
  </w:style>
  <w:style w:type="paragraph" w:customStyle="1" w:styleId="238">
    <w:name w:val="五级条标题"/>
    <w:basedOn w:val="237"/>
    <w:next w:val="231"/>
    <w:uiPriority w:val="0"/>
    <w:pPr>
      <w:numPr>
        <w:ilvl w:val="5"/>
      </w:numPr>
      <w:outlineLvl w:val="6"/>
    </w:pPr>
  </w:style>
  <w:style w:type="paragraph" w:customStyle="1" w:styleId="239">
    <w:name w:val="二级无"/>
    <w:basedOn w:val="235"/>
    <w:uiPriority w:val="0"/>
    <w:pPr>
      <w:spacing w:beforeLines="0" w:afterLines="0"/>
    </w:pPr>
    <w:rPr>
      <w:rFonts w:ascii="宋体" w:eastAsia="宋体"/>
    </w:rPr>
  </w:style>
  <w:style w:type="paragraph" w:customStyle="1" w:styleId="240">
    <w:name w:val="注：（正文）"/>
    <w:basedOn w:val="1"/>
    <w:next w:val="231"/>
    <w:uiPriority w:val="0"/>
    <w:pPr>
      <w:autoSpaceDE w:val="0"/>
      <w:autoSpaceDN w:val="0"/>
      <w:adjustRightInd/>
      <w:spacing w:line="240" w:lineRule="auto"/>
    </w:pPr>
    <w:rPr>
      <w:rFonts w:ascii="宋体" w:hAnsi="Times New Roman"/>
      <w:kern w:val="0"/>
      <w:sz w:val="18"/>
      <w:szCs w:val="18"/>
    </w:rPr>
  </w:style>
  <w:style w:type="paragraph" w:customStyle="1" w:styleId="241">
    <w:name w:val="正文表标题"/>
    <w:next w:val="231"/>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42">
    <w:name w:val="正文图标题"/>
    <w:next w:val="231"/>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43">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244">
    <w:name w:val="列项——（一级）"/>
    <w:uiPriority w:val="0"/>
    <w:pPr>
      <w:widowControl w:val="0"/>
      <w:ind w:left="833" w:hanging="408"/>
      <w:jc w:val="both"/>
    </w:pPr>
    <w:rPr>
      <w:rFonts w:ascii="宋体" w:hAnsi="Times New Roman" w:eastAsia="宋体" w:cs="Times New Roman"/>
      <w:sz w:val="21"/>
      <w:lang w:val="en-US" w:eastAsia="zh-CN" w:bidi="ar-SA"/>
    </w:rPr>
  </w:style>
  <w:style w:type="paragraph" w:customStyle="1" w:styleId="245">
    <w:name w:val="列项●（二级）"/>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46">
    <w:name w:val="列项◆（三级）"/>
    <w:basedOn w:val="1"/>
    <w:uiPriority w:val="0"/>
    <w:pPr>
      <w:tabs>
        <w:tab w:val="left" w:pos="1678"/>
      </w:tabs>
      <w:adjustRightInd/>
      <w:spacing w:line="240" w:lineRule="auto"/>
      <w:ind w:left="1678" w:hanging="414"/>
    </w:pPr>
    <w:rPr>
      <w:rFonts w:ascii="宋体" w:hAnsi="Times New Roman"/>
    </w:rPr>
  </w:style>
  <w:style w:type="character" w:customStyle="1" w:styleId="247">
    <w:name w:val="文档结构图 Char"/>
    <w:basedOn w:val="29"/>
    <w:link w:val="13"/>
    <w:semiHidden/>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237E082F646441E9FC4EB5D556C0E9F"/>
        <w:style w:val=""/>
        <w:category>
          <w:name w:val="常规"/>
          <w:gallery w:val="placeholder"/>
        </w:category>
        <w:types>
          <w:type w:val="bbPlcHdr"/>
        </w:types>
        <w:behaviors>
          <w:behavior w:val="content"/>
        </w:behaviors>
        <w:description w:val=""/>
        <w:guid w:val="{D62C0498-6877-4979-9470-01A714134CCF}"/>
      </w:docPartPr>
      <w:docPartBody>
        <w:p>
          <w:pPr>
            <w:pStyle w:val="5"/>
          </w:pPr>
          <w:r>
            <w:rPr>
              <w:rStyle w:val="4"/>
              <w:rFonts w:hint="eastAsia"/>
            </w:rPr>
            <w:t>单击或点击此处输入文字。</w:t>
          </w:r>
        </w:p>
      </w:docPartBody>
    </w:docPart>
    <w:docPart>
      <w:docPartPr>
        <w:name w:val="61D1A385FF1E4379A86726261A86E75C"/>
        <w:style w:val=""/>
        <w:category>
          <w:name w:val="常规"/>
          <w:gallery w:val="placeholder"/>
        </w:category>
        <w:types>
          <w:type w:val="bbPlcHdr"/>
        </w:types>
        <w:behaviors>
          <w:behavior w:val="content"/>
        </w:behaviors>
        <w:description w:val=""/>
        <w:guid w:val="{2D0992CC-55AD-488C-9AAF-869FE1A4D45F}"/>
      </w:docPartPr>
      <w:docPartBody>
        <w:p>
          <w:pPr>
            <w:pStyle w:val="6"/>
          </w:pPr>
          <w:r>
            <w:rPr>
              <w:rStyle w:val="4"/>
              <w:rFonts w:hint="eastAsia"/>
            </w:rPr>
            <w:t>选择一项。</w:t>
          </w:r>
        </w:p>
      </w:docPartBody>
    </w:docPart>
    <w:docPart>
      <w:docPartPr>
        <w:name w:val="4067AAD4720B4E9194A780F83E175049"/>
        <w:style w:val=""/>
        <w:category>
          <w:name w:val="常规"/>
          <w:gallery w:val="placeholder"/>
        </w:category>
        <w:types>
          <w:type w:val="bbPlcHdr"/>
        </w:types>
        <w:behaviors>
          <w:behavior w:val="content"/>
        </w:behaviors>
        <w:description w:val=""/>
        <w:guid w:val="{1113A286-D637-424F-AB83-1B673D103D3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1D0D90"/>
    <w:rsid w:val="00297E37"/>
    <w:rsid w:val="002F24DE"/>
    <w:rsid w:val="00363016"/>
    <w:rsid w:val="00396EA4"/>
    <w:rsid w:val="003B019E"/>
    <w:rsid w:val="00490147"/>
    <w:rsid w:val="00646891"/>
    <w:rsid w:val="007C624B"/>
    <w:rsid w:val="007E1F05"/>
    <w:rsid w:val="0082426A"/>
    <w:rsid w:val="00911D16"/>
    <w:rsid w:val="00965630"/>
    <w:rsid w:val="00B36EAF"/>
    <w:rsid w:val="00D54F24"/>
    <w:rsid w:val="00DD6C03"/>
    <w:rsid w:val="00F10422"/>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237E082F646441E9FC4EB5D556C0E9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1D1A385FF1E4379A86726261A86E75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067AAD4720B4E9194A780F83E17504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02BDEF-48A7-41D6-A103-FA63D3D8865F}">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10</Pages>
  <Words>507</Words>
  <Characters>2892</Characters>
  <Lines>24</Lines>
  <Paragraphs>6</Paragraphs>
  <TotalTime>0</TotalTime>
  <ScaleCrop>false</ScaleCrop>
  <LinksUpToDate>false</LinksUpToDate>
  <CharactersWithSpaces>3393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2021-07-23T06:46:00Z</dcterms:created>
  <dc:creator>sxl</dc:creator>
  <dc:description>&lt;config cover="true" show_menu="true" version="1.0.0" doctype="SDKXY"&gt;_x000d_
&lt;/config&gt;</dc:description>
  <cp:lastModifiedBy>Administrator</cp:lastModifiedBy>
  <cp:lastPrinted>2021-07-27T05:03:00Z</cp:lastPrinted>
  <dcterms:modified xsi:type="dcterms:W3CDTF">2021-08-06T09:13:57Z</dcterms:modified>
  <dc:title>团体标准</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2052-11.1.0.10700</vt:lpwstr>
  </property>
  <property fmtid="{D5CDD505-2E9C-101B-9397-08002B2CF9AE}" pid="15" name="ICV">
    <vt:lpwstr>9999B08E44E74DB09BB3E17FB4F7FE9C</vt:lpwstr>
  </property>
  <property fmtid="{D5CDD505-2E9C-101B-9397-08002B2CF9AE}" pid="16" name="DoublePage">
    <vt:lpwstr>true</vt:lpwstr>
  </property>
</Properties>
</file>