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84585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45851">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0940E6">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95A9413" wp14:editId="72EF62F6">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4B461D4" wp14:editId="7719F746">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45851">
                    <w:rPr>
                      <w:rFonts w:hint="eastAsia"/>
                    </w:rPr>
                    <w:t>GXAS</w:t>
                  </w:r>
                  <w:r w:rsidR="009C3257">
                    <w:fldChar w:fldCharType="end"/>
                  </w:r>
                  <w:bookmarkEnd w:id="1"/>
                </w:p>
              </w:tc>
            </w:tr>
          </w:tbl>
          <w:p w:rsidR="00FB231D" w:rsidRPr="00672BFD" w:rsidRDefault="00672BFD" w:rsidP="0084585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45851">
              <w:rPr>
                <w:rFonts w:ascii="黑体" w:eastAsia="黑体" w:hAnsi="黑体" w:hint="eastAsia"/>
                <w:sz w:val="21"/>
                <w:szCs w:val="21"/>
              </w:rPr>
              <w:t>B 13</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45851">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0940E6">
        <w:rPr>
          <w:rFonts w:hint="eastAsia"/>
        </w:rPr>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9B9C110" wp14:editId="463073A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45851" w:rsidRPr="00845851">
        <w:rPr>
          <w:rFonts w:hint="eastAsia"/>
        </w:rPr>
        <w:t>柑橘园间作冬绿肥生产与利用技术规程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45851"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845851">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845851">
        <w:rPr>
          <w:rFonts w:ascii="黑体" w:eastAsia="黑体" w:hAnsi="黑体"/>
          <w:noProof/>
          <w:szCs w:val="28"/>
        </w:rPr>
        <w:instrText xml:space="preserve"> FORMTEXT </w:instrText>
      </w:r>
      <w:r w:rsidRPr="00845851">
        <w:rPr>
          <w:rFonts w:ascii="黑体" w:eastAsia="黑体" w:hAnsi="黑体"/>
          <w:noProof/>
          <w:szCs w:val="28"/>
        </w:rPr>
      </w:r>
      <w:r w:rsidRPr="00845851">
        <w:rPr>
          <w:rFonts w:ascii="黑体" w:eastAsia="黑体" w:hAnsi="黑体"/>
          <w:noProof/>
          <w:szCs w:val="28"/>
        </w:rPr>
        <w:fldChar w:fldCharType="separate"/>
      </w:r>
      <w:r w:rsidR="00845851" w:rsidRPr="00845851">
        <w:rPr>
          <w:rFonts w:ascii="黑体" w:eastAsia="黑体" w:hAnsi="黑体"/>
          <w:noProof/>
          <w:szCs w:val="28"/>
        </w:rPr>
        <w:t>Code of practice for the production and utilization of winter green manure in citrus orchards</w:t>
      </w:r>
      <w:r w:rsidRPr="00845851">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F1092E">
        <w:rPr>
          <w:noProof/>
          <w:sz w:val="24"/>
          <w:szCs w:val="28"/>
        </w:rPr>
      </w:r>
      <w:r w:rsidR="00F1092E">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F1092E">
        <w:rPr>
          <w:b/>
          <w:noProof/>
          <w:sz w:val="21"/>
          <w:szCs w:val="28"/>
        </w:rPr>
      </w:r>
      <w:r w:rsidR="00F1092E">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45851">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31EC0">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BD1BCA3" wp14:editId="483E936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45851" w:rsidRDefault="00845851" w:rsidP="00845851">
      <w:pPr>
        <w:pStyle w:val="a6"/>
        <w:spacing w:after="360"/>
      </w:pPr>
      <w:bookmarkStart w:id="21" w:name="BookMark2"/>
      <w:r w:rsidRPr="00845851">
        <w:rPr>
          <w:spacing w:val="320"/>
        </w:rPr>
        <w:lastRenderedPageBreak/>
        <w:t>前</w:t>
      </w:r>
      <w:r>
        <w:t>言</w:t>
      </w:r>
    </w:p>
    <w:p w:rsidR="00845851" w:rsidRDefault="00845851" w:rsidP="00845851">
      <w:pPr>
        <w:pStyle w:val="affff6"/>
        <w:ind w:firstLine="420"/>
      </w:pPr>
      <w:r>
        <w:rPr>
          <w:rFonts w:hint="eastAsia"/>
        </w:rPr>
        <w:t>本文件按照GB/T 1.1—2020《标准化工作导则  第1部分：标准化文件的结构和起草规则》的规定起草。</w:t>
      </w:r>
    </w:p>
    <w:p w:rsidR="00845851" w:rsidRPr="00845851" w:rsidRDefault="00845851" w:rsidP="00845851">
      <w:pPr>
        <w:pStyle w:val="affff6"/>
        <w:ind w:firstLine="420"/>
      </w:pPr>
      <w:r w:rsidRPr="00845851">
        <w:rPr>
          <w:rFonts w:hint="eastAsia"/>
        </w:rPr>
        <w:t>请注意本文件的某些内容可能涉及专利。本文件的发布机构不承担识别专利的责任。</w:t>
      </w:r>
    </w:p>
    <w:p w:rsidR="00845851" w:rsidRDefault="00845851" w:rsidP="00845851">
      <w:pPr>
        <w:pStyle w:val="affff6"/>
        <w:ind w:firstLine="420"/>
      </w:pPr>
      <w:r>
        <w:rPr>
          <w:rFonts w:hint="eastAsia"/>
        </w:rPr>
        <w:t>本文件由</w:t>
      </w:r>
      <w:r w:rsidRPr="00845851">
        <w:rPr>
          <w:rFonts w:hint="eastAsia"/>
        </w:rPr>
        <w:t>广西壮族自治区农业科学院</w:t>
      </w:r>
      <w:r>
        <w:rPr>
          <w:rFonts w:hint="eastAsia"/>
        </w:rPr>
        <w:t>提出。</w:t>
      </w:r>
    </w:p>
    <w:p w:rsidR="00845851" w:rsidRDefault="00845851" w:rsidP="00845851">
      <w:pPr>
        <w:pStyle w:val="affff6"/>
        <w:ind w:firstLine="420"/>
      </w:pPr>
      <w:r>
        <w:rPr>
          <w:rFonts w:hint="eastAsia"/>
        </w:rPr>
        <w:t>本文件起草单位：</w:t>
      </w:r>
      <w:r w:rsidRPr="00845851">
        <w:rPr>
          <w:rFonts w:hint="eastAsia"/>
        </w:rPr>
        <w:t>广西壮族自治区农业科学院农业资源与环境研究所</w:t>
      </w:r>
      <w:r w:rsidR="00C31EC0">
        <w:rPr>
          <w:rFonts w:hint="eastAsia"/>
        </w:rPr>
        <w:t>。</w:t>
      </w:r>
    </w:p>
    <w:p w:rsidR="00845851" w:rsidRDefault="00845851" w:rsidP="00845851">
      <w:pPr>
        <w:pStyle w:val="affff6"/>
        <w:ind w:firstLine="420"/>
      </w:pPr>
      <w:r>
        <w:rPr>
          <w:rFonts w:hint="eastAsia"/>
        </w:rPr>
        <w:t>本文件主要起草人：</w:t>
      </w:r>
      <w:r w:rsidRPr="00845851">
        <w:rPr>
          <w:rFonts w:hint="eastAsia"/>
        </w:rPr>
        <w:t>唐红琴、李忠义、何铁光、韦彩会、董文斌、蒙炎成</w:t>
      </w:r>
      <w:r>
        <w:rPr>
          <w:rFonts w:hint="eastAsia"/>
        </w:rPr>
        <w:t>。</w:t>
      </w:r>
    </w:p>
    <w:p w:rsidR="00845851" w:rsidRDefault="00845851" w:rsidP="00845851">
      <w:pPr>
        <w:pStyle w:val="affff6"/>
        <w:ind w:firstLine="420"/>
      </w:pPr>
    </w:p>
    <w:p w:rsidR="00845851" w:rsidRPr="00845851" w:rsidRDefault="00845851" w:rsidP="00845851">
      <w:pPr>
        <w:pStyle w:val="affff6"/>
        <w:ind w:firstLine="420"/>
        <w:sectPr w:rsidR="00845851" w:rsidRPr="00845851" w:rsidSect="00C31EC0">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linePitch="312"/>
        </w:sectPr>
      </w:pPr>
      <w:bookmarkStart w:id="22" w:name="_GoBack"/>
      <w:bookmarkEnd w:id="22"/>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C6A7D9075374E9D84E408A36111DAD9"/>
        </w:placeholder>
      </w:sdtPr>
      <w:sdtEndPr/>
      <w:sdtContent>
        <w:bookmarkStart w:id="24" w:name="NEW_STAND_NAME" w:displacedByCustomXml="prev"/>
        <w:p w:rsidR="00F26B7E" w:rsidRPr="00F26B7E" w:rsidRDefault="00845851" w:rsidP="00845851">
          <w:pPr>
            <w:pStyle w:val="afffffffff1"/>
            <w:spacing w:beforeLines="100" w:before="240" w:afterLines="220" w:after="528"/>
          </w:pPr>
          <w:r>
            <w:rPr>
              <w:rFonts w:hint="eastAsia"/>
            </w:rPr>
            <w:t>柑橘园间作冬绿肥生产与利用技术规程</w:t>
          </w:r>
        </w:p>
      </w:sdtContent>
    </w:sdt>
    <w:bookmarkEnd w:id="24" w:displacedByCustomXml="prev"/>
    <w:p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rsidR="00845851" w:rsidRDefault="00845851" w:rsidP="00845851">
      <w:pPr>
        <w:pStyle w:val="affff6"/>
        <w:ind w:firstLine="420"/>
      </w:pPr>
      <w:bookmarkStart w:id="33" w:name="_Toc17233326"/>
      <w:bookmarkStart w:id="34" w:name="_Toc17233334"/>
      <w:bookmarkStart w:id="35" w:name="_Toc24884212"/>
      <w:bookmarkStart w:id="36" w:name="_Toc24884219"/>
      <w:bookmarkStart w:id="37" w:name="_Toc26648466"/>
      <w:r>
        <w:rPr>
          <w:rFonts w:hAnsi="宋体" w:hint="eastAsia"/>
        </w:rPr>
        <w:t>本文件规定了广西柑橘园间作冬绿肥轻简栽培、还田利用等技术要求。</w:t>
      </w:r>
    </w:p>
    <w:p w:rsidR="00845851" w:rsidRPr="00845851" w:rsidRDefault="00845851" w:rsidP="00845851">
      <w:pPr>
        <w:pStyle w:val="affff6"/>
        <w:ind w:firstLine="420"/>
      </w:pPr>
      <w:r>
        <w:rPr>
          <w:rFonts w:hAnsi="宋体" w:hint="eastAsia"/>
        </w:rPr>
        <w:t>本文件适用于广西境内及相似生态气候区的幼龄柑橘园。</w:t>
      </w:r>
    </w:p>
    <w:p w:rsidR="00E2552F" w:rsidRDefault="00E2552F" w:rsidP="00A77CCB">
      <w:pPr>
        <w:pStyle w:val="affc"/>
        <w:spacing w:before="240" w:after="240"/>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22EB353920544CB18B3CB01CD6C55F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45851" w:rsidRDefault="00845851" w:rsidP="00845851">
      <w:pPr>
        <w:pStyle w:val="affff6"/>
        <w:ind w:firstLine="420"/>
      </w:pPr>
      <w:r>
        <w:rPr>
          <w:rFonts w:hint="eastAsia"/>
        </w:rPr>
        <w:t>GB 8080  绿肥种子</w:t>
      </w:r>
    </w:p>
    <w:p w:rsidR="00AA6EC9" w:rsidRPr="00845851" w:rsidRDefault="00845851" w:rsidP="00845851">
      <w:pPr>
        <w:pStyle w:val="affff6"/>
        <w:ind w:firstLine="420"/>
      </w:pPr>
      <w:r>
        <w:rPr>
          <w:rFonts w:hint="eastAsia"/>
        </w:rPr>
        <w:t>NY/T 975  柑橘栽培技术规程</w:t>
      </w:r>
    </w:p>
    <w:p w:rsidR="00B265BC" w:rsidRPr="00E030F9" w:rsidRDefault="00FD59EB" w:rsidP="00FD59EB">
      <w:pPr>
        <w:pStyle w:val="affc"/>
        <w:spacing w:before="240" w:after="240"/>
      </w:pPr>
      <w:r>
        <w:rPr>
          <w:rFonts w:hint="eastAsia"/>
          <w:szCs w:val="21"/>
        </w:rPr>
        <w:t>术语和定义</w:t>
      </w:r>
    </w:p>
    <w:bookmarkStart w:id="41" w:name="_Toc26986532"/>
    <w:bookmarkEnd w:id="41"/>
    <w:p w:rsidR="00845851" w:rsidRDefault="00F1092E" w:rsidP="00845851">
      <w:pPr>
        <w:pStyle w:val="affff6"/>
        <w:ind w:firstLine="420"/>
      </w:pPr>
      <w:sdt>
        <w:sdtPr>
          <w:id w:val="-1909835108"/>
          <w:placeholder>
            <w:docPart w:val="786FFA6BDFD343C9925B003032F6C6E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845851">
            <w:t>下列术语和定义适用于本文件。</w:t>
          </w:r>
        </w:sdtContent>
      </w:sdt>
    </w:p>
    <w:p w:rsidR="00845851" w:rsidRPr="00845851" w:rsidRDefault="00845851" w:rsidP="00845851">
      <w:pPr>
        <w:pStyle w:val="affffffffffe"/>
        <w:ind w:left="420" w:hangingChars="200" w:hanging="420"/>
        <w:rPr>
          <w:rFonts w:ascii="黑体" w:eastAsia="黑体" w:hAnsi="黑体"/>
        </w:rPr>
      </w:pPr>
      <w:r w:rsidRPr="00845851">
        <w:rPr>
          <w:rFonts w:ascii="黑体" w:eastAsia="黑体" w:hAnsi="黑体"/>
        </w:rPr>
        <w:br/>
      </w:r>
      <w:r w:rsidRPr="00845851">
        <w:rPr>
          <w:rFonts w:ascii="黑体" w:eastAsia="黑体" w:hAnsi="黑体" w:hint="eastAsia"/>
        </w:rPr>
        <w:t>绿肥及绿肥作物</w:t>
      </w:r>
      <w:r>
        <w:rPr>
          <w:rFonts w:ascii="黑体" w:eastAsia="黑体" w:hAnsi="黑体" w:hint="eastAsia"/>
        </w:rPr>
        <w:t xml:space="preserve">  g</w:t>
      </w:r>
      <w:r w:rsidRPr="00845851">
        <w:rPr>
          <w:rFonts w:ascii="黑体" w:eastAsia="黑体" w:hAnsi="黑体" w:hint="eastAsia"/>
        </w:rPr>
        <w:t>reen manure crop and green manure</w:t>
      </w:r>
    </w:p>
    <w:p w:rsidR="00845851" w:rsidRDefault="00845851" w:rsidP="00845851">
      <w:pPr>
        <w:pStyle w:val="affff6"/>
        <w:ind w:firstLine="420"/>
      </w:pPr>
      <w:r>
        <w:rPr>
          <w:rFonts w:hint="eastAsia"/>
        </w:rPr>
        <w:t>一些作物，可以利用其生长过程中所产生的全部或部分鲜体，直接或间接翻压稻土壤中作肥料；或者是通过它们与主作物的间套轮作，起到促进主作物生长、改善土壤性状等作用。这些作物称之为绿肥作物，其鲜体称之为绿肥。</w:t>
      </w:r>
    </w:p>
    <w:p w:rsidR="00845851" w:rsidRDefault="00845851" w:rsidP="00845851">
      <w:pPr>
        <w:pStyle w:val="affc"/>
        <w:spacing w:before="240" w:after="240"/>
      </w:pPr>
      <w:r>
        <w:rPr>
          <w:rFonts w:hint="eastAsia"/>
        </w:rPr>
        <w:t>柑橘栽培技术</w:t>
      </w:r>
    </w:p>
    <w:p w:rsidR="00845851" w:rsidRDefault="00845851" w:rsidP="00845851">
      <w:pPr>
        <w:pStyle w:val="affff6"/>
        <w:ind w:firstLine="420"/>
      </w:pPr>
      <w:r>
        <w:rPr>
          <w:rFonts w:hint="eastAsia"/>
        </w:rPr>
        <w:t>柑橘栽培与管理技术按NY/T 975的规定执行。</w:t>
      </w:r>
    </w:p>
    <w:p w:rsidR="00845851" w:rsidRDefault="00845851" w:rsidP="00845851">
      <w:pPr>
        <w:pStyle w:val="affc"/>
        <w:spacing w:before="240" w:after="240"/>
      </w:pPr>
      <w:r>
        <w:rPr>
          <w:rFonts w:hint="eastAsia"/>
        </w:rPr>
        <w:t>绿肥间作</w:t>
      </w:r>
    </w:p>
    <w:p w:rsidR="00845851" w:rsidRDefault="00845851" w:rsidP="00845851">
      <w:pPr>
        <w:pStyle w:val="affd"/>
        <w:spacing w:before="120" w:after="120"/>
      </w:pPr>
      <w:r>
        <w:rPr>
          <w:rFonts w:hint="eastAsia"/>
        </w:rPr>
        <w:t>品种选择</w:t>
      </w:r>
    </w:p>
    <w:p w:rsidR="00845851" w:rsidRDefault="00845851" w:rsidP="00845851">
      <w:pPr>
        <w:pStyle w:val="affff6"/>
        <w:ind w:firstLine="420"/>
      </w:pPr>
      <w:r>
        <w:rPr>
          <w:rFonts w:hint="eastAsia"/>
        </w:rPr>
        <w:t>根据各地土壤类型、光热水等因素选择适宜的绿肥品种，以光叶苕子为宜。</w:t>
      </w:r>
    </w:p>
    <w:p w:rsidR="00845851" w:rsidRDefault="00845851" w:rsidP="00845851">
      <w:pPr>
        <w:pStyle w:val="affd"/>
        <w:spacing w:before="120" w:after="120"/>
      </w:pPr>
      <w:r>
        <w:rPr>
          <w:rFonts w:hint="eastAsia"/>
        </w:rPr>
        <w:t>种子处理</w:t>
      </w:r>
    </w:p>
    <w:p w:rsidR="00845851" w:rsidRDefault="00845851" w:rsidP="00845851">
      <w:pPr>
        <w:pStyle w:val="affe"/>
        <w:spacing w:before="120" w:after="120"/>
      </w:pPr>
      <w:r>
        <w:rPr>
          <w:rFonts w:hint="eastAsia"/>
        </w:rPr>
        <w:t>种子质量要求</w:t>
      </w:r>
    </w:p>
    <w:p w:rsidR="00845851" w:rsidRDefault="00845851" w:rsidP="00845851">
      <w:pPr>
        <w:pStyle w:val="affff6"/>
        <w:ind w:firstLine="420"/>
      </w:pPr>
      <w:r>
        <w:rPr>
          <w:rFonts w:hint="eastAsia"/>
        </w:rPr>
        <w:t>光叶苕子种子质量应符合GB 8080中大田用种标准。</w:t>
      </w:r>
    </w:p>
    <w:p w:rsidR="00845851" w:rsidRDefault="00845851" w:rsidP="00845851">
      <w:pPr>
        <w:pStyle w:val="affe"/>
        <w:spacing w:before="120" w:after="120"/>
      </w:pPr>
      <w:r>
        <w:rPr>
          <w:rFonts w:hint="eastAsia"/>
        </w:rPr>
        <w:t>晒种</w:t>
      </w:r>
    </w:p>
    <w:p w:rsidR="00845851" w:rsidRDefault="00845851" w:rsidP="00845851">
      <w:pPr>
        <w:pStyle w:val="affff6"/>
        <w:ind w:firstLine="420"/>
      </w:pPr>
      <w:r>
        <w:rPr>
          <w:rFonts w:hint="eastAsia"/>
        </w:rPr>
        <w:t>播种前选择晴天在阳光下晒种4</w:t>
      </w:r>
      <w:r w:rsidRPr="00845851">
        <w:rPr>
          <w:rFonts w:hint="eastAsia"/>
          <w:vertAlign w:val="superscript"/>
        </w:rPr>
        <w:t xml:space="preserve"> </w:t>
      </w:r>
      <w:r>
        <w:rPr>
          <w:rFonts w:hint="eastAsia"/>
        </w:rPr>
        <w:t>h～6</w:t>
      </w:r>
      <w:r w:rsidRPr="00845851">
        <w:rPr>
          <w:rFonts w:hint="eastAsia"/>
          <w:vertAlign w:val="superscript"/>
        </w:rPr>
        <w:t xml:space="preserve"> </w:t>
      </w:r>
      <w:r>
        <w:rPr>
          <w:rFonts w:hint="eastAsia"/>
        </w:rPr>
        <w:t>h。</w:t>
      </w:r>
    </w:p>
    <w:p w:rsidR="00845851" w:rsidRDefault="00845851" w:rsidP="00845851">
      <w:pPr>
        <w:pStyle w:val="affd"/>
        <w:spacing w:before="120" w:after="120"/>
      </w:pPr>
      <w:r>
        <w:rPr>
          <w:rFonts w:hint="eastAsia"/>
        </w:rPr>
        <w:t>播种</w:t>
      </w:r>
    </w:p>
    <w:p w:rsidR="00845851" w:rsidRDefault="00845851" w:rsidP="00845851">
      <w:pPr>
        <w:pStyle w:val="affe"/>
        <w:spacing w:before="120" w:after="120"/>
      </w:pPr>
      <w:r>
        <w:rPr>
          <w:rFonts w:hint="eastAsia"/>
        </w:rPr>
        <w:t>播种量</w:t>
      </w:r>
    </w:p>
    <w:p w:rsidR="00845851" w:rsidRDefault="00845851" w:rsidP="00845851">
      <w:pPr>
        <w:pStyle w:val="affff6"/>
        <w:ind w:firstLine="420"/>
      </w:pPr>
      <w:r>
        <w:rPr>
          <w:rFonts w:hint="eastAsia"/>
        </w:rPr>
        <w:t>柑橘园间作冬绿肥以幼龄柑橘园为宜，光叶苕子播种量以22.5</w:t>
      </w:r>
      <w:r w:rsidRPr="00845851">
        <w:rPr>
          <w:rFonts w:hint="eastAsia"/>
          <w:vertAlign w:val="superscript"/>
        </w:rPr>
        <w:t xml:space="preserve"> </w:t>
      </w:r>
      <w:r>
        <w:rPr>
          <w:rFonts w:hint="eastAsia"/>
        </w:rPr>
        <w:t>kg/hm</w:t>
      </w:r>
      <w:r>
        <w:rPr>
          <w:rFonts w:hint="eastAsia"/>
          <w:vertAlign w:val="superscript"/>
        </w:rPr>
        <w:t>2</w:t>
      </w:r>
      <w:r>
        <w:rPr>
          <w:rFonts w:hint="eastAsia"/>
        </w:rPr>
        <w:t>～30</w:t>
      </w:r>
      <w:r w:rsidRPr="00845851">
        <w:rPr>
          <w:rFonts w:hint="eastAsia"/>
          <w:vertAlign w:val="superscript"/>
        </w:rPr>
        <w:t xml:space="preserve"> </w:t>
      </w:r>
      <w:r>
        <w:rPr>
          <w:rFonts w:hint="eastAsia"/>
        </w:rPr>
        <w:t>kg/hm</w:t>
      </w:r>
      <w:r>
        <w:rPr>
          <w:rFonts w:hint="eastAsia"/>
          <w:vertAlign w:val="superscript"/>
        </w:rPr>
        <w:t>2</w:t>
      </w:r>
      <w:r>
        <w:rPr>
          <w:rFonts w:hint="eastAsia"/>
        </w:rPr>
        <w:t>为宜。</w:t>
      </w:r>
    </w:p>
    <w:p w:rsidR="00845851" w:rsidRDefault="00845851" w:rsidP="00845851">
      <w:pPr>
        <w:pStyle w:val="affe"/>
        <w:spacing w:before="120" w:after="120"/>
      </w:pPr>
      <w:r>
        <w:rPr>
          <w:rFonts w:hint="eastAsia"/>
        </w:rPr>
        <w:t>播种期</w:t>
      </w:r>
    </w:p>
    <w:p w:rsidR="00845851" w:rsidRDefault="00845851" w:rsidP="00845851">
      <w:pPr>
        <w:pStyle w:val="affff6"/>
        <w:ind w:firstLine="420"/>
      </w:pPr>
      <w:r>
        <w:rPr>
          <w:rFonts w:hint="eastAsia"/>
        </w:rPr>
        <w:t>在10月上旬至11月上旬阴雨天气播种。</w:t>
      </w:r>
    </w:p>
    <w:p w:rsidR="00C31EC0" w:rsidRDefault="00C31EC0" w:rsidP="00845851">
      <w:pPr>
        <w:pStyle w:val="affff6"/>
        <w:ind w:firstLine="420"/>
      </w:pPr>
    </w:p>
    <w:p w:rsidR="00845851" w:rsidRDefault="00845851" w:rsidP="00845851">
      <w:pPr>
        <w:pStyle w:val="affe"/>
        <w:spacing w:before="120" w:after="120"/>
      </w:pPr>
      <w:r>
        <w:rPr>
          <w:rFonts w:hint="eastAsia"/>
        </w:rPr>
        <w:lastRenderedPageBreak/>
        <w:t>播种方法</w:t>
      </w:r>
    </w:p>
    <w:p w:rsidR="00845851" w:rsidRDefault="00845851" w:rsidP="00845851">
      <w:pPr>
        <w:pStyle w:val="affff6"/>
        <w:ind w:firstLine="420"/>
      </w:pPr>
      <w:r>
        <w:rPr>
          <w:rFonts w:hint="eastAsia"/>
        </w:rPr>
        <w:t>距柑橘树滴水线10</w:t>
      </w:r>
      <w:r w:rsidRPr="00845851">
        <w:rPr>
          <w:rFonts w:hint="eastAsia"/>
          <w:vertAlign w:val="superscript"/>
        </w:rPr>
        <w:t xml:space="preserve"> </w:t>
      </w:r>
      <w:r>
        <w:rPr>
          <w:rFonts w:hint="eastAsia"/>
        </w:rPr>
        <w:t>cm，撒播或条播。撒播即在柑橘行间均匀地撒散。条播即均匀地播成长条状，行距20</w:t>
      </w:r>
      <w:r w:rsidRPr="00845851">
        <w:rPr>
          <w:rFonts w:hint="eastAsia"/>
          <w:vertAlign w:val="superscript"/>
        </w:rPr>
        <w:t xml:space="preserve"> </w:t>
      </w:r>
      <w:r>
        <w:rPr>
          <w:rFonts w:hint="eastAsia"/>
        </w:rPr>
        <w:t>cm～30</w:t>
      </w:r>
      <w:r w:rsidRPr="00845851">
        <w:rPr>
          <w:rFonts w:hint="eastAsia"/>
          <w:vertAlign w:val="superscript"/>
        </w:rPr>
        <w:t xml:space="preserve"> </w:t>
      </w:r>
      <w:r>
        <w:rPr>
          <w:rFonts w:hint="eastAsia"/>
        </w:rPr>
        <w:t>cm，播后要覆土2</w:t>
      </w:r>
      <w:r w:rsidRPr="00845851">
        <w:rPr>
          <w:rFonts w:hint="eastAsia"/>
          <w:vertAlign w:val="superscript"/>
        </w:rPr>
        <w:t xml:space="preserve"> </w:t>
      </w:r>
      <w:r>
        <w:rPr>
          <w:rFonts w:hint="eastAsia"/>
        </w:rPr>
        <w:t>cm～3</w:t>
      </w:r>
      <w:r w:rsidRPr="00845851">
        <w:rPr>
          <w:rFonts w:hint="eastAsia"/>
          <w:vertAlign w:val="superscript"/>
        </w:rPr>
        <w:t xml:space="preserve"> </w:t>
      </w:r>
      <w:r>
        <w:rPr>
          <w:rFonts w:hint="eastAsia"/>
        </w:rPr>
        <w:t>cm。</w:t>
      </w:r>
    </w:p>
    <w:p w:rsidR="00845851" w:rsidRDefault="00845851" w:rsidP="00845851">
      <w:pPr>
        <w:pStyle w:val="affc"/>
        <w:spacing w:before="240" w:after="240"/>
      </w:pPr>
      <w:r>
        <w:rPr>
          <w:rFonts w:hint="eastAsia"/>
        </w:rPr>
        <w:t>绿肥田间管理</w:t>
      </w:r>
    </w:p>
    <w:p w:rsidR="00845851" w:rsidRDefault="00845851" w:rsidP="00845851">
      <w:pPr>
        <w:pStyle w:val="affd"/>
        <w:spacing w:before="120" w:after="120"/>
      </w:pPr>
      <w:r>
        <w:rPr>
          <w:rFonts w:hint="eastAsia"/>
        </w:rPr>
        <w:t>追肥</w:t>
      </w:r>
    </w:p>
    <w:p w:rsidR="00845851" w:rsidRDefault="00845851" w:rsidP="00845851">
      <w:pPr>
        <w:pStyle w:val="affff6"/>
        <w:ind w:firstLine="420"/>
      </w:pPr>
      <w:r>
        <w:rPr>
          <w:rFonts w:hint="eastAsia"/>
        </w:rPr>
        <w:t>土壤肥力中等以上的地块，可不需追肥；但地力条件较差的地块，可在分枝期追肥1次，补施钙镁磷肥75</w:t>
      </w:r>
      <w:r w:rsidRPr="00845851">
        <w:rPr>
          <w:rFonts w:hint="eastAsia"/>
          <w:vertAlign w:val="superscript"/>
        </w:rPr>
        <w:t xml:space="preserve"> </w:t>
      </w:r>
      <w:r>
        <w:rPr>
          <w:rFonts w:hint="eastAsia"/>
        </w:rPr>
        <w:t>kg/hm</w:t>
      </w:r>
      <w:r>
        <w:rPr>
          <w:rFonts w:hint="eastAsia"/>
          <w:vertAlign w:val="superscript"/>
        </w:rPr>
        <w:t>2</w:t>
      </w:r>
      <w:r>
        <w:rPr>
          <w:rFonts w:hint="eastAsia"/>
        </w:rPr>
        <w:t>～150</w:t>
      </w:r>
      <w:r w:rsidRPr="00845851">
        <w:rPr>
          <w:rFonts w:hint="eastAsia"/>
          <w:vertAlign w:val="superscript"/>
        </w:rPr>
        <w:t xml:space="preserve"> </w:t>
      </w:r>
      <w:r>
        <w:rPr>
          <w:rFonts w:hint="eastAsia"/>
        </w:rPr>
        <w:t>kg/hm</w:t>
      </w:r>
      <w:r>
        <w:rPr>
          <w:rFonts w:hint="eastAsia"/>
          <w:vertAlign w:val="superscript"/>
        </w:rPr>
        <w:t>2</w:t>
      </w:r>
      <w:r>
        <w:rPr>
          <w:rFonts w:hint="eastAsia"/>
        </w:rPr>
        <w:t>。</w:t>
      </w:r>
    </w:p>
    <w:p w:rsidR="00845851" w:rsidRDefault="00845851" w:rsidP="00845851">
      <w:pPr>
        <w:pStyle w:val="affd"/>
        <w:spacing w:before="120" w:after="120"/>
      </w:pPr>
      <w:r>
        <w:rPr>
          <w:rFonts w:hint="eastAsia"/>
        </w:rPr>
        <w:t>病虫害防治</w:t>
      </w:r>
    </w:p>
    <w:p w:rsidR="00845851" w:rsidRDefault="00845851" w:rsidP="00845851">
      <w:pPr>
        <w:pStyle w:val="affe"/>
        <w:spacing w:before="120" w:after="120"/>
      </w:pPr>
      <w:r>
        <w:rPr>
          <w:rFonts w:hint="eastAsia"/>
        </w:rPr>
        <w:t>病害</w:t>
      </w:r>
    </w:p>
    <w:p w:rsidR="00845851" w:rsidRDefault="00845851" w:rsidP="00845851">
      <w:pPr>
        <w:pStyle w:val="affff6"/>
        <w:ind w:firstLine="420"/>
      </w:pPr>
      <w:r>
        <w:rPr>
          <w:rFonts w:hint="eastAsia"/>
        </w:rPr>
        <w:t>主要有菌核病、白粉病。可用70％甲基硫菌灵可湿性粉剂800～1</w:t>
      </w:r>
      <w:r w:rsidRPr="00845851">
        <w:rPr>
          <w:rFonts w:hint="eastAsia"/>
          <w:vertAlign w:val="superscript"/>
        </w:rPr>
        <w:t xml:space="preserve"> </w:t>
      </w:r>
      <w:r>
        <w:rPr>
          <w:rFonts w:hint="eastAsia"/>
        </w:rPr>
        <w:t>000倍液或65％甲霉灵可湿性粉剂800～1</w:t>
      </w:r>
      <w:r w:rsidRPr="00845851">
        <w:rPr>
          <w:rFonts w:hint="eastAsia"/>
          <w:vertAlign w:val="superscript"/>
        </w:rPr>
        <w:t xml:space="preserve"> </w:t>
      </w:r>
      <w:r>
        <w:rPr>
          <w:rFonts w:hint="eastAsia"/>
        </w:rPr>
        <w:t>000倍液防治菌核病，50％多菌灵可湿性粉剂800～1</w:t>
      </w:r>
      <w:r w:rsidRPr="00845851">
        <w:rPr>
          <w:rFonts w:hint="eastAsia"/>
          <w:vertAlign w:val="superscript"/>
        </w:rPr>
        <w:t xml:space="preserve"> </w:t>
      </w:r>
      <w:r>
        <w:rPr>
          <w:rFonts w:hint="eastAsia"/>
        </w:rPr>
        <w:t>000倍或1.5％三唑酮可湿性粉剂1</w:t>
      </w:r>
      <w:r w:rsidRPr="00845851">
        <w:rPr>
          <w:rFonts w:hint="eastAsia"/>
          <w:vertAlign w:val="superscript"/>
        </w:rPr>
        <w:t xml:space="preserve"> </w:t>
      </w:r>
      <w:r>
        <w:rPr>
          <w:rFonts w:hint="eastAsia"/>
        </w:rPr>
        <w:t>000～1</w:t>
      </w:r>
      <w:r w:rsidRPr="00845851">
        <w:rPr>
          <w:rFonts w:hint="eastAsia"/>
          <w:vertAlign w:val="superscript"/>
        </w:rPr>
        <w:t xml:space="preserve"> </w:t>
      </w:r>
      <w:r>
        <w:rPr>
          <w:rFonts w:hint="eastAsia"/>
        </w:rPr>
        <w:t>500倍防治白粉病。</w:t>
      </w:r>
    </w:p>
    <w:p w:rsidR="00845851" w:rsidRDefault="00845851" w:rsidP="00845851">
      <w:pPr>
        <w:pStyle w:val="affe"/>
        <w:spacing w:before="120" w:after="120"/>
      </w:pPr>
      <w:r>
        <w:rPr>
          <w:rFonts w:hint="eastAsia"/>
        </w:rPr>
        <w:t>虫害</w:t>
      </w:r>
    </w:p>
    <w:p w:rsidR="00845851" w:rsidRDefault="00845851" w:rsidP="00845851">
      <w:pPr>
        <w:pStyle w:val="affff6"/>
        <w:ind w:firstLine="420"/>
      </w:pPr>
      <w:r>
        <w:rPr>
          <w:rFonts w:hint="eastAsia"/>
        </w:rPr>
        <w:t>虫害主要有蚜虫、蓟马。可用50％吡蚜酮水分散性粒剂1</w:t>
      </w:r>
      <w:r w:rsidRPr="00845851">
        <w:rPr>
          <w:rFonts w:hint="eastAsia"/>
          <w:vertAlign w:val="superscript"/>
        </w:rPr>
        <w:t xml:space="preserve"> </w:t>
      </w:r>
      <w:r>
        <w:rPr>
          <w:rFonts w:hint="eastAsia"/>
        </w:rPr>
        <w:t>000～1</w:t>
      </w:r>
      <w:r w:rsidRPr="00845851">
        <w:rPr>
          <w:rFonts w:hint="eastAsia"/>
          <w:vertAlign w:val="superscript"/>
        </w:rPr>
        <w:t xml:space="preserve"> </w:t>
      </w:r>
      <w:r>
        <w:rPr>
          <w:rFonts w:hint="eastAsia"/>
        </w:rPr>
        <w:t>500倍或50％辛硫磷乳油1</w:t>
      </w:r>
      <w:r w:rsidRPr="00845851">
        <w:rPr>
          <w:rFonts w:hint="eastAsia"/>
          <w:vertAlign w:val="superscript"/>
        </w:rPr>
        <w:t xml:space="preserve"> </w:t>
      </w:r>
      <w:r>
        <w:rPr>
          <w:rFonts w:hint="eastAsia"/>
        </w:rPr>
        <w:t>000倍防治蚜虫和蓟马。</w:t>
      </w:r>
    </w:p>
    <w:p w:rsidR="00845851" w:rsidRDefault="00845851" w:rsidP="00845851">
      <w:pPr>
        <w:pStyle w:val="affc"/>
        <w:spacing w:before="240" w:after="240"/>
      </w:pPr>
      <w:r>
        <w:rPr>
          <w:rFonts w:hint="eastAsia"/>
        </w:rPr>
        <w:t>绿肥翻压</w:t>
      </w:r>
    </w:p>
    <w:p w:rsidR="00845851" w:rsidRDefault="00845851" w:rsidP="00845851">
      <w:pPr>
        <w:pStyle w:val="affff6"/>
        <w:ind w:firstLine="420"/>
      </w:pPr>
      <w:r>
        <w:rPr>
          <w:rFonts w:hint="eastAsia"/>
        </w:rPr>
        <w:t>机械化程度高的地区可采用机械翻压，翻压时期以盛花期为宜；坡耕地、丘陵区等机械化程度低的地区可采用地表自然腐解的方式。</w:t>
      </w:r>
    </w:p>
    <w:p w:rsidR="00845851" w:rsidRDefault="00845851" w:rsidP="00845851">
      <w:pPr>
        <w:pStyle w:val="affc"/>
        <w:spacing w:before="240" w:after="240"/>
      </w:pPr>
      <w:r>
        <w:rPr>
          <w:rFonts w:hint="eastAsia"/>
        </w:rPr>
        <w:t>柑橘施肥管理</w:t>
      </w:r>
    </w:p>
    <w:p w:rsidR="00845851" w:rsidRDefault="00845851" w:rsidP="00845851">
      <w:pPr>
        <w:pStyle w:val="affff6"/>
        <w:ind w:firstLine="420"/>
      </w:pPr>
      <w:r>
        <w:rPr>
          <w:rFonts w:hint="eastAsia"/>
        </w:rPr>
        <w:t>柑橘施肥应按NY/T 975的规定执行，翻压绿肥后减施20％的氮肥用量。</w:t>
      </w:r>
    </w:p>
    <w:p w:rsidR="009273B3" w:rsidRDefault="00845851" w:rsidP="00845851">
      <w:pPr>
        <w:pStyle w:val="affff6"/>
        <w:ind w:firstLineChars="0" w:firstLine="0"/>
        <w:jc w:val="center"/>
      </w:pPr>
      <w:bookmarkStart w:id="42" w:name="BookMark8"/>
      <w:bookmarkEnd w:id="23"/>
      <w:r>
        <w:drawing>
          <wp:inline distT="0" distB="0" distL="0" distR="0" wp14:anchorId="460C8D83" wp14:editId="6A9DAD62">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485900" cy="317500"/>
                    </a:xfrm>
                    <a:prstGeom prst="rect">
                      <a:avLst/>
                    </a:prstGeom>
                  </pic:spPr>
                </pic:pic>
              </a:graphicData>
            </a:graphic>
          </wp:inline>
        </w:drawing>
      </w:r>
      <w:bookmarkEnd w:id="42"/>
    </w:p>
    <w:sectPr w:rsidR="009273B3" w:rsidSect="00C31EC0">
      <w:headerReference w:type="even" r:id="rId22"/>
      <w:headerReference w:type="default" r:id="rId23"/>
      <w:footerReference w:type="even" r:id="rId24"/>
      <w:footerReference w:type="default" r:id="rId25"/>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92E" w:rsidRDefault="00F1092E" w:rsidP="00D86DB7">
      <w:r>
        <w:separator/>
      </w:r>
    </w:p>
    <w:p w:rsidR="00F1092E" w:rsidRDefault="00F1092E"/>
    <w:p w:rsidR="00F1092E" w:rsidRDefault="00F1092E"/>
  </w:endnote>
  <w:endnote w:type="continuationSeparator" w:id="0">
    <w:p w:rsidR="00F1092E" w:rsidRDefault="00F1092E" w:rsidP="00D86DB7">
      <w:r>
        <w:continuationSeparator/>
      </w:r>
    </w:p>
    <w:p w:rsidR="00F1092E" w:rsidRDefault="00F1092E"/>
    <w:p w:rsidR="00F1092E" w:rsidRDefault="00F10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C0" w:rsidRPr="00C31EC0" w:rsidRDefault="00C31EC0" w:rsidP="00C31EC0">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31EC0">
    <w:pPr>
      <w:pStyle w:val="affff3"/>
    </w:pPr>
    <w:r>
      <w:fldChar w:fldCharType="begin"/>
    </w:r>
    <w:r>
      <w:instrText>PAGE   \* MERGEFORMAT</w:instrText>
    </w:r>
    <w:r>
      <w:fldChar w:fldCharType="separate"/>
    </w:r>
    <w:r w:rsidR="000940E6" w:rsidRPr="000940E6">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C0" w:rsidRPr="00C31EC0" w:rsidRDefault="00C31EC0" w:rsidP="00C31EC0">
    <w:pPr>
      <w:pStyle w:val="affff2"/>
    </w:pPr>
    <w:r>
      <w:fldChar w:fldCharType="begin"/>
    </w:r>
    <w:r>
      <w:instrText xml:space="preserve"> PAGE   \* MERGEFORMAT \* MERGEFORMAT </w:instrText>
    </w:r>
    <w:r>
      <w:fldChar w:fldCharType="separate"/>
    </w:r>
    <w:r w:rsidR="000940E6">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C0" w:rsidRDefault="00C31EC0" w:rsidP="00C31EC0">
    <w:pPr>
      <w:pStyle w:val="affff3"/>
    </w:pPr>
    <w:r>
      <w:fldChar w:fldCharType="begin"/>
    </w:r>
    <w:r>
      <w:instrText>PAGE   \* MERGEFORMAT</w:instrText>
    </w:r>
    <w:r>
      <w:fldChar w:fldCharType="separate"/>
    </w:r>
    <w:r w:rsidR="000940E6" w:rsidRPr="000940E6">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92E" w:rsidRDefault="00F1092E" w:rsidP="00D86DB7">
      <w:r>
        <w:separator/>
      </w:r>
    </w:p>
  </w:footnote>
  <w:footnote w:type="continuationSeparator" w:id="0">
    <w:p w:rsidR="00F1092E" w:rsidRDefault="00F1092E" w:rsidP="00D86DB7">
      <w:r>
        <w:continuationSeparator/>
      </w:r>
    </w:p>
    <w:p w:rsidR="00F1092E" w:rsidRDefault="00F1092E"/>
    <w:p w:rsidR="00F1092E" w:rsidRDefault="00F109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C31EC0" w:rsidRDefault="00C31EC0" w:rsidP="00C31EC0">
    <w:pPr>
      <w:pStyle w:val="affffc"/>
    </w:pPr>
    <w:r>
      <w:fldChar w:fldCharType="begin"/>
    </w:r>
    <w:r>
      <w:instrText xml:space="preserve"> STYLEREF  标准文件_文件编号 \* MERGEFORMAT </w:instrText>
    </w:r>
    <w:r>
      <w:fldChar w:fldCharType="separate"/>
    </w:r>
    <w:r>
      <w:t>T/XXX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C31EC0">
    <w:pPr>
      <w:pStyle w:val="affffb"/>
    </w:pPr>
    <w:r>
      <w:fldChar w:fldCharType="begin"/>
    </w:r>
    <w:r>
      <w:instrText xml:space="preserve"> STYLEREF  标准文件_文件编号  \* MERGEFORMAT </w:instrText>
    </w:r>
    <w:r>
      <w:fldChar w:fldCharType="separate"/>
    </w:r>
    <w:r w:rsidR="000940E6">
      <w:t>T/GXAS XXXX</w:t>
    </w:r>
    <w:r w:rsidR="000940E6">
      <w:t>—</w:t>
    </w:r>
    <w:r w:rsidR="000940E6">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C0" w:rsidRPr="00C31EC0" w:rsidRDefault="00C31EC0" w:rsidP="00C31EC0">
    <w:pPr>
      <w:pStyle w:val="affffc"/>
    </w:pPr>
    <w:r>
      <w:fldChar w:fldCharType="begin"/>
    </w:r>
    <w:r>
      <w:instrText xml:space="preserve"> STYLEREF  标准文件_文件编号 \* MERGEFORMAT </w:instrText>
    </w:r>
    <w:r>
      <w:fldChar w:fldCharType="separate"/>
    </w:r>
    <w:r w:rsidR="000940E6">
      <w:t>T/GXAS XXXX</w:t>
    </w:r>
    <w:r w:rsidR="000940E6">
      <w:t>—</w:t>
    </w:r>
    <w:r w:rsidR="000940E6">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EC0" w:rsidRPr="00D84FA1" w:rsidRDefault="00C31EC0" w:rsidP="00C31EC0">
    <w:pPr>
      <w:pStyle w:val="affffb"/>
    </w:pPr>
    <w:r>
      <w:fldChar w:fldCharType="begin"/>
    </w:r>
    <w:r>
      <w:instrText xml:space="preserve"> STYLEREF  标准文件_文件编号  \* MERGEFORMAT </w:instrText>
    </w:r>
    <w:r>
      <w:fldChar w:fldCharType="separate"/>
    </w:r>
    <w:r w:rsidR="000940E6">
      <w:t>T/GXAS XXXX</w:t>
    </w:r>
    <w:r w:rsidR="000940E6">
      <w:t>—</w:t>
    </w:r>
    <w:r w:rsidR="000940E6">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32.45pt;height:33.3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2D47425D"/>
    <w:multiLevelType w:val="multilevel"/>
    <w:tmpl w:val="6A18892E"/>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1D76A3C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0"/>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SxN93kn+UWiCgI3oH2/BkWoqFho=" w:salt="sEf7FwQVIxRgVmn1QPcEq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85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0E6"/>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D36"/>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4C2"/>
    <w:rsid w:val="00840617"/>
    <w:rsid w:val="00840F84"/>
    <w:rsid w:val="00842A47"/>
    <w:rsid w:val="00843C13"/>
    <w:rsid w:val="008454F8"/>
    <w:rsid w:val="00845851"/>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EC0"/>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92E"/>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88A"/>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正文1"/>
    <w:rsid w:val="00845851"/>
    <w:pPr>
      <w:jc w:val="both"/>
    </w:pPr>
    <w:rPr>
      <w:rFonts w:cs="宋体"/>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正文1"/>
    <w:rsid w:val="00845851"/>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276">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86105341">
      <w:bodyDiv w:val="1"/>
      <w:marLeft w:val="0"/>
      <w:marRight w:val="0"/>
      <w:marTop w:val="0"/>
      <w:marBottom w:val="0"/>
      <w:divBdr>
        <w:top w:val="none" w:sz="0" w:space="0" w:color="auto"/>
        <w:left w:val="none" w:sz="0" w:space="0" w:color="auto"/>
        <w:bottom w:val="none" w:sz="0" w:space="0" w:color="auto"/>
        <w:right w:val="none" w:sz="0" w:space="0" w:color="auto"/>
      </w:divBdr>
    </w:div>
    <w:div w:id="781262717">
      <w:bodyDiv w:val="1"/>
      <w:marLeft w:val="0"/>
      <w:marRight w:val="0"/>
      <w:marTop w:val="0"/>
      <w:marBottom w:val="0"/>
      <w:divBdr>
        <w:top w:val="none" w:sz="0" w:space="0" w:color="auto"/>
        <w:left w:val="none" w:sz="0" w:space="0" w:color="auto"/>
        <w:bottom w:val="none" w:sz="0" w:space="0" w:color="auto"/>
        <w:right w:val="none" w:sz="0" w:space="0" w:color="auto"/>
      </w:divBdr>
    </w:div>
    <w:div w:id="933979371">
      <w:bodyDiv w:val="1"/>
      <w:marLeft w:val="0"/>
      <w:marRight w:val="0"/>
      <w:marTop w:val="0"/>
      <w:marBottom w:val="0"/>
      <w:divBdr>
        <w:top w:val="none" w:sz="0" w:space="0" w:color="auto"/>
        <w:left w:val="none" w:sz="0" w:space="0" w:color="auto"/>
        <w:bottom w:val="none" w:sz="0" w:space="0" w:color="auto"/>
        <w:right w:val="none" w:sz="0" w:space="0" w:color="auto"/>
      </w:divBdr>
    </w:div>
    <w:div w:id="1161969164">
      <w:bodyDiv w:val="1"/>
      <w:marLeft w:val="0"/>
      <w:marRight w:val="0"/>
      <w:marTop w:val="0"/>
      <w:marBottom w:val="0"/>
      <w:divBdr>
        <w:top w:val="none" w:sz="0" w:space="0" w:color="auto"/>
        <w:left w:val="none" w:sz="0" w:space="0" w:color="auto"/>
        <w:bottom w:val="none" w:sz="0" w:space="0" w:color="auto"/>
        <w:right w:val="none" w:sz="0" w:space="0" w:color="auto"/>
      </w:divBdr>
    </w:div>
    <w:div w:id="1354184014">
      <w:bodyDiv w:val="1"/>
      <w:marLeft w:val="0"/>
      <w:marRight w:val="0"/>
      <w:marTop w:val="0"/>
      <w:marBottom w:val="0"/>
      <w:divBdr>
        <w:top w:val="none" w:sz="0" w:space="0" w:color="auto"/>
        <w:left w:val="none" w:sz="0" w:space="0" w:color="auto"/>
        <w:bottom w:val="none" w:sz="0" w:space="0" w:color="auto"/>
        <w:right w:val="none" w:sz="0" w:space="0" w:color="auto"/>
      </w:divBdr>
    </w:div>
    <w:div w:id="1363825785">
      <w:bodyDiv w:val="1"/>
      <w:marLeft w:val="0"/>
      <w:marRight w:val="0"/>
      <w:marTop w:val="0"/>
      <w:marBottom w:val="0"/>
      <w:divBdr>
        <w:top w:val="none" w:sz="0" w:space="0" w:color="auto"/>
        <w:left w:val="none" w:sz="0" w:space="0" w:color="auto"/>
        <w:bottom w:val="none" w:sz="0" w:space="0" w:color="auto"/>
        <w:right w:val="none" w:sz="0" w:space="0" w:color="auto"/>
      </w:divBdr>
    </w:div>
    <w:div w:id="1983728494">
      <w:bodyDiv w:val="1"/>
      <w:marLeft w:val="0"/>
      <w:marRight w:val="0"/>
      <w:marTop w:val="0"/>
      <w:marBottom w:val="0"/>
      <w:divBdr>
        <w:top w:val="none" w:sz="0" w:space="0" w:color="auto"/>
        <w:left w:val="none" w:sz="0" w:space="0" w:color="auto"/>
        <w:bottom w:val="none" w:sz="0" w:space="0" w:color="auto"/>
        <w:right w:val="none" w:sz="0" w:space="0" w:color="auto"/>
      </w:divBdr>
    </w:div>
    <w:div w:id="209750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C6A7D9075374E9D84E408A36111DAD9"/>
        <w:category>
          <w:name w:val="常规"/>
          <w:gallery w:val="placeholder"/>
        </w:category>
        <w:types>
          <w:type w:val="bbPlcHdr"/>
        </w:types>
        <w:behaviors>
          <w:behavior w:val="content"/>
        </w:behaviors>
        <w:guid w:val="{A4F9A64F-7380-41D8-9703-7C5C0849807F}"/>
      </w:docPartPr>
      <w:docPartBody>
        <w:p w:rsidR="00DB1797" w:rsidRDefault="00346D1D">
          <w:pPr>
            <w:pStyle w:val="FC6A7D9075374E9D84E408A36111DAD9"/>
          </w:pPr>
          <w:r w:rsidRPr="00751A05">
            <w:rPr>
              <w:rStyle w:val="a3"/>
              <w:rFonts w:hint="eastAsia"/>
            </w:rPr>
            <w:t>单击或点击此处输入文字。</w:t>
          </w:r>
        </w:p>
      </w:docPartBody>
    </w:docPart>
    <w:docPart>
      <w:docPartPr>
        <w:name w:val="22EB353920544CB18B3CB01CD6C55F69"/>
        <w:category>
          <w:name w:val="常规"/>
          <w:gallery w:val="placeholder"/>
        </w:category>
        <w:types>
          <w:type w:val="bbPlcHdr"/>
        </w:types>
        <w:behaviors>
          <w:behavior w:val="content"/>
        </w:behaviors>
        <w:guid w:val="{BB09E1EE-A317-407F-BA92-54AF44938F18}"/>
      </w:docPartPr>
      <w:docPartBody>
        <w:p w:rsidR="00DB1797" w:rsidRDefault="00346D1D">
          <w:pPr>
            <w:pStyle w:val="22EB353920544CB18B3CB01CD6C55F69"/>
          </w:pPr>
          <w:r w:rsidRPr="00FB6243">
            <w:rPr>
              <w:rStyle w:val="a3"/>
              <w:rFonts w:hint="eastAsia"/>
            </w:rPr>
            <w:t>选择一项。</w:t>
          </w:r>
        </w:p>
      </w:docPartBody>
    </w:docPart>
    <w:docPart>
      <w:docPartPr>
        <w:name w:val="786FFA6BDFD343C9925B003032F6C6E5"/>
        <w:category>
          <w:name w:val="常规"/>
          <w:gallery w:val="placeholder"/>
        </w:category>
        <w:types>
          <w:type w:val="bbPlcHdr"/>
        </w:types>
        <w:behaviors>
          <w:behavior w:val="content"/>
        </w:behaviors>
        <w:guid w:val="{F9916AE0-6D37-4EB4-94D2-C1FEDFD79A4C}"/>
      </w:docPartPr>
      <w:docPartBody>
        <w:p w:rsidR="00DB1797" w:rsidRDefault="00346D1D">
          <w:pPr>
            <w:pStyle w:val="786FFA6BDFD343C9925B003032F6C6E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D1D"/>
    <w:rsid w:val="00346D1D"/>
    <w:rsid w:val="00421AD2"/>
    <w:rsid w:val="008C059E"/>
    <w:rsid w:val="00DB1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C6A7D9075374E9D84E408A36111DAD9">
    <w:name w:val="FC6A7D9075374E9D84E408A36111DAD9"/>
    <w:pPr>
      <w:widowControl w:val="0"/>
      <w:jc w:val="both"/>
    </w:pPr>
  </w:style>
  <w:style w:type="paragraph" w:customStyle="1" w:styleId="22EB353920544CB18B3CB01CD6C55F69">
    <w:name w:val="22EB353920544CB18B3CB01CD6C55F69"/>
    <w:pPr>
      <w:widowControl w:val="0"/>
      <w:jc w:val="both"/>
    </w:pPr>
  </w:style>
  <w:style w:type="paragraph" w:customStyle="1" w:styleId="786FFA6BDFD343C9925B003032F6C6E5">
    <w:name w:val="786FFA6BDFD343C9925B003032F6C6E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C6A7D9075374E9D84E408A36111DAD9">
    <w:name w:val="FC6A7D9075374E9D84E408A36111DAD9"/>
    <w:pPr>
      <w:widowControl w:val="0"/>
      <w:jc w:val="both"/>
    </w:pPr>
  </w:style>
  <w:style w:type="paragraph" w:customStyle="1" w:styleId="22EB353920544CB18B3CB01CD6C55F69">
    <w:name w:val="22EB353920544CB18B3CB01CD6C55F69"/>
    <w:pPr>
      <w:widowControl w:val="0"/>
      <w:jc w:val="both"/>
    </w:pPr>
  </w:style>
  <w:style w:type="paragraph" w:customStyle="1" w:styleId="786FFA6BDFD343C9925B003032F6C6E5">
    <w:name w:val="786FFA6BDFD343C9925B003032F6C6E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69BC9-C905-4A64-AFB2-DC677B5A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TotalTime>
  <Pages>6</Pages>
  <Words>794</Words>
  <Characters>986</Characters>
  <Application>Microsoft Office Word</Application>
  <DocSecurity>0</DocSecurity>
  <Lines>65</Lines>
  <Paragraphs>77</Paragraphs>
  <ScaleCrop>false</ScaleCrop>
  <Company>PCMI</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微软用户</cp:lastModifiedBy>
  <cp:revision>4</cp:revision>
  <cp:lastPrinted>2021-02-02T08:22:00Z</cp:lastPrinted>
  <dcterms:created xsi:type="dcterms:W3CDTF">2021-04-07T11:25:00Z</dcterms:created>
  <dcterms:modified xsi:type="dcterms:W3CDTF">2021-04-07T11:36:00Z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