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rPr>
                      <w:lang w:bidi="th-TH"/>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lang w:bidi="th-TH"/>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B47</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xml:space="preserve">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th-TH"/>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桑树嫁接繁育技术规程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Code of practice of mulberry grafting propagation</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rPr>
          <w:rFonts w:ascii="黑体" w:hAnsi="黑体" w:eastAsia="黑体"/>
        </w:rPr>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（本草案完成时间：2021.08）</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lang w:bidi="th-TH"/>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360"/>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本文件由广西壮族自治区蚕业技术推广站提出并宣贯。</w:t>
      </w:r>
    </w:p>
    <w:p>
      <w:pPr>
        <w:pStyle w:val="56"/>
        <w:ind w:firstLine="420"/>
      </w:pPr>
      <w:r>
        <w:rPr>
          <w:rFonts w:hint="eastAsia"/>
        </w:rPr>
        <w:t>本文件起草单位：广西壮族自治区蚕业技术推广站。</w:t>
      </w:r>
    </w:p>
    <w:p>
      <w:pPr>
        <w:pStyle w:val="56"/>
        <w:ind w:firstLine="420"/>
      </w:pPr>
      <w:r>
        <w:rPr>
          <w:rFonts w:hint="eastAsia"/>
        </w:rPr>
        <w:t>本文件主要起草人：邱长玉、林强、崔秋英、李</w:t>
      </w:r>
      <w:r>
        <w:t>标、</w:t>
      </w:r>
      <w:r>
        <w:rPr>
          <w:rFonts w:hint="eastAsia"/>
        </w:rPr>
        <w:t>唐燕梅、李韬、张朝华、朱方容、朱光书、曾燕蓉、刘丹、陆晓媚、冉艳萍。</w:t>
      </w:r>
    </w:p>
    <w:p>
      <w:pPr>
        <w:pStyle w:val="56"/>
        <w:ind w:firstLine="420"/>
      </w:pPr>
    </w:p>
    <w:p>
      <w:pPr>
        <w:pStyle w:val="56"/>
        <w:ind w:firstLine="420"/>
      </w:pPr>
    </w:p>
    <w:p>
      <w:pPr>
        <w:pStyle w:val="56"/>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FD31DF8A9CDA4E4B81B6D1832B49630B"/>
        </w:placeholder>
      </w:sdtPr>
      <w:sdtContent>
        <w:p>
          <w:pPr>
            <w:pStyle w:val="177"/>
            <w:spacing w:before="240" w:beforeLines="100" w:after="528" w:afterLines="220"/>
          </w:pPr>
          <w:bookmarkStart w:id="23" w:name="NEW_STAND_NAME"/>
          <w:r>
            <w:rPr>
              <w:rFonts w:hint="eastAsia"/>
            </w:rPr>
            <w:t>桑树嫁接繁育技术规程</w:t>
          </w:r>
        </w:p>
      </w:sdtContent>
    </w:sdt>
    <w:bookmarkEnd w:id="23"/>
    <w:p>
      <w:pPr>
        <w:pStyle w:val="104"/>
        <w:spacing w:before="240" w:after="240"/>
      </w:pPr>
      <w:bookmarkStart w:id="24" w:name="_Toc17233333"/>
      <w:bookmarkStart w:id="25" w:name="_Toc26986771"/>
      <w:bookmarkStart w:id="26" w:name="_Toc26986530"/>
      <w:bookmarkStart w:id="27" w:name="_Toc24884218"/>
      <w:bookmarkStart w:id="28" w:name="_Toc17233325"/>
      <w:bookmarkStart w:id="29" w:name="_Toc26648465"/>
      <w:bookmarkStart w:id="30" w:name="_Toc26718930"/>
      <w:bookmarkStart w:id="31" w:name="_Toc24884211"/>
      <w:r>
        <w:rPr>
          <w:rFonts w:hint="eastAsia"/>
        </w:rPr>
        <w:t>范围</w:t>
      </w:r>
      <w:bookmarkEnd w:id="24"/>
      <w:bookmarkEnd w:id="25"/>
      <w:bookmarkEnd w:id="26"/>
      <w:bookmarkEnd w:id="27"/>
      <w:bookmarkEnd w:id="28"/>
      <w:bookmarkEnd w:id="29"/>
      <w:bookmarkEnd w:id="30"/>
      <w:bookmarkEnd w:id="31"/>
    </w:p>
    <w:p>
      <w:pPr>
        <w:pStyle w:val="56"/>
        <w:ind w:firstLine="420"/>
      </w:pPr>
      <w:bookmarkStart w:id="32" w:name="_Toc17233326"/>
      <w:bookmarkStart w:id="33" w:name="_Toc17233334"/>
      <w:bookmarkStart w:id="34" w:name="_Toc24884212"/>
      <w:bookmarkStart w:id="35" w:name="_Toc26648466"/>
      <w:bookmarkStart w:id="36" w:name="_Toc24884219"/>
      <w:r>
        <w:rPr>
          <w:rFonts w:hint="eastAsia"/>
        </w:rPr>
        <w:t>本文件规定了嫁接育苗、苗木出圃、分级与检验、包装标志和运输、育苗技术建档等技术要求。</w:t>
      </w:r>
    </w:p>
    <w:p>
      <w:pPr>
        <w:pStyle w:val="56"/>
        <w:ind w:firstLine="420"/>
      </w:pPr>
      <w:r>
        <w:rPr>
          <w:rFonts w:hint="eastAsia"/>
        </w:rPr>
        <w:t>本文件主要适用于广西行政区域内桑树良种的嫁接育苗。</w:t>
      </w:r>
    </w:p>
    <w:p>
      <w:pPr>
        <w:pStyle w:val="104"/>
        <w:spacing w:before="240" w:after="240"/>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3F6085A00644495F9927B20AC411E7D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6001  育苗技术规程</w:t>
      </w:r>
    </w:p>
    <w:p>
      <w:pPr>
        <w:pStyle w:val="56"/>
        <w:ind w:firstLine="420"/>
      </w:pPr>
      <w:r>
        <w:rPr>
          <w:rFonts w:hint="eastAsia"/>
        </w:rPr>
        <w:t>GB/T 19173  桑树种子和苗木</w:t>
      </w:r>
    </w:p>
    <w:p>
      <w:pPr>
        <w:pStyle w:val="56"/>
        <w:ind w:firstLine="420"/>
      </w:pPr>
      <w:r>
        <w:rPr>
          <w:rFonts w:hint="eastAsia"/>
        </w:rPr>
        <w:t>GB/T 19177  桑树种子和苗木检验规程</w:t>
      </w:r>
    </w:p>
    <w:p>
      <w:pPr>
        <w:pStyle w:val="56"/>
        <w:ind w:firstLine="420"/>
      </w:pPr>
      <w:r>
        <w:rPr>
          <w:rFonts w:hint="eastAsia"/>
        </w:rPr>
        <w:t>GB 20464  农作物种子标签通则</w:t>
      </w:r>
    </w:p>
    <w:p>
      <w:pPr>
        <w:pStyle w:val="104"/>
        <w:spacing w:before="240" w:after="240"/>
      </w:pPr>
      <w:r>
        <w:rPr>
          <w:rFonts w:hint="eastAsia"/>
          <w:szCs w:val="21"/>
        </w:rPr>
        <w:t>术语和定义</w:t>
      </w:r>
    </w:p>
    <w:sdt>
      <w:sdtPr>
        <w:id w:val="-1909835108"/>
        <w:placeholder>
          <w:docPart w:val="34202DCB11904F5BB3D4C2A36FBD9C2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硬枝插条  hardwood cutting</w:t>
      </w:r>
    </w:p>
    <w:p>
      <w:pPr>
        <w:pStyle w:val="56"/>
        <w:ind w:firstLine="420"/>
      </w:pPr>
      <w:r>
        <w:rPr>
          <w:rFonts w:hint="eastAsia"/>
        </w:rPr>
        <w:t>桑树一年生或二年生且木质化的休眠枝条。</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嫁接繁育  grafting breeding</w:t>
      </w:r>
    </w:p>
    <w:p>
      <w:pPr>
        <w:pStyle w:val="56"/>
        <w:ind w:firstLine="420"/>
      </w:pPr>
      <w:r>
        <w:rPr>
          <w:rFonts w:hint="eastAsia"/>
        </w:rPr>
        <w:t>将植物体的芽或枝接到另一植物体的适当部位，使两者接合成为一个新植株的一种无性繁殖方式。</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接穗  scion</w:t>
      </w:r>
    </w:p>
    <w:p>
      <w:pPr>
        <w:pStyle w:val="56"/>
        <w:ind w:firstLine="420"/>
      </w:pPr>
      <w:r>
        <w:rPr>
          <w:rFonts w:hint="eastAsia"/>
        </w:rPr>
        <w:t>用于嫁接的带有叶或不带叶的具备有健壮叶芽的小段枝条。根据长度可以分为长穗（长20</w:t>
      </w:r>
      <w:r>
        <w:rPr>
          <w:rFonts w:hint="eastAsia"/>
          <w:w w:val="50"/>
          <w:vertAlign w:val="subscript"/>
        </w:rPr>
        <w:t xml:space="preserve"> </w:t>
      </w:r>
      <w:r>
        <w:rPr>
          <w:rFonts w:hint="eastAsia"/>
        </w:rPr>
        <w:t>cm以上，较少使用）、中穗（长10</w:t>
      </w:r>
      <w:r>
        <w:rPr>
          <w:rFonts w:hint="eastAsia"/>
          <w:w w:val="50"/>
          <w:vertAlign w:val="subscript"/>
        </w:rPr>
        <w:t xml:space="preserve"> </w:t>
      </w:r>
      <w:r>
        <w:rPr>
          <w:rFonts w:hint="eastAsia"/>
        </w:rPr>
        <w:t>cm～20</w:t>
      </w:r>
      <w:r>
        <w:rPr>
          <w:rFonts w:hint="eastAsia"/>
          <w:w w:val="50"/>
          <w:vertAlign w:val="subscript"/>
        </w:rPr>
        <w:t xml:space="preserve"> </w:t>
      </w:r>
      <w:r>
        <w:rPr>
          <w:rFonts w:hint="eastAsia"/>
        </w:rPr>
        <w:t>cm，保留2～4</w:t>
      </w:r>
      <w:r>
        <w:rPr>
          <w:w w:val="50"/>
        </w:rPr>
        <w:t xml:space="preserve"> </w:t>
      </w:r>
      <w:r>
        <w:rPr>
          <w:rFonts w:hint="eastAsia"/>
        </w:rPr>
        <w:t>个腋芽）和短穗（10</w:t>
      </w:r>
      <w:r>
        <w:rPr>
          <w:rFonts w:hint="eastAsia"/>
          <w:w w:val="50"/>
          <w:vertAlign w:val="subscript"/>
        </w:rPr>
        <w:t xml:space="preserve"> </w:t>
      </w:r>
      <w:r>
        <w:rPr>
          <w:rFonts w:hint="eastAsia"/>
        </w:rPr>
        <w:t>cm以下，保留1～2</w:t>
      </w:r>
      <w:r>
        <w:rPr>
          <w:w w:val="50"/>
        </w:rPr>
        <w:t xml:space="preserve"> </w:t>
      </w:r>
      <w:r>
        <w:rPr>
          <w:rFonts w:hint="eastAsia"/>
        </w:rPr>
        <w:t>个腋芽）。</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苗径  seeding diameter</w:t>
      </w:r>
    </w:p>
    <w:p>
      <w:pPr>
        <w:pStyle w:val="56"/>
        <w:ind w:firstLine="420"/>
      </w:pPr>
      <w:r>
        <w:rPr>
          <w:rFonts w:hint="eastAsia"/>
        </w:rPr>
        <w:t>桑树实生苗根颈部（根颈交接处）直径，扦插苗或嫁接苗苗干长出处上方10</w:t>
      </w:r>
      <w:r>
        <w:rPr>
          <w:rFonts w:hint="eastAsia"/>
          <w:w w:val="50"/>
        </w:rPr>
        <w:t xml:space="preserve"> </w:t>
      </w:r>
      <w:r>
        <w:rPr>
          <w:rFonts w:hint="eastAsia"/>
        </w:rPr>
        <w:t>mm处的苗干直径。</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采穗圃  cutting garding</w:t>
      </w:r>
    </w:p>
    <w:p>
      <w:pPr>
        <w:pStyle w:val="56"/>
        <w:ind w:firstLine="420"/>
      </w:pPr>
      <w:r>
        <w:rPr>
          <w:rFonts w:hint="eastAsia"/>
        </w:rPr>
        <w:t>提供接穗的苗圃。</w:t>
      </w:r>
    </w:p>
    <w:p>
      <w:pPr>
        <w:pStyle w:val="104"/>
        <w:spacing w:before="240" w:after="240"/>
      </w:pPr>
      <w:r>
        <w:rPr>
          <w:rFonts w:hint="eastAsia"/>
        </w:rPr>
        <w:t>嫁接育苗</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嫁接时期</w:t>
      </w:r>
    </w:p>
    <w:p>
      <w:pPr>
        <w:pStyle w:val="56"/>
        <w:ind w:firstLine="420"/>
      </w:pPr>
      <w:r>
        <w:rPr>
          <w:rFonts w:hint="eastAsia"/>
        </w:rPr>
        <w:t>以每年12月至次年2月的冬季桑树休眠期嫁接为宜。</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苗圃地选择与准备</w:t>
      </w:r>
    </w:p>
    <w:p>
      <w:pPr>
        <w:pStyle w:val="65"/>
        <w:spacing w:before="120" w:after="120"/>
      </w:pPr>
      <w:r>
        <w:rPr>
          <w:rFonts w:hint="eastAsia"/>
        </w:rPr>
        <w:t>苗圃地选择</w:t>
      </w:r>
    </w:p>
    <w:p>
      <w:pPr>
        <w:pStyle w:val="56"/>
        <w:ind w:firstLine="420"/>
      </w:pPr>
      <w:r>
        <w:rPr>
          <w:rFonts w:hint="eastAsia"/>
        </w:rPr>
        <w:t>宜在交通方便、灌溉便利、地块平整，不易积水，光照条件充足的地方。不宜选择上茬种植过桑树、辣椒、番茄、花生等易感染白绢病和青枯病作物的地块，以上茬种植过水稻的田块作为育苗地为宜。</w:t>
      </w:r>
    </w:p>
    <w:p>
      <w:pPr>
        <w:pStyle w:val="65"/>
        <w:spacing w:before="120" w:after="120"/>
      </w:pPr>
      <w:r>
        <w:rPr>
          <w:rFonts w:hint="eastAsia"/>
        </w:rPr>
        <w:t>苗圃地的准备</w:t>
      </w:r>
    </w:p>
    <w:p>
      <w:pPr>
        <w:pStyle w:val="56"/>
        <w:ind w:firstLine="420"/>
      </w:pPr>
      <w:r>
        <w:rPr>
          <w:rFonts w:hint="eastAsia"/>
        </w:rPr>
        <w:t>清除地里的杂草，深翻耕20</w:t>
      </w:r>
      <w:r>
        <w:rPr>
          <w:rFonts w:hint="eastAsia"/>
          <w:w w:val="50"/>
        </w:rPr>
        <w:t xml:space="preserve"> </w:t>
      </w:r>
      <w:r>
        <w:rPr>
          <w:rFonts w:hint="eastAsia"/>
        </w:rPr>
        <w:t>cm～30</w:t>
      </w:r>
      <w:r>
        <w:rPr>
          <w:rFonts w:hint="eastAsia"/>
          <w:w w:val="50"/>
        </w:rPr>
        <w:t xml:space="preserve"> </w:t>
      </w:r>
      <w:r>
        <w:rPr>
          <w:rFonts w:hint="eastAsia"/>
        </w:rPr>
        <w:t>cm，耙碎耙平，起畦。畦面宽120</w:t>
      </w:r>
      <w:r>
        <w:rPr>
          <w:w w:val="50"/>
        </w:rPr>
        <w:t xml:space="preserve"> </w:t>
      </w:r>
      <w:r>
        <w:rPr>
          <w:rFonts w:hint="eastAsia"/>
        </w:rPr>
        <w:t>cm～150</w:t>
      </w:r>
      <w:r>
        <w:rPr>
          <w:rFonts w:hint="eastAsia"/>
          <w:w w:val="50"/>
        </w:rPr>
        <w:t xml:space="preserve"> </w:t>
      </w:r>
      <w:r>
        <w:rPr>
          <w:rFonts w:hint="eastAsia"/>
        </w:rPr>
        <w:t>cm，畦高20</w:t>
      </w:r>
      <w:r>
        <w:rPr>
          <w:rFonts w:hint="eastAsia"/>
          <w:w w:val="50"/>
        </w:rPr>
        <w:t xml:space="preserve"> </w:t>
      </w:r>
      <w:r>
        <w:rPr>
          <w:rFonts w:hint="eastAsia"/>
        </w:rPr>
        <w:t>cm～30 cm，畦间距30</w:t>
      </w:r>
      <w:r>
        <w:rPr>
          <w:rFonts w:hint="eastAsia"/>
          <w:w w:val="50"/>
        </w:rPr>
        <w:t xml:space="preserve"> </w:t>
      </w:r>
      <w:r>
        <w:rPr>
          <w:rFonts w:hint="eastAsia"/>
        </w:rPr>
        <w:t>cm，畦面土层要充分打碎，畦面平整，深挖数条纵横交叉的排水沟。</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苗圃地消毒</w:t>
      </w:r>
    </w:p>
    <w:p>
      <w:pPr>
        <w:pStyle w:val="56"/>
        <w:ind w:firstLine="420"/>
      </w:pPr>
      <w:r>
        <w:rPr>
          <w:rFonts w:hint="eastAsia"/>
        </w:rPr>
        <w:t>种植前2</w:t>
      </w:r>
      <w:r>
        <w:rPr>
          <w:rFonts w:hint="eastAsia"/>
          <w:w w:val="50"/>
        </w:rPr>
        <w:t xml:space="preserve"> </w:t>
      </w:r>
      <w:r>
        <w:rPr>
          <w:rFonts w:hint="eastAsia"/>
        </w:rPr>
        <w:t>d～3</w:t>
      </w:r>
      <w:r>
        <w:rPr>
          <w:rFonts w:hint="eastAsia"/>
          <w:w w:val="50"/>
        </w:rPr>
        <w:t xml:space="preserve"> </w:t>
      </w:r>
      <w:r>
        <w:rPr>
          <w:rFonts w:hint="eastAsia"/>
        </w:rPr>
        <w:t>d喷洒50% 多菌灵可湿性粉剂的800倍液消毒河沙，之后盖薄膜封闭，于种植前3</w:t>
      </w:r>
      <w:r>
        <w:rPr>
          <w:w w:val="50"/>
        </w:rPr>
        <w:t xml:space="preserve"> </w:t>
      </w:r>
      <w:r>
        <w:rPr>
          <w:rFonts w:hint="eastAsia"/>
        </w:rPr>
        <w:t>h～5 h前可揭膜、整畦使用。</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苗床盖膜</w:t>
      </w:r>
    </w:p>
    <w:p>
      <w:pPr>
        <w:pStyle w:val="56"/>
        <w:ind w:firstLine="420"/>
      </w:pPr>
      <w:r>
        <w:rPr>
          <w:rFonts w:hint="eastAsia"/>
        </w:rPr>
        <w:t>苗床在种植前浇透水，以不积水为宜,盖上聚乙烯薄膜。</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嫁接场地准备</w:t>
      </w:r>
    </w:p>
    <w:p>
      <w:pPr>
        <w:pStyle w:val="56"/>
        <w:ind w:firstLine="420"/>
      </w:pPr>
      <w:r>
        <w:rPr>
          <w:rFonts w:hint="eastAsia"/>
        </w:rPr>
        <w:t>场地包括穗条和砧木储藏室、剪枝和嫁接工作室、嫁接苗储藏室；工具包括工作台、桑剪、嫁接刀、吊牌等。</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苗木嫁接</w:t>
      </w:r>
    </w:p>
    <w:p>
      <w:pPr>
        <w:pStyle w:val="65"/>
        <w:spacing w:before="120" w:after="120"/>
      </w:pPr>
      <w:r>
        <w:rPr>
          <w:rFonts w:hint="eastAsia"/>
        </w:rPr>
        <w:t>母树选择</w:t>
      </w:r>
    </w:p>
    <w:p>
      <w:pPr>
        <w:pStyle w:val="56"/>
        <w:ind w:firstLine="420"/>
      </w:pPr>
      <w:r>
        <w:rPr>
          <w:rFonts w:hint="eastAsia"/>
        </w:rPr>
        <w:t>应选择无病虫为害、生长健壮、芽体饱满的3～5年生的性状优良的母树。</w:t>
      </w:r>
    </w:p>
    <w:p>
      <w:pPr>
        <w:pStyle w:val="65"/>
        <w:spacing w:before="120" w:after="120"/>
      </w:pPr>
      <w:r>
        <w:rPr>
          <w:rFonts w:hint="eastAsia"/>
        </w:rPr>
        <w:t>母树处理</w:t>
      </w:r>
    </w:p>
    <w:p>
      <w:pPr>
        <w:pStyle w:val="56"/>
        <w:ind w:firstLine="420"/>
      </w:pPr>
      <w:r>
        <w:rPr>
          <w:rFonts w:hint="eastAsia"/>
        </w:rPr>
        <w:t>剪取接穗前2周摘掉母树上选做接穗的顶芽。</w:t>
      </w:r>
    </w:p>
    <w:p>
      <w:pPr>
        <w:pStyle w:val="65"/>
        <w:spacing w:before="120" w:after="120"/>
      </w:pPr>
      <w:r>
        <w:rPr>
          <w:rFonts w:hint="eastAsia"/>
        </w:rPr>
        <w:t>接穗的选择</w:t>
      </w:r>
    </w:p>
    <w:p>
      <w:pPr>
        <w:pStyle w:val="56"/>
        <w:ind w:firstLine="420"/>
      </w:pPr>
      <w:r>
        <w:rPr>
          <w:rFonts w:hint="eastAsia"/>
        </w:rPr>
        <w:t>选择一年生、无病虫害且生长健壮的中、上部的硬枝枝条。</w:t>
      </w:r>
    </w:p>
    <w:p>
      <w:pPr>
        <w:pStyle w:val="65"/>
        <w:spacing w:before="120" w:after="120"/>
      </w:pPr>
      <w:r>
        <w:rPr>
          <w:rFonts w:hint="eastAsia"/>
        </w:rPr>
        <w:t>接穗剪取时间</w:t>
      </w:r>
    </w:p>
    <w:p>
      <w:pPr>
        <w:pStyle w:val="56"/>
        <w:ind w:firstLine="420"/>
      </w:pPr>
      <w:r>
        <w:rPr>
          <w:rFonts w:hint="eastAsia"/>
        </w:rPr>
        <w:t>宜选择早晨或阴天。</w:t>
      </w:r>
    </w:p>
    <w:p>
      <w:pPr>
        <w:pStyle w:val="65"/>
        <w:spacing w:before="120" w:after="120"/>
      </w:pPr>
      <w:r>
        <w:rPr>
          <w:rFonts w:hint="eastAsia"/>
        </w:rPr>
        <w:t>接穗贮藏</w:t>
      </w:r>
    </w:p>
    <w:p>
      <w:pPr>
        <w:pStyle w:val="56"/>
        <w:ind w:firstLine="420"/>
      </w:pPr>
      <w:r>
        <w:rPr>
          <w:rFonts w:hint="eastAsia"/>
        </w:rPr>
        <w:t>接穗采回后，放置于温度3</w:t>
      </w:r>
      <w:r>
        <w:rPr>
          <w:w w:val="50"/>
          <w:vertAlign w:val="subscript"/>
        </w:rPr>
        <w:t xml:space="preserve"> </w:t>
      </w:r>
      <w:r>
        <w:rPr>
          <w:rFonts w:hint="eastAsia"/>
        </w:rPr>
        <w:t>℃～5</w:t>
      </w:r>
      <w:r>
        <w:rPr>
          <w:rFonts w:hint="eastAsia"/>
          <w:w w:val="50"/>
          <w:vertAlign w:val="subscript"/>
        </w:rPr>
        <w:t xml:space="preserve"> </w:t>
      </w:r>
      <w:r>
        <w:rPr>
          <w:rFonts w:hint="eastAsia"/>
        </w:rPr>
        <w:t>℃、湿度50</w:t>
      </w:r>
      <w:r>
        <w:rPr>
          <w:rFonts w:hint="eastAsia"/>
          <w:w w:val="50"/>
        </w:rPr>
        <w:t xml:space="preserve"> </w:t>
      </w:r>
      <w:r>
        <w:rPr>
          <w:rFonts w:hint="eastAsia"/>
        </w:rPr>
        <w:t>%～70</w:t>
      </w:r>
      <w:r>
        <w:rPr>
          <w:rFonts w:hint="eastAsia"/>
          <w:w w:val="50"/>
        </w:rPr>
        <w:t xml:space="preserve"> </w:t>
      </w:r>
      <w:r>
        <w:rPr>
          <w:rFonts w:hint="eastAsia"/>
        </w:rPr>
        <w:t>%的黑暗条件的冷库或地窖内存放5</w:t>
      </w:r>
      <w:r>
        <w:rPr>
          <w:rFonts w:hint="eastAsia"/>
          <w:w w:val="50"/>
          <w:vertAlign w:val="subscript"/>
        </w:rPr>
        <w:t xml:space="preserve"> </w:t>
      </w:r>
      <w:r>
        <w:rPr>
          <w:rFonts w:hint="eastAsia"/>
        </w:rPr>
        <w:t>d ～30</w:t>
      </w:r>
      <w:r>
        <w:rPr>
          <w:rFonts w:hint="eastAsia"/>
          <w:w w:val="50"/>
          <w:vertAlign w:val="subscript"/>
        </w:rPr>
        <w:t xml:space="preserve"> </w:t>
      </w:r>
      <w:r>
        <w:rPr>
          <w:rFonts w:hint="eastAsia"/>
        </w:rPr>
        <w:t>d。</w:t>
      </w:r>
    </w:p>
    <w:p>
      <w:pPr>
        <w:pStyle w:val="65"/>
        <w:spacing w:before="120" w:after="120"/>
      </w:pPr>
      <w:r>
        <w:rPr>
          <w:rFonts w:hint="eastAsia"/>
        </w:rPr>
        <w:t>接穗剪取</w:t>
      </w:r>
    </w:p>
    <w:p>
      <w:pPr>
        <w:pStyle w:val="56"/>
        <w:ind w:firstLine="420"/>
      </w:pPr>
      <w:r>
        <w:rPr>
          <w:rFonts w:hint="eastAsia"/>
        </w:rPr>
        <w:t>宜选择枝条的下、中部做接穗，要求每一接穗保留2～3个芽，长15</w:t>
      </w:r>
      <w:r>
        <w:rPr>
          <w:rFonts w:hint="eastAsia"/>
          <w:w w:val="50"/>
          <w:vertAlign w:val="subscript"/>
        </w:rPr>
        <w:t xml:space="preserve"> </w:t>
      </w:r>
      <w:r>
        <w:rPr>
          <w:rFonts w:hint="eastAsia"/>
        </w:rPr>
        <w:t>cm～20</w:t>
      </w:r>
      <w:r>
        <w:rPr>
          <w:rFonts w:hint="eastAsia"/>
          <w:w w:val="50"/>
          <w:vertAlign w:val="subscript"/>
        </w:rPr>
        <w:t xml:space="preserve"> </w:t>
      </w:r>
      <w:r>
        <w:rPr>
          <w:rFonts w:hint="eastAsia"/>
        </w:rPr>
        <w:t>cm，剪取时，上剪口平剪，距芽1</w:t>
      </w:r>
      <w:r>
        <w:rPr>
          <w:rFonts w:hint="eastAsia"/>
          <w:w w:val="50"/>
          <w:vertAlign w:val="subscript"/>
        </w:rPr>
        <w:t xml:space="preserve"> </w:t>
      </w:r>
      <w:r>
        <w:rPr>
          <w:rFonts w:hint="eastAsia"/>
        </w:rPr>
        <w:t>cm～1.5</w:t>
      </w:r>
      <w:r>
        <w:rPr>
          <w:rFonts w:hint="eastAsia"/>
          <w:w w:val="50"/>
        </w:rPr>
        <w:t xml:space="preserve"> </w:t>
      </w:r>
      <w:r>
        <w:rPr>
          <w:rFonts w:hint="eastAsia"/>
        </w:rPr>
        <w:t>cm，下剪口斜剪，在侧芽基部的叶痕处，剪口切面要均匀平滑。插穗50或100株扎成一小捆，使低端斜切部位平齐。</w:t>
      </w:r>
    </w:p>
    <w:p>
      <w:pPr>
        <w:pStyle w:val="65"/>
        <w:spacing w:before="120" w:after="120"/>
      </w:pPr>
      <w:r>
        <w:rPr>
          <w:rFonts w:hint="eastAsia"/>
        </w:rPr>
        <w:t>砧木的选择</w:t>
      </w:r>
    </w:p>
    <w:p>
      <w:pPr>
        <w:pStyle w:val="56"/>
        <w:ind w:firstLine="420"/>
      </w:pPr>
      <w:r>
        <w:rPr>
          <w:rFonts w:hint="eastAsia"/>
        </w:rPr>
        <w:t>作砧木的杂交实生苗大小均匀，木质部老熟充实，根系完整，无病虫害。苗径以0.25</w:t>
      </w:r>
      <w:r>
        <w:rPr>
          <w:rFonts w:hint="eastAsia"/>
          <w:w w:val="50"/>
          <w:vertAlign w:val="subscript"/>
        </w:rPr>
        <w:t xml:space="preserve"> </w:t>
      </w:r>
      <w:r>
        <w:rPr>
          <w:rFonts w:hint="eastAsia"/>
        </w:rPr>
        <w:t>cm为宜。在青黄交接处，削成斜口。</w:t>
      </w:r>
    </w:p>
    <w:p>
      <w:pPr>
        <w:pStyle w:val="65"/>
        <w:spacing w:before="120" w:after="120"/>
      </w:pPr>
      <w:r>
        <w:rPr>
          <w:rFonts w:hint="eastAsia"/>
        </w:rPr>
        <w:t>嫁接</w:t>
      </w:r>
    </w:p>
    <w:p>
      <w:pPr>
        <w:pStyle w:val="56"/>
        <w:ind w:firstLine="420"/>
      </w:pPr>
      <w:r>
        <w:rPr>
          <w:rFonts w:hint="eastAsia"/>
        </w:rPr>
        <w:t>将削好的砧木倒插进剪取的接穗的皮层，形成一个完整的嫁接体。</w:t>
      </w:r>
    </w:p>
    <w:p>
      <w:pPr>
        <w:pStyle w:val="65"/>
        <w:spacing w:before="120" w:after="120"/>
      </w:pPr>
      <w:r>
        <w:rPr>
          <w:rFonts w:hint="eastAsia"/>
        </w:rPr>
        <w:t>嫁接苗种植</w:t>
      </w:r>
    </w:p>
    <w:p>
      <w:pPr>
        <w:pStyle w:val="56"/>
        <w:ind w:firstLine="420"/>
      </w:pPr>
      <w:r>
        <w:rPr>
          <w:rFonts w:hint="eastAsia"/>
        </w:rPr>
        <w:t>种植沟间距20</w:t>
      </w:r>
      <w:r>
        <w:rPr>
          <w:rFonts w:hint="eastAsia"/>
          <w:w w:val="50"/>
          <w:vertAlign w:val="subscript"/>
        </w:rPr>
        <w:t xml:space="preserve"> </w:t>
      </w:r>
      <w:r>
        <w:rPr>
          <w:rFonts w:hint="eastAsia"/>
        </w:rPr>
        <w:t>cm～25</w:t>
      </w:r>
      <w:r>
        <w:rPr>
          <w:rFonts w:hint="eastAsia"/>
          <w:w w:val="50"/>
          <w:vertAlign w:val="subscript"/>
        </w:rPr>
        <w:t xml:space="preserve"> </w:t>
      </w:r>
      <w:r>
        <w:rPr>
          <w:rFonts w:hint="eastAsia"/>
        </w:rPr>
        <w:t>cm，株距5</w:t>
      </w:r>
      <w:r>
        <w:rPr>
          <w:rFonts w:hint="eastAsia"/>
          <w:w w:val="50"/>
          <w:vertAlign w:val="subscript"/>
        </w:rPr>
        <w:t xml:space="preserve"> </w:t>
      </w:r>
      <w:r>
        <w:rPr>
          <w:rFonts w:hint="eastAsia"/>
        </w:rPr>
        <w:t>cm～8</w:t>
      </w:r>
      <w:r>
        <w:rPr>
          <w:rFonts w:hint="eastAsia"/>
          <w:w w:val="50"/>
          <w:vertAlign w:val="subscript"/>
        </w:rPr>
        <w:t xml:space="preserve"> </w:t>
      </w:r>
      <w:r>
        <w:rPr>
          <w:rFonts w:hint="eastAsia"/>
        </w:rPr>
        <w:t>cm，亩栽嫁接苗3万株为宜。栽植时苗木顶端要摆放整齐，覆土至刚好看不到顶芽为宜，栽植后立即覆盖薄膜，保持土壤湿润，一个月苗木长出4～5片叶后揭去薄膜。</w:t>
      </w:r>
    </w:p>
    <w:p>
      <w:pPr>
        <w:pStyle w:val="105"/>
        <w:keepNext w:val="0"/>
        <w:keepLines w:val="0"/>
        <w:pageBreakBefore w:val="0"/>
        <w:kinsoku/>
        <w:wordWrap/>
        <w:overflowPunct/>
        <w:topLinePunct w:val="0"/>
        <w:autoSpaceDE/>
        <w:autoSpaceDN/>
        <w:bidi w:val="0"/>
        <w:adjustRightInd/>
        <w:snapToGrid/>
        <w:spacing w:before="120" w:after="120"/>
        <w:ind w:left="0"/>
        <w:textAlignment w:val="auto"/>
      </w:pPr>
      <w:r>
        <w:rPr>
          <w:rFonts w:hint="eastAsia"/>
        </w:rPr>
        <w:t>苗圃管理</w:t>
      </w:r>
    </w:p>
    <w:p>
      <w:pPr>
        <w:pStyle w:val="65"/>
        <w:spacing w:before="120" w:after="120"/>
      </w:pPr>
      <w:r>
        <w:rPr>
          <w:rFonts w:hint="eastAsia"/>
        </w:rPr>
        <w:t>排灌</w:t>
      </w:r>
    </w:p>
    <w:p>
      <w:pPr>
        <w:pStyle w:val="56"/>
        <w:ind w:firstLine="420"/>
      </w:pPr>
      <w:r>
        <w:rPr>
          <w:rFonts w:hint="eastAsia"/>
        </w:rPr>
        <w:t>在嫁接苗栽植后第一个月要保持苗圃地湿润，干旱时及时灌水抗旱，灌水最好在傍晚进行，以浸到苗床边缘为宜，速灌速排，不要积水。雨水过多时要及时排水。</w:t>
      </w:r>
    </w:p>
    <w:p>
      <w:pPr>
        <w:pStyle w:val="65"/>
        <w:spacing w:before="120" w:after="120"/>
      </w:pPr>
      <w:r>
        <w:rPr>
          <w:rFonts w:hint="eastAsia"/>
        </w:rPr>
        <w:t>施肥</w:t>
      </w:r>
    </w:p>
    <w:p>
      <w:pPr>
        <w:pStyle w:val="56"/>
        <w:ind w:firstLine="420"/>
      </w:pPr>
      <w:r>
        <w:rPr>
          <w:rFonts w:hint="eastAsia"/>
        </w:rPr>
        <w:t>生根发叶3～5片时视生长情况，使用0.3</w:t>
      </w:r>
      <w:r>
        <w:rPr>
          <w:rFonts w:hint="eastAsia"/>
          <w:w w:val="50"/>
        </w:rPr>
        <w:t xml:space="preserve"> </w:t>
      </w:r>
      <w:r>
        <w:rPr>
          <w:rFonts w:hint="eastAsia"/>
        </w:rPr>
        <w:t>%～0.5</w:t>
      </w:r>
      <w:r>
        <w:rPr>
          <w:rFonts w:hint="eastAsia"/>
          <w:w w:val="50"/>
        </w:rPr>
        <w:t xml:space="preserve"> </w:t>
      </w:r>
      <w:r>
        <w:rPr>
          <w:rFonts w:hint="eastAsia"/>
        </w:rPr>
        <w:t>%的磷酸二氢钾叶面喷施肥。待5片叶以后要加强肥水管理，可使用混合肥（尿素：复合肥=1:3）溶解后浇淋苗圃，使用浓度0.3</w:t>
      </w:r>
      <w:r>
        <w:rPr>
          <w:rFonts w:hint="eastAsia"/>
          <w:w w:val="50"/>
        </w:rPr>
        <w:t xml:space="preserve"> </w:t>
      </w:r>
      <w:r>
        <w:rPr>
          <w:rFonts w:hint="eastAsia"/>
        </w:rPr>
        <w:t>%～0.5</w:t>
      </w:r>
      <w:r>
        <w:rPr>
          <w:rFonts w:hint="eastAsia"/>
          <w:w w:val="50"/>
        </w:rPr>
        <w:t xml:space="preserve"> </w:t>
      </w:r>
      <w:r>
        <w:rPr>
          <w:rFonts w:hint="eastAsia"/>
        </w:rPr>
        <w:t>%。根据苗木生长情况及时追肥，注意N、P、K搭配，可用桑树复合肥追肥。在苗木出圃前20</w:t>
      </w:r>
      <w:r>
        <w:rPr>
          <w:rFonts w:hint="eastAsia"/>
          <w:w w:val="50"/>
        </w:rPr>
        <w:t xml:space="preserve"> </w:t>
      </w:r>
      <w:r>
        <w:rPr>
          <w:rFonts w:hint="eastAsia"/>
        </w:rPr>
        <w:t>d停止施肥。</w:t>
      </w:r>
    </w:p>
    <w:p>
      <w:pPr>
        <w:pStyle w:val="65"/>
        <w:spacing w:before="120" w:after="120"/>
      </w:pPr>
      <w:r>
        <w:rPr>
          <w:rFonts w:hint="eastAsia"/>
        </w:rPr>
        <w:t>除草</w:t>
      </w:r>
    </w:p>
    <w:p>
      <w:pPr>
        <w:pStyle w:val="56"/>
        <w:ind w:firstLine="420"/>
      </w:pPr>
      <w:r>
        <w:rPr>
          <w:rFonts w:hint="eastAsia"/>
        </w:rPr>
        <w:t>要及时清除苗圃地及周围长出的杂草。</w:t>
      </w:r>
    </w:p>
    <w:p>
      <w:pPr>
        <w:pStyle w:val="65"/>
        <w:spacing w:before="120" w:after="120"/>
      </w:pPr>
      <w:r>
        <w:rPr>
          <w:rFonts w:hint="eastAsia"/>
        </w:rPr>
        <w:t>培土、松土、去杂</w:t>
      </w:r>
    </w:p>
    <w:p>
      <w:pPr>
        <w:pStyle w:val="56"/>
        <w:ind w:firstLine="420"/>
      </w:pPr>
      <w:r>
        <w:rPr>
          <w:rFonts w:hint="eastAsia"/>
        </w:rPr>
        <w:t>要注意松土、培土，以防穗头外露和土壤板结影响出苗。在培土、松土的同时，及时清除砧芽，以保证嫁接苗木的品种纯度。</w:t>
      </w:r>
    </w:p>
    <w:p>
      <w:pPr>
        <w:pStyle w:val="65"/>
        <w:spacing w:before="120" w:after="120"/>
      </w:pPr>
      <w:r>
        <w:rPr>
          <w:rFonts w:hint="eastAsia"/>
        </w:rPr>
        <w:t>病虫害防治</w:t>
      </w:r>
    </w:p>
    <w:p>
      <w:pPr>
        <w:pStyle w:val="56"/>
        <w:ind w:firstLine="420"/>
      </w:pPr>
      <w:r>
        <w:rPr>
          <w:rFonts w:hint="eastAsia"/>
        </w:rPr>
        <w:t>接穗发根长叶期间，主要采用通风、喷药和拔除病株的方式来控制病害的发生。注意防治桑白绢病、桑卷叶虫及地老虎等病虫害，对桑白绢病，发现病株及时清除并用50</w:t>
      </w:r>
      <w:r>
        <w:rPr>
          <w:rFonts w:hint="eastAsia"/>
          <w:w w:val="50"/>
        </w:rPr>
        <w:t xml:space="preserve"> </w:t>
      </w:r>
      <w:r>
        <w:rPr>
          <w:rFonts w:hint="eastAsia"/>
        </w:rPr>
        <w:t>%多菌灵可湿性粉剂500倍液淋病株周围土壤，防止病原扩散。发现虫害可用80</w:t>
      </w:r>
      <w:r>
        <w:rPr>
          <w:w w:val="50"/>
        </w:rPr>
        <w:t xml:space="preserve"> </w:t>
      </w:r>
      <w:r>
        <w:rPr>
          <w:rFonts w:hint="eastAsia"/>
        </w:rPr>
        <w:t>%乐果＋敌敌畏800～1000倍液喷施除虫。</w:t>
      </w:r>
    </w:p>
    <w:p>
      <w:pPr>
        <w:pStyle w:val="104"/>
        <w:spacing w:before="240" w:after="240"/>
      </w:pPr>
      <w:r>
        <w:rPr>
          <w:rFonts w:hint="eastAsia"/>
        </w:rPr>
        <w:t>苗木出圃、分级与检验</w:t>
      </w:r>
    </w:p>
    <w:p>
      <w:pPr>
        <w:pStyle w:val="105"/>
        <w:keepNext w:val="0"/>
        <w:keepLines w:val="0"/>
        <w:pageBreakBefore w:val="0"/>
        <w:kinsoku/>
        <w:wordWrap/>
        <w:overflowPunct/>
        <w:topLinePunct w:val="0"/>
        <w:autoSpaceDE/>
        <w:autoSpaceDN/>
        <w:bidi w:val="0"/>
        <w:adjustRightInd/>
        <w:snapToGrid/>
        <w:spacing w:before="120" w:after="120"/>
        <w:ind w:left="0"/>
        <w:textAlignment w:val="auto"/>
      </w:pPr>
      <w:r>
        <w:rPr>
          <w:rFonts w:hint="eastAsia"/>
        </w:rPr>
        <w:t>苗木出圃</w:t>
      </w:r>
    </w:p>
    <w:p>
      <w:pPr>
        <w:pStyle w:val="65"/>
        <w:spacing w:before="120" w:after="120"/>
      </w:pPr>
      <w:r>
        <w:rPr>
          <w:rFonts w:hint="eastAsia"/>
        </w:rPr>
        <w:t>苗木出圃时间</w:t>
      </w:r>
    </w:p>
    <w:p>
      <w:pPr>
        <w:pStyle w:val="56"/>
        <w:ind w:firstLine="420"/>
      </w:pPr>
      <w:r>
        <w:rPr>
          <w:rFonts w:hint="eastAsia"/>
        </w:rPr>
        <w:t>桑苗木质化，高度达40</w:t>
      </w:r>
      <w:r>
        <w:rPr>
          <w:rFonts w:hint="eastAsia"/>
          <w:w w:val="50"/>
        </w:rPr>
        <w:t xml:space="preserve"> </w:t>
      </w:r>
      <w:r>
        <w:rPr>
          <w:rFonts w:hint="eastAsia"/>
        </w:rPr>
        <w:t>cm以上就可炼苗，2～3个月后出圃。</w:t>
      </w:r>
    </w:p>
    <w:p>
      <w:pPr>
        <w:pStyle w:val="65"/>
        <w:keepNext w:val="0"/>
        <w:keepLines w:val="0"/>
        <w:pageBreakBefore w:val="0"/>
        <w:kinsoku/>
        <w:wordWrap/>
        <w:overflowPunct/>
        <w:topLinePunct w:val="0"/>
        <w:autoSpaceDE/>
        <w:autoSpaceDN/>
        <w:bidi w:val="0"/>
        <w:adjustRightInd/>
        <w:snapToGrid/>
        <w:spacing w:before="120" w:after="120"/>
        <w:ind w:left="0"/>
        <w:textAlignment w:val="auto"/>
        <w:rPr>
          <w:rFonts w:hint="eastAsia"/>
          <w:b/>
          <w:bCs/>
        </w:rPr>
      </w:pPr>
      <w:r>
        <w:rPr>
          <w:rFonts w:hint="eastAsia"/>
          <w:b/>
          <w:bCs/>
        </w:rPr>
        <w:t>苗木分级</w:t>
      </w:r>
    </w:p>
    <w:p>
      <w:pPr>
        <w:pStyle w:val="56"/>
        <w:ind w:firstLine="420"/>
      </w:pPr>
      <w:r>
        <w:rPr>
          <w:rFonts w:hint="eastAsia"/>
        </w:rPr>
        <w:t>具体苗木分级见表1。</w:t>
      </w:r>
    </w:p>
    <w:p>
      <w:pPr>
        <w:pStyle w:val="112"/>
        <w:spacing w:before="120" w:after="120"/>
      </w:pPr>
      <w:r>
        <w:rPr>
          <w:rFonts w:hint="eastAsia"/>
        </w:rPr>
        <w:t>苗木分级</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38"/>
        <w:gridCol w:w="1608"/>
        <w:gridCol w:w="1608"/>
        <w:gridCol w:w="1538"/>
        <w:gridCol w:w="1538"/>
        <w:gridCol w:w="15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38" w:type="dxa"/>
            <w:tcBorders>
              <w:top w:val="single" w:color="auto" w:sz="8" w:space="0"/>
              <w:bottom w:val="single" w:color="auto" w:sz="8" w:space="0"/>
            </w:tcBorders>
            <w:shd w:val="clear" w:color="auto" w:fill="auto"/>
            <w:vAlign w:val="center"/>
          </w:tcPr>
          <w:p>
            <w:pPr>
              <w:pStyle w:val="178"/>
            </w:pPr>
            <w:r>
              <w:rPr>
                <w:rFonts w:hint="eastAsia"/>
              </w:rPr>
              <w:t>级别</w:t>
            </w:r>
          </w:p>
        </w:tc>
        <w:tc>
          <w:tcPr>
            <w:tcW w:w="1608" w:type="dxa"/>
            <w:tcBorders>
              <w:top w:val="single" w:color="auto" w:sz="8" w:space="0"/>
              <w:bottom w:val="single" w:color="auto" w:sz="8" w:space="0"/>
            </w:tcBorders>
            <w:shd w:val="clear" w:color="auto" w:fill="auto"/>
            <w:vAlign w:val="center"/>
          </w:tcPr>
          <w:p>
            <w:pPr>
              <w:pStyle w:val="178"/>
            </w:pPr>
            <w:r>
              <w:rPr>
                <w:rFonts w:hint="eastAsia"/>
              </w:rPr>
              <w:t>苗径（Φ，mm）</w:t>
            </w:r>
          </w:p>
        </w:tc>
        <w:tc>
          <w:tcPr>
            <w:tcW w:w="1608" w:type="dxa"/>
            <w:tcBorders>
              <w:top w:val="single" w:color="auto" w:sz="8" w:space="0"/>
              <w:bottom w:val="single" w:color="auto" w:sz="8" w:space="0"/>
            </w:tcBorders>
            <w:shd w:val="clear" w:color="auto" w:fill="auto"/>
            <w:vAlign w:val="center"/>
          </w:tcPr>
          <w:p>
            <w:pPr>
              <w:pStyle w:val="178"/>
            </w:pPr>
            <w:r>
              <w:rPr>
                <w:rFonts w:hint="eastAsia"/>
              </w:rPr>
              <w:t>品种纯度（％）</w:t>
            </w:r>
          </w:p>
        </w:tc>
        <w:tc>
          <w:tcPr>
            <w:tcW w:w="1538" w:type="dxa"/>
            <w:tcBorders>
              <w:top w:val="single" w:color="auto" w:sz="8" w:space="0"/>
              <w:bottom w:val="single" w:color="auto" w:sz="8" w:space="0"/>
            </w:tcBorders>
            <w:shd w:val="clear" w:color="auto" w:fill="auto"/>
            <w:vAlign w:val="center"/>
          </w:tcPr>
          <w:p>
            <w:pPr>
              <w:pStyle w:val="178"/>
            </w:pPr>
            <w:r>
              <w:rPr>
                <w:rFonts w:hint="eastAsia"/>
              </w:rPr>
              <w:t>根系</w:t>
            </w:r>
          </w:p>
        </w:tc>
        <w:tc>
          <w:tcPr>
            <w:tcW w:w="1538" w:type="dxa"/>
            <w:tcBorders>
              <w:top w:val="single" w:color="auto" w:sz="8" w:space="0"/>
              <w:bottom w:val="single" w:color="auto" w:sz="8" w:space="0"/>
            </w:tcBorders>
            <w:shd w:val="clear" w:color="auto" w:fill="auto"/>
            <w:vAlign w:val="center"/>
          </w:tcPr>
          <w:p>
            <w:pPr>
              <w:pStyle w:val="178"/>
            </w:pPr>
            <w:r>
              <w:rPr>
                <w:rFonts w:hint="eastAsia"/>
              </w:rPr>
              <w:t>外观</w:t>
            </w:r>
          </w:p>
        </w:tc>
        <w:tc>
          <w:tcPr>
            <w:tcW w:w="1504" w:type="dxa"/>
            <w:tcBorders>
              <w:top w:val="single" w:color="auto" w:sz="8" w:space="0"/>
              <w:bottom w:val="single" w:color="auto" w:sz="8" w:space="0"/>
            </w:tcBorders>
          </w:tcPr>
          <w:p>
            <w:pPr>
              <w:pStyle w:val="178"/>
            </w:pPr>
            <w:r>
              <w:rPr>
                <w:rFonts w:hint="eastAsia"/>
              </w:rPr>
              <w:t>危害性病虫害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8" w:type="dxa"/>
            <w:tcBorders>
              <w:top w:val="single" w:color="auto" w:sz="8" w:space="0"/>
            </w:tcBorders>
            <w:shd w:val="clear" w:color="auto" w:fill="auto"/>
            <w:vAlign w:val="center"/>
          </w:tcPr>
          <w:p>
            <w:pPr>
              <w:pStyle w:val="178"/>
            </w:pPr>
            <w:r>
              <w:rPr>
                <w:rFonts w:hint="eastAsia"/>
              </w:rPr>
              <w:t>一级</w:t>
            </w:r>
          </w:p>
        </w:tc>
        <w:tc>
          <w:tcPr>
            <w:tcW w:w="1608" w:type="dxa"/>
            <w:tcBorders>
              <w:top w:val="single" w:color="auto" w:sz="8" w:space="0"/>
            </w:tcBorders>
            <w:shd w:val="clear" w:color="auto" w:fill="auto"/>
            <w:vAlign w:val="center"/>
          </w:tcPr>
          <w:p>
            <w:pPr>
              <w:pStyle w:val="178"/>
            </w:pPr>
            <w:r>
              <w:rPr>
                <w:rFonts w:hint="eastAsia"/>
              </w:rPr>
              <w:t>Φ≥12.0</w:t>
            </w:r>
          </w:p>
        </w:tc>
        <w:tc>
          <w:tcPr>
            <w:tcW w:w="1608" w:type="dxa"/>
            <w:vMerge w:val="restart"/>
            <w:tcBorders>
              <w:top w:val="single" w:color="auto" w:sz="8" w:space="0"/>
            </w:tcBorders>
            <w:shd w:val="clear" w:color="auto" w:fill="auto"/>
            <w:vAlign w:val="center"/>
          </w:tcPr>
          <w:p>
            <w:pPr>
              <w:pStyle w:val="178"/>
            </w:pPr>
            <w:r>
              <w:rPr>
                <w:rFonts w:hint="eastAsia"/>
              </w:rPr>
              <w:t>≥98.0</w:t>
            </w:r>
          </w:p>
        </w:tc>
        <w:tc>
          <w:tcPr>
            <w:tcW w:w="1538" w:type="dxa"/>
            <w:vMerge w:val="restart"/>
            <w:tcBorders>
              <w:top w:val="single" w:color="auto" w:sz="8" w:space="0"/>
            </w:tcBorders>
            <w:shd w:val="clear" w:color="auto" w:fill="auto"/>
            <w:vAlign w:val="center"/>
          </w:tcPr>
          <w:p>
            <w:pPr>
              <w:pStyle w:val="178"/>
            </w:pPr>
            <w:r>
              <w:rPr>
                <w:rFonts w:hint="eastAsia"/>
              </w:rPr>
              <w:t>根系较完整。发根数≥3条。其中，最长根根长不低于150.0 mm</w:t>
            </w:r>
          </w:p>
        </w:tc>
        <w:tc>
          <w:tcPr>
            <w:tcW w:w="1538" w:type="dxa"/>
            <w:vMerge w:val="restart"/>
            <w:tcBorders>
              <w:top w:val="single" w:color="auto" w:sz="8" w:space="0"/>
            </w:tcBorders>
            <w:shd w:val="clear" w:color="auto" w:fill="auto"/>
            <w:vAlign w:val="center"/>
          </w:tcPr>
          <w:p>
            <w:pPr>
              <w:pStyle w:val="178"/>
            </w:pPr>
            <w:r>
              <w:rPr>
                <w:rFonts w:hint="eastAsia"/>
              </w:rPr>
              <w:t>苗木新鲜，苗干充实，桑芽饱满</w:t>
            </w:r>
          </w:p>
        </w:tc>
        <w:tc>
          <w:tcPr>
            <w:tcW w:w="1504" w:type="dxa"/>
            <w:vMerge w:val="restart"/>
            <w:tcBorders>
              <w:top w:val="single" w:color="auto" w:sz="8" w:space="0"/>
            </w:tcBorders>
          </w:tcPr>
          <w:p>
            <w:pPr>
              <w:pStyle w:val="178"/>
            </w:pPr>
          </w:p>
          <w:p>
            <w:pPr>
              <w:pStyle w:val="178"/>
            </w:pPr>
            <w:r>
              <w:rPr>
                <w:rFonts w:hint="eastAsia"/>
              </w:rPr>
              <w:t>无法定的检疫对象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8" w:type="dxa"/>
            <w:shd w:val="clear" w:color="auto" w:fill="auto"/>
            <w:vAlign w:val="center"/>
          </w:tcPr>
          <w:p>
            <w:pPr>
              <w:pStyle w:val="178"/>
            </w:pPr>
            <w:r>
              <w:rPr>
                <w:rFonts w:hint="eastAsia"/>
              </w:rPr>
              <w:t>二级</w:t>
            </w:r>
          </w:p>
        </w:tc>
        <w:tc>
          <w:tcPr>
            <w:tcW w:w="1608" w:type="dxa"/>
            <w:shd w:val="clear" w:color="auto" w:fill="auto"/>
            <w:vAlign w:val="center"/>
          </w:tcPr>
          <w:p>
            <w:pPr>
              <w:pStyle w:val="178"/>
            </w:pPr>
            <w:r>
              <w:rPr>
                <w:rFonts w:hint="eastAsia"/>
              </w:rPr>
              <w:t>9.0≤Φ＜12.0</w:t>
            </w:r>
          </w:p>
        </w:tc>
        <w:tc>
          <w:tcPr>
            <w:tcW w:w="1608" w:type="dxa"/>
            <w:vMerge w:val="continue"/>
            <w:shd w:val="clear" w:color="auto" w:fill="auto"/>
            <w:vAlign w:val="center"/>
          </w:tcPr>
          <w:p>
            <w:pPr>
              <w:pStyle w:val="178"/>
            </w:pPr>
          </w:p>
        </w:tc>
        <w:tc>
          <w:tcPr>
            <w:tcW w:w="1538" w:type="dxa"/>
            <w:vMerge w:val="continue"/>
            <w:shd w:val="clear" w:color="auto" w:fill="auto"/>
            <w:vAlign w:val="center"/>
          </w:tcPr>
          <w:p>
            <w:pPr>
              <w:pStyle w:val="178"/>
            </w:pPr>
          </w:p>
        </w:tc>
        <w:tc>
          <w:tcPr>
            <w:tcW w:w="1538" w:type="dxa"/>
            <w:vMerge w:val="continue"/>
            <w:shd w:val="clear" w:color="auto" w:fill="auto"/>
            <w:vAlign w:val="center"/>
          </w:tcPr>
          <w:p>
            <w:pPr>
              <w:pStyle w:val="178"/>
            </w:pPr>
          </w:p>
        </w:tc>
        <w:tc>
          <w:tcPr>
            <w:tcW w:w="1504" w:type="dxa"/>
            <w:vMerge w:val="continue"/>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8" w:type="dxa"/>
            <w:shd w:val="clear" w:color="auto" w:fill="auto"/>
            <w:vAlign w:val="center"/>
          </w:tcPr>
          <w:p>
            <w:pPr>
              <w:pStyle w:val="178"/>
            </w:pPr>
            <w:r>
              <w:rPr>
                <w:rFonts w:hint="eastAsia"/>
              </w:rPr>
              <w:t>三级</w:t>
            </w:r>
          </w:p>
        </w:tc>
        <w:tc>
          <w:tcPr>
            <w:tcW w:w="1608" w:type="dxa"/>
            <w:shd w:val="clear" w:color="auto" w:fill="auto"/>
            <w:vAlign w:val="center"/>
          </w:tcPr>
          <w:p>
            <w:pPr>
              <w:pStyle w:val="178"/>
            </w:pPr>
            <w:r>
              <w:rPr>
                <w:rFonts w:hint="eastAsia"/>
              </w:rPr>
              <w:t>7.0≤Φ＜9.0</w:t>
            </w:r>
          </w:p>
        </w:tc>
        <w:tc>
          <w:tcPr>
            <w:tcW w:w="1608" w:type="dxa"/>
            <w:vMerge w:val="continue"/>
            <w:shd w:val="clear" w:color="auto" w:fill="auto"/>
            <w:vAlign w:val="center"/>
          </w:tcPr>
          <w:p>
            <w:pPr>
              <w:pStyle w:val="178"/>
            </w:pPr>
          </w:p>
        </w:tc>
        <w:tc>
          <w:tcPr>
            <w:tcW w:w="1538" w:type="dxa"/>
            <w:vMerge w:val="continue"/>
            <w:shd w:val="clear" w:color="auto" w:fill="auto"/>
            <w:vAlign w:val="center"/>
          </w:tcPr>
          <w:p>
            <w:pPr>
              <w:pStyle w:val="178"/>
            </w:pPr>
          </w:p>
        </w:tc>
        <w:tc>
          <w:tcPr>
            <w:tcW w:w="1538" w:type="dxa"/>
            <w:vMerge w:val="continue"/>
            <w:shd w:val="clear" w:color="auto" w:fill="auto"/>
            <w:vAlign w:val="center"/>
          </w:tcPr>
          <w:p>
            <w:pPr>
              <w:pStyle w:val="178"/>
            </w:pPr>
          </w:p>
        </w:tc>
        <w:tc>
          <w:tcPr>
            <w:tcW w:w="1504" w:type="dxa"/>
            <w:vMerge w:val="continue"/>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38" w:type="dxa"/>
            <w:shd w:val="clear" w:color="auto" w:fill="auto"/>
            <w:vAlign w:val="center"/>
          </w:tcPr>
          <w:p>
            <w:pPr>
              <w:pStyle w:val="178"/>
            </w:pPr>
            <w:r>
              <w:rPr>
                <w:rFonts w:hint="eastAsia"/>
              </w:rPr>
              <w:t>四级</w:t>
            </w:r>
          </w:p>
        </w:tc>
        <w:tc>
          <w:tcPr>
            <w:tcW w:w="1608" w:type="dxa"/>
            <w:shd w:val="clear" w:color="auto" w:fill="auto"/>
            <w:vAlign w:val="center"/>
          </w:tcPr>
          <w:p>
            <w:pPr>
              <w:pStyle w:val="178"/>
            </w:pPr>
            <w:r>
              <w:rPr>
                <w:rFonts w:hint="eastAsia"/>
              </w:rPr>
              <w:t>5.0≤Φ＜7.0</w:t>
            </w:r>
          </w:p>
        </w:tc>
        <w:tc>
          <w:tcPr>
            <w:tcW w:w="1608" w:type="dxa"/>
            <w:vMerge w:val="continue"/>
            <w:shd w:val="clear" w:color="auto" w:fill="auto"/>
            <w:vAlign w:val="center"/>
          </w:tcPr>
          <w:p>
            <w:pPr>
              <w:pStyle w:val="178"/>
            </w:pPr>
          </w:p>
        </w:tc>
        <w:tc>
          <w:tcPr>
            <w:tcW w:w="1538" w:type="dxa"/>
            <w:vMerge w:val="continue"/>
            <w:shd w:val="clear" w:color="auto" w:fill="auto"/>
            <w:vAlign w:val="center"/>
          </w:tcPr>
          <w:p>
            <w:pPr>
              <w:pStyle w:val="178"/>
            </w:pPr>
          </w:p>
        </w:tc>
        <w:tc>
          <w:tcPr>
            <w:tcW w:w="1538" w:type="dxa"/>
            <w:vMerge w:val="continue"/>
            <w:shd w:val="clear" w:color="auto" w:fill="auto"/>
            <w:vAlign w:val="center"/>
          </w:tcPr>
          <w:p>
            <w:pPr>
              <w:pStyle w:val="178"/>
            </w:pPr>
          </w:p>
        </w:tc>
        <w:tc>
          <w:tcPr>
            <w:tcW w:w="1504" w:type="dxa"/>
            <w:vMerge w:val="continue"/>
          </w:tcPr>
          <w:p>
            <w:pPr>
              <w:pStyle w:val="178"/>
            </w:pPr>
          </w:p>
        </w:tc>
      </w:tr>
    </w:tbl>
    <w:p>
      <w:pPr>
        <w:pStyle w:val="65"/>
        <w:spacing w:before="120" w:after="120"/>
      </w:pPr>
      <w:r>
        <w:rPr>
          <w:rFonts w:hint="eastAsia"/>
        </w:rPr>
        <w:t>不合格苗木</w:t>
      </w:r>
    </w:p>
    <w:p>
      <w:pPr>
        <w:pStyle w:val="56"/>
        <w:ind w:firstLine="420"/>
      </w:pPr>
      <w:r>
        <w:rPr>
          <w:rFonts w:hint="eastAsia"/>
        </w:rPr>
        <w:t>苗木根系、外观、苗径中任一项指标达不到规定要求的（见表1），即为不合格苗木。不合格苗木的比例高于5.0</w:t>
      </w:r>
      <w:r>
        <w:rPr>
          <w:rFonts w:hint="eastAsia"/>
          <w:w w:val="50"/>
        </w:rPr>
        <w:t xml:space="preserve"> </w:t>
      </w:r>
      <w:r>
        <w:rPr>
          <w:rFonts w:hint="eastAsia"/>
        </w:rPr>
        <w:t>%，或苗木品种纯度达不到规定要求的，该批苗木不合格。</w:t>
      </w:r>
    </w:p>
    <w:p>
      <w:pPr>
        <w:pStyle w:val="65"/>
        <w:spacing w:before="120" w:after="120"/>
      </w:pPr>
      <w:r>
        <w:rPr>
          <w:rFonts w:hint="eastAsia"/>
        </w:rPr>
        <w:t>苗木要求</w:t>
      </w:r>
    </w:p>
    <w:p>
      <w:pPr>
        <w:pStyle w:val="56"/>
        <w:ind w:firstLine="420"/>
      </w:pPr>
      <w:r>
        <w:rPr>
          <w:rFonts w:hint="eastAsia"/>
        </w:rPr>
        <w:t>苗木起苗前地面干燥的要提前浇水，理顺畦行，用锄头深挖，应尽可能保持根系的完整性，生长健壮，无病虫害。苗木按分级标准分类捆扎。每扎50株或100株。每1</w:t>
      </w:r>
      <w:r>
        <w:rPr>
          <w:rFonts w:hint="eastAsia"/>
          <w:vertAlign w:val="subscript"/>
        </w:rPr>
        <w:t xml:space="preserve"> </w:t>
      </w:r>
      <w:r>
        <w:rPr>
          <w:rFonts w:hint="eastAsia"/>
        </w:rPr>
        <w:t>000株或2</w:t>
      </w:r>
      <w:r>
        <w:rPr>
          <w:rFonts w:hint="eastAsia"/>
          <w:vertAlign w:val="subscript"/>
        </w:rPr>
        <w:t xml:space="preserve"> </w:t>
      </w:r>
      <w:r>
        <w:rPr>
          <w:rFonts w:hint="eastAsia"/>
        </w:rPr>
        <w:t>000株作一大捆，挂上标签。</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检验</w:t>
      </w:r>
    </w:p>
    <w:p>
      <w:pPr>
        <w:pStyle w:val="65"/>
        <w:spacing w:before="120" w:after="120"/>
      </w:pPr>
      <w:r>
        <w:rPr>
          <w:rFonts w:hint="eastAsia"/>
        </w:rPr>
        <w:t>抽样</w:t>
      </w:r>
    </w:p>
    <w:p>
      <w:pPr>
        <w:pStyle w:val="94"/>
        <w:spacing w:before="120" w:after="120"/>
      </w:pPr>
      <w:r>
        <w:rPr>
          <w:rFonts w:hint="eastAsia"/>
        </w:rPr>
        <w:t>品种纯度检验抽样</w:t>
      </w:r>
    </w:p>
    <w:p>
      <w:pPr>
        <w:pStyle w:val="56"/>
        <w:ind w:firstLine="420"/>
      </w:pPr>
      <w:r>
        <w:rPr>
          <w:rFonts w:hint="eastAsia"/>
        </w:rPr>
        <w:t>在苗木生长期或起苗后进行。按照GB/T 19177的要求进行。</w:t>
      </w:r>
    </w:p>
    <w:p>
      <w:pPr>
        <w:pStyle w:val="94"/>
        <w:spacing w:before="120" w:after="120"/>
      </w:pPr>
      <w:r>
        <w:rPr>
          <w:rFonts w:hint="eastAsia"/>
        </w:rPr>
        <w:t>苗木质量检验抽样</w:t>
      </w:r>
    </w:p>
    <w:p>
      <w:pPr>
        <w:pStyle w:val="56"/>
        <w:ind w:firstLine="420"/>
      </w:pPr>
      <w:r>
        <w:rPr>
          <w:rFonts w:hint="eastAsia"/>
        </w:rPr>
        <w:t>起苗分级后进行，按GB 19173的数量要求抽样检验。</w:t>
      </w:r>
    </w:p>
    <w:p>
      <w:pPr>
        <w:pStyle w:val="94"/>
        <w:spacing w:before="120" w:after="120"/>
      </w:pPr>
      <w:r>
        <w:rPr>
          <w:rFonts w:hint="eastAsia"/>
        </w:rPr>
        <w:t>检验方法与判定</w:t>
      </w:r>
    </w:p>
    <w:p>
      <w:pPr>
        <w:pStyle w:val="56"/>
        <w:ind w:firstLine="420"/>
      </w:pPr>
      <w:r>
        <w:rPr>
          <w:rFonts w:hint="eastAsia"/>
        </w:rPr>
        <w:t>按照GB/T 19177的规定执行。</w:t>
      </w:r>
    </w:p>
    <w:p>
      <w:pPr>
        <w:pStyle w:val="104"/>
        <w:spacing w:before="240" w:after="240"/>
      </w:pPr>
      <w:r>
        <w:rPr>
          <w:rFonts w:hint="eastAsia"/>
        </w:rPr>
        <w:t>包装、标志和运输</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包装</w:t>
      </w:r>
    </w:p>
    <w:p>
      <w:pPr>
        <w:pStyle w:val="56"/>
        <w:ind w:firstLine="420"/>
      </w:pPr>
      <w:r>
        <w:rPr>
          <w:rFonts w:hint="eastAsia"/>
        </w:rPr>
        <w:t>桑树扦插苗每50</w:t>
      </w:r>
      <w:r>
        <w:rPr>
          <w:w w:val="50"/>
        </w:rPr>
        <w:t xml:space="preserve"> </w:t>
      </w:r>
      <w:r>
        <w:rPr>
          <w:rFonts w:hint="eastAsia"/>
        </w:rPr>
        <w:t>株或100</w:t>
      </w:r>
      <w:r>
        <w:rPr>
          <w:w w:val="50"/>
        </w:rPr>
        <w:t xml:space="preserve"> </w:t>
      </w:r>
      <w:r>
        <w:rPr>
          <w:rFonts w:hint="eastAsia"/>
        </w:rPr>
        <w:t>株扎成一捆。</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标志</w:t>
      </w:r>
      <w:bookmarkStart w:id="42" w:name="_GoBack"/>
      <w:bookmarkEnd w:id="42"/>
    </w:p>
    <w:p>
      <w:pPr>
        <w:pStyle w:val="56"/>
        <w:ind w:firstLine="420"/>
      </w:pPr>
      <w:r>
        <w:rPr>
          <w:rFonts w:hint="eastAsia"/>
        </w:rPr>
        <w:t>桑树苗木应附标签，标签应符合GB 20464的规定。</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r>
        <w:rPr>
          <w:rFonts w:hint="eastAsia"/>
        </w:rPr>
        <w:t>运输</w:t>
      </w:r>
    </w:p>
    <w:p>
      <w:pPr>
        <w:pStyle w:val="56"/>
        <w:ind w:firstLine="420"/>
      </w:pPr>
      <w:r>
        <w:rPr>
          <w:rFonts w:hint="eastAsia"/>
        </w:rPr>
        <w:t>苗木运输时根部沾黄泥浆，同时注意运输过程中应防止长时间堆积重压，遮篷布，避免风吹日晒和冻害。</w:t>
      </w:r>
    </w:p>
    <w:p>
      <w:pPr>
        <w:pStyle w:val="104"/>
        <w:spacing w:before="240" w:after="240"/>
      </w:pPr>
      <w:r>
        <w:rPr>
          <w:rFonts w:hint="eastAsia"/>
        </w:rPr>
        <w:t>育苗技术建档</w:t>
      </w:r>
    </w:p>
    <w:p>
      <w:pPr>
        <w:pStyle w:val="56"/>
        <w:ind w:firstLine="420"/>
      </w:pPr>
      <w:r>
        <w:rPr>
          <w:rFonts w:hint="eastAsia"/>
        </w:rPr>
        <w:t>按照GB/T 6001执行。</w:t>
      </w:r>
    </w:p>
    <w:bookmarkEnd w:id="22"/>
    <w:p>
      <w:pPr>
        <w:pStyle w:val="56"/>
        <w:ind w:firstLine="0" w:firstLineChars="0"/>
        <w:jc w:val="center"/>
      </w:pPr>
      <w:bookmarkStart w:id="41" w:name="BookMark8"/>
      <w:r>
        <w:rPr>
          <w:lang w:bidi="th-TH"/>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Arial Unicode MS"/>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5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C9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275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B27"/>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2B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8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041"/>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79F"/>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D8E"/>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A25"/>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223"/>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C52"/>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2A1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C91"/>
    <w:rsid w:val="00714F58"/>
    <w:rsid w:val="00722FBF"/>
    <w:rsid w:val="00722FC2"/>
    <w:rsid w:val="00724E1B"/>
    <w:rsid w:val="00725949"/>
    <w:rsid w:val="00727FA2"/>
    <w:rsid w:val="00730F2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2D0"/>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E0E"/>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2BB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BA6"/>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6F8E"/>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529"/>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9F4"/>
    <w:rsid w:val="00AA052C"/>
    <w:rsid w:val="00AA1E45"/>
    <w:rsid w:val="00AA376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09B"/>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776"/>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129"/>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F1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EEF"/>
    <w:rsid w:val="00D21E81"/>
    <w:rsid w:val="00D223DE"/>
    <w:rsid w:val="00D22A2D"/>
    <w:rsid w:val="00D25E37"/>
    <w:rsid w:val="00D2661A"/>
    <w:rsid w:val="00D27582"/>
    <w:rsid w:val="00D27EC4"/>
    <w:rsid w:val="00D32719"/>
    <w:rsid w:val="00D33333"/>
    <w:rsid w:val="00D352A2"/>
    <w:rsid w:val="00D3738E"/>
    <w:rsid w:val="00D4162B"/>
    <w:rsid w:val="00D43A6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255"/>
    <w:rsid w:val="00DD00FF"/>
    <w:rsid w:val="00DD0619"/>
    <w:rsid w:val="00DD07FB"/>
    <w:rsid w:val="00DD1C76"/>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8C6"/>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3A7"/>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5633"/>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6A8C"/>
    <w:rsid w:val="00F420D5"/>
    <w:rsid w:val="00F427F8"/>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0F78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D31DF8A9CDA4E4B81B6D1832B49630B"/>
        <w:style w:val=""/>
        <w:category>
          <w:name w:val="常规"/>
          <w:gallery w:val="placeholder"/>
        </w:category>
        <w:types>
          <w:type w:val="bbPlcHdr"/>
        </w:types>
        <w:behaviors>
          <w:behavior w:val="content"/>
        </w:behaviors>
        <w:description w:val=""/>
        <w:guid w:val="{7A6970D3-281F-41EB-BD28-3316596D48D2}"/>
      </w:docPartPr>
      <w:docPartBody>
        <w:p>
          <w:pPr>
            <w:pStyle w:val="5"/>
          </w:pPr>
          <w:r>
            <w:rPr>
              <w:rStyle w:val="4"/>
              <w:rFonts w:hint="eastAsia"/>
            </w:rPr>
            <w:t>单击或点击此处输入文字。</w:t>
          </w:r>
        </w:p>
      </w:docPartBody>
    </w:docPart>
    <w:docPart>
      <w:docPartPr>
        <w:name w:val="3F6085A00644495F9927B20AC411E7DF"/>
        <w:style w:val=""/>
        <w:category>
          <w:name w:val="常规"/>
          <w:gallery w:val="placeholder"/>
        </w:category>
        <w:types>
          <w:type w:val="bbPlcHdr"/>
        </w:types>
        <w:behaviors>
          <w:behavior w:val="content"/>
        </w:behaviors>
        <w:description w:val=""/>
        <w:guid w:val="{F7EDF9EF-29D8-467E-B2F0-30A271A2FB3C}"/>
      </w:docPartPr>
      <w:docPartBody>
        <w:p>
          <w:pPr>
            <w:pStyle w:val="6"/>
          </w:pPr>
          <w:r>
            <w:rPr>
              <w:rStyle w:val="4"/>
              <w:rFonts w:hint="eastAsia"/>
            </w:rPr>
            <w:t>选择一项。</w:t>
          </w:r>
        </w:p>
      </w:docPartBody>
    </w:docPart>
    <w:docPart>
      <w:docPartPr>
        <w:name w:val="34202DCB11904F5BB3D4C2A36FBD9C2C"/>
        <w:style w:val=""/>
        <w:category>
          <w:name w:val="常规"/>
          <w:gallery w:val="placeholder"/>
        </w:category>
        <w:types>
          <w:type w:val="bbPlcHdr"/>
        </w:types>
        <w:behaviors>
          <w:behavior w:val="content"/>
        </w:behaviors>
        <w:description w:val=""/>
        <w:guid w:val="{56B512EC-6C57-47FC-AC21-523E7A960CA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rdia New">
    <w:panose1 w:val="020B0304020202020204"/>
    <w:charset w:val="00"/>
    <w:family w:val="swiss"/>
    <w:pitch w:val="default"/>
    <w:sig w:usb0="81000003" w:usb1="00000000" w:usb2="00000000" w:usb3="00000000" w:csb0="00010001"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90D"/>
    <w:rsid w:val="000000AA"/>
    <w:rsid w:val="001B31E5"/>
    <w:rsid w:val="002F30E9"/>
    <w:rsid w:val="002F490D"/>
    <w:rsid w:val="003B56E3"/>
    <w:rsid w:val="006A5F34"/>
    <w:rsid w:val="006E1D57"/>
    <w:rsid w:val="007D406E"/>
    <w:rsid w:val="009D58FE"/>
    <w:rsid w:val="00BA3457"/>
    <w:rsid w:val="00C81C40"/>
    <w:rsid w:val="00E02A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D31DF8A9CDA4E4B81B6D1832B49630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F6085A00644495F9927B20AC411E7D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4202DCB11904F5BB3D4C2A36FBD9C2C"/>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5BAA0D-C297-4171-8423-9FD351A4CCA2}">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6</Pages>
  <Words>500</Words>
  <Characters>2855</Characters>
  <Lines>23</Lines>
  <Paragraphs>6</Paragraphs>
  <TotalTime>549</TotalTime>
  <ScaleCrop>false</ScaleCrop>
  <LinksUpToDate>false</LinksUpToDate>
  <CharactersWithSpaces>3349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2021-09-13T09:05:00Z</dcterms:created>
  <dc:creator>Administrator</dc:creator>
  <dc:description>&lt;config cover="true" show_menu="true" version="1.0.0" doctype="SDKXY"&gt;_x000d_
&lt;/config&gt;</dc:description>
  <cp:lastModifiedBy>誰念誰川</cp:lastModifiedBy>
  <cp:lastPrinted>2021-02-02T08:22:00Z</cp:lastPrinted>
  <dcterms:modified xsi:type="dcterms:W3CDTF">2021-10-28T03:29:00Z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2052-11.1.0.10938</vt:lpwstr>
  </property>
  <property fmtid="{D5CDD505-2E9C-101B-9397-08002B2CF9AE}" pid="15" name="ICV">
    <vt:lpwstr>223EC670262F4D26A54C45D565B3D3E6</vt:lpwstr>
  </property>
</Properties>
</file>