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pPr>
        <w:pStyle w:val="195"/>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夏大豆品种桂夏7号生产技术规程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Technical regulation of producting summer soybean guixia 7</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360"/>
      </w:pPr>
      <w:bookmarkStart w:id="21" w:name="BookMark2"/>
      <w:bookmarkStart w:id="22" w:name="BookMark4"/>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本文件由广西壮族自治区农业科学院经济作物研究所提出。</w:t>
      </w:r>
    </w:p>
    <w:p>
      <w:pPr>
        <w:pStyle w:val="56"/>
        <w:ind w:firstLine="420"/>
      </w:pPr>
      <w:r>
        <w:rPr>
          <w:rFonts w:hint="eastAsia"/>
        </w:rPr>
        <w:t>本文件由广西壮族自治区农业科学院经济作物研究所归口。</w:t>
      </w:r>
    </w:p>
    <w:p>
      <w:pPr>
        <w:pStyle w:val="56"/>
        <w:ind w:firstLine="420"/>
      </w:pPr>
      <w:r>
        <w:rPr>
          <w:rFonts w:hint="eastAsia"/>
        </w:rPr>
        <w:t>本文件起草单位：广西壮族自治区农业科学院经济作物研究所。</w:t>
      </w:r>
    </w:p>
    <w:p>
      <w:pPr>
        <w:pStyle w:val="56"/>
        <w:ind w:firstLine="420"/>
      </w:pPr>
      <w:r>
        <w:rPr>
          <w:rFonts w:hint="eastAsia"/>
        </w:rPr>
        <w:t>本文件主要起草人：韦清源、陈渊、梁江、汤复跃、陈文杰、郭小红。</w:t>
      </w:r>
    </w:p>
    <w:p>
      <w:pPr>
        <w:pStyle w:val="56"/>
        <w:ind w:firstLine="420"/>
      </w:pPr>
    </w:p>
    <w:p>
      <w:pPr>
        <w:pStyle w:val="56"/>
        <w:ind w:firstLine="420"/>
        <w:sectPr>
          <w:headerReference r:id="rId9" w:type="default"/>
          <w:footerReference r:id="rId11" w:type="default"/>
          <w:headerReference r:id="rId10" w:type="even"/>
          <w:pgSz w:w="11906" w:h="16838"/>
          <w:pgMar w:top="567" w:right="1134" w:bottom="1134" w:left="1134" w:header="1418" w:footer="1134" w:gutter="284"/>
          <w:pgNumType w:fmt="upperRoman" w:start="1"/>
          <w:cols w:space="425" w:num="1"/>
          <w:formProt w:val="0"/>
          <w:docGrid w:linePitch="312" w:charSpace="0"/>
        </w:sectPr>
      </w:pPr>
    </w:p>
    <w:bookmarkEnd w:id="21"/>
    <w:p>
      <w:pPr>
        <w:spacing w:line="20" w:lineRule="exact"/>
        <w:jc w:val="center"/>
        <w:rPr>
          <w:rFonts w:ascii="黑体" w:hAnsi="黑体" w:eastAsia="黑体"/>
          <w:sz w:val="32"/>
          <w:szCs w:val="32"/>
        </w:rPr>
      </w:pPr>
    </w:p>
    <w:p>
      <w:pPr>
        <w:spacing w:line="20" w:lineRule="exact"/>
        <w:jc w:val="center"/>
        <w:rPr>
          <w:rFonts w:ascii="黑体" w:hAnsi="黑体" w:eastAsia="黑体"/>
          <w:sz w:val="32"/>
          <w:szCs w:val="32"/>
        </w:rPr>
      </w:pPr>
    </w:p>
    <w:sdt>
      <w:sdtPr>
        <w:tag w:val="NEW_STAND_NAME"/>
        <w:id w:val="595910757"/>
        <w:lock w:val="sdtLocked"/>
        <w:placeholder>
          <w:docPart w:val="695C5F32C2624560B5B2032E53A04214"/>
        </w:placeholder>
      </w:sdtPr>
      <w:sdtContent>
        <w:p>
          <w:pPr>
            <w:pStyle w:val="177"/>
            <w:spacing w:before="240" w:beforeLines="100" w:after="528" w:afterLines="220"/>
          </w:pPr>
          <w:bookmarkStart w:id="23" w:name="NEW_STAND_NAME"/>
          <w:r>
            <w:rPr>
              <w:rFonts w:hint="eastAsia"/>
            </w:rPr>
            <w:t>夏大豆品种桂夏</w:t>
          </w:r>
          <w:r>
            <w:t>7号生产技术规程</w:t>
          </w:r>
        </w:p>
      </w:sdtContent>
    </w:sdt>
    <w:bookmarkEnd w:id="23"/>
    <w:p>
      <w:pPr>
        <w:pStyle w:val="104"/>
        <w:spacing w:before="240" w:after="240"/>
      </w:pPr>
      <w:bookmarkStart w:id="24" w:name="_Toc24884211"/>
      <w:bookmarkStart w:id="25" w:name="_Toc26648465"/>
      <w:bookmarkStart w:id="26" w:name="_Toc17233325"/>
      <w:bookmarkStart w:id="27" w:name="_Toc24884218"/>
      <w:bookmarkStart w:id="28" w:name="_Toc26986530"/>
      <w:bookmarkStart w:id="29" w:name="_Toc26986771"/>
      <w:bookmarkStart w:id="30" w:name="_Toc26718930"/>
      <w:bookmarkStart w:id="31" w:name="_Toc17233333"/>
      <w:r>
        <w:rPr>
          <w:rFonts w:hint="eastAsia"/>
        </w:rPr>
        <w:t>范围</w:t>
      </w:r>
      <w:bookmarkEnd w:id="24"/>
      <w:bookmarkEnd w:id="25"/>
      <w:bookmarkEnd w:id="26"/>
      <w:bookmarkEnd w:id="27"/>
      <w:bookmarkEnd w:id="28"/>
      <w:bookmarkEnd w:id="29"/>
      <w:bookmarkEnd w:id="30"/>
      <w:bookmarkEnd w:id="31"/>
    </w:p>
    <w:p>
      <w:pPr>
        <w:pStyle w:val="56"/>
        <w:ind w:firstLine="420"/>
      </w:pPr>
      <w:bookmarkStart w:id="32" w:name="_Toc17233334"/>
      <w:bookmarkStart w:id="33" w:name="_Toc24884212"/>
      <w:bookmarkStart w:id="34" w:name="_Toc26648466"/>
      <w:bookmarkStart w:id="35" w:name="_Toc24884219"/>
      <w:bookmarkStart w:id="36" w:name="_Toc17233326"/>
      <w:r>
        <w:rPr>
          <w:rFonts w:hint="eastAsia"/>
        </w:rPr>
        <w:t>本</w:t>
      </w:r>
      <w:r>
        <w:rPr>
          <w:rFonts w:hint="eastAsia"/>
          <w:lang w:eastAsia="zh-CN"/>
        </w:rPr>
        <w:t>文件</w:t>
      </w:r>
      <w:r>
        <w:rPr>
          <w:rFonts w:hint="eastAsia"/>
        </w:rPr>
        <w:t>规定了夏大豆“桂夏7号”的品种来源、特征特性、产量水平、播种、土水肥管理、病虫害防治和收获。</w:t>
      </w:r>
    </w:p>
    <w:p>
      <w:pPr>
        <w:pStyle w:val="56"/>
        <w:ind w:firstLine="420"/>
      </w:pPr>
      <w:r>
        <w:rPr>
          <w:rFonts w:hint="eastAsia"/>
        </w:rPr>
        <w:t>本</w:t>
      </w:r>
      <w:r>
        <w:rPr>
          <w:rFonts w:hint="eastAsia"/>
          <w:lang w:eastAsia="zh-CN"/>
        </w:rPr>
        <w:t>文件</w:t>
      </w:r>
      <w:r>
        <w:rPr>
          <w:rFonts w:hint="eastAsia"/>
        </w:rPr>
        <w:t>适用于夏大豆“桂夏7号”品种和生产。</w:t>
      </w:r>
      <w:bookmarkStart w:id="41" w:name="_GoBack"/>
      <w:bookmarkEnd w:id="41"/>
    </w:p>
    <w:p>
      <w:pPr>
        <w:pStyle w:val="104"/>
        <w:spacing w:before="240" w:after="240"/>
      </w:pPr>
      <w:bookmarkStart w:id="37" w:name="_Toc26986772"/>
      <w:bookmarkStart w:id="38" w:name="_Toc26986531"/>
      <w:bookmarkStart w:id="39" w:name="_Toc267189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F935C205A5D243358AB2D32B82B3AA0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1"/>
        <w:ind w:firstLine="400"/>
      </w:pPr>
      <w:r>
        <w:rPr>
          <w:rFonts w:hint="eastAsia"/>
        </w:rPr>
        <w:t>GB4404.2粮食作物种子第2部分：豆类。</w:t>
      </w:r>
    </w:p>
    <w:p>
      <w:pPr>
        <w:pStyle w:val="231"/>
        <w:ind w:firstLine="400"/>
      </w:pPr>
      <w:r>
        <w:rPr>
          <w:rFonts w:hint="eastAsia"/>
        </w:rPr>
        <w:t>GB/T8321(所有部分）农药合理使用准则。</w:t>
      </w:r>
    </w:p>
    <w:p>
      <w:pPr>
        <w:pStyle w:val="231"/>
        <w:ind w:firstLine="400"/>
      </w:pPr>
      <w:r>
        <w:rPr>
          <w:rFonts w:hint="eastAsia"/>
        </w:rPr>
        <w:t>NY/T496肥料合理使用准则通则。</w:t>
      </w:r>
    </w:p>
    <w:p>
      <w:pPr>
        <w:pStyle w:val="104"/>
        <w:spacing w:before="240" w:after="240"/>
      </w:pPr>
      <w:r>
        <w:rPr>
          <w:rFonts w:hint="eastAsia"/>
        </w:rPr>
        <w:t>术语和定义</w:t>
      </w:r>
    </w:p>
    <w:sdt>
      <w:sdtPr>
        <w:id w:val="-1909835108"/>
        <w:placeholder>
          <w:docPart w:val="CF334F69D4FB495286E9E94AE58C858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0" w:name="_Toc26986532"/>
          <w:bookmarkEnd w:id="40"/>
          <w:r>
            <w:t>本文件没有需要界定的术语和定义。</w:t>
          </w:r>
        </w:p>
      </w:sdtContent>
    </w:sdt>
    <w:p>
      <w:pPr>
        <w:pStyle w:val="104"/>
        <w:spacing w:before="240" w:after="240"/>
      </w:pPr>
      <w:r>
        <w:rPr>
          <w:rFonts w:hint="eastAsia"/>
        </w:rPr>
        <w:t>品种来源</w:t>
      </w:r>
    </w:p>
    <w:p>
      <w:pPr>
        <w:pStyle w:val="105"/>
        <w:spacing w:before="120" w:after="120"/>
      </w:pPr>
      <w:r>
        <w:rPr>
          <w:rFonts w:hint="eastAsia" w:hAnsi="黑体"/>
        </w:rPr>
        <w:t>亲本来源</w:t>
      </w:r>
    </w:p>
    <w:p>
      <w:pPr>
        <w:pStyle w:val="56"/>
        <w:ind w:firstLine="420"/>
      </w:pPr>
      <w:r>
        <w:rPr>
          <w:rFonts w:hint="eastAsia"/>
        </w:rPr>
        <w:t>桂M</w:t>
      </w:r>
      <w:r>
        <w:t>32</w:t>
      </w:r>
      <w:r>
        <w:rPr>
          <w:rFonts w:hint="eastAsia"/>
        </w:rPr>
        <w:t>×桂夏</w:t>
      </w:r>
      <w:r>
        <w:t>2</w:t>
      </w:r>
      <w:r>
        <w:rPr>
          <w:rFonts w:hint="eastAsia"/>
        </w:rPr>
        <w:t>号。</w:t>
      </w:r>
    </w:p>
    <w:p>
      <w:pPr>
        <w:pStyle w:val="105"/>
        <w:spacing w:before="120" w:after="120"/>
        <w:rPr>
          <w:rFonts w:hAnsi="黑体"/>
        </w:rPr>
      </w:pPr>
      <w:r>
        <w:rPr>
          <w:rFonts w:hint="eastAsia" w:hAnsi="黑体"/>
        </w:rPr>
        <w:t>选育方法</w:t>
      </w:r>
    </w:p>
    <w:p>
      <w:pPr>
        <w:pStyle w:val="56"/>
        <w:ind w:firstLine="420"/>
      </w:pPr>
      <w:r>
        <w:rPr>
          <w:rFonts w:hint="eastAsia"/>
        </w:rPr>
        <w:t>杂交选育。</w:t>
      </w:r>
    </w:p>
    <w:p>
      <w:pPr>
        <w:pStyle w:val="105"/>
        <w:spacing w:before="120" w:after="120"/>
        <w:rPr>
          <w:rFonts w:hAnsi="黑体"/>
        </w:rPr>
      </w:pPr>
      <w:r>
        <w:rPr>
          <w:rFonts w:hint="eastAsia" w:hAnsi="黑体"/>
        </w:rPr>
        <w:t>是否转基因</w:t>
      </w:r>
    </w:p>
    <w:p>
      <w:pPr>
        <w:pStyle w:val="56"/>
        <w:ind w:firstLine="420"/>
      </w:pPr>
      <w:r>
        <w:rPr>
          <w:rFonts w:hint="eastAsia"/>
        </w:rPr>
        <w:t>非转基因，转基因检测结果见附录</w:t>
      </w:r>
      <w:r>
        <w:t>1</w:t>
      </w:r>
      <w:r>
        <w:rPr>
          <w:rFonts w:hint="eastAsia"/>
        </w:rPr>
        <w:t>。</w:t>
      </w:r>
    </w:p>
    <w:p>
      <w:pPr>
        <w:pStyle w:val="105"/>
        <w:spacing w:before="120" w:after="120"/>
        <w:rPr>
          <w:rFonts w:hAnsi="黑体"/>
        </w:rPr>
      </w:pPr>
      <w:r>
        <w:rPr>
          <w:rFonts w:hint="eastAsia" w:hAnsi="黑体"/>
        </w:rPr>
        <w:t>育成年份</w:t>
      </w:r>
    </w:p>
    <w:p>
      <w:pPr>
        <w:pStyle w:val="56"/>
        <w:ind w:firstLine="420"/>
      </w:pPr>
      <w:r>
        <w:rPr>
          <w:rFonts w:hint="eastAsia"/>
        </w:rPr>
        <w:t>201</w:t>
      </w:r>
      <w:r>
        <w:t>5</w:t>
      </w:r>
      <w:r>
        <w:rPr>
          <w:rFonts w:hint="eastAsia"/>
        </w:rPr>
        <w:t>年。</w:t>
      </w:r>
    </w:p>
    <w:p>
      <w:pPr>
        <w:pStyle w:val="105"/>
        <w:spacing w:before="120" w:after="120"/>
        <w:rPr>
          <w:rFonts w:hAnsi="黑体"/>
        </w:rPr>
      </w:pPr>
      <w:r>
        <w:rPr>
          <w:rFonts w:hint="eastAsia" w:hAnsi="黑体"/>
        </w:rPr>
        <w:t>选育单位</w:t>
      </w:r>
    </w:p>
    <w:p>
      <w:pPr>
        <w:pStyle w:val="56"/>
        <w:ind w:firstLine="420"/>
      </w:pPr>
      <w:r>
        <w:rPr>
          <w:rFonts w:hint="eastAsia"/>
        </w:rPr>
        <w:t>广西壮族自治区农业科学院经济作物研究所，广西壮族自治区农业科学院玉米研究所。</w:t>
      </w:r>
    </w:p>
    <w:p>
      <w:pPr>
        <w:pStyle w:val="104"/>
        <w:spacing w:before="240" w:after="240"/>
        <w:rPr>
          <w:rFonts w:hAnsi="黑体"/>
        </w:rPr>
      </w:pPr>
      <w:r>
        <w:rPr>
          <w:rFonts w:hint="eastAsia" w:hAnsi="黑体"/>
        </w:rPr>
        <w:t>特征特性</w:t>
      </w:r>
    </w:p>
    <w:p>
      <w:pPr>
        <w:pStyle w:val="105"/>
        <w:spacing w:before="120" w:after="120"/>
        <w:rPr>
          <w:rFonts w:hAnsi="黑体"/>
        </w:rPr>
      </w:pPr>
      <w:r>
        <w:rPr>
          <w:rFonts w:hint="eastAsia" w:hAnsi="黑体"/>
        </w:rPr>
        <w:t>生育期</w:t>
      </w:r>
    </w:p>
    <w:p>
      <w:pPr>
        <w:pStyle w:val="56"/>
        <w:ind w:firstLine="420"/>
      </w:pPr>
      <w:r>
        <w:rPr>
          <w:rFonts w:hint="eastAsia"/>
        </w:rPr>
        <w:t>夏播，6月中下旬～7月上旬播种，</w:t>
      </w:r>
      <w:r>
        <w:t>9</w:t>
      </w:r>
      <w:r>
        <w:rPr>
          <w:rFonts w:hint="eastAsia"/>
        </w:rPr>
        <w:t>月下旬～</w:t>
      </w:r>
      <w:r>
        <w:t>10</w:t>
      </w:r>
      <w:r>
        <w:rPr>
          <w:rFonts w:hint="eastAsia"/>
        </w:rPr>
        <w:t>月中旬成熟，生育期</w:t>
      </w:r>
      <w:r>
        <w:t>100</w:t>
      </w:r>
      <w:r>
        <w:rPr>
          <w:rFonts w:hint="eastAsia"/>
        </w:rPr>
        <w:t>d左右。</w:t>
      </w:r>
    </w:p>
    <w:p>
      <w:pPr>
        <w:pStyle w:val="105"/>
        <w:spacing w:before="120" w:after="120"/>
        <w:rPr>
          <w:rFonts w:hAnsi="黑体"/>
        </w:rPr>
      </w:pPr>
      <w:r>
        <w:rPr>
          <w:rFonts w:hint="eastAsia" w:hAnsi="黑体"/>
        </w:rPr>
        <w:t>植株性状</w:t>
      </w:r>
    </w:p>
    <w:p>
      <w:pPr>
        <w:pStyle w:val="65"/>
        <w:spacing w:before="120" w:after="120"/>
        <w:rPr>
          <w:rFonts w:hAnsi="黑体"/>
        </w:rPr>
      </w:pPr>
      <w:r>
        <w:rPr>
          <w:rFonts w:hint="eastAsia" w:hAnsi="黑体"/>
        </w:rPr>
        <w:t>幼苗基部颜色</w:t>
      </w:r>
    </w:p>
    <w:p>
      <w:pPr>
        <w:pStyle w:val="56"/>
        <w:ind w:firstLine="420"/>
      </w:pPr>
      <w:r>
        <w:rPr>
          <w:rFonts w:hint="eastAsia"/>
        </w:rPr>
        <w:t>紫色。</w:t>
      </w:r>
    </w:p>
    <w:p>
      <w:pPr>
        <w:pStyle w:val="65"/>
        <w:spacing w:before="120" w:after="120"/>
        <w:rPr>
          <w:rFonts w:hAnsi="黑体"/>
        </w:rPr>
      </w:pPr>
      <w:r>
        <w:rPr>
          <w:rFonts w:hint="eastAsia" w:hAnsi="黑体"/>
        </w:rPr>
        <w:t>主茎茸毛颜色</w:t>
      </w:r>
    </w:p>
    <w:p>
      <w:pPr>
        <w:pStyle w:val="56"/>
        <w:ind w:firstLine="420"/>
      </w:pPr>
      <w:r>
        <w:rPr>
          <w:rFonts w:hint="eastAsia"/>
        </w:rPr>
        <w:t>棕色。</w:t>
      </w:r>
    </w:p>
    <w:p>
      <w:pPr>
        <w:pStyle w:val="65"/>
        <w:spacing w:before="120" w:after="120"/>
        <w:rPr>
          <w:rFonts w:hAnsi="黑体"/>
        </w:rPr>
      </w:pPr>
      <w:r>
        <w:rPr>
          <w:rFonts w:hint="eastAsia" w:hAnsi="黑体"/>
        </w:rPr>
        <w:t>小叶形状</w:t>
      </w:r>
    </w:p>
    <w:p>
      <w:pPr>
        <w:pStyle w:val="56"/>
        <w:ind w:firstLine="420"/>
      </w:pPr>
      <w:r>
        <w:rPr>
          <w:rFonts w:hint="eastAsia"/>
        </w:rPr>
        <w:t>椭圆形。</w:t>
      </w:r>
    </w:p>
    <w:p>
      <w:pPr>
        <w:pStyle w:val="65"/>
        <w:spacing w:before="120" w:after="120"/>
        <w:rPr>
          <w:rFonts w:hAnsi="黑体"/>
        </w:rPr>
      </w:pPr>
      <w:r>
        <w:rPr>
          <w:rFonts w:hint="eastAsia" w:hAnsi="黑体"/>
        </w:rPr>
        <w:t>复叶的小叶数</w:t>
      </w:r>
    </w:p>
    <w:p>
      <w:pPr>
        <w:pStyle w:val="56"/>
        <w:ind w:firstLine="420"/>
      </w:pPr>
      <w:r>
        <w:rPr>
          <w:rFonts w:hint="eastAsia"/>
        </w:rPr>
        <w:t>3片。</w:t>
      </w:r>
    </w:p>
    <w:p>
      <w:pPr>
        <w:pStyle w:val="65"/>
        <w:spacing w:before="120" w:after="120"/>
        <w:rPr>
          <w:rFonts w:hAnsi="黑体"/>
        </w:rPr>
      </w:pPr>
      <w:r>
        <w:rPr>
          <w:rFonts w:hint="eastAsia" w:hAnsi="黑体"/>
        </w:rPr>
        <w:t>叶色</w:t>
      </w:r>
    </w:p>
    <w:p>
      <w:pPr>
        <w:pStyle w:val="56"/>
        <w:ind w:firstLine="420"/>
      </w:pPr>
      <w:r>
        <w:rPr>
          <w:rFonts w:hint="eastAsia"/>
        </w:rPr>
        <w:t>绿色。</w:t>
      </w:r>
    </w:p>
    <w:p>
      <w:pPr>
        <w:pStyle w:val="65"/>
        <w:spacing w:before="120" w:after="120"/>
        <w:rPr>
          <w:rFonts w:hAnsi="黑体"/>
        </w:rPr>
      </w:pPr>
      <w:r>
        <w:rPr>
          <w:rFonts w:hint="eastAsia" w:hAnsi="黑体"/>
        </w:rPr>
        <w:t>落叶性</w:t>
      </w:r>
    </w:p>
    <w:p>
      <w:pPr>
        <w:pStyle w:val="56"/>
        <w:ind w:firstLine="420"/>
      </w:pPr>
      <w:r>
        <w:rPr>
          <w:rFonts w:hint="eastAsia"/>
        </w:rPr>
        <w:t>落叶。</w:t>
      </w:r>
    </w:p>
    <w:p>
      <w:pPr>
        <w:pStyle w:val="65"/>
        <w:spacing w:before="120" w:after="120"/>
        <w:rPr>
          <w:rFonts w:hAnsi="黑体"/>
        </w:rPr>
      </w:pPr>
      <w:r>
        <w:rPr>
          <w:rFonts w:hint="eastAsia" w:hAnsi="黑体"/>
        </w:rPr>
        <w:t>花色</w:t>
      </w:r>
    </w:p>
    <w:p>
      <w:pPr>
        <w:pStyle w:val="56"/>
        <w:ind w:firstLine="420"/>
      </w:pPr>
      <w:r>
        <w:rPr>
          <w:rFonts w:hint="eastAsia"/>
        </w:rPr>
        <w:t>紫色。</w:t>
      </w:r>
    </w:p>
    <w:p>
      <w:pPr>
        <w:pStyle w:val="65"/>
        <w:spacing w:before="120" w:after="120"/>
        <w:rPr>
          <w:rFonts w:hAnsi="黑体"/>
        </w:rPr>
      </w:pPr>
      <w:r>
        <w:rPr>
          <w:rFonts w:hint="eastAsia" w:hAnsi="黑体"/>
        </w:rPr>
        <w:t>结荚习性</w:t>
      </w:r>
    </w:p>
    <w:p>
      <w:pPr>
        <w:pStyle w:val="56"/>
        <w:ind w:firstLine="420"/>
      </w:pPr>
      <w:r>
        <w:rPr>
          <w:rFonts w:hint="eastAsia"/>
        </w:rPr>
        <w:t>有限结荚。</w:t>
      </w:r>
    </w:p>
    <w:p>
      <w:pPr>
        <w:pStyle w:val="65"/>
        <w:spacing w:before="120" w:after="120"/>
        <w:rPr>
          <w:rFonts w:hAnsi="黑体"/>
        </w:rPr>
      </w:pPr>
      <w:r>
        <w:rPr>
          <w:rFonts w:hint="eastAsia" w:hAnsi="黑体"/>
        </w:rPr>
        <w:t>株型</w:t>
      </w:r>
    </w:p>
    <w:p>
      <w:pPr>
        <w:pStyle w:val="56"/>
        <w:ind w:firstLine="420"/>
      </w:pPr>
      <w:r>
        <w:rPr>
          <w:rFonts w:hint="eastAsia"/>
        </w:rPr>
        <w:t>紧凑。</w:t>
      </w:r>
    </w:p>
    <w:p>
      <w:pPr>
        <w:pStyle w:val="65"/>
        <w:spacing w:before="120" w:after="120"/>
        <w:rPr>
          <w:rFonts w:hAnsi="黑体"/>
        </w:rPr>
      </w:pPr>
      <w:r>
        <w:rPr>
          <w:rFonts w:hint="eastAsia" w:hAnsi="黑体"/>
        </w:rPr>
        <w:t>株高</w:t>
      </w:r>
    </w:p>
    <w:p>
      <w:pPr>
        <w:pStyle w:val="56"/>
        <w:ind w:firstLine="420"/>
      </w:pPr>
      <w:r>
        <w:rPr>
          <w:rFonts w:hint="eastAsia"/>
        </w:rPr>
        <w:t>株高参照值为80</w:t>
      </w:r>
      <w:r>
        <w:t>.3</w:t>
      </w:r>
      <w:r>
        <w:rPr>
          <w:rFonts w:hint="eastAsia"/>
        </w:rPr>
        <w:t>cm。</w:t>
      </w:r>
    </w:p>
    <w:p>
      <w:pPr>
        <w:pStyle w:val="65"/>
        <w:spacing w:before="120" w:after="120"/>
        <w:rPr>
          <w:rFonts w:hAnsi="黑体"/>
        </w:rPr>
      </w:pPr>
      <w:r>
        <w:rPr>
          <w:rFonts w:hint="eastAsia" w:hAnsi="黑体"/>
        </w:rPr>
        <w:t>有效分枝</w:t>
      </w:r>
    </w:p>
    <w:p>
      <w:pPr>
        <w:pStyle w:val="56"/>
        <w:ind w:firstLine="420"/>
      </w:pPr>
      <w:r>
        <w:rPr>
          <w:rFonts w:hint="eastAsia"/>
        </w:rPr>
        <w:t>有效分枝参照值为3</w:t>
      </w:r>
      <w:r>
        <w:t>.5</w:t>
      </w:r>
      <w:r>
        <w:rPr>
          <w:rFonts w:hint="eastAsia"/>
        </w:rPr>
        <w:t>个。</w:t>
      </w:r>
    </w:p>
    <w:p>
      <w:pPr>
        <w:pStyle w:val="65"/>
        <w:spacing w:before="120" w:after="120"/>
        <w:rPr>
          <w:rFonts w:hAnsi="黑体"/>
        </w:rPr>
      </w:pPr>
      <w:r>
        <w:rPr>
          <w:rFonts w:hint="eastAsia" w:hAnsi="黑体"/>
        </w:rPr>
        <w:t>主茎节数</w:t>
      </w:r>
    </w:p>
    <w:p>
      <w:pPr>
        <w:pStyle w:val="56"/>
        <w:ind w:firstLine="420"/>
      </w:pPr>
      <w:r>
        <w:rPr>
          <w:rFonts w:hint="eastAsia"/>
        </w:rPr>
        <w:t>主茎节数参照值为1</w:t>
      </w:r>
      <w:r>
        <w:t>5.5</w:t>
      </w:r>
      <w:r>
        <w:rPr>
          <w:rFonts w:hint="eastAsia"/>
        </w:rPr>
        <w:t>节。</w:t>
      </w:r>
    </w:p>
    <w:p>
      <w:pPr>
        <w:pStyle w:val="65"/>
        <w:spacing w:before="120" w:after="120"/>
        <w:rPr>
          <w:rFonts w:hAnsi="黑体"/>
        </w:rPr>
      </w:pPr>
      <w:r>
        <w:rPr>
          <w:rFonts w:hint="eastAsia" w:hAnsi="黑体"/>
        </w:rPr>
        <w:t>底荚高度</w:t>
      </w:r>
    </w:p>
    <w:p>
      <w:pPr>
        <w:pStyle w:val="56"/>
        <w:ind w:firstLine="420"/>
      </w:pPr>
      <w:r>
        <w:rPr>
          <w:rFonts w:hint="eastAsia"/>
        </w:rPr>
        <w:t>底荚高度为18</w:t>
      </w:r>
      <w:r>
        <w:t>.5</w:t>
      </w:r>
      <w:r>
        <w:rPr>
          <w:rFonts w:hint="eastAsia"/>
        </w:rPr>
        <w:t>cm左右。</w:t>
      </w:r>
    </w:p>
    <w:p>
      <w:pPr>
        <w:pStyle w:val="65"/>
        <w:spacing w:before="120" w:after="120"/>
        <w:rPr>
          <w:rFonts w:hAnsi="黑体"/>
        </w:rPr>
      </w:pPr>
      <w:r>
        <w:rPr>
          <w:rFonts w:hint="eastAsia" w:hAnsi="黑体"/>
        </w:rPr>
        <w:t>单株结荚数</w:t>
      </w:r>
    </w:p>
    <w:p>
      <w:pPr>
        <w:pStyle w:val="56"/>
        <w:ind w:firstLine="420"/>
      </w:pPr>
      <w:r>
        <w:rPr>
          <w:rFonts w:hint="eastAsia"/>
        </w:rPr>
        <w:t>单株结荚数参照值为</w:t>
      </w:r>
      <w:r>
        <w:t>53.5</w:t>
      </w:r>
      <w:r>
        <w:rPr>
          <w:rFonts w:hint="eastAsia"/>
        </w:rPr>
        <w:t>个。</w:t>
      </w:r>
    </w:p>
    <w:p>
      <w:pPr>
        <w:pStyle w:val="65"/>
        <w:spacing w:before="120" w:after="120"/>
        <w:rPr>
          <w:rFonts w:hAnsi="黑体"/>
        </w:rPr>
      </w:pPr>
      <w:r>
        <w:rPr>
          <w:rFonts w:hint="eastAsia" w:hAnsi="黑体"/>
        </w:rPr>
        <w:t>单株粒数</w:t>
      </w:r>
    </w:p>
    <w:p>
      <w:pPr>
        <w:pStyle w:val="56"/>
        <w:ind w:firstLine="420"/>
      </w:pPr>
      <w:r>
        <w:rPr>
          <w:rFonts w:hint="eastAsia"/>
        </w:rPr>
        <w:t>单株粒数参照值为</w:t>
      </w:r>
      <w:r>
        <w:t>109.5</w:t>
      </w:r>
      <w:r>
        <w:rPr>
          <w:rFonts w:hint="eastAsia"/>
        </w:rPr>
        <w:t>粒左右。</w:t>
      </w:r>
    </w:p>
    <w:p>
      <w:pPr>
        <w:pStyle w:val="105"/>
        <w:spacing w:before="120" w:after="120"/>
        <w:rPr>
          <w:rFonts w:hAnsi="黑体"/>
        </w:rPr>
      </w:pPr>
      <w:r>
        <w:rPr>
          <w:rFonts w:hint="eastAsia" w:hAnsi="黑体"/>
        </w:rPr>
        <w:t>成熟荚粒性状</w:t>
      </w:r>
    </w:p>
    <w:p>
      <w:pPr>
        <w:pStyle w:val="65"/>
        <w:spacing w:before="120" w:after="120"/>
        <w:rPr>
          <w:rFonts w:hAnsi="黑体"/>
        </w:rPr>
      </w:pPr>
      <w:r>
        <w:rPr>
          <w:rFonts w:hint="eastAsia" w:hAnsi="黑体"/>
        </w:rPr>
        <w:t>成熟荚色</w:t>
      </w:r>
    </w:p>
    <w:p>
      <w:pPr>
        <w:pStyle w:val="56"/>
        <w:ind w:firstLine="420"/>
      </w:pPr>
      <w:r>
        <w:t>褐色</w:t>
      </w:r>
      <w:r>
        <w:rPr>
          <w:rFonts w:hint="eastAsia"/>
        </w:rPr>
        <w:t>。</w:t>
      </w:r>
    </w:p>
    <w:p>
      <w:pPr>
        <w:pStyle w:val="65"/>
        <w:spacing w:before="120" w:after="120"/>
        <w:rPr>
          <w:rFonts w:hAnsi="黑体"/>
        </w:rPr>
      </w:pPr>
      <w:r>
        <w:rPr>
          <w:rFonts w:hint="eastAsia" w:hAnsi="黑体"/>
        </w:rPr>
        <w:t>成熟荚形状</w:t>
      </w:r>
    </w:p>
    <w:p>
      <w:pPr>
        <w:pStyle w:val="56"/>
        <w:ind w:firstLine="420"/>
      </w:pPr>
      <w:r>
        <w:rPr>
          <w:rFonts w:hint="eastAsia"/>
        </w:rPr>
        <w:t>弯镰形。</w:t>
      </w:r>
    </w:p>
    <w:p>
      <w:pPr>
        <w:pStyle w:val="65"/>
        <w:spacing w:before="120" w:after="120"/>
        <w:rPr>
          <w:rFonts w:hAnsi="黑体"/>
        </w:rPr>
      </w:pPr>
      <w:r>
        <w:rPr>
          <w:rFonts w:hint="eastAsia" w:hAnsi="黑体"/>
        </w:rPr>
        <w:t>裂荚性</w:t>
      </w:r>
    </w:p>
    <w:p>
      <w:pPr>
        <w:pStyle w:val="56"/>
        <w:ind w:firstLine="420"/>
      </w:pPr>
      <w:r>
        <w:rPr>
          <w:rFonts w:hint="eastAsia"/>
        </w:rPr>
        <w:t>不裂荚。</w:t>
      </w:r>
    </w:p>
    <w:p>
      <w:pPr>
        <w:pStyle w:val="65"/>
        <w:spacing w:before="120" w:after="120"/>
        <w:rPr>
          <w:rFonts w:hAnsi="黑体"/>
        </w:rPr>
      </w:pPr>
      <w:r>
        <w:rPr>
          <w:rFonts w:hint="eastAsia" w:hAnsi="黑体"/>
        </w:rPr>
        <w:t>粒形</w:t>
      </w:r>
    </w:p>
    <w:p>
      <w:pPr>
        <w:pStyle w:val="56"/>
        <w:ind w:firstLine="420"/>
      </w:pPr>
      <w:r>
        <w:rPr>
          <w:rFonts w:hint="eastAsia"/>
        </w:rPr>
        <w:t>椭圆形。</w:t>
      </w:r>
    </w:p>
    <w:p>
      <w:pPr>
        <w:pStyle w:val="65"/>
        <w:spacing w:before="120" w:after="120"/>
        <w:rPr>
          <w:rFonts w:hAnsi="黑体"/>
        </w:rPr>
      </w:pPr>
      <w:r>
        <w:rPr>
          <w:rFonts w:hint="eastAsia" w:hAnsi="黑体"/>
        </w:rPr>
        <w:t>种脐颜色</w:t>
      </w:r>
    </w:p>
    <w:p>
      <w:pPr>
        <w:pStyle w:val="56"/>
        <w:ind w:firstLine="420"/>
      </w:pPr>
      <w:r>
        <w:rPr>
          <w:rFonts w:hint="eastAsia"/>
        </w:rPr>
        <w:t>褐色。</w:t>
      </w:r>
    </w:p>
    <w:p>
      <w:pPr>
        <w:pStyle w:val="65"/>
        <w:spacing w:before="120" w:after="120"/>
        <w:rPr>
          <w:rFonts w:hAnsi="黑体"/>
        </w:rPr>
      </w:pPr>
      <w:r>
        <w:rPr>
          <w:rFonts w:hint="eastAsia" w:hAnsi="黑体"/>
        </w:rPr>
        <w:t>种皮色</w:t>
      </w:r>
    </w:p>
    <w:p>
      <w:pPr>
        <w:pStyle w:val="56"/>
        <w:ind w:firstLine="420"/>
      </w:pPr>
      <w:r>
        <w:rPr>
          <w:rFonts w:hint="eastAsia"/>
        </w:rPr>
        <w:t>黄色。</w:t>
      </w:r>
    </w:p>
    <w:p>
      <w:pPr>
        <w:pStyle w:val="65"/>
        <w:spacing w:before="120" w:after="120"/>
        <w:rPr>
          <w:rFonts w:hAnsi="黑体"/>
        </w:rPr>
      </w:pPr>
      <w:r>
        <w:rPr>
          <w:rFonts w:hint="eastAsia" w:hAnsi="黑体"/>
        </w:rPr>
        <w:t>子叶色</w:t>
      </w:r>
    </w:p>
    <w:p>
      <w:pPr>
        <w:pStyle w:val="56"/>
        <w:ind w:firstLine="420"/>
      </w:pPr>
      <w:r>
        <w:rPr>
          <w:rFonts w:hint="eastAsia"/>
        </w:rPr>
        <w:t>黄色。</w:t>
      </w:r>
    </w:p>
    <w:p>
      <w:pPr>
        <w:pStyle w:val="65"/>
        <w:spacing w:before="120" w:after="120"/>
        <w:rPr>
          <w:rFonts w:hAnsi="黑体"/>
        </w:rPr>
      </w:pPr>
      <w:r>
        <w:rPr>
          <w:rFonts w:hint="eastAsia" w:hAnsi="黑体"/>
        </w:rPr>
        <w:t>干籽百粒重</w:t>
      </w:r>
    </w:p>
    <w:p>
      <w:pPr>
        <w:pStyle w:val="56"/>
        <w:ind w:firstLine="420"/>
      </w:pPr>
      <w:r>
        <w:t>百粒重</w:t>
      </w:r>
      <w:r>
        <w:rPr>
          <w:rFonts w:hint="eastAsia"/>
        </w:rPr>
        <w:t>参照值为</w:t>
      </w:r>
      <w:r>
        <w:t>17.4</w:t>
      </w:r>
      <w:r>
        <w:rPr>
          <w:rFonts w:hint="eastAsia"/>
        </w:rPr>
        <w:t>g左右。</w:t>
      </w:r>
    </w:p>
    <w:p>
      <w:pPr>
        <w:pStyle w:val="105"/>
        <w:spacing w:before="120" w:after="120"/>
        <w:rPr>
          <w:rFonts w:hAnsi="黑体"/>
        </w:rPr>
      </w:pPr>
      <w:r>
        <w:rPr>
          <w:rFonts w:hint="eastAsia" w:hAnsi="黑体"/>
        </w:rPr>
        <w:t>抗性</w:t>
      </w:r>
    </w:p>
    <w:p>
      <w:pPr>
        <w:pStyle w:val="65"/>
        <w:spacing w:before="120" w:after="120"/>
        <w:rPr>
          <w:rFonts w:hAnsi="黑体"/>
        </w:rPr>
      </w:pPr>
      <w:r>
        <w:rPr>
          <w:rFonts w:hint="eastAsia" w:hAnsi="黑体"/>
        </w:rPr>
        <w:t>抗病性</w:t>
      </w:r>
    </w:p>
    <w:p>
      <w:pPr>
        <w:pStyle w:val="56"/>
        <w:ind w:firstLine="420"/>
      </w:pPr>
      <w:r>
        <w:rPr>
          <w:rFonts w:hint="eastAsia"/>
        </w:rPr>
        <w:t>经接种鉴定，桂夏7号中感花叶病毒病15号株系，中感花叶病毒病18号株系，参照值见附录</w:t>
      </w:r>
      <w:r>
        <w:t>2</w:t>
      </w:r>
      <w:r>
        <w:rPr>
          <w:rFonts w:hint="eastAsia"/>
        </w:rPr>
        <w:t>。</w:t>
      </w:r>
    </w:p>
    <w:p>
      <w:pPr>
        <w:pStyle w:val="65"/>
        <w:spacing w:before="120" w:after="120"/>
        <w:rPr>
          <w:rFonts w:hAnsi="黑体"/>
        </w:rPr>
      </w:pPr>
      <w:r>
        <w:rPr>
          <w:rFonts w:hint="eastAsia" w:hAnsi="黑体"/>
        </w:rPr>
        <w:t>抗倒性</w:t>
      </w:r>
    </w:p>
    <w:p>
      <w:pPr>
        <w:pStyle w:val="56"/>
        <w:ind w:firstLine="420"/>
      </w:pPr>
      <w:r>
        <w:rPr>
          <w:rFonts w:hint="eastAsia"/>
        </w:rPr>
        <w:t>较强。</w:t>
      </w:r>
    </w:p>
    <w:p>
      <w:pPr>
        <w:pStyle w:val="105"/>
        <w:spacing w:before="120" w:after="120"/>
        <w:rPr>
          <w:rFonts w:hAnsi="黑体"/>
        </w:rPr>
      </w:pPr>
      <w:r>
        <w:rPr>
          <w:rFonts w:hint="eastAsia" w:hAnsi="黑体"/>
        </w:rPr>
        <w:t>品质</w:t>
      </w:r>
    </w:p>
    <w:p>
      <w:pPr>
        <w:pStyle w:val="56"/>
        <w:ind w:firstLine="420"/>
      </w:pPr>
      <w:r>
        <w:rPr>
          <w:rFonts w:hint="eastAsia"/>
        </w:rPr>
        <w:t>桂夏7号籽粒粗蛋白含量39.22%，粗脂肪含量21.14%，蛋白含量粗脂肪含量之和60.36%。品质参照值见附录</w:t>
      </w:r>
      <w:r>
        <w:t>3</w:t>
      </w:r>
      <w:r>
        <w:rPr>
          <w:rFonts w:hint="eastAsia"/>
        </w:rPr>
        <w:t>。</w:t>
      </w:r>
    </w:p>
    <w:p>
      <w:pPr>
        <w:pStyle w:val="104"/>
        <w:spacing w:before="240" w:after="240"/>
        <w:rPr>
          <w:rFonts w:hAnsi="黑体"/>
        </w:rPr>
      </w:pPr>
      <w:r>
        <w:rPr>
          <w:rFonts w:hint="eastAsia" w:hAnsi="黑体"/>
        </w:rPr>
        <w:t>产量水平</w:t>
      </w:r>
    </w:p>
    <w:p>
      <w:pPr>
        <w:pStyle w:val="56"/>
        <w:ind w:firstLine="420"/>
      </w:pPr>
      <w:r>
        <w:rPr>
          <w:rFonts w:hint="eastAsia"/>
        </w:rPr>
        <w:t>一般产量1</w:t>
      </w:r>
      <w:r>
        <w:t>8</w:t>
      </w:r>
      <w:r>
        <w:rPr>
          <w:rFonts w:hint="eastAsia"/>
        </w:rPr>
        <w:t>0kg/666.7m</w:t>
      </w:r>
      <w:r>
        <w:rPr>
          <w:rFonts w:hint="eastAsia"/>
          <w:vertAlign w:val="superscript"/>
        </w:rPr>
        <w:t>2</w:t>
      </w:r>
      <w:r>
        <w:rPr>
          <w:rFonts w:hint="eastAsia"/>
        </w:rPr>
        <w:t>左右。</w:t>
      </w:r>
    </w:p>
    <w:p>
      <w:pPr>
        <w:pStyle w:val="104"/>
        <w:spacing w:before="240" w:after="240"/>
        <w:rPr>
          <w:rFonts w:hAnsi="黑体"/>
        </w:rPr>
      </w:pPr>
      <w:r>
        <w:rPr>
          <w:rFonts w:hint="eastAsia" w:hAnsi="黑体"/>
        </w:rPr>
        <w:t>播种</w:t>
      </w:r>
    </w:p>
    <w:p>
      <w:pPr>
        <w:pStyle w:val="105"/>
        <w:spacing w:before="120" w:after="120"/>
        <w:rPr>
          <w:rFonts w:hAnsi="黑体"/>
        </w:rPr>
      </w:pPr>
      <w:r>
        <w:rPr>
          <w:rFonts w:hint="eastAsia" w:hAnsi="黑体"/>
        </w:rPr>
        <w:t>播前准备</w:t>
      </w:r>
    </w:p>
    <w:p>
      <w:pPr>
        <w:pStyle w:val="65"/>
        <w:spacing w:before="120" w:after="120"/>
        <w:rPr>
          <w:rFonts w:hAnsi="黑体"/>
        </w:rPr>
      </w:pPr>
      <w:r>
        <w:rPr>
          <w:rFonts w:hint="eastAsia" w:hAnsi="黑体"/>
        </w:rPr>
        <w:t>施肥整地</w:t>
      </w:r>
    </w:p>
    <w:p>
      <w:pPr>
        <w:pStyle w:val="56"/>
        <w:ind w:firstLine="420"/>
      </w:pPr>
      <w:r>
        <w:rPr>
          <w:rFonts w:hint="eastAsia"/>
        </w:rPr>
        <w:t>施肥按NY/T496规定执行。播种前进行犁耙整地，要求深耕深松，耙平耙碎，耕层15cm～20cm。并开好沟渠，做到排灌畅通。</w:t>
      </w:r>
    </w:p>
    <w:p>
      <w:pPr>
        <w:pStyle w:val="65"/>
        <w:spacing w:before="120" w:after="120"/>
        <w:rPr>
          <w:rFonts w:hAnsi="黑体"/>
        </w:rPr>
      </w:pPr>
      <w:r>
        <w:rPr>
          <w:rFonts w:hint="eastAsia" w:hAnsi="黑体"/>
        </w:rPr>
        <w:t>种子处理</w:t>
      </w:r>
    </w:p>
    <w:p>
      <w:pPr>
        <w:pStyle w:val="56"/>
        <w:ind w:firstLine="420"/>
      </w:pPr>
      <w:r>
        <w:rPr>
          <w:rFonts w:hint="eastAsia"/>
        </w:rPr>
        <w:t>播种前晒种1d～2d。</w:t>
      </w:r>
    </w:p>
    <w:p>
      <w:pPr>
        <w:pStyle w:val="105"/>
        <w:spacing w:before="120" w:after="120"/>
        <w:rPr>
          <w:rFonts w:hAnsi="黑体"/>
        </w:rPr>
      </w:pPr>
      <w:r>
        <w:rPr>
          <w:rFonts w:hint="eastAsia" w:hAnsi="黑体"/>
        </w:rPr>
        <w:t>播种时期</w:t>
      </w:r>
    </w:p>
    <w:p>
      <w:pPr>
        <w:pStyle w:val="56"/>
        <w:ind w:firstLine="420"/>
      </w:pPr>
      <w:r>
        <w:rPr>
          <w:rFonts w:hint="eastAsia"/>
        </w:rPr>
        <w:t>5月下旬至6月下旬播种，6月中下旬为宜，不迟于7月</w:t>
      </w:r>
      <w:r>
        <w:t>3</w:t>
      </w:r>
      <w:r>
        <w:rPr>
          <w:rFonts w:hint="eastAsia"/>
        </w:rPr>
        <w:t>0日。</w:t>
      </w:r>
    </w:p>
    <w:p>
      <w:pPr>
        <w:pStyle w:val="105"/>
        <w:spacing w:before="120" w:after="120"/>
        <w:rPr>
          <w:rFonts w:hAnsi="黑体"/>
        </w:rPr>
      </w:pPr>
      <w:r>
        <w:rPr>
          <w:rFonts w:hint="eastAsia" w:hAnsi="黑体"/>
        </w:rPr>
        <w:t>播种方式</w:t>
      </w:r>
    </w:p>
    <w:p>
      <w:pPr>
        <w:pStyle w:val="56"/>
        <w:ind w:firstLine="420"/>
      </w:pPr>
      <w:r>
        <w:rPr>
          <w:rFonts w:hint="eastAsia"/>
        </w:rPr>
        <w:t>采用机械播种或人工点播，播种深度3cm～4cm。</w:t>
      </w:r>
    </w:p>
    <w:p>
      <w:pPr>
        <w:pStyle w:val="105"/>
        <w:spacing w:before="120" w:after="120"/>
        <w:rPr>
          <w:rFonts w:hAnsi="黑体"/>
        </w:rPr>
      </w:pPr>
      <w:r>
        <w:rPr>
          <w:rFonts w:hint="eastAsia" w:hAnsi="黑体"/>
        </w:rPr>
        <w:t>播种量</w:t>
      </w:r>
    </w:p>
    <w:p>
      <w:pPr>
        <w:pStyle w:val="56"/>
        <w:ind w:firstLine="420"/>
      </w:pPr>
      <w:r>
        <w:rPr>
          <w:rFonts w:hint="eastAsia"/>
        </w:rPr>
        <w:t>一般用种3.</w:t>
      </w:r>
      <w:r>
        <w:t>0</w:t>
      </w:r>
      <w:r>
        <w:rPr>
          <w:rFonts w:hint="eastAsia"/>
        </w:rPr>
        <w:t>kg～5</w:t>
      </w:r>
      <w:r>
        <w:t>.0</w:t>
      </w:r>
      <w:r>
        <w:rPr>
          <w:rFonts w:hint="eastAsia"/>
        </w:rPr>
        <w:t>kg</w:t>
      </w:r>
      <w:r>
        <w:t>/</w:t>
      </w:r>
      <w:r>
        <w:rPr>
          <w:rFonts w:hint="eastAsia"/>
        </w:rPr>
        <w:t>666.7m</w:t>
      </w:r>
      <w:r>
        <w:rPr>
          <w:rFonts w:hint="eastAsia"/>
          <w:vertAlign w:val="superscript"/>
        </w:rPr>
        <w:t>2</w:t>
      </w:r>
      <w:r>
        <w:rPr>
          <w:rFonts w:hint="eastAsia"/>
        </w:rPr>
        <w:t>。</w:t>
      </w:r>
    </w:p>
    <w:p>
      <w:pPr>
        <w:pStyle w:val="105"/>
        <w:spacing w:before="120" w:after="120"/>
        <w:rPr>
          <w:rFonts w:hAnsi="黑体"/>
        </w:rPr>
      </w:pPr>
      <w:r>
        <w:rPr>
          <w:rFonts w:hint="eastAsia" w:hAnsi="黑体"/>
        </w:rPr>
        <w:t>播种密度</w:t>
      </w:r>
    </w:p>
    <w:p>
      <w:pPr>
        <w:pStyle w:val="56"/>
        <w:ind w:firstLine="420"/>
      </w:pPr>
      <w:r>
        <w:rPr>
          <w:rFonts w:hint="eastAsia"/>
        </w:rPr>
        <w:t>行距</w:t>
      </w:r>
      <w:r>
        <w:t>5</w:t>
      </w:r>
      <w:r>
        <w:rPr>
          <w:rFonts w:hint="eastAsia"/>
        </w:rPr>
        <w:t>0cm，穴距2</w:t>
      </w:r>
      <w:r>
        <w:t>0</w:t>
      </w:r>
      <w:r>
        <w:rPr>
          <w:rFonts w:hint="eastAsia"/>
        </w:rPr>
        <w:t>cm左右，每穴播种3粒～4粒，3叶期定苗，每穴留苗2株，一般密度1.3～1.5万株/666</w:t>
      </w:r>
      <w:r>
        <w:t>.</w:t>
      </w:r>
      <w:r>
        <w:rPr>
          <w:rFonts w:hint="eastAsia"/>
        </w:rPr>
        <w:t>7m</w:t>
      </w:r>
      <w:r>
        <w:rPr>
          <w:rFonts w:hint="eastAsia"/>
          <w:vertAlign w:val="superscript"/>
        </w:rPr>
        <w:t>2</w:t>
      </w:r>
      <w:r>
        <w:rPr>
          <w:rFonts w:hint="eastAsia"/>
        </w:rPr>
        <w:t>左右，肥力水平低或迟播田块可适当增加密度。</w:t>
      </w:r>
    </w:p>
    <w:p>
      <w:pPr>
        <w:pStyle w:val="104"/>
        <w:spacing w:before="240" w:after="240"/>
        <w:rPr>
          <w:rFonts w:hAnsi="黑体"/>
        </w:rPr>
      </w:pPr>
      <w:r>
        <w:rPr>
          <w:rFonts w:hint="eastAsia" w:hAnsi="黑体"/>
        </w:rPr>
        <w:t>土肥水管理</w:t>
      </w:r>
    </w:p>
    <w:p>
      <w:pPr>
        <w:pStyle w:val="105"/>
        <w:spacing w:before="120" w:after="120"/>
        <w:rPr>
          <w:rFonts w:hAnsi="黑体"/>
        </w:rPr>
      </w:pPr>
      <w:r>
        <w:rPr>
          <w:rFonts w:hint="eastAsia" w:hAnsi="黑体"/>
        </w:rPr>
        <w:t>间苗定苗</w:t>
      </w:r>
    </w:p>
    <w:p>
      <w:pPr>
        <w:pStyle w:val="56"/>
        <w:ind w:firstLine="420"/>
      </w:pPr>
      <w:r>
        <w:rPr>
          <w:rFonts w:hint="eastAsia"/>
        </w:rPr>
        <w:t>大豆出苗后当长出第一片复叶时开始间苗定苗。对缺苗断垄严重、苗数不够的，要及时补种，以保证足够的苗数。</w:t>
      </w:r>
    </w:p>
    <w:p>
      <w:pPr>
        <w:pStyle w:val="105"/>
        <w:spacing w:before="120" w:after="120"/>
        <w:rPr>
          <w:rFonts w:hAnsi="黑体"/>
        </w:rPr>
      </w:pPr>
      <w:r>
        <w:rPr>
          <w:rFonts w:hint="eastAsia" w:hAnsi="黑体"/>
        </w:rPr>
        <w:t>杂草防控、施肥和培土</w:t>
      </w:r>
    </w:p>
    <w:p>
      <w:pPr>
        <w:pStyle w:val="56"/>
        <w:ind w:firstLine="420"/>
      </w:pPr>
      <w:r>
        <w:rPr>
          <w:rFonts w:hint="eastAsia"/>
        </w:rPr>
        <w:t>大豆播种前十天喷施残留期短、广谱性除草剂，如百草枯、草甘膦等，大豆播种后当天或第二天喷金都尔或乙草胺作土壤封闭。间苗补苗成功后，当长出第2～3片三出复时，要及时进行中耕除草和小培土一次，并结合追施一次苗肥（一般666.7m</w:t>
      </w:r>
      <w:r>
        <w:rPr>
          <w:rFonts w:hint="eastAsia"/>
          <w:vertAlign w:val="superscript"/>
        </w:rPr>
        <w:t>2</w:t>
      </w:r>
      <w:r>
        <w:rPr>
          <w:rFonts w:hint="eastAsia"/>
        </w:rPr>
        <w:t>施复合肥10kg,尿素5kg）。若播种前施过基肥、且豆苗长势强的，可不用施肥，直接中耕培土。大豆开花前后进行中耕大培土。若试验地肥水条件差，大豆长势矮小的，可结合中耕大培土追施一次花荚肥。一般666.7m</w:t>
      </w:r>
      <w:r>
        <w:rPr>
          <w:rFonts w:hint="eastAsia"/>
          <w:vertAlign w:val="superscript"/>
        </w:rPr>
        <w:t>2</w:t>
      </w:r>
      <w:r>
        <w:rPr>
          <w:rFonts w:hint="eastAsia"/>
        </w:rPr>
        <w:t>施尿素5kg、氯化钾10kg。</w:t>
      </w:r>
    </w:p>
    <w:p>
      <w:pPr>
        <w:pStyle w:val="105"/>
        <w:spacing w:before="120" w:after="120"/>
        <w:rPr>
          <w:rFonts w:hAnsi="黑体"/>
        </w:rPr>
      </w:pPr>
      <w:r>
        <w:rPr>
          <w:rFonts w:hint="eastAsia" w:hAnsi="黑体"/>
        </w:rPr>
        <w:t>水份管理</w:t>
      </w:r>
    </w:p>
    <w:p>
      <w:pPr>
        <w:pStyle w:val="56"/>
        <w:ind w:firstLine="420"/>
      </w:pPr>
      <w:r>
        <w:rPr>
          <w:rFonts w:hint="eastAsia"/>
        </w:rPr>
        <w:t>幼苗与开花初期保持较低的土壤湿度，结荚期保持土壤湿润。根据田块的排水情况决定是否需要挖沟起垄种植。地势较高、排水良好的旱坡地、旱田可不用挖排水沟。地势较低、排水不良的旱田或水田，一定要挖排水沟排涝，防止积水。长时间干旱要及时灌水抗旱，特别是在开花期至鼓粒期，雨水过多要挖排水沟排涝。</w:t>
      </w:r>
    </w:p>
    <w:p>
      <w:pPr>
        <w:pStyle w:val="104"/>
        <w:spacing w:before="240" w:after="240"/>
        <w:rPr>
          <w:rFonts w:hAnsi="黑体"/>
        </w:rPr>
      </w:pPr>
      <w:r>
        <w:rPr>
          <w:rFonts w:hint="eastAsia" w:hAnsi="黑体"/>
        </w:rPr>
        <w:t>病虫害防治</w:t>
      </w:r>
    </w:p>
    <w:p>
      <w:pPr>
        <w:pStyle w:val="105"/>
        <w:spacing w:before="120" w:after="120"/>
        <w:rPr>
          <w:rFonts w:hAnsi="黑体"/>
        </w:rPr>
      </w:pPr>
      <w:r>
        <w:rPr>
          <w:rFonts w:hint="eastAsia" w:hAnsi="黑体"/>
        </w:rPr>
        <w:t>常见病虫害</w:t>
      </w:r>
    </w:p>
    <w:p>
      <w:pPr>
        <w:pStyle w:val="56"/>
        <w:ind w:firstLine="420"/>
      </w:pPr>
      <w:r>
        <w:rPr>
          <w:rFonts w:hint="eastAsia"/>
        </w:rPr>
        <w:t>常见病虫害有：病害（花叶病、霜霉病、白粉病），食叶性害虫（小地老虎、斜纹夜蛾、豆卷叶螟、棉铃虫），刺吸类害虫（蚜虫、烟粉虱、点蜂缘蝽、稻绿蝽），钻蛀类类害虫（豆杆黑潜蝇、豆荚螟、大豆高隆象）等。</w:t>
      </w:r>
    </w:p>
    <w:p>
      <w:pPr>
        <w:pStyle w:val="105"/>
        <w:spacing w:before="120" w:after="120"/>
        <w:rPr>
          <w:rFonts w:hAnsi="黑体"/>
        </w:rPr>
      </w:pPr>
      <w:r>
        <w:rPr>
          <w:rFonts w:hint="eastAsia" w:hAnsi="黑体"/>
        </w:rPr>
        <w:t>防治原则</w:t>
      </w:r>
    </w:p>
    <w:p>
      <w:pPr>
        <w:pStyle w:val="56"/>
        <w:ind w:firstLine="420"/>
      </w:pPr>
      <w:r>
        <w:rPr>
          <w:rFonts w:hint="eastAsia"/>
        </w:rPr>
        <w:t>合理布局，实行轮作；加强中耕除草，培育壮苗；发现病株及时带出，降低病虫源数量；及时排灌，严防积水，清洁田园；保护和利用自然天敌；坚持“预防为主，综合防治”的植保方针。优先采用农业防治、生物防治、物理防治，科学使用化学防治。</w:t>
      </w:r>
    </w:p>
    <w:p>
      <w:pPr>
        <w:pStyle w:val="105"/>
        <w:spacing w:before="120" w:after="120"/>
        <w:rPr>
          <w:rFonts w:hAnsi="黑体"/>
        </w:rPr>
      </w:pPr>
      <w:r>
        <w:rPr>
          <w:rFonts w:hint="eastAsia" w:hAnsi="黑体"/>
        </w:rPr>
        <w:t>生物防治</w:t>
      </w:r>
    </w:p>
    <w:p>
      <w:pPr>
        <w:pStyle w:val="56"/>
        <w:ind w:firstLine="420"/>
      </w:pPr>
      <w:r>
        <w:rPr>
          <w:rFonts w:hint="eastAsia"/>
        </w:rPr>
        <w:t>保护和利用瓢虫、蜘蛛、草蛉、食蚜蝇、蚜茧蜂等自然天敌，杀灭蚜虫等害虫。</w:t>
      </w:r>
    </w:p>
    <w:p>
      <w:pPr>
        <w:pStyle w:val="105"/>
        <w:spacing w:before="120" w:after="120"/>
        <w:rPr>
          <w:rFonts w:hAnsi="黑体"/>
        </w:rPr>
      </w:pPr>
      <w:r>
        <w:rPr>
          <w:rFonts w:hint="eastAsia" w:hAnsi="黑体"/>
        </w:rPr>
        <w:t>物理防治</w:t>
      </w:r>
    </w:p>
    <w:p>
      <w:pPr>
        <w:pStyle w:val="56"/>
        <w:ind w:firstLine="420"/>
      </w:pPr>
      <w:r>
        <w:rPr>
          <w:rFonts w:hint="eastAsia"/>
        </w:rPr>
        <w:t>根据害虫生物学特性，可采用银灰膜避蚜或糖醋液、黄板、灯光诱杀等方法控制蚜虫、豆荚螟、斜纹夜蛾等害虫的发生。</w:t>
      </w:r>
    </w:p>
    <w:p>
      <w:pPr>
        <w:pStyle w:val="105"/>
        <w:spacing w:before="120" w:after="120"/>
        <w:rPr>
          <w:rFonts w:hAnsi="黑体"/>
        </w:rPr>
      </w:pPr>
      <w:r>
        <w:rPr>
          <w:rFonts w:hint="eastAsia" w:hAnsi="黑体"/>
        </w:rPr>
        <w:t>化学防治</w:t>
      </w:r>
    </w:p>
    <w:p>
      <w:pPr>
        <w:pStyle w:val="56"/>
        <w:ind w:firstLine="420"/>
      </w:pPr>
      <w:r>
        <w:rPr>
          <w:rFonts w:hint="eastAsia"/>
        </w:rPr>
        <w:t>符合GB/T8321（所有部分）的规定。</w:t>
      </w:r>
    </w:p>
    <w:p>
      <w:pPr>
        <w:pStyle w:val="56"/>
        <w:ind w:firstLine="420"/>
      </w:pPr>
      <w:r>
        <w:rPr>
          <w:rFonts w:hint="eastAsia"/>
        </w:rPr>
        <w:t>严格控制农药用量和安全间隔期，于防治适期防治病虫害。</w:t>
      </w:r>
    </w:p>
    <w:bookmarkEnd w:id="22"/>
    <w:p>
      <w:pPr>
        <w:pStyle w:val="104"/>
        <w:spacing w:before="240" w:after="240"/>
        <w:rPr>
          <w:rFonts w:hAnsi="黑体"/>
        </w:rPr>
      </w:pPr>
      <w:r>
        <w:rPr>
          <w:rFonts w:hint="eastAsia" w:hAnsi="黑体"/>
        </w:rPr>
        <w:t>收获</w:t>
      </w:r>
    </w:p>
    <w:p>
      <w:pPr>
        <w:pStyle w:val="56"/>
        <w:ind w:firstLine="420"/>
      </w:pPr>
      <w:r>
        <w:rPr>
          <w:rFonts w:hint="eastAsia"/>
        </w:rPr>
        <w:t>在大豆植株变黄，豆荚成熟转黄色，籽粒归圆，中下部叶片脱落的植株达85%时即可收获，不要等到全部成熟才收获；收获后应及时晾晒、脱粒与贮藏。</w:t>
      </w:r>
    </w:p>
    <w:sectPr>
      <w:headerReference r:id="rId12" w:type="default"/>
      <w:footerReference r:id="rId14" w:type="default"/>
      <w:headerReference r:id="rId13" w:type="even"/>
      <w:pgSz w:w="11906" w:h="16838"/>
      <w:pgMar w:top="2410"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Arial Unicode MS"/>
    <w:panose1 w:val="00000000000000000000"/>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T/XXX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dit="forms" w:enforcement="1" w:cryptProviderType="rsaFull" w:cryptAlgorithmClass="hash" w:cryptAlgorithmType="typeAny" w:cryptAlgorithmSid="4" w:cryptSpinCount="100000" w:hash="UoWF5c95/I4K2NDiIZ2mV5jgjsc=" w:salt="HAURNAMccKZsExU2TTVIu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6BB"/>
    <w:rsid w:val="000C2FBD"/>
    <w:rsid w:val="000C4B41"/>
    <w:rsid w:val="000C57D6"/>
    <w:rsid w:val="000C6362"/>
    <w:rsid w:val="000C7666"/>
    <w:rsid w:val="000D0A9C"/>
    <w:rsid w:val="000D1795"/>
    <w:rsid w:val="000D329A"/>
    <w:rsid w:val="000D4B9C"/>
    <w:rsid w:val="000D4EB6"/>
    <w:rsid w:val="000D516B"/>
    <w:rsid w:val="000D753B"/>
    <w:rsid w:val="000E4C9E"/>
    <w:rsid w:val="000E6FD7"/>
    <w:rsid w:val="000F06E1"/>
    <w:rsid w:val="000F0E3C"/>
    <w:rsid w:val="000F19D5"/>
    <w:rsid w:val="000F4050"/>
    <w:rsid w:val="000F4AEA"/>
    <w:rsid w:val="000F67E9"/>
    <w:rsid w:val="001002DA"/>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0F27"/>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8FB"/>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4704"/>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4473"/>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47080"/>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40CD"/>
    <w:rsid w:val="004C1FBC"/>
    <w:rsid w:val="004C25A2"/>
    <w:rsid w:val="004C3F1D"/>
    <w:rsid w:val="004C458D"/>
    <w:rsid w:val="004C7556"/>
    <w:rsid w:val="004C7E8B"/>
    <w:rsid w:val="004C7E9D"/>
    <w:rsid w:val="004C7F67"/>
    <w:rsid w:val="004D076D"/>
    <w:rsid w:val="004D0EF1"/>
    <w:rsid w:val="004D2253"/>
    <w:rsid w:val="004D4406"/>
    <w:rsid w:val="004D6474"/>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00A0"/>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2BD6"/>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667F"/>
    <w:rsid w:val="006F03A8"/>
    <w:rsid w:val="006F2ACA"/>
    <w:rsid w:val="006F2ADC"/>
    <w:rsid w:val="006F2BFE"/>
    <w:rsid w:val="006F31E9"/>
    <w:rsid w:val="006F6284"/>
    <w:rsid w:val="007002C5"/>
    <w:rsid w:val="00704387"/>
    <w:rsid w:val="00707669"/>
    <w:rsid w:val="00711CBA"/>
    <w:rsid w:val="00711FB5"/>
    <w:rsid w:val="00712A01"/>
    <w:rsid w:val="00714F58"/>
    <w:rsid w:val="00722989"/>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929"/>
    <w:rsid w:val="009245AE"/>
    <w:rsid w:val="009245F5"/>
    <w:rsid w:val="009249EC"/>
    <w:rsid w:val="009273B3"/>
    <w:rsid w:val="009305B5"/>
    <w:rsid w:val="00930EF8"/>
    <w:rsid w:val="009378DD"/>
    <w:rsid w:val="009429D5"/>
    <w:rsid w:val="00942BF1"/>
    <w:rsid w:val="00945180"/>
    <w:rsid w:val="00945428"/>
    <w:rsid w:val="0094607B"/>
    <w:rsid w:val="00953604"/>
    <w:rsid w:val="009540D4"/>
    <w:rsid w:val="0095496B"/>
    <w:rsid w:val="00960F1E"/>
    <w:rsid w:val="009610DC"/>
    <w:rsid w:val="00961490"/>
    <w:rsid w:val="0096381A"/>
    <w:rsid w:val="00963B65"/>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4FF"/>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BF7B09"/>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0D6F"/>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C0B"/>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26438"/>
    <w:rsid w:val="00E30164"/>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1D6"/>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33B0"/>
    <w:rsid w:val="00FA40C6"/>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897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段 Char"/>
    <w:link w:val="231"/>
    <w:qFormat/>
    <w:uiPriority w:val="0"/>
    <w:rPr>
      <w:rFonts w:ascii="宋体"/>
    </w:rPr>
  </w:style>
  <w:style w:type="paragraph" w:customStyle="1" w:styleId="231">
    <w:name w:val="段"/>
    <w:link w:val="230"/>
    <w:qFormat/>
    <w:uiPriority w:val="0"/>
    <w:pPr>
      <w:autoSpaceDE w:val="0"/>
      <w:autoSpaceDN w:val="0"/>
      <w:ind w:firstLine="200" w:firstLineChars="200"/>
      <w:jc w:val="both"/>
    </w:pPr>
    <w:rPr>
      <w:rFonts w:ascii="宋体"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95C5F32C2624560B5B2032E53A04214"/>
        <w:style w:val=""/>
        <w:category>
          <w:name w:val="常规"/>
          <w:gallery w:val="placeholder"/>
        </w:category>
        <w:types>
          <w:type w:val="bbPlcHdr"/>
        </w:types>
        <w:behaviors>
          <w:behavior w:val="content"/>
        </w:behaviors>
        <w:description w:val=""/>
        <w:guid w:val="{788E0797-08D5-4B91-BC0F-1E817ED03DB9}"/>
      </w:docPartPr>
      <w:docPartBody>
        <w:p>
          <w:pPr>
            <w:pStyle w:val="5"/>
          </w:pPr>
          <w:r>
            <w:rPr>
              <w:rStyle w:val="4"/>
              <w:rFonts w:hint="eastAsia"/>
            </w:rPr>
            <w:t>单击或点击此处输入文字。</w:t>
          </w:r>
        </w:p>
      </w:docPartBody>
    </w:docPart>
    <w:docPart>
      <w:docPartPr>
        <w:name w:val="F935C205A5D243358AB2D32B82B3AA08"/>
        <w:style w:val=""/>
        <w:category>
          <w:name w:val="常规"/>
          <w:gallery w:val="placeholder"/>
        </w:category>
        <w:types>
          <w:type w:val="bbPlcHdr"/>
        </w:types>
        <w:behaviors>
          <w:behavior w:val="content"/>
        </w:behaviors>
        <w:description w:val=""/>
        <w:guid w:val="{3BB884F2-7A8B-47A0-8994-A92DAB411641}"/>
      </w:docPartPr>
      <w:docPartBody>
        <w:p>
          <w:pPr>
            <w:pStyle w:val="6"/>
          </w:pPr>
          <w:r>
            <w:rPr>
              <w:rStyle w:val="4"/>
              <w:rFonts w:hint="eastAsia"/>
            </w:rPr>
            <w:t>选择一项。</w:t>
          </w:r>
        </w:p>
      </w:docPartBody>
    </w:docPart>
    <w:docPart>
      <w:docPartPr>
        <w:name w:val="CF334F69D4FB495286E9E94AE58C858F"/>
        <w:style w:val=""/>
        <w:category>
          <w:name w:val="常规"/>
          <w:gallery w:val="placeholder"/>
        </w:category>
        <w:types>
          <w:type w:val="bbPlcHdr"/>
        </w:types>
        <w:behaviors>
          <w:behavior w:val="content"/>
        </w:behaviors>
        <w:description w:val=""/>
        <w:guid w:val="{E925DA76-42D7-41B4-B423-B3E2F748E728}"/>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739"/>
    <w:rsid w:val="000F7359"/>
    <w:rsid w:val="000F7F79"/>
    <w:rsid w:val="00341744"/>
    <w:rsid w:val="00AC7A49"/>
    <w:rsid w:val="00B85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695C5F32C2624560B5B2032E53A0421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935C205A5D243358AB2D32B82B3AA0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F334F69D4FB495286E9E94AE58C858F"/>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0358F0-6AFD-4C1B-9DCF-C3F64E7A2FD4}">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7</Pages>
  <Words>410</Words>
  <Characters>2337</Characters>
  <Lines>19</Lines>
  <Paragraphs>5</Paragraphs>
  <TotalTime>256</TotalTime>
  <ScaleCrop>false</ScaleCrop>
  <LinksUpToDate>false</LinksUpToDate>
  <CharactersWithSpaces>2742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2021-09-16T01:01:00Z</dcterms:created>
  <dc:creator>China</dc:creator>
  <dc:description>&lt;config cover="true" show_menu="true" version="1.0.0" doctype="SDKXY"&gt;_x000d_
&lt;/config&gt;</dc:description>
  <cp:lastModifiedBy>誰念誰川</cp:lastModifiedBy>
  <cp:lastPrinted>2021-02-02T08:22:00Z</cp:lastPrinted>
  <dcterms:modified xsi:type="dcterms:W3CDTF">2021-10-20T04:38:22Z</dcterms:modified>
  <dc:title>团体标准</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2052-11.1.0.11115</vt:lpwstr>
  </property>
  <property fmtid="{D5CDD505-2E9C-101B-9397-08002B2CF9AE}" pid="15" name="ICV">
    <vt:lpwstr>313416D76C2F4B11B867CD8B327D0103</vt:lpwstr>
  </property>
</Properties>
</file>