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62</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6"/>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万代兰杂交授粉及无菌播种技术规程</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Technical code of practice for artificial pollination and aseptic sowing of Vanda orchids</w:t>
      </w:r>
      <w:r>
        <w:rPr>
          <w:rFonts w:eastAsia="黑体"/>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pPr>
        <w:pStyle w:val="91"/>
        <w:spacing w:after="360"/>
      </w:pPr>
      <w:bookmarkStart w:id="20" w:name="BookMark1"/>
      <w:bookmarkStart w:id="21" w:name="BookMark2"/>
      <w:bookmarkStart w:id="22" w:name="BookMark4"/>
      <w:r>
        <w:rPr>
          <w:spacing w:val="320"/>
        </w:rPr>
        <w:t>目</w:t>
      </w:r>
      <w: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"_Toc79159098" </w:instrText>
      </w:r>
      <w:r>
        <w:fldChar w:fldCharType="separate"/>
      </w:r>
      <w:r>
        <w:rPr>
          <w:rStyle w:val="32"/>
          <w:rFonts w:hint="eastAsia"/>
          <w:spacing w:val="320"/>
        </w:rPr>
        <w:t>前</w:t>
      </w:r>
      <w:r>
        <w:rPr>
          <w:rStyle w:val="32"/>
          <w:rFonts w:hint="eastAsia"/>
        </w:rPr>
        <w:t>言</w:t>
      </w:r>
      <w:r>
        <w:tab/>
      </w:r>
      <w:r>
        <w:fldChar w:fldCharType="begin"/>
      </w:r>
      <w:r>
        <w:instrText xml:space="preserve"> PAGEREF _Toc79159098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"_Toc79159099" </w:instrText>
      </w:r>
      <w:r>
        <w:fldChar w:fldCharType="separate"/>
      </w:r>
      <w:r>
        <w:rPr>
          <w:rStyle w:val="32"/>
        </w:rPr>
        <w:t>1</w:t>
      </w:r>
      <w:r>
        <w:rPr>
          <w:rStyle w:val="32"/>
          <w:rFonts w:hint="eastAsia"/>
        </w:rPr>
        <w:t xml:space="preserve"> 范围</w:t>
      </w:r>
      <w:r>
        <w:tab/>
      </w:r>
      <w:r>
        <w:fldChar w:fldCharType="begin"/>
      </w:r>
      <w:r>
        <w:instrText xml:space="preserve"> PAGEREF _Toc79159099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"_Toc79159100" </w:instrText>
      </w:r>
      <w:r>
        <w:fldChar w:fldCharType="separate"/>
      </w:r>
      <w:r>
        <w:rPr>
          <w:rStyle w:val="32"/>
        </w:rPr>
        <w:t>2</w:t>
      </w:r>
      <w:r>
        <w:rPr>
          <w:rStyle w:val="32"/>
          <w:rFonts w:hint="eastAsia"/>
        </w:rPr>
        <w:t xml:space="preserve"> 规范性引用文件</w:t>
      </w:r>
      <w:r>
        <w:tab/>
      </w:r>
      <w:r>
        <w:fldChar w:fldCharType="begin"/>
      </w:r>
      <w:r>
        <w:instrText xml:space="preserve"> PAGEREF _Toc79159100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"_Toc79159101" </w:instrText>
      </w:r>
      <w:r>
        <w:fldChar w:fldCharType="separate"/>
      </w:r>
      <w:r>
        <w:rPr>
          <w:rStyle w:val="32"/>
        </w:rPr>
        <w:t>3</w:t>
      </w:r>
      <w:r>
        <w:rPr>
          <w:rStyle w:val="32"/>
          <w:rFonts w:hint="eastAsia"/>
        </w:rPr>
        <w:t xml:space="preserve"> 术语和定义</w:t>
      </w:r>
      <w:r>
        <w:tab/>
      </w:r>
      <w:r>
        <w:fldChar w:fldCharType="begin"/>
      </w:r>
      <w:r>
        <w:instrText xml:space="preserve"> PAGEREF _Toc79159101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"_Toc79159102" </w:instrText>
      </w:r>
      <w:r>
        <w:fldChar w:fldCharType="separate"/>
      </w:r>
      <w:r>
        <w:rPr>
          <w:rStyle w:val="32"/>
        </w:rPr>
        <w:t>4</w:t>
      </w:r>
      <w:r>
        <w:rPr>
          <w:rStyle w:val="32"/>
          <w:rFonts w:hint="eastAsia"/>
        </w:rPr>
        <w:t xml:space="preserve"> 父本选择及花粉采集、保存</w:t>
      </w:r>
      <w:r>
        <w:tab/>
      </w:r>
      <w:r>
        <w:fldChar w:fldCharType="begin"/>
      </w:r>
      <w:r>
        <w:instrText xml:space="preserve"> PAGEREF _Toc79159102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"_Toc79159103" </w:instrText>
      </w:r>
      <w:r>
        <w:fldChar w:fldCharType="separate"/>
      </w:r>
      <w:r>
        <w:rPr>
          <w:rStyle w:val="32"/>
        </w:rPr>
        <w:t>4.1</w:t>
      </w:r>
      <w:r>
        <w:rPr>
          <w:rStyle w:val="32"/>
          <w:rFonts w:hint="eastAsia"/>
        </w:rPr>
        <w:t xml:space="preserve"> 父本个体选择</w:t>
      </w:r>
      <w:r>
        <w:tab/>
      </w:r>
      <w:r>
        <w:fldChar w:fldCharType="begin"/>
      </w:r>
      <w:r>
        <w:instrText xml:space="preserve"> PAGEREF _Toc79159103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"_Toc79159104" </w:instrText>
      </w:r>
      <w:r>
        <w:fldChar w:fldCharType="separate"/>
      </w:r>
      <w:r>
        <w:rPr>
          <w:rStyle w:val="32"/>
        </w:rPr>
        <w:t>4.2</w:t>
      </w:r>
      <w:r>
        <w:rPr>
          <w:rStyle w:val="32"/>
          <w:rFonts w:hint="eastAsia" w:ascii="Times New Roman" w:hAnsi="宋体"/>
        </w:rPr>
        <w:t xml:space="preserve"> 父本花朵选择</w:t>
      </w:r>
      <w:r>
        <w:tab/>
      </w:r>
      <w:r>
        <w:fldChar w:fldCharType="begin"/>
      </w:r>
      <w:r>
        <w:instrText xml:space="preserve"> PAGEREF _Toc79159104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"_Toc79159105" </w:instrText>
      </w:r>
      <w:r>
        <w:fldChar w:fldCharType="separate"/>
      </w:r>
      <w:r>
        <w:rPr>
          <w:rStyle w:val="32"/>
        </w:rPr>
        <w:t>4.3</w:t>
      </w:r>
      <w:r>
        <w:rPr>
          <w:rStyle w:val="32"/>
          <w:rFonts w:hint="eastAsia"/>
        </w:rPr>
        <w:t xml:space="preserve"> 花粉获取</w:t>
      </w:r>
      <w:r>
        <w:tab/>
      </w:r>
      <w:r>
        <w:fldChar w:fldCharType="begin"/>
      </w:r>
      <w:r>
        <w:instrText xml:space="preserve"> PAGEREF _Toc79159105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"_Toc79159106" </w:instrText>
      </w:r>
      <w:r>
        <w:fldChar w:fldCharType="separate"/>
      </w:r>
      <w:r>
        <w:rPr>
          <w:rStyle w:val="32"/>
        </w:rPr>
        <w:t>4.4</w:t>
      </w:r>
      <w:r>
        <w:rPr>
          <w:rStyle w:val="32"/>
          <w:rFonts w:hint="eastAsia"/>
        </w:rPr>
        <w:t xml:space="preserve"> 去除粘柄</w:t>
      </w:r>
      <w:r>
        <w:tab/>
      </w:r>
      <w:r>
        <w:fldChar w:fldCharType="begin"/>
      </w:r>
      <w:r>
        <w:instrText xml:space="preserve"> PAGEREF _Toc79159106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"_Toc79159107" </w:instrText>
      </w:r>
      <w:r>
        <w:fldChar w:fldCharType="separate"/>
      </w:r>
      <w:r>
        <w:rPr>
          <w:rStyle w:val="32"/>
        </w:rPr>
        <w:t>4.5</w:t>
      </w:r>
      <w:r>
        <w:rPr>
          <w:rStyle w:val="32"/>
          <w:rFonts w:hint="eastAsia"/>
        </w:rPr>
        <w:t xml:space="preserve"> 花粉保存</w:t>
      </w:r>
      <w:r>
        <w:tab/>
      </w:r>
      <w:r>
        <w:fldChar w:fldCharType="begin"/>
      </w:r>
      <w:r>
        <w:instrText xml:space="preserve"> PAGEREF _Toc79159107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"_Toc79159108" </w:instrText>
      </w:r>
      <w:r>
        <w:fldChar w:fldCharType="separate"/>
      </w:r>
      <w:r>
        <w:rPr>
          <w:rStyle w:val="32"/>
        </w:rPr>
        <w:t>5</w:t>
      </w:r>
      <w:r>
        <w:rPr>
          <w:rStyle w:val="32"/>
          <w:rFonts w:hint="eastAsia"/>
        </w:rPr>
        <w:t xml:space="preserve"> 母本选择</w:t>
      </w:r>
      <w:r>
        <w:tab/>
      </w:r>
      <w:r>
        <w:fldChar w:fldCharType="begin"/>
      </w:r>
      <w:r>
        <w:instrText xml:space="preserve"> PAGEREF _Toc79159108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"_Toc79159109" </w:instrText>
      </w:r>
      <w:r>
        <w:fldChar w:fldCharType="separate"/>
      </w:r>
      <w:r>
        <w:rPr>
          <w:rStyle w:val="32"/>
        </w:rPr>
        <w:t>5.1</w:t>
      </w:r>
      <w:r>
        <w:rPr>
          <w:rStyle w:val="32"/>
          <w:rFonts w:hint="eastAsia"/>
        </w:rPr>
        <w:t xml:space="preserve"> 母本个体选择</w:t>
      </w:r>
      <w:r>
        <w:tab/>
      </w:r>
      <w:r>
        <w:fldChar w:fldCharType="begin"/>
      </w:r>
      <w:r>
        <w:instrText xml:space="preserve"> PAGEREF _Toc79159109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"_Toc79159110" </w:instrText>
      </w:r>
      <w:r>
        <w:fldChar w:fldCharType="separate"/>
      </w:r>
      <w:r>
        <w:rPr>
          <w:rStyle w:val="32"/>
        </w:rPr>
        <w:t>5.2</w:t>
      </w:r>
      <w:r>
        <w:rPr>
          <w:rStyle w:val="32"/>
          <w:rFonts w:hint="eastAsia"/>
        </w:rPr>
        <w:t xml:space="preserve"> 母本花朵选择</w:t>
      </w:r>
      <w:r>
        <w:tab/>
      </w:r>
      <w:r>
        <w:fldChar w:fldCharType="begin"/>
      </w:r>
      <w:r>
        <w:instrText xml:space="preserve"> PAGEREF _Toc79159110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"_Toc79159111" </w:instrText>
      </w:r>
      <w:r>
        <w:fldChar w:fldCharType="separate"/>
      </w:r>
      <w:r>
        <w:rPr>
          <w:rStyle w:val="32"/>
        </w:rPr>
        <w:t>6</w:t>
      </w:r>
      <w:r>
        <w:rPr>
          <w:rStyle w:val="32"/>
          <w:rFonts w:hint="eastAsia"/>
        </w:rPr>
        <w:t xml:space="preserve"> 杂交授粉</w:t>
      </w:r>
      <w:r>
        <w:tab/>
      </w:r>
      <w:r>
        <w:fldChar w:fldCharType="begin"/>
      </w:r>
      <w:r>
        <w:instrText xml:space="preserve"> PAGEREF _Toc79159111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"_Toc79159112" </w:instrText>
      </w:r>
      <w:r>
        <w:fldChar w:fldCharType="separate"/>
      </w:r>
      <w:r>
        <w:rPr>
          <w:rStyle w:val="32"/>
        </w:rPr>
        <w:t>7</w:t>
      </w:r>
      <w:r>
        <w:rPr>
          <w:rStyle w:val="32"/>
          <w:rFonts w:hint="eastAsia"/>
        </w:rPr>
        <w:t xml:space="preserve"> 果荚采收及保存</w:t>
      </w:r>
      <w:r>
        <w:tab/>
      </w:r>
      <w:r>
        <w:fldChar w:fldCharType="begin"/>
      </w:r>
      <w:r>
        <w:instrText xml:space="preserve"> PAGEREF _Toc79159112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"_Toc79159113" </w:instrText>
      </w:r>
      <w:r>
        <w:fldChar w:fldCharType="separate"/>
      </w:r>
      <w:r>
        <w:rPr>
          <w:rStyle w:val="32"/>
        </w:rPr>
        <w:t>7.1</w:t>
      </w:r>
      <w:r>
        <w:rPr>
          <w:rStyle w:val="32"/>
          <w:rFonts w:hint="eastAsia"/>
        </w:rPr>
        <w:t xml:space="preserve"> 果荚成熟标准</w:t>
      </w:r>
      <w:r>
        <w:tab/>
      </w:r>
      <w:r>
        <w:fldChar w:fldCharType="begin"/>
      </w:r>
      <w:r>
        <w:instrText xml:space="preserve"> PAGEREF _Toc79159113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"_Toc79159114" </w:instrText>
      </w:r>
      <w:r>
        <w:fldChar w:fldCharType="separate"/>
      </w:r>
      <w:r>
        <w:rPr>
          <w:rStyle w:val="32"/>
        </w:rPr>
        <w:t>7.2</w:t>
      </w:r>
      <w:r>
        <w:rPr>
          <w:rStyle w:val="32"/>
          <w:rFonts w:hint="eastAsia"/>
        </w:rPr>
        <w:t xml:space="preserve"> 果荚采收</w:t>
      </w:r>
      <w:r>
        <w:tab/>
      </w:r>
      <w:r>
        <w:fldChar w:fldCharType="begin"/>
      </w:r>
      <w:r>
        <w:instrText xml:space="preserve"> PAGEREF _Toc79159114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"_Toc79159115" </w:instrText>
      </w:r>
      <w:r>
        <w:fldChar w:fldCharType="separate"/>
      </w:r>
      <w:r>
        <w:rPr>
          <w:rStyle w:val="32"/>
        </w:rPr>
        <w:t>7.3</w:t>
      </w:r>
      <w:r>
        <w:rPr>
          <w:rStyle w:val="32"/>
          <w:rFonts w:hint="eastAsia"/>
        </w:rPr>
        <w:t xml:space="preserve"> 果荚保存</w:t>
      </w:r>
      <w:r>
        <w:tab/>
      </w:r>
      <w:r>
        <w:fldChar w:fldCharType="begin"/>
      </w:r>
      <w:r>
        <w:instrText xml:space="preserve"> PAGEREF _Toc79159115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"_Toc79159116" </w:instrText>
      </w:r>
      <w:r>
        <w:fldChar w:fldCharType="separate"/>
      </w:r>
      <w:r>
        <w:rPr>
          <w:rStyle w:val="32"/>
        </w:rPr>
        <w:t>8</w:t>
      </w:r>
      <w:r>
        <w:rPr>
          <w:rStyle w:val="32"/>
          <w:rFonts w:hint="eastAsia"/>
        </w:rPr>
        <w:t xml:space="preserve"> 无菌播种</w:t>
      </w:r>
      <w:r>
        <w:tab/>
      </w:r>
      <w:r>
        <w:fldChar w:fldCharType="begin"/>
      </w:r>
      <w:r>
        <w:instrText xml:space="preserve"> PAGEREF _Toc79159116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"_Toc79159117" </w:instrText>
      </w:r>
      <w:r>
        <w:fldChar w:fldCharType="separate"/>
      </w:r>
      <w:r>
        <w:rPr>
          <w:rStyle w:val="32"/>
        </w:rPr>
        <w:t>8.1</w:t>
      </w:r>
      <w:r>
        <w:rPr>
          <w:rStyle w:val="32"/>
          <w:rFonts w:hint="eastAsia"/>
        </w:rPr>
        <w:t xml:space="preserve"> 果荚预处理</w:t>
      </w:r>
      <w:r>
        <w:tab/>
      </w:r>
      <w:r>
        <w:fldChar w:fldCharType="begin"/>
      </w:r>
      <w:r>
        <w:instrText xml:space="preserve"> PAGEREF _Toc79159117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"_Toc79159118" </w:instrText>
      </w:r>
      <w:r>
        <w:fldChar w:fldCharType="separate"/>
      </w:r>
      <w:r>
        <w:rPr>
          <w:rStyle w:val="32"/>
        </w:rPr>
        <w:t>8.2</w:t>
      </w:r>
      <w:r>
        <w:rPr>
          <w:rStyle w:val="32"/>
          <w:rFonts w:hint="eastAsia"/>
        </w:rPr>
        <w:t xml:space="preserve"> 果荚灭菌</w:t>
      </w:r>
      <w:r>
        <w:tab/>
      </w:r>
      <w:r>
        <w:fldChar w:fldCharType="begin"/>
      </w:r>
      <w:r>
        <w:instrText xml:space="preserve"> PAGEREF _Toc79159118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"_Toc79159119" </w:instrText>
      </w:r>
      <w:r>
        <w:fldChar w:fldCharType="separate"/>
      </w:r>
      <w:r>
        <w:rPr>
          <w:rStyle w:val="32"/>
        </w:rPr>
        <w:t>8.3</w:t>
      </w:r>
      <w:r>
        <w:rPr>
          <w:rStyle w:val="32"/>
          <w:rFonts w:hint="eastAsia"/>
        </w:rPr>
        <w:t xml:space="preserve"> 无菌播种</w:t>
      </w:r>
      <w:r>
        <w:tab/>
      </w:r>
      <w:r>
        <w:fldChar w:fldCharType="begin"/>
      </w:r>
      <w:r>
        <w:instrText xml:space="preserve"> PAGEREF _Toc79159119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"_Toc79159120" </w:instrText>
      </w:r>
      <w:r>
        <w:fldChar w:fldCharType="separate"/>
      </w:r>
      <w:r>
        <w:rPr>
          <w:rStyle w:val="32"/>
        </w:rPr>
        <w:t>8.4</w:t>
      </w:r>
      <w:r>
        <w:rPr>
          <w:rStyle w:val="32"/>
          <w:rFonts w:hint="eastAsia"/>
        </w:rPr>
        <w:t xml:space="preserve"> 壮苗培养</w:t>
      </w:r>
      <w:r>
        <w:tab/>
      </w:r>
      <w:r>
        <w:fldChar w:fldCharType="begin"/>
      </w:r>
      <w:r>
        <w:instrText xml:space="preserve"> PAGEREF _Toc79159120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"_Toc79159121" </w:instrText>
      </w:r>
      <w:r>
        <w:fldChar w:fldCharType="separate"/>
      </w:r>
      <w:r>
        <w:rPr>
          <w:rStyle w:val="32"/>
        </w:rPr>
        <w:t>8.5</w:t>
      </w:r>
      <w:r>
        <w:rPr>
          <w:rStyle w:val="32"/>
          <w:rFonts w:hint="eastAsia"/>
        </w:rPr>
        <w:t xml:space="preserve"> 生根培养</w:t>
      </w:r>
      <w:r>
        <w:tab/>
      </w:r>
      <w:r>
        <w:fldChar w:fldCharType="begin"/>
      </w:r>
      <w:r>
        <w:instrText xml:space="preserve"> PAGEREF _Toc79159121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"_Toc79159122" </w:instrText>
      </w:r>
      <w:r>
        <w:fldChar w:fldCharType="separate"/>
      </w:r>
      <w:r>
        <w:rPr>
          <w:rStyle w:val="32"/>
          <w:rFonts w:hint="eastAsia" w:ascii="Times New Roman"/>
          <w:spacing w:val="100"/>
        </w:rPr>
        <w:t>附录A</w:t>
      </w:r>
      <w:r>
        <w:rPr>
          <w:rStyle w:val="32"/>
          <w:rFonts w:hint="eastAsia" w:ascii="Times New Roman"/>
        </w:rPr>
        <w:t xml:space="preserve"> （规范性附录）</w:t>
      </w:r>
      <w:r>
        <w:rPr>
          <w:rStyle w:val="32"/>
          <w:rFonts w:ascii="Times New Roman"/>
        </w:rPr>
        <w:t xml:space="preserve"> </w:t>
      </w:r>
      <w:r>
        <w:rPr>
          <w:rStyle w:val="32"/>
          <w:rFonts w:hint="eastAsia" w:ascii="Times New Roman"/>
        </w:rPr>
        <w:t>培养基配方</w:t>
      </w:r>
      <w:r>
        <w:tab/>
      </w:r>
      <w:r>
        <w:fldChar w:fldCharType="begin"/>
      </w:r>
      <w:r>
        <w:instrText xml:space="preserve"> PAGEREF _Toc79159122 \h </w:instrText>
      </w:r>
      <w:r>
        <w:fldChar w:fldCharType="separate"/>
      </w:r>
      <w:r>
        <w:t>4</w:t>
      </w:r>
      <w:r>
        <w:fldChar w:fldCharType="end"/>
      </w:r>
      <w:r>
        <w:fldChar w:fldCharType="end"/>
      </w:r>
    </w:p>
    <w:p>
      <w:pPr>
        <w:pStyle w:val="91"/>
        <w:spacing w:after="360"/>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linePitch="312" w:charSpace="0"/>
        </w:sectPr>
      </w:pPr>
      <w:r>
        <w:fldChar w:fldCharType="end"/>
      </w:r>
    </w:p>
    <w:bookmarkEnd w:id="20"/>
    <w:p>
      <w:pPr>
        <w:pStyle w:val="89"/>
        <w:spacing w:after="360"/>
      </w:pPr>
      <w:bookmarkStart w:id="23" w:name="_Toc79159098"/>
      <w:r>
        <w:rPr>
          <w:spacing w:val="320"/>
        </w:rPr>
        <w:t>前</w:t>
      </w:r>
      <w:r>
        <w:t>言</w:t>
      </w:r>
      <w:bookmarkEnd w:id="23"/>
    </w:p>
    <w:p>
      <w:pPr>
        <w:pStyle w:val="56"/>
        <w:ind w:firstLine="420"/>
      </w:pPr>
      <w:r>
        <w:rPr>
          <w:rFonts w:hint="eastAsia"/>
        </w:rPr>
        <w:t>本文件按照GB/T 1.1—2020《标准化工作导则  第1部分：标准化文件的结构和起草规则》的规定起草。</w:t>
      </w:r>
    </w:p>
    <w:p>
      <w:pPr>
        <w:pStyle w:val="253"/>
        <w:ind w:firstLine="420" w:firstLineChars="200"/>
      </w:pPr>
      <w:r>
        <w:rPr>
          <w:rFonts w:hint="eastAsia" w:ascii="宋体" w:hAnsi="宋体"/>
        </w:rPr>
        <w:t>请注意本文件的某些内容可能涉及专利。本文件的发布机构不承担识别专利的责任。</w:t>
      </w:r>
    </w:p>
    <w:p>
      <w:pPr>
        <w:pStyle w:val="254"/>
        <w:ind w:firstLine="420" w:firstLineChars="200"/>
      </w:pPr>
      <w:bookmarkStart w:id="108" w:name="_GoBack"/>
      <w:bookmarkEnd w:id="108"/>
      <w:r>
        <w:rPr>
          <w:rFonts w:hint="eastAsia"/>
        </w:rPr>
        <w:t>本文件由广西壮族自治区农业科学院提出</w:t>
      </w:r>
      <w:r>
        <w:rPr>
          <w:rFonts w:hint="eastAsia" w:ascii="宋体" w:hAnsi="宋体"/>
        </w:rPr>
        <w:t>、归口并宣贯。</w:t>
      </w:r>
      <w:r>
        <w:rPr>
          <w:rFonts w:hint="eastAsia"/>
        </w:rPr>
        <w:t>。</w:t>
      </w:r>
    </w:p>
    <w:p>
      <w:pPr>
        <w:pStyle w:val="56"/>
        <w:ind w:firstLine="420"/>
      </w:pPr>
      <w:r>
        <w:rPr>
          <w:rFonts w:hint="eastAsia"/>
        </w:rPr>
        <w:t>本文件起草单位：广西壮族自治区农业科学院花卉研究所</w:t>
      </w:r>
    </w:p>
    <w:p>
      <w:pPr>
        <w:pStyle w:val="56"/>
        <w:ind w:firstLine="420"/>
      </w:pPr>
      <w:r>
        <w:rPr>
          <w:rFonts w:hint="eastAsia"/>
        </w:rPr>
        <w:t>本文件主要起草人：张自斌、黄昌艳、崔学强、邓杰玲。</w:t>
      </w:r>
    </w:p>
    <w:p>
      <w:pPr>
        <w:pStyle w:val="56"/>
        <w:ind w:firstLine="420"/>
      </w:pPr>
    </w:p>
    <w:p>
      <w:pPr>
        <w:pStyle w:val="56"/>
        <w:ind w:firstLine="420"/>
        <w:sectPr>
          <w:headerReference r:id="rId12" w:type="default"/>
          <w:footerReference r:id="rId14" w:type="default"/>
          <w:headerReference r:id="rId13" w:type="even"/>
          <w:pgSz w:w="11906" w:h="16838"/>
          <w:pgMar w:top="2410" w:right="1134" w:bottom="1134" w:left="1134" w:header="1418" w:footer="1134" w:gutter="284"/>
          <w:pgNumType w:fmt="upperRoman"/>
          <w:cols w:space="425" w:num="1"/>
          <w:formProt w:val="0"/>
          <w:docGrid w:linePitch="312" w:charSpace="0"/>
        </w:sectPr>
      </w:pPr>
    </w:p>
    <w:bookmarkEnd w:id="21"/>
    <w:p>
      <w:pPr>
        <w:spacing w:line="20" w:lineRule="exact"/>
        <w:jc w:val="center"/>
        <w:rPr>
          <w:rFonts w:ascii="黑体" w:hAnsi="黑体" w:eastAsia="黑体"/>
          <w:sz w:val="32"/>
          <w:szCs w:val="32"/>
        </w:rPr>
      </w:pPr>
    </w:p>
    <w:p>
      <w:pPr>
        <w:spacing w:line="20" w:lineRule="exact"/>
        <w:jc w:val="center"/>
        <w:rPr>
          <w:rFonts w:ascii="黑体" w:hAnsi="黑体" w:eastAsia="黑体"/>
          <w:sz w:val="32"/>
          <w:szCs w:val="32"/>
        </w:rPr>
      </w:pPr>
    </w:p>
    <w:sdt>
      <w:sdtPr>
        <w:tag w:val="NEW_STAND_NAME"/>
        <w:id w:val="595910757"/>
        <w:lock w:val="sdtLocked"/>
        <w:placeholder>
          <w:docPart w:val="9619A19252A24AFD8EA47B8CB4567118"/>
        </w:placeholder>
      </w:sdtPr>
      <w:sdtContent>
        <w:p>
          <w:pPr>
            <w:pStyle w:val="177"/>
            <w:spacing w:before="240" w:beforeLines="100" w:after="528" w:afterLines="220"/>
          </w:pPr>
          <w:bookmarkStart w:id="24" w:name="NEW_STAND_NAME"/>
          <w:r>
            <w:rPr>
              <w:rFonts w:hint="eastAsia"/>
            </w:rPr>
            <w:t>万代兰杂交授粉及无菌播种技术规程</w:t>
          </w:r>
        </w:p>
      </w:sdtContent>
    </w:sdt>
    <w:bookmarkEnd w:id="24"/>
    <w:p>
      <w:pPr>
        <w:pStyle w:val="104"/>
        <w:spacing w:before="240" w:after="240"/>
      </w:pPr>
      <w:bookmarkStart w:id="25" w:name="_Toc79159099"/>
      <w:bookmarkStart w:id="26" w:name="_Toc26986530"/>
      <w:bookmarkStart w:id="27" w:name="_Toc26648465"/>
      <w:bookmarkStart w:id="28" w:name="_Toc26986771"/>
      <w:bookmarkStart w:id="29" w:name="_Toc79158318"/>
      <w:bookmarkStart w:id="30" w:name="_Toc24884211"/>
      <w:bookmarkStart w:id="31" w:name="_Toc24884218"/>
      <w:bookmarkStart w:id="32" w:name="_Toc17233333"/>
      <w:bookmarkStart w:id="33" w:name="_Toc17233325"/>
      <w:bookmarkStart w:id="34" w:name="_Toc26718930"/>
      <w:r>
        <w:rPr>
          <w:rFonts w:hint="eastAsia"/>
        </w:rPr>
        <w:t>范围</w:t>
      </w:r>
      <w:bookmarkEnd w:id="25"/>
      <w:bookmarkEnd w:id="26"/>
      <w:bookmarkEnd w:id="27"/>
      <w:bookmarkEnd w:id="28"/>
      <w:bookmarkEnd w:id="29"/>
      <w:bookmarkEnd w:id="30"/>
      <w:bookmarkEnd w:id="31"/>
      <w:bookmarkEnd w:id="32"/>
      <w:bookmarkEnd w:id="33"/>
      <w:bookmarkEnd w:id="34"/>
    </w:p>
    <w:p>
      <w:pPr>
        <w:pStyle w:val="56"/>
        <w:ind w:firstLine="420"/>
      </w:pPr>
      <w:bookmarkStart w:id="35" w:name="_Toc26648466"/>
      <w:bookmarkStart w:id="36" w:name="_Toc17233326"/>
      <w:bookmarkStart w:id="37" w:name="_Toc24884212"/>
      <w:bookmarkStart w:id="38" w:name="_Toc24884219"/>
      <w:bookmarkStart w:id="39" w:name="_Toc17233334"/>
      <w:r>
        <w:rPr>
          <w:rFonts w:hint="eastAsia" w:hAnsi="宋体"/>
        </w:rPr>
        <w:t>本文件确立了万代兰杂交授粉及无菌播种的程序，规定了 父本选择、花粉采集保存、母本选择、杂交授粉、果荚采收及保存和无菌播种等阶段的操作指示和方法。</w:t>
      </w:r>
    </w:p>
    <w:p>
      <w:pPr>
        <w:pStyle w:val="230"/>
      </w:pPr>
      <w:r>
        <w:rPr>
          <w:rFonts w:hint="eastAsia"/>
        </w:rPr>
        <w:t>本文件适用于广西境内万代兰的杂交授粉及无菌播种。</w:t>
      </w:r>
    </w:p>
    <w:p>
      <w:pPr>
        <w:pStyle w:val="104"/>
        <w:spacing w:before="240" w:after="240"/>
      </w:pPr>
      <w:bookmarkStart w:id="40" w:name="_Toc79159100"/>
      <w:bookmarkStart w:id="41" w:name="_Toc26986531"/>
      <w:bookmarkStart w:id="42" w:name="_Toc79158319"/>
      <w:bookmarkStart w:id="43" w:name="_Toc26718931"/>
      <w:bookmarkStart w:id="44" w:name="_Toc26986772"/>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65DCB91495674176AF1BF5DEFFE4580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0"/>
      </w:pPr>
      <w:r>
        <w:rPr>
          <w:rFonts w:hint="eastAsia"/>
        </w:rPr>
        <w:t>GB/T 8321(所有部分) 农药合理使用准则</w:t>
      </w:r>
    </w:p>
    <w:p>
      <w:pPr>
        <w:pStyle w:val="104"/>
        <w:spacing w:before="240" w:after="240"/>
      </w:pPr>
      <w:bookmarkStart w:id="45" w:name="_Toc79158320"/>
      <w:bookmarkStart w:id="46" w:name="_Toc79159101"/>
      <w:r>
        <w:rPr>
          <w:rFonts w:hint="eastAsia"/>
        </w:rPr>
        <w:t>术语和定义</w:t>
      </w:r>
      <w:bookmarkEnd w:id="45"/>
      <w:bookmarkEnd w:id="46"/>
    </w:p>
    <w:bookmarkEnd w:id="22"/>
    <w:p>
      <w:pPr>
        <w:pStyle w:val="230"/>
        <w:rPr>
          <w:rFonts w:hAnsi="宋体"/>
          <w:color w:val="000000"/>
          <w:szCs w:val="21"/>
        </w:rPr>
      </w:pPr>
      <w:bookmarkStart w:id="47" w:name="_Toc26986532"/>
      <w:bookmarkEnd w:id="47"/>
      <w:bookmarkStart w:id="48" w:name="OLE_LINK4"/>
      <w:bookmarkStart w:id="49" w:name="OLE_LINK3"/>
      <w:r>
        <w:rPr>
          <w:rFonts w:hint="eastAsia" w:hAnsi="宋体"/>
          <w:color w:val="000000"/>
          <w:szCs w:val="21"/>
        </w:rPr>
        <w:t>下列术语和定义适用于本文件。</w:t>
      </w:r>
    </w:p>
    <w:bookmarkEnd w:id="48"/>
    <w:bookmarkEnd w:id="49"/>
    <w:p>
      <w:pPr>
        <w:pStyle w:val="232"/>
        <w:numPr>
          <w:ilvl w:val="1"/>
          <w:numId w:val="35"/>
        </w:numPr>
        <w:spacing w:before="120" w:after="120"/>
        <w:rPr>
          <w:color w:val="000000"/>
        </w:rPr>
      </w:pPr>
      <w:r>
        <w:rPr>
          <w:rFonts w:hint="eastAsia"/>
          <w:color w:val="000000"/>
        </w:rPr>
        <w:t xml:space="preserve"> </w:t>
      </w:r>
    </w:p>
    <w:p>
      <w:pPr>
        <w:pStyle w:val="232"/>
        <w:numPr>
          <w:ilvl w:val="0"/>
          <w:numId w:val="0"/>
        </w:numPr>
        <w:spacing w:before="120" w:after="120"/>
        <w:ind w:left="360"/>
        <w:rPr>
          <w:color w:val="000000"/>
        </w:rPr>
      </w:pPr>
      <w:r>
        <w:rPr>
          <w:rFonts w:hint="eastAsia"/>
          <w:color w:val="000000"/>
        </w:rPr>
        <w:t xml:space="preserve">人工授粉 </w:t>
      </w:r>
      <w:r>
        <w:rPr>
          <w:rFonts w:hint="eastAsia"/>
        </w:rPr>
        <w:t>artificial pollination</w:t>
      </w:r>
    </w:p>
    <w:p>
      <w:pPr>
        <w:pStyle w:val="232"/>
        <w:numPr>
          <w:ilvl w:val="0"/>
          <w:numId w:val="0"/>
        </w:numPr>
        <w:spacing w:before="120" w:after="120"/>
        <w:ind w:firstLine="420" w:firstLineChars="200"/>
        <w:rPr>
          <w:rFonts w:ascii="宋体" w:hAnsi="宋体" w:eastAsia="宋体"/>
          <w:color w:val="000000"/>
        </w:rPr>
      </w:pPr>
      <w:r>
        <w:rPr>
          <w:rFonts w:hint="eastAsia" w:ascii="宋体" w:hAnsi="宋体" w:eastAsia="宋体"/>
          <w:color w:val="000000"/>
        </w:rPr>
        <w:t>利用人工方法把花粉传送到柱头上，以实现结实，达到自交或杂交的技术措施。</w:t>
      </w:r>
    </w:p>
    <w:p>
      <w:pPr>
        <w:pStyle w:val="232"/>
        <w:numPr>
          <w:ilvl w:val="1"/>
          <w:numId w:val="35"/>
        </w:numPr>
        <w:spacing w:before="120" w:after="120"/>
        <w:rPr>
          <w:color w:val="000000"/>
        </w:rPr>
      </w:pPr>
      <w:bookmarkStart w:id="50" w:name="_Toc499904723"/>
      <w:bookmarkEnd w:id="50"/>
      <w:bookmarkStart w:id="51" w:name="_Toc516555639"/>
      <w:bookmarkEnd w:id="51"/>
      <w:bookmarkStart w:id="52" w:name="_Toc499904799"/>
      <w:bookmarkEnd w:id="52"/>
      <w:r>
        <w:rPr>
          <w:rFonts w:hint="eastAsia"/>
          <w:color w:val="000000"/>
        </w:rPr>
        <w:t xml:space="preserve"> </w:t>
      </w:r>
    </w:p>
    <w:p>
      <w:pPr>
        <w:pStyle w:val="232"/>
        <w:numPr>
          <w:ilvl w:val="0"/>
          <w:numId w:val="0"/>
        </w:numPr>
        <w:spacing w:before="120" w:after="120"/>
        <w:ind w:left="360"/>
        <w:rPr>
          <w:color w:val="000000"/>
        </w:rPr>
      </w:pPr>
      <w:r>
        <w:rPr>
          <w:rFonts w:hint="eastAsia"/>
          <w:color w:val="000000"/>
        </w:rPr>
        <w:t>花粉块pollen nugget</w:t>
      </w:r>
    </w:p>
    <w:p>
      <w:pPr>
        <w:pStyle w:val="230"/>
        <w:rPr>
          <w:szCs w:val="22"/>
        </w:rPr>
      </w:pPr>
      <w:r>
        <w:rPr>
          <w:rFonts w:hint="eastAsia"/>
          <w:szCs w:val="22"/>
        </w:rPr>
        <w:t>许多</w:t>
      </w:r>
      <w:r>
        <w:rPr>
          <w:szCs w:val="22"/>
        </w:rPr>
        <w:t>花粉结合在一起</w:t>
      </w:r>
      <w:r>
        <w:rPr>
          <w:rFonts w:hint="eastAsia"/>
          <w:szCs w:val="22"/>
        </w:rPr>
        <w:t>形成块状，兰科植物的花粉多以花粉块的形式存在。</w:t>
      </w:r>
    </w:p>
    <w:p>
      <w:pPr>
        <w:pStyle w:val="232"/>
        <w:numPr>
          <w:ilvl w:val="1"/>
          <w:numId w:val="35"/>
        </w:numPr>
        <w:spacing w:before="120" w:after="120"/>
        <w:rPr>
          <w:color w:val="000000"/>
        </w:rPr>
      </w:pPr>
      <w:r>
        <w:rPr>
          <w:rFonts w:hint="eastAsia"/>
          <w:color w:val="000000"/>
        </w:rPr>
        <w:t xml:space="preserve"> </w:t>
      </w:r>
    </w:p>
    <w:p>
      <w:pPr>
        <w:pStyle w:val="232"/>
        <w:numPr>
          <w:ilvl w:val="0"/>
          <w:numId w:val="0"/>
        </w:numPr>
        <w:spacing w:before="120" w:after="120"/>
        <w:ind w:left="360"/>
        <w:rPr>
          <w:color w:val="000000"/>
        </w:rPr>
      </w:pPr>
      <w:r>
        <w:rPr>
          <w:rFonts w:hint="eastAsia"/>
          <w:color w:val="000000"/>
        </w:rPr>
        <w:t>柱头腔stigma cavity</w:t>
      </w:r>
    </w:p>
    <w:p>
      <w:pPr>
        <w:pStyle w:val="230"/>
        <w:rPr>
          <w:szCs w:val="22"/>
        </w:rPr>
      </w:pPr>
      <w:r>
        <w:rPr>
          <w:rFonts w:hint="eastAsia"/>
          <w:szCs w:val="22"/>
        </w:rPr>
        <w:t>兰科植物合蕊柱上凹陷呈腔状的雌蕊。</w:t>
      </w:r>
    </w:p>
    <w:p>
      <w:pPr>
        <w:pStyle w:val="232"/>
        <w:numPr>
          <w:ilvl w:val="1"/>
          <w:numId w:val="35"/>
        </w:numPr>
        <w:spacing w:before="120" w:after="120"/>
        <w:rPr>
          <w:color w:val="000000"/>
        </w:rPr>
      </w:pPr>
      <w:r>
        <w:rPr>
          <w:rFonts w:hint="eastAsia"/>
          <w:color w:val="000000"/>
        </w:rPr>
        <w:t xml:space="preserve"> </w:t>
      </w:r>
    </w:p>
    <w:p>
      <w:pPr>
        <w:pStyle w:val="232"/>
        <w:numPr>
          <w:ilvl w:val="0"/>
          <w:numId w:val="0"/>
        </w:numPr>
        <w:spacing w:before="120" w:after="120"/>
        <w:ind w:left="360"/>
        <w:rPr>
          <w:color w:val="000000"/>
        </w:rPr>
      </w:pPr>
      <w:r>
        <w:rPr>
          <w:rFonts w:hint="eastAsia"/>
          <w:color w:val="000000"/>
        </w:rPr>
        <w:t>无菌播种aseptic seeding</w:t>
      </w:r>
    </w:p>
    <w:p>
      <w:pPr>
        <w:pStyle w:val="230"/>
        <w:rPr>
          <w:rFonts w:hAnsi="宋体"/>
          <w:color w:val="000000"/>
          <w:szCs w:val="21"/>
        </w:rPr>
      </w:pPr>
      <w:r>
        <w:rPr>
          <w:rFonts w:hint="eastAsia"/>
          <w:szCs w:val="22"/>
        </w:rPr>
        <w:t>在无菌环境中，将植物种子接种到经灭菌消毒处理的培养基中，实现促进种子萌发的技术措施</w:t>
      </w:r>
      <w:r>
        <w:rPr>
          <w:rFonts w:hint="eastAsia" w:hAnsi="宋体"/>
          <w:color w:val="000000"/>
          <w:szCs w:val="21"/>
        </w:rPr>
        <w:t>。</w:t>
      </w:r>
    </w:p>
    <w:p>
      <w:pPr>
        <w:pStyle w:val="104"/>
        <w:spacing w:before="240" w:after="240"/>
      </w:pPr>
      <w:bookmarkStart w:id="53" w:name="_Toc79158321"/>
      <w:bookmarkStart w:id="54" w:name="_Toc79159102"/>
      <w:r>
        <w:rPr>
          <w:rFonts w:hint="eastAsia"/>
        </w:rPr>
        <w:t>父本选择</w:t>
      </w:r>
      <w:bookmarkEnd w:id="53"/>
      <w:bookmarkEnd w:id="54"/>
    </w:p>
    <w:p>
      <w:pPr>
        <w:pStyle w:val="105"/>
        <w:spacing w:before="120" w:after="120"/>
        <w:rPr>
          <w:rFonts w:ascii="Times New Roman" w:hAnsi="宋体"/>
          <w:color w:val="000000"/>
        </w:rPr>
      </w:pPr>
      <w:bookmarkStart w:id="55" w:name="_Toc79158323"/>
      <w:bookmarkStart w:id="56" w:name="_Toc79159103"/>
      <w:r>
        <w:rPr>
          <w:rFonts w:hint="eastAsia"/>
          <w:color w:val="000000"/>
        </w:rPr>
        <w:t>个体选择</w:t>
      </w:r>
      <w:bookmarkEnd w:id="55"/>
      <w:bookmarkEnd w:id="56"/>
    </w:p>
    <w:p>
      <w:pPr>
        <w:pStyle w:val="230"/>
      </w:pPr>
      <w:r>
        <w:rPr>
          <w:rFonts w:hint="eastAsia"/>
          <w:szCs w:val="22"/>
        </w:rPr>
        <w:t>挑选长势良好、株型健壮、无病虫害的植株作为父本</w:t>
      </w:r>
      <w:r>
        <w:rPr>
          <w:rFonts w:hint="eastAsia"/>
          <w:bCs/>
        </w:rPr>
        <w:t>。</w:t>
      </w:r>
    </w:p>
    <w:p>
      <w:pPr>
        <w:pStyle w:val="105"/>
        <w:spacing w:before="120" w:after="120"/>
        <w:rPr>
          <w:rFonts w:ascii="Times New Roman" w:hAnsi="宋体"/>
          <w:color w:val="000000"/>
        </w:rPr>
      </w:pPr>
      <w:bookmarkStart w:id="57" w:name="_Toc79159104"/>
      <w:bookmarkStart w:id="58" w:name="_Toc79158324"/>
      <w:r>
        <w:rPr>
          <w:rFonts w:hint="eastAsia" w:ascii="Times New Roman" w:hAnsi="宋体"/>
          <w:color w:val="000000"/>
        </w:rPr>
        <w:t>花朵选择</w:t>
      </w:r>
      <w:bookmarkEnd w:id="57"/>
      <w:bookmarkEnd w:id="58"/>
    </w:p>
    <w:p>
      <w:pPr>
        <w:pStyle w:val="230"/>
        <w:rPr>
          <w:szCs w:val="22"/>
        </w:rPr>
      </w:pPr>
      <w:bookmarkStart w:id="59" w:name="_Toc386179527"/>
      <w:bookmarkStart w:id="60" w:name="_Toc389226551"/>
      <w:bookmarkStart w:id="61" w:name="_Toc389141806"/>
      <w:bookmarkStart w:id="62" w:name="_Toc389227228"/>
      <w:bookmarkStart w:id="63" w:name="_Toc389117871"/>
      <w:bookmarkStart w:id="64" w:name="_Toc387070026"/>
      <w:bookmarkStart w:id="65" w:name="_Toc389117808"/>
      <w:bookmarkStart w:id="66" w:name="_Toc387069947"/>
      <w:bookmarkStart w:id="67" w:name="_Toc389118099"/>
      <w:r>
        <w:rPr>
          <w:rFonts w:hint="eastAsia"/>
          <w:szCs w:val="22"/>
        </w:rPr>
        <w:t>上午9:30～10:30，选择完全开放后2 d～3 d，色泽艳丽，花型饱满，花朵硕大，花部完整，花粉发育完全的花朵，用于花粉采集。</w:t>
      </w:r>
      <w:bookmarkEnd w:id="59"/>
      <w:bookmarkEnd w:id="60"/>
      <w:bookmarkEnd w:id="61"/>
      <w:bookmarkEnd w:id="62"/>
      <w:bookmarkEnd w:id="63"/>
      <w:bookmarkEnd w:id="64"/>
      <w:bookmarkEnd w:id="65"/>
      <w:bookmarkEnd w:id="66"/>
      <w:bookmarkEnd w:id="67"/>
    </w:p>
    <w:p>
      <w:pPr>
        <w:pStyle w:val="105"/>
        <w:spacing w:before="120" w:after="120"/>
        <w:rPr>
          <w:rFonts w:ascii="Times New Roman" w:hAnsi="宋体"/>
          <w:color w:val="000000"/>
        </w:rPr>
      </w:pPr>
      <w:bookmarkStart w:id="68" w:name="_Toc79158325"/>
      <w:bookmarkStart w:id="69" w:name="_Toc79159105"/>
      <w:bookmarkStart w:id="70" w:name="_Toc468893786"/>
      <w:bookmarkStart w:id="71" w:name="_Toc430944616"/>
      <w:bookmarkStart w:id="72" w:name="_Toc430944686"/>
      <w:r>
        <w:rPr>
          <w:rFonts w:hint="eastAsia"/>
        </w:rPr>
        <w:t>花粉获取</w:t>
      </w:r>
      <w:bookmarkEnd w:id="68"/>
      <w:bookmarkEnd w:id="69"/>
    </w:p>
    <w:p>
      <w:pPr>
        <w:pStyle w:val="230"/>
        <w:rPr>
          <w:color w:val="000000"/>
        </w:rPr>
      </w:pPr>
      <w:r>
        <w:rPr>
          <w:rFonts w:hint="eastAsia"/>
          <w:szCs w:val="22"/>
        </w:rPr>
        <w:t>利用干净的牙签小心撬开花药帽后，将牙签先端触碰花粉块粘柄，当粘柄与牙签粘合后，轻轻抽回牙签，花粉块将随着粘柄一起粘连于牙签上</w:t>
      </w:r>
      <w:r>
        <w:rPr>
          <w:rFonts w:hint="eastAsia"/>
          <w:color w:val="000000"/>
        </w:rPr>
        <w:t>。</w:t>
      </w:r>
    </w:p>
    <w:p>
      <w:pPr>
        <w:pStyle w:val="105"/>
        <w:spacing w:before="120" w:after="120"/>
        <w:rPr>
          <w:rFonts w:ascii="Times New Roman" w:hAnsi="宋体"/>
          <w:color w:val="000000"/>
        </w:rPr>
      </w:pPr>
      <w:bookmarkStart w:id="73" w:name="_Toc79158326"/>
      <w:bookmarkStart w:id="74" w:name="_Toc79159106"/>
      <w:r>
        <w:rPr>
          <w:rFonts w:hint="eastAsia"/>
        </w:rPr>
        <w:t>去除粘柄</w:t>
      </w:r>
      <w:bookmarkEnd w:id="73"/>
      <w:bookmarkEnd w:id="74"/>
    </w:p>
    <w:p>
      <w:pPr>
        <w:pStyle w:val="230"/>
      </w:pPr>
      <w:r>
        <w:rPr>
          <w:rFonts w:hint="eastAsia"/>
          <w:szCs w:val="22"/>
        </w:rPr>
        <w:t>将粘柄及花粉块放置于干净的白纸上，左右手各执一支牙签将花粉块与粘柄分离</w:t>
      </w:r>
      <w:r>
        <w:rPr>
          <w:rFonts w:hint="eastAsia"/>
        </w:rPr>
        <w:t>。</w:t>
      </w:r>
    </w:p>
    <w:p>
      <w:pPr>
        <w:pStyle w:val="104"/>
        <w:spacing w:before="240" w:after="240"/>
      </w:pPr>
      <w:r>
        <w:rPr>
          <w:rFonts w:hint="eastAsia"/>
        </w:rPr>
        <w:t>花粉采集、保存</w:t>
      </w:r>
    </w:p>
    <w:p>
      <w:pPr>
        <w:pStyle w:val="230"/>
      </w:pPr>
      <w:r>
        <w:rPr>
          <w:rFonts w:hint="eastAsia"/>
          <w:szCs w:val="22"/>
        </w:rPr>
        <w:t>将花粉块放入干净的离心管，贴上标注有植株编号、物种名、采集日期、花粉块数量等信息的标签，放入冰箱冷冻层（-10℃）中低温保存，宜在30</w:t>
      </w:r>
      <w:r>
        <w:rPr>
          <w:rFonts w:hint="eastAsia" w:hAnsi="宋体"/>
          <w:vertAlign w:val="superscript"/>
        </w:rPr>
        <w:t xml:space="preserve"> </w:t>
      </w:r>
      <w:r>
        <w:rPr>
          <w:rFonts w:hint="eastAsia"/>
          <w:szCs w:val="22"/>
        </w:rPr>
        <w:t>d内使用。</w:t>
      </w:r>
    </w:p>
    <w:bookmarkEnd w:id="70"/>
    <w:bookmarkEnd w:id="71"/>
    <w:bookmarkEnd w:id="72"/>
    <w:p>
      <w:pPr>
        <w:pStyle w:val="104"/>
        <w:spacing w:before="240" w:after="240"/>
      </w:pPr>
      <w:bookmarkStart w:id="75" w:name="_Toc79158328"/>
      <w:bookmarkStart w:id="76" w:name="_Toc79159108"/>
      <w:r>
        <w:rPr>
          <w:rFonts w:hint="eastAsia"/>
        </w:rPr>
        <w:t>母本选择</w:t>
      </w:r>
      <w:bookmarkEnd w:id="75"/>
      <w:bookmarkEnd w:id="76"/>
    </w:p>
    <w:p>
      <w:pPr>
        <w:pStyle w:val="105"/>
        <w:spacing w:before="120" w:after="120"/>
        <w:rPr>
          <w:rFonts w:ascii="Times New Roman" w:hAnsi="宋体"/>
          <w:color w:val="000000"/>
        </w:rPr>
      </w:pPr>
      <w:bookmarkStart w:id="77" w:name="_Toc79159109"/>
      <w:bookmarkStart w:id="78" w:name="_Toc79158329"/>
      <w:r>
        <w:rPr>
          <w:rFonts w:hint="eastAsia"/>
        </w:rPr>
        <w:t>母本个体选择</w:t>
      </w:r>
      <w:bookmarkEnd w:id="77"/>
      <w:bookmarkEnd w:id="78"/>
    </w:p>
    <w:p>
      <w:pPr>
        <w:pStyle w:val="230"/>
        <w:rPr>
          <w:szCs w:val="22"/>
        </w:rPr>
      </w:pPr>
      <w:r>
        <w:rPr>
          <w:rFonts w:hint="eastAsia"/>
          <w:szCs w:val="22"/>
        </w:rPr>
        <w:t>挑选长势良好、株型健壮、无病虫害的植株作为母本。</w:t>
      </w:r>
    </w:p>
    <w:p>
      <w:pPr>
        <w:pStyle w:val="105"/>
        <w:spacing w:before="120" w:after="120"/>
      </w:pPr>
      <w:bookmarkStart w:id="79" w:name="_Toc79158330"/>
      <w:bookmarkStart w:id="80" w:name="_Toc79159110"/>
      <w:r>
        <w:rPr>
          <w:rFonts w:hint="eastAsia"/>
        </w:rPr>
        <w:t>母本花朵选择</w:t>
      </w:r>
      <w:bookmarkEnd w:id="79"/>
      <w:bookmarkEnd w:id="80"/>
    </w:p>
    <w:p>
      <w:pPr>
        <w:pStyle w:val="230"/>
      </w:pPr>
      <w:r>
        <w:rPr>
          <w:rFonts w:hint="eastAsia"/>
          <w:szCs w:val="22"/>
        </w:rPr>
        <w:t>选择完全开放后2</w:t>
      </w:r>
      <w:r>
        <w:rPr>
          <w:rFonts w:hint="eastAsia" w:hAnsi="宋体"/>
          <w:vertAlign w:val="superscript"/>
        </w:rPr>
        <w:t xml:space="preserve"> </w:t>
      </w:r>
      <w:r>
        <w:rPr>
          <w:rFonts w:hint="eastAsia"/>
          <w:szCs w:val="22"/>
        </w:rPr>
        <w:t>d</w:t>
      </w:r>
      <w:r>
        <w:rPr>
          <w:rFonts w:hint="eastAsia"/>
        </w:rPr>
        <w:t>～</w:t>
      </w:r>
      <w:r>
        <w:rPr>
          <w:rFonts w:hint="eastAsia"/>
          <w:szCs w:val="22"/>
        </w:rPr>
        <w:t>3</w:t>
      </w:r>
      <w:r>
        <w:rPr>
          <w:rFonts w:hint="eastAsia" w:hAnsi="宋体"/>
          <w:vertAlign w:val="superscript"/>
        </w:rPr>
        <w:t xml:space="preserve"> </w:t>
      </w:r>
      <w:r>
        <w:rPr>
          <w:rFonts w:hint="eastAsia"/>
          <w:szCs w:val="22"/>
        </w:rPr>
        <w:t>d，色泽艳丽，花型饱满，花朵硕大，花部完整，柱头发育完全的花朵作为授粉的母本花朵；柱头腔如有脏污或柱头凹洞上粘液表面已变黄或褐色，则不宜做母本花朵</w:t>
      </w:r>
      <w:r>
        <w:rPr>
          <w:rFonts w:hint="eastAsia"/>
        </w:rPr>
        <w:t>。</w:t>
      </w:r>
    </w:p>
    <w:p>
      <w:pPr>
        <w:pStyle w:val="104"/>
        <w:spacing w:before="240" w:after="240"/>
      </w:pPr>
      <w:bookmarkStart w:id="81" w:name="_Toc79159111"/>
      <w:bookmarkStart w:id="82" w:name="_Toc79158331"/>
      <w:r>
        <w:rPr>
          <w:rFonts w:hint="eastAsia"/>
        </w:rPr>
        <w:t>人工授粉</w:t>
      </w:r>
      <w:bookmarkEnd w:id="81"/>
      <w:bookmarkEnd w:id="82"/>
    </w:p>
    <w:p>
      <w:pPr>
        <w:pStyle w:val="230"/>
      </w:pPr>
      <w:r>
        <w:rPr>
          <w:rFonts w:hint="eastAsia"/>
          <w:szCs w:val="22"/>
        </w:rPr>
        <w:t>去除母本的花粉块，以干净的牙签尖端蘸母本花柱头凹洞表面上的粘液，然后将父本的花粉块粘起，将花粉块送入母本花朵的柱头腔内，每个柱头腔放入4个花粉块。摘除唇瓣，挂上标注有父本植株编号、物种名、花粉采集日期、授粉日期的标签</w:t>
      </w:r>
      <w:r>
        <w:rPr>
          <w:rFonts w:hint="eastAsia"/>
        </w:rPr>
        <w:t>。</w:t>
      </w:r>
    </w:p>
    <w:p>
      <w:pPr>
        <w:pStyle w:val="104"/>
        <w:spacing w:before="240" w:after="240"/>
      </w:pPr>
      <w:bookmarkStart w:id="83" w:name="_Toc79159112"/>
      <w:bookmarkStart w:id="84" w:name="_Toc79158332"/>
      <w:r>
        <w:rPr>
          <w:rFonts w:hint="eastAsia"/>
        </w:rPr>
        <w:t>果荚采收及保存</w:t>
      </w:r>
      <w:bookmarkEnd w:id="83"/>
      <w:bookmarkEnd w:id="84"/>
    </w:p>
    <w:p>
      <w:pPr>
        <w:pStyle w:val="105"/>
        <w:spacing w:before="120" w:after="120"/>
        <w:rPr>
          <w:color w:val="000000"/>
        </w:rPr>
      </w:pPr>
      <w:r>
        <w:rPr>
          <w:rFonts w:hint="eastAsia"/>
        </w:rPr>
        <w:t xml:space="preserve"> </w:t>
      </w:r>
      <w:bookmarkStart w:id="85" w:name="_Toc79158333"/>
      <w:bookmarkStart w:id="86" w:name="_Toc79159113"/>
      <w:r>
        <w:rPr>
          <w:rFonts w:hint="eastAsia"/>
        </w:rPr>
        <w:t>果荚成熟标准</w:t>
      </w:r>
      <w:bookmarkEnd w:id="85"/>
      <w:bookmarkEnd w:id="86"/>
    </w:p>
    <w:p>
      <w:pPr>
        <w:pStyle w:val="232"/>
        <w:numPr>
          <w:ilvl w:val="0"/>
          <w:numId w:val="0"/>
        </w:numPr>
        <w:spacing w:before="120" w:after="120"/>
        <w:ind w:firstLine="420" w:firstLineChars="200"/>
        <w:rPr>
          <w:rFonts w:ascii="宋体" w:hAnsi="宋体" w:eastAsia="宋体"/>
          <w:color w:val="000000"/>
        </w:rPr>
      </w:pPr>
      <w:r>
        <w:rPr>
          <w:rFonts w:hint="eastAsia" w:ascii="宋体" w:hAnsi="宋体" w:eastAsia="宋体"/>
          <w:color w:val="000000"/>
        </w:rPr>
        <w:t>授粉后180</w:t>
      </w:r>
      <w:r>
        <w:rPr>
          <w:rFonts w:hint="eastAsia" w:ascii="宋体" w:hAnsi="宋体"/>
          <w:vertAlign w:val="superscript"/>
        </w:rPr>
        <w:t xml:space="preserve"> </w:t>
      </w:r>
      <w:r>
        <w:rPr>
          <w:rFonts w:hint="eastAsia" w:ascii="宋体" w:hAnsi="宋体" w:eastAsia="宋体"/>
          <w:color w:val="000000"/>
        </w:rPr>
        <w:t>d～210</w:t>
      </w:r>
      <w:r>
        <w:rPr>
          <w:rFonts w:hint="eastAsia" w:ascii="宋体" w:hAnsi="宋体"/>
          <w:vertAlign w:val="superscript"/>
        </w:rPr>
        <w:t xml:space="preserve"> </w:t>
      </w:r>
      <w:r>
        <w:rPr>
          <w:rFonts w:hint="eastAsia" w:ascii="宋体" w:hAnsi="宋体" w:eastAsia="宋体"/>
          <w:color w:val="000000"/>
        </w:rPr>
        <w:t>d，果荚开始变黄但尚未开裂时采收。</w:t>
      </w:r>
    </w:p>
    <w:p>
      <w:pPr>
        <w:pStyle w:val="105"/>
        <w:spacing w:before="120" w:after="120"/>
        <w:rPr>
          <w:color w:val="000000"/>
        </w:rPr>
      </w:pPr>
      <w:r>
        <w:rPr>
          <w:rFonts w:hint="eastAsia"/>
        </w:rPr>
        <w:t xml:space="preserve"> </w:t>
      </w:r>
      <w:bookmarkStart w:id="87" w:name="_Toc79159114"/>
      <w:bookmarkStart w:id="88" w:name="_Toc79158334"/>
      <w:r>
        <w:rPr>
          <w:rFonts w:hint="eastAsia"/>
        </w:rPr>
        <w:t>果荚采收</w:t>
      </w:r>
      <w:bookmarkEnd w:id="87"/>
      <w:bookmarkEnd w:id="88"/>
    </w:p>
    <w:p>
      <w:pPr>
        <w:pStyle w:val="230"/>
        <w:rPr>
          <w:rFonts w:hAnsi="宋体"/>
          <w:color w:val="000000"/>
          <w:szCs w:val="21"/>
        </w:rPr>
      </w:pPr>
      <w:r>
        <w:rPr>
          <w:rFonts w:hint="eastAsia"/>
          <w:szCs w:val="22"/>
        </w:rPr>
        <w:t>利用酒精消毒后的剪刀，将果荚柄剪断，将果荚放入干净自封袋中，并贴上标注有果荚编号的标签，在果荚采集本上记录其父本植株编号、父本种名、花粉采集日期、授粉日期、母本植株编号、母本种名、授粉日期及果荚采摘日期</w:t>
      </w:r>
      <w:r>
        <w:rPr>
          <w:rFonts w:hint="eastAsia" w:hAnsi="宋体"/>
          <w:color w:val="000000"/>
          <w:szCs w:val="21"/>
        </w:rPr>
        <w:t>。</w:t>
      </w:r>
    </w:p>
    <w:p>
      <w:pPr>
        <w:pStyle w:val="105"/>
        <w:spacing w:before="120" w:after="120"/>
        <w:rPr>
          <w:color w:val="000000"/>
        </w:rPr>
      </w:pPr>
      <w:r>
        <w:rPr>
          <w:rFonts w:hint="eastAsia"/>
        </w:rPr>
        <w:t xml:space="preserve"> </w:t>
      </w:r>
      <w:bookmarkStart w:id="89" w:name="_Toc79159115"/>
      <w:bookmarkStart w:id="90" w:name="_Toc79158335"/>
      <w:r>
        <w:rPr>
          <w:rFonts w:hint="eastAsia"/>
        </w:rPr>
        <w:t>果荚保存</w:t>
      </w:r>
      <w:bookmarkEnd w:id="89"/>
      <w:bookmarkEnd w:id="90"/>
    </w:p>
    <w:p>
      <w:pPr>
        <w:pStyle w:val="230"/>
        <w:rPr>
          <w:szCs w:val="22"/>
        </w:rPr>
      </w:pPr>
      <w:r>
        <w:rPr>
          <w:rFonts w:hint="eastAsia"/>
          <w:szCs w:val="22"/>
        </w:rPr>
        <w:t>将装有果荚的自封袋放入4℃的冰箱保存，宜在30</w:t>
      </w:r>
      <w:r>
        <w:rPr>
          <w:rFonts w:hint="eastAsia" w:hAnsi="宋体"/>
          <w:vertAlign w:val="superscript"/>
        </w:rPr>
        <w:t xml:space="preserve"> </w:t>
      </w:r>
      <w:r>
        <w:rPr>
          <w:rFonts w:hint="eastAsia"/>
          <w:szCs w:val="22"/>
        </w:rPr>
        <w:t>d 内完成播种。</w:t>
      </w:r>
    </w:p>
    <w:p>
      <w:pPr>
        <w:pStyle w:val="104"/>
        <w:spacing w:before="240" w:after="240"/>
      </w:pPr>
      <w:bookmarkStart w:id="91" w:name="_Toc79158336"/>
      <w:bookmarkStart w:id="92" w:name="_Toc79159116"/>
      <w:r>
        <w:rPr>
          <w:rFonts w:hint="eastAsia"/>
        </w:rPr>
        <w:t>无菌播种</w:t>
      </w:r>
      <w:bookmarkEnd w:id="91"/>
      <w:bookmarkEnd w:id="92"/>
    </w:p>
    <w:p>
      <w:pPr>
        <w:pStyle w:val="105"/>
        <w:spacing w:before="120" w:after="120"/>
        <w:rPr>
          <w:color w:val="000000"/>
        </w:rPr>
      </w:pPr>
      <w:r>
        <w:rPr>
          <w:rFonts w:hint="eastAsia"/>
          <w:color w:val="000000"/>
        </w:rPr>
        <w:t xml:space="preserve"> </w:t>
      </w:r>
      <w:bookmarkStart w:id="93" w:name="_Toc79158337"/>
      <w:bookmarkStart w:id="94" w:name="_Toc79159117"/>
      <w:r>
        <w:rPr>
          <w:rFonts w:hint="eastAsia"/>
          <w:color w:val="000000"/>
        </w:rPr>
        <w:t>果荚</w:t>
      </w:r>
      <w:r>
        <w:rPr>
          <w:rFonts w:hint="eastAsia"/>
          <w:szCs w:val="22"/>
        </w:rPr>
        <w:t>预处理</w:t>
      </w:r>
      <w:bookmarkEnd w:id="93"/>
      <w:bookmarkEnd w:id="94"/>
    </w:p>
    <w:p>
      <w:pPr>
        <w:pStyle w:val="230"/>
        <w:rPr>
          <w:szCs w:val="22"/>
        </w:rPr>
      </w:pPr>
      <w:r>
        <w:rPr>
          <w:rFonts w:hint="eastAsia"/>
          <w:szCs w:val="22"/>
        </w:rPr>
        <w:t>用毛刷将果荚表面刷干净，置于饱和洗衣粉水中浸泡20</w:t>
      </w:r>
      <w:r>
        <w:rPr>
          <w:rFonts w:hint="eastAsia" w:hAnsi="宋体"/>
          <w:vertAlign w:val="superscript"/>
        </w:rPr>
        <w:t xml:space="preserve"> </w:t>
      </w:r>
      <w:r>
        <w:rPr>
          <w:rFonts w:hint="eastAsia"/>
          <w:szCs w:val="22"/>
        </w:rPr>
        <w:t>min，期间不断摇晃，然后置于流水下冲洗30</w:t>
      </w:r>
      <w:r>
        <w:rPr>
          <w:rFonts w:hint="eastAsia" w:hAnsi="宋体"/>
          <w:vertAlign w:val="superscript"/>
        </w:rPr>
        <w:t xml:space="preserve"> </w:t>
      </w:r>
      <w:r>
        <w:rPr>
          <w:rFonts w:hint="eastAsia"/>
          <w:szCs w:val="22"/>
        </w:rPr>
        <w:t>min。</w:t>
      </w:r>
    </w:p>
    <w:p>
      <w:pPr>
        <w:pStyle w:val="105"/>
        <w:spacing w:before="120" w:after="120"/>
        <w:rPr>
          <w:szCs w:val="22"/>
        </w:rPr>
      </w:pPr>
      <w:r>
        <w:rPr>
          <w:rFonts w:hint="eastAsia"/>
          <w:szCs w:val="22"/>
        </w:rPr>
        <w:t xml:space="preserve"> </w:t>
      </w:r>
      <w:bookmarkStart w:id="95" w:name="_Toc79159118"/>
      <w:bookmarkStart w:id="96" w:name="_Toc79158338"/>
      <w:r>
        <w:rPr>
          <w:rFonts w:hint="eastAsia"/>
          <w:szCs w:val="22"/>
        </w:rPr>
        <w:t>果荚灭菌</w:t>
      </w:r>
      <w:bookmarkEnd w:id="95"/>
      <w:bookmarkEnd w:id="96"/>
    </w:p>
    <w:p>
      <w:pPr>
        <w:pStyle w:val="230"/>
        <w:rPr>
          <w:szCs w:val="22"/>
        </w:rPr>
      </w:pPr>
      <w:r>
        <w:rPr>
          <w:rFonts w:hint="eastAsia"/>
          <w:szCs w:val="22"/>
        </w:rPr>
        <w:t>在超净工作台内用75％酒精棉球擦拭果荚表面，接着用0.1％升汞浸泡20</w:t>
      </w:r>
      <w:r>
        <w:rPr>
          <w:rFonts w:hint="eastAsia" w:hAnsi="宋体"/>
          <w:vertAlign w:val="superscript"/>
        </w:rPr>
        <w:t xml:space="preserve"> </w:t>
      </w:r>
      <w:r>
        <w:rPr>
          <w:rFonts w:hint="eastAsia"/>
          <w:szCs w:val="22"/>
        </w:rPr>
        <w:t>min，无菌水冲洗4次，无菌滤纸吸干表面水分。</w:t>
      </w:r>
    </w:p>
    <w:p>
      <w:pPr>
        <w:pStyle w:val="105"/>
        <w:spacing w:before="120" w:after="120"/>
        <w:rPr>
          <w:szCs w:val="22"/>
        </w:rPr>
      </w:pPr>
      <w:r>
        <w:rPr>
          <w:rFonts w:hint="eastAsia"/>
          <w:szCs w:val="22"/>
        </w:rPr>
        <w:t xml:space="preserve"> </w:t>
      </w:r>
      <w:bookmarkStart w:id="97" w:name="_Toc79158339"/>
      <w:bookmarkStart w:id="98" w:name="_Toc79159119"/>
      <w:r>
        <w:rPr>
          <w:rFonts w:hint="eastAsia"/>
          <w:szCs w:val="22"/>
        </w:rPr>
        <w:t>播种</w:t>
      </w:r>
      <w:bookmarkEnd w:id="97"/>
      <w:bookmarkEnd w:id="98"/>
      <w:r>
        <w:rPr>
          <w:rFonts w:hint="eastAsia"/>
          <w:szCs w:val="22"/>
        </w:rPr>
        <w:t>方法</w:t>
      </w:r>
    </w:p>
    <w:p>
      <w:pPr>
        <w:pStyle w:val="230"/>
        <w:rPr>
          <w:szCs w:val="22"/>
        </w:rPr>
      </w:pPr>
      <w:r>
        <w:rPr>
          <w:rFonts w:hint="eastAsia"/>
          <w:szCs w:val="22"/>
        </w:rPr>
        <w:t>将果荚放置于灭菌碟上，用解剖刀剖开果荚，用镊子取出种子，将其均匀地撒播在萌发诱导培养基</w:t>
      </w:r>
      <w:r>
        <w:rPr>
          <w:rFonts w:hAnsi="宋体"/>
          <w:szCs w:val="21"/>
        </w:rPr>
        <w:t>（见附录A中的A.1）</w:t>
      </w:r>
      <w:r>
        <w:rPr>
          <w:rFonts w:hint="eastAsia"/>
          <w:szCs w:val="22"/>
        </w:rPr>
        <w:t>。培养室温度23℃～27℃，光照强度2 400</w:t>
      </w:r>
      <w:r>
        <w:rPr>
          <w:rFonts w:hint="eastAsia" w:hAnsi="宋体"/>
          <w:vertAlign w:val="superscript"/>
        </w:rPr>
        <w:t xml:space="preserve"> </w:t>
      </w:r>
      <w:r>
        <w:rPr>
          <w:rFonts w:hint="eastAsia"/>
          <w:szCs w:val="22"/>
        </w:rPr>
        <w:t>lx～3 200</w:t>
      </w:r>
      <w:r>
        <w:rPr>
          <w:rFonts w:hint="eastAsia" w:hAnsi="宋体"/>
          <w:vertAlign w:val="superscript"/>
        </w:rPr>
        <w:t xml:space="preserve"> </w:t>
      </w:r>
      <w:r>
        <w:rPr>
          <w:rFonts w:hint="eastAsia"/>
          <w:szCs w:val="22"/>
        </w:rPr>
        <w:t>lx，光周期10</w:t>
      </w:r>
      <w:r>
        <w:rPr>
          <w:rFonts w:hint="eastAsia" w:hAnsi="宋体"/>
          <w:vertAlign w:val="superscript"/>
        </w:rPr>
        <w:t xml:space="preserve"> </w:t>
      </w:r>
      <w:r>
        <w:rPr>
          <w:rFonts w:hint="eastAsia"/>
          <w:szCs w:val="22"/>
        </w:rPr>
        <w:t>h～12</w:t>
      </w:r>
      <w:r>
        <w:rPr>
          <w:rFonts w:hint="eastAsia" w:hAnsi="宋体"/>
          <w:vertAlign w:val="superscript"/>
        </w:rPr>
        <w:t xml:space="preserve"> </w:t>
      </w:r>
      <w:r>
        <w:rPr>
          <w:rFonts w:hint="eastAsia"/>
          <w:szCs w:val="22"/>
        </w:rPr>
        <w:t>h。60</w:t>
      </w:r>
      <w:r>
        <w:rPr>
          <w:rFonts w:hint="eastAsia" w:hAnsi="宋体"/>
          <w:vertAlign w:val="superscript"/>
        </w:rPr>
        <w:t xml:space="preserve"> </w:t>
      </w:r>
      <w:r>
        <w:rPr>
          <w:rFonts w:hint="eastAsia"/>
          <w:szCs w:val="22"/>
        </w:rPr>
        <w:t xml:space="preserve">d后，种子萌发。 </w:t>
      </w:r>
    </w:p>
    <w:p>
      <w:pPr>
        <w:pStyle w:val="105"/>
        <w:spacing w:before="120" w:after="120"/>
        <w:rPr>
          <w:szCs w:val="22"/>
        </w:rPr>
      </w:pPr>
      <w:r>
        <w:rPr>
          <w:rFonts w:hint="eastAsia"/>
          <w:szCs w:val="22"/>
        </w:rPr>
        <w:t xml:space="preserve"> </w:t>
      </w:r>
      <w:bookmarkStart w:id="99" w:name="_Toc79158340"/>
      <w:bookmarkStart w:id="100" w:name="_Toc79159120"/>
      <w:r>
        <w:rPr>
          <w:rFonts w:hint="eastAsia"/>
          <w:szCs w:val="22"/>
        </w:rPr>
        <w:t>壮苗培养</w:t>
      </w:r>
      <w:bookmarkEnd w:id="99"/>
      <w:bookmarkEnd w:id="100"/>
    </w:p>
    <w:p>
      <w:pPr>
        <w:pStyle w:val="230"/>
        <w:rPr>
          <w:szCs w:val="22"/>
        </w:rPr>
      </w:pPr>
      <w:r>
        <w:rPr>
          <w:rFonts w:hint="eastAsia"/>
          <w:szCs w:val="22"/>
        </w:rPr>
        <w:t>当小苗长出叶片后，即可将成簇小苗分离成单株，接入壮苗培养基</w:t>
      </w:r>
      <w:r>
        <w:rPr>
          <w:szCs w:val="22"/>
        </w:rPr>
        <w:t>（见附录A中的A.</w:t>
      </w:r>
      <w:r>
        <w:rPr>
          <w:rFonts w:hint="eastAsia"/>
          <w:szCs w:val="22"/>
        </w:rPr>
        <w:t>2</w:t>
      </w:r>
      <w:r>
        <w:rPr>
          <w:szCs w:val="22"/>
        </w:rPr>
        <w:t>）</w:t>
      </w:r>
      <w:r>
        <w:rPr>
          <w:rFonts w:hint="eastAsia"/>
          <w:szCs w:val="22"/>
        </w:rPr>
        <w:t>中。培养室温度和培养条件见8</w:t>
      </w:r>
      <w:r>
        <w:rPr>
          <w:szCs w:val="22"/>
        </w:rPr>
        <w:t>.3</w:t>
      </w:r>
      <w:r>
        <w:rPr>
          <w:rFonts w:hint="eastAsia"/>
          <w:szCs w:val="22"/>
        </w:rPr>
        <w:t>。</w:t>
      </w:r>
    </w:p>
    <w:p>
      <w:pPr>
        <w:pStyle w:val="105"/>
        <w:spacing w:before="120" w:after="120"/>
        <w:rPr>
          <w:szCs w:val="22"/>
        </w:rPr>
      </w:pPr>
      <w:r>
        <w:rPr>
          <w:rFonts w:hint="eastAsia"/>
          <w:szCs w:val="22"/>
        </w:rPr>
        <w:t xml:space="preserve"> </w:t>
      </w:r>
      <w:bookmarkStart w:id="101" w:name="_Toc79159121"/>
      <w:bookmarkStart w:id="102" w:name="_Toc79158341"/>
      <w:r>
        <w:rPr>
          <w:rFonts w:hint="eastAsia"/>
          <w:szCs w:val="22"/>
        </w:rPr>
        <w:t>生根培养</w:t>
      </w:r>
      <w:bookmarkEnd w:id="101"/>
      <w:bookmarkEnd w:id="102"/>
    </w:p>
    <w:p>
      <w:pPr>
        <w:pStyle w:val="230"/>
        <w:rPr>
          <w:szCs w:val="22"/>
        </w:rPr>
      </w:pPr>
      <w:r>
        <w:rPr>
          <w:rFonts w:hint="eastAsia"/>
          <w:szCs w:val="22"/>
        </w:rPr>
        <w:t>当小苗长出3～4片叶子后，即可将小苗接入生根培养基</w:t>
      </w:r>
      <w:r>
        <w:rPr>
          <w:rFonts w:hAnsi="宋体"/>
          <w:szCs w:val="21"/>
        </w:rPr>
        <w:t>（见附录A中的A.</w:t>
      </w:r>
      <w:r>
        <w:rPr>
          <w:rFonts w:hint="eastAsia" w:hAnsi="宋体"/>
          <w:szCs w:val="21"/>
        </w:rPr>
        <w:t>3</w:t>
      </w:r>
      <w:r>
        <w:rPr>
          <w:rFonts w:hAnsi="宋体"/>
          <w:szCs w:val="21"/>
        </w:rPr>
        <w:t>）</w:t>
      </w:r>
      <w:r>
        <w:rPr>
          <w:rFonts w:hint="eastAsia"/>
          <w:szCs w:val="22"/>
        </w:rPr>
        <w:t>中。培养室温度和培养条件见8</w:t>
      </w:r>
      <w:r>
        <w:rPr>
          <w:szCs w:val="22"/>
        </w:rPr>
        <w:t>.3</w:t>
      </w:r>
      <w:r>
        <w:rPr>
          <w:rFonts w:hint="eastAsia"/>
          <w:szCs w:val="22"/>
        </w:rPr>
        <w:t>。当单株小苗长出4～5片叶，2～3条根时，即可拿出炼苗移栽。</w:t>
      </w:r>
    </w:p>
    <w:p>
      <w:pPr>
        <w:pStyle w:val="230"/>
        <w:rPr>
          <w:szCs w:val="21"/>
        </w:rPr>
      </w:pPr>
    </w:p>
    <w:p>
      <w:pPr>
        <w:pStyle w:val="230"/>
        <w:rPr>
          <w:szCs w:val="22"/>
        </w:rPr>
      </w:pPr>
    </w:p>
    <w:p>
      <w:pPr>
        <w:pStyle w:val="230"/>
      </w:pPr>
    </w:p>
    <w:p>
      <w:pPr>
        <w:widowControl/>
        <w:adjustRightInd/>
        <w:spacing w:line="240" w:lineRule="auto"/>
        <w:jc w:val="left"/>
        <w:rPr>
          <w:rFonts w:ascii="宋体" w:hAnsi="Times New Roman"/>
          <w:kern w:val="0"/>
          <w:szCs w:val="20"/>
        </w:rPr>
      </w:pPr>
      <w:r>
        <w:br w:type="page"/>
      </w:r>
    </w:p>
    <w:p>
      <w:pPr>
        <w:pStyle w:val="238"/>
        <w:numPr>
          <w:ilvl w:val="0"/>
          <w:numId w:val="4"/>
        </w:numPr>
        <w:rPr>
          <w:rFonts w:ascii="Times New Roman"/>
        </w:rPr>
      </w:pPr>
      <w:r>
        <w:rPr>
          <w:rFonts w:ascii="Times New Roman"/>
        </w:rPr>
        <w:br w:type="textWrapping"/>
      </w:r>
      <w:bookmarkStart w:id="103" w:name="_Toc79158342"/>
      <w:bookmarkStart w:id="104" w:name="_Toc79159122"/>
      <w:r>
        <w:rPr>
          <w:rFonts w:ascii="Times New Roman"/>
        </w:rPr>
        <w:t>（规范性附录）</w:t>
      </w:r>
      <w:r>
        <w:rPr>
          <w:rFonts w:ascii="Times New Roman"/>
        </w:rPr>
        <w:br w:type="textWrapping"/>
      </w:r>
      <w:r>
        <w:rPr>
          <w:rFonts w:ascii="Times New Roman"/>
        </w:rPr>
        <w:t>培养基配方</w:t>
      </w:r>
      <w:bookmarkEnd w:id="103"/>
      <w:bookmarkEnd w:id="104"/>
    </w:p>
    <w:p>
      <w:pPr>
        <w:pStyle w:val="247"/>
        <w:numPr>
          <w:ilvl w:val="1"/>
          <w:numId w:val="4"/>
        </w:numPr>
        <w:spacing w:before="240" w:after="240"/>
        <w:rPr>
          <w:rFonts w:ascii="Times New Roman"/>
        </w:rPr>
      </w:pPr>
      <w:bookmarkStart w:id="105" w:name="_Toc441658142"/>
      <w:r>
        <w:rPr>
          <w:rFonts w:ascii="Times New Roman"/>
        </w:rPr>
        <w:t>萌发诱导培养基配方</w:t>
      </w:r>
      <w:bookmarkEnd w:id="105"/>
    </w:p>
    <w:p>
      <w:pPr>
        <w:pStyle w:val="230"/>
        <w:rPr>
          <w:rFonts w:hAnsi="宋体"/>
          <w:szCs w:val="21"/>
        </w:rPr>
      </w:pPr>
      <w:r>
        <w:rPr>
          <w:rFonts w:hint="eastAsia" w:hAnsi="宋体"/>
          <w:szCs w:val="21"/>
        </w:rPr>
        <w:t>1/2 MS +6-BA 1</w:t>
      </w:r>
      <w:r>
        <w:rPr>
          <w:rFonts w:hint="eastAsia" w:hAnsi="宋体"/>
          <w:vertAlign w:val="superscript"/>
        </w:rPr>
        <w:t xml:space="preserve"> </w:t>
      </w:r>
      <w:r>
        <w:rPr>
          <w:rFonts w:hint="eastAsia" w:hAnsi="宋体"/>
          <w:szCs w:val="21"/>
        </w:rPr>
        <w:t>mg/L+ NAA 0.1</w:t>
      </w:r>
      <w:r>
        <w:rPr>
          <w:rFonts w:hint="eastAsia" w:hAnsi="宋体"/>
          <w:vertAlign w:val="superscript"/>
        </w:rPr>
        <w:t xml:space="preserve"> </w:t>
      </w:r>
      <w:r>
        <w:rPr>
          <w:rFonts w:hint="eastAsia" w:hAnsi="宋体"/>
          <w:szCs w:val="21"/>
        </w:rPr>
        <w:t>mg/L＋香蕉50</w:t>
      </w:r>
      <w:r>
        <w:rPr>
          <w:rFonts w:hint="eastAsia" w:hAnsi="宋体"/>
          <w:vertAlign w:val="superscript"/>
        </w:rPr>
        <w:t xml:space="preserve"> </w:t>
      </w:r>
      <w:r>
        <w:rPr>
          <w:rFonts w:hint="eastAsia" w:hAnsi="宋体"/>
          <w:szCs w:val="21"/>
        </w:rPr>
        <w:t>g/L +白砂糖30</w:t>
      </w:r>
      <w:r>
        <w:rPr>
          <w:rFonts w:hint="eastAsia" w:hAnsi="宋体"/>
          <w:vertAlign w:val="superscript"/>
        </w:rPr>
        <w:t xml:space="preserve"> </w:t>
      </w:r>
      <w:r>
        <w:rPr>
          <w:rFonts w:hint="eastAsia" w:hAnsi="宋体"/>
          <w:szCs w:val="21"/>
        </w:rPr>
        <w:t>g/L＋琼脂4.2</w:t>
      </w:r>
      <w:r>
        <w:rPr>
          <w:rFonts w:hint="eastAsia" w:hAnsi="宋体"/>
          <w:vertAlign w:val="superscript"/>
        </w:rPr>
        <w:t xml:space="preserve"> </w:t>
      </w:r>
      <w:r>
        <w:rPr>
          <w:rFonts w:hint="eastAsia" w:hAnsi="宋体"/>
          <w:szCs w:val="21"/>
        </w:rPr>
        <w:t>g/L，pH 5.5～5.8。</w:t>
      </w:r>
    </w:p>
    <w:p>
      <w:pPr>
        <w:pStyle w:val="247"/>
        <w:numPr>
          <w:ilvl w:val="1"/>
          <w:numId w:val="4"/>
        </w:numPr>
        <w:spacing w:before="240" w:after="240"/>
        <w:rPr>
          <w:rFonts w:ascii="Times New Roman"/>
        </w:rPr>
      </w:pPr>
      <w:bookmarkStart w:id="106" w:name="_Toc441658143"/>
      <w:r>
        <w:rPr>
          <w:rFonts w:hint="eastAsia" w:ascii="Times New Roman"/>
        </w:rPr>
        <w:t>壮苗</w:t>
      </w:r>
      <w:r>
        <w:rPr>
          <w:rFonts w:ascii="Times New Roman"/>
        </w:rPr>
        <w:t>培养基配方</w:t>
      </w:r>
      <w:bookmarkEnd w:id="106"/>
    </w:p>
    <w:p>
      <w:pPr>
        <w:pStyle w:val="230"/>
        <w:rPr>
          <w:rFonts w:hAnsi="宋体"/>
          <w:szCs w:val="21"/>
        </w:rPr>
      </w:pPr>
      <w:r>
        <w:rPr>
          <w:rFonts w:hint="eastAsia"/>
          <w:szCs w:val="22"/>
        </w:rPr>
        <w:t>MS + 6-BA 1</w:t>
      </w:r>
      <w:r>
        <w:rPr>
          <w:rFonts w:hint="eastAsia" w:hAnsi="宋体"/>
          <w:vertAlign w:val="superscript"/>
        </w:rPr>
        <w:t xml:space="preserve"> </w:t>
      </w:r>
      <w:r>
        <w:rPr>
          <w:rFonts w:hint="eastAsia"/>
          <w:szCs w:val="22"/>
        </w:rPr>
        <w:t>mg/L＋香蕉80</w:t>
      </w:r>
      <w:r>
        <w:rPr>
          <w:rFonts w:hint="eastAsia" w:hAnsi="宋体"/>
          <w:vertAlign w:val="superscript"/>
        </w:rPr>
        <w:t xml:space="preserve"> </w:t>
      </w:r>
      <w:r>
        <w:rPr>
          <w:rFonts w:hint="eastAsia"/>
          <w:szCs w:val="22"/>
        </w:rPr>
        <w:t>g/L +白砂糖30</w:t>
      </w:r>
      <w:r>
        <w:rPr>
          <w:rFonts w:hint="eastAsia" w:hAnsi="宋体"/>
          <w:vertAlign w:val="superscript"/>
        </w:rPr>
        <w:t xml:space="preserve"> </w:t>
      </w:r>
      <w:r>
        <w:rPr>
          <w:rFonts w:hint="eastAsia"/>
          <w:szCs w:val="22"/>
        </w:rPr>
        <w:t>g/L＋琼脂4.2</w:t>
      </w:r>
      <w:r>
        <w:rPr>
          <w:rFonts w:hint="eastAsia" w:hAnsi="宋体"/>
          <w:vertAlign w:val="superscript"/>
        </w:rPr>
        <w:t xml:space="preserve"> </w:t>
      </w:r>
      <w:r>
        <w:rPr>
          <w:rFonts w:hint="eastAsia"/>
          <w:szCs w:val="22"/>
        </w:rPr>
        <w:t>g/L，pH 5.5～5.8。</w:t>
      </w:r>
    </w:p>
    <w:p>
      <w:pPr>
        <w:pStyle w:val="247"/>
        <w:numPr>
          <w:ilvl w:val="1"/>
          <w:numId w:val="4"/>
        </w:numPr>
        <w:spacing w:before="240" w:after="240"/>
        <w:rPr>
          <w:rFonts w:ascii="Times New Roman"/>
        </w:rPr>
      </w:pPr>
      <w:bookmarkStart w:id="107" w:name="_Toc441658144"/>
      <w:r>
        <w:rPr>
          <w:rFonts w:ascii="Times New Roman"/>
        </w:rPr>
        <w:t>生根培养基配方</w:t>
      </w:r>
      <w:bookmarkEnd w:id="107"/>
    </w:p>
    <w:p>
      <w:pPr>
        <w:pStyle w:val="230"/>
        <w:rPr>
          <w:rFonts w:hAnsi="宋体"/>
          <w:szCs w:val="21"/>
        </w:rPr>
      </w:pPr>
      <w:r>
        <w:rPr>
          <w:rFonts w:hint="eastAsia"/>
          <w:szCs w:val="22"/>
        </w:rPr>
        <w:t>1/2 MS + NAA 0.5</w:t>
      </w:r>
      <w:r>
        <w:rPr>
          <w:rFonts w:hint="eastAsia" w:hAnsi="宋体"/>
          <w:vertAlign w:val="superscript"/>
        </w:rPr>
        <w:t xml:space="preserve"> </w:t>
      </w:r>
      <w:r>
        <w:rPr>
          <w:rFonts w:hint="eastAsia"/>
          <w:szCs w:val="22"/>
        </w:rPr>
        <w:t>mg/L＋香蕉50</w:t>
      </w:r>
      <w:r>
        <w:rPr>
          <w:rFonts w:hint="eastAsia" w:hAnsi="宋体"/>
          <w:vertAlign w:val="superscript"/>
        </w:rPr>
        <w:t xml:space="preserve"> </w:t>
      </w:r>
      <w:r>
        <w:rPr>
          <w:rFonts w:hint="eastAsia"/>
          <w:szCs w:val="22"/>
        </w:rPr>
        <w:t>g/L +白砂糖25</w:t>
      </w:r>
      <w:r>
        <w:rPr>
          <w:rFonts w:hint="eastAsia" w:hAnsi="宋体"/>
          <w:vertAlign w:val="superscript"/>
        </w:rPr>
        <w:t xml:space="preserve"> </w:t>
      </w:r>
      <w:r>
        <w:rPr>
          <w:rFonts w:hint="eastAsia"/>
          <w:szCs w:val="22"/>
        </w:rPr>
        <w:t>g/L＋琼脂4.2</w:t>
      </w:r>
      <w:r>
        <w:rPr>
          <w:rFonts w:hint="eastAsia" w:hAnsi="宋体"/>
          <w:vertAlign w:val="superscript"/>
        </w:rPr>
        <w:t xml:space="preserve"> </w:t>
      </w:r>
      <w:r>
        <w:rPr>
          <w:rFonts w:hint="eastAsia"/>
          <w:szCs w:val="22"/>
        </w:rPr>
        <w:t>g/L，pH 5.5～5.8。</w:t>
      </w:r>
    </w:p>
    <w:p>
      <w:pPr>
        <w:pStyle w:val="230"/>
        <w:rPr>
          <w:rFonts w:ascii="Times New Roman"/>
        </w:rPr>
      </w:pPr>
    </w:p>
    <w:p>
      <w:pPr>
        <w:pStyle w:val="230"/>
        <w:ind w:firstLine="0" w:firstLineChars="0"/>
      </w:pPr>
    </w:p>
    <w:p>
      <w:pPr>
        <w:pStyle w:val="230"/>
        <w:ind w:firstLine="0" w:firstLineChars="0"/>
      </w:pPr>
    </w:p>
    <w:p>
      <w:pPr>
        <w:pStyle w:val="230"/>
        <w:ind w:firstLine="0" w:firstLineChars="0"/>
      </w:pPr>
    </w:p>
    <w:p>
      <w:pPr>
        <w:pStyle w:val="230"/>
        <w:ind w:firstLine="0" w:firstLineChars="0"/>
      </w:pPr>
    </w:p>
    <w:p>
      <w:pPr>
        <w:pStyle w:val="230"/>
        <w:ind w:firstLine="0" w:firstLineChars="0"/>
      </w:pPr>
    </w:p>
    <w:p>
      <w:pPr>
        <w:pStyle w:val="230"/>
      </w:pPr>
    </w:p>
    <w:p>
      <w:pPr>
        <w:pStyle w:val="252"/>
        <w:framePr w:wrap="around" w:y="1"/>
        <w:spacing w:before="120" w:after="120"/>
        <w:rPr>
          <w:rFonts w:ascii="宋体" w:hAnsi="宋体"/>
          <w:u w:val="thick"/>
        </w:rPr>
      </w:pPr>
      <w:r>
        <w:rPr>
          <w:rFonts w:ascii="宋体" w:hAnsi="宋体"/>
          <w:u w:val="thick"/>
        </w:rPr>
        <w:t>______________________</w:t>
      </w:r>
    </w:p>
    <w:p>
      <w:pPr>
        <w:pStyle w:val="238"/>
        <w:tabs>
          <w:tab w:val="clear" w:pos="360"/>
        </w:tabs>
        <w:jc w:val="both"/>
      </w:pPr>
    </w:p>
    <w:sectPr>
      <w:headerReference r:id="rId15" w:type="default"/>
      <w:footerReference r:id="rId17" w:type="default"/>
      <w:headerReference r:id="rId16" w:type="even"/>
      <w:pgSz w:w="11906" w:h="16838"/>
      <w:pgMar w:top="2410"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0E6F6962"/>
    <w:multiLevelType w:val="multilevel"/>
    <w:tmpl w:val="0E6F6962"/>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4"/>
      <w:suff w:val="nothing"/>
      <w:lvlText w:val="%1.%2.%3　"/>
      <w:lvlJc w:val="left"/>
      <w:pPr>
        <w:ind w:left="0" w:firstLine="0"/>
      </w:pPr>
      <w:rPr>
        <w:rFonts w:hint="eastAsia" w:ascii="黑体" w:hAnsi="Times New Roman" w:eastAsia="黑体"/>
        <w:b w:val="0"/>
        <w:i w:val="0"/>
        <w:sz w:val="21"/>
      </w:rPr>
    </w:lvl>
    <w:lvl w:ilvl="3" w:tentative="0">
      <w:start w:val="1"/>
      <w:numFmt w:val="decimal"/>
      <w:pStyle w:val="235"/>
      <w:suff w:val="nothing"/>
      <w:lvlText w:val="%1.%2.%3.%4　"/>
      <w:lvlJc w:val="left"/>
      <w:pPr>
        <w:ind w:left="0" w:firstLine="0"/>
      </w:pPr>
      <w:rPr>
        <w:rFonts w:hint="eastAsia" w:ascii="黑体" w:hAnsi="Times New Roman" w:eastAsia="黑体"/>
        <w:b w:val="0"/>
        <w:i w:val="0"/>
        <w:sz w:val="21"/>
      </w:rPr>
    </w:lvl>
    <w:lvl w:ilvl="4" w:tentative="0">
      <w:start w:val="1"/>
      <w:numFmt w:val="decimal"/>
      <w:pStyle w:val="236"/>
      <w:suff w:val="nothing"/>
      <w:lvlText w:val="%1.%2.%3.%4.%5　"/>
      <w:lvlJc w:val="left"/>
      <w:pPr>
        <w:ind w:left="0" w:firstLine="0"/>
      </w:pPr>
      <w:rPr>
        <w:rFonts w:hint="eastAsia" w:ascii="黑体" w:hAnsi="Times New Roman" w:eastAsia="黑体"/>
        <w:b w:val="0"/>
        <w:i w:val="0"/>
        <w:sz w:val="21"/>
      </w:rPr>
    </w:lvl>
    <w:lvl w:ilvl="5" w:tentative="0">
      <w:start w:val="1"/>
      <w:numFmt w:val="decimal"/>
      <w:pStyle w:val="2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A8F7113"/>
    <w:multiLevelType w:val="multilevel"/>
    <w:tmpl w:val="2A8F7113"/>
    <w:lvl w:ilvl="0" w:tentative="0">
      <w:start w:val="1"/>
      <w:numFmt w:val="upperLetter"/>
      <w:pStyle w:val="244"/>
      <w:suff w:val="space"/>
      <w:lvlText w:val="%1"/>
      <w:lvlJc w:val="left"/>
      <w:pPr>
        <w:ind w:left="623" w:hanging="425"/>
      </w:pPr>
      <w:rPr>
        <w:rFonts w:hint="eastAsia"/>
      </w:rPr>
    </w:lvl>
    <w:lvl w:ilvl="1" w:tentative="0">
      <w:start w:val="1"/>
      <w:numFmt w:val="decimal"/>
      <w:pStyle w:val="24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3">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0B55DC2"/>
    <w:multiLevelType w:val="multilevel"/>
    <w:tmpl w:val="60B55DC2"/>
    <w:lvl w:ilvl="0" w:tentative="0">
      <w:start w:val="1"/>
      <w:numFmt w:val="upperLetter"/>
      <w:pStyle w:val="239"/>
      <w:lvlText w:val="%1"/>
      <w:lvlJc w:val="left"/>
      <w:pPr>
        <w:tabs>
          <w:tab w:val="left" w:pos="0"/>
        </w:tabs>
        <w:ind w:left="0" w:hanging="425"/>
      </w:pPr>
      <w:rPr>
        <w:rFonts w:hint="eastAsia"/>
      </w:rPr>
    </w:lvl>
    <w:lvl w:ilvl="1" w:tentative="0">
      <w:start w:val="1"/>
      <w:numFmt w:val="decimal"/>
      <w:pStyle w:val="24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4">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6">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9">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4">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1"/>
  </w:num>
  <w:num w:numId="3">
    <w:abstractNumId w:val="5"/>
  </w:num>
  <w:num w:numId="4">
    <w:abstractNumId w:val="27"/>
  </w:num>
  <w:num w:numId="5">
    <w:abstractNumId w:val="21"/>
  </w:num>
  <w:num w:numId="6">
    <w:abstractNumId w:val="16"/>
  </w:num>
  <w:num w:numId="7">
    <w:abstractNumId w:val="9"/>
  </w:num>
  <w:num w:numId="8">
    <w:abstractNumId w:val="3"/>
  </w:num>
  <w:num w:numId="9">
    <w:abstractNumId w:val="10"/>
  </w:num>
  <w:num w:numId="10">
    <w:abstractNumId w:val="19"/>
  </w:num>
  <w:num w:numId="11">
    <w:abstractNumId w:val="29"/>
  </w:num>
  <w:num w:numId="12">
    <w:abstractNumId w:val="14"/>
  </w:num>
  <w:num w:numId="13">
    <w:abstractNumId w:val="15"/>
  </w:num>
  <w:num w:numId="14">
    <w:abstractNumId w:val="8"/>
  </w:num>
  <w:num w:numId="15">
    <w:abstractNumId w:val="22"/>
  </w:num>
  <w:num w:numId="16">
    <w:abstractNumId w:val="25"/>
  </w:num>
  <w:num w:numId="17">
    <w:abstractNumId w:val="20"/>
  </w:num>
  <w:num w:numId="18">
    <w:abstractNumId w:val="33"/>
  </w:num>
  <w:num w:numId="19">
    <w:abstractNumId w:val="18"/>
  </w:num>
  <w:num w:numId="20">
    <w:abstractNumId w:val="1"/>
  </w:num>
  <w:num w:numId="21">
    <w:abstractNumId w:val="13"/>
  </w:num>
  <w:num w:numId="22">
    <w:abstractNumId w:val="34"/>
  </w:num>
  <w:num w:numId="23">
    <w:abstractNumId w:val="24"/>
  </w:num>
  <w:num w:numId="24">
    <w:abstractNumId w:val="6"/>
  </w:num>
  <w:num w:numId="25">
    <w:abstractNumId w:val="30"/>
  </w:num>
  <w:num w:numId="26">
    <w:abstractNumId w:val="32"/>
  </w:num>
  <w:num w:numId="27">
    <w:abstractNumId w:val="2"/>
  </w:num>
  <w:num w:numId="28">
    <w:abstractNumId w:val="4"/>
  </w:num>
  <w:num w:numId="29">
    <w:abstractNumId w:val="17"/>
  </w:num>
  <w:num w:numId="30">
    <w:abstractNumId w:val="28"/>
  </w:num>
  <w:num w:numId="31">
    <w:abstractNumId w:val="26"/>
  </w:num>
  <w:num w:numId="32">
    <w:abstractNumId w:val="11"/>
  </w:num>
  <w:num w:numId="33">
    <w:abstractNumId w:val="23"/>
  </w:num>
  <w:num w:numId="34">
    <w:abstractNumId w:val="12"/>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E2F64"/>
    <w:rsid w:val="0000040A"/>
    <w:rsid w:val="00000A94"/>
    <w:rsid w:val="00001972"/>
    <w:rsid w:val="00001D9A"/>
    <w:rsid w:val="00005A77"/>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55D"/>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8D0"/>
    <w:rsid w:val="000C2FBD"/>
    <w:rsid w:val="000C4B41"/>
    <w:rsid w:val="000C57D6"/>
    <w:rsid w:val="000C6362"/>
    <w:rsid w:val="000C7666"/>
    <w:rsid w:val="000D0A9C"/>
    <w:rsid w:val="000D1795"/>
    <w:rsid w:val="000D329A"/>
    <w:rsid w:val="000D4B9C"/>
    <w:rsid w:val="000D4EB6"/>
    <w:rsid w:val="000D753B"/>
    <w:rsid w:val="000E31A1"/>
    <w:rsid w:val="000E4C9E"/>
    <w:rsid w:val="000E6FD7"/>
    <w:rsid w:val="000F06E1"/>
    <w:rsid w:val="000F0E3C"/>
    <w:rsid w:val="000F19D5"/>
    <w:rsid w:val="000F4050"/>
    <w:rsid w:val="000F4AEA"/>
    <w:rsid w:val="000F67E9"/>
    <w:rsid w:val="00104926"/>
    <w:rsid w:val="00113B1E"/>
    <w:rsid w:val="0011400B"/>
    <w:rsid w:val="0011711C"/>
    <w:rsid w:val="00123746"/>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977E9"/>
    <w:rsid w:val="001A1A53"/>
    <w:rsid w:val="001A234A"/>
    <w:rsid w:val="001A4CF3"/>
    <w:rsid w:val="001A6696"/>
    <w:rsid w:val="001B068B"/>
    <w:rsid w:val="001B06E8"/>
    <w:rsid w:val="001B71D0"/>
    <w:rsid w:val="001B71EE"/>
    <w:rsid w:val="001C04A8"/>
    <w:rsid w:val="001C2C03"/>
    <w:rsid w:val="001C37F0"/>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3E2"/>
    <w:rsid w:val="001F2508"/>
    <w:rsid w:val="001F4816"/>
    <w:rsid w:val="001F69B4"/>
    <w:rsid w:val="001F77C7"/>
    <w:rsid w:val="00200183"/>
    <w:rsid w:val="00200333"/>
    <w:rsid w:val="00200D81"/>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38D"/>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009"/>
    <w:rsid w:val="002F7AF6"/>
    <w:rsid w:val="00300E63"/>
    <w:rsid w:val="00302F5F"/>
    <w:rsid w:val="0030441D"/>
    <w:rsid w:val="00306063"/>
    <w:rsid w:val="00313B85"/>
    <w:rsid w:val="00317988"/>
    <w:rsid w:val="003221B4"/>
    <w:rsid w:val="0032258D"/>
    <w:rsid w:val="00322E62"/>
    <w:rsid w:val="00324D13"/>
    <w:rsid w:val="00324EDD"/>
    <w:rsid w:val="003331E4"/>
    <w:rsid w:val="00335E9A"/>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04E"/>
    <w:rsid w:val="003C010C"/>
    <w:rsid w:val="003C0A6C"/>
    <w:rsid w:val="003C14F8"/>
    <w:rsid w:val="003C5247"/>
    <w:rsid w:val="003C5A43"/>
    <w:rsid w:val="003D0519"/>
    <w:rsid w:val="003D0FF6"/>
    <w:rsid w:val="003D24CC"/>
    <w:rsid w:val="003D262C"/>
    <w:rsid w:val="003D60EF"/>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6CC"/>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5D0E"/>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81C"/>
    <w:rsid w:val="00514174"/>
    <w:rsid w:val="00516088"/>
    <w:rsid w:val="00516B0B"/>
    <w:rsid w:val="005220EC"/>
    <w:rsid w:val="00523F95"/>
    <w:rsid w:val="00524D65"/>
    <w:rsid w:val="00525B16"/>
    <w:rsid w:val="00531B52"/>
    <w:rsid w:val="005324E4"/>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C28"/>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0C5"/>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2AEE"/>
    <w:rsid w:val="006D3E96"/>
    <w:rsid w:val="006D4515"/>
    <w:rsid w:val="006D4BB1"/>
    <w:rsid w:val="006D6593"/>
    <w:rsid w:val="006E5390"/>
    <w:rsid w:val="006F03A8"/>
    <w:rsid w:val="006F2ACA"/>
    <w:rsid w:val="006F2ADC"/>
    <w:rsid w:val="006F2BFE"/>
    <w:rsid w:val="006F31E9"/>
    <w:rsid w:val="006F6284"/>
    <w:rsid w:val="007002C5"/>
    <w:rsid w:val="0070245D"/>
    <w:rsid w:val="00704387"/>
    <w:rsid w:val="00707669"/>
    <w:rsid w:val="00711CBA"/>
    <w:rsid w:val="00711FB5"/>
    <w:rsid w:val="00712A01"/>
    <w:rsid w:val="00714F58"/>
    <w:rsid w:val="00722875"/>
    <w:rsid w:val="00722FBF"/>
    <w:rsid w:val="00722FC2"/>
    <w:rsid w:val="00724E1B"/>
    <w:rsid w:val="00725949"/>
    <w:rsid w:val="0072677E"/>
    <w:rsid w:val="00727FA2"/>
    <w:rsid w:val="00731FBD"/>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198"/>
    <w:rsid w:val="00781B6F"/>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0F67"/>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7DE"/>
    <w:rsid w:val="0083348C"/>
    <w:rsid w:val="008373D3"/>
    <w:rsid w:val="00840617"/>
    <w:rsid w:val="00840F84"/>
    <w:rsid w:val="00842A47"/>
    <w:rsid w:val="00843C13"/>
    <w:rsid w:val="008454F8"/>
    <w:rsid w:val="0085173A"/>
    <w:rsid w:val="0085421F"/>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40"/>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2A76"/>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ADB"/>
    <w:rsid w:val="009B0BC5"/>
    <w:rsid w:val="009B1247"/>
    <w:rsid w:val="009B6029"/>
    <w:rsid w:val="009B6971"/>
    <w:rsid w:val="009C27F1"/>
    <w:rsid w:val="009C3152"/>
    <w:rsid w:val="009C3257"/>
    <w:rsid w:val="009C4CFA"/>
    <w:rsid w:val="009C5070"/>
    <w:rsid w:val="009D09F9"/>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069"/>
    <w:rsid w:val="00A07E47"/>
    <w:rsid w:val="00A129D0"/>
    <w:rsid w:val="00A12C33"/>
    <w:rsid w:val="00A138BA"/>
    <w:rsid w:val="00A14C8E"/>
    <w:rsid w:val="00A153D9"/>
    <w:rsid w:val="00A15F09"/>
    <w:rsid w:val="00A169B6"/>
    <w:rsid w:val="00A2271D"/>
    <w:rsid w:val="00A237D5"/>
    <w:rsid w:val="00A308F0"/>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1B0"/>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E90"/>
    <w:rsid w:val="00AE070A"/>
    <w:rsid w:val="00AE101C"/>
    <w:rsid w:val="00AE2A69"/>
    <w:rsid w:val="00AE37E5"/>
    <w:rsid w:val="00AE5D32"/>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DDD"/>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F50"/>
    <w:rsid w:val="00BF74A6"/>
    <w:rsid w:val="00C013AD"/>
    <w:rsid w:val="00C04904"/>
    <w:rsid w:val="00C056B3"/>
    <w:rsid w:val="00C103E5"/>
    <w:rsid w:val="00C13319"/>
    <w:rsid w:val="00C13EE9"/>
    <w:rsid w:val="00C17EBF"/>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1F27"/>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048"/>
    <w:rsid w:val="00D4162B"/>
    <w:rsid w:val="00D42DD9"/>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1072"/>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116"/>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99F"/>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268F"/>
    <w:rsid w:val="00EE2F64"/>
    <w:rsid w:val="00EE613F"/>
    <w:rsid w:val="00EE7295"/>
    <w:rsid w:val="00EE7869"/>
    <w:rsid w:val="00EF054A"/>
    <w:rsid w:val="00EF2975"/>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164"/>
    <w:rsid w:val="00FE1FBE"/>
    <w:rsid w:val="00FE3901"/>
    <w:rsid w:val="00FE39D3"/>
    <w:rsid w:val="00FE4BCE"/>
    <w:rsid w:val="00FE54AE"/>
    <w:rsid w:val="00FE576A"/>
    <w:rsid w:val="00FE7E79"/>
    <w:rsid w:val="00FF3E7D"/>
    <w:rsid w:val="00FF5B99"/>
    <w:rsid w:val="00FF730C"/>
    <w:rsid w:val="00FF73F4"/>
    <w:rsid w:val="00FF7CE4"/>
    <w:rsid w:val="00FF7E39"/>
    <w:rsid w:val="11264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uiPriority="39" w:semiHidden="0" w:name="toc 4"/>
    <w:lsdException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qFormat/>
    <w:uiPriority w:val="0"/>
    <w:pPr>
      <w:spacing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uiPriority w:val="0"/>
    <w:rPr>
      <w:rFonts w:ascii="宋体" w:hAnsi="Times New Roman"/>
      <w:sz w:val="21"/>
    </w:rPr>
  </w:style>
  <w:style w:type="paragraph" w:customStyle="1" w:styleId="232">
    <w:name w:val="一级条标题"/>
    <w:next w:val="230"/>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3">
    <w:name w:val="章标题"/>
    <w:next w:val="230"/>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4">
    <w:name w:val="二级条标题"/>
    <w:basedOn w:val="232"/>
    <w:next w:val="230"/>
    <w:uiPriority w:val="0"/>
    <w:pPr>
      <w:numPr>
        <w:ilvl w:val="2"/>
      </w:numPr>
      <w:spacing w:before="50" w:after="50"/>
      <w:outlineLvl w:val="3"/>
    </w:pPr>
  </w:style>
  <w:style w:type="paragraph" w:customStyle="1" w:styleId="235">
    <w:name w:val="三级条标题"/>
    <w:basedOn w:val="234"/>
    <w:next w:val="230"/>
    <w:qFormat/>
    <w:uiPriority w:val="0"/>
    <w:pPr>
      <w:numPr>
        <w:ilvl w:val="3"/>
      </w:numPr>
      <w:outlineLvl w:val="4"/>
    </w:pPr>
  </w:style>
  <w:style w:type="paragraph" w:customStyle="1" w:styleId="236">
    <w:name w:val="四级条标题"/>
    <w:basedOn w:val="235"/>
    <w:next w:val="230"/>
    <w:qFormat/>
    <w:uiPriority w:val="0"/>
    <w:pPr>
      <w:numPr>
        <w:ilvl w:val="4"/>
      </w:numPr>
      <w:outlineLvl w:val="5"/>
    </w:pPr>
  </w:style>
  <w:style w:type="paragraph" w:customStyle="1" w:styleId="237">
    <w:name w:val="五级条标题"/>
    <w:basedOn w:val="236"/>
    <w:next w:val="230"/>
    <w:qFormat/>
    <w:uiPriority w:val="0"/>
    <w:pPr>
      <w:numPr>
        <w:ilvl w:val="5"/>
      </w:numPr>
      <w:outlineLvl w:val="6"/>
    </w:pPr>
  </w:style>
  <w:style w:type="paragraph" w:customStyle="1" w:styleId="238">
    <w:name w:val="附录标识"/>
    <w:basedOn w:val="1"/>
    <w:next w:val="230"/>
    <w:qFormat/>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39">
    <w:name w:val="附录表标号"/>
    <w:basedOn w:val="1"/>
    <w:next w:val="230"/>
    <w:uiPriority w:val="0"/>
    <w:pPr>
      <w:numPr>
        <w:ilvl w:val="0"/>
        <w:numId w:val="3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240">
    <w:name w:val="附录表标题"/>
    <w:basedOn w:val="1"/>
    <w:next w:val="230"/>
    <w:uiPriority w:val="0"/>
    <w:pPr>
      <w:numPr>
        <w:ilvl w:val="1"/>
        <w:numId w:val="33"/>
      </w:numPr>
      <w:tabs>
        <w:tab w:val="left" w:pos="180"/>
      </w:tabs>
      <w:adjustRightInd/>
      <w:spacing w:beforeLines="50" w:afterLines="50" w:line="240" w:lineRule="auto"/>
      <w:ind w:left="0" w:firstLine="0"/>
      <w:jc w:val="center"/>
    </w:pPr>
    <w:rPr>
      <w:rFonts w:ascii="黑体" w:hAnsi="Times New Roman" w:eastAsia="黑体"/>
    </w:rPr>
  </w:style>
  <w:style w:type="paragraph" w:customStyle="1" w:styleId="241">
    <w:name w:val="附录二级条标题"/>
    <w:basedOn w:val="1"/>
    <w:next w:val="230"/>
    <w:uiPriority w:val="0"/>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hAnsi="Times New Roman" w:eastAsia="黑体"/>
      <w:kern w:val="21"/>
      <w:szCs w:val="20"/>
    </w:rPr>
  </w:style>
  <w:style w:type="paragraph" w:customStyle="1" w:styleId="242">
    <w:name w:val="附录三级条标题"/>
    <w:basedOn w:val="241"/>
    <w:next w:val="230"/>
    <w:uiPriority w:val="0"/>
    <w:pPr>
      <w:outlineLvl w:val="4"/>
    </w:pPr>
  </w:style>
  <w:style w:type="paragraph" w:customStyle="1" w:styleId="243">
    <w:name w:val="附录四级条标题"/>
    <w:basedOn w:val="242"/>
    <w:next w:val="230"/>
    <w:uiPriority w:val="0"/>
    <w:pPr>
      <w:outlineLvl w:val="5"/>
    </w:pPr>
  </w:style>
  <w:style w:type="paragraph" w:customStyle="1" w:styleId="244">
    <w:name w:val="附录图标号"/>
    <w:basedOn w:val="1"/>
    <w:uiPriority w:val="0"/>
    <w:pPr>
      <w:keepNext/>
      <w:pageBreakBefore/>
      <w:widowControl/>
      <w:numPr>
        <w:ilvl w:val="0"/>
        <w:numId w:val="34"/>
      </w:numPr>
      <w:adjustRightInd/>
      <w:spacing w:line="14" w:lineRule="exact"/>
      <w:ind w:left="0" w:firstLine="363"/>
      <w:jc w:val="center"/>
      <w:outlineLvl w:val="0"/>
    </w:pPr>
    <w:rPr>
      <w:rFonts w:ascii="Times New Roman" w:hAnsi="Times New Roman"/>
      <w:color w:val="FFFFFF"/>
      <w:szCs w:val="24"/>
    </w:rPr>
  </w:style>
  <w:style w:type="paragraph" w:customStyle="1" w:styleId="245">
    <w:name w:val="附录图标题"/>
    <w:basedOn w:val="1"/>
    <w:next w:val="230"/>
    <w:uiPriority w:val="0"/>
    <w:pPr>
      <w:numPr>
        <w:ilvl w:val="1"/>
        <w:numId w:val="34"/>
      </w:numPr>
      <w:tabs>
        <w:tab w:val="left" w:pos="363"/>
      </w:tabs>
      <w:adjustRightInd/>
      <w:spacing w:beforeLines="50" w:afterLines="50" w:line="240" w:lineRule="auto"/>
      <w:ind w:left="0" w:firstLine="0"/>
      <w:jc w:val="center"/>
    </w:pPr>
    <w:rPr>
      <w:rFonts w:ascii="黑体" w:hAnsi="Times New Roman" w:eastAsia="黑体"/>
    </w:rPr>
  </w:style>
  <w:style w:type="paragraph" w:customStyle="1" w:styleId="246">
    <w:name w:val="附录五级条标题"/>
    <w:basedOn w:val="243"/>
    <w:next w:val="230"/>
    <w:uiPriority w:val="0"/>
    <w:pPr>
      <w:outlineLvl w:val="6"/>
    </w:pPr>
  </w:style>
  <w:style w:type="paragraph" w:customStyle="1" w:styleId="247">
    <w:name w:val="附录章标题"/>
    <w:next w:val="230"/>
    <w:qFormat/>
    <w:uiPriority w:val="0"/>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48">
    <w:name w:val="附录一级条标题"/>
    <w:basedOn w:val="247"/>
    <w:next w:val="230"/>
    <w:uiPriority w:val="0"/>
    <w:pPr>
      <w:autoSpaceDN w:val="0"/>
      <w:spacing w:beforeLines="50" w:afterLines="50"/>
      <w:outlineLvl w:val="2"/>
    </w:pPr>
  </w:style>
  <w:style w:type="paragraph" w:customStyle="1" w:styleId="249">
    <w:name w:val="一级无"/>
    <w:basedOn w:val="232"/>
    <w:uiPriority w:val="0"/>
    <w:pPr>
      <w:numPr>
        <w:ilvl w:val="0"/>
        <w:numId w:val="0"/>
      </w:numPr>
      <w:spacing w:beforeLines="0" w:afterLines="0"/>
    </w:pPr>
    <w:rPr>
      <w:rFonts w:ascii="宋体" w:eastAsia="宋体"/>
    </w:rPr>
  </w:style>
  <w:style w:type="paragraph" w:customStyle="1" w:styleId="250">
    <w:name w:val="附录三级无"/>
    <w:basedOn w:val="242"/>
    <w:uiPriority w:val="0"/>
    <w:pPr>
      <w:tabs>
        <w:tab w:val="clear" w:pos="360"/>
      </w:tabs>
      <w:spacing w:beforeLines="0" w:afterLines="0"/>
    </w:pPr>
    <w:rPr>
      <w:rFonts w:ascii="宋体" w:eastAsia="宋体"/>
      <w:szCs w:val="21"/>
    </w:rPr>
  </w:style>
  <w:style w:type="paragraph" w:customStyle="1" w:styleId="251">
    <w:name w:val="附录五级无"/>
    <w:basedOn w:val="246"/>
    <w:qFormat/>
    <w:uiPriority w:val="0"/>
    <w:pPr>
      <w:spacing w:beforeLines="0" w:afterLines="0"/>
    </w:pPr>
    <w:rPr>
      <w:rFonts w:ascii="宋体" w:eastAsia="宋体"/>
      <w:szCs w:val="21"/>
    </w:rPr>
  </w:style>
  <w:style w:type="paragraph" w:customStyle="1" w:styleId="252">
    <w:name w:val="终结线"/>
    <w:basedOn w:val="1"/>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253">
    <w:name w:val="正文1"/>
    <w:uiPriority w:val="0"/>
    <w:pPr>
      <w:jc w:val="both"/>
    </w:pPr>
    <w:rPr>
      <w:rFonts w:ascii="Times New Roman" w:hAnsi="Times New Roman" w:eastAsia="宋体" w:cs="Times New Roman"/>
      <w:kern w:val="2"/>
      <w:sz w:val="21"/>
      <w:szCs w:val="21"/>
      <w:lang w:val="en-US" w:eastAsia="zh-CN" w:bidi="ar-SA"/>
    </w:rPr>
  </w:style>
  <w:style w:type="paragraph" w:customStyle="1" w:styleId="254">
    <w:name w:val="正文2"/>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619A19252A24AFD8EA47B8CB4567118"/>
        <w:style w:val=""/>
        <w:category>
          <w:name w:val="常规"/>
          <w:gallery w:val="placeholder"/>
        </w:category>
        <w:types>
          <w:type w:val="bbPlcHdr"/>
        </w:types>
        <w:behaviors>
          <w:behavior w:val="content"/>
        </w:behaviors>
        <w:description w:val=""/>
        <w:guid w:val="{A4029578-687B-4134-9107-BB4C96A5AE20}"/>
      </w:docPartPr>
      <w:docPartBody>
        <w:p>
          <w:pPr>
            <w:pStyle w:val="5"/>
          </w:pPr>
          <w:r>
            <w:rPr>
              <w:rStyle w:val="4"/>
              <w:rFonts w:hint="eastAsia"/>
            </w:rPr>
            <w:t>单击或点击此处输入文字。</w:t>
          </w:r>
        </w:p>
      </w:docPartBody>
    </w:docPart>
    <w:docPart>
      <w:docPartPr>
        <w:name w:val="65DCB91495674176AF1BF5DEFFE45806"/>
        <w:style w:val=""/>
        <w:category>
          <w:name w:val="常规"/>
          <w:gallery w:val="placeholder"/>
        </w:category>
        <w:types>
          <w:type w:val="bbPlcHdr"/>
        </w:types>
        <w:behaviors>
          <w:behavior w:val="content"/>
        </w:behaviors>
        <w:description w:val=""/>
        <w:guid w:val="{4518295E-F775-40B8-ADEF-86F2AEE52442}"/>
      </w:docPartPr>
      <w:docPartBody>
        <w:p>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E337B"/>
    <w:rsid w:val="00116B59"/>
    <w:rsid w:val="002E4826"/>
    <w:rsid w:val="00371A16"/>
    <w:rsid w:val="00643BCF"/>
    <w:rsid w:val="008149D5"/>
    <w:rsid w:val="008C1F50"/>
    <w:rsid w:val="008E0BCF"/>
    <w:rsid w:val="0099370D"/>
    <w:rsid w:val="00AE337B"/>
    <w:rsid w:val="00FA5D64"/>
    <w:rsid w:val="00FF4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619A19252A24AFD8EA47B8CB456711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5DCB91495674176AF1BF5DEFFE4580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76811BCE0184EA58A3E05B799B4EE60"/>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C1C773-FC13-4452-8B81-705CA572C816}">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Pages>
  <Words>667</Words>
  <Characters>3803</Characters>
  <Lines>31</Lines>
  <Paragraphs>8</Paragraphs>
  <TotalTime>95</TotalTime>
  <ScaleCrop>false</ScaleCrop>
  <LinksUpToDate>false</LinksUpToDate>
  <CharactersWithSpaces>4462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2021-08-06T07:56:00Z</dcterms:created>
  <dc:creator>Windows 用户</dc:creator>
  <dc:description>&lt;config cover="true" show_menu="true" version="1.0.0" doctype="SDKXY"&gt;_x000d_
&lt;/config&gt;</dc:description>
  <cp:lastModifiedBy>自我</cp:lastModifiedBy>
  <cp:lastPrinted>2021-02-02T08:22:00Z</cp:lastPrinted>
  <dcterms:modified xsi:type="dcterms:W3CDTF">2021-12-06T01:30:02Z</dcterms:modified>
  <dc:title>团体标准</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2052-11.1.0.11115</vt:lpwstr>
  </property>
  <property fmtid="{D5CDD505-2E9C-101B-9397-08002B2CF9AE}" pid="15" name="ICV">
    <vt:lpwstr>692E301EDC6F47A1941B5476EAA3E3E2</vt:lpwstr>
  </property>
</Properties>
</file>