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bookmarkStart w:id="0" w:name="ICS"/>
            <w:r>
              <w:rPr>
                <w:rFonts w:ascii="黑体" w:hAnsi="黑体" w:eastAsia="黑体"/>
                <w:sz w:val="21"/>
                <w:szCs w:val="21"/>
              </w:rPr>
              <w:fldChar w:fldCharType="begin">
                <w:ffData>
                  <w:name w:val="ICS"/>
                  <w:enabled/>
                  <w:calcOnExit w:val="0"/>
                  <w:textInput>
                    <w:default w:val="67.220.10"/>
                  </w:textInput>
                </w:ffData>
              </w:fldChar>
            </w:r>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67.220.10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bookmarkStart w:id="1" w:name="c1"/>
                  <w:r>
                    <w:fldChar w:fldCharType="begin">
                      <w:ffData>
                        <w:name w:val="c1"/>
                        <w:enabled/>
                        <w:calcOnExit w:val="0"/>
                        <w:textInput>
                          <w:default w:val="GXAS"/>
                          <w:maxLength w:val="7"/>
                        </w:textInput>
                      </w:ffData>
                    </w:fldChar>
                  </w:r>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bookmarkStart w:id="2" w:name="CSDN"/>
            <w:r>
              <w:rPr>
                <w:rFonts w:ascii="黑体" w:hAnsi="黑体" w:eastAsia="黑体"/>
                <w:sz w:val="21"/>
                <w:szCs w:val="21"/>
              </w:rPr>
              <w:fldChar w:fldCharType="begin">
                <w:ffData>
                  <w:name w:val="CSDN"/>
                  <w:enabled/>
                  <w:calcOnExit w:val="0"/>
                  <w:textInput>
                    <w:default w:val="X 66"/>
                  </w:textInput>
                </w:ffData>
              </w:fldChar>
            </w:r>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 66</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pPr>
      <w:r>
        <w:t>T/</w:t>
      </w:r>
      <w:bookmarkStart w:id="4" w:name="文字1"/>
      <w:r>
        <w:fldChar w:fldCharType="begin">
          <w:ffData>
            <w:name w:val="文字1"/>
            <w:enabled/>
            <w:calcOnExit w:val="0"/>
            <w:textInput>
              <w:default w:val="GXAS"/>
            </w:textInput>
          </w:ffData>
        </w:fldChar>
      </w:r>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bookmarkStart w:id="8" w:name="CSTD_NAME"/>
      <w:r>
        <w:fldChar w:fldCharType="begin">
          <w:ffData>
            <w:name w:val="CSTD_NAME"/>
            <w:enabled/>
            <w:calcOnExit w:val="0"/>
            <w:textInput>
              <w:default w:val="八角质量等级"/>
            </w:textInput>
          </w:ffData>
        </w:fldChar>
      </w:r>
      <w:r>
        <w:instrText xml:space="preserve"> FORMTEXT </w:instrText>
      </w:r>
      <w:r>
        <w:fldChar w:fldCharType="separate"/>
      </w:r>
      <w:r>
        <w:t>八角质量等级</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bookmarkStart w:id="9" w:name="ESTD_NAME"/>
      <w:r>
        <w:rPr>
          <w:rFonts w:eastAsia="黑体"/>
          <w:szCs w:val="28"/>
        </w:rPr>
        <w:fldChar w:fldCharType="begin">
          <w:ffData>
            <w:name w:val="ESTD_NAME"/>
            <w:enabled/>
            <w:calcOnExit w:val="0"/>
            <w:textInput>
              <w:default w:val="Quality grades on star anise"/>
            </w:textInput>
          </w:ffData>
        </w:fldChar>
      </w:r>
      <w:r>
        <w:rPr>
          <w:rFonts w:eastAsia="黑体"/>
          <w:szCs w:val="28"/>
        </w:rPr>
        <w:instrText xml:space="preserve"> FORMTEXT </w:instrText>
      </w:r>
      <w:r>
        <w:rPr>
          <w:rFonts w:eastAsia="黑体"/>
          <w:szCs w:val="28"/>
        </w:rPr>
        <w:fldChar w:fldCharType="separate"/>
      </w:r>
      <w:r>
        <w:rPr>
          <w:rFonts w:eastAsia="黑体"/>
          <w:szCs w:val="28"/>
        </w:rPr>
        <w:t>Quality grades on star anise</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（本草案完成时间：2021/12/16）</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bookmarkStart w:id="12" w:name="下拉2"/>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bookmarkStart w:id="19" w:name="fm"/>
      <w:r>
        <w:rPr>
          <w:rFonts w:hAnsi="黑体"/>
          <w:w w:val="100"/>
          <w:sz w:val="28"/>
        </w:rPr>
        <w:fldChar w:fldCharType="begin">
          <w:ffData>
            <w:name w:val="fm"/>
            <w:enabled/>
            <w:calcOnExit w:val="0"/>
            <w:textInput>
              <w:default w:val="广西标准化协会"/>
            </w:textInput>
          </w:ffData>
        </w:fldChar>
      </w:r>
      <w:r>
        <w:rPr>
          <w:rFonts w:hAnsi="黑体"/>
          <w:w w:val="100"/>
          <w:sz w:val="28"/>
        </w:rPr>
        <w:instrText xml:space="preserve"> FORMTEXT </w:instrText>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360"/>
      </w:pPr>
      <w:bookmarkStart w:id="20"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rPr>
          <w:rFonts w:hint="eastAsia" w:eastAsia="宋体"/>
          <w:lang w:eastAsia="zh-CN"/>
        </w:rPr>
      </w:pPr>
      <w:r>
        <w:rPr>
          <w:rFonts w:hint="eastAsia"/>
          <w:lang w:eastAsia="zh-CN"/>
        </w:rPr>
        <w:t>请注意本文件的某些内可能涉及专利。本文件的发布机构不承担识别专利的责任。</w:t>
      </w:r>
    </w:p>
    <w:p>
      <w:pPr>
        <w:pStyle w:val="56"/>
        <w:ind w:firstLine="420"/>
      </w:pPr>
      <w:r>
        <w:rPr>
          <w:rFonts w:hint="eastAsia"/>
        </w:rPr>
        <w:t>本文件由广西壮族自治区林业局提出、归口并宣贯。</w:t>
      </w:r>
    </w:p>
    <w:p>
      <w:pPr>
        <w:pStyle w:val="56"/>
        <w:ind w:firstLine="420"/>
        <w:rPr>
          <w:rFonts w:hint="eastAsia" w:eastAsia="宋体"/>
          <w:lang w:eastAsia="zh-CN"/>
        </w:rPr>
      </w:pPr>
      <w:r>
        <w:rPr>
          <w:rFonts w:hint="eastAsia"/>
        </w:rPr>
        <w:t>本文件起草单位：广西壮族自治区林业科学研究院</w:t>
      </w:r>
      <w:r>
        <w:t>、</w:t>
      </w:r>
      <w:r>
        <w:rPr>
          <w:rFonts w:hint="eastAsia"/>
        </w:rPr>
        <w:t>广西—东盟食品检验检测中心、南宁市</w:t>
      </w:r>
      <w:r>
        <w:t>科索科技有限责任公司、上思八角农业发展有限公司、百色市一铭农业科技有限公司、广西玉蓝生物科技有限公司、广西高峰天然香料物流中心</w:t>
      </w:r>
      <w:r>
        <w:rPr>
          <w:rFonts w:hint="eastAsia"/>
          <w:lang w:eastAsia="zh-CN"/>
        </w:rPr>
        <w:t>。</w:t>
      </w:r>
    </w:p>
    <w:p>
      <w:pPr>
        <w:pStyle w:val="56"/>
        <w:ind w:firstLine="420"/>
      </w:pPr>
      <w:r>
        <w:rPr>
          <w:rFonts w:hint="eastAsia"/>
        </w:rPr>
        <w:t>本文件主要起草人：李开祥、梁文汇、</w:t>
      </w:r>
      <w:bookmarkStart w:id="41" w:name="_GoBack"/>
      <w:bookmarkEnd w:id="41"/>
      <w:r>
        <w:rPr>
          <w:rFonts w:hint="eastAsia"/>
        </w:rPr>
        <w:t>曾祥艳、黄开顺、李军集、廖健明、王坤、杨卓颖。</w:t>
      </w:r>
    </w:p>
    <w:p>
      <w:pPr>
        <w:pStyle w:val="56"/>
        <w:ind w:firstLine="199" w:firstLineChars="95"/>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3B7AAEB999BB4DB3BB7021AC7C272813"/>
        </w:placeholder>
      </w:sdtPr>
      <w:sdtContent>
        <w:p>
          <w:pPr>
            <w:pStyle w:val="177"/>
            <w:spacing w:before="240" w:beforeLines="100" w:after="528" w:afterLines="220"/>
          </w:pPr>
          <w:bookmarkStart w:id="22" w:name="NEW_STAND_NAME"/>
          <w:r>
            <w:rPr>
              <w:rFonts w:hint="eastAsia"/>
            </w:rPr>
            <w:t>八角质量等级</w:t>
          </w:r>
        </w:p>
      </w:sdtContent>
    </w:sdt>
    <w:bookmarkEnd w:id="22"/>
    <w:p>
      <w:pPr>
        <w:pStyle w:val="104"/>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Pr>
          <w:rFonts w:hint="eastAsia"/>
        </w:rPr>
        <w:t>范围</w:t>
      </w:r>
      <w:bookmarkEnd w:id="23"/>
      <w:bookmarkEnd w:id="24"/>
      <w:bookmarkEnd w:id="25"/>
      <w:bookmarkEnd w:id="26"/>
      <w:bookmarkEnd w:id="27"/>
      <w:bookmarkEnd w:id="28"/>
      <w:bookmarkEnd w:id="29"/>
      <w:bookmarkEnd w:id="30"/>
    </w:p>
    <w:p>
      <w:pPr>
        <w:pStyle w:val="56"/>
        <w:ind w:firstLine="420"/>
      </w:pPr>
      <w:bookmarkStart w:id="31" w:name="_Toc17233326"/>
      <w:bookmarkStart w:id="32" w:name="_Toc17233334"/>
      <w:bookmarkStart w:id="33" w:name="_Toc24884212"/>
      <w:bookmarkStart w:id="34" w:name="_Toc24884219"/>
      <w:bookmarkStart w:id="35" w:name="_Toc26648466"/>
      <w:r>
        <w:t>本</w:t>
      </w:r>
      <w:r>
        <w:rPr>
          <w:rFonts w:hint="eastAsia"/>
        </w:rPr>
        <w:t>文件</w:t>
      </w:r>
      <w:r>
        <w:t>规定了八角的术语和定义、技术要求、检验方法、检验规则、判定规则</w:t>
      </w:r>
      <w:r>
        <w:rPr>
          <w:rFonts w:hint="eastAsia"/>
        </w:rPr>
        <w:t>、</w:t>
      </w:r>
      <w:r>
        <w:t>包装、标志、运输、贮存。</w:t>
      </w:r>
    </w:p>
    <w:p>
      <w:pPr>
        <w:pStyle w:val="56"/>
        <w:ind w:firstLine="420"/>
      </w:pPr>
      <w:r>
        <w:t>本</w:t>
      </w:r>
      <w:r>
        <w:rPr>
          <w:rFonts w:hint="eastAsia"/>
        </w:rPr>
        <w:t>文件</w:t>
      </w:r>
      <w:r>
        <w:t>适用于八角的质量</w:t>
      </w:r>
      <w:r>
        <w:rPr>
          <w:rFonts w:hint="eastAsia"/>
        </w:rPr>
        <w:t>评定。</w:t>
      </w:r>
    </w:p>
    <w:p>
      <w:pPr>
        <w:pStyle w:val="104"/>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EF6DF1E0C2D74592B06C2B93E986A2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0"/>
      </w:pPr>
      <w:r>
        <w:rPr>
          <w:rFonts w:hint="eastAsia"/>
        </w:rPr>
        <w:t>GB/T 191  包装储运图示标志</w:t>
      </w:r>
    </w:p>
    <w:p>
      <w:pPr>
        <w:pStyle w:val="230"/>
      </w:pPr>
      <w:r>
        <w:rPr>
          <w:rFonts w:hint="eastAsia"/>
        </w:rPr>
        <w:t>GB 5009.3  食品安全国家标准  食品中水分的测定</w:t>
      </w:r>
    </w:p>
    <w:p>
      <w:pPr>
        <w:pStyle w:val="230"/>
      </w:pPr>
      <w:r>
        <w:rPr>
          <w:rFonts w:hint="eastAsia"/>
        </w:rPr>
        <w:t>GB 5009.4  食品安全国家标准  食品中灰分的测定</w:t>
      </w:r>
    </w:p>
    <w:p>
      <w:pPr>
        <w:pStyle w:val="230"/>
      </w:pPr>
      <w:r>
        <w:rPr>
          <w:rFonts w:hint="eastAsia"/>
          <w:bCs/>
        </w:rPr>
        <w:t xml:space="preserve">GB 5009.34  </w:t>
      </w:r>
      <w:r>
        <w:rPr>
          <w:rFonts w:hint="eastAsia"/>
        </w:rPr>
        <w:t>食品安全国家标准 食品中二氧化硫的测定</w:t>
      </w:r>
    </w:p>
    <w:p>
      <w:pPr>
        <w:pStyle w:val="230"/>
      </w:pPr>
      <w:r>
        <w:rPr>
          <w:rFonts w:hint="eastAsia"/>
        </w:rPr>
        <w:t>GB/T 12729.2  香辛料和调味品  取样方法</w:t>
      </w:r>
    </w:p>
    <w:p>
      <w:pPr>
        <w:pStyle w:val="230"/>
      </w:pPr>
      <w:r>
        <w:rPr>
          <w:rFonts w:hint="eastAsia"/>
        </w:rPr>
        <w:t>GB/T 12729.5  香辛料和调味品  外来物含量的测定</w:t>
      </w:r>
    </w:p>
    <w:p>
      <w:pPr>
        <w:pStyle w:val="56"/>
        <w:ind w:firstLine="420"/>
        <w:rPr>
          <w:rFonts w:hint="eastAsia"/>
        </w:rPr>
      </w:pPr>
      <w:r>
        <w:rPr>
          <w:rFonts w:hint="eastAsia"/>
        </w:rPr>
        <w:t>GB/T 30385  香辛料和调味品挥发油含量的测定</w:t>
      </w:r>
    </w:p>
    <w:p>
      <w:pPr>
        <w:pStyle w:val="56"/>
        <w:ind w:firstLine="420"/>
      </w:pPr>
    </w:p>
    <w:p>
      <w:pPr>
        <w:pStyle w:val="104"/>
        <w:spacing w:before="240" w:after="240"/>
      </w:pPr>
      <w:r>
        <w:rPr>
          <w:rFonts w:hint="eastAsia"/>
          <w:szCs w:val="21"/>
        </w:rPr>
        <w:t>术语和定义</w:t>
      </w:r>
    </w:p>
    <w:sdt>
      <w:sdtPr>
        <w:id w:val="-1909835108"/>
        <w:placeholder>
          <w:docPart w:val="98E9C047038E43FF96E173964DDCCE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9" w:name="_Toc26986532"/>
          <w:bookmarkEnd w:id="39"/>
          <w:r>
            <w:t>下列术语和定义适用于本文件。</w:t>
          </w:r>
        </w:p>
      </w:sdtContent>
    </w:sdt>
    <w:p>
      <w:pPr>
        <w:pStyle w:val="105"/>
        <w:spacing w:before="120" w:after="120"/>
      </w:pPr>
    </w:p>
    <w:p>
      <w:pPr>
        <w:pStyle w:val="230"/>
        <w:rPr>
          <w:rFonts w:ascii="黑体" w:hAnsi="黑体" w:eastAsia="黑体"/>
        </w:rPr>
      </w:pPr>
      <w:r>
        <w:rPr>
          <w:rFonts w:hint="eastAsia" w:ascii="黑体" w:hAnsi="黑体" w:eastAsia="黑体"/>
        </w:rPr>
        <w:t>大红八角  da-hong star anise</w:t>
      </w:r>
    </w:p>
    <w:p>
      <w:pPr>
        <w:pStyle w:val="230"/>
        <w:rPr>
          <w:rFonts w:hAnsi="宋体"/>
        </w:rPr>
      </w:pPr>
      <w:r>
        <w:rPr>
          <w:rFonts w:hint="eastAsia" w:hAnsi="宋体"/>
        </w:rPr>
        <w:t>秋季成熟期采收，经脱青处理后晒干或烘干的八角果实。</w:t>
      </w:r>
    </w:p>
    <w:p>
      <w:pPr>
        <w:pStyle w:val="105"/>
        <w:spacing w:before="120" w:after="120"/>
      </w:pPr>
    </w:p>
    <w:p>
      <w:pPr>
        <w:pStyle w:val="230"/>
        <w:rPr>
          <w:rFonts w:ascii="黑体" w:hAnsi="黑体" w:eastAsia="黑体"/>
        </w:rPr>
      </w:pPr>
      <w:r>
        <w:rPr>
          <w:rFonts w:hint="eastAsia" w:ascii="黑体" w:hAnsi="黑体" w:eastAsia="黑体"/>
        </w:rPr>
        <w:t>角花八角  jiao-hua star anise</w:t>
      </w:r>
    </w:p>
    <w:p>
      <w:pPr>
        <w:pStyle w:val="230"/>
      </w:pPr>
      <w:r>
        <w:rPr>
          <w:rFonts w:hint="eastAsia"/>
        </w:rPr>
        <w:t>春季成熟期采收，经脱青处理后晒干或烘干的八角果实。</w:t>
      </w:r>
    </w:p>
    <w:p>
      <w:pPr>
        <w:pStyle w:val="105"/>
        <w:spacing w:before="120" w:after="120"/>
      </w:pPr>
    </w:p>
    <w:p>
      <w:pPr>
        <w:pStyle w:val="230"/>
        <w:rPr>
          <w:rFonts w:ascii="黑体" w:hAnsi="黑体" w:eastAsia="黑体"/>
        </w:rPr>
      </w:pPr>
      <w:r>
        <w:rPr>
          <w:rFonts w:hint="eastAsia" w:ascii="黑体" w:hAnsi="黑体" w:eastAsia="黑体"/>
        </w:rPr>
        <w:t>干枝八角  gan-zhi star anise</w:t>
      </w:r>
    </w:p>
    <w:p>
      <w:pPr>
        <w:pStyle w:val="230"/>
      </w:pPr>
      <w:r>
        <w:rPr>
          <w:rFonts w:hint="eastAsia"/>
        </w:rPr>
        <w:t>落地自然干燥的八角果实。</w:t>
      </w:r>
    </w:p>
    <w:p>
      <w:pPr>
        <w:pStyle w:val="105"/>
        <w:spacing w:before="120" w:after="120"/>
      </w:pPr>
    </w:p>
    <w:p>
      <w:pPr>
        <w:pStyle w:val="230"/>
        <w:rPr>
          <w:rFonts w:ascii="黑体" w:hAnsi="黑体" w:eastAsia="黑体"/>
        </w:rPr>
      </w:pPr>
      <w:r>
        <w:rPr>
          <w:rFonts w:hint="eastAsia" w:ascii="黑体" w:hAnsi="黑体" w:eastAsia="黑体"/>
        </w:rPr>
        <w:t>碎口  broken-fruit</w:t>
      </w:r>
    </w:p>
    <w:p>
      <w:pPr>
        <w:pStyle w:val="230"/>
      </w:pPr>
      <w:r>
        <w:rPr>
          <w:rFonts w:hint="eastAsia"/>
        </w:rPr>
        <w:t>八角破裂后1</w:t>
      </w:r>
      <w:r>
        <w:rPr>
          <w:rFonts w:asciiTheme="minorEastAsia" w:hAnsiTheme="minorEastAsia"/>
          <w:bCs/>
          <w:sz w:val="24"/>
          <w:szCs w:val="24"/>
        </w:rPr>
        <w:t>～</w:t>
      </w:r>
      <w:r>
        <w:rPr>
          <w:rFonts w:hint="eastAsia"/>
        </w:rPr>
        <w:t>4瓣连结在一起的碎体。</w:t>
      </w:r>
    </w:p>
    <w:p>
      <w:pPr>
        <w:pStyle w:val="104"/>
        <w:spacing w:before="240" w:after="240"/>
      </w:pPr>
      <w:r>
        <w:t>技术要求</w:t>
      </w:r>
    </w:p>
    <w:p>
      <w:pPr>
        <w:pStyle w:val="105"/>
        <w:spacing w:before="120" w:after="120"/>
      </w:pPr>
      <w:r>
        <w:t>分级</w:t>
      </w:r>
    </w:p>
    <w:p>
      <w:pPr>
        <w:pStyle w:val="56"/>
        <w:ind w:firstLine="420"/>
      </w:pPr>
      <w:r>
        <w:t>大红八角分一</w:t>
      </w:r>
      <w:r>
        <w:rPr>
          <w:rFonts w:hint="eastAsia"/>
        </w:rPr>
        <w:t>、</w:t>
      </w:r>
      <w:r>
        <w:t>二</w:t>
      </w:r>
      <w:r>
        <w:rPr>
          <w:rFonts w:hint="eastAsia"/>
        </w:rPr>
        <w:t>、</w:t>
      </w:r>
      <w:r>
        <w:t>三级</w:t>
      </w:r>
      <w:r>
        <w:rPr>
          <w:rFonts w:hint="eastAsia"/>
        </w:rPr>
        <w:t>，</w:t>
      </w:r>
      <w:r>
        <w:t>角花八角分一</w:t>
      </w:r>
      <w:r>
        <w:rPr>
          <w:rFonts w:hint="eastAsia"/>
        </w:rPr>
        <w:t>、</w:t>
      </w:r>
      <w:r>
        <w:t>二级</w:t>
      </w:r>
      <w:r>
        <w:rPr>
          <w:rFonts w:hint="eastAsia"/>
        </w:rPr>
        <w:t>，</w:t>
      </w:r>
      <w:r>
        <w:t>干枝八角</w:t>
      </w:r>
      <w:r>
        <w:rPr>
          <w:rFonts w:hint="eastAsia"/>
        </w:rPr>
        <w:t>为</w:t>
      </w:r>
      <w:r>
        <w:t>统货不分级</w:t>
      </w:r>
      <w:r>
        <w:rPr>
          <w:rFonts w:hint="eastAsia"/>
        </w:rPr>
        <w:t>。</w:t>
      </w:r>
    </w:p>
    <w:p>
      <w:pPr>
        <w:pStyle w:val="105"/>
        <w:spacing w:before="120" w:after="120"/>
      </w:pPr>
      <w:r>
        <w:rPr>
          <w:rFonts w:hint="eastAsia"/>
        </w:rPr>
        <w:t>感官指标</w:t>
      </w:r>
    </w:p>
    <w:p>
      <w:pPr>
        <w:pStyle w:val="56"/>
        <w:ind w:firstLine="420"/>
      </w:pPr>
      <w:r>
        <w:rPr>
          <w:rFonts w:hint="eastAsia"/>
        </w:rPr>
        <w:t>八角的感官指标应符合表1的规定。</w:t>
      </w:r>
    </w:p>
    <w:p>
      <w:pPr>
        <w:pStyle w:val="112"/>
        <w:spacing w:before="120" w:after="120"/>
      </w:pPr>
      <w:r>
        <w:rPr>
          <w:rFonts w:hint="eastAsia"/>
        </w:rPr>
        <w:t>八角的感官指标</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8"/>
        <w:gridCol w:w="1877"/>
        <w:gridCol w:w="1873"/>
        <w:gridCol w:w="1873"/>
        <w:gridCol w:w="18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8" w:type="dxa"/>
            <w:tcBorders>
              <w:top w:val="single" w:color="auto" w:sz="8" w:space="0"/>
              <w:bottom w:val="single" w:color="auto" w:sz="8" w:space="0"/>
            </w:tcBorders>
            <w:shd w:val="clear" w:color="auto" w:fill="auto"/>
            <w:vAlign w:val="center"/>
          </w:tcPr>
          <w:p>
            <w:pPr>
              <w:pStyle w:val="178"/>
            </w:pPr>
            <w:r>
              <w:t>类别</w:t>
            </w:r>
          </w:p>
        </w:tc>
        <w:tc>
          <w:tcPr>
            <w:tcW w:w="1877" w:type="dxa"/>
            <w:tcBorders>
              <w:top w:val="single" w:color="auto" w:sz="8" w:space="0"/>
              <w:bottom w:val="single" w:color="auto" w:sz="8" w:space="0"/>
            </w:tcBorders>
            <w:shd w:val="clear" w:color="auto" w:fill="auto"/>
            <w:vAlign w:val="center"/>
          </w:tcPr>
          <w:p>
            <w:pPr>
              <w:pStyle w:val="178"/>
            </w:pPr>
            <w:r>
              <w:t>等级</w:t>
            </w:r>
          </w:p>
        </w:tc>
        <w:tc>
          <w:tcPr>
            <w:tcW w:w="1873" w:type="dxa"/>
            <w:tcBorders>
              <w:top w:val="single" w:color="auto" w:sz="8" w:space="0"/>
              <w:bottom w:val="single" w:color="auto" w:sz="8" w:space="0"/>
            </w:tcBorders>
            <w:shd w:val="clear" w:color="auto" w:fill="auto"/>
            <w:vAlign w:val="center"/>
          </w:tcPr>
          <w:p>
            <w:pPr>
              <w:snapToGrid w:val="0"/>
              <w:spacing w:line="240" w:lineRule="auto"/>
              <w:ind w:left="210" w:leftChars="100" w:right="210"/>
              <w:jc w:val="center"/>
              <w:rPr>
                <w:rFonts w:ascii="宋体" w:hAnsi="宋体"/>
                <w:sz w:val="18"/>
                <w:szCs w:val="18"/>
              </w:rPr>
            </w:pPr>
            <w:r>
              <w:rPr>
                <w:rFonts w:hint="eastAsia" w:ascii="宋体" w:hAnsi="宋体"/>
                <w:sz w:val="18"/>
                <w:szCs w:val="18"/>
              </w:rPr>
              <w:t>颜色</w:t>
            </w:r>
          </w:p>
        </w:tc>
        <w:tc>
          <w:tcPr>
            <w:tcW w:w="1873" w:type="dxa"/>
            <w:tcBorders>
              <w:top w:val="single" w:color="auto" w:sz="8" w:space="0"/>
              <w:bottom w:val="single" w:color="auto" w:sz="8" w:space="0"/>
            </w:tcBorders>
            <w:shd w:val="clear" w:color="auto" w:fill="auto"/>
            <w:vAlign w:val="center"/>
          </w:tcPr>
          <w:p>
            <w:pPr>
              <w:snapToGrid w:val="0"/>
              <w:spacing w:line="240" w:lineRule="auto"/>
              <w:ind w:left="210" w:leftChars="100" w:right="210"/>
              <w:jc w:val="center"/>
              <w:rPr>
                <w:rFonts w:ascii="宋体" w:hAnsi="宋体"/>
                <w:sz w:val="18"/>
                <w:szCs w:val="18"/>
              </w:rPr>
            </w:pPr>
            <w:r>
              <w:rPr>
                <w:rFonts w:hint="eastAsia" w:ascii="宋体" w:hAnsi="宋体"/>
                <w:sz w:val="18"/>
                <w:szCs w:val="18"/>
              </w:rPr>
              <w:t>气味</w:t>
            </w:r>
          </w:p>
        </w:tc>
        <w:tc>
          <w:tcPr>
            <w:tcW w:w="1873" w:type="dxa"/>
            <w:tcBorders>
              <w:top w:val="single" w:color="auto" w:sz="8" w:space="0"/>
              <w:bottom w:val="single" w:color="auto" w:sz="8" w:space="0"/>
            </w:tcBorders>
            <w:shd w:val="clear" w:color="auto" w:fill="auto"/>
            <w:vAlign w:val="center"/>
          </w:tcPr>
          <w:p>
            <w:pPr>
              <w:snapToGrid w:val="0"/>
              <w:spacing w:line="240" w:lineRule="auto"/>
              <w:ind w:right="210"/>
              <w:jc w:val="center"/>
              <w:rPr>
                <w:rFonts w:ascii="宋体" w:hAnsi="宋体"/>
                <w:sz w:val="18"/>
                <w:szCs w:val="18"/>
              </w:rPr>
            </w:pPr>
            <w:r>
              <w:rPr>
                <w:rFonts w:hint="eastAsia" w:ascii="宋体" w:hAnsi="宋体"/>
                <w:sz w:val="18"/>
                <w:szCs w:val="18"/>
              </w:rPr>
              <w:t>果型特征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restar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大红</w:t>
            </w:r>
          </w:p>
        </w:tc>
        <w:tc>
          <w:tcPr>
            <w:tcW w:w="1877" w:type="dxa"/>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一级</w:t>
            </w:r>
          </w:p>
        </w:tc>
        <w:tc>
          <w:tcPr>
            <w:tcW w:w="1873" w:type="dxa"/>
            <w:vMerge w:val="restart"/>
            <w:tcBorders>
              <w:top w:val="single" w:color="auto" w:sz="8" w:space="0"/>
            </w:tcBorders>
            <w:shd w:val="clear" w:color="auto" w:fill="auto"/>
            <w:vAlign w:val="center"/>
          </w:tcPr>
          <w:p>
            <w:pPr>
              <w:snapToGrid w:val="0"/>
              <w:spacing w:line="240" w:lineRule="auto"/>
              <w:ind w:right="210"/>
              <w:jc w:val="center"/>
              <w:rPr>
                <w:rFonts w:ascii="宋体" w:hAnsi="宋体"/>
                <w:sz w:val="18"/>
                <w:szCs w:val="18"/>
              </w:rPr>
            </w:pPr>
            <w:r>
              <w:rPr>
                <w:rFonts w:hint="eastAsia" w:ascii="宋体" w:hAnsi="宋体"/>
                <w:sz w:val="18"/>
                <w:szCs w:val="18"/>
              </w:rPr>
              <w:t>棕红或褐红</w:t>
            </w:r>
          </w:p>
        </w:tc>
        <w:tc>
          <w:tcPr>
            <w:tcW w:w="1873" w:type="dxa"/>
            <w:vMerge w:val="restar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芳香</w:t>
            </w:r>
          </w:p>
        </w:tc>
        <w:tc>
          <w:tcPr>
            <w:tcW w:w="1873" w:type="dxa"/>
            <w:vMerge w:val="restar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角瓣粗短、果壮肉厚、无黑变、无霉变、干爽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continue"/>
            <w:shd w:val="clear" w:color="auto" w:fill="auto"/>
            <w:vAlign w:val="center"/>
          </w:tcPr>
          <w:p>
            <w:pPr>
              <w:pStyle w:val="178"/>
            </w:pPr>
          </w:p>
        </w:tc>
        <w:tc>
          <w:tcPr>
            <w:tcW w:w="1877" w:type="dxa"/>
            <w:shd w:val="clear" w:color="auto" w:fill="auto"/>
            <w:vAlign w:val="center"/>
          </w:tcPr>
          <w:p>
            <w:pPr>
              <w:pStyle w:val="178"/>
            </w:pPr>
            <w:r>
              <w:rPr>
                <w:rFonts w:hint="eastAsia" w:hAnsi="宋体"/>
                <w:szCs w:val="18"/>
              </w:rPr>
              <w:t>二级</w:t>
            </w:r>
          </w:p>
        </w:tc>
        <w:tc>
          <w:tcPr>
            <w:tcW w:w="1873" w:type="dxa"/>
            <w:vMerge w:val="continue"/>
            <w:shd w:val="clear" w:color="auto" w:fill="auto"/>
            <w:vAlign w:val="center"/>
          </w:tcPr>
          <w:p>
            <w:pPr>
              <w:pStyle w:val="178"/>
            </w:pPr>
          </w:p>
        </w:tc>
        <w:tc>
          <w:tcPr>
            <w:tcW w:w="1873" w:type="dxa"/>
            <w:vMerge w:val="continue"/>
            <w:shd w:val="clear" w:color="auto" w:fill="auto"/>
            <w:vAlign w:val="center"/>
          </w:tcPr>
          <w:p>
            <w:pPr>
              <w:pStyle w:val="178"/>
            </w:pPr>
          </w:p>
        </w:tc>
        <w:tc>
          <w:tcPr>
            <w:tcW w:w="1873"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continue"/>
            <w:shd w:val="clear" w:color="auto" w:fill="auto"/>
            <w:vAlign w:val="center"/>
          </w:tcPr>
          <w:p>
            <w:pPr>
              <w:pStyle w:val="178"/>
            </w:pPr>
          </w:p>
        </w:tc>
        <w:tc>
          <w:tcPr>
            <w:tcW w:w="1877" w:type="dxa"/>
            <w:shd w:val="clear" w:color="auto" w:fill="auto"/>
            <w:vAlign w:val="center"/>
          </w:tcPr>
          <w:p>
            <w:pPr>
              <w:pStyle w:val="178"/>
            </w:pPr>
            <w:r>
              <w:rPr>
                <w:rFonts w:hint="eastAsia" w:hAnsi="宋体"/>
                <w:szCs w:val="18"/>
              </w:rPr>
              <w:t>三级</w:t>
            </w:r>
          </w:p>
        </w:tc>
        <w:tc>
          <w:tcPr>
            <w:tcW w:w="1873" w:type="dxa"/>
            <w:vMerge w:val="continue"/>
            <w:shd w:val="clear" w:color="auto" w:fill="auto"/>
            <w:vAlign w:val="center"/>
          </w:tcPr>
          <w:p>
            <w:pPr>
              <w:pStyle w:val="178"/>
            </w:pPr>
          </w:p>
        </w:tc>
        <w:tc>
          <w:tcPr>
            <w:tcW w:w="1873" w:type="dxa"/>
            <w:vMerge w:val="continue"/>
            <w:shd w:val="clear" w:color="auto" w:fill="auto"/>
            <w:vAlign w:val="center"/>
          </w:tcPr>
          <w:p>
            <w:pPr>
              <w:pStyle w:val="178"/>
            </w:pPr>
          </w:p>
        </w:tc>
        <w:tc>
          <w:tcPr>
            <w:tcW w:w="1873"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restar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角花</w:t>
            </w:r>
          </w:p>
        </w:tc>
        <w:tc>
          <w:tcPr>
            <w:tcW w:w="1877"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一级</w:t>
            </w:r>
          </w:p>
        </w:tc>
        <w:tc>
          <w:tcPr>
            <w:tcW w:w="1873" w:type="dxa"/>
            <w:vMerge w:val="restart"/>
            <w:shd w:val="clear" w:color="auto" w:fill="auto"/>
            <w:vAlign w:val="center"/>
          </w:tcPr>
          <w:p>
            <w:pPr>
              <w:snapToGrid w:val="0"/>
              <w:spacing w:line="240" w:lineRule="auto"/>
              <w:ind w:right="210"/>
              <w:jc w:val="center"/>
              <w:rPr>
                <w:rFonts w:ascii="宋体" w:hAnsi="宋体"/>
                <w:sz w:val="18"/>
                <w:szCs w:val="18"/>
              </w:rPr>
            </w:pPr>
            <w:r>
              <w:rPr>
                <w:rFonts w:hint="eastAsia" w:ascii="宋体" w:hAnsi="宋体"/>
                <w:sz w:val="18"/>
                <w:szCs w:val="18"/>
              </w:rPr>
              <w:t>褐红</w:t>
            </w:r>
          </w:p>
        </w:tc>
        <w:tc>
          <w:tcPr>
            <w:tcW w:w="1873" w:type="dxa"/>
            <w:vMerge w:val="restar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芳香</w:t>
            </w:r>
          </w:p>
        </w:tc>
        <w:tc>
          <w:tcPr>
            <w:tcW w:w="1873" w:type="dxa"/>
            <w:vMerge w:val="restar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角瓣瘦长、果小肉薄、无黑变、无霉变、干爽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continue"/>
            <w:shd w:val="clear" w:color="auto" w:fill="auto"/>
            <w:vAlign w:val="center"/>
          </w:tcPr>
          <w:p>
            <w:pPr>
              <w:pStyle w:val="178"/>
            </w:pPr>
          </w:p>
        </w:tc>
        <w:tc>
          <w:tcPr>
            <w:tcW w:w="1877" w:type="dxa"/>
            <w:shd w:val="clear" w:color="auto" w:fill="auto"/>
            <w:vAlign w:val="center"/>
          </w:tcPr>
          <w:p>
            <w:pPr>
              <w:pStyle w:val="178"/>
            </w:pPr>
            <w:r>
              <w:rPr>
                <w:rFonts w:hint="eastAsia" w:hAnsi="宋体"/>
                <w:szCs w:val="18"/>
              </w:rPr>
              <w:t>二级</w:t>
            </w:r>
          </w:p>
        </w:tc>
        <w:tc>
          <w:tcPr>
            <w:tcW w:w="1873" w:type="dxa"/>
            <w:vMerge w:val="continue"/>
            <w:shd w:val="clear" w:color="auto" w:fill="auto"/>
            <w:vAlign w:val="center"/>
          </w:tcPr>
          <w:p>
            <w:pPr>
              <w:pStyle w:val="178"/>
            </w:pPr>
          </w:p>
        </w:tc>
        <w:tc>
          <w:tcPr>
            <w:tcW w:w="1873" w:type="dxa"/>
            <w:vMerge w:val="continue"/>
            <w:shd w:val="clear" w:color="auto" w:fill="auto"/>
            <w:vAlign w:val="center"/>
          </w:tcPr>
          <w:p>
            <w:pPr>
              <w:pStyle w:val="178"/>
            </w:pPr>
          </w:p>
        </w:tc>
        <w:tc>
          <w:tcPr>
            <w:tcW w:w="1873"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8"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干枝</w:t>
            </w:r>
          </w:p>
        </w:tc>
        <w:tc>
          <w:tcPr>
            <w:tcW w:w="1877"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统级</w:t>
            </w:r>
          </w:p>
        </w:tc>
        <w:tc>
          <w:tcPr>
            <w:tcW w:w="1873" w:type="dxa"/>
            <w:shd w:val="clear" w:color="auto" w:fill="auto"/>
            <w:vAlign w:val="center"/>
          </w:tcPr>
          <w:p>
            <w:pPr>
              <w:snapToGrid w:val="0"/>
              <w:spacing w:line="240" w:lineRule="auto"/>
              <w:ind w:right="210"/>
              <w:jc w:val="center"/>
              <w:rPr>
                <w:rFonts w:ascii="宋体" w:hAnsi="宋体"/>
                <w:sz w:val="18"/>
                <w:szCs w:val="18"/>
              </w:rPr>
            </w:pPr>
            <w:r>
              <w:rPr>
                <w:rFonts w:hint="eastAsia" w:ascii="宋体" w:hAnsi="宋体"/>
                <w:sz w:val="18"/>
                <w:szCs w:val="18"/>
              </w:rPr>
              <w:t>黑红</w:t>
            </w:r>
          </w:p>
        </w:tc>
        <w:tc>
          <w:tcPr>
            <w:tcW w:w="1873"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微香</w:t>
            </w:r>
          </w:p>
        </w:tc>
        <w:tc>
          <w:tcPr>
            <w:tcW w:w="1873"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壮瘦兼有，碎角多、无霉变、干爽</w:t>
            </w:r>
          </w:p>
        </w:tc>
      </w:tr>
    </w:tbl>
    <w:p>
      <w:pPr>
        <w:pStyle w:val="105"/>
        <w:spacing w:before="120" w:after="120"/>
      </w:pPr>
      <w:r>
        <w:rPr>
          <w:rFonts w:hint="eastAsia"/>
        </w:rPr>
        <w:t>理化指标</w:t>
      </w:r>
    </w:p>
    <w:p>
      <w:pPr>
        <w:pStyle w:val="56"/>
        <w:ind w:firstLine="420"/>
      </w:pPr>
      <w:r>
        <w:rPr>
          <w:rFonts w:hint="eastAsia"/>
        </w:rPr>
        <w:t>八角的理化指标应符合表2的规定。</w:t>
      </w:r>
    </w:p>
    <w:p>
      <w:pPr>
        <w:pStyle w:val="112"/>
        <w:spacing w:before="120" w:after="120"/>
      </w:pPr>
      <w:r>
        <w:rPr>
          <w:rFonts w:hint="eastAsia"/>
        </w:rPr>
        <w:t>八角的理化指标</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42"/>
        <w:gridCol w:w="1043"/>
        <w:gridCol w:w="1043"/>
        <w:gridCol w:w="1041"/>
        <w:gridCol w:w="1041"/>
        <w:gridCol w:w="1041"/>
        <w:gridCol w:w="1043"/>
        <w:gridCol w:w="1041"/>
        <w:gridCol w:w="1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56" w:type="pct"/>
            <w:tcBorders>
              <w:top w:val="single" w:color="auto" w:sz="8" w:space="0"/>
              <w:bottom w:val="single" w:color="auto" w:sz="8" w:space="0"/>
            </w:tcBorders>
            <w:shd w:val="clear" w:color="auto" w:fill="auto"/>
            <w:vAlign w:val="center"/>
          </w:tcPr>
          <w:p>
            <w:pPr>
              <w:pStyle w:val="178"/>
            </w:pPr>
            <w:r>
              <w:rPr>
                <w:rFonts w:hint="eastAsia"/>
              </w:rPr>
              <w:t>类别</w:t>
            </w:r>
          </w:p>
        </w:tc>
        <w:tc>
          <w:tcPr>
            <w:tcW w:w="557" w:type="pct"/>
            <w:tcBorders>
              <w:top w:val="single" w:color="auto" w:sz="8" w:space="0"/>
              <w:bottom w:val="single" w:color="auto" w:sz="8" w:space="0"/>
            </w:tcBorders>
            <w:shd w:val="clear" w:color="auto" w:fill="auto"/>
            <w:vAlign w:val="center"/>
          </w:tcPr>
          <w:p>
            <w:pPr>
              <w:pStyle w:val="178"/>
            </w:pPr>
            <w:r>
              <w:rPr>
                <w:rFonts w:hint="eastAsia"/>
              </w:rPr>
              <w:t>等级</w:t>
            </w:r>
          </w:p>
        </w:tc>
        <w:tc>
          <w:tcPr>
            <w:tcW w:w="556" w:type="pct"/>
            <w:tcBorders>
              <w:top w:val="single" w:color="auto" w:sz="8" w:space="0"/>
              <w:bottom w:val="single" w:color="auto" w:sz="8" w:space="0"/>
            </w:tcBorders>
            <w:shd w:val="clear" w:color="auto" w:fill="auto"/>
            <w:vAlign w:val="center"/>
          </w:tcPr>
          <w:p>
            <w:pPr>
              <w:pStyle w:val="178"/>
            </w:pPr>
            <w:r>
              <w:rPr>
                <w:rFonts w:hint="eastAsia"/>
              </w:rPr>
              <w:t>果体大小</w:t>
            </w:r>
          </w:p>
          <w:p>
            <w:pPr>
              <w:pStyle w:val="178"/>
            </w:pPr>
            <w:r>
              <w:rPr>
                <w:rFonts w:hint="eastAsia"/>
              </w:rPr>
              <w:t>个/Kg</w:t>
            </w:r>
          </w:p>
        </w:tc>
        <w:tc>
          <w:tcPr>
            <w:tcW w:w="555" w:type="pct"/>
            <w:tcBorders>
              <w:top w:val="single" w:color="auto" w:sz="8" w:space="0"/>
              <w:bottom w:val="single" w:color="auto" w:sz="8" w:space="0"/>
            </w:tcBorders>
            <w:shd w:val="clear" w:color="auto" w:fill="auto"/>
            <w:vAlign w:val="center"/>
          </w:tcPr>
          <w:p>
            <w:pPr>
              <w:pStyle w:val="178"/>
            </w:pPr>
            <w:r>
              <w:rPr>
                <w:rFonts w:hint="eastAsia"/>
              </w:rPr>
              <w:t>碎口率</w:t>
            </w:r>
          </w:p>
          <w:p>
            <w:pPr>
              <w:pStyle w:val="178"/>
            </w:pPr>
            <w:r>
              <w:rPr>
                <w:rFonts w:hint="eastAsia"/>
              </w:rPr>
              <w:t>g/100 g</w:t>
            </w:r>
          </w:p>
        </w:tc>
        <w:tc>
          <w:tcPr>
            <w:tcW w:w="555" w:type="pct"/>
            <w:tcBorders>
              <w:top w:val="single" w:color="auto" w:sz="8" w:space="0"/>
              <w:bottom w:val="single" w:color="auto" w:sz="8" w:space="0"/>
            </w:tcBorders>
            <w:shd w:val="clear" w:color="auto" w:fill="auto"/>
            <w:vAlign w:val="center"/>
          </w:tcPr>
          <w:p>
            <w:pPr>
              <w:pStyle w:val="178"/>
            </w:pPr>
            <w:r>
              <w:rPr>
                <w:rFonts w:hint="eastAsia"/>
              </w:rPr>
              <w:t>总杂质含量</w:t>
            </w:r>
          </w:p>
          <w:p>
            <w:pPr>
              <w:pStyle w:val="178"/>
            </w:pPr>
            <w:r>
              <w:rPr>
                <w:rFonts w:hint="eastAsia"/>
              </w:rPr>
              <w:t>g/100 g</w:t>
            </w:r>
          </w:p>
        </w:tc>
        <w:tc>
          <w:tcPr>
            <w:tcW w:w="555" w:type="pct"/>
            <w:tcBorders>
              <w:top w:val="single" w:color="auto" w:sz="8" w:space="0"/>
              <w:bottom w:val="single" w:color="auto" w:sz="8" w:space="0"/>
            </w:tcBorders>
            <w:shd w:val="clear" w:color="auto" w:fill="auto"/>
            <w:vAlign w:val="center"/>
          </w:tcPr>
          <w:p>
            <w:pPr>
              <w:pStyle w:val="178"/>
            </w:pPr>
            <w:r>
              <w:rPr>
                <w:rFonts w:hint="eastAsia"/>
              </w:rPr>
              <w:t>水分含量g/100 g</w:t>
            </w:r>
          </w:p>
        </w:tc>
        <w:tc>
          <w:tcPr>
            <w:tcW w:w="556" w:type="pct"/>
            <w:tcBorders>
              <w:top w:val="single" w:color="auto" w:sz="8" w:space="0"/>
              <w:bottom w:val="single" w:color="auto" w:sz="8" w:space="0"/>
            </w:tcBorders>
            <w:shd w:val="clear" w:color="auto" w:fill="auto"/>
            <w:vAlign w:val="center"/>
          </w:tcPr>
          <w:p>
            <w:pPr>
              <w:pStyle w:val="178"/>
            </w:pPr>
            <w:r>
              <w:rPr>
                <w:rFonts w:hint="eastAsia"/>
              </w:rPr>
              <w:t>总灰分</w:t>
            </w:r>
          </w:p>
          <w:p>
            <w:pPr>
              <w:pStyle w:val="178"/>
            </w:pPr>
            <w:r>
              <w:rPr>
                <w:rFonts w:hint="eastAsia"/>
              </w:rPr>
              <w:t>（干基）g/100 g</w:t>
            </w:r>
          </w:p>
        </w:tc>
        <w:tc>
          <w:tcPr>
            <w:tcW w:w="555" w:type="pct"/>
            <w:tcBorders>
              <w:top w:val="single" w:color="auto" w:sz="8" w:space="0"/>
              <w:bottom w:val="single" w:color="auto" w:sz="8" w:space="0"/>
            </w:tcBorders>
            <w:shd w:val="clear" w:color="auto" w:fill="auto"/>
            <w:vAlign w:val="center"/>
          </w:tcPr>
          <w:p>
            <w:pPr>
              <w:pStyle w:val="178"/>
            </w:pPr>
            <w:r>
              <w:rPr>
                <w:rFonts w:hint="eastAsia"/>
              </w:rPr>
              <w:t>挥发油含量</w:t>
            </w:r>
          </w:p>
          <w:p>
            <w:pPr>
              <w:pStyle w:val="178"/>
            </w:pPr>
            <w:r>
              <w:rPr>
                <w:rFonts w:hint="eastAsia"/>
              </w:rPr>
              <w:t>（干基）</w:t>
            </w:r>
          </w:p>
          <w:p>
            <w:pPr>
              <w:pStyle w:val="178"/>
            </w:pPr>
            <w:r>
              <w:rPr>
                <w:rFonts w:hint="eastAsia"/>
              </w:rPr>
              <w:t>mL/100 g</w:t>
            </w:r>
          </w:p>
        </w:tc>
        <w:tc>
          <w:tcPr>
            <w:tcW w:w="554" w:type="pct"/>
            <w:tcBorders>
              <w:top w:val="single" w:color="auto" w:sz="8" w:space="0"/>
              <w:bottom w:val="single" w:color="auto" w:sz="8" w:space="0"/>
            </w:tcBorders>
            <w:vAlign w:val="center"/>
          </w:tcPr>
          <w:p>
            <w:pPr>
              <w:pStyle w:val="178"/>
              <w:rPr>
                <w:rFonts w:hint="eastAsia"/>
              </w:rPr>
            </w:pPr>
            <w:r>
              <w:rPr>
                <w:rFonts w:hint="eastAsia"/>
              </w:rPr>
              <w:t>二氧化硫残留量</w:t>
            </w:r>
          </w:p>
          <w:p>
            <w:pPr>
              <w:pStyle w:val="178"/>
              <w:rPr>
                <w:rFonts w:hint="eastAsia"/>
              </w:rPr>
            </w:pPr>
            <w:r>
              <w:rPr>
                <w:rFonts w:hint="eastAsia"/>
              </w:rPr>
              <w:t>g/kg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pct"/>
            <w:vMerge w:val="restar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大红</w:t>
            </w:r>
          </w:p>
        </w:tc>
        <w:tc>
          <w:tcPr>
            <w:tcW w:w="557" w:type="pc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一级</w:t>
            </w:r>
          </w:p>
        </w:tc>
        <w:tc>
          <w:tcPr>
            <w:tcW w:w="556" w:type="pc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≤850</w:t>
            </w:r>
          </w:p>
        </w:tc>
        <w:tc>
          <w:tcPr>
            <w:tcW w:w="555" w:type="pc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≤6</w:t>
            </w:r>
            <w:r>
              <w:rPr>
                <w:rFonts w:hint="eastAsia" w:ascii="宋体" w:hAnsi="宋体"/>
                <w:sz w:val="18"/>
                <w:szCs w:val="18"/>
              </w:rPr>
              <w:t>.0</w:t>
            </w:r>
          </w:p>
        </w:tc>
        <w:tc>
          <w:tcPr>
            <w:tcW w:w="555" w:type="pc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≤0.5</w:t>
            </w:r>
          </w:p>
        </w:tc>
        <w:tc>
          <w:tcPr>
            <w:tcW w:w="555" w:type="pct"/>
            <w:vMerge w:val="restar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≤12.5</w:t>
            </w:r>
          </w:p>
        </w:tc>
        <w:tc>
          <w:tcPr>
            <w:tcW w:w="556" w:type="pct"/>
            <w:vMerge w:val="restar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≤3.0</w:t>
            </w:r>
          </w:p>
        </w:tc>
        <w:tc>
          <w:tcPr>
            <w:tcW w:w="555" w:type="pct"/>
            <w:vMerge w:val="restart"/>
            <w:tcBorders>
              <w:top w:val="single" w:color="auto" w:sz="8" w:space="0"/>
            </w:tcBorders>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≥7</w:t>
            </w:r>
            <w:r>
              <w:rPr>
                <w:rFonts w:ascii="宋体" w:hAnsi="宋体"/>
                <w:sz w:val="18"/>
                <w:szCs w:val="18"/>
              </w:rPr>
              <w:t>.5</w:t>
            </w:r>
          </w:p>
        </w:tc>
        <w:tc>
          <w:tcPr>
            <w:tcW w:w="554" w:type="pct"/>
            <w:vMerge w:val="restart"/>
            <w:tcBorders>
              <w:top w:val="single" w:color="auto" w:sz="8" w:space="0"/>
            </w:tcBorders>
            <w:vAlign w:val="center"/>
          </w:tcPr>
          <w:p>
            <w:pPr>
              <w:snapToGrid w:val="0"/>
              <w:spacing w:line="240" w:lineRule="auto"/>
              <w:jc w:val="center"/>
              <w:rPr>
                <w:rFonts w:hint="eastAsia" w:ascii="宋体" w:hAnsi="宋体"/>
                <w:sz w:val="18"/>
                <w:szCs w:val="18"/>
              </w:rPr>
            </w:pPr>
            <w:r>
              <w:rPr>
                <w:rFonts w:hint="eastAsia" w:ascii="宋体" w:hAnsi="宋体"/>
                <w:sz w:val="18"/>
                <w:szCs w:val="18"/>
              </w:rPr>
              <w:t>≤0.15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pct"/>
            <w:vMerge w:val="continue"/>
            <w:shd w:val="clear" w:color="auto" w:fill="auto"/>
            <w:vAlign w:val="center"/>
          </w:tcPr>
          <w:p>
            <w:pPr>
              <w:pStyle w:val="178"/>
            </w:pPr>
          </w:p>
        </w:tc>
        <w:tc>
          <w:tcPr>
            <w:tcW w:w="557" w:type="pct"/>
            <w:shd w:val="clear" w:color="auto" w:fill="auto"/>
            <w:vAlign w:val="center"/>
          </w:tcPr>
          <w:p>
            <w:pPr>
              <w:pStyle w:val="178"/>
            </w:pPr>
            <w:r>
              <w:rPr>
                <w:rFonts w:hint="eastAsia" w:hAnsi="宋体"/>
                <w:szCs w:val="18"/>
              </w:rPr>
              <w:t>二级</w:t>
            </w:r>
          </w:p>
        </w:tc>
        <w:tc>
          <w:tcPr>
            <w:tcW w:w="556" w:type="pct"/>
            <w:shd w:val="clear" w:color="auto" w:fill="auto"/>
            <w:vAlign w:val="center"/>
          </w:tcPr>
          <w:p>
            <w:pPr>
              <w:pStyle w:val="178"/>
            </w:pPr>
            <w:r>
              <w:rPr>
                <w:rFonts w:hint="eastAsia" w:hAnsi="宋体"/>
                <w:szCs w:val="18"/>
              </w:rPr>
              <w:t>850～</w:t>
            </w:r>
            <w:r>
              <w:rPr>
                <w:rFonts w:hAnsi="宋体"/>
                <w:szCs w:val="18"/>
              </w:rPr>
              <w:t>1200</w:t>
            </w:r>
          </w:p>
        </w:tc>
        <w:tc>
          <w:tcPr>
            <w:tcW w:w="555" w:type="pct"/>
            <w:shd w:val="clear" w:color="auto" w:fill="auto"/>
            <w:vAlign w:val="center"/>
          </w:tcPr>
          <w:p>
            <w:pPr>
              <w:pStyle w:val="178"/>
            </w:pPr>
            <w:r>
              <w:rPr>
                <w:rFonts w:hint="eastAsia" w:hAnsi="宋体"/>
                <w:szCs w:val="18"/>
              </w:rPr>
              <w:t>≤10.0</w:t>
            </w:r>
          </w:p>
        </w:tc>
        <w:tc>
          <w:tcPr>
            <w:tcW w:w="555" w:type="pct"/>
            <w:shd w:val="clear" w:color="auto" w:fill="auto"/>
            <w:vAlign w:val="center"/>
          </w:tcPr>
          <w:p>
            <w:pPr>
              <w:pStyle w:val="178"/>
            </w:pPr>
            <w:r>
              <w:rPr>
                <w:rFonts w:hAnsi="宋体"/>
                <w:szCs w:val="18"/>
              </w:rPr>
              <w:t>≤1</w:t>
            </w:r>
            <w:r>
              <w:rPr>
                <w:rFonts w:hint="eastAsia" w:hAnsi="宋体"/>
                <w:szCs w:val="18"/>
              </w:rPr>
              <w:t>.0</w:t>
            </w:r>
          </w:p>
        </w:tc>
        <w:tc>
          <w:tcPr>
            <w:tcW w:w="555" w:type="pct"/>
            <w:vMerge w:val="continue"/>
            <w:shd w:val="clear" w:color="auto" w:fill="auto"/>
            <w:vAlign w:val="center"/>
          </w:tcPr>
          <w:p>
            <w:pPr>
              <w:pStyle w:val="178"/>
            </w:pPr>
          </w:p>
        </w:tc>
        <w:tc>
          <w:tcPr>
            <w:tcW w:w="556" w:type="pct"/>
            <w:vMerge w:val="continue"/>
            <w:shd w:val="clear" w:color="auto" w:fill="auto"/>
            <w:vAlign w:val="center"/>
          </w:tcPr>
          <w:p>
            <w:pPr>
              <w:pStyle w:val="178"/>
            </w:pPr>
          </w:p>
        </w:tc>
        <w:tc>
          <w:tcPr>
            <w:tcW w:w="555" w:type="pct"/>
            <w:vMerge w:val="continue"/>
            <w:shd w:val="clear" w:color="auto" w:fill="auto"/>
            <w:vAlign w:val="center"/>
          </w:tcPr>
          <w:p>
            <w:pPr>
              <w:pStyle w:val="178"/>
            </w:pPr>
          </w:p>
        </w:tc>
        <w:tc>
          <w:tcPr>
            <w:tcW w:w="554" w:type="pct"/>
            <w:vMerge w:val="continue"/>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pct"/>
            <w:vMerge w:val="continue"/>
            <w:shd w:val="clear" w:color="auto" w:fill="auto"/>
            <w:vAlign w:val="center"/>
          </w:tcPr>
          <w:p>
            <w:pPr>
              <w:pStyle w:val="178"/>
            </w:pPr>
          </w:p>
        </w:tc>
        <w:tc>
          <w:tcPr>
            <w:tcW w:w="557" w:type="pct"/>
            <w:shd w:val="clear" w:color="auto" w:fill="auto"/>
            <w:vAlign w:val="center"/>
          </w:tcPr>
          <w:p>
            <w:pPr>
              <w:pStyle w:val="178"/>
            </w:pPr>
            <w:r>
              <w:rPr>
                <w:rFonts w:hint="eastAsia" w:hAnsi="宋体"/>
                <w:szCs w:val="18"/>
              </w:rPr>
              <w:t>三级</w:t>
            </w:r>
          </w:p>
        </w:tc>
        <w:tc>
          <w:tcPr>
            <w:tcW w:w="556" w:type="pct"/>
            <w:shd w:val="clear" w:color="auto" w:fill="auto"/>
            <w:vAlign w:val="center"/>
          </w:tcPr>
          <w:p>
            <w:pPr>
              <w:pStyle w:val="178"/>
            </w:pPr>
            <w:r>
              <w:rPr>
                <w:rFonts w:hAnsi="宋体"/>
                <w:szCs w:val="18"/>
              </w:rPr>
              <w:t>不限</w:t>
            </w:r>
          </w:p>
        </w:tc>
        <w:tc>
          <w:tcPr>
            <w:tcW w:w="555" w:type="pct"/>
            <w:shd w:val="clear" w:color="auto" w:fill="auto"/>
            <w:vAlign w:val="center"/>
          </w:tcPr>
          <w:p>
            <w:pPr>
              <w:pStyle w:val="178"/>
            </w:pPr>
            <w:r>
              <w:rPr>
                <w:rFonts w:hAnsi="宋体"/>
                <w:szCs w:val="18"/>
              </w:rPr>
              <w:t>≤20</w:t>
            </w:r>
            <w:r>
              <w:rPr>
                <w:rFonts w:hint="eastAsia" w:hAnsi="宋体"/>
                <w:szCs w:val="18"/>
              </w:rPr>
              <w:t>.0</w:t>
            </w:r>
          </w:p>
        </w:tc>
        <w:tc>
          <w:tcPr>
            <w:tcW w:w="555" w:type="pct"/>
            <w:shd w:val="clear" w:color="auto" w:fill="auto"/>
            <w:vAlign w:val="center"/>
          </w:tcPr>
          <w:p>
            <w:pPr>
              <w:pStyle w:val="178"/>
            </w:pPr>
            <w:r>
              <w:rPr>
                <w:rFonts w:hAnsi="宋体"/>
                <w:szCs w:val="18"/>
              </w:rPr>
              <w:t>≤1.5</w:t>
            </w:r>
          </w:p>
        </w:tc>
        <w:tc>
          <w:tcPr>
            <w:tcW w:w="555" w:type="pct"/>
            <w:vMerge w:val="continue"/>
            <w:shd w:val="clear" w:color="auto" w:fill="auto"/>
            <w:vAlign w:val="center"/>
          </w:tcPr>
          <w:p>
            <w:pPr>
              <w:pStyle w:val="178"/>
            </w:pPr>
          </w:p>
        </w:tc>
        <w:tc>
          <w:tcPr>
            <w:tcW w:w="556" w:type="pct"/>
            <w:vMerge w:val="continue"/>
            <w:shd w:val="clear" w:color="auto" w:fill="auto"/>
            <w:vAlign w:val="center"/>
          </w:tcPr>
          <w:p>
            <w:pPr>
              <w:pStyle w:val="178"/>
            </w:pPr>
          </w:p>
        </w:tc>
        <w:tc>
          <w:tcPr>
            <w:tcW w:w="555" w:type="pct"/>
            <w:vMerge w:val="continue"/>
            <w:shd w:val="clear" w:color="auto" w:fill="auto"/>
            <w:vAlign w:val="center"/>
          </w:tcPr>
          <w:p>
            <w:pPr>
              <w:pStyle w:val="178"/>
            </w:pPr>
          </w:p>
        </w:tc>
        <w:tc>
          <w:tcPr>
            <w:tcW w:w="554" w:type="pct"/>
            <w:vMerge w:val="continue"/>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pct"/>
            <w:vMerge w:val="restar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角花</w:t>
            </w:r>
          </w:p>
        </w:tc>
        <w:tc>
          <w:tcPr>
            <w:tcW w:w="557" w:type="pc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一级</w:t>
            </w:r>
          </w:p>
        </w:tc>
        <w:tc>
          <w:tcPr>
            <w:tcW w:w="556" w:type="pc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≤1200</w:t>
            </w:r>
          </w:p>
        </w:tc>
        <w:tc>
          <w:tcPr>
            <w:tcW w:w="555" w:type="pc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≤3</w:t>
            </w:r>
            <w:r>
              <w:rPr>
                <w:rFonts w:hint="eastAsia" w:ascii="宋体" w:hAnsi="宋体"/>
                <w:sz w:val="18"/>
                <w:szCs w:val="18"/>
              </w:rPr>
              <w:t>.0</w:t>
            </w:r>
          </w:p>
        </w:tc>
        <w:tc>
          <w:tcPr>
            <w:tcW w:w="555" w:type="pc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≤1</w:t>
            </w:r>
            <w:r>
              <w:rPr>
                <w:rFonts w:hint="eastAsia" w:ascii="宋体" w:hAnsi="宋体"/>
                <w:sz w:val="18"/>
                <w:szCs w:val="18"/>
              </w:rPr>
              <w:t>.0</w:t>
            </w:r>
          </w:p>
        </w:tc>
        <w:tc>
          <w:tcPr>
            <w:tcW w:w="555" w:type="pct"/>
            <w:vMerge w:val="continue"/>
            <w:shd w:val="clear" w:color="auto" w:fill="auto"/>
            <w:vAlign w:val="center"/>
          </w:tcPr>
          <w:p>
            <w:pPr>
              <w:pStyle w:val="178"/>
            </w:pPr>
          </w:p>
        </w:tc>
        <w:tc>
          <w:tcPr>
            <w:tcW w:w="556" w:type="pct"/>
            <w:vMerge w:val="continue"/>
            <w:shd w:val="clear" w:color="auto" w:fill="auto"/>
            <w:vAlign w:val="center"/>
          </w:tcPr>
          <w:p>
            <w:pPr>
              <w:pStyle w:val="178"/>
            </w:pPr>
          </w:p>
        </w:tc>
        <w:tc>
          <w:tcPr>
            <w:tcW w:w="555" w:type="pct"/>
            <w:vMerge w:val="continue"/>
            <w:shd w:val="clear" w:color="auto" w:fill="auto"/>
            <w:vAlign w:val="center"/>
          </w:tcPr>
          <w:p>
            <w:pPr>
              <w:pStyle w:val="178"/>
            </w:pPr>
          </w:p>
        </w:tc>
        <w:tc>
          <w:tcPr>
            <w:tcW w:w="554" w:type="pct"/>
            <w:vMerge w:val="continue"/>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pct"/>
            <w:vMerge w:val="continue"/>
            <w:shd w:val="clear" w:color="auto" w:fill="auto"/>
            <w:vAlign w:val="center"/>
          </w:tcPr>
          <w:p>
            <w:pPr>
              <w:pStyle w:val="178"/>
            </w:pPr>
          </w:p>
        </w:tc>
        <w:tc>
          <w:tcPr>
            <w:tcW w:w="557" w:type="pct"/>
            <w:shd w:val="clear" w:color="auto" w:fill="auto"/>
            <w:vAlign w:val="center"/>
          </w:tcPr>
          <w:p>
            <w:pPr>
              <w:pStyle w:val="178"/>
            </w:pPr>
            <w:r>
              <w:rPr>
                <w:rFonts w:hint="eastAsia" w:hAnsi="宋体"/>
                <w:szCs w:val="18"/>
              </w:rPr>
              <w:t>二级</w:t>
            </w:r>
          </w:p>
        </w:tc>
        <w:tc>
          <w:tcPr>
            <w:tcW w:w="556" w:type="pct"/>
            <w:shd w:val="clear" w:color="auto" w:fill="auto"/>
            <w:vAlign w:val="center"/>
          </w:tcPr>
          <w:p>
            <w:pPr>
              <w:pStyle w:val="178"/>
            </w:pPr>
            <w:r>
              <w:rPr>
                <w:rFonts w:hAnsi="宋体"/>
                <w:szCs w:val="18"/>
              </w:rPr>
              <w:t>不限</w:t>
            </w:r>
          </w:p>
        </w:tc>
        <w:tc>
          <w:tcPr>
            <w:tcW w:w="555" w:type="pct"/>
            <w:shd w:val="clear" w:color="auto" w:fill="auto"/>
            <w:vAlign w:val="center"/>
          </w:tcPr>
          <w:p>
            <w:pPr>
              <w:pStyle w:val="178"/>
            </w:pPr>
            <w:r>
              <w:rPr>
                <w:rFonts w:hAnsi="宋体"/>
                <w:szCs w:val="18"/>
              </w:rPr>
              <w:t>≤15</w:t>
            </w:r>
            <w:r>
              <w:rPr>
                <w:rFonts w:hint="eastAsia" w:hAnsi="宋体"/>
                <w:szCs w:val="18"/>
              </w:rPr>
              <w:t>.0</w:t>
            </w:r>
          </w:p>
        </w:tc>
        <w:tc>
          <w:tcPr>
            <w:tcW w:w="555" w:type="pct"/>
            <w:shd w:val="clear" w:color="auto" w:fill="auto"/>
            <w:vAlign w:val="center"/>
          </w:tcPr>
          <w:p>
            <w:pPr>
              <w:pStyle w:val="178"/>
            </w:pPr>
            <w:r>
              <w:rPr>
                <w:rFonts w:hAnsi="宋体"/>
                <w:szCs w:val="18"/>
              </w:rPr>
              <w:t>≤1.5</w:t>
            </w:r>
          </w:p>
        </w:tc>
        <w:tc>
          <w:tcPr>
            <w:tcW w:w="555" w:type="pct"/>
            <w:vMerge w:val="continue"/>
            <w:shd w:val="clear" w:color="auto" w:fill="auto"/>
            <w:vAlign w:val="center"/>
          </w:tcPr>
          <w:p>
            <w:pPr>
              <w:pStyle w:val="178"/>
            </w:pPr>
          </w:p>
        </w:tc>
        <w:tc>
          <w:tcPr>
            <w:tcW w:w="556" w:type="pct"/>
            <w:vMerge w:val="continue"/>
            <w:shd w:val="clear" w:color="auto" w:fill="auto"/>
            <w:vAlign w:val="center"/>
          </w:tcPr>
          <w:p>
            <w:pPr>
              <w:pStyle w:val="178"/>
            </w:pPr>
          </w:p>
        </w:tc>
        <w:tc>
          <w:tcPr>
            <w:tcW w:w="555" w:type="pct"/>
            <w:vMerge w:val="continue"/>
            <w:shd w:val="clear" w:color="auto" w:fill="auto"/>
            <w:vAlign w:val="center"/>
          </w:tcPr>
          <w:p>
            <w:pPr>
              <w:pStyle w:val="178"/>
            </w:pPr>
          </w:p>
        </w:tc>
        <w:tc>
          <w:tcPr>
            <w:tcW w:w="554" w:type="pct"/>
            <w:vMerge w:val="continue"/>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6" w:type="pc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干枝</w:t>
            </w:r>
          </w:p>
        </w:tc>
        <w:tc>
          <w:tcPr>
            <w:tcW w:w="557" w:type="pc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统级</w:t>
            </w:r>
          </w:p>
        </w:tc>
        <w:tc>
          <w:tcPr>
            <w:tcW w:w="556" w:type="pc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不限</w:t>
            </w:r>
          </w:p>
        </w:tc>
        <w:tc>
          <w:tcPr>
            <w:tcW w:w="555" w:type="pc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不限</w:t>
            </w:r>
          </w:p>
        </w:tc>
        <w:tc>
          <w:tcPr>
            <w:tcW w:w="555" w:type="pc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≤2</w:t>
            </w:r>
            <w:r>
              <w:rPr>
                <w:rFonts w:hint="eastAsia" w:ascii="宋体" w:hAnsi="宋体"/>
                <w:sz w:val="18"/>
                <w:szCs w:val="18"/>
              </w:rPr>
              <w:t>.0</w:t>
            </w:r>
          </w:p>
        </w:tc>
        <w:tc>
          <w:tcPr>
            <w:tcW w:w="555" w:type="pct"/>
            <w:vMerge w:val="continue"/>
            <w:shd w:val="clear" w:color="auto" w:fill="auto"/>
            <w:vAlign w:val="center"/>
          </w:tcPr>
          <w:p>
            <w:pPr>
              <w:pStyle w:val="178"/>
            </w:pPr>
          </w:p>
        </w:tc>
        <w:tc>
          <w:tcPr>
            <w:tcW w:w="556" w:type="pct"/>
            <w:vMerge w:val="continue"/>
            <w:shd w:val="clear" w:color="auto" w:fill="auto"/>
            <w:vAlign w:val="center"/>
          </w:tcPr>
          <w:p>
            <w:pPr>
              <w:pStyle w:val="178"/>
            </w:pPr>
          </w:p>
        </w:tc>
        <w:tc>
          <w:tcPr>
            <w:tcW w:w="555" w:type="pct"/>
            <w:vMerge w:val="continue"/>
            <w:shd w:val="clear" w:color="auto" w:fill="auto"/>
            <w:vAlign w:val="center"/>
          </w:tcPr>
          <w:p>
            <w:pPr>
              <w:pStyle w:val="178"/>
            </w:pPr>
          </w:p>
        </w:tc>
        <w:tc>
          <w:tcPr>
            <w:tcW w:w="554" w:type="pct"/>
            <w:vMerge w:val="continue"/>
          </w:tcPr>
          <w:p>
            <w:pPr>
              <w:pStyle w:val="178"/>
            </w:pPr>
          </w:p>
        </w:tc>
      </w:tr>
    </w:tbl>
    <w:p>
      <w:pPr>
        <w:pStyle w:val="104"/>
        <w:spacing w:before="240" w:after="240"/>
      </w:pPr>
      <w:r>
        <w:rPr>
          <w:rFonts w:hint="eastAsia"/>
        </w:rPr>
        <w:t>检验方法</w:t>
      </w:r>
    </w:p>
    <w:p>
      <w:pPr>
        <w:pStyle w:val="105"/>
        <w:spacing w:before="120" w:after="120"/>
      </w:pPr>
      <w:r>
        <w:rPr>
          <w:rFonts w:hint="eastAsia"/>
        </w:rPr>
        <w:t>感官指标</w:t>
      </w:r>
    </w:p>
    <w:p>
      <w:pPr>
        <w:pStyle w:val="65"/>
        <w:spacing w:before="120" w:after="120"/>
      </w:pPr>
      <w:r>
        <w:rPr>
          <w:rFonts w:hint="eastAsia"/>
        </w:rPr>
        <w:t>颜色</w:t>
      </w:r>
    </w:p>
    <w:p>
      <w:pPr>
        <w:pStyle w:val="230"/>
      </w:pPr>
      <w:r>
        <w:rPr>
          <w:rFonts w:hint="eastAsia"/>
        </w:rPr>
        <w:t>抽取适量样品平放于白纸上，在明亮光线下用目测法观察鉴定。</w:t>
      </w:r>
    </w:p>
    <w:p>
      <w:pPr>
        <w:pStyle w:val="65"/>
        <w:spacing w:before="120" w:after="120"/>
      </w:pPr>
      <w:r>
        <w:rPr>
          <w:rFonts w:hint="eastAsia"/>
        </w:rPr>
        <w:t>气味</w:t>
      </w:r>
    </w:p>
    <w:p>
      <w:pPr>
        <w:pStyle w:val="230"/>
      </w:pPr>
      <w:r>
        <w:rPr>
          <w:rFonts w:hint="eastAsia"/>
        </w:rPr>
        <w:t>鼻嗅辨产品香气浓淡，有无异味。</w:t>
      </w:r>
    </w:p>
    <w:p>
      <w:pPr>
        <w:pStyle w:val="65"/>
        <w:spacing w:before="120" w:after="120"/>
      </w:pPr>
      <w:r>
        <w:rPr>
          <w:rFonts w:hint="eastAsia"/>
        </w:rPr>
        <w:t>干度</w:t>
      </w:r>
    </w:p>
    <w:p>
      <w:pPr>
        <w:pStyle w:val="230"/>
      </w:pPr>
      <w:r>
        <w:rPr>
          <w:rFonts w:hint="eastAsia"/>
        </w:rPr>
        <w:t>手握有刺感，折测声脆为干，手感柔软为潮。</w:t>
      </w:r>
    </w:p>
    <w:p>
      <w:pPr>
        <w:pStyle w:val="105"/>
        <w:spacing w:before="120" w:after="120"/>
      </w:pPr>
      <w:r>
        <w:rPr>
          <w:rFonts w:hint="eastAsia"/>
        </w:rPr>
        <w:t>理化指标</w:t>
      </w:r>
    </w:p>
    <w:p>
      <w:pPr>
        <w:pStyle w:val="65"/>
        <w:spacing w:before="120" w:after="120"/>
      </w:pPr>
      <w:r>
        <w:rPr>
          <w:rFonts w:hint="eastAsia"/>
        </w:rPr>
        <w:t>果体大小</w:t>
      </w:r>
    </w:p>
    <w:p>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用天平称取八角1000</w:t>
      </w:r>
      <w:r>
        <w:rPr>
          <w:rFonts w:hint="eastAsia" w:ascii="宋体" w:hAnsi="宋体"/>
          <w:kern w:val="0"/>
          <w:szCs w:val="20"/>
          <w:vertAlign w:val="superscript"/>
        </w:rPr>
        <w:t xml:space="preserve"> </w:t>
      </w:r>
      <w:r>
        <w:rPr>
          <w:rFonts w:hint="eastAsia" w:ascii="宋体" w:hAnsi="宋体"/>
          <w:kern w:val="0"/>
          <w:szCs w:val="20"/>
        </w:rPr>
        <w:t>g样品（精确至0.1</w:t>
      </w:r>
      <w:r>
        <w:rPr>
          <w:rFonts w:hint="eastAsia" w:ascii="宋体" w:hAnsi="宋体"/>
          <w:kern w:val="0"/>
          <w:szCs w:val="20"/>
          <w:vertAlign w:val="superscript"/>
        </w:rPr>
        <w:t xml:space="preserve"> </w:t>
      </w:r>
      <w:r>
        <w:rPr>
          <w:rFonts w:hint="eastAsia" w:ascii="宋体" w:hAnsi="宋体"/>
          <w:kern w:val="0"/>
          <w:szCs w:val="20"/>
        </w:rPr>
        <w:t>g），数计果数，缺瓣的凑足八瓣为一果，不足八瓣的四舍五入。</w:t>
      </w:r>
    </w:p>
    <w:p>
      <w:pPr>
        <w:pStyle w:val="65"/>
        <w:spacing w:before="120" w:after="120"/>
      </w:pPr>
      <w:r>
        <w:rPr>
          <w:rFonts w:hint="eastAsia"/>
        </w:rPr>
        <w:t>碎口率</w:t>
      </w:r>
    </w:p>
    <w:p>
      <w:pPr>
        <w:pStyle w:val="230"/>
      </w:pPr>
      <w:r>
        <w:rPr>
          <w:rFonts w:hint="eastAsia"/>
        </w:rPr>
        <w:t>用天平称取八角1000</w:t>
      </w:r>
      <w:r>
        <w:rPr>
          <w:rFonts w:hint="eastAsia" w:hAnsi="宋体"/>
          <w:vertAlign w:val="superscript"/>
        </w:rPr>
        <w:t xml:space="preserve"> </w:t>
      </w:r>
      <w:r>
        <w:rPr>
          <w:rFonts w:hint="eastAsia"/>
        </w:rPr>
        <w:t>g样品（精确至0.1</w:t>
      </w:r>
      <w:r>
        <w:rPr>
          <w:rFonts w:hint="eastAsia" w:hAnsi="宋体"/>
          <w:vertAlign w:val="superscript"/>
        </w:rPr>
        <w:t xml:space="preserve"> </w:t>
      </w:r>
      <w:r>
        <w:rPr>
          <w:rFonts w:hint="eastAsia"/>
        </w:rPr>
        <w:t>g），然后用镊子将1</w:t>
      </w:r>
      <w:r>
        <w:rPr>
          <w:rFonts w:asciiTheme="minorEastAsia" w:hAnsiTheme="minorEastAsia"/>
          <w:bCs/>
          <w:sz w:val="24"/>
          <w:szCs w:val="24"/>
        </w:rPr>
        <w:t>～</w:t>
      </w:r>
      <w:r>
        <w:rPr>
          <w:rFonts w:hint="eastAsia"/>
        </w:rPr>
        <w:t>4瓣碎体选出，称其质量，按式（1）计算碎口率，数值按%表示：</w:t>
      </w:r>
    </w:p>
    <w:p>
      <w:pPr>
        <w:pStyle w:val="230"/>
        <w:spacing w:line="360" w:lineRule="auto"/>
        <w:ind w:firstLine="2835" w:firstLineChars="1350"/>
      </w:pPr>
      <w:r>
        <w:rPr>
          <w:rFonts w:hint="eastAsia" w:hAnsi="宋体"/>
        </w:rPr>
        <w:t xml:space="preserve">S = </w:t>
      </w:r>
      <w:r>
        <w:rPr>
          <w:rFonts w:hAnsi="宋体"/>
          <w:position w:val="-30"/>
        </w:rPr>
        <w:object>
          <v:shape id="_x0000_i1025" o:spt="75" type="#_x0000_t75" style="height:36pt;width:57pt;" o:ole="t" filled="f" coordsize="21600,21600">
            <v:path/>
            <v:fill on="f" focussize="0,0"/>
            <v:stroke/>
            <v:imagedata r:id="rId23" o:title=""/>
            <o:lock v:ext="edit" aspectratio="t"/>
            <w10:wrap type="none"/>
            <w10:anchorlock/>
          </v:shape>
          <o:OLEObject Type="Embed" ProgID="Equation.3" ShapeID="_x0000_i1025" DrawAspect="Content" ObjectID="_1468075725" r:id="rId22">
            <o:LockedField>false</o:LockedField>
          </o:OLEObject>
        </w:object>
      </w:r>
      <w:r>
        <w:rPr>
          <w:rFonts w:hint="eastAsia"/>
        </w:rPr>
        <w:t>………………………………………………………（1）</w:t>
      </w:r>
    </w:p>
    <w:p>
      <w:pPr>
        <w:pStyle w:val="230"/>
      </w:pPr>
      <w:r>
        <w:rPr>
          <w:rFonts w:hint="eastAsia"/>
        </w:rPr>
        <w:t>式中：</w:t>
      </w:r>
    </w:p>
    <w:p>
      <w:pPr>
        <w:pStyle w:val="230"/>
      </w:pPr>
      <w:r>
        <w:rPr>
          <w:rFonts w:hint="eastAsia"/>
        </w:rPr>
        <w:t>m</w:t>
      </w:r>
      <w:r>
        <w:rPr>
          <w:rFonts w:hint="eastAsia"/>
          <w:vertAlign w:val="subscript"/>
        </w:rPr>
        <w:t>1</w:t>
      </w:r>
      <w:r>
        <w:rPr>
          <w:rFonts w:hint="eastAsia"/>
        </w:rPr>
        <w:t>—碎口质量，单位为克（g）；</w:t>
      </w:r>
    </w:p>
    <w:p>
      <w:pPr>
        <w:pStyle w:val="230"/>
      </w:pPr>
      <w:r>
        <w:rPr>
          <w:rFonts w:hint="eastAsia"/>
        </w:rPr>
        <w:t>m</w:t>
      </w:r>
      <w:r>
        <w:rPr>
          <w:rFonts w:hint="eastAsia"/>
          <w:vertAlign w:val="subscript"/>
        </w:rPr>
        <w:t>2</w:t>
      </w:r>
      <w:r>
        <w:rPr>
          <w:rFonts w:hint="eastAsia"/>
        </w:rPr>
        <w:t>—试样质量，单位为克（g）。</w:t>
      </w:r>
    </w:p>
    <w:p>
      <w:pPr>
        <w:pStyle w:val="65"/>
        <w:spacing w:before="120" w:after="120"/>
      </w:pPr>
      <w:r>
        <w:rPr>
          <w:rFonts w:hint="eastAsia"/>
        </w:rPr>
        <w:t>总杂质含量测定</w:t>
      </w:r>
    </w:p>
    <w:p>
      <w:pPr>
        <w:pStyle w:val="230"/>
      </w:pPr>
      <w:r>
        <w:rPr>
          <w:rFonts w:hint="eastAsia"/>
        </w:rPr>
        <w:t>总杂质含量测定按GB/T12729.5的规定执行。</w:t>
      </w:r>
    </w:p>
    <w:p>
      <w:pPr>
        <w:pStyle w:val="65"/>
        <w:spacing w:before="120" w:after="120"/>
      </w:pPr>
      <w:r>
        <w:rPr>
          <w:rFonts w:hint="eastAsia"/>
        </w:rPr>
        <w:t>水分含量测定</w:t>
      </w:r>
    </w:p>
    <w:p>
      <w:pPr>
        <w:pStyle w:val="230"/>
      </w:pPr>
      <w:r>
        <w:rPr>
          <w:rFonts w:hint="eastAsia"/>
        </w:rPr>
        <w:t>水分含量测定按GB5009.3蒸馏法的规定执行。</w:t>
      </w:r>
    </w:p>
    <w:p>
      <w:pPr>
        <w:pStyle w:val="65"/>
        <w:spacing w:before="120" w:after="120"/>
      </w:pPr>
      <w:r>
        <w:rPr>
          <w:rFonts w:hint="eastAsia"/>
        </w:rPr>
        <w:t>总灰分测定</w:t>
      </w:r>
    </w:p>
    <w:p>
      <w:pPr>
        <w:pStyle w:val="230"/>
      </w:pPr>
      <w:r>
        <w:rPr>
          <w:rFonts w:hint="eastAsia"/>
        </w:rPr>
        <w:t>总灰分测定按GB 5009.4的规定执行。</w:t>
      </w:r>
    </w:p>
    <w:p>
      <w:pPr>
        <w:pStyle w:val="65"/>
        <w:spacing w:before="120" w:after="120"/>
      </w:pPr>
      <w:r>
        <w:rPr>
          <w:rFonts w:hint="eastAsia"/>
        </w:rPr>
        <w:t>挥发油含量测定</w:t>
      </w:r>
    </w:p>
    <w:p>
      <w:pPr>
        <w:pStyle w:val="230"/>
        <w:rPr>
          <w:rFonts w:hint="eastAsia"/>
        </w:rPr>
      </w:pPr>
      <w:r>
        <w:rPr>
          <w:rFonts w:hint="eastAsia"/>
        </w:rPr>
        <w:t>挥发油含量测定按GB/T 30385的规定执行。</w:t>
      </w:r>
    </w:p>
    <w:p>
      <w:pPr>
        <w:pStyle w:val="65"/>
        <w:spacing w:before="120" w:after="120"/>
        <w:rPr>
          <w:rFonts w:hint="eastAsia"/>
        </w:rPr>
      </w:pPr>
      <w:r>
        <w:t>二氧化硫残留量测定</w:t>
      </w:r>
    </w:p>
    <w:p>
      <w:pPr>
        <w:pStyle w:val="56"/>
        <w:ind w:firstLine="420"/>
      </w:pPr>
      <w:r>
        <w:rPr>
          <w:rFonts w:hint="eastAsia"/>
          <w:bCs/>
        </w:rPr>
        <w:t>二氧化硫残留量测定按GB 5009.34的规定执行。</w:t>
      </w:r>
    </w:p>
    <w:p>
      <w:pPr>
        <w:pStyle w:val="104"/>
        <w:spacing w:before="240" w:after="240"/>
      </w:pPr>
      <w:r>
        <w:rPr>
          <w:rFonts w:hint="eastAsia"/>
        </w:rPr>
        <w:t>检验规则</w:t>
      </w:r>
    </w:p>
    <w:p>
      <w:pPr>
        <w:pStyle w:val="105"/>
        <w:spacing w:before="120" w:after="120"/>
      </w:pPr>
      <w:r>
        <w:rPr>
          <w:rFonts w:hint="eastAsia"/>
        </w:rPr>
        <w:t>检验批次</w:t>
      </w:r>
    </w:p>
    <w:p>
      <w:pPr>
        <w:pStyle w:val="230"/>
      </w:pPr>
      <w:r>
        <w:rPr>
          <w:rFonts w:hint="eastAsia"/>
        </w:rPr>
        <w:t>同产地、同时期、同类型的产品为一个检验批次。</w:t>
      </w:r>
    </w:p>
    <w:p>
      <w:pPr>
        <w:pStyle w:val="105"/>
        <w:spacing w:before="120" w:after="120"/>
      </w:pPr>
      <w:r>
        <w:rPr>
          <w:rFonts w:hint="eastAsia"/>
        </w:rPr>
        <w:t>抽样</w:t>
      </w:r>
    </w:p>
    <w:p>
      <w:pPr>
        <w:pStyle w:val="230"/>
      </w:pPr>
      <w:r>
        <w:rPr>
          <w:rFonts w:hint="eastAsia"/>
        </w:rPr>
        <w:t>按GB/T 12729.2的规定执行。</w:t>
      </w:r>
    </w:p>
    <w:p>
      <w:pPr>
        <w:pStyle w:val="105"/>
        <w:spacing w:before="120" w:after="120"/>
      </w:pPr>
      <w:r>
        <w:rPr>
          <w:rFonts w:hint="eastAsia"/>
        </w:rPr>
        <w:t>检验分类</w:t>
      </w:r>
    </w:p>
    <w:p>
      <w:pPr>
        <w:pStyle w:val="65"/>
        <w:spacing w:before="120" w:after="120"/>
      </w:pPr>
      <w:r>
        <w:rPr>
          <w:rFonts w:hint="eastAsia"/>
        </w:rPr>
        <w:t>交收检验</w:t>
      </w:r>
    </w:p>
    <w:p>
      <w:pPr>
        <w:pStyle w:val="230"/>
      </w:pPr>
      <w:r>
        <w:rPr>
          <w:rFonts w:hint="eastAsia"/>
        </w:rPr>
        <w:t>每批产品交收前，应进行交收检验。交收检验项目包括等级规格、感官、标志和包装。检验合格后并附合格证方可交收。</w:t>
      </w:r>
    </w:p>
    <w:p>
      <w:pPr>
        <w:pStyle w:val="65"/>
        <w:spacing w:before="120" w:after="120"/>
      </w:pPr>
      <w:r>
        <w:rPr>
          <w:rFonts w:hint="eastAsia"/>
        </w:rPr>
        <w:t>型式检验</w:t>
      </w:r>
    </w:p>
    <w:p>
      <w:pPr>
        <w:pStyle w:val="230"/>
      </w:pPr>
      <w:r>
        <w:rPr>
          <w:rFonts w:hint="eastAsia"/>
        </w:rPr>
        <w:t>型式检验项目为第4章规定的所有项目。有下列情况之一时，应进行型式检验：</w:t>
      </w:r>
    </w:p>
    <w:p>
      <w:pPr>
        <w:pStyle w:val="174"/>
      </w:pPr>
      <w:r>
        <w:rPr>
          <w:rFonts w:hint="eastAsia"/>
        </w:rPr>
        <w:t>正常生产过程中，每季度进行一次；</w:t>
      </w:r>
    </w:p>
    <w:p>
      <w:pPr>
        <w:pStyle w:val="174"/>
      </w:pPr>
      <w:r>
        <w:t>长期停产后恢复生产时</w:t>
      </w:r>
      <w:r>
        <w:rPr>
          <w:rFonts w:hint="eastAsia"/>
        </w:rPr>
        <w:t>；</w:t>
      </w:r>
    </w:p>
    <w:p>
      <w:pPr>
        <w:pStyle w:val="174"/>
      </w:pPr>
      <w:r>
        <w:rPr>
          <w:rFonts w:hint="eastAsia"/>
        </w:rPr>
        <w:t>当原料、工艺有较大改变，可能影响产品质量时；</w:t>
      </w:r>
    </w:p>
    <w:p>
      <w:pPr>
        <w:pStyle w:val="174"/>
      </w:pPr>
      <w:r>
        <w:t>出厂检验结果与上次型式检验有较大差异时</w:t>
      </w:r>
      <w:r>
        <w:rPr>
          <w:rFonts w:hint="eastAsia"/>
        </w:rPr>
        <w:t>；</w:t>
      </w:r>
    </w:p>
    <w:p>
      <w:pPr>
        <w:pStyle w:val="174"/>
      </w:pPr>
      <w:r>
        <w:rPr>
          <w:rFonts w:hint="eastAsia"/>
        </w:rPr>
        <w:t>国家质量监督机构或行业主管部门提出型式检验要求时；</w:t>
      </w:r>
    </w:p>
    <w:p>
      <w:pPr>
        <w:pStyle w:val="174"/>
      </w:pPr>
      <w:r>
        <w:t>用户提出进行型式检验的要求时</w:t>
      </w:r>
      <w:r>
        <w:rPr>
          <w:rFonts w:hint="eastAsia"/>
        </w:rPr>
        <w:t>。</w:t>
      </w:r>
    </w:p>
    <w:p>
      <w:pPr>
        <w:pStyle w:val="104"/>
        <w:spacing w:before="240" w:after="240"/>
      </w:pPr>
      <w:r>
        <w:rPr>
          <w:rFonts w:hint="eastAsia"/>
        </w:rPr>
        <w:t>判定规则</w:t>
      </w:r>
    </w:p>
    <w:p>
      <w:pPr>
        <w:pStyle w:val="105"/>
        <w:spacing w:before="120" w:after="120"/>
        <w:rPr>
          <w:rFonts w:hint="eastAsia"/>
        </w:rPr>
      </w:pPr>
      <w:r>
        <w:rPr>
          <w:rFonts w:hint="eastAsia"/>
        </w:rPr>
        <w:t>合格产品</w:t>
      </w:r>
    </w:p>
    <w:p>
      <w:pPr>
        <w:pStyle w:val="230"/>
        <w:rPr>
          <w:rFonts w:hint="eastAsia"/>
        </w:rPr>
      </w:pPr>
      <w:r>
        <w:rPr>
          <w:rFonts w:hint="eastAsia"/>
        </w:rPr>
        <w:t>经检验符合第4章要求的产品，按本文件判定为相应等级的合格产品。</w:t>
      </w:r>
    </w:p>
    <w:p>
      <w:pPr>
        <w:pStyle w:val="105"/>
        <w:spacing w:before="120" w:after="120"/>
        <w:rPr>
          <w:rFonts w:hint="eastAsia"/>
        </w:rPr>
      </w:pPr>
      <w:r>
        <w:rPr>
          <w:rFonts w:hint="eastAsia"/>
        </w:rPr>
        <w:t>不合格产品</w:t>
      </w:r>
    </w:p>
    <w:p>
      <w:pPr>
        <w:pStyle w:val="230"/>
        <w:rPr>
          <w:rFonts w:hint="eastAsia"/>
        </w:rPr>
      </w:pPr>
      <w:r>
        <w:rPr>
          <w:rFonts w:hint="eastAsia"/>
        </w:rPr>
        <w:t>理化指标检验结果中任一项指标不合格，经复检1次仍不合格的，则该产品按本文件判定为不合格产品。</w:t>
      </w:r>
    </w:p>
    <w:p>
      <w:pPr>
        <w:pStyle w:val="104"/>
        <w:spacing w:before="240" w:after="240"/>
      </w:pPr>
      <w:r>
        <w:rPr>
          <w:rFonts w:hint="eastAsia"/>
        </w:rPr>
        <w:t>包装、标志、运输、贮存</w:t>
      </w:r>
    </w:p>
    <w:p>
      <w:pPr>
        <w:pStyle w:val="105"/>
        <w:spacing w:before="120" w:after="120"/>
      </w:pPr>
      <w:r>
        <w:rPr>
          <w:rFonts w:hint="eastAsia"/>
        </w:rPr>
        <w:t>包装</w:t>
      </w:r>
    </w:p>
    <w:p>
      <w:pPr>
        <w:pStyle w:val="230"/>
      </w:pPr>
      <w:r>
        <w:rPr>
          <w:rFonts w:hint="eastAsia"/>
        </w:rPr>
        <w:t>使用洁净、无毒、</w:t>
      </w:r>
      <w:r>
        <w:rPr>
          <w:rFonts w:hint="eastAsia"/>
          <w:color w:val="000000" w:themeColor="text1"/>
          <w14:textFill>
            <w14:solidFill>
              <w14:schemeClr w14:val="tx1"/>
            </w14:solidFill>
          </w14:textFill>
        </w:rPr>
        <w:t>无异味</w:t>
      </w:r>
      <w:r>
        <w:rPr>
          <w:rFonts w:hint="eastAsia"/>
        </w:rPr>
        <w:t>且不影响八角质量的材料包装。</w:t>
      </w:r>
    </w:p>
    <w:p>
      <w:pPr>
        <w:pStyle w:val="105"/>
        <w:spacing w:before="120" w:after="120"/>
      </w:pPr>
      <w:r>
        <w:rPr>
          <w:rFonts w:hint="eastAsia"/>
        </w:rPr>
        <w:t>标志</w:t>
      </w:r>
    </w:p>
    <w:p>
      <w:pPr>
        <w:pStyle w:val="230"/>
      </w:pPr>
      <w:r>
        <w:rPr>
          <w:rFonts w:hint="eastAsia"/>
        </w:rPr>
        <w:t>标志按GB/T 191的规定执行。</w:t>
      </w:r>
    </w:p>
    <w:p>
      <w:pPr>
        <w:pStyle w:val="105"/>
        <w:spacing w:before="120" w:after="120"/>
      </w:pPr>
      <w:r>
        <w:rPr>
          <w:rFonts w:hint="eastAsia"/>
        </w:rPr>
        <w:t>运输</w:t>
      </w:r>
    </w:p>
    <w:p>
      <w:pPr>
        <w:pStyle w:val="230"/>
      </w:pPr>
      <w:r>
        <w:t>运输工具清洁、卫生、干燥</w:t>
      </w:r>
      <w:r>
        <w:rPr>
          <w:rFonts w:hint="eastAsia"/>
        </w:rPr>
        <w:t>，</w:t>
      </w:r>
      <w:r>
        <w:t>不应与有毒或不洁物混运</w:t>
      </w:r>
      <w:r>
        <w:rPr>
          <w:rFonts w:hint="eastAsia"/>
        </w:rPr>
        <w:t>，</w:t>
      </w:r>
      <w:r>
        <w:t>运输途中</w:t>
      </w:r>
      <w:r>
        <w:rPr>
          <w:rFonts w:hint="eastAsia"/>
        </w:rPr>
        <w:t>应注意安全，</w:t>
      </w:r>
      <w:r>
        <w:t>防止</w:t>
      </w:r>
      <w:r>
        <w:rPr>
          <w:rFonts w:hint="eastAsia"/>
        </w:rPr>
        <w:t>日晒、</w:t>
      </w:r>
      <w:r>
        <w:t>雨淋、受潮</w:t>
      </w:r>
      <w:r>
        <w:rPr>
          <w:rFonts w:hint="eastAsia"/>
        </w:rPr>
        <w:t>和标签脱落，</w:t>
      </w:r>
      <w:r>
        <w:t>装卸时轻拿轻放。</w:t>
      </w:r>
    </w:p>
    <w:p>
      <w:pPr>
        <w:pStyle w:val="105"/>
        <w:spacing w:before="120" w:after="120"/>
      </w:pPr>
      <w:r>
        <w:rPr>
          <w:rFonts w:hint="eastAsia"/>
        </w:rPr>
        <w:t>贮存</w:t>
      </w:r>
    </w:p>
    <w:p>
      <w:pPr>
        <w:pStyle w:val="56"/>
        <w:ind w:firstLine="420"/>
      </w:pPr>
      <w:r>
        <w:rPr>
          <w:rFonts w:hint="eastAsia" w:hAnsi="宋体"/>
        </w:rPr>
        <w:t>选择</w:t>
      </w:r>
      <w:r>
        <w:rPr>
          <w:rFonts w:hAnsi="宋体"/>
        </w:rPr>
        <w:t>干燥、通风、</w:t>
      </w:r>
      <w:r>
        <w:rPr>
          <w:rFonts w:hint="eastAsia" w:hAnsi="宋体"/>
        </w:rPr>
        <w:t>阴凉的仓库</w:t>
      </w:r>
      <w:r>
        <w:rPr>
          <w:rFonts w:hAnsi="宋体"/>
        </w:rPr>
        <w:t>，</w:t>
      </w:r>
      <w:r>
        <w:rPr>
          <w:rFonts w:hint="eastAsia" w:hAnsi="宋体"/>
        </w:rPr>
        <w:t>离墙离地20</w:t>
      </w:r>
      <w:r>
        <w:rPr>
          <w:rFonts w:hint="eastAsia" w:hAnsi="宋体"/>
          <w:vertAlign w:val="superscript"/>
        </w:rPr>
        <w:t xml:space="preserve"> </w:t>
      </w:r>
      <w:r>
        <w:rPr>
          <w:rFonts w:hint="eastAsia" w:hAnsi="宋体"/>
        </w:rPr>
        <w:t>cm堆放，</w:t>
      </w:r>
      <w:r>
        <w:rPr>
          <w:rFonts w:hAnsi="宋体"/>
        </w:rPr>
        <w:t>不应与</w:t>
      </w:r>
      <w:r>
        <w:rPr>
          <w:rFonts w:hint="eastAsia"/>
        </w:rPr>
        <w:t>有害、</w:t>
      </w:r>
      <w:r>
        <w:rPr>
          <w:rFonts w:hAnsi="宋体"/>
        </w:rPr>
        <w:t>有毒</w:t>
      </w:r>
      <w:r>
        <w:rPr>
          <w:rFonts w:hint="eastAsia" w:hAnsi="宋体"/>
        </w:rPr>
        <w:t>、有</w:t>
      </w:r>
      <w:r>
        <w:rPr>
          <w:rFonts w:hAnsi="宋体"/>
        </w:rPr>
        <w:t>异味</w:t>
      </w:r>
      <w:r>
        <w:rPr>
          <w:rFonts w:hint="eastAsia" w:hAnsi="宋体"/>
        </w:rPr>
        <w:t>物品</w:t>
      </w:r>
      <w:r>
        <w:rPr>
          <w:rFonts w:hAnsi="宋体"/>
        </w:rPr>
        <w:t>一起</w:t>
      </w:r>
      <w:r>
        <w:rPr>
          <w:rFonts w:hint="eastAsia" w:hAnsi="宋体"/>
        </w:rPr>
        <w:t>存放。</w:t>
      </w:r>
    </w:p>
    <w:bookmarkEnd w:id="21"/>
    <w:p>
      <w:pPr>
        <w:pStyle w:val="56"/>
        <w:ind w:firstLine="0" w:firstLineChars="0"/>
        <w:jc w:val="center"/>
      </w:pPr>
      <w:bookmarkStart w:id="40"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a:stretch>
                      <a:fillRect/>
                    </a:stretch>
                  </pic:blipFill>
                  <pic:spPr>
                    <a:xfrm>
                      <a:off x="0" y="0"/>
                      <a:ext cx="1485900" cy="317500"/>
                    </a:xfrm>
                    <a:prstGeom prst="rect">
                      <a:avLst/>
                    </a:prstGeom>
                  </pic:spPr>
                </pic:pic>
              </a:graphicData>
            </a:graphic>
          </wp:inline>
        </w:drawing>
      </w:r>
      <w:bookmarkEnd w:id="40"/>
    </w:p>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2"/>
      <w:suff w:val="nothing"/>
      <w:lvlText w:val="%1.%2　"/>
      <w:lvlJc w:val="left"/>
      <w:pPr>
        <w:ind w:left="568"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4"/>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236"/>
      <w:suff w:val="nothing"/>
      <w:lvlText w:val="%1.%2.%3.%4.%5　"/>
      <w:lvlJc w:val="left"/>
      <w:pPr>
        <w:ind w:left="0" w:firstLine="0"/>
      </w:pPr>
      <w:rPr>
        <w:rFonts w:hint="eastAsia" w:ascii="黑体" w:hAnsi="Times New Roman" w:eastAsia="黑体"/>
        <w:b w:val="0"/>
        <w:i w:val="0"/>
        <w:sz w:val="21"/>
      </w:rPr>
    </w:lvl>
    <w:lvl w:ilvl="5" w:tentative="0">
      <w:start w:val="1"/>
      <w:numFmt w:val="decimal"/>
      <w:pStyle w:val="23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3545"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95"/>
    <w:rsid w:val="0000040A"/>
    <w:rsid w:val="00000A94"/>
    <w:rsid w:val="00001972"/>
    <w:rsid w:val="00001D9A"/>
    <w:rsid w:val="000070C7"/>
    <w:rsid w:val="00007B3A"/>
    <w:rsid w:val="000107E0"/>
    <w:rsid w:val="00011FDE"/>
    <w:rsid w:val="00012FFD"/>
    <w:rsid w:val="00014162"/>
    <w:rsid w:val="00014340"/>
    <w:rsid w:val="00016A9C"/>
    <w:rsid w:val="00022184"/>
    <w:rsid w:val="00022762"/>
    <w:rsid w:val="000238E0"/>
    <w:rsid w:val="000249DB"/>
    <w:rsid w:val="00025760"/>
    <w:rsid w:val="0002595E"/>
    <w:rsid w:val="000303C3"/>
    <w:rsid w:val="00030A7F"/>
    <w:rsid w:val="000331D3"/>
    <w:rsid w:val="000346A5"/>
    <w:rsid w:val="000359C3"/>
    <w:rsid w:val="00035A7D"/>
    <w:rsid w:val="000365ED"/>
    <w:rsid w:val="00041539"/>
    <w:rsid w:val="0004249A"/>
    <w:rsid w:val="00043282"/>
    <w:rsid w:val="00044286"/>
    <w:rsid w:val="00044842"/>
    <w:rsid w:val="00047F28"/>
    <w:rsid w:val="000503AA"/>
    <w:rsid w:val="000506A1"/>
    <w:rsid w:val="000515DD"/>
    <w:rsid w:val="0005265A"/>
    <w:rsid w:val="000539DD"/>
    <w:rsid w:val="00053BD3"/>
    <w:rsid w:val="000556ED"/>
    <w:rsid w:val="00055FE2"/>
    <w:rsid w:val="0005616F"/>
    <w:rsid w:val="0005787D"/>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1EA"/>
    <w:rsid w:val="00090CA6"/>
    <w:rsid w:val="00092B8A"/>
    <w:rsid w:val="00092FB0"/>
    <w:rsid w:val="000934C5"/>
    <w:rsid w:val="00093D25"/>
    <w:rsid w:val="00093DAB"/>
    <w:rsid w:val="00094D73"/>
    <w:rsid w:val="00096D63"/>
    <w:rsid w:val="000A0B60"/>
    <w:rsid w:val="000A0EB8"/>
    <w:rsid w:val="000A19FC"/>
    <w:rsid w:val="000A296B"/>
    <w:rsid w:val="000A619D"/>
    <w:rsid w:val="000A7311"/>
    <w:rsid w:val="000B060F"/>
    <w:rsid w:val="000B1592"/>
    <w:rsid w:val="000B1FF2"/>
    <w:rsid w:val="000B3CDA"/>
    <w:rsid w:val="000B41B2"/>
    <w:rsid w:val="000B6A0B"/>
    <w:rsid w:val="000C0F6C"/>
    <w:rsid w:val="000C11DB"/>
    <w:rsid w:val="000C1492"/>
    <w:rsid w:val="000C1741"/>
    <w:rsid w:val="000C26A0"/>
    <w:rsid w:val="000C2FBD"/>
    <w:rsid w:val="000C4B41"/>
    <w:rsid w:val="000C5030"/>
    <w:rsid w:val="000C57D6"/>
    <w:rsid w:val="000C6362"/>
    <w:rsid w:val="000C7666"/>
    <w:rsid w:val="000D0A9C"/>
    <w:rsid w:val="000D1795"/>
    <w:rsid w:val="000D329A"/>
    <w:rsid w:val="000D4B9C"/>
    <w:rsid w:val="000D4EB6"/>
    <w:rsid w:val="000D753B"/>
    <w:rsid w:val="000E215F"/>
    <w:rsid w:val="000E4C9E"/>
    <w:rsid w:val="000E6FD7"/>
    <w:rsid w:val="000F06E1"/>
    <w:rsid w:val="000F0E3C"/>
    <w:rsid w:val="000F19D5"/>
    <w:rsid w:val="000F2019"/>
    <w:rsid w:val="000F4050"/>
    <w:rsid w:val="000F4AEA"/>
    <w:rsid w:val="000F67E9"/>
    <w:rsid w:val="00102C3C"/>
    <w:rsid w:val="00102CC6"/>
    <w:rsid w:val="00104926"/>
    <w:rsid w:val="0010753C"/>
    <w:rsid w:val="00113B1E"/>
    <w:rsid w:val="0011711C"/>
    <w:rsid w:val="00124E4F"/>
    <w:rsid w:val="001260B7"/>
    <w:rsid w:val="001265CB"/>
    <w:rsid w:val="001321C6"/>
    <w:rsid w:val="001325C4"/>
    <w:rsid w:val="00133010"/>
    <w:rsid w:val="001338EE"/>
    <w:rsid w:val="00133AAE"/>
    <w:rsid w:val="00135323"/>
    <w:rsid w:val="001356C4"/>
    <w:rsid w:val="00136BC2"/>
    <w:rsid w:val="00137565"/>
    <w:rsid w:val="00140991"/>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4C1"/>
    <w:rsid w:val="00194C95"/>
    <w:rsid w:val="00195C34"/>
    <w:rsid w:val="00196EF5"/>
    <w:rsid w:val="001A1A53"/>
    <w:rsid w:val="001A234A"/>
    <w:rsid w:val="001A4CF3"/>
    <w:rsid w:val="001A6696"/>
    <w:rsid w:val="001B06E8"/>
    <w:rsid w:val="001B0B92"/>
    <w:rsid w:val="001B4EAD"/>
    <w:rsid w:val="001B71D0"/>
    <w:rsid w:val="001B71EE"/>
    <w:rsid w:val="001C04A8"/>
    <w:rsid w:val="001C2C03"/>
    <w:rsid w:val="001C42F7"/>
    <w:rsid w:val="001C49E5"/>
    <w:rsid w:val="001C4A8E"/>
    <w:rsid w:val="001C680C"/>
    <w:rsid w:val="001C7FEA"/>
    <w:rsid w:val="001D0499"/>
    <w:rsid w:val="001D0BBE"/>
    <w:rsid w:val="001D0ED4"/>
    <w:rsid w:val="001D212F"/>
    <w:rsid w:val="001D29D7"/>
    <w:rsid w:val="001D2DE7"/>
    <w:rsid w:val="001D411C"/>
    <w:rsid w:val="001E1877"/>
    <w:rsid w:val="001E1B6A"/>
    <w:rsid w:val="001E2484"/>
    <w:rsid w:val="001E3BC4"/>
    <w:rsid w:val="001E3CC4"/>
    <w:rsid w:val="001E4882"/>
    <w:rsid w:val="001E57F9"/>
    <w:rsid w:val="001E73AB"/>
    <w:rsid w:val="001E7924"/>
    <w:rsid w:val="001F092D"/>
    <w:rsid w:val="001F143A"/>
    <w:rsid w:val="001F1605"/>
    <w:rsid w:val="001F2508"/>
    <w:rsid w:val="001F4816"/>
    <w:rsid w:val="001F69B4"/>
    <w:rsid w:val="001F7039"/>
    <w:rsid w:val="001F77C7"/>
    <w:rsid w:val="00200183"/>
    <w:rsid w:val="00200333"/>
    <w:rsid w:val="0020107D"/>
    <w:rsid w:val="00202993"/>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2E3A"/>
    <w:rsid w:val="00233D64"/>
    <w:rsid w:val="0023482A"/>
    <w:rsid w:val="002359CB"/>
    <w:rsid w:val="00243540"/>
    <w:rsid w:val="0024497B"/>
    <w:rsid w:val="0024515B"/>
    <w:rsid w:val="00246021"/>
    <w:rsid w:val="0024666E"/>
    <w:rsid w:val="00247F52"/>
    <w:rsid w:val="00250B25"/>
    <w:rsid w:val="00250BBE"/>
    <w:rsid w:val="002515C2"/>
    <w:rsid w:val="0025194F"/>
    <w:rsid w:val="00255BED"/>
    <w:rsid w:val="0026148A"/>
    <w:rsid w:val="00262696"/>
    <w:rsid w:val="00263D25"/>
    <w:rsid w:val="002643C3"/>
    <w:rsid w:val="00264A0C"/>
    <w:rsid w:val="00266EEB"/>
    <w:rsid w:val="00267EF4"/>
    <w:rsid w:val="00270CB8"/>
    <w:rsid w:val="00272B08"/>
    <w:rsid w:val="00273111"/>
    <w:rsid w:val="00275AF9"/>
    <w:rsid w:val="00281BB8"/>
    <w:rsid w:val="00281E9E"/>
    <w:rsid w:val="00282405"/>
    <w:rsid w:val="00285170"/>
    <w:rsid w:val="00285361"/>
    <w:rsid w:val="002919E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7B2"/>
    <w:rsid w:val="002B7332"/>
    <w:rsid w:val="002B7F51"/>
    <w:rsid w:val="002C09E7"/>
    <w:rsid w:val="002C1E06"/>
    <w:rsid w:val="002C322C"/>
    <w:rsid w:val="002C3E59"/>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D3F"/>
    <w:rsid w:val="00313B85"/>
    <w:rsid w:val="00315280"/>
    <w:rsid w:val="00317988"/>
    <w:rsid w:val="003221B4"/>
    <w:rsid w:val="0032258D"/>
    <w:rsid w:val="00322E62"/>
    <w:rsid w:val="00324D13"/>
    <w:rsid w:val="00324EDD"/>
    <w:rsid w:val="00326B10"/>
    <w:rsid w:val="003331E4"/>
    <w:rsid w:val="00336C64"/>
    <w:rsid w:val="00337162"/>
    <w:rsid w:val="0034194F"/>
    <w:rsid w:val="00344605"/>
    <w:rsid w:val="003474AA"/>
    <w:rsid w:val="00350D1D"/>
    <w:rsid w:val="00352C83"/>
    <w:rsid w:val="00352F1A"/>
    <w:rsid w:val="0036107C"/>
    <w:rsid w:val="003615D2"/>
    <w:rsid w:val="00361F71"/>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7C3"/>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4D30"/>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2249"/>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A7A87"/>
    <w:rsid w:val="004B0272"/>
    <w:rsid w:val="004B2701"/>
    <w:rsid w:val="004B2E1B"/>
    <w:rsid w:val="004B3AA8"/>
    <w:rsid w:val="004B3E93"/>
    <w:rsid w:val="004B7112"/>
    <w:rsid w:val="004C1FBC"/>
    <w:rsid w:val="004C25A2"/>
    <w:rsid w:val="004C3F1D"/>
    <w:rsid w:val="004C458D"/>
    <w:rsid w:val="004C7556"/>
    <w:rsid w:val="004C7E8B"/>
    <w:rsid w:val="004C7E9D"/>
    <w:rsid w:val="004C7F67"/>
    <w:rsid w:val="004D076D"/>
    <w:rsid w:val="004D0EF1"/>
    <w:rsid w:val="004D2253"/>
    <w:rsid w:val="004D235C"/>
    <w:rsid w:val="004D4406"/>
    <w:rsid w:val="004D7C42"/>
    <w:rsid w:val="004E0465"/>
    <w:rsid w:val="004E127B"/>
    <w:rsid w:val="004E1C0A"/>
    <w:rsid w:val="004E30C5"/>
    <w:rsid w:val="004E469E"/>
    <w:rsid w:val="004E4AA5"/>
    <w:rsid w:val="004E4AEE"/>
    <w:rsid w:val="004E59E3"/>
    <w:rsid w:val="004E67C0"/>
    <w:rsid w:val="004F391A"/>
    <w:rsid w:val="004F3CFB"/>
    <w:rsid w:val="004F45C5"/>
    <w:rsid w:val="004F62C7"/>
    <w:rsid w:val="004F6456"/>
    <w:rsid w:val="004F696E"/>
    <w:rsid w:val="004F6C71"/>
    <w:rsid w:val="004F7A7B"/>
    <w:rsid w:val="00500A17"/>
    <w:rsid w:val="00501139"/>
    <w:rsid w:val="00502E8C"/>
    <w:rsid w:val="0050363E"/>
    <w:rsid w:val="005039BC"/>
    <w:rsid w:val="005043BB"/>
    <w:rsid w:val="00504A3D"/>
    <w:rsid w:val="00505767"/>
    <w:rsid w:val="005073F0"/>
    <w:rsid w:val="00510A7B"/>
    <w:rsid w:val="00512F6E"/>
    <w:rsid w:val="00513038"/>
    <w:rsid w:val="00514174"/>
    <w:rsid w:val="005147B7"/>
    <w:rsid w:val="00516088"/>
    <w:rsid w:val="00516B0B"/>
    <w:rsid w:val="00516BB0"/>
    <w:rsid w:val="005220EC"/>
    <w:rsid w:val="00523643"/>
    <w:rsid w:val="00523F95"/>
    <w:rsid w:val="00524D65"/>
    <w:rsid w:val="0052589A"/>
    <w:rsid w:val="00525B16"/>
    <w:rsid w:val="005276A6"/>
    <w:rsid w:val="00530C9C"/>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532A"/>
    <w:rsid w:val="00575A9B"/>
    <w:rsid w:val="005801E3"/>
    <w:rsid w:val="00581802"/>
    <w:rsid w:val="00582DDF"/>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B4A"/>
    <w:rsid w:val="005B5CD7"/>
    <w:rsid w:val="005B6CF6"/>
    <w:rsid w:val="005B7422"/>
    <w:rsid w:val="005C29B8"/>
    <w:rsid w:val="005C5F21"/>
    <w:rsid w:val="005C7156"/>
    <w:rsid w:val="005D0C75"/>
    <w:rsid w:val="005D4171"/>
    <w:rsid w:val="005D6A95"/>
    <w:rsid w:val="005D6B2C"/>
    <w:rsid w:val="005D6B56"/>
    <w:rsid w:val="005D6D9C"/>
    <w:rsid w:val="005E2335"/>
    <w:rsid w:val="005E34CA"/>
    <w:rsid w:val="005E3C18"/>
    <w:rsid w:val="005E4250"/>
    <w:rsid w:val="005E53BE"/>
    <w:rsid w:val="005E6812"/>
    <w:rsid w:val="005E7881"/>
    <w:rsid w:val="005E78E0"/>
    <w:rsid w:val="005F0D9C"/>
    <w:rsid w:val="005F284E"/>
    <w:rsid w:val="006015CE"/>
    <w:rsid w:val="00604784"/>
    <w:rsid w:val="00606419"/>
    <w:rsid w:val="00607D29"/>
    <w:rsid w:val="00612952"/>
    <w:rsid w:val="00614CC1"/>
    <w:rsid w:val="00615A9D"/>
    <w:rsid w:val="00617387"/>
    <w:rsid w:val="0062022A"/>
    <w:rsid w:val="006205D6"/>
    <w:rsid w:val="006252D8"/>
    <w:rsid w:val="006259BC"/>
    <w:rsid w:val="0062636B"/>
    <w:rsid w:val="00632182"/>
    <w:rsid w:val="00632789"/>
    <w:rsid w:val="00632AE0"/>
    <w:rsid w:val="00633C17"/>
    <w:rsid w:val="00634D9E"/>
    <w:rsid w:val="00636E3E"/>
    <w:rsid w:val="006379F7"/>
    <w:rsid w:val="00637E4D"/>
    <w:rsid w:val="00640620"/>
    <w:rsid w:val="006416E7"/>
    <w:rsid w:val="00641A1F"/>
    <w:rsid w:val="00645904"/>
    <w:rsid w:val="00651432"/>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19F"/>
    <w:rsid w:val="006A25E5"/>
    <w:rsid w:val="006A2B46"/>
    <w:rsid w:val="006A336D"/>
    <w:rsid w:val="006A37B9"/>
    <w:rsid w:val="006A460E"/>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6CE"/>
    <w:rsid w:val="006E4918"/>
    <w:rsid w:val="006E79B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0B53"/>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F1B"/>
    <w:rsid w:val="00773FD8"/>
    <w:rsid w:val="00774DA4"/>
    <w:rsid w:val="00775EDD"/>
    <w:rsid w:val="00776599"/>
    <w:rsid w:val="0078114B"/>
    <w:rsid w:val="00781DD2"/>
    <w:rsid w:val="007827A1"/>
    <w:rsid w:val="00783ECF"/>
    <w:rsid w:val="0078413A"/>
    <w:rsid w:val="007846FA"/>
    <w:rsid w:val="007959E8"/>
    <w:rsid w:val="00795E9C"/>
    <w:rsid w:val="007A0521"/>
    <w:rsid w:val="007A2E12"/>
    <w:rsid w:val="007A3475"/>
    <w:rsid w:val="007A41C8"/>
    <w:rsid w:val="007A54CE"/>
    <w:rsid w:val="007A5DB0"/>
    <w:rsid w:val="007A6FD9"/>
    <w:rsid w:val="007A7FFA"/>
    <w:rsid w:val="007B04EB"/>
    <w:rsid w:val="007B0D4F"/>
    <w:rsid w:val="007B5A3D"/>
    <w:rsid w:val="007B5B95"/>
    <w:rsid w:val="007B6032"/>
    <w:rsid w:val="007B68EA"/>
    <w:rsid w:val="007B7453"/>
    <w:rsid w:val="007C2D89"/>
    <w:rsid w:val="007C4593"/>
    <w:rsid w:val="007C5001"/>
    <w:rsid w:val="007C5309"/>
    <w:rsid w:val="007C6069"/>
    <w:rsid w:val="007D06C4"/>
    <w:rsid w:val="007D1352"/>
    <w:rsid w:val="007D2508"/>
    <w:rsid w:val="007D32F1"/>
    <w:rsid w:val="007D346A"/>
    <w:rsid w:val="007D6518"/>
    <w:rsid w:val="007D76BD"/>
    <w:rsid w:val="007E0BF1"/>
    <w:rsid w:val="007F0A52"/>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75E"/>
    <w:rsid w:val="00823303"/>
    <w:rsid w:val="008233B2"/>
    <w:rsid w:val="00823A9F"/>
    <w:rsid w:val="00823C85"/>
    <w:rsid w:val="00825138"/>
    <w:rsid w:val="008269DD"/>
    <w:rsid w:val="00830621"/>
    <w:rsid w:val="00832715"/>
    <w:rsid w:val="00832FEE"/>
    <w:rsid w:val="0083348C"/>
    <w:rsid w:val="00834AF1"/>
    <w:rsid w:val="008373D3"/>
    <w:rsid w:val="00840617"/>
    <w:rsid w:val="00840F84"/>
    <w:rsid w:val="00841811"/>
    <w:rsid w:val="00842A47"/>
    <w:rsid w:val="00843C13"/>
    <w:rsid w:val="008454F8"/>
    <w:rsid w:val="00846BD4"/>
    <w:rsid w:val="0085173A"/>
    <w:rsid w:val="0085593C"/>
    <w:rsid w:val="00855F84"/>
    <w:rsid w:val="008603CE"/>
    <w:rsid w:val="008620FC"/>
    <w:rsid w:val="008627A5"/>
    <w:rsid w:val="00863E05"/>
    <w:rsid w:val="00864D13"/>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868"/>
    <w:rsid w:val="008A57E6"/>
    <w:rsid w:val="008A6F81"/>
    <w:rsid w:val="008A769A"/>
    <w:rsid w:val="008B0C9C"/>
    <w:rsid w:val="008B166D"/>
    <w:rsid w:val="008B17F4"/>
    <w:rsid w:val="008B3615"/>
    <w:rsid w:val="008B4AC4"/>
    <w:rsid w:val="008B50C8"/>
    <w:rsid w:val="008B5281"/>
    <w:rsid w:val="008B6D75"/>
    <w:rsid w:val="008B7E05"/>
    <w:rsid w:val="008C1797"/>
    <w:rsid w:val="008C219C"/>
    <w:rsid w:val="008C2E66"/>
    <w:rsid w:val="008C475E"/>
    <w:rsid w:val="008C619A"/>
    <w:rsid w:val="008D0CE8"/>
    <w:rsid w:val="008D2D1D"/>
    <w:rsid w:val="008D3E8F"/>
    <w:rsid w:val="008D453D"/>
    <w:rsid w:val="008D53AD"/>
    <w:rsid w:val="008D562B"/>
    <w:rsid w:val="008D5733"/>
    <w:rsid w:val="008D622B"/>
    <w:rsid w:val="008D666C"/>
    <w:rsid w:val="008D6B5C"/>
    <w:rsid w:val="008D7B54"/>
    <w:rsid w:val="008E0C9D"/>
    <w:rsid w:val="008E1648"/>
    <w:rsid w:val="008E1B3E"/>
    <w:rsid w:val="008E2319"/>
    <w:rsid w:val="008E4BB6"/>
    <w:rsid w:val="008E5518"/>
    <w:rsid w:val="008E6A84"/>
    <w:rsid w:val="008F0CDC"/>
    <w:rsid w:val="008F17A3"/>
    <w:rsid w:val="008F1ED3"/>
    <w:rsid w:val="008F4C29"/>
    <w:rsid w:val="008F503C"/>
    <w:rsid w:val="008F70BD"/>
    <w:rsid w:val="008F788F"/>
    <w:rsid w:val="008F7EA2"/>
    <w:rsid w:val="00902722"/>
    <w:rsid w:val="009027BC"/>
    <w:rsid w:val="009062E6"/>
    <w:rsid w:val="00911BE5"/>
    <w:rsid w:val="0091256E"/>
    <w:rsid w:val="00913CA9"/>
    <w:rsid w:val="0091436F"/>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67EE4"/>
    <w:rsid w:val="00970CDC"/>
    <w:rsid w:val="00971E1D"/>
    <w:rsid w:val="00975492"/>
    <w:rsid w:val="00975727"/>
    <w:rsid w:val="00977010"/>
    <w:rsid w:val="00977D02"/>
    <w:rsid w:val="00977FF9"/>
    <w:rsid w:val="009809BB"/>
    <w:rsid w:val="0098364B"/>
    <w:rsid w:val="00985742"/>
    <w:rsid w:val="009908A3"/>
    <w:rsid w:val="009911AF"/>
    <w:rsid w:val="00991875"/>
    <w:rsid w:val="00991F92"/>
    <w:rsid w:val="00992985"/>
    <w:rsid w:val="00993889"/>
    <w:rsid w:val="0099551B"/>
    <w:rsid w:val="00995DDD"/>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3D05"/>
    <w:rsid w:val="009C4CFA"/>
    <w:rsid w:val="009C5070"/>
    <w:rsid w:val="009C5F65"/>
    <w:rsid w:val="009C7874"/>
    <w:rsid w:val="009D112C"/>
    <w:rsid w:val="009D1385"/>
    <w:rsid w:val="009D47FA"/>
    <w:rsid w:val="009D4C5B"/>
    <w:rsid w:val="009D50D2"/>
    <w:rsid w:val="009D6BCA"/>
    <w:rsid w:val="009E0F62"/>
    <w:rsid w:val="009E4A58"/>
    <w:rsid w:val="009E5A2D"/>
    <w:rsid w:val="009E5AB2"/>
    <w:rsid w:val="009E6219"/>
    <w:rsid w:val="009F03B3"/>
    <w:rsid w:val="009F438C"/>
    <w:rsid w:val="00A0096C"/>
    <w:rsid w:val="00A01757"/>
    <w:rsid w:val="00A028C0"/>
    <w:rsid w:val="00A02BAE"/>
    <w:rsid w:val="00A03788"/>
    <w:rsid w:val="00A06A6B"/>
    <w:rsid w:val="00A070B0"/>
    <w:rsid w:val="00A07E47"/>
    <w:rsid w:val="00A104AF"/>
    <w:rsid w:val="00A129D0"/>
    <w:rsid w:val="00A12C33"/>
    <w:rsid w:val="00A138BA"/>
    <w:rsid w:val="00A14C8E"/>
    <w:rsid w:val="00A153D9"/>
    <w:rsid w:val="00A15F09"/>
    <w:rsid w:val="00A169B6"/>
    <w:rsid w:val="00A2271D"/>
    <w:rsid w:val="00A237D5"/>
    <w:rsid w:val="00A30319"/>
    <w:rsid w:val="00A30EFC"/>
    <w:rsid w:val="00A3104F"/>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554"/>
    <w:rsid w:val="00A55BD6"/>
    <w:rsid w:val="00A55D50"/>
    <w:rsid w:val="00A57142"/>
    <w:rsid w:val="00A648CD"/>
    <w:rsid w:val="00A6537A"/>
    <w:rsid w:val="00A67866"/>
    <w:rsid w:val="00A70B07"/>
    <w:rsid w:val="00A723F8"/>
    <w:rsid w:val="00A7518B"/>
    <w:rsid w:val="00A77CCB"/>
    <w:rsid w:val="00A83D8D"/>
    <w:rsid w:val="00A83EFB"/>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2947"/>
    <w:rsid w:val="00AB6309"/>
    <w:rsid w:val="00AB6C5F"/>
    <w:rsid w:val="00AB7129"/>
    <w:rsid w:val="00AC27A6"/>
    <w:rsid w:val="00AC30F7"/>
    <w:rsid w:val="00AC3A5A"/>
    <w:rsid w:val="00AC4D46"/>
    <w:rsid w:val="00AC4D95"/>
    <w:rsid w:val="00AC5DF4"/>
    <w:rsid w:val="00AD0AEF"/>
    <w:rsid w:val="00AD11B7"/>
    <w:rsid w:val="00AD1A94"/>
    <w:rsid w:val="00AD1C05"/>
    <w:rsid w:val="00AD4126"/>
    <w:rsid w:val="00AD421C"/>
    <w:rsid w:val="00AD44FA"/>
    <w:rsid w:val="00AE070A"/>
    <w:rsid w:val="00AE101C"/>
    <w:rsid w:val="00AE24F4"/>
    <w:rsid w:val="00AE2A69"/>
    <w:rsid w:val="00AE3311"/>
    <w:rsid w:val="00AE37E5"/>
    <w:rsid w:val="00AE5EB4"/>
    <w:rsid w:val="00AF0C18"/>
    <w:rsid w:val="00AF12CA"/>
    <w:rsid w:val="00AF47C5"/>
    <w:rsid w:val="00AF5398"/>
    <w:rsid w:val="00B049AF"/>
    <w:rsid w:val="00B07242"/>
    <w:rsid w:val="00B10534"/>
    <w:rsid w:val="00B113DB"/>
    <w:rsid w:val="00B11D8A"/>
    <w:rsid w:val="00B12981"/>
    <w:rsid w:val="00B135A8"/>
    <w:rsid w:val="00B13DD6"/>
    <w:rsid w:val="00B147DD"/>
    <w:rsid w:val="00B149E1"/>
    <w:rsid w:val="00B156FD"/>
    <w:rsid w:val="00B21F61"/>
    <w:rsid w:val="00B261F1"/>
    <w:rsid w:val="00B265BC"/>
    <w:rsid w:val="00B27AB2"/>
    <w:rsid w:val="00B31FB1"/>
    <w:rsid w:val="00B33952"/>
    <w:rsid w:val="00B33C5E"/>
    <w:rsid w:val="00B342F4"/>
    <w:rsid w:val="00B34369"/>
    <w:rsid w:val="00B34DC2"/>
    <w:rsid w:val="00B378E5"/>
    <w:rsid w:val="00B40BC7"/>
    <w:rsid w:val="00B4346D"/>
    <w:rsid w:val="00B440F4"/>
    <w:rsid w:val="00B447A5"/>
    <w:rsid w:val="00B4654C"/>
    <w:rsid w:val="00B47293"/>
    <w:rsid w:val="00B50E50"/>
    <w:rsid w:val="00B52120"/>
    <w:rsid w:val="00B54ABC"/>
    <w:rsid w:val="00B551B0"/>
    <w:rsid w:val="00B56FBE"/>
    <w:rsid w:val="00B60ACF"/>
    <w:rsid w:val="00B62B58"/>
    <w:rsid w:val="00B65149"/>
    <w:rsid w:val="00B66567"/>
    <w:rsid w:val="00B66F52"/>
    <w:rsid w:val="00B66FE5"/>
    <w:rsid w:val="00B72880"/>
    <w:rsid w:val="00B758BF"/>
    <w:rsid w:val="00B77497"/>
    <w:rsid w:val="00B77EC8"/>
    <w:rsid w:val="00B827A6"/>
    <w:rsid w:val="00B831CE"/>
    <w:rsid w:val="00B86677"/>
    <w:rsid w:val="00B87131"/>
    <w:rsid w:val="00B939B1"/>
    <w:rsid w:val="00B96D40"/>
    <w:rsid w:val="00B97386"/>
    <w:rsid w:val="00BA0DF3"/>
    <w:rsid w:val="00BA263B"/>
    <w:rsid w:val="00BA42B2"/>
    <w:rsid w:val="00BA58D4"/>
    <w:rsid w:val="00BA5B9E"/>
    <w:rsid w:val="00BA7C9A"/>
    <w:rsid w:val="00BB47CE"/>
    <w:rsid w:val="00BB5ABE"/>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52A6"/>
    <w:rsid w:val="00BF74A6"/>
    <w:rsid w:val="00C013AD"/>
    <w:rsid w:val="00C01CA6"/>
    <w:rsid w:val="00C04904"/>
    <w:rsid w:val="00C056B3"/>
    <w:rsid w:val="00C103E5"/>
    <w:rsid w:val="00C13294"/>
    <w:rsid w:val="00C13319"/>
    <w:rsid w:val="00C13EE9"/>
    <w:rsid w:val="00C14D50"/>
    <w:rsid w:val="00C21540"/>
    <w:rsid w:val="00C21906"/>
    <w:rsid w:val="00C21BFA"/>
    <w:rsid w:val="00C24C8D"/>
    <w:rsid w:val="00C25FE2"/>
    <w:rsid w:val="00C26B53"/>
    <w:rsid w:val="00C279B2"/>
    <w:rsid w:val="00C33E50"/>
    <w:rsid w:val="00C34C20"/>
    <w:rsid w:val="00C35A3E"/>
    <w:rsid w:val="00C42130"/>
    <w:rsid w:val="00C423A4"/>
    <w:rsid w:val="00C423E3"/>
    <w:rsid w:val="00C431A5"/>
    <w:rsid w:val="00C44BF5"/>
    <w:rsid w:val="00C521D6"/>
    <w:rsid w:val="00C55232"/>
    <w:rsid w:val="00C553A4"/>
    <w:rsid w:val="00C55A06"/>
    <w:rsid w:val="00C55D03"/>
    <w:rsid w:val="00C601BC"/>
    <w:rsid w:val="00C6329F"/>
    <w:rsid w:val="00C63340"/>
    <w:rsid w:val="00C643F9"/>
    <w:rsid w:val="00C64A5B"/>
    <w:rsid w:val="00C64E95"/>
    <w:rsid w:val="00C71372"/>
    <w:rsid w:val="00C72410"/>
    <w:rsid w:val="00C7287F"/>
    <w:rsid w:val="00C80CB8"/>
    <w:rsid w:val="00C819F8"/>
    <w:rsid w:val="00C8248C"/>
    <w:rsid w:val="00C84E33"/>
    <w:rsid w:val="00C86D6F"/>
    <w:rsid w:val="00C905FC"/>
    <w:rsid w:val="00C92D03"/>
    <w:rsid w:val="00C9319C"/>
    <w:rsid w:val="00C9435D"/>
    <w:rsid w:val="00C9459C"/>
    <w:rsid w:val="00C94DF2"/>
    <w:rsid w:val="00C96741"/>
    <w:rsid w:val="00CA2D1B"/>
    <w:rsid w:val="00CA375D"/>
    <w:rsid w:val="00CA662A"/>
    <w:rsid w:val="00CA686D"/>
    <w:rsid w:val="00CA7AFD"/>
    <w:rsid w:val="00CA7C3C"/>
    <w:rsid w:val="00CB0189"/>
    <w:rsid w:val="00CB0BA2"/>
    <w:rsid w:val="00CB1A42"/>
    <w:rsid w:val="00CB1B0C"/>
    <w:rsid w:val="00CB1EA5"/>
    <w:rsid w:val="00CB2C0B"/>
    <w:rsid w:val="00CB2FB0"/>
    <w:rsid w:val="00CB517D"/>
    <w:rsid w:val="00CC038D"/>
    <w:rsid w:val="00CC08DB"/>
    <w:rsid w:val="00CC39FF"/>
    <w:rsid w:val="00CC3C2F"/>
    <w:rsid w:val="00CC4AC8"/>
    <w:rsid w:val="00CC5233"/>
    <w:rsid w:val="00CC5DE6"/>
    <w:rsid w:val="00CC6E4E"/>
    <w:rsid w:val="00CC6FE8"/>
    <w:rsid w:val="00CC7202"/>
    <w:rsid w:val="00CD23B6"/>
    <w:rsid w:val="00CD2808"/>
    <w:rsid w:val="00CD28BF"/>
    <w:rsid w:val="00CD4092"/>
    <w:rsid w:val="00CD4A20"/>
    <w:rsid w:val="00CD50A1"/>
    <w:rsid w:val="00CD519E"/>
    <w:rsid w:val="00CE0C4F"/>
    <w:rsid w:val="00CE30EA"/>
    <w:rsid w:val="00CF048A"/>
    <w:rsid w:val="00CF155A"/>
    <w:rsid w:val="00CF2947"/>
    <w:rsid w:val="00CF686F"/>
    <w:rsid w:val="00CF6E60"/>
    <w:rsid w:val="00CF7678"/>
    <w:rsid w:val="00CF7AFE"/>
    <w:rsid w:val="00CF7BCA"/>
    <w:rsid w:val="00D001A5"/>
    <w:rsid w:val="00D008FD"/>
    <w:rsid w:val="00D0321C"/>
    <w:rsid w:val="00D035EC"/>
    <w:rsid w:val="00D06AB1"/>
    <w:rsid w:val="00D06FC1"/>
    <w:rsid w:val="00D072ED"/>
    <w:rsid w:val="00D07A16"/>
    <w:rsid w:val="00D1067E"/>
    <w:rsid w:val="00D10F50"/>
    <w:rsid w:val="00D11272"/>
    <w:rsid w:val="00D126F5"/>
    <w:rsid w:val="00D13935"/>
    <w:rsid w:val="00D1489E"/>
    <w:rsid w:val="00D14987"/>
    <w:rsid w:val="00D20737"/>
    <w:rsid w:val="00D21E81"/>
    <w:rsid w:val="00D223DE"/>
    <w:rsid w:val="00D25E37"/>
    <w:rsid w:val="00D2661A"/>
    <w:rsid w:val="00D27582"/>
    <w:rsid w:val="00D27EC4"/>
    <w:rsid w:val="00D32719"/>
    <w:rsid w:val="00D33333"/>
    <w:rsid w:val="00D352A2"/>
    <w:rsid w:val="00D35E0B"/>
    <w:rsid w:val="00D4162B"/>
    <w:rsid w:val="00D4514F"/>
    <w:rsid w:val="00D451E2"/>
    <w:rsid w:val="00D45E89"/>
    <w:rsid w:val="00D45E8D"/>
    <w:rsid w:val="00D466AE"/>
    <w:rsid w:val="00D46E18"/>
    <w:rsid w:val="00D4734F"/>
    <w:rsid w:val="00D47A56"/>
    <w:rsid w:val="00D51BF3"/>
    <w:rsid w:val="00D66846"/>
    <w:rsid w:val="00D675FB"/>
    <w:rsid w:val="00D71F25"/>
    <w:rsid w:val="00D72A9C"/>
    <w:rsid w:val="00D74FD2"/>
    <w:rsid w:val="00D77031"/>
    <w:rsid w:val="00D84941"/>
    <w:rsid w:val="00D84FA1"/>
    <w:rsid w:val="00D851F0"/>
    <w:rsid w:val="00D86DB7"/>
    <w:rsid w:val="00D87BF5"/>
    <w:rsid w:val="00D90721"/>
    <w:rsid w:val="00D926D0"/>
    <w:rsid w:val="00D93030"/>
    <w:rsid w:val="00D933D3"/>
    <w:rsid w:val="00D950E1"/>
    <w:rsid w:val="00D952A6"/>
    <w:rsid w:val="00D95F72"/>
    <w:rsid w:val="00D97F99"/>
    <w:rsid w:val="00DA1E08"/>
    <w:rsid w:val="00DA24F8"/>
    <w:rsid w:val="00DA28E8"/>
    <w:rsid w:val="00DA38D3"/>
    <w:rsid w:val="00DA3932"/>
    <w:rsid w:val="00DA3AFC"/>
    <w:rsid w:val="00DA64F8"/>
    <w:rsid w:val="00DA6C15"/>
    <w:rsid w:val="00DB0258"/>
    <w:rsid w:val="00DB2F03"/>
    <w:rsid w:val="00DB38EE"/>
    <w:rsid w:val="00DB498B"/>
    <w:rsid w:val="00DB6619"/>
    <w:rsid w:val="00DB66CA"/>
    <w:rsid w:val="00DB6BCA"/>
    <w:rsid w:val="00DB6F54"/>
    <w:rsid w:val="00DB73F7"/>
    <w:rsid w:val="00DC0321"/>
    <w:rsid w:val="00DC3067"/>
    <w:rsid w:val="00DC370B"/>
    <w:rsid w:val="00DC5B90"/>
    <w:rsid w:val="00DD00FF"/>
    <w:rsid w:val="00DD0619"/>
    <w:rsid w:val="00DD07FB"/>
    <w:rsid w:val="00DD25C6"/>
    <w:rsid w:val="00DD4A70"/>
    <w:rsid w:val="00DD4FE5"/>
    <w:rsid w:val="00DD54B0"/>
    <w:rsid w:val="00DD57EE"/>
    <w:rsid w:val="00DD6BCC"/>
    <w:rsid w:val="00DE0A4B"/>
    <w:rsid w:val="00DE2410"/>
    <w:rsid w:val="00DE2939"/>
    <w:rsid w:val="00DE6E81"/>
    <w:rsid w:val="00DE703F"/>
    <w:rsid w:val="00DE7595"/>
    <w:rsid w:val="00DE78A7"/>
    <w:rsid w:val="00DF1961"/>
    <w:rsid w:val="00DF44DE"/>
    <w:rsid w:val="00E01138"/>
    <w:rsid w:val="00E02DFB"/>
    <w:rsid w:val="00E030F9"/>
    <w:rsid w:val="00E0311A"/>
    <w:rsid w:val="00E03138"/>
    <w:rsid w:val="00E06404"/>
    <w:rsid w:val="00E11A85"/>
    <w:rsid w:val="00E12495"/>
    <w:rsid w:val="00E15CCD"/>
    <w:rsid w:val="00E202EF"/>
    <w:rsid w:val="00E210B5"/>
    <w:rsid w:val="00E2472F"/>
    <w:rsid w:val="00E2552F"/>
    <w:rsid w:val="00E3137A"/>
    <w:rsid w:val="00E32CCF"/>
    <w:rsid w:val="00E34A98"/>
    <w:rsid w:val="00E35D1E"/>
    <w:rsid w:val="00E35DF7"/>
    <w:rsid w:val="00E364F9"/>
    <w:rsid w:val="00E365FA"/>
    <w:rsid w:val="00E36789"/>
    <w:rsid w:val="00E44934"/>
    <w:rsid w:val="00E44A83"/>
    <w:rsid w:val="00E502C1"/>
    <w:rsid w:val="00E502DD"/>
    <w:rsid w:val="00E50D3A"/>
    <w:rsid w:val="00E51387"/>
    <w:rsid w:val="00E51E68"/>
    <w:rsid w:val="00E52EFD"/>
    <w:rsid w:val="00E5408A"/>
    <w:rsid w:val="00E56800"/>
    <w:rsid w:val="00E60C63"/>
    <w:rsid w:val="00E62FF9"/>
    <w:rsid w:val="00E632E7"/>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A71"/>
    <w:rsid w:val="00EA3639"/>
    <w:rsid w:val="00EA58D1"/>
    <w:rsid w:val="00EA61BC"/>
    <w:rsid w:val="00EA681A"/>
    <w:rsid w:val="00EA735B"/>
    <w:rsid w:val="00EB1E69"/>
    <w:rsid w:val="00EB2086"/>
    <w:rsid w:val="00EB2313"/>
    <w:rsid w:val="00EB31ED"/>
    <w:rsid w:val="00EB5EDF"/>
    <w:rsid w:val="00EB60FE"/>
    <w:rsid w:val="00EB74DB"/>
    <w:rsid w:val="00EC5359"/>
    <w:rsid w:val="00EC562A"/>
    <w:rsid w:val="00ED067A"/>
    <w:rsid w:val="00ED24E6"/>
    <w:rsid w:val="00ED2B50"/>
    <w:rsid w:val="00ED70DF"/>
    <w:rsid w:val="00EE0350"/>
    <w:rsid w:val="00EE0719"/>
    <w:rsid w:val="00EE0CFA"/>
    <w:rsid w:val="00EE0E80"/>
    <w:rsid w:val="00EE5E95"/>
    <w:rsid w:val="00EE613F"/>
    <w:rsid w:val="00EE7295"/>
    <w:rsid w:val="00EE7869"/>
    <w:rsid w:val="00EF054A"/>
    <w:rsid w:val="00EF3235"/>
    <w:rsid w:val="00EF7E72"/>
    <w:rsid w:val="00F0489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3B33"/>
    <w:rsid w:val="00F6412A"/>
    <w:rsid w:val="00F65893"/>
    <w:rsid w:val="00F66A4A"/>
    <w:rsid w:val="00F71E22"/>
    <w:rsid w:val="00F72142"/>
    <w:rsid w:val="00F72AE7"/>
    <w:rsid w:val="00F833BA"/>
    <w:rsid w:val="00F84587"/>
    <w:rsid w:val="00F84FD0"/>
    <w:rsid w:val="00F859A8"/>
    <w:rsid w:val="00F86D87"/>
    <w:rsid w:val="00F90B33"/>
    <w:rsid w:val="00F9108B"/>
    <w:rsid w:val="00F91349"/>
    <w:rsid w:val="00F93A8A"/>
    <w:rsid w:val="00F95248"/>
    <w:rsid w:val="00F956A9"/>
    <w:rsid w:val="00F963ED"/>
    <w:rsid w:val="00F966CF"/>
    <w:rsid w:val="00F96CAE"/>
    <w:rsid w:val="00F97C99"/>
    <w:rsid w:val="00FA4423"/>
    <w:rsid w:val="00FA5C0B"/>
    <w:rsid w:val="00FA662D"/>
    <w:rsid w:val="00FA73B1"/>
    <w:rsid w:val="00FB0CB9"/>
    <w:rsid w:val="00FB231D"/>
    <w:rsid w:val="00FB45F1"/>
    <w:rsid w:val="00FB4A72"/>
    <w:rsid w:val="00FB54E8"/>
    <w:rsid w:val="00FB7054"/>
    <w:rsid w:val="00FB7800"/>
    <w:rsid w:val="00FC17B7"/>
    <w:rsid w:val="00FC2772"/>
    <w:rsid w:val="00FC2CB7"/>
    <w:rsid w:val="00FC4090"/>
    <w:rsid w:val="00FC55B4"/>
    <w:rsid w:val="00FD00E6"/>
    <w:rsid w:val="00FD09A1"/>
    <w:rsid w:val="00FD2A7C"/>
    <w:rsid w:val="00FD3BC4"/>
    <w:rsid w:val="00FD59EB"/>
    <w:rsid w:val="00FD7299"/>
    <w:rsid w:val="00FE1FBE"/>
    <w:rsid w:val="00FE3901"/>
    <w:rsid w:val="00FE39D3"/>
    <w:rsid w:val="00FE4BCE"/>
    <w:rsid w:val="00FE54AE"/>
    <w:rsid w:val="00FE576A"/>
    <w:rsid w:val="00FE7E79"/>
    <w:rsid w:val="00FF2D88"/>
    <w:rsid w:val="00FF3E7D"/>
    <w:rsid w:val="00FF5B99"/>
    <w:rsid w:val="00FF730C"/>
    <w:rsid w:val="00FF73F4"/>
    <w:rsid w:val="00FF7CE4"/>
    <w:rsid w:val="00FF7E39"/>
    <w:rsid w:val="07374368"/>
    <w:rsid w:val="7AD97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9"/>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0"/>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rFonts w:ascii="Times New Roman" w:hAnsi="Times New Roman" w:eastAsia="宋体" w:cs="Times New Roman"/>
      <w:b/>
      <w:bCs/>
      <w:kern w:val="44"/>
      <w:sz w:val="44"/>
      <w:szCs w:val="44"/>
    </w:rPr>
  </w:style>
  <w:style w:type="character" w:customStyle="1" w:styleId="35">
    <w:name w:val="标题 2 Char"/>
    <w:link w:val="3"/>
    <w:uiPriority w:val="0"/>
    <w:rPr>
      <w:rFonts w:ascii="Arial" w:hAnsi="Arial" w:eastAsia="黑体" w:cs="Times New Roman"/>
      <w:b/>
      <w:bCs/>
      <w:sz w:val="32"/>
      <w:szCs w:val="32"/>
    </w:rPr>
  </w:style>
  <w:style w:type="character" w:customStyle="1" w:styleId="36">
    <w:name w:val="标题 3 Char"/>
    <w:link w:val="4"/>
    <w:uiPriority w:val="9"/>
    <w:rPr>
      <w:rFonts w:ascii="Times New Roman" w:hAnsi="Times New Roman" w:eastAsia="宋体" w:cs="Times New Roman"/>
      <w:b/>
      <w:bCs/>
      <w:sz w:val="32"/>
      <w:szCs w:val="32"/>
    </w:rPr>
  </w:style>
  <w:style w:type="character" w:customStyle="1" w:styleId="37">
    <w:name w:val="标题 4 Char"/>
    <w:link w:val="5"/>
    <w:uiPriority w:val="0"/>
    <w:rPr>
      <w:rFonts w:ascii="Arial" w:hAnsi="Arial" w:eastAsia="黑体" w:cs="Times New Roman"/>
      <w:b/>
      <w:bCs/>
      <w:sz w:val="28"/>
      <w:szCs w:val="28"/>
    </w:rPr>
  </w:style>
  <w:style w:type="character" w:customStyle="1" w:styleId="38">
    <w:name w:val="标题 5 Char"/>
    <w:link w:val="6"/>
    <w:uiPriority w:val="0"/>
    <w:rPr>
      <w:rFonts w:ascii="Times New Roman" w:hAnsi="Times New Roman" w:eastAsia="宋体" w:cs="Times New Roman"/>
      <w:b/>
      <w:bCs/>
      <w:sz w:val="28"/>
      <w:szCs w:val="28"/>
    </w:rPr>
  </w:style>
  <w:style w:type="character" w:customStyle="1" w:styleId="39">
    <w:name w:val="标题 6 Char"/>
    <w:link w:val="7"/>
    <w:uiPriority w:val="0"/>
    <w:rPr>
      <w:rFonts w:ascii="Arial" w:hAnsi="Arial" w:eastAsia="黑体" w:cs="Times New Roman"/>
      <w:b/>
      <w:bCs/>
      <w:sz w:val="24"/>
      <w:szCs w:val="24"/>
    </w:rPr>
  </w:style>
  <w:style w:type="character" w:customStyle="1" w:styleId="40">
    <w:name w:val="标题 7 Char"/>
    <w:link w:val="8"/>
    <w:uiPriority w:val="0"/>
    <w:rPr>
      <w:rFonts w:ascii="Times New Roman" w:hAnsi="Times New Roman" w:eastAsia="宋体" w:cs="Times New Roman"/>
      <w:b/>
      <w:bCs/>
      <w:sz w:val="24"/>
      <w:szCs w:val="24"/>
    </w:rPr>
  </w:style>
  <w:style w:type="character" w:customStyle="1" w:styleId="41">
    <w:name w:val="标题 8 Char"/>
    <w:link w:val="9"/>
    <w:uiPriority w:val="0"/>
    <w:rPr>
      <w:rFonts w:ascii="Arial" w:hAnsi="Arial" w:eastAsia="黑体" w:cs="Times New Roman"/>
      <w:sz w:val="24"/>
      <w:szCs w:val="24"/>
    </w:rPr>
  </w:style>
  <w:style w:type="character" w:customStyle="1" w:styleId="42">
    <w:name w:val="标题 9 Char"/>
    <w:link w:val="10"/>
    <w:uiPriority w:val="0"/>
    <w:rPr>
      <w:rFonts w:ascii="Arial" w:hAnsi="Arial" w:eastAsia="黑体" w:cs="Times New Roman"/>
      <w:szCs w:val="21"/>
    </w:rPr>
  </w:style>
  <w:style w:type="character" w:customStyle="1" w:styleId="43">
    <w:name w:val="页眉 Char"/>
    <w:link w:val="18"/>
    <w:uiPriority w:val="99"/>
    <w:rPr>
      <w:rFonts w:ascii="Times New Roman" w:hAnsi="Times New Roman" w:eastAsia="宋体" w:cs="Times New Roman"/>
      <w:sz w:val="18"/>
      <w:szCs w:val="18"/>
    </w:rPr>
  </w:style>
  <w:style w:type="character" w:customStyle="1" w:styleId="44">
    <w:name w:val="页脚 Char"/>
    <w:link w:val="17"/>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ind w:left="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link w:val="231"/>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uiPriority w:val="0"/>
    <w:rPr>
      <w:rFonts w:ascii="宋体" w:hAnsi="Times New Roman"/>
      <w:sz w:val="21"/>
    </w:rPr>
  </w:style>
  <w:style w:type="paragraph" w:customStyle="1" w:styleId="232">
    <w:name w:val="一级条标题"/>
    <w:next w:val="230"/>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3">
    <w:name w:val="章标题"/>
    <w:next w:val="230"/>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4">
    <w:name w:val="二级条标题"/>
    <w:basedOn w:val="232"/>
    <w:next w:val="230"/>
    <w:uiPriority w:val="0"/>
    <w:pPr>
      <w:numPr>
        <w:ilvl w:val="2"/>
      </w:numPr>
      <w:spacing w:before="50" w:after="50"/>
      <w:outlineLvl w:val="3"/>
    </w:pPr>
  </w:style>
  <w:style w:type="paragraph" w:customStyle="1" w:styleId="235">
    <w:name w:val="数字编号列项（二级）"/>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236">
    <w:name w:val="四级条标题"/>
    <w:basedOn w:val="1"/>
    <w:next w:val="230"/>
    <w:uiPriority w:val="0"/>
    <w:pPr>
      <w:widowControl/>
      <w:numPr>
        <w:ilvl w:val="4"/>
        <w:numId w:val="32"/>
      </w:numPr>
      <w:adjustRightInd/>
      <w:spacing w:before="50" w:beforeLines="50" w:after="50" w:afterLines="50" w:line="240" w:lineRule="auto"/>
      <w:jc w:val="left"/>
      <w:outlineLvl w:val="5"/>
    </w:pPr>
    <w:rPr>
      <w:rFonts w:ascii="黑体" w:hAnsi="Times New Roman" w:eastAsia="黑体"/>
      <w:kern w:val="0"/>
    </w:rPr>
  </w:style>
  <w:style w:type="paragraph" w:customStyle="1" w:styleId="237">
    <w:name w:val="五级条标题"/>
    <w:basedOn w:val="236"/>
    <w:next w:val="230"/>
    <w:uiPriority w:val="0"/>
    <w:pPr>
      <w:numPr>
        <w:ilvl w:val="5"/>
      </w:numPr>
      <w:outlineLvl w:val="6"/>
    </w:pPr>
  </w:style>
  <w:style w:type="paragraph" w:customStyle="1" w:styleId="238">
    <w:name w:val="正文表标题"/>
    <w:next w:val="230"/>
    <w:uiPriority w:val="0"/>
    <w:pPr>
      <w:spacing w:beforeLines="50" w:afterLines="50"/>
      <w:jc w:val="center"/>
    </w:pPr>
    <w:rPr>
      <w:rFonts w:ascii="黑体" w:hAnsi="Times New Roman" w:eastAsia="黑体" w:cs="Times New Roman"/>
      <w:sz w:val="21"/>
      <w:lang w:val="en-US" w:eastAsia="zh-CN" w:bidi="ar-SA"/>
    </w:rPr>
  </w:style>
  <w:style w:type="table" w:customStyle="1" w:styleId="239">
    <w:name w:val="网格型1"/>
    <w:basedOn w:val="26"/>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40">
    <w:name w:val="Char"/>
    <w:basedOn w:val="1"/>
    <w:semiHidden/>
    <w:uiPriority w:val="0"/>
    <w:pPr>
      <w:widowControl/>
      <w:adjustRightInd/>
      <w:spacing w:after="160" w:line="240" w:lineRule="exact"/>
      <w:jc w:val="left"/>
    </w:pPr>
    <w:rPr>
      <w:rFonts w:ascii="Verdana" w:hAnsi="Verdana"/>
      <w:kern w:val="0"/>
      <w:sz w:val="20"/>
      <w:szCs w:val="20"/>
      <w:lang w:eastAsia="en-US"/>
    </w:rPr>
  </w:style>
  <w:style w:type="paragraph" w:customStyle="1" w:styleId="241">
    <w:name w:val="Revision"/>
    <w:hidden/>
    <w:semiHidden/>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4.jpeg"/><Relationship Id="rId23" Type="http://schemas.openxmlformats.org/officeDocument/2006/relationships/image" Target="media/image3.wmf"/><Relationship Id="rId22" Type="http://schemas.openxmlformats.org/officeDocument/2006/relationships/oleObject" Target="embeddings/oleObject1.bin"/><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B7AAEB999BB4DB3BB7021AC7C272813"/>
        <w:style w:val=""/>
        <w:category>
          <w:name w:val="常规"/>
          <w:gallery w:val="placeholder"/>
        </w:category>
        <w:types>
          <w:type w:val="bbPlcHdr"/>
        </w:types>
        <w:behaviors>
          <w:behavior w:val="content"/>
        </w:behaviors>
        <w:description w:val=""/>
        <w:guid w:val="{1CEFD63E-9495-4AEC-A78C-7A001E063193}"/>
      </w:docPartPr>
      <w:docPartBody>
        <w:p>
          <w:pPr>
            <w:pStyle w:val="5"/>
          </w:pPr>
          <w:r>
            <w:rPr>
              <w:rStyle w:val="4"/>
              <w:rFonts w:hint="eastAsia"/>
            </w:rPr>
            <w:t>单击或点击此处输入文字。</w:t>
          </w:r>
        </w:p>
      </w:docPartBody>
    </w:docPart>
    <w:docPart>
      <w:docPartPr>
        <w:name w:val="EF6DF1E0C2D74592B06C2B93E986A2DD"/>
        <w:style w:val=""/>
        <w:category>
          <w:name w:val="常规"/>
          <w:gallery w:val="placeholder"/>
        </w:category>
        <w:types>
          <w:type w:val="bbPlcHdr"/>
        </w:types>
        <w:behaviors>
          <w:behavior w:val="content"/>
        </w:behaviors>
        <w:description w:val=""/>
        <w:guid w:val="{1813C5F4-F922-4C2C-9454-08AD8B4E61F5}"/>
      </w:docPartPr>
      <w:docPartBody>
        <w:p>
          <w:pPr>
            <w:pStyle w:val="6"/>
          </w:pPr>
          <w:r>
            <w:rPr>
              <w:rStyle w:val="4"/>
              <w:rFonts w:hint="eastAsia"/>
            </w:rPr>
            <w:t>选择一项。</w:t>
          </w:r>
        </w:p>
      </w:docPartBody>
    </w:docPart>
    <w:docPart>
      <w:docPartPr>
        <w:name w:val="98E9C047038E43FF96E173964DDCCE41"/>
        <w:style w:val=""/>
        <w:category>
          <w:name w:val="常规"/>
          <w:gallery w:val="placeholder"/>
        </w:category>
        <w:types>
          <w:type w:val="bbPlcHdr"/>
        </w:types>
        <w:behaviors>
          <w:behavior w:val="content"/>
        </w:behaviors>
        <w:description w:val=""/>
        <w:guid w:val="{7792117A-9FD9-4DBE-A7E4-E914153D2CC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33"/>
    <w:rsid w:val="00160D11"/>
    <w:rsid w:val="00284062"/>
    <w:rsid w:val="00327E35"/>
    <w:rsid w:val="006128D4"/>
    <w:rsid w:val="0072100D"/>
    <w:rsid w:val="00AD47D4"/>
    <w:rsid w:val="00B05C4B"/>
    <w:rsid w:val="00BC6D0E"/>
    <w:rsid w:val="00C41C8C"/>
    <w:rsid w:val="00D00733"/>
    <w:rsid w:val="00D4324B"/>
    <w:rsid w:val="00EE58DC"/>
    <w:rsid w:val="00FF2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3B7AAEB999BB4DB3BB7021AC7C27281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F6DF1E0C2D74592B06C2B93E986A2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8E9C047038E43FF96E173964DDCCE4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935574-8B94-40B8-8367-D0B74B8E2E53}">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8</Pages>
  <Words>417</Words>
  <Characters>2378</Characters>
  <Lines>19</Lines>
  <Paragraphs>5</Paragraphs>
  <TotalTime>2768</TotalTime>
  <ScaleCrop>false</ScaleCrop>
  <LinksUpToDate>false</LinksUpToDate>
  <CharactersWithSpaces>2790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2021-06-30T07:44:00Z</dcterms:created>
  <dc:creator>黄开顺</dc:creator>
  <dc:description>&lt;config cover="true" show_menu="true" version="1.0.0" doctype="SDKXY"&gt;_x000d_
&lt;/config&gt;</dc:description>
  <cp:lastModifiedBy>誰念誰川</cp:lastModifiedBy>
  <cp:lastPrinted>2021-02-02T08:22:00Z</cp:lastPrinted>
  <dcterms:modified xsi:type="dcterms:W3CDTF">2021-12-27T01:52:23Z</dcterms:modified>
  <dc:title>团体标准</dc:title>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2052-11.1.0.11194</vt:lpwstr>
  </property>
  <property fmtid="{D5CDD505-2E9C-101B-9397-08002B2CF9AE}" pid="16" name="ICV">
    <vt:lpwstr>9B79579BF57B4468945D75F23299948F</vt:lpwstr>
  </property>
</Properties>
</file>