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67</w:t>
            </w:r>
            <w:r>
              <w:rPr>
                <w:rFonts w:hint="eastAsia" w:ascii="黑体" w:hAnsi="黑体" w:eastAsia="黑体"/>
                <w:sz w:val="21"/>
                <w:szCs w:val="21"/>
              </w:rPr>
              <w:t>.</w:t>
            </w:r>
            <w:r>
              <w:rPr>
                <w:rFonts w:ascii="黑体" w:hAnsi="黑体" w:eastAsia="黑体"/>
                <w:sz w:val="21"/>
                <w:szCs w:val="21"/>
              </w:rPr>
              <w:t>200</w:t>
            </w:r>
            <w:r>
              <w:rPr>
                <w:rFonts w:hint="eastAsia" w:ascii="黑体" w:hAnsi="黑体" w:eastAsia="黑体"/>
                <w:sz w:val="21"/>
                <w:szCs w:val="21"/>
              </w:rPr>
              <w:t>.</w:t>
            </w:r>
            <w:r>
              <w:rPr>
                <w:rFonts w:ascii="黑体" w:hAnsi="黑体" w:eastAsia="黑体"/>
                <w:sz w:val="21"/>
                <w:szCs w:val="21"/>
              </w:rPr>
              <w:t>10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1021" w:hRule="exact"/>
              </w:trPr>
              <w:tc>
                <w:tcPr>
                  <w:tcW w:w="9242" w:type="dxa"/>
                  <w:vAlign w:val="center"/>
                </w:tcPr>
                <w:p>
                  <w:pPr>
                    <w:pStyle w:val="49"/>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X</w:t>
            </w:r>
            <w:r>
              <w:rPr>
                <w:rFonts w:ascii="黑体" w:hAnsi="黑体" w:eastAsia="黑体"/>
                <w:sz w:val="21"/>
                <w:szCs w:val="21"/>
              </w:rPr>
              <w:t xml:space="preserve"> 14</w:t>
            </w:r>
            <w:r>
              <w:rPr>
                <w:rFonts w:ascii="黑体" w:hAnsi="黑体" w:eastAsia="黑体"/>
                <w:sz w:val="21"/>
                <w:szCs w:val="21"/>
              </w:rPr>
              <w:fldChar w:fldCharType="end"/>
            </w:r>
            <w:bookmarkEnd w:id="2"/>
          </w:p>
        </w:tc>
      </w:tr>
    </w:tbl>
    <w:p>
      <w:pPr>
        <w:pStyle w:val="50"/>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pPr>
        <w:pStyle w:val="195"/>
        <w:framePr/>
      </w:pPr>
      <w:r>
        <w:t>T/</w:t>
      </w:r>
      <w:r>
        <w:fldChar w:fldCharType="begin">
          <w:ffData>
            <w:name w:val="文字1"/>
            <w:enabled/>
            <w:calcOnExit w:val="0"/>
            <w:textInput>
              <w:default w:val="GXAS"/>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rPr>
          <w:rFonts w:hint="eastAsia"/>
          <w:lang w:eastAsia="zh-CN"/>
        </w:rPr>
        <w:t>X</w:t>
      </w:r>
      <w:r>
        <w:rPr>
          <w:rFonts w:hint="eastAsia"/>
          <w:lang w:val="en-US" w:eastAsia="zh-CN"/>
        </w:rPr>
        <w:t>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2021</w:t>
      </w:r>
      <w:r>
        <w:fldChar w:fldCharType="end"/>
      </w:r>
      <w:bookmarkEnd w:id="6"/>
    </w:p>
    <w:p>
      <w:pPr>
        <w:pStyle w:val="196"/>
        <w:framePr/>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广西山茶油"/>
            </w:textInput>
          </w:ffData>
        </w:fldChar>
      </w:r>
      <w:bookmarkStart w:id="8" w:name="CSTD_NAME"/>
      <w:r>
        <w:instrText xml:space="preserve"> FORMTEXT </w:instrText>
      </w:r>
      <w:r>
        <w:fldChar w:fldCharType="separate"/>
      </w:r>
      <w:r>
        <w:t>广西原味</w:t>
      </w:r>
      <w:bookmarkStart w:id="55" w:name="_GoBack"/>
      <w:bookmarkEnd w:id="55"/>
      <w:r>
        <w:t>山茶油</w:t>
      </w:r>
      <w:r>
        <w:fldChar w:fldCharType="end"/>
      </w:r>
      <w:bookmarkEnd w:id="8"/>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Guangxi oil-tea camellia seed oil"/>
            </w:textInput>
          </w:ffData>
        </w:fldChar>
      </w:r>
      <w:bookmarkStart w:id="9"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 xml:space="preserve">Guangxi </w:t>
      </w:r>
      <w:r>
        <w:rPr>
          <w:rFonts w:hint="eastAsia" w:ascii="黑体" w:hAnsi="黑体" w:eastAsia="黑体"/>
          <w:szCs w:val="28"/>
        </w:rPr>
        <w:t>original</w:t>
      </w:r>
      <w:r>
        <w:rPr>
          <w:rFonts w:ascii="黑体" w:hAnsi="黑体" w:eastAsia="黑体"/>
          <w:szCs w:val="28"/>
        </w:rPr>
        <w:t xml:space="preserve"> </w:t>
      </w:r>
      <w:r>
        <w:rPr>
          <w:rFonts w:ascii="黑体" w:hAnsi="黑体" w:eastAsia="黑体"/>
          <w:i/>
          <w:iCs/>
          <w:szCs w:val="28"/>
        </w:rPr>
        <w:t>camellia</w:t>
      </w:r>
      <w:r>
        <w:rPr>
          <w:rFonts w:ascii="黑体" w:hAnsi="黑体" w:eastAsia="黑体"/>
          <w:szCs w:val="28"/>
        </w:rPr>
        <w:t xml:space="preserve"> seed oil</w:t>
      </w:r>
      <w:r>
        <w:rPr>
          <w:rFonts w:ascii="黑体" w:hAnsi="黑体" w:eastAsia="黑体"/>
          <w:szCs w:val="28"/>
        </w:rPr>
        <w:fldChar w:fldCharType="end"/>
      </w:r>
      <w:bookmarkEnd w:id="9"/>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4"/>
              <w:listEntry w:val="（报批稿）"/>
              <w:listEntry w:val=" "/>
              <w:listEntry w:val="草案版次选择"/>
              <w:listEntry w:val="（工作组讨论稿）"/>
              <w:listEntry w:val="（征求意见稿）"/>
              <w:listEntry w:val="（送审讨论稿）"/>
              <w:listEntry w:val="（送审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rFonts w:hint="eastAsia"/>
          <w:sz w:val="21"/>
          <w:szCs w:val="28"/>
        </w:rPr>
        <w:t>（本草案完成时间：）</w:t>
      </w:r>
      <w:r>
        <w:rPr>
          <w:sz w:val="21"/>
          <w:szCs w:val="28"/>
        </w:rPr>
        <w:fldChar w:fldCharType="end"/>
      </w:r>
      <w:bookmarkEnd w:id="11"/>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3"/>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2021</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2021</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51"/>
        <w:framePr w:h="584" w:hRule="exact" w:hSpace="181" w:vSpace="181" w:wrap="around" w:y="14800"/>
        <w:rPr>
          <w:rFonts w:hAnsi="黑体"/>
        </w:rPr>
      </w:pPr>
      <w:r>
        <w:rPr>
          <w:rFonts w:hAnsi="黑体"/>
          <w:w w:val="100"/>
          <w:sz w:val="28"/>
        </w:rPr>
        <w:fldChar w:fldCharType="begin">
          <w:ffData>
            <w:name w:val="fm"/>
            <w:enabled/>
            <w:calcOnExit w:val="0"/>
            <w:textInput>
              <w:default w:val="广西标准化协会"/>
            </w:textInput>
          </w:ffData>
        </w:fldChar>
      </w:r>
      <w:bookmarkStart w:id="19" w:name="fm"/>
      <w:r>
        <w:rPr>
          <w:rFonts w:hAnsi="黑体"/>
          <w:w w:val="100"/>
          <w:sz w:val="28"/>
        </w:rPr>
        <w:instrText xml:space="preserve"> FORMTEXT </w:instrText>
      </w:r>
      <w:r>
        <w:rPr>
          <w:rFonts w:hAnsi="黑体"/>
          <w:w w:val="100"/>
          <w:sz w:val="28"/>
        </w:rPr>
        <w:fldChar w:fldCharType="separate"/>
      </w:r>
      <w:r>
        <w:rPr>
          <w:rFonts w:hAnsi="黑体"/>
          <w:w w:val="100"/>
          <w:sz w:val="28"/>
        </w:rPr>
        <w:t>广西标准化协会</w:t>
      </w:r>
      <w:r>
        <w:rPr>
          <w:rFonts w:hAnsi="黑体"/>
          <w:w w:val="100"/>
          <w:sz w:val="28"/>
        </w:rPr>
        <w:fldChar w:fldCharType="end"/>
      </w:r>
      <w:bookmarkEnd w:id="19"/>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360"/>
      </w:pPr>
      <w:bookmarkStart w:id="20" w:name="BookMark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"_Toc83824319" </w:instrText>
      </w:r>
      <w:r>
        <w:fldChar w:fldCharType="separate"/>
      </w:r>
      <w:r>
        <w:rPr>
          <w:rStyle w:val="32"/>
          <w:rFonts w:hint="eastAsia"/>
        </w:rPr>
        <w:t>前言</w:t>
      </w:r>
      <w:r>
        <w:tab/>
      </w:r>
      <w:r>
        <w:fldChar w:fldCharType="begin"/>
      </w:r>
      <w:r>
        <w:instrText xml:space="preserve"> PAGEREF _Toc83824319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"_Toc83824320" </w:instrText>
      </w:r>
      <w:r>
        <w:fldChar w:fldCharType="separate"/>
      </w:r>
      <w:r>
        <w:rPr>
          <w:rStyle w:val="32"/>
        </w:rPr>
        <w:t xml:space="preserve">1 </w:t>
      </w:r>
      <w:r>
        <w:rPr>
          <w:rStyle w:val="32"/>
          <w:rFonts w:hint="eastAsia"/>
        </w:rPr>
        <w:t xml:space="preserve"> 范围</w:t>
      </w:r>
      <w:r>
        <w:tab/>
      </w:r>
      <w:r>
        <w:fldChar w:fldCharType="begin"/>
      </w:r>
      <w:r>
        <w:instrText xml:space="preserve"> PAGEREF _Toc83824320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"_Toc83824321" </w:instrText>
      </w:r>
      <w:r>
        <w:fldChar w:fldCharType="separate"/>
      </w:r>
      <w:r>
        <w:rPr>
          <w:rStyle w:val="32"/>
        </w:rPr>
        <w:t xml:space="preserve">2 </w:t>
      </w:r>
      <w:r>
        <w:rPr>
          <w:rStyle w:val="32"/>
          <w:rFonts w:hint="eastAsia"/>
        </w:rPr>
        <w:t xml:space="preserve"> 规范性引用文件</w:t>
      </w:r>
      <w:r>
        <w:tab/>
      </w:r>
      <w:r>
        <w:fldChar w:fldCharType="begin"/>
      </w:r>
      <w:r>
        <w:instrText xml:space="preserve"> PAGEREF _Toc83824321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"_Toc83824322" </w:instrText>
      </w:r>
      <w:r>
        <w:fldChar w:fldCharType="separate"/>
      </w:r>
      <w:r>
        <w:rPr>
          <w:rStyle w:val="32"/>
        </w:rPr>
        <w:t xml:space="preserve">3 </w:t>
      </w:r>
      <w:r>
        <w:rPr>
          <w:rStyle w:val="32"/>
          <w:rFonts w:hint="eastAsia"/>
        </w:rPr>
        <w:t xml:space="preserve"> 术语和定义</w:t>
      </w:r>
      <w:r>
        <w:tab/>
      </w:r>
      <w:r>
        <w:fldChar w:fldCharType="begin"/>
      </w:r>
      <w:r>
        <w:instrText xml:space="preserve"> PAGEREF _Toc83824322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"_Toc83824323" </w:instrText>
      </w:r>
      <w:r>
        <w:fldChar w:fldCharType="separate"/>
      </w:r>
      <w:r>
        <w:rPr>
          <w:rStyle w:val="32"/>
        </w:rPr>
        <w:t xml:space="preserve">4 </w:t>
      </w:r>
      <w:r>
        <w:rPr>
          <w:rStyle w:val="32"/>
          <w:rFonts w:hint="eastAsia"/>
        </w:rPr>
        <w:t xml:space="preserve"> 基本组成和主要物理参数</w:t>
      </w:r>
      <w:r>
        <w:tab/>
      </w:r>
      <w:r>
        <w:fldChar w:fldCharType="begin"/>
      </w:r>
      <w:r>
        <w:instrText xml:space="preserve"> PAGEREF _Toc83824323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"_Toc83824324" </w:instrText>
      </w:r>
      <w:r>
        <w:fldChar w:fldCharType="separate"/>
      </w:r>
      <w:r>
        <w:rPr>
          <w:rStyle w:val="32"/>
        </w:rPr>
        <w:t xml:space="preserve">5 </w:t>
      </w:r>
      <w:r>
        <w:rPr>
          <w:rStyle w:val="32"/>
          <w:rFonts w:hint="eastAsia"/>
        </w:rPr>
        <w:t xml:space="preserve"> 质量要求</w:t>
      </w:r>
      <w:r>
        <w:tab/>
      </w:r>
      <w:r>
        <w:fldChar w:fldCharType="begin"/>
      </w:r>
      <w:r>
        <w:instrText xml:space="preserve"> PAGEREF _Toc83824324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"_Toc83824325" </w:instrText>
      </w:r>
      <w:r>
        <w:fldChar w:fldCharType="separate"/>
      </w:r>
      <w:r>
        <w:rPr>
          <w:rStyle w:val="32"/>
        </w:rPr>
        <w:t xml:space="preserve">6 </w:t>
      </w:r>
      <w:r>
        <w:rPr>
          <w:rStyle w:val="32"/>
          <w:rFonts w:hint="eastAsia"/>
        </w:rPr>
        <w:t xml:space="preserve"> 检验方法</w:t>
      </w:r>
      <w:r>
        <w:tab/>
      </w:r>
      <w:r>
        <w:fldChar w:fldCharType="begin"/>
      </w:r>
      <w:r>
        <w:instrText xml:space="preserve"> PAGEREF _Toc83824325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"_Toc83824326" </w:instrText>
      </w:r>
      <w:r>
        <w:fldChar w:fldCharType="separate"/>
      </w:r>
      <w:r>
        <w:rPr>
          <w:rStyle w:val="32"/>
        </w:rPr>
        <w:t xml:space="preserve">7 </w:t>
      </w:r>
      <w:r>
        <w:rPr>
          <w:rStyle w:val="32"/>
          <w:rFonts w:hint="eastAsia"/>
        </w:rPr>
        <w:t xml:space="preserve"> 检验规则</w:t>
      </w:r>
      <w:r>
        <w:tab/>
      </w:r>
      <w:r>
        <w:fldChar w:fldCharType="begin"/>
      </w:r>
      <w:r>
        <w:instrText xml:space="preserve"> PAGEREF _Toc83824326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"_Toc83824327" </w:instrText>
      </w:r>
      <w:r>
        <w:fldChar w:fldCharType="separate"/>
      </w:r>
      <w:r>
        <w:rPr>
          <w:rStyle w:val="32"/>
        </w:rPr>
        <w:t xml:space="preserve">8 </w:t>
      </w:r>
      <w:r>
        <w:rPr>
          <w:rStyle w:val="32"/>
          <w:rFonts w:hint="eastAsia"/>
        </w:rPr>
        <w:t xml:space="preserve"> 标签</w:t>
      </w:r>
      <w:r>
        <w:tab/>
      </w:r>
      <w:r>
        <w:fldChar w:fldCharType="begin"/>
      </w:r>
      <w:r>
        <w:instrText xml:space="preserve"> PAGEREF _Toc83824327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"_Toc83824328" </w:instrText>
      </w:r>
      <w:r>
        <w:fldChar w:fldCharType="separate"/>
      </w:r>
      <w:r>
        <w:rPr>
          <w:rStyle w:val="32"/>
        </w:rPr>
        <w:t xml:space="preserve">9 </w:t>
      </w:r>
      <w:r>
        <w:rPr>
          <w:rStyle w:val="32"/>
          <w:rFonts w:hint="eastAsia"/>
        </w:rPr>
        <w:t xml:space="preserve"> 包装、储存、运输和销售</w:t>
      </w:r>
      <w:r>
        <w:tab/>
      </w:r>
      <w:r>
        <w:fldChar w:fldCharType="begin"/>
      </w:r>
      <w:r>
        <w:instrText xml:space="preserve"> PAGEREF _Toc83824328 \h </w:instrText>
      </w:r>
      <w:r>
        <w:fldChar w:fldCharType="separate"/>
      </w:r>
      <w:r>
        <w:t>4</w:t>
      </w:r>
      <w:r>
        <w:fldChar w:fldCharType="end"/>
      </w:r>
      <w:r>
        <w:fldChar w:fldCharType="end"/>
      </w:r>
    </w:p>
    <w:p>
      <w:pPr>
        <w:pStyle w:val="91"/>
        <w:spacing w:after="360"/>
        <w:sectPr>
          <w:headerReference r:id="rId9" w:type="default"/>
          <w:footerReference r:id="rId11" w:type="default"/>
          <w:headerReference r:id="rId10" w:type="even"/>
          <w:footerReference r:id="rId12" w:type="even"/>
          <w:pgSz w:w="11906" w:h="16838"/>
          <w:pgMar w:top="2410" w:right="1134" w:bottom="1134" w:left="1134" w:header="1418" w:footer="1134" w:gutter="284"/>
          <w:pgNumType w:fmt="upperRoman" w:start="1"/>
          <w:cols w:space="425" w:num="1"/>
          <w:formProt w:val="0"/>
          <w:docGrid w:linePitch="312" w:charSpace="0"/>
        </w:sectPr>
      </w:pPr>
      <w:r>
        <w:fldChar w:fldCharType="end"/>
      </w:r>
    </w:p>
    <w:bookmarkEnd w:id="20"/>
    <w:p>
      <w:pPr>
        <w:pStyle w:val="89"/>
        <w:spacing w:after="360"/>
      </w:pPr>
      <w:bookmarkStart w:id="21" w:name="_Toc83824319"/>
      <w:bookmarkStart w:id="22" w:name="BookMark2"/>
      <w:r>
        <w:rPr>
          <w:spacing w:val="320"/>
        </w:rPr>
        <w:t>前</w:t>
      </w:r>
      <w:r>
        <w:t>言</w:t>
      </w:r>
      <w:bookmarkEnd w:id="21"/>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请注意本文件的某些内容可能涉及专利。本文件的发布机构不承担识别专利的责任。</w:t>
      </w:r>
    </w:p>
    <w:p>
      <w:pPr>
        <w:pStyle w:val="56"/>
        <w:ind w:firstLine="420"/>
      </w:pPr>
      <w:r>
        <w:rPr>
          <w:rFonts w:hint="eastAsia"/>
        </w:rPr>
        <w:t>本文件由广西壮族自治区林业科学研究院提出、归口。</w:t>
      </w:r>
    </w:p>
    <w:p>
      <w:pPr>
        <w:pStyle w:val="56"/>
        <w:ind w:firstLine="420"/>
      </w:pPr>
      <w:r>
        <w:rPr>
          <w:rFonts w:hint="eastAsia"/>
        </w:rPr>
        <w:t>本文件起草单位：</w:t>
      </w:r>
      <w:bookmarkStart w:id="23" w:name="_Hlk66440248"/>
      <w:r>
        <w:rPr>
          <w:rFonts w:hint="eastAsia"/>
        </w:rPr>
        <w:t>广西壮族自治区林业科学研究院、环江伍香源食品有限责任公司、广西凤山春天有机农业有限公司。</w:t>
      </w:r>
      <w:bookmarkEnd w:id="23"/>
    </w:p>
    <w:p>
      <w:pPr>
        <w:pStyle w:val="56"/>
        <w:ind w:firstLine="420"/>
      </w:pPr>
      <w:r>
        <w:rPr>
          <w:rFonts w:hint="eastAsia"/>
        </w:rPr>
        <w:t>本文件主要起草人：陆顺忠、关继华、吴建文、汤星月、莫迎、肖伟冬、邱米、杨素华、范兴、李秋庭、党中广、黎贵卿。</w:t>
      </w:r>
    </w:p>
    <w:p>
      <w:pPr>
        <w:pStyle w:val="56"/>
        <w:ind w:firstLine="420"/>
      </w:pPr>
    </w:p>
    <w:p>
      <w:pPr>
        <w:pStyle w:val="56"/>
        <w:ind w:firstLine="420"/>
        <w:sectPr>
          <w:headerReference r:id="rId13" w:type="default"/>
          <w:footerReference r:id="rId15" w:type="default"/>
          <w:headerReference r:id="rId14" w:type="even"/>
          <w:footerReference r:id="rId16" w:type="even"/>
          <w:pgSz w:w="11906" w:h="16838"/>
          <w:pgMar w:top="2410" w:right="1134" w:bottom="1134" w:left="1134" w:header="1418" w:footer="1134" w:gutter="284"/>
          <w:pgNumType w:fmt="upperRoman"/>
          <w:cols w:space="425" w:num="1"/>
          <w:formProt w:val="0"/>
          <w:docGrid w:linePitch="312" w:charSpace="0"/>
        </w:sectPr>
      </w:pPr>
    </w:p>
    <w:bookmarkEnd w:id="22"/>
    <w:p>
      <w:pPr>
        <w:spacing w:line="20" w:lineRule="exact"/>
        <w:jc w:val="center"/>
        <w:rPr>
          <w:rFonts w:ascii="黑体" w:hAnsi="黑体" w:eastAsia="黑体"/>
          <w:sz w:val="32"/>
          <w:szCs w:val="32"/>
        </w:rPr>
      </w:pPr>
      <w:bookmarkStart w:id="24" w:name="BookMark4"/>
    </w:p>
    <w:p>
      <w:pPr>
        <w:spacing w:line="20" w:lineRule="exact"/>
        <w:jc w:val="center"/>
        <w:rPr>
          <w:rFonts w:ascii="黑体" w:hAnsi="黑体" w:eastAsia="黑体"/>
          <w:sz w:val="32"/>
          <w:szCs w:val="32"/>
        </w:rPr>
      </w:pPr>
    </w:p>
    <w:sdt>
      <w:sdtPr>
        <w:tag w:val="NEW_STAND_NAME"/>
        <w:id w:val="595910757"/>
        <w:lock w:val="sdtLocked"/>
        <w:placeholder>
          <w:docPart w:val="1D6FF2A317C74F17922A762932622B82"/>
        </w:placeholder>
      </w:sdtPr>
      <w:sdtContent>
        <w:p>
          <w:pPr>
            <w:pStyle w:val="177"/>
            <w:spacing w:before="2" w:beforeLines="1" w:after="528" w:afterLines="220"/>
          </w:pPr>
          <w:bookmarkStart w:id="25" w:name="NEW_STAND_NAME"/>
          <w:r>
            <w:rPr>
              <w:rFonts w:hint="eastAsia"/>
            </w:rPr>
            <w:t>广西原味山茶油</w:t>
          </w:r>
        </w:p>
      </w:sdtContent>
    </w:sdt>
    <w:bookmarkEnd w:id="25"/>
    <w:p>
      <w:pPr>
        <w:pStyle w:val="104"/>
        <w:spacing w:before="240" w:after="240"/>
      </w:pPr>
      <w:bookmarkStart w:id="26" w:name="_Toc17233333"/>
      <w:bookmarkStart w:id="27" w:name="_Toc26648465"/>
      <w:bookmarkStart w:id="28" w:name="_Toc26718930"/>
      <w:bookmarkStart w:id="29" w:name="_Toc24884218"/>
      <w:bookmarkStart w:id="30" w:name="_Toc17233325"/>
      <w:bookmarkStart w:id="31" w:name="_Toc26986771"/>
      <w:bookmarkStart w:id="32" w:name="_Toc24884211"/>
      <w:bookmarkStart w:id="33" w:name="_Toc83824320"/>
      <w:bookmarkStart w:id="34" w:name="_Toc26986530"/>
      <w:r>
        <w:rPr>
          <w:rFonts w:hint="eastAsia"/>
        </w:rPr>
        <w:t>范围</w:t>
      </w:r>
      <w:bookmarkEnd w:id="26"/>
      <w:bookmarkEnd w:id="27"/>
      <w:bookmarkEnd w:id="28"/>
      <w:bookmarkEnd w:id="29"/>
      <w:bookmarkEnd w:id="30"/>
      <w:bookmarkEnd w:id="31"/>
      <w:bookmarkEnd w:id="32"/>
      <w:bookmarkEnd w:id="33"/>
      <w:bookmarkEnd w:id="34"/>
    </w:p>
    <w:p>
      <w:pPr>
        <w:pStyle w:val="56"/>
        <w:ind w:firstLine="420"/>
      </w:pPr>
      <w:bookmarkStart w:id="35" w:name="_Toc24884219"/>
      <w:bookmarkStart w:id="36" w:name="_Toc26986531"/>
      <w:bookmarkStart w:id="37" w:name="_Toc17233334"/>
      <w:bookmarkStart w:id="38" w:name="_Toc26718931"/>
      <w:bookmarkStart w:id="39" w:name="_Toc26986772"/>
      <w:bookmarkStart w:id="40" w:name="_Toc24884212"/>
      <w:bookmarkStart w:id="41" w:name="_Toc17233326"/>
      <w:bookmarkStart w:id="42" w:name="_Toc26648466"/>
      <w:r>
        <w:rPr>
          <w:rFonts w:hint="eastAsia"/>
        </w:rPr>
        <w:t>本文件界定了广西原味山茶油的术语和定义、规定了基本组成和主要物理参数、质量要求、检验方法及规则、标签、包装、储存、运输和销售等。</w:t>
      </w:r>
    </w:p>
    <w:p>
      <w:pPr>
        <w:pStyle w:val="56"/>
        <w:ind w:firstLine="420"/>
      </w:pPr>
      <w:r>
        <w:rPr>
          <w:rFonts w:hint="eastAsia"/>
        </w:rPr>
        <w:t>本文件适用于</w:t>
      </w:r>
      <w:r>
        <w:rPr>
          <w:rFonts w:hint="eastAsia" w:hAnsi="宋体" w:cs="宋体"/>
          <w:color w:val="000000"/>
          <w:szCs w:val="21"/>
        </w:rPr>
        <w:t>广西壮族自治区行政区域</w:t>
      </w:r>
      <w:r>
        <w:rPr>
          <w:rFonts w:hint="eastAsia"/>
        </w:rPr>
        <w:t>内用压榨法加工的食用山茶油。</w:t>
      </w:r>
    </w:p>
    <w:p>
      <w:pPr>
        <w:pStyle w:val="104"/>
        <w:spacing w:before="240" w:after="240"/>
      </w:pPr>
      <w:bookmarkStart w:id="43" w:name="_Toc83824321"/>
      <w:r>
        <w:rPr>
          <w:rFonts w:hint="eastAsia"/>
        </w:rPr>
        <w:t>规范性引用文件</w:t>
      </w:r>
      <w:bookmarkEnd w:id="35"/>
      <w:bookmarkEnd w:id="36"/>
      <w:bookmarkEnd w:id="37"/>
      <w:bookmarkEnd w:id="38"/>
      <w:bookmarkEnd w:id="39"/>
      <w:bookmarkEnd w:id="40"/>
      <w:bookmarkEnd w:id="41"/>
      <w:bookmarkEnd w:id="42"/>
      <w:bookmarkEnd w:id="43"/>
    </w:p>
    <w:sdt>
      <w:sdtPr>
        <w:rPr>
          <w:rFonts w:hint="eastAsia"/>
        </w:rPr>
        <w:id w:val="715848253"/>
        <w:placeholder>
          <w:docPart w:val="14C653F9F7FF412DB4A3078046680EA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 xml:space="preserve">GB/T 191 </w:t>
      </w:r>
      <w:r>
        <w:t xml:space="preserve"> </w:t>
      </w:r>
      <w:r>
        <w:rPr>
          <w:rFonts w:hint="eastAsia"/>
        </w:rPr>
        <w:t>包装储运图示标志</w:t>
      </w:r>
    </w:p>
    <w:p>
      <w:pPr>
        <w:pStyle w:val="56"/>
        <w:ind w:firstLine="420"/>
      </w:pPr>
      <w:r>
        <w:rPr>
          <w:rFonts w:hint="eastAsia"/>
        </w:rPr>
        <w:t xml:space="preserve">GB 2716 </w:t>
      </w:r>
      <w:r>
        <w:t xml:space="preserve"> </w:t>
      </w:r>
      <w:r>
        <w:rPr>
          <w:rFonts w:hint="eastAsia"/>
        </w:rPr>
        <w:t>食品安全国家标准 植物油</w:t>
      </w:r>
    </w:p>
    <w:p>
      <w:pPr>
        <w:pStyle w:val="56"/>
        <w:ind w:firstLine="420"/>
      </w:pPr>
      <w:r>
        <w:rPr>
          <w:rFonts w:hint="eastAsia"/>
        </w:rPr>
        <w:t xml:space="preserve">GB 5009.27 </w:t>
      </w:r>
      <w:r>
        <w:t xml:space="preserve"> </w:t>
      </w:r>
      <w:r>
        <w:rPr>
          <w:rFonts w:hint="eastAsia"/>
        </w:rPr>
        <w:t>食品安全国家标准</w:t>
      </w:r>
      <w:r>
        <w:t xml:space="preserve">  </w:t>
      </w:r>
      <w:r>
        <w:rPr>
          <w:rFonts w:hint="eastAsia"/>
        </w:rPr>
        <w:t>食品中苯并（a）芘的测定</w:t>
      </w:r>
    </w:p>
    <w:p>
      <w:pPr>
        <w:pStyle w:val="56"/>
        <w:ind w:firstLine="420"/>
      </w:pPr>
      <w:r>
        <w:rPr>
          <w:rFonts w:hint="eastAsia"/>
        </w:rPr>
        <w:t xml:space="preserve">GB 5009.82 </w:t>
      </w:r>
      <w:r>
        <w:t xml:space="preserve"> </w:t>
      </w:r>
      <w:r>
        <w:rPr>
          <w:rFonts w:hint="eastAsia"/>
        </w:rPr>
        <w:t>食品安全国家标准</w:t>
      </w:r>
      <w:r>
        <w:t xml:space="preserve">  </w:t>
      </w:r>
      <w:r>
        <w:rPr>
          <w:rFonts w:hint="eastAsia"/>
        </w:rPr>
        <w:t>食品中维生素A、D、E的测定</w:t>
      </w:r>
    </w:p>
    <w:p>
      <w:pPr>
        <w:pStyle w:val="56"/>
        <w:ind w:firstLine="420"/>
      </w:pPr>
      <w:r>
        <w:rPr>
          <w:rFonts w:hint="eastAsia"/>
        </w:rPr>
        <w:t xml:space="preserve">GB 5009.168 </w:t>
      </w:r>
      <w:r>
        <w:t xml:space="preserve"> </w:t>
      </w:r>
      <w:r>
        <w:rPr>
          <w:rFonts w:hint="eastAsia"/>
        </w:rPr>
        <w:t xml:space="preserve">食品安全国家标准 </w:t>
      </w:r>
      <w:r>
        <w:t xml:space="preserve"> </w:t>
      </w:r>
      <w:r>
        <w:rPr>
          <w:rFonts w:hint="eastAsia"/>
        </w:rPr>
        <w:t>食品中脂肪酸的测定</w:t>
      </w:r>
    </w:p>
    <w:p>
      <w:pPr>
        <w:pStyle w:val="56"/>
        <w:ind w:firstLine="420"/>
      </w:pPr>
      <w:r>
        <w:rPr>
          <w:rFonts w:hint="eastAsia"/>
        </w:rPr>
        <w:t xml:space="preserve">GB 5009.227 </w:t>
      </w:r>
      <w:r>
        <w:t xml:space="preserve"> </w:t>
      </w:r>
      <w:r>
        <w:rPr>
          <w:rFonts w:hint="eastAsia"/>
        </w:rPr>
        <w:t xml:space="preserve">食品安全国家标准 </w:t>
      </w:r>
      <w:r>
        <w:t xml:space="preserve"> </w:t>
      </w:r>
      <w:r>
        <w:rPr>
          <w:rFonts w:hint="eastAsia"/>
        </w:rPr>
        <w:t>食品中过氧化值的测定</w:t>
      </w:r>
    </w:p>
    <w:p>
      <w:pPr>
        <w:pStyle w:val="56"/>
        <w:ind w:firstLine="420"/>
      </w:pPr>
      <w:r>
        <w:rPr>
          <w:rFonts w:hint="eastAsia"/>
        </w:rPr>
        <w:t xml:space="preserve">GB 5009.229 </w:t>
      </w:r>
      <w:r>
        <w:t xml:space="preserve"> </w:t>
      </w:r>
      <w:r>
        <w:rPr>
          <w:rFonts w:hint="eastAsia"/>
        </w:rPr>
        <w:t xml:space="preserve">食品安全国家标准 </w:t>
      </w:r>
      <w:r>
        <w:t xml:space="preserve"> </w:t>
      </w:r>
      <w:r>
        <w:rPr>
          <w:rFonts w:hint="eastAsia"/>
        </w:rPr>
        <w:t>食品中酸价的测定</w:t>
      </w:r>
    </w:p>
    <w:p>
      <w:pPr>
        <w:pStyle w:val="56"/>
        <w:ind w:firstLine="420"/>
      </w:pPr>
      <w:r>
        <w:rPr>
          <w:rFonts w:hint="eastAsia"/>
        </w:rPr>
        <w:t xml:space="preserve">GB 5009.236 </w:t>
      </w:r>
      <w:r>
        <w:t xml:space="preserve"> </w:t>
      </w:r>
      <w:r>
        <w:rPr>
          <w:rFonts w:hint="eastAsia"/>
        </w:rPr>
        <w:t xml:space="preserve">食品安全国家标准 </w:t>
      </w:r>
      <w:r>
        <w:t xml:space="preserve"> </w:t>
      </w:r>
      <w:r>
        <w:rPr>
          <w:rFonts w:hint="eastAsia"/>
        </w:rPr>
        <w:t>动植物油脂水分及挥发物的测定</w:t>
      </w:r>
    </w:p>
    <w:p>
      <w:pPr>
        <w:pStyle w:val="56"/>
        <w:ind w:firstLine="420"/>
      </w:pPr>
      <w:r>
        <w:rPr>
          <w:rFonts w:hint="eastAsia"/>
        </w:rPr>
        <w:t xml:space="preserve">GB 5009.262 </w:t>
      </w:r>
      <w:r>
        <w:t xml:space="preserve"> </w:t>
      </w:r>
      <w:r>
        <w:rPr>
          <w:rFonts w:hint="eastAsia"/>
        </w:rPr>
        <w:t xml:space="preserve">食品安全国家标准 </w:t>
      </w:r>
      <w:r>
        <w:t xml:space="preserve"> </w:t>
      </w:r>
      <w:r>
        <w:rPr>
          <w:rFonts w:hint="eastAsia"/>
        </w:rPr>
        <w:t>食品中溶剂残留量的测定</w:t>
      </w:r>
    </w:p>
    <w:p>
      <w:pPr>
        <w:pStyle w:val="56"/>
        <w:ind w:firstLine="420"/>
      </w:pPr>
      <w:r>
        <w:rPr>
          <w:rFonts w:hint="eastAsia"/>
        </w:rPr>
        <w:t xml:space="preserve">GB/T 5524 </w:t>
      </w:r>
      <w:r>
        <w:t xml:space="preserve"> </w:t>
      </w:r>
      <w:r>
        <w:rPr>
          <w:rFonts w:hint="eastAsia"/>
        </w:rPr>
        <w:t>动植物油脂扦样</w:t>
      </w:r>
    </w:p>
    <w:p>
      <w:pPr>
        <w:pStyle w:val="56"/>
        <w:ind w:firstLine="420"/>
      </w:pPr>
      <w:r>
        <w:rPr>
          <w:rFonts w:hint="eastAsia"/>
        </w:rPr>
        <w:t xml:space="preserve">GB/T 5525 </w:t>
      </w:r>
      <w:r>
        <w:t xml:space="preserve"> </w:t>
      </w:r>
      <w:r>
        <w:rPr>
          <w:rFonts w:hint="eastAsia"/>
        </w:rPr>
        <w:t>植物油脂透明度、气味、滋味鉴定法</w:t>
      </w:r>
    </w:p>
    <w:p>
      <w:pPr>
        <w:pStyle w:val="56"/>
        <w:ind w:firstLine="420"/>
      </w:pPr>
      <w:r>
        <w:rPr>
          <w:rFonts w:hint="eastAsia"/>
        </w:rPr>
        <w:t xml:space="preserve">GB 5526 </w:t>
      </w:r>
      <w:r>
        <w:t xml:space="preserve"> </w:t>
      </w:r>
      <w:r>
        <w:rPr>
          <w:rFonts w:hint="eastAsia"/>
        </w:rPr>
        <w:t>植物油脂检验比重测定法</w:t>
      </w:r>
    </w:p>
    <w:p>
      <w:pPr>
        <w:pStyle w:val="56"/>
        <w:ind w:firstLine="420"/>
      </w:pPr>
      <w:r>
        <w:rPr>
          <w:rFonts w:hint="eastAsia"/>
        </w:rPr>
        <w:t xml:space="preserve">GB/T 5539 </w:t>
      </w:r>
      <w:r>
        <w:t xml:space="preserve"> </w:t>
      </w:r>
      <w:r>
        <w:rPr>
          <w:rFonts w:hint="eastAsia"/>
        </w:rPr>
        <w:t xml:space="preserve">粮油检验 </w:t>
      </w:r>
      <w:r>
        <w:t xml:space="preserve"> </w:t>
      </w:r>
      <w:r>
        <w:rPr>
          <w:rFonts w:hint="eastAsia"/>
        </w:rPr>
        <w:t>油脂定性试验</w:t>
      </w:r>
    </w:p>
    <w:p>
      <w:pPr>
        <w:pStyle w:val="56"/>
        <w:ind w:firstLine="420"/>
      </w:pPr>
      <w:r>
        <w:rPr>
          <w:rFonts w:hint="eastAsia"/>
        </w:rPr>
        <w:t xml:space="preserve">GB 7718 </w:t>
      </w:r>
      <w:r>
        <w:t xml:space="preserve"> </w:t>
      </w:r>
      <w:r>
        <w:rPr>
          <w:rFonts w:hint="eastAsia"/>
        </w:rPr>
        <w:t>食品安全国家标准  预包装食品标签通则</w:t>
      </w:r>
    </w:p>
    <w:p>
      <w:pPr>
        <w:pStyle w:val="56"/>
        <w:ind w:firstLine="420"/>
      </w:pPr>
      <w:r>
        <w:rPr>
          <w:rFonts w:hint="eastAsia"/>
        </w:rPr>
        <w:t xml:space="preserve">GB/T 15688 </w:t>
      </w:r>
      <w:r>
        <w:t xml:space="preserve"> </w:t>
      </w:r>
      <w:r>
        <w:rPr>
          <w:rFonts w:hint="eastAsia"/>
        </w:rPr>
        <w:t>动植物油脂不溶性杂质含量的测定</w:t>
      </w:r>
    </w:p>
    <w:p>
      <w:pPr>
        <w:pStyle w:val="56"/>
        <w:ind w:firstLine="420"/>
      </w:pPr>
      <w:r>
        <w:rPr>
          <w:rFonts w:hint="eastAsia"/>
        </w:rPr>
        <w:t xml:space="preserve">GB/T 17374 </w:t>
      </w:r>
      <w:r>
        <w:t xml:space="preserve"> </w:t>
      </w:r>
      <w:r>
        <w:rPr>
          <w:rFonts w:hint="eastAsia"/>
        </w:rPr>
        <w:t>食用植物油销售包装</w:t>
      </w:r>
    </w:p>
    <w:p>
      <w:pPr>
        <w:pStyle w:val="56"/>
        <w:ind w:firstLine="420"/>
      </w:pPr>
      <w:r>
        <w:rPr>
          <w:rFonts w:hint="eastAsia"/>
        </w:rPr>
        <w:t xml:space="preserve">GB/T 22460 </w:t>
      </w:r>
      <w:r>
        <w:t xml:space="preserve"> </w:t>
      </w:r>
      <w:r>
        <w:rPr>
          <w:rFonts w:hint="eastAsia"/>
        </w:rPr>
        <w:t xml:space="preserve">动植物油脂 </w:t>
      </w:r>
      <w:r>
        <w:t xml:space="preserve"> </w:t>
      </w:r>
      <w:r>
        <w:rPr>
          <w:rFonts w:hint="eastAsia"/>
        </w:rPr>
        <w:t>罗维朋色泽的测定</w:t>
      </w:r>
    </w:p>
    <w:p>
      <w:pPr>
        <w:pStyle w:val="56"/>
        <w:ind w:firstLine="420"/>
      </w:pPr>
      <w:r>
        <w:rPr>
          <w:rFonts w:hint="eastAsia"/>
        </w:rPr>
        <w:t xml:space="preserve">GB 28050 </w:t>
      </w:r>
      <w:r>
        <w:t xml:space="preserve"> </w:t>
      </w:r>
      <w:r>
        <w:rPr>
          <w:rFonts w:hint="eastAsia"/>
        </w:rPr>
        <w:t>食品安全国家标准  预包装食品营养标签通则</w:t>
      </w:r>
    </w:p>
    <w:p>
      <w:pPr>
        <w:pStyle w:val="56"/>
        <w:ind w:firstLine="420"/>
      </w:pPr>
      <w:r>
        <w:rPr>
          <w:rFonts w:hint="eastAsia"/>
        </w:rPr>
        <w:t xml:space="preserve">LS/T 6120 </w:t>
      </w:r>
      <w:r>
        <w:t xml:space="preserve"> </w:t>
      </w:r>
      <w:r>
        <w:rPr>
          <w:rFonts w:hint="eastAsia"/>
        </w:rPr>
        <w:t>粮油检验  植物油中角鲨烯的测定</w:t>
      </w:r>
      <w:r>
        <w:t xml:space="preserve">  </w:t>
      </w:r>
      <w:r>
        <w:rPr>
          <w:rFonts w:hint="eastAsia"/>
        </w:rPr>
        <w:t>气相色谱法</w:t>
      </w:r>
    </w:p>
    <w:p>
      <w:pPr>
        <w:pStyle w:val="104"/>
        <w:spacing w:before="240" w:after="240"/>
      </w:pPr>
      <w:bookmarkStart w:id="44" w:name="_Toc83824322"/>
      <w:r>
        <w:rPr>
          <w:rFonts w:hint="eastAsia"/>
          <w:szCs w:val="21"/>
        </w:rPr>
        <w:t>术语和定义</w:t>
      </w:r>
      <w:bookmarkEnd w:id="44"/>
    </w:p>
    <w:sdt>
      <w:sdtPr>
        <w:id w:val="-1909835108"/>
        <w:placeholder>
          <w:docPart w:val="8F8C7537BA8D4D9FAD4E26C21B978CD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5" w:name="_Toc26986532"/>
          <w:bookmarkEnd w:id="45"/>
          <w:r>
            <w:t>下列术语和定义适用于本文件。</w:t>
          </w:r>
        </w:p>
      </w:sdtContent>
    </w:sdt>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广西原味山茶油  guangxi </w:t>
      </w:r>
      <w:r>
        <w:rPr>
          <w:rFonts w:hint="eastAsia" w:ascii="黑体" w:eastAsia="黑体"/>
          <w:szCs w:val="21"/>
        </w:rPr>
        <w:t>o</w:t>
      </w:r>
      <w:r>
        <w:rPr>
          <w:rFonts w:ascii="黑体" w:eastAsia="黑体"/>
          <w:szCs w:val="21"/>
        </w:rPr>
        <w:t>riginal</w:t>
      </w:r>
      <w:r>
        <w:rPr>
          <w:rFonts w:hint="eastAsia" w:ascii="黑体" w:hAnsi="黑体" w:eastAsia="黑体"/>
        </w:rPr>
        <w:t xml:space="preserve"> camellia seed oil</w:t>
      </w:r>
    </w:p>
    <w:p>
      <w:pPr>
        <w:pStyle w:val="56"/>
        <w:ind w:firstLine="420"/>
      </w:pPr>
      <w:r>
        <w:rPr>
          <w:rFonts w:hint="eastAsia"/>
        </w:rPr>
        <w:t>以广西壮族自治区行政区域内生产的油茶籽为原料，经压榨制取，符合本文件要求的可直接供人类食用的山茶油。包括采用机械压力挤压油茶籽制得的压榨山茶油。</w:t>
      </w:r>
    </w:p>
    <w:p>
      <w:pPr>
        <w:pStyle w:val="104"/>
        <w:spacing w:before="240" w:after="240"/>
      </w:pPr>
      <w:bookmarkStart w:id="46" w:name="_Toc83824323"/>
      <w:bookmarkStart w:id="47" w:name="_Hlk82069058"/>
      <w:r>
        <w:rPr>
          <w:rFonts w:hint="eastAsia"/>
        </w:rPr>
        <w:t>基本组成和主要物理参数</w:t>
      </w:r>
      <w:bookmarkEnd w:id="46"/>
      <w:bookmarkEnd w:id="47"/>
    </w:p>
    <w:p>
      <w:pPr>
        <w:pStyle w:val="56"/>
        <w:ind w:firstLine="420"/>
        <w:rPr>
          <w:rFonts w:hint="eastAsia"/>
          <w:color w:val="FF0000"/>
        </w:rPr>
      </w:pPr>
      <w:r>
        <w:rPr>
          <w:rFonts w:hint="eastAsia"/>
          <w:color w:val="FF0000"/>
        </w:rPr>
        <w:t>广西原味山茶油的基本组成和主要物理参数见表1。这些参数表示了广西原味山茶油的基本特性，当被用于真实性判定时，仅作参考使用。</w:t>
      </w:r>
    </w:p>
    <w:p>
      <w:pPr>
        <w:pStyle w:val="56"/>
        <w:ind w:firstLine="420"/>
        <w:rPr>
          <w:rFonts w:hint="eastAsia"/>
          <w:color w:val="FF0000"/>
        </w:rPr>
      </w:pPr>
    </w:p>
    <w:p>
      <w:pPr>
        <w:pStyle w:val="112"/>
        <w:spacing w:before="120" w:after="120"/>
        <w:rPr>
          <w:color w:val="FF0000"/>
        </w:rPr>
      </w:pPr>
      <w:r>
        <w:rPr>
          <w:rFonts w:hint="eastAsia"/>
          <w:color w:val="FF0000"/>
        </w:rPr>
        <w:t>广西原味山茶油基本组成和主要物理参数</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3110"/>
        <w:gridCol w:w="3112"/>
        <w:gridCol w:w="3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6222" w:type="dxa"/>
            <w:gridSpan w:val="2"/>
            <w:tcBorders>
              <w:top w:val="single" w:color="auto" w:sz="8" w:space="0"/>
              <w:bottom w:val="single" w:color="auto" w:sz="8" w:space="0"/>
            </w:tcBorders>
            <w:shd w:val="clear" w:color="auto" w:fill="auto"/>
            <w:vAlign w:val="center"/>
          </w:tcPr>
          <w:p>
            <w:pPr>
              <w:pStyle w:val="178"/>
              <w:rPr>
                <w:rFonts w:hAnsi="宋体"/>
                <w:color w:val="FF0000"/>
                <w:szCs w:val="18"/>
              </w:rPr>
            </w:pPr>
            <w:r>
              <w:rPr>
                <w:rFonts w:hint="eastAsia" w:hAnsi="宋体"/>
                <w:color w:val="FF0000"/>
                <w:szCs w:val="18"/>
              </w:rPr>
              <w:t>项目</w:t>
            </w:r>
          </w:p>
        </w:tc>
        <w:tc>
          <w:tcPr>
            <w:tcW w:w="3112" w:type="dxa"/>
            <w:tcBorders>
              <w:top w:val="single" w:color="auto" w:sz="8" w:space="0"/>
              <w:bottom w:val="single" w:color="auto" w:sz="8" w:space="0"/>
            </w:tcBorders>
            <w:shd w:val="clear" w:color="auto" w:fill="auto"/>
            <w:vAlign w:val="center"/>
          </w:tcPr>
          <w:p>
            <w:pPr>
              <w:pStyle w:val="178"/>
              <w:rPr>
                <w:rFonts w:hAnsi="宋体"/>
                <w:color w:val="FF0000"/>
                <w:szCs w:val="18"/>
              </w:rPr>
            </w:pPr>
            <w:r>
              <w:rPr>
                <w:rFonts w:hint="eastAsia" w:hAnsi="宋体"/>
                <w:color w:val="FF0000"/>
                <w:szCs w:val="18"/>
              </w:rPr>
              <w:t>指标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vMerge w:val="restart"/>
            <w:shd w:val="clear" w:color="auto" w:fill="auto"/>
            <w:vAlign w:val="center"/>
          </w:tcPr>
          <w:p>
            <w:pPr>
              <w:pStyle w:val="178"/>
              <w:rPr>
                <w:rFonts w:hAnsi="宋体"/>
                <w:color w:val="FF0000"/>
                <w:szCs w:val="18"/>
              </w:rPr>
            </w:pPr>
            <w:r>
              <w:rPr>
                <w:rFonts w:hint="eastAsia" w:hAnsi="宋体"/>
                <w:color w:val="FF0000"/>
                <w:szCs w:val="18"/>
              </w:rPr>
              <w:t>主要脂肪酸（％）</w:t>
            </w:r>
          </w:p>
        </w:tc>
        <w:tc>
          <w:tcPr>
            <w:tcW w:w="3112" w:type="dxa"/>
            <w:shd w:val="clear" w:color="auto" w:fill="auto"/>
            <w:vAlign w:val="center"/>
          </w:tcPr>
          <w:p>
            <w:pPr>
              <w:pStyle w:val="178"/>
              <w:jc w:val="left"/>
              <w:rPr>
                <w:rFonts w:hAnsi="宋体"/>
                <w:color w:val="FF0000"/>
                <w:szCs w:val="18"/>
              </w:rPr>
            </w:pPr>
            <w:r>
              <w:rPr>
                <w:rFonts w:hint="eastAsia" w:hAnsi="宋体"/>
                <w:color w:val="FF0000"/>
                <w:szCs w:val="18"/>
              </w:rPr>
              <w:t xml:space="preserve">油酸（C18：1） </w:t>
            </w:r>
            <w:r>
              <w:rPr>
                <w:rFonts w:hAnsi="宋体"/>
                <w:color w:val="FF0000"/>
                <w:szCs w:val="18"/>
              </w:rPr>
              <w:t xml:space="preserve">                </w:t>
            </w:r>
            <w:r>
              <w:rPr>
                <w:rFonts w:hint="eastAsia" w:hAnsi="宋体"/>
                <w:color w:val="FF0000"/>
                <w:szCs w:val="18"/>
              </w:rPr>
              <w:t>≥</w:t>
            </w:r>
          </w:p>
        </w:tc>
        <w:tc>
          <w:tcPr>
            <w:tcW w:w="3112" w:type="dxa"/>
            <w:shd w:val="clear" w:color="auto" w:fill="auto"/>
            <w:vAlign w:val="center"/>
          </w:tcPr>
          <w:p>
            <w:pPr>
              <w:pStyle w:val="178"/>
              <w:rPr>
                <w:rFonts w:hAnsi="宋体"/>
                <w:color w:val="FF0000"/>
                <w:szCs w:val="18"/>
              </w:rPr>
            </w:pPr>
            <w:r>
              <w:rPr>
                <w:rFonts w:hAnsi="宋体"/>
                <w:color w:val="FF0000"/>
                <w:szCs w:val="18"/>
              </w:rPr>
              <w:t>78.0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vMerge w:val="continue"/>
            <w:shd w:val="clear" w:color="auto" w:fill="auto"/>
            <w:vAlign w:val="center"/>
          </w:tcPr>
          <w:p>
            <w:pPr>
              <w:pStyle w:val="178"/>
              <w:rPr>
                <w:rFonts w:hAnsi="宋体"/>
                <w:color w:val="FF0000"/>
                <w:szCs w:val="18"/>
              </w:rPr>
            </w:pPr>
          </w:p>
        </w:tc>
        <w:tc>
          <w:tcPr>
            <w:tcW w:w="3112" w:type="dxa"/>
            <w:shd w:val="clear" w:color="auto" w:fill="auto"/>
            <w:vAlign w:val="center"/>
          </w:tcPr>
          <w:p>
            <w:pPr>
              <w:pStyle w:val="178"/>
              <w:jc w:val="left"/>
              <w:rPr>
                <w:rFonts w:hAnsi="宋体"/>
                <w:color w:val="FF0000"/>
                <w:szCs w:val="18"/>
              </w:rPr>
            </w:pPr>
            <w:r>
              <w:rPr>
                <w:rFonts w:hint="eastAsia" w:hAnsi="宋体"/>
                <w:color w:val="FF0000"/>
                <w:szCs w:val="18"/>
              </w:rPr>
              <w:t>亚油酸（C18：2）</w:t>
            </w:r>
          </w:p>
        </w:tc>
        <w:tc>
          <w:tcPr>
            <w:tcW w:w="3112" w:type="dxa"/>
            <w:shd w:val="clear" w:color="auto" w:fill="auto"/>
            <w:vAlign w:val="center"/>
          </w:tcPr>
          <w:p>
            <w:pPr>
              <w:pStyle w:val="178"/>
              <w:rPr>
                <w:rFonts w:hAnsi="宋体"/>
                <w:color w:val="FF0000"/>
                <w:szCs w:val="18"/>
              </w:rPr>
            </w:pPr>
            <w:r>
              <w:rPr>
                <w:rFonts w:hAnsi="宋体"/>
                <w:color w:val="FF0000"/>
                <w:szCs w:val="18"/>
              </w:rPr>
              <w:t>7.0</w:t>
            </w:r>
            <w:r>
              <w:rPr>
                <w:rFonts w:hint="eastAsia" w:hAnsi="宋体"/>
                <w:color w:val="FF0000"/>
                <w:szCs w:val="18"/>
              </w:rPr>
              <w:t>～14.0</w:t>
            </w:r>
          </w:p>
        </w:tc>
      </w:tr>
    </w:tbl>
    <w:p>
      <w:pPr>
        <w:pStyle w:val="104"/>
        <w:spacing w:before="240" w:after="240"/>
      </w:pPr>
      <w:bookmarkStart w:id="48" w:name="_Toc83824324"/>
      <w:r>
        <w:rPr>
          <w:rFonts w:hint="eastAsia"/>
          <w:szCs w:val="21"/>
        </w:rPr>
        <w:t>质量</w:t>
      </w:r>
      <w:r>
        <w:rPr>
          <w:rFonts w:hint="eastAsia"/>
        </w:rPr>
        <w:t>要求</w:t>
      </w:r>
      <w:bookmarkEnd w:id="48"/>
    </w:p>
    <w:p>
      <w:pPr>
        <w:pStyle w:val="105"/>
        <w:spacing w:before="120" w:after="120"/>
      </w:pPr>
      <w:r>
        <w:rPr>
          <w:rFonts w:hint="eastAsia"/>
        </w:rPr>
        <w:t>广西原味山茶油的质量指标</w:t>
      </w:r>
    </w:p>
    <w:p>
      <w:pPr>
        <w:pStyle w:val="56"/>
        <w:spacing w:line="240" w:lineRule="exact"/>
        <w:ind w:firstLine="420"/>
      </w:pPr>
      <w:r>
        <w:rPr>
          <w:rFonts w:hint="eastAsia"/>
        </w:rPr>
        <w:t>广西原味山茶油的质量指标见表2和表3。</w:t>
      </w:r>
    </w:p>
    <w:p>
      <w:pPr>
        <w:pStyle w:val="112"/>
        <w:spacing w:before="120" w:after="120"/>
      </w:pPr>
      <w:r>
        <w:rPr>
          <w:rFonts w:hint="eastAsia"/>
        </w:rPr>
        <w:t>广西原味山茶油质量指标</w:t>
      </w:r>
    </w:p>
    <w:tbl>
      <w:tblPr>
        <w:tblStyle w:val="27"/>
        <w:tblW w:w="933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3534"/>
        <w:gridCol w:w="2977"/>
        <w:gridCol w:w="282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3534" w:type="dxa"/>
            <w:vMerge w:val="restart"/>
            <w:tcBorders>
              <w:top w:val="single" w:color="auto" w:sz="8" w:space="0"/>
            </w:tcBorders>
            <w:vAlign w:val="center"/>
          </w:tcPr>
          <w:p>
            <w:pPr>
              <w:pStyle w:val="178"/>
            </w:pPr>
            <w:r>
              <w:rPr>
                <w:rFonts w:hint="eastAsia"/>
              </w:rPr>
              <w:t>项目</w:t>
            </w:r>
          </w:p>
        </w:tc>
        <w:tc>
          <w:tcPr>
            <w:tcW w:w="5800" w:type="dxa"/>
            <w:gridSpan w:val="2"/>
            <w:tcBorders>
              <w:top w:val="single" w:color="auto" w:sz="8" w:space="0"/>
              <w:bottom w:val="single" w:color="auto" w:sz="4" w:space="0"/>
            </w:tcBorders>
            <w:shd w:val="clear" w:color="auto" w:fill="auto"/>
            <w:vAlign w:val="center"/>
          </w:tcPr>
          <w:p>
            <w:pPr>
              <w:pStyle w:val="178"/>
            </w:pPr>
            <w:r>
              <w:rPr>
                <w:rFonts w:hint="eastAsia"/>
              </w:rPr>
              <w:t>质量指标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534" w:type="dxa"/>
            <w:vMerge w:val="continue"/>
            <w:tcBorders>
              <w:bottom w:val="single" w:color="auto" w:sz="8" w:space="0"/>
            </w:tcBorders>
          </w:tcPr>
          <w:p>
            <w:pPr>
              <w:pStyle w:val="178"/>
            </w:pPr>
          </w:p>
        </w:tc>
        <w:tc>
          <w:tcPr>
            <w:tcW w:w="2977" w:type="dxa"/>
            <w:tcBorders>
              <w:top w:val="single" w:color="auto" w:sz="4" w:space="0"/>
              <w:bottom w:val="single" w:color="auto" w:sz="8" w:space="0"/>
            </w:tcBorders>
            <w:shd w:val="clear" w:color="auto" w:fill="auto"/>
          </w:tcPr>
          <w:p>
            <w:pPr>
              <w:pStyle w:val="178"/>
            </w:pPr>
            <w:r>
              <w:rPr>
                <w:rFonts w:hint="eastAsia"/>
              </w:rPr>
              <w:t>AA级</w:t>
            </w:r>
          </w:p>
        </w:tc>
        <w:tc>
          <w:tcPr>
            <w:tcW w:w="2823" w:type="dxa"/>
            <w:tcBorders>
              <w:top w:val="single" w:color="auto" w:sz="4" w:space="0"/>
              <w:bottom w:val="single" w:color="auto" w:sz="8" w:space="0"/>
            </w:tcBorders>
            <w:shd w:val="clear" w:color="auto" w:fill="auto"/>
          </w:tcPr>
          <w:p>
            <w:pPr>
              <w:pStyle w:val="178"/>
            </w:pPr>
            <w:r>
              <w:rPr>
                <w:rFonts w:hint="eastAsia"/>
              </w:rPr>
              <w:t>A级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534" w:type="dxa"/>
            <w:tcBorders>
              <w:top w:val="single" w:color="auto" w:sz="8" w:space="0"/>
            </w:tcBorders>
          </w:tcPr>
          <w:p>
            <w:pPr>
              <w:pStyle w:val="178"/>
              <w:jc w:val="left"/>
            </w:pPr>
            <w:r>
              <w:rPr>
                <w:rFonts w:hint="eastAsia"/>
              </w:rPr>
              <w:t>色泽（罗维朋比色槽133.4</w:t>
            </w:r>
            <w:r>
              <w:rPr>
                <w:vertAlign w:val="superscript"/>
              </w:rPr>
              <w:t xml:space="preserve"> </w:t>
            </w:r>
            <w:r>
              <w:rPr>
                <w:rFonts w:hint="eastAsia"/>
              </w:rPr>
              <w:t>mm）    ≤</w:t>
            </w:r>
          </w:p>
        </w:tc>
        <w:tc>
          <w:tcPr>
            <w:tcW w:w="2977" w:type="dxa"/>
            <w:tcBorders>
              <w:top w:val="single" w:color="auto" w:sz="8" w:space="0"/>
            </w:tcBorders>
            <w:shd w:val="clear" w:color="auto" w:fill="auto"/>
          </w:tcPr>
          <w:p>
            <w:pPr>
              <w:pStyle w:val="178"/>
            </w:pPr>
            <w:r>
              <w:rPr>
                <w:rFonts w:hint="eastAsia"/>
                <w:color w:val="000000"/>
              </w:rPr>
              <w:t>黄</w:t>
            </w:r>
            <w:r>
              <w:rPr>
                <w:color w:val="000000"/>
              </w:rPr>
              <w:t>30</w:t>
            </w:r>
            <w:r>
              <w:rPr>
                <w:rFonts w:hint="eastAsia"/>
                <w:color w:val="000000"/>
              </w:rPr>
              <w:t xml:space="preserve">  红2.0</w:t>
            </w:r>
          </w:p>
        </w:tc>
        <w:tc>
          <w:tcPr>
            <w:tcW w:w="2823" w:type="dxa"/>
            <w:tcBorders>
              <w:top w:val="single" w:color="auto" w:sz="8" w:space="0"/>
            </w:tcBorders>
            <w:shd w:val="clear" w:color="auto" w:fill="auto"/>
          </w:tcPr>
          <w:p>
            <w:pPr>
              <w:pStyle w:val="178"/>
            </w:pPr>
            <w:r>
              <w:rPr>
                <w:rFonts w:hint="eastAsia"/>
                <w:color w:val="000000"/>
              </w:rPr>
              <w:t>黄35  红3.0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534" w:type="dxa"/>
          </w:tcPr>
          <w:p>
            <w:pPr>
              <w:pStyle w:val="178"/>
              <w:jc w:val="left"/>
              <w:rPr>
                <w:color w:val="FF0000"/>
              </w:rPr>
            </w:pPr>
            <w:r>
              <w:rPr>
                <w:rFonts w:hint="eastAsia"/>
                <w:color w:val="FF0000"/>
              </w:rPr>
              <w:t>气味、滋味</w:t>
            </w:r>
          </w:p>
        </w:tc>
        <w:tc>
          <w:tcPr>
            <w:tcW w:w="5800" w:type="dxa"/>
            <w:gridSpan w:val="2"/>
            <w:shd w:val="clear" w:color="auto" w:fill="auto"/>
          </w:tcPr>
          <w:p>
            <w:pPr>
              <w:pStyle w:val="178"/>
              <w:rPr>
                <w:color w:val="FF0000"/>
              </w:rPr>
            </w:pPr>
            <w:r>
              <w:rPr>
                <w:rFonts w:hint="eastAsia"/>
                <w:color w:val="FF0000"/>
              </w:rPr>
              <w:t>具有油茶籽油特有的香味和滋味，无异味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534" w:type="dxa"/>
          </w:tcPr>
          <w:p>
            <w:pPr>
              <w:pStyle w:val="178"/>
              <w:jc w:val="left"/>
            </w:pPr>
            <w:r>
              <w:rPr>
                <w:rFonts w:hint="eastAsia"/>
              </w:rPr>
              <w:t>油脂定性试验</w:t>
            </w:r>
          </w:p>
        </w:tc>
        <w:tc>
          <w:tcPr>
            <w:tcW w:w="5800" w:type="dxa"/>
            <w:gridSpan w:val="2"/>
            <w:shd w:val="clear" w:color="auto" w:fill="auto"/>
          </w:tcPr>
          <w:p>
            <w:pPr>
              <w:pStyle w:val="178"/>
            </w:pPr>
            <w:r>
              <w:rPr>
                <w:rFonts w:hint="eastAsia"/>
              </w:rPr>
              <w:t>不应检出含有其他植物油存在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534" w:type="dxa"/>
          </w:tcPr>
          <w:p>
            <w:pPr>
              <w:pStyle w:val="178"/>
              <w:jc w:val="left"/>
            </w:pPr>
            <w:r>
              <w:rPr>
                <w:rFonts w:hint="eastAsia"/>
              </w:rPr>
              <w:t>水分及挥发物含量（％）          ≤</w:t>
            </w:r>
          </w:p>
        </w:tc>
        <w:tc>
          <w:tcPr>
            <w:tcW w:w="2977" w:type="dxa"/>
            <w:shd w:val="clear" w:color="auto" w:fill="auto"/>
          </w:tcPr>
          <w:p>
            <w:pPr>
              <w:pStyle w:val="178"/>
            </w:pPr>
            <w:r>
              <w:rPr>
                <w:rFonts w:hint="eastAsia"/>
              </w:rPr>
              <w:t>0.10</w:t>
            </w:r>
          </w:p>
        </w:tc>
        <w:tc>
          <w:tcPr>
            <w:tcW w:w="2823" w:type="dxa"/>
            <w:shd w:val="clear" w:color="auto" w:fill="auto"/>
          </w:tcPr>
          <w:p>
            <w:pPr>
              <w:pStyle w:val="178"/>
            </w:pPr>
            <w:r>
              <w:rPr>
                <w:rFonts w:hint="eastAsia"/>
              </w:rPr>
              <w:t>0.20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534" w:type="dxa"/>
          </w:tcPr>
          <w:p>
            <w:pPr>
              <w:pStyle w:val="178"/>
              <w:jc w:val="left"/>
            </w:pPr>
            <w:r>
              <w:rPr>
                <w:rFonts w:hint="eastAsia"/>
              </w:rPr>
              <w:t>不溶性杂质含量（％）            ≤</w:t>
            </w:r>
          </w:p>
        </w:tc>
        <w:tc>
          <w:tcPr>
            <w:tcW w:w="2977" w:type="dxa"/>
            <w:shd w:val="clear" w:color="auto" w:fill="auto"/>
          </w:tcPr>
          <w:p>
            <w:pPr>
              <w:pStyle w:val="178"/>
            </w:pPr>
            <w:r>
              <w:rPr>
                <w:rFonts w:hint="eastAsia"/>
              </w:rPr>
              <w:t>0.05</w:t>
            </w:r>
          </w:p>
        </w:tc>
        <w:tc>
          <w:tcPr>
            <w:tcW w:w="2823" w:type="dxa"/>
            <w:shd w:val="clear" w:color="auto" w:fill="auto"/>
          </w:tcPr>
          <w:p>
            <w:pPr>
              <w:pStyle w:val="178"/>
            </w:pPr>
            <w:r>
              <w:rPr>
                <w:rFonts w:hint="eastAsia"/>
              </w:rPr>
              <w:t>0.05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534" w:type="dxa"/>
          </w:tcPr>
          <w:p>
            <w:pPr>
              <w:pStyle w:val="178"/>
              <w:jc w:val="left"/>
            </w:pPr>
            <w:r>
              <w:rPr>
                <w:rFonts w:hint="eastAsia"/>
              </w:rPr>
              <w:t>酸价（以KOH计）/（mg/g）        ≤</w:t>
            </w:r>
          </w:p>
        </w:tc>
        <w:tc>
          <w:tcPr>
            <w:tcW w:w="2977" w:type="dxa"/>
            <w:shd w:val="clear" w:color="auto" w:fill="auto"/>
          </w:tcPr>
          <w:p>
            <w:pPr>
              <w:pStyle w:val="178"/>
            </w:pPr>
            <w:r>
              <w:rPr>
                <w:rFonts w:hint="eastAsia"/>
              </w:rPr>
              <w:t>1.</w:t>
            </w:r>
            <w:r>
              <w:t>0</w:t>
            </w:r>
          </w:p>
        </w:tc>
        <w:tc>
          <w:tcPr>
            <w:tcW w:w="2823" w:type="dxa"/>
            <w:shd w:val="clear" w:color="auto" w:fill="auto"/>
          </w:tcPr>
          <w:p>
            <w:pPr>
              <w:pStyle w:val="178"/>
            </w:pPr>
            <w:r>
              <w:rPr>
                <w:rFonts w:hint="eastAsia"/>
              </w:rPr>
              <w:t>2.</w:t>
            </w:r>
            <w: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534" w:type="dxa"/>
          </w:tcPr>
          <w:p>
            <w:pPr>
              <w:pStyle w:val="178"/>
              <w:jc w:val="left"/>
            </w:pPr>
            <w:r>
              <w:rPr>
                <w:rFonts w:hint="eastAsia"/>
              </w:rPr>
              <w:t>过氧化值（g/100</w:t>
            </w:r>
            <w:r>
              <w:rPr>
                <w:vertAlign w:val="superscript"/>
              </w:rPr>
              <w:t xml:space="preserve"> </w:t>
            </w:r>
            <w:r>
              <w:rPr>
                <w:rFonts w:hint="eastAsia"/>
              </w:rPr>
              <w:t>g）             ≤</w:t>
            </w:r>
          </w:p>
        </w:tc>
        <w:tc>
          <w:tcPr>
            <w:tcW w:w="2977" w:type="dxa"/>
            <w:shd w:val="clear" w:color="auto" w:fill="auto"/>
          </w:tcPr>
          <w:p>
            <w:pPr>
              <w:pStyle w:val="178"/>
            </w:pPr>
            <w:r>
              <w:rPr>
                <w:rFonts w:hint="eastAsia"/>
              </w:rPr>
              <w:t>0.2</w:t>
            </w:r>
            <w:r>
              <w:t>0</w:t>
            </w:r>
          </w:p>
        </w:tc>
        <w:tc>
          <w:tcPr>
            <w:tcW w:w="2823" w:type="dxa"/>
            <w:shd w:val="clear" w:color="auto" w:fill="auto"/>
          </w:tcPr>
          <w:p>
            <w:pPr>
              <w:pStyle w:val="178"/>
            </w:pPr>
            <w:r>
              <w:rPr>
                <w:rFonts w:hint="eastAsia"/>
              </w:rPr>
              <w:t>0</w:t>
            </w:r>
            <w:r>
              <w:t>.25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534" w:type="dxa"/>
          </w:tcPr>
          <w:p>
            <w:pPr>
              <w:pStyle w:val="178"/>
              <w:jc w:val="left"/>
            </w:pPr>
            <w:r>
              <w:rPr>
                <w:rFonts w:hint="eastAsia"/>
              </w:rPr>
              <w:t>苯并（a）芘（</w:t>
            </w:r>
            <w:r>
              <w:t>μg</w:t>
            </w:r>
            <w:r>
              <w:rPr>
                <w:rFonts w:hint="eastAsia"/>
              </w:rPr>
              <w:t>/kg）           ≤</w:t>
            </w:r>
          </w:p>
        </w:tc>
        <w:tc>
          <w:tcPr>
            <w:tcW w:w="2977" w:type="dxa"/>
            <w:shd w:val="clear" w:color="auto" w:fill="auto"/>
          </w:tcPr>
          <w:p>
            <w:pPr>
              <w:pStyle w:val="178"/>
            </w:pPr>
            <w:r>
              <w:rPr>
                <w:rFonts w:hint="eastAsia"/>
                <w:color w:val="000000"/>
              </w:rPr>
              <w:t>5</w:t>
            </w:r>
          </w:p>
        </w:tc>
        <w:tc>
          <w:tcPr>
            <w:tcW w:w="2823" w:type="dxa"/>
            <w:shd w:val="clear" w:color="auto" w:fill="auto"/>
          </w:tcPr>
          <w:p>
            <w:pPr>
              <w:pStyle w:val="178"/>
            </w:pPr>
            <w:r>
              <w:rPr>
                <w:rFonts w:hint="eastAsia"/>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534" w:type="dxa"/>
          </w:tcPr>
          <w:p>
            <w:pPr>
              <w:pStyle w:val="178"/>
              <w:jc w:val="left"/>
            </w:pPr>
            <w:r>
              <w:rPr>
                <w:rFonts w:hint="eastAsia"/>
              </w:rPr>
              <w:t>生育酚（mg</w:t>
            </w:r>
            <w:r>
              <w:t>/</w:t>
            </w:r>
            <w:r>
              <w:rPr>
                <w:rFonts w:hint="eastAsia"/>
              </w:rPr>
              <w:t xml:space="preserve">kg） </w:t>
            </w:r>
            <w:r>
              <w:t xml:space="preserve">               </w:t>
            </w:r>
            <w:r>
              <w:rPr>
                <w:rFonts w:hint="eastAsia"/>
              </w:rPr>
              <w:t>≥</w:t>
            </w:r>
          </w:p>
        </w:tc>
        <w:tc>
          <w:tcPr>
            <w:tcW w:w="2977" w:type="dxa"/>
            <w:shd w:val="clear" w:color="auto" w:fill="auto"/>
          </w:tcPr>
          <w:p>
            <w:pPr>
              <w:pStyle w:val="178"/>
            </w:pPr>
            <w:r>
              <w:t>180</w:t>
            </w:r>
          </w:p>
        </w:tc>
        <w:tc>
          <w:tcPr>
            <w:tcW w:w="2823" w:type="dxa"/>
            <w:shd w:val="clear" w:color="auto" w:fill="auto"/>
          </w:tcPr>
          <w:p>
            <w:pPr>
              <w:pStyle w:val="178"/>
            </w:pPr>
            <w:r>
              <w:t>150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534" w:type="dxa"/>
          </w:tcPr>
          <w:p>
            <w:pPr>
              <w:pStyle w:val="178"/>
              <w:jc w:val="left"/>
            </w:pPr>
            <w:r>
              <w:rPr>
                <w:rFonts w:hint="eastAsia"/>
              </w:rPr>
              <w:t>角鲨烯（mg</w:t>
            </w:r>
            <w:r>
              <w:t>/</w:t>
            </w:r>
            <w:r>
              <w:rPr>
                <w:rFonts w:hint="eastAsia"/>
              </w:rPr>
              <w:t xml:space="preserve">kg） </w:t>
            </w:r>
            <w:r>
              <w:t xml:space="preserve">               </w:t>
            </w:r>
            <w:r>
              <w:rPr>
                <w:rFonts w:hint="eastAsia"/>
              </w:rPr>
              <w:t>≥</w:t>
            </w:r>
          </w:p>
        </w:tc>
        <w:tc>
          <w:tcPr>
            <w:tcW w:w="2977" w:type="dxa"/>
            <w:shd w:val="clear" w:color="auto" w:fill="auto"/>
          </w:tcPr>
          <w:p>
            <w:pPr>
              <w:pStyle w:val="178"/>
            </w:pPr>
            <w:r>
              <w:t>150</w:t>
            </w:r>
          </w:p>
        </w:tc>
        <w:tc>
          <w:tcPr>
            <w:tcW w:w="2823" w:type="dxa"/>
            <w:shd w:val="clear" w:color="auto" w:fill="auto"/>
          </w:tcPr>
          <w:p>
            <w:pPr>
              <w:pStyle w:val="178"/>
            </w:pPr>
            <w:r>
              <w:t>100</w:t>
            </w:r>
          </w:p>
        </w:tc>
      </w:tr>
    </w:tbl>
    <w:p>
      <w:pPr>
        <w:pStyle w:val="105"/>
        <w:spacing w:before="120" w:after="120"/>
      </w:pPr>
      <w:r>
        <w:rPr>
          <w:rFonts w:hint="eastAsia"/>
        </w:rPr>
        <w:t>食品安全要求</w:t>
      </w:r>
    </w:p>
    <w:p>
      <w:pPr>
        <w:pStyle w:val="56"/>
        <w:ind w:firstLine="420"/>
      </w:pPr>
      <w:r>
        <w:rPr>
          <w:rFonts w:hint="eastAsia"/>
        </w:rPr>
        <w:t>其他食品安全指标按GB 2716执行。</w:t>
      </w:r>
    </w:p>
    <w:p>
      <w:pPr>
        <w:pStyle w:val="105"/>
        <w:spacing w:before="120" w:after="120"/>
      </w:pPr>
      <w:r>
        <w:rPr>
          <w:rFonts w:hint="eastAsia"/>
        </w:rPr>
        <w:t>其它</w:t>
      </w:r>
    </w:p>
    <w:p>
      <w:pPr>
        <w:pStyle w:val="56"/>
        <w:ind w:firstLine="420"/>
      </w:pPr>
      <w:r>
        <w:rPr>
          <w:rFonts w:hint="eastAsia"/>
        </w:rPr>
        <w:t>原味山茶油中不应掺有其他食用油和非食用油；不应添加任何香精香料。</w:t>
      </w:r>
    </w:p>
    <w:p>
      <w:pPr>
        <w:pStyle w:val="104"/>
        <w:spacing w:before="240" w:after="240"/>
      </w:pPr>
      <w:bookmarkStart w:id="49" w:name="_Toc83824325"/>
      <w:r>
        <w:rPr>
          <w:rFonts w:hint="eastAsia"/>
        </w:rPr>
        <w:t>检验方法</w:t>
      </w:r>
      <w:bookmarkEnd w:id="49"/>
    </w:p>
    <w:p>
      <w:pPr>
        <w:pStyle w:val="105"/>
        <w:spacing w:before="120" w:after="120"/>
      </w:pPr>
      <w:r>
        <w:rPr>
          <w:rFonts w:hint="eastAsia"/>
        </w:rPr>
        <w:t>相对密度</w:t>
      </w:r>
    </w:p>
    <w:p>
      <w:pPr>
        <w:pStyle w:val="56"/>
        <w:ind w:firstLine="420"/>
      </w:pPr>
      <w:r>
        <w:rPr>
          <w:rFonts w:hint="eastAsia"/>
        </w:rPr>
        <w:t>按GB 5526</w:t>
      </w:r>
      <w:r>
        <w:t>的规定</w:t>
      </w:r>
      <w:r>
        <w:rPr>
          <w:rFonts w:hint="eastAsia"/>
        </w:rPr>
        <w:t>执行。</w:t>
      </w:r>
    </w:p>
    <w:p>
      <w:pPr>
        <w:pStyle w:val="105"/>
        <w:spacing w:before="120" w:after="120"/>
      </w:pPr>
      <w:r>
        <w:rPr>
          <w:rFonts w:hint="eastAsia"/>
        </w:rPr>
        <w:t>脂肪酸</w:t>
      </w:r>
    </w:p>
    <w:p>
      <w:pPr>
        <w:pStyle w:val="56"/>
        <w:ind w:firstLine="420"/>
      </w:pPr>
      <w:r>
        <w:rPr>
          <w:rFonts w:hint="eastAsia"/>
        </w:rPr>
        <w:t>按GB 5009.168</w:t>
      </w:r>
      <w:r>
        <w:t>的规定</w:t>
      </w:r>
      <w:r>
        <w:rPr>
          <w:rFonts w:hint="eastAsia"/>
        </w:rPr>
        <w:t>执行。</w:t>
      </w:r>
    </w:p>
    <w:p>
      <w:pPr>
        <w:pStyle w:val="105"/>
        <w:spacing w:before="120" w:after="120"/>
      </w:pPr>
      <w:r>
        <w:rPr>
          <w:rFonts w:hint="eastAsia"/>
        </w:rPr>
        <w:t>色泽</w:t>
      </w:r>
    </w:p>
    <w:p>
      <w:pPr>
        <w:pStyle w:val="56"/>
        <w:ind w:firstLine="420"/>
      </w:pPr>
      <w:bookmarkStart w:id="50" w:name="_Hlk90993506"/>
      <w:r>
        <w:rPr>
          <w:rFonts w:hint="eastAsia"/>
        </w:rPr>
        <w:t>按GB/T 22460</w:t>
      </w:r>
      <w:r>
        <w:t>的规定</w:t>
      </w:r>
      <w:r>
        <w:rPr>
          <w:rFonts w:hint="eastAsia"/>
        </w:rPr>
        <w:t>执行。</w:t>
      </w:r>
      <w:bookmarkEnd w:id="50"/>
    </w:p>
    <w:p>
      <w:pPr>
        <w:pStyle w:val="105"/>
        <w:spacing w:before="120" w:after="120"/>
      </w:pPr>
      <w:r>
        <w:rPr>
          <w:rFonts w:hint="eastAsia"/>
        </w:rPr>
        <w:t>透明度</w:t>
      </w:r>
    </w:p>
    <w:p>
      <w:pPr>
        <w:pStyle w:val="56"/>
        <w:ind w:firstLine="420"/>
      </w:pPr>
      <w:r>
        <w:rPr>
          <w:rFonts w:hint="eastAsia"/>
        </w:rPr>
        <w:t>按GB/T 5525</w:t>
      </w:r>
      <w:r>
        <w:t>的规定</w:t>
      </w:r>
      <w:r>
        <w:rPr>
          <w:rFonts w:hint="eastAsia"/>
        </w:rPr>
        <w:t>执行。</w:t>
      </w:r>
    </w:p>
    <w:p>
      <w:pPr>
        <w:pStyle w:val="105"/>
        <w:spacing w:before="120" w:after="120"/>
      </w:pPr>
      <w:r>
        <w:rPr>
          <w:rFonts w:hint="eastAsia"/>
        </w:rPr>
        <w:t>气味、滋味</w:t>
      </w:r>
    </w:p>
    <w:p>
      <w:pPr>
        <w:pStyle w:val="56"/>
        <w:ind w:firstLine="420"/>
      </w:pPr>
      <w:r>
        <w:rPr>
          <w:rFonts w:hint="eastAsia"/>
        </w:rPr>
        <w:t>按GB/T 5</w:t>
      </w:r>
      <w:r>
        <w:t>5</w:t>
      </w:r>
      <w:r>
        <w:rPr>
          <w:rFonts w:hint="eastAsia"/>
        </w:rPr>
        <w:t>25</w:t>
      </w:r>
      <w:r>
        <w:t>的规定</w:t>
      </w:r>
      <w:r>
        <w:rPr>
          <w:rFonts w:hint="eastAsia"/>
        </w:rPr>
        <w:t>执行。</w:t>
      </w:r>
    </w:p>
    <w:p>
      <w:pPr>
        <w:pStyle w:val="105"/>
        <w:spacing w:before="120" w:after="120"/>
      </w:pPr>
      <w:r>
        <w:rPr>
          <w:rFonts w:hint="eastAsia"/>
        </w:rPr>
        <w:t>油脂定性试验</w:t>
      </w:r>
    </w:p>
    <w:p>
      <w:pPr>
        <w:pStyle w:val="56"/>
        <w:ind w:firstLine="420"/>
      </w:pPr>
      <w:r>
        <w:rPr>
          <w:rFonts w:hint="eastAsia"/>
        </w:rPr>
        <w:t>按GB/T 5539</w:t>
      </w:r>
      <w:r>
        <w:t>的规定</w:t>
      </w:r>
      <w:r>
        <w:rPr>
          <w:rFonts w:hint="eastAsia"/>
        </w:rPr>
        <w:t>执行。</w:t>
      </w:r>
    </w:p>
    <w:p>
      <w:pPr>
        <w:pStyle w:val="105"/>
        <w:spacing w:before="120" w:after="120"/>
      </w:pPr>
      <w:r>
        <w:rPr>
          <w:rFonts w:hint="eastAsia"/>
        </w:rPr>
        <w:t>水分及挥发物含量</w:t>
      </w:r>
    </w:p>
    <w:p>
      <w:pPr>
        <w:pStyle w:val="56"/>
        <w:ind w:firstLine="420"/>
      </w:pPr>
      <w:r>
        <w:rPr>
          <w:rFonts w:hint="eastAsia"/>
        </w:rPr>
        <w:t>按GB 5009.236</w:t>
      </w:r>
      <w:r>
        <w:t>的规定</w:t>
      </w:r>
      <w:r>
        <w:rPr>
          <w:rFonts w:hint="eastAsia"/>
        </w:rPr>
        <w:t>执行。</w:t>
      </w:r>
    </w:p>
    <w:p>
      <w:pPr>
        <w:pStyle w:val="105"/>
        <w:spacing w:before="120" w:after="120"/>
      </w:pPr>
      <w:r>
        <w:rPr>
          <w:rFonts w:hint="eastAsia"/>
        </w:rPr>
        <w:t>不溶性杂质含量</w:t>
      </w:r>
    </w:p>
    <w:p>
      <w:pPr>
        <w:pStyle w:val="56"/>
        <w:ind w:firstLine="420"/>
      </w:pPr>
      <w:r>
        <w:rPr>
          <w:rFonts w:hint="eastAsia"/>
        </w:rPr>
        <w:t>按GB/T 15688</w:t>
      </w:r>
      <w:r>
        <w:t>的规定</w:t>
      </w:r>
      <w:r>
        <w:rPr>
          <w:rFonts w:hint="eastAsia"/>
        </w:rPr>
        <w:t>执行。</w:t>
      </w:r>
    </w:p>
    <w:p>
      <w:pPr>
        <w:pStyle w:val="105"/>
        <w:spacing w:before="120" w:after="120"/>
      </w:pPr>
      <w:r>
        <w:rPr>
          <w:rFonts w:hint="eastAsia"/>
        </w:rPr>
        <w:t>酸价</w:t>
      </w:r>
    </w:p>
    <w:p>
      <w:pPr>
        <w:pStyle w:val="56"/>
        <w:ind w:firstLine="420"/>
      </w:pPr>
      <w:r>
        <w:rPr>
          <w:rFonts w:hint="eastAsia"/>
        </w:rPr>
        <w:t>按GB 5009.229</w:t>
      </w:r>
      <w:r>
        <w:t>的规定</w:t>
      </w:r>
      <w:r>
        <w:rPr>
          <w:rFonts w:hint="eastAsia"/>
        </w:rPr>
        <w:t>执行。</w:t>
      </w:r>
    </w:p>
    <w:p>
      <w:pPr>
        <w:pStyle w:val="105"/>
        <w:spacing w:before="120" w:after="120"/>
      </w:pPr>
      <w:r>
        <w:rPr>
          <w:rFonts w:hint="eastAsia"/>
        </w:rPr>
        <w:t>过氧化值</w:t>
      </w:r>
    </w:p>
    <w:p>
      <w:pPr>
        <w:pStyle w:val="56"/>
        <w:ind w:firstLine="420"/>
      </w:pPr>
      <w:r>
        <w:rPr>
          <w:rFonts w:hint="eastAsia"/>
        </w:rPr>
        <w:t>按GB 5009.227</w:t>
      </w:r>
      <w:r>
        <w:t>的规定</w:t>
      </w:r>
      <w:r>
        <w:rPr>
          <w:rFonts w:hint="eastAsia"/>
        </w:rPr>
        <w:t>执行。</w:t>
      </w:r>
    </w:p>
    <w:p>
      <w:pPr>
        <w:pStyle w:val="105"/>
        <w:spacing w:before="120" w:after="120"/>
      </w:pPr>
      <w:r>
        <w:rPr>
          <w:rFonts w:hint="eastAsia"/>
        </w:rPr>
        <w:t>溶剂残留量</w:t>
      </w:r>
    </w:p>
    <w:p>
      <w:pPr>
        <w:pStyle w:val="56"/>
        <w:ind w:firstLine="420"/>
      </w:pPr>
      <w:r>
        <w:rPr>
          <w:rFonts w:hint="eastAsia"/>
        </w:rPr>
        <w:t>按GB 5009.262</w:t>
      </w:r>
      <w:r>
        <w:t>的规定</w:t>
      </w:r>
      <w:r>
        <w:rPr>
          <w:rFonts w:hint="eastAsia"/>
        </w:rPr>
        <w:t>执行。</w:t>
      </w:r>
    </w:p>
    <w:p>
      <w:pPr>
        <w:pStyle w:val="105"/>
        <w:spacing w:before="120" w:after="120"/>
      </w:pPr>
      <w:r>
        <w:rPr>
          <w:rFonts w:hint="eastAsia"/>
        </w:rPr>
        <w:t>苯并(a) 芘</w:t>
      </w:r>
    </w:p>
    <w:p>
      <w:pPr>
        <w:pStyle w:val="56"/>
        <w:ind w:firstLine="420"/>
      </w:pPr>
      <w:r>
        <w:rPr>
          <w:rFonts w:hint="eastAsia"/>
        </w:rPr>
        <w:t>按GB 5009.27</w:t>
      </w:r>
      <w:r>
        <w:t>的规定</w:t>
      </w:r>
      <w:r>
        <w:rPr>
          <w:rFonts w:hint="eastAsia"/>
        </w:rPr>
        <w:t>执行。</w:t>
      </w:r>
    </w:p>
    <w:p>
      <w:pPr>
        <w:pStyle w:val="105"/>
        <w:spacing w:before="120" w:after="120"/>
      </w:pPr>
      <w:r>
        <w:rPr>
          <w:rFonts w:hint="eastAsia"/>
        </w:rPr>
        <w:t>生育酚</w:t>
      </w:r>
    </w:p>
    <w:p>
      <w:pPr>
        <w:pStyle w:val="56"/>
        <w:ind w:firstLine="420"/>
      </w:pPr>
      <w:r>
        <w:rPr>
          <w:rFonts w:hint="eastAsia"/>
        </w:rPr>
        <w:t>按G</w:t>
      </w:r>
      <w:r>
        <w:t>B 5009.82的规定</w:t>
      </w:r>
      <w:r>
        <w:rPr>
          <w:rFonts w:hint="eastAsia"/>
        </w:rPr>
        <w:t>执行。</w:t>
      </w:r>
    </w:p>
    <w:p>
      <w:pPr>
        <w:pStyle w:val="105"/>
        <w:spacing w:before="120" w:after="120"/>
      </w:pPr>
      <w:r>
        <w:rPr>
          <w:rFonts w:hint="eastAsia"/>
        </w:rPr>
        <w:t>角鲨烯</w:t>
      </w:r>
    </w:p>
    <w:p>
      <w:pPr>
        <w:pStyle w:val="56"/>
        <w:ind w:firstLine="420"/>
      </w:pPr>
      <w:r>
        <w:rPr>
          <w:rFonts w:hint="eastAsia"/>
        </w:rPr>
        <w:t>按L</w:t>
      </w:r>
      <w:r>
        <w:t>S/T 6120的规定</w:t>
      </w:r>
      <w:r>
        <w:rPr>
          <w:rFonts w:hint="eastAsia"/>
        </w:rPr>
        <w:t>执行。</w:t>
      </w:r>
    </w:p>
    <w:p>
      <w:pPr>
        <w:pStyle w:val="104"/>
        <w:spacing w:before="240" w:after="240"/>
      </w:pPr>
      <w:bookmarkStart w:id="51" w:name="_Toc83824326"/>
      <w:r>
        <w:rPr>
          <w:rFonts w:hint="eastAsia"/>
        </w:rPr>
        <w:t>检验规则</w:t>
      </w:r>
      <w:bookmarkEnd w:id="51"/>
    </w:p>
    <w:p>
      <w:pPr>
        <w:pStyle w:val="105"/>
        <w:spacing w:before="120" w:after="120"/>
      </w:pPr>
      <w:r>
        <w:rPr>
          <w:rFonts w:hint="eastAsia"/>
        </w:rPr>
        <w:t>扦样</w:t>
      </w:r>
    </w:p>
    <w:p>
      <w:pPr>
        <w:pStyle w:val="56"/>
        <w:ind w:firstLine="420"/>
      </w:pPr>
      <w:r>
        <w:rPr>
          <w:rFonts w:hint="eastAsia"/>
        </w:rPr>
        <w:t>按GB/T 5524</w:t>
      </w:r>
      <w:r>
        <w:t>的规定</w:t>
      </w:r>
      <w:r>
        <w:rPr>
          <w:rFonts w:hint="eastAsia"/>
        </w:rPr>
        <w:t>执行。</w:t>
      </w:r>
    </w:p>
    <w:p>
      <w:pPr>
        <w:pStyle w:val="105"/>
        <w:spacing w:before="120" w:after="120"/>
      </w:pPr>
      <w:r>
        <w:rPr>
          <w:rFonts w:hint="eastAsia"/>
        </w:rPr>
        <w:t>出厂检验</w:t>
      </w:r>
    </w:p>
    <w:p>
      <w:pPr>
        <w:pStyle w:val="56"/>
        <w:ind w:firstLine="420"/>
      </w:pPr>
      <w:r>
        <w:rPr>
          <w:rFonts w:hint="eastAsia"/>
        </w:rPr>
        <w:t>出厂检验项目为色泽、透明度、气味、滋味、水分及挥发物含量、酸价、过氧化值，并出具检验报告。</w:t>
      </w:r>
    </w:p>
    <w:p>
      <w:pPr>
        <w:pStyle w:val="105"/>
        <w:spacing w:before="120" w:after="120"/>
      </w:pPr>
      <w:r>
        <w:rPr>
          <w:rFonts w:hint="eastAsia"/>
        </w:rPr>
        <w:t>型式检验</w:t>
      </w:r>
    </w:p>
    <w:p>
      <w:pPr>
        <w:pStyle w:val="56"/>
        <w:ind w:firstLine="420"/>
        <w:rPr>
          <w:rFonts w:hAnsi="宋体"/>
        </w:rPr>
      </w:pPr>
      <w:r>
        <w:rPr>
          <w:rFonts w:hint="eastAsia" w:hAnsi="宋体"/>
        </w:rPr>
        <w:t>当原料、设备、工艺有较大改变或监督管理部门提出要求时，均应进行型式检验。检验方法按第4章和第5章的规定检验，当检测结果与第4章的规定不符合时，可用生产该批产品的油茶籽原料进行检验、佐证。</w:t>
      </w:r>
    </w:p>
    <w:p>
      <w:pPr>
        <w:pStyle w:val="105"/>
        <w:spacing w:before="120" w:after="120"/>
      </w:pPr>
      <w:r>
        <w:rPr>
          <w:rFonts w:hint="eastAsia"/>
        </w:rPr>
        <w:t>判定规则</w:t>
      </w:r>
    </w:p>
    <w:p>
      <w:pPr>
        <w:pStyle w:val="56"/>
        <w:ind w:firstLine="420"/>
      </w:pPr>
      <w:r>
        <w:rPr>
          <w:rFonts w:hint="eastAsia"/>
        </w:rPr>
        <w:t>产品未标注质量等级时，按不合格判定。经检验，有一项不符合</w:t>
      </w:r>
      <w:r>
        <w:rPr>
          <w:rFonts w:hint="eastAsia" w:hAnsi="宋体"/>
        </w:rPr>
        <w:t>第4章和第5章</w:t>
      </w:r>
      <w:r>
        <w:rPr>
          <w:rFonts w:hint="eastAsia"/>
        </w:rPr>
        <w:t>规定时，按不合格判定。</w:t>
      </w:r>
    </w:p>
    <w:p>
      <w:pPr>
        <w:pStyle w:val="104"/>
        <w:spacing w:before="240" w:after="240"/>
      </w:pPr>
      <w:bookmarkStart w:id="52" w:name="_Toc83824327"/>
      <w:r>
        <w:rPr>
          <w:rFonts w:hint="eastAsia"/>
        </w:rPr>
        <w:t>标签</w:t>
      </w:r>
      <w:bookmarkEnd w:id="52"/>
    </w:p>
    <w:p>
      <w:pPr>
        <w:pStyle w:val="56"/>
        <w:ind w:firstLine="420"/>
      </w:pPr>
      <w:r>
        <w:rPr>
          <w:rFonts w:hint="eastAsia"/>
        </w:rPr>
        <w:t>包装标签、标识应符合GB 7718、GB 28050的要求；包装储运图示标志应符合GB/T 191的要求。产品标签上应标识生产工艺名称。如果产品有效期限依赖于某些特殊条件，应在标签上注明。</w:t>
      </w:r>
    </w:p>
    <w:p>
      <w:pPr>
        <w:pStyle w:val="104"/>
        <w:spacing w:before="240" w:after="240"/>
      </w:pPr>
      <w:bookmarkStart w:id="53" w:name="_Toc83824328"/>
      <w:r>
        <w:rPr>
          <w:rFonts w:hint="eastAsia"/>
        </w:rPr>
        <w:t>包装、储存、运输和销售</w:t>
      </w:r>
      <w:bookmarkEnd w:id="53"/>
    </w:p>
    <w:p>
      <w:pPr>
        <w:pStyle w:val="105"/>
        <w:spacing w:before="120" w:after="120"/>
      </w:pPr>
      <w:r>
        <w:rPr>
          <w:rFonts w:hint="eastAsia"/>
        </w:rPr>
        <w:t>包装</w:t>
      </w:r>
    </w:p>
    <w:p>
      <w:pPr>
        <w:pStyle w:val="56"/>
        <w:ind w:firstLine="420"/>
      </w:pPr>
      <w:r>
        <w:rPr>
          <w:rFonts w:hint="eastAsia"/>
        </w:rPr>
        <w:t>应符合GB/T 17374的要求。</w:t>
      </w:r>
    </w:p>
    <w:p>
      <w:pPr>
        <w:pStyle w:val="105"/>
        <w:spacing w:before="120" w:after="120"/>
      </w:pPr>
      <w:r>
        <w:rPr>
          <w:rFonts w:hint="eastAsia"/>
        </w:rPr>
        <w:t>储存</w:t>
      </w:r>
    </w:p>
    <w:p>
      <w:pPr>
        <w:pStyle w:val="56"/>
        <w:ind w:firstLine="420"/>
      </w:pPr>
      <w:r>
        <w:rPr>
          <w:rFonts w:hint="eastAsia"/>
        </w:rPr>
        <w:t>产品应储存在阴凉、清洁干燥、避光的地方；不应与有害、有毒、有腐蚀性、易挥发或有异味的物品同库储存。</w:t>
      </w:r>
    </w:p>
    <w:p>
      <w:pPr>
        <w:pStyle w:val="105"/>
        <w:spacing w:before="120" w:after="120"/>
      </w:pPr>
      <w:r>
        <w:rPr>
          <w:rFonts w:hint="eastAsia"/>
        </w:rPr>
        <w:t>运输</w:t>
      </w:r>
    </w:p>
    <w:p>
      <w:pPr>
        <w:pStyle w:val="56"/>
        <w:ind w:firstLine="420"/>
      </w:pPr>
      <w:r>
        <w:rPr>
          <w:rFonts w:hint="eastAsia"/>
        </w:rPr>
        <w:t>运输中应注意安全，防止日晒、雨淋、渗漏、污染和标签脱落。散装运输应使用专用罐车，保持车辆及油罐内外的清洁、卫生。不应使用装运过有毒、有害物质的车辆。</w:t>
      </w:r>
    </w:p>
    <w:p>
      <w:pPr>
        <w:pStyle w:val="105"/>
        <w:spacing w:before="120" w:after="120"/>
      </w:pPr>
      <w:r>
        <w:rPr>
          <w:rFonts w:hint="eastAsia"/>
        </w:rPr>
        <w:t>销售</w:t>
      </w:r>
    </w:p>
    <w:p>
      <w:pPr>
        <w:pStyle w:val="56"/>
        <w:ind w:firstLine="420"/>
      </w:pPr>
      <w:r>
        <w:rPr>
          <w:rFonts w:hint="eastAsia"/>
        </w:rPr>
        <w:t>预包装的山茶油在零售终端不应脱离原包装散装销售。</w:t>
      </w:r>
    </w:p>
    <w:bookmarkEnd w:id="24"/>
    <w:p>
      <w:pPr>
        <w:pStyle w:val="56"/>
        <w:ind w:firstLine="0" w:firstLineChars="0"/>
        <w:jc w:val="center"/>
      </w:pPr>
      <w:bookmarkStart w:id="54" w:name="BookMark8"/>
      <w:r>
        <w:rPr>
          <w:rFonts w:hint="eastAsia"/>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4"/>
    </w:p>
    <w:sectPr>
      <w:headerReference r:id="rId17" w:type="default"/>
      <w:footerReference r:id="rId19" w:type="default"/>
      <w:headerReference r:id="rId18" w:type="even"/>
      <w:footerReference r:id="rId20" w:type="even"/>
      <w:pgSz w:w="11906" w:h="16838"/>
      <w:pgMar w:top="2410" w:right="1134" w:bottom="1134" w:left="1134" w:header="1418" w:footer="1134" w:gutter="284"/>
      <w:pgNumType w:start="1"/>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Light">
    <w:altName w:val="宋体"/>
    <w:panose1 w:val="00000000000000000000"/>
    <w:charset w:val="86"/>
    <w:family w:val="auto"/>
    <w:pitch w:val="default"/>
    <w:sig w:usb0="00000000" w:usb1="00000000" w:usb2="00000016" w:usb3="00000000" w:csb0="0004000F" w:csb1="00000000"/>
  </w:font>
  <w:font w:name="等线">
    <w:altName w:val="Arial Unicode M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3</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T/GXAS XXXX—2021</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XXXX—2021</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T/GXAS XXXX—2021</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XXXX—2021</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T/GXAS XXXX—2021</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XXXX—2021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attachedTemplate r:id="rId1"/>
  <w:documentProtection w:edit="forms" w:enforcement="1" w:cryptProviderType="rsaAES" w:cryptAlgorithmClass="hash" w:cryptAlgorithmType="typeAny" w:cryptAlgorithmSid="14" w:cryptSpinCount="100000" w:hash="Rj/jrrqJ3iANWZPmjucAJfhJnkSC958N4XC9Shgo3nIgH+SMQAP942Racx96V5EOaEg/5eYMIfhAc0JkK1xYQw==" w:salt="BM3r5AqCxAcP+gXs9h/0gA=="/>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8A3"/>
    <w:rsid w:val="0000040A"/>
    <w:rsid w:val="00000A94"/>
    <w:rsid w:val="00001972"/>
    <w:rsid w:val="00001D9A"/>
    <w:rsid w:val="00007B3A"/>
    <w:rsid w:val="000107E0"/>
    <w:rsid w:val="00011FDE"/>
    <w:rsid w:val="00012FFD"/>
    <w:rsid w:val="0001324B"/>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5F3C"/>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869"/>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198B"/>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1406"/>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3AE8"/>
    <w:rsid w:val="00194C95"/>
    <w:rsid w:val="00195C34"/>
    <w:rsid w:val="00196EF5"/>
    <w:rsid w:val="001A1A53"/>
    <w:rsid w:val="001A234A"/>
    <w:rsid w:val="001A3EA9"/>
    <w:rsid w:val="001A4CF3"/>
    <w:rsid w:val="001A6696"/>
    <w:rsid w:val="001B06E8"/>
    <w:rsid w:val="001B71D0"/>
    <w:rsid w:val="001B71EE"/>
    <w:rsid w:val="001B7571"/>
    <w:rsid w:val="001C04A8"/>
    <w:rsid w:val="001C2C03"/>
    <w:rsid w:val="001C42F7"/>
    <w:rsid w:val="001C49E5"/>
    <w:rsid w:val="001C680C"/>
    <w:rsid w:val="001C7FEA"/>
    <w:rsid w:val="001D0499"/>
    <w:rsid w:val="001D0BBE"/>
    <w:rsid w:val="001D0ED4"/>
    <w:rsid w:val="001D212F"/>
    <w:rsid w:val="001D29D7"/>
    <w:rsid w:val="001D2DE7"/>
    <w:rsid w:val="001D3C7B"/>
    <w:rsid w:val="001D411C"/>
    <w:rsid w:val="001D7215"/>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288C"/>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8F3"/>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57C89"/>
    <w:rsid w:val="0036107C"/>
    <w:rsid w:val="003615D2"/>
    <w:rsid w:val="00361840"/>
    <w:rsid w:val="00362206"/>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D31"/>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181B"/>
    <w:rsid w:val="003C47CA"/>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D5F"/>
    <w:rsid w:val="00400E72"/>
    <w:rsid w:val="00401400"/>
    <w:rsid w:val="00404869"/>
    <w:rsid w:val="00405884"/>
    <w:rsid w:val="00407D39"/>
    <w:rsid w:val="0041477A"/>
    <w:rsid w:val="004167A3"/>
    <w:rsid w:val="004219A1"/>
    <w:rsid w:val="004276E2"/>
    <w:rsid w:val="00430412"/>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B7730"/>
    <w:rsid w:val="004C1FBC"/>
    <w:rsid w:val="004C25A2"/>
    <w:rsid w:val="004C3F1D"/>
    <w:rsid w:val="004C458D"/>
    <w:rsid w:val="004C7556"/>
    <w:rsid w:val="004C7E8B"/>
    <w:rsid w:val="004C7E9D"/>
    <w:rsid w:val="004C7F67"/>
    <w:rsid w:val="004D076D"/>
    <w:rsid w:val="004D0EF1"/>
    <w:rsid w:val="004D2253"/>
    <w:rsid w:val="004D3AAA"/>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259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7191"/>
    <w:rsid w:val="00561475"/>
    <w:rsid w:val="00562308"/>
    <w:rsid w:val="0056293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035"/>
    <w:rsid w:val="005F284E"/>
    <w:rsid w:val="005F3439"/>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25C4"/>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275E"/>
    <w:rsid w:val="0069437E"/>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D6DD1"/>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052"/>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49BB"/>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E0ECF"/>
    <w:rsid w:val="007F0688"/>
    <w:rsid w:val="007F0ED8"/>
    <w:rsid w:val="007F0F63"/>
    <w:rsid w:val="007F75CE"/>
    <w:rsid w:val="008013A4"/>
    <w:rsid w:val="008027CE"/>
    <w:rsid w:val="00802F42"/>
    <w:rsid w:val="00803437"/>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54F9"/>
    <w:rsid w:val="008603CE"/>
    <w:rsid w:val="008620FC"/>
    <w:rsid w:val="008627A5"/>
    <w:rsid w:val="008627BC"/>
    <w:rsid w:val="00863E05"/>
    <w:rsid w:val="00865ACA"/>
    <w:rsid w:val="00865D28"/>
    <w:rsid w:val="00865F85"/>
    <w:rsid w:val="00867C10"/>
    <w:rsid w:val="00870439"/>
    <w:rsid w:val="00870DA1"/>
    <w:rsid w:val="00881979"/>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6A8"/>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1CD"/>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27E84"/>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349E"/>
    <w:rsid w:val="00A648CD"/>
    <w:rsid w:val="00A6537A"/>
    <w:rsid w:val="00A67866"/>
    <w:rsid w:val="00A70B07"/>
    <w:rsid w:val="00A723F8"/>
    <w:rsid w:val="00A77CCB"/>
    <w:rsid w:val="00A83D8D"/>
    <w:rsid w:val="00A8446B"/>
    <w:rsid w:val="00A8473F"/>
    <w:rsid w:val="00A862D6"/>
    <w:rsid w:val="00A8715E"/>
    <w:rsid w:val="00A9295B"/>
    <w:rsid w:val="00A93B09"/>
    <w:rsid w:val="00A94757"/>
    <w:rsid w:val="00A952D7"/>
    <w:rsid w:val="00A963F7"/>
    <w:rsid w:val="00A96AD8"/>
    <w:rsid w:val="00AA052C"/>
    <w:rsid w:val="00AA1E45"/>
    <w:rsid w:val="00AA4286"/>
    <w:rsid w:val="00AA456B"/>
    <w:rsid w:val="00AA57F5"/>
    <w:rsid w:val="00AA672E"/>
    <w:rsid w:val="00AA6EC9"/>
    <w:rsid w:val="00AB2042"/>
    <w:rsid w:val="00AB6309"/>
    <w:rsid w:val="00AB6C5F"/>
    <w:rsid w:val="00AB7129"/>
    <w:rsid w:val="00AC27A6"/>
    <w:rsid w:val="00AC30F7"/>
    <w:rsid w:val="00AC3A5A"/>
    <w:rsid w:val="00AC4D95"/>
    <w:rsid w:val="00AC5DF4"/>
    <w:rsid w:val="00AC66D3"/>
    <w:rsid w:val="00AD0AEF"/>
    <w:rsid w:val="00AD11B7"/>
    <w:rsid w:val="00AD1A94"/>
    <w:rsid w:val="00AD1C05"/>
    <w:rsid w:val="00AD4126"/>
    <w:rsid w:val="00AD421C"/>
    <w:rsid w:val="00AD44FA"/>
    <w:rsid w:val="00AE070A"/>
    <w:rsid w:val="00AE101C"/>
    <w:rsid w:val="00AE2A69"/>
    <w:rsid w:val="00AE37E5"/>
    <w:rsid w:val="00AE4E8D"/>
    <w:rsid w:val="00AE5EB4"/>
    <w:rsid w:val="00AF0C18"/>
    <w:rsid w:val="00AF47C5"/>
    <w:rsid w:val="00AF5398"/>
    <w:rsid w:val="00B049AF"/>
    <w:rsid w:val="00B07242"/>
    <w:rsid w:val="00B10534"/>
    <w:rsid w:val="00B113DB"/>
    <w:rsid w:val="00B11D8A"/>
    <w:rsid w:val="00B12981"/>
    <w:rsid w:val="00B147DD"/>
    <w:rsid w:val="00B156FD"/>
    <w:rsid w:val="00B16C98"/>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786"/>
    <w:rsid w:val="00B47293"/>
    <w:rsid w:val="00B50E50"/>
    <w:rsid w:val="00B52120"/>
    <w:rsid w:val="00B54ABC"/>
    <w:rsid w:val="00B56FBE"/>
    <w:rsid w:val="00B60ACF"/>
    <w:rsid w:val="00B62B58"/>
    <w:rsid w:val="00B64AE0"/>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B77C5"/>
    <w:rsid w:val="00BC1A4E"/>
    <w:rsid w:val="00BC5DC7"/>
    <w:rsid w:val="00BC6B8B"/>
    <w:rsid w:val="00BC73D8"/>
    <w:rsid w:val="00BD52D7"/>
    <w:rsid w:val="00BD5AD2"/>
    <w:rsid w:val="00BD757C"/>
    <w:rsid w:val="00BE22F3"/>
    <w:rsid w:val="00BE3E5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66A23"/>
    <w:rsid w:val="00C71372"/>
    <w:rsid w:val="00C72410"/>
    <w:rsid w:val="00C7287F"/>
    <w:rsid w:val="00C80CB8"/>
    <w:rsid w:val="00C819F8"/>
    <w:rsid w:val="00C8248C"/>
    <w:rsid w:val="00C82904"/>
    <w:rsid w:val="00C84E33"/>
    <w:rsid w:val="00C86D6F"/>
    <w:rsid w:val="00C905FC"/>
    <w:rsid w:val="00C92D03"/>
    <w:rsid w:val="00C9319C"/>
    <w:rsid w:val="00C9435D"/>
    <w:rsid w:val="00C94DF2"/>
    <w:rsid w:val="00C96741"/>
    <w:rsid w:val="00CA18A3"/>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3CBB"/>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77A12"/>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0AB3"/>
    <w:rsid w:val="00DC3067"/>
    <w:rsid w:val="00DC370B"/>
    <w:rsid w:val="00DC5B90"/>
    <w:rsid w:val="00DD00FF"/>
    <w:rsid w:val="00DD0619"/>
    <w:rsid w:val="00DD07FB"/>
    <w:rsid w:val="00DD1E9C"/>
    <w:rsid w:val="00DD257D"/>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CC"/>
    <w:rsid w:val="00E52EFD"/>
    <w:rsid w:val="00E5408A"/>
    <w:rsid w:val="00E56800"/>
    <w:rsid w:val="00E60C63"/>
    <w:rsid w:val="00E619A4"/>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B7812"/>
    <w:rsid w:val="00EC5359"/>
    <w:rsid w:val="00EC562A"/>
    <w:rsid w:val="00ED067A"/>
    <w:rsid w:val="00ED2B50"/>
    <w:rsid w:val="00EE0350"/>
    <w:rsid w:val="00EE0719"/>
    <w:rsid w:val="00EE0E80"/>
    <w:rsid w:val="00EE26E9"/>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5CDD"/>
    <w:rsid w:val="00F16F00"/>
    <w:rsid w:val="00F17D24"/>
    <w:rsid w:val="00F25BB6"/>
    <w:rsid w:val="00F26B7E"/>
    <w:rsid w:val="00F27A3B"/>
    <w:rsid w:val="00F33817"/>
    <w:rsid w:val="00F420D5"/>
    <w:rsid w:val="00F451EA"/>
    <w:rsid w:val="00F45447"/>
    <w:rsid w:val="00F456C6"/>
    <w:rsid w:val="00F4577B"/>
    <w:rsid w:val="00F46496"/>
    <w:rsid w:val="00F474D0"/>
    <w:rsid w:val="00F50179"/>
    <w:rsid w:val="00F515EE"/>
    <w:rsid w:val="00F522C1"/>
    <w:rsid w:val="00F56511"/>
    <w:rsid w:val="00F6194E"/>
    <w:rsid w:val="00F623AC"/>
    <w:rsid w:val="00F6349B"/>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25891D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unhideWhenUsed="0" w:uiPriority="0"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uiPriority w:val="0"/>
    <w:pPr>
      <w:spacing w:after="120"/>
    </w:pPr>
  </w:style>
  <w:style w:type="paragraph" w:styleId="14">
    <w:name w:val="toc 5"/>
    <w:basedOn w:val="1"/>
    <w:next w:val="1"/>
    <w:unhideWhenUsed/>
    <w:uiPriority w:val="39"/>
    <w:pPr>
      <w:ind w:left="839"/>
    </w:pPr>
    <w:rPr>
      <w:rFonts w:ascii="宋体"/>
    </w:rPr>
  </w:style>
  <w:style w:type="paragraph" w:styleId="15">
    <w:name w:val="toc 3"/>
    <w:basedOn w:val="1"/>
    <w:next w:val="1"/>
    <w:unhideWhenUsed/>
    <w:uiPriority w:val="39"/>
    <w:pPr>
      <w:spacing w:line="300" w:lineRule="exact"/>
      <w:ind w:left="420"/>
    </w:pPr>
    <w:rPr>
      <w:rFonts w:ascii="宋体"/>
    </w:rPr>
  </w:style>
  <w:style w:type="paragraph" w:styleId="16">
    <w:name w:val="Balloon Text"/>
    <w:basedOn w:val="1"/>
    <w:link w:val="45"/>
    <w:semiHidden/>
    <w:unhideWhenUsed/>
    <w:uiPriority w:val="99"/>
    <w:rPr>
      <w:sz w:val="18"/>
      <w:szCs w:val="18"/>
    </w:rPr>
  </w:style>
  <w:style w:type="paragraph" w:styleId="17">
    <w:name w:val="footer"/>
    <w:basedOn w:val="1"/>
    <w:link w:val="44"/>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uiPriority w:val="99"/>
    <w:pPr>
      <w:tabs>
        <w:tab w:val="center" w:pos="4153"/>
        <w:tab w:val="right" w:pos="8306"/>
      </w:tabs>
      <w:adjustRightInd/>
      <w:snapToGrid w:val="0"/>
      <w:jc w:val="center"/>
    </w:pPr>
    <w:rPr>
      <w:sz w:val="18"/>
      <w:szCs w:val="18"/>
    </w:rPr>
  </w:style>
  <w:style w:type="paragraph" w:styleId="19">
    <w:name w:val="toc 1"/>
    <w:basedOn w:val="1"/>
    <w:next w:val="1"/>
    <w:unhideWhenUsed/>
    <w:uiPriority w:val="39"/>
    <w:rPr>
      <w:rFonts w:ascii="宋体"/>
    </w:rPr>
  </w:style>
  <w:style w:type="paragraph" w:styleId="20">
    <w:name w:val="toc 4"/>
    <w:basedOn w:val="1"/>
    <w:next w:val="1"/>
    <w:unhideWhenUsed/>
    <w:uiPriority w:val="39"/>
    <w:pPr>
      <w:tabs>
        <w:tab w:val="right" w:leader="dot" w:pos="9344"/>
      </w:tabs>
      <w:spacing w:line="300" w:lineRule="exact"/>
      <w:ind w:left="629"/>
    </w:pPr>
    <w:rPr>
      <w:rFonts w:ascii="宋体"/>
    </w:rPr>
  </w:style>
  <w:style w:type="paragraph" w:styleId="21">
    <w:name w:val="footnote text"/>
    <w:basedOn w:val="1"/>
    <w:next w:val="1"/>
    <w:link w:val="99"/>
    <w:semiHidden/>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uiPriority w:val="39"/>
    <w:pPr>
      <w:spacing w:line="300" w:lineRule="exact"/>
      <w:ind w:left="1049"/>
    </w:pPr>
    <w:rPr>
      <w:rFonts w:ascii="宋体"/>
    </w:rPr>
  </w:style>
  <w:style w:type="paragraph" w:styleId="23">
    <w:name w:val="table of figures"/>
    <w:basedOn w:val="1"/>
    <w:next w:val="1"/>
    <w:semiHidden/>
    <w:uiPriority w:val="0"/>
    <w:pPr>
      <w:adjustRightInd/>
      <w:spacing w:line="240" w:lineRule="auto"/>
      <w:jc w:val="left"/>
    </w:pPr>
    <w:rPr>
      <w:szCs w:val="24"/>
    </w:rPr>
  </w:style>
  <w:style w:type="paragraph" w:styleId="24">
    <w:name w:val="toc 2"/>
    <w:basedOn w:val="1"/>
    <w:next w:val="1"/>
    <w:unhideWhenUsed/>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uiPriority w:val="0"/>
    <w:rPr>
      <w:rFonts w:ascii="宋体" w:hAnsi="Times New Roman" w:eastAsia="宋体"/>
      <w:sz w:val="18"/>
    </w:rPr>
  </w:style>
  <w:style w:type="character" w:styleId="31">
    <w:name w:val="Emphasis"/>
    <w:qFormat/>
    <w:uiPriority w:val="20"/>
    <w:rPr>
      <w:i/>
      <w:iCs/>
    </w:rPr>
  </w:style>
  <w:style w:type="character" w:styleId="32">
    <w:name w:val="Hyperlink"/>
    <w:uiPriority w:val="99"/>
    <w:rPr>
      <w:rFonts w:ascii="宋体" w:hAnsi="Times New Roman" w:eastAsia="宋体"/>
      <w:color w:val="auto"/>
      <w:spacing w:val="0"/>
      <w:w w:val="100"/>
      <w:position w:val="0"/>
      <w:sz w:val="21"/>
      <w:u w:val="none"/>
      <w:vertAlign w:val="baseline"/>
    </w:rPr>
  </w:style>
  <w:style w:type="character" w:styleId="33">
    <w:name w:val="footnote reference"/>
    <w:semiHidden/>
    <w:uiPriority w:val="0"/>
    <w:rPr>
      <w:rFonts w:ascii="宋体" w:hAnsi="宋体" w:eastAsia="宋体" w:cs="Times New Roman"/>
      <w:spacing w:val="0"/>
      <w:sz w:val="18"/>
      <w:vertAlign w:val="superscript"/>
    </w:rPr>
  </w:style>
  <w:style w:type="character" w:customStyle="1" w:styleId="34">
    <w:name w:val="标题 1 字符"/>
    <w:link w:val="2"/>
    <w:uiPriority w:val="0"/>
    <w:rPr>
      <w:rFonts w:ascii="Times New Roman" w:hAnsi="Times New Roman" w:eastAsia="宋体" w:cs="Times New Roman"/>
      <w:b/>
      <w:bCs/>
      <w:kern w:val="44"/>
      <w:sz w:val="44"/>
      <w:szCs w:val="44"/>
    </w:rPr>
  </w:style>
  <w:style w:type="character" w:customStyle="1" w:styleId="35">
    <w:name w:val="标题 2 字符"/>
    <w:link w:val="3"/>
    <w:uiPriority w:val="0"/>
    <w:rPr>
      <w:rFonts w:ascii="Arial" w:hAnsi="Arial" w:eastAsia="黑体" w:cs="Times New Roman"/>
      <w:b/>
      <w:bCs/>
      <w:sz w:val="32"/>
      <w:szCs w:val="32"/>
    </w:rPr>
  </w:style>
  <w:style w:type="character" w:customStyle="1" w:styleId="36">
    <w:name w:val="标题 3 字符"/>
    <w:link w:val="4"/>
    <w:uiPriority w:val="0"/>
    <w:rPr>
      <w:rFonts w:ascii="Times New Roman" w:hAnsi="Times New Roman" w:eastAsia="宋体" w:cs="Times New Roman"/>
      <w:b/>
      <w:bCs/>
      <w:sz w:val="32"/>
      <w:szCs w:val="32"/>
    </w:rPr>
  </w:style>
  <w:style w:type="character" w:customStyle="1" w:styleId="37">
    <w:name w:val="标题 4 字符"/>
    <w:link w:val="5"/>
    <w:uiPriority w:val="0"/>
    <w:rPr>
      <w:rFonts w:ascii="Arial" w:hAnsi="Arial" w:eastAsia="黑体" w:cs="Times New Roman"/>
      <w:b/>
      <w:bCs/>
      <w:sz w:val="28"/>
      <w:szCs w:val="28"/>
    </w:rPr>
  </w:style>
  <w:style w:type="character" w:customStyle="1" w:styleId="38">
    <w:name w:val="标题 5 字符"/>
    <w:link w:val="6"/>
    <w:uiPriority w:val="0"/>
    <w:rPr>
      <w:rFonts w:ascii="Times New Roman" w:hAnsi="Times New Roman" w:eastAsia="宋体" w:cs="Times New Roman"/>
      <w:b/>
      <w:bCs/>
      <w:sz w:val="28"/>
      <w:szCs w:val="28"/>
    </w:rPr>
  </w:style>
  <w:style w:type="character" w:customStyle="1" w:styleId="39">
    <w:name w:val="标题 6 字符"/>
    <w:link w:val="7"/>
    <w:uiPriority w:val="0"/>
    <w:rPr>
      <w:rFonts w:ascii="Arial" w:hAnsi="Arial" w:eastAsia="黑体" w:cs="Times New Roman"/>
      <w:b/>
      <w:bCs/>
      <w:sz w:val="24"/>
      <w:szCs w:val="24"/>
    </w:rPr>
  </w:style>
  <w:style w:type="character" w:customStyle="1" w:styleId="40">
    <w:name w:val="标题 7 字符"/>
    <w:link w:val="8"/>
    <w:uiPriority w:val="0"/>
    <w:rPr>
      <w:rFonts w:ascii="Times New Roman" w:hAnsi="Times New Roman" w:eastAsia="宋体" w:cs="Times New Roman"/>
      <w:b/>
      <w:bCs/>
      <w:sz w:val="24"/>
      <w:szCs w:val="24"/>
    </w:rPr>
  </w:style>
  <w:style w:type="character" w:customStyle="1" w:styleId="41">
    <w:name w:val="标题 8 字符"/>
    <w:link w:val="9"/>
    <w:uiPriority w:val="0"/>
    <w:rPr>
      <w:rFonts w:ascii="Arial" w:hAnsi="Arial" w:eastAsia="黑体" w:cs="Times New Roman"/>
      <w:sz w:val="24"/>
      <w:szCs w:val="24"/>
    </w:rPr>
  </w:style>
  <w:style w:type="character" w:customStyle="1" w:styleId="42">
    <w:name w:val="标题 9 字符"/>
    <w:link w:val="10"/>
    <w:uiPriority w:val="0"/>
    <w:rPr>
      <w:rFonts w:ascii="Arial" w:hAnsi="Arial" w:eastAsia="黑体" w:cs="Times New Roman"/>
      <w:szCs w:val="21"/>
    </w:rPr>
  </w:style>
  <w:style w:type="character" w:customStyle="1" w:styleId="43">
    <w:name w:val="页眉 字符"/>
    <w:link w:val="18"/>
    <w:uiPriority w:val="99"/>
    <w:rPr>
      <w:rFonts w:ascii="Times New Roman" w:hAnsi="Times New Roman" w:eastAsia="宋体" w:cs="Times New Roman"/>
      <w:sz w:val="18"/>
      <w:szCs w:val="18"/>
    </w:rPr>
  </w:style>
  <w:style w:type="character" w:customStyle="1" w:styleId="44">
    <w:name w:val="页脚 字符"/>
    <w:link w:val="17"/>
    <w:uiPriority w:val="99"/>
    <w:rPr>
      <w:rFonts w:ascii="宋体" w:hAnsi="Times New Roman" w:eastAsia="宋体" w:cs="Times New Roman"/>
      <w:sz w:val="18"/>
      <w:szCs w:val="18"/>
    </w:rPr>
  </w:style>
  <w:style w:type="character" w:customStyle="1" w:styleId="45">
    <w:name w:val="批注框文本 字符"/>
    <w:link w:val="16"/>
    <w:semiHidden/>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uiPriority w:val="29"/>
    <w:rPr>
      <w:i/>
      <w:iCs/>
      <w:color w:val="000000"/>
    </w:rPr>
  </w:style>
  <w:style w:type="character" w:customStyle="1" w:styleId="48">
    <w:name w:val="标题 字符"/>
    <w:link w:val="25"/>
    <w:uiPriority w:val="0"/>
    <w:rPr>
      <w:rFonts w:ascii="Arial" w:hAnsi="Arial" w:eastAsia="宋体" w:cs="Arial"/>
      <w:b/>
      <w:bCs/>
      <w:sz w:val="32"/>
      <w:szCs w:val="32"/>
    </w:rPr>
  </w:style>
  <w:style w:type="paragraph" w:customStyle="1" w:styleId="49">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uiPriority w:val="0"/>
    <w:pPr>
      <w:ind w:left="198"/>
    </w:pPr>
    <w:rPr>
      <w:rFonts w:ascii="宋体" w:hAnsi="Times New Roman" w:eastAsia="宋体" w:cs="Times New Roman"/>
      <w:sz w:val="18"/>
      <w:lang w:val="en-US" w:eastAsia="zh-CN" w:bidi="ar-SA"/>
    </w:rPr>
  </w:style>
  <w:style w:type="paragraph" w:customStyle="1" w:styleId="52">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3">
    <w:name w:val="标准书眉一"/>
    <w:uiPriority w:val="0"/>
    <w:pPr>
      <w:jc w:val="both"/>
    </w:pPr>
    <w:rPr>
      <w:rFonts w:ascii="Times New Roman" w:hAnsi="Times New Roman" w:eastAsia="宋体" w:cs="Times New Roman"/>
      <w:lang w:val="en-US" w:eastAsia="zh-CN" w:bidi="ar-SA"/>
    </w:rPr>
  </w:style>
  <w:style w:type="paragraph" w:customStyle="1" w:styleId="54">
    <w:name w:val="标准文件_ICS"/>
    <w:basedOn w:val="1"/>
    <w:uiPriority w:val="0"/>
    <w:pPr>
      <w:spacing w:line="0" w:lineRule="atLeast"/>
    </w:pPr>
    <w:rPr>
      <w:rFonts w:ascii="黑体" w:hAnsi="宋体" w:eastAsia="黑体"/>
    </w:rPr>
  </w:style>
  <w:style w:type="paragraph" w:customStyle="1" w:styleId="55">
    <w:name w:val="标准文件_标准正文"/>
    <w:basedOn w:val="1"/>
    <w:next w:val="56"/>
    <w:uiPriority w:val="0"/>
    <w:pPr>
      <w:snapToGrid w:val="0"/>
      <w:ind w:firstLine="200" w:firstLineChars="200"/>
    </w:pPr>
    <w:rPr>
      <w:kern w:val="0"/>
    </w:rPr>
  </w:style>
  <w:style w:type="paragraph" w:customStyle="1" w:styleId="56">
    <w:name w:val="标准文件_段"/>
    <w:link w:val="184"/>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uiPriority w:val="0"/>
    <w:pPr>
      <w:adjustRightInd/>
      <w:snapToGrid/>
      <w:ind w:firstLine="0" w:firstLineChars="0"/>
    </w:pPr>
    <w:rPr>
      <w:rFonts w:ascii="宋体" w:hAnsi="宋体"/>
      <w:kern w:val="2"/>
    </w:rPr>
  </w:style>
  <w:style w:type="paragraph" w:customStyle="1" w:styleId="58">
    <w:name w:val="标准文件_标准部门"/>
    <w:basedOn w:val="1"/>
    <w:uiPriority w:val="0"/>
    <w:pPr>
      <w:jc w:val="center"/>
    </w:pPr>
    <w:rPr>
      <w:rFonts w:ascii="黑体" w:eastAsia="黑体"/>
      <w:kern w:val="0"/>
      <w:sz w:val="44"/>
    </w:rPr>
  </w:style>
  <w:style w:type="paragraph" w:customStyle="1" w:styleId="59">
    <w:name w:val="标准文件_标准代替"/>
    <w:basedOn w:val="1"/>
    <w:next w:val="1"/>
    <w:uiPriority w:val="0"/>
    <w:pPr>
      <w:spacing w:line="310" w:lineRule="exact"/>
      <w:jc w:val="right"/>
    </w:pPr>
    <w:rPr>
      <w:rFonts w:ascii="宋体" w:hAnsi="宋体"/>
      <w:kern w:val="0"/>
    </w:rPr>
  </w:style>
  <w:style w:type="paragraph" w:customStyle="1" w:styleId="60">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uiPriority w:val="0"/>
    <w:pPr>
      <w:jc w:val="left"/>
    </w:pPr>
  </w:style>
  <w:style w:type="paragraph" w:customStyle="1" w:styleId="63">
    <w:name w:val="标准文件_参考文献标题"/>
    <w:basedOn w:val="1"/>
    <w:next w:val="1"/>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uiPriority w:val="0"/>
    <w:rPr>
      <w:rFonts w:ascii="黑体" w:eastAsia="黑体"/>
      <w:spacing w:val="0"/>
      <w:w w:val="100"/>
      <w:position w:val="3"/>
      <w:sz w:val="28"/>
    </w:rPr>
  </w:style>
  <w:style w:type="paragraph" w:customStyle="1" w:styleId="67">
    <w:name w:val="标准文件_方框数字列项"/>
    <w:basedOn w:val="56"/>
    <w:uiPriority w:val="0"/>
    <w:pPr>
      <w:numPr>
        <w:ilvl w:val="0"/>
        <w:numId w:val="3"/>
      </w:numPr>
      <w:ind w:firstLine="0" w:firstLineChars="0"/>
    </w:pPr>
  </w:style>
  <w:style w:type="paragraph" w:customStyle="1" w:styleId="68">
    <w:name w:val="标准文件_封面标准编号"/>
    <w:basedOn w:val="1"/>
    <w:next w:val="59"/>
    <w:uiPriority w:val="0"/>
    <w:pPr>
      <w:spacing w:line="310" w:lineRule="exact"/>
      <w:jc w:val="right"/>
    </w:pPr>
    <w:rPr>
      <w:rFonts w:ascii="黑体" w:eastAsia="黑体"/>
      <w:kern w:val="0"/>
      <w:sz w:val="28"/>
    </w:rPr>
  </w:style>
  <w:style w:type="paragraph" w:customStyle="1" w:styleId="69">
    <w:name w:val="标准文件_封面标准分类号"/>
    <w:basedOn w:val="1"/>
    <w:uiPriority w:val="0"/>
    <w:rPr>
      <w:rFonts w:ascii="黑体" w:eastAsia="黑体"/>
      <w:b/>
      <w:kern w:val="0"/>
      <w:sz w:val="28"/>
    </w:rPr>
  </w:style>
  <w:style w:type="paragraph" w:customStyle="1" w:styleId="70">
    <w:name w:val="标准文件_封面标准名称"/>
    <w:basedOn w:val="1"/>
    <w:uiPriority w:val="0"/>
    <w:pPr>
      <w:spacing w:line="240" w:lineRule="auto"/>
      <w:jc w:val="center"/>
    </w:pPr>
    <w:rPr>
      <w:rFonts w:ascii="黑体" w:eastAsia="黑体"/>
      <w:kern w:val="0"/>
      <w:sz w:val="52"/>
    </w:rPr>
  </w:style>
  <w:style w:type="paragraph" w:customStyle="1" w:styleId="71">
    <w:name w:val="标准文件_封面标准英文名称"/>
    <w:basedOn w:val="1"/>
    <w:uiPriority w:val="0"/>
    <w:pPr>
      <w:spacing w:line="240" w:lineRule="auto"/>
      <w:jc w:val="center"/>
    </w:pPr>
    <w:rPr>
      <w:rFonts w:ascii="黑体" w:eastAsia="黑体"/>
      <w:b/>
      <w:sz w:val="28"/>
    </w:rPr>
  </w:style>
  <w:style w:type="paragraph" w:customStyle="1" w:styleId="72">
    <w:name w:val="标准文件_封面发布日期"/>
    <w:basedOn w:val="1"/>
    <w:uiPriority w:val="0"/>
    <w:pPr>
      <w:spacing w:line="310" w:lineRule="exact"/>
    </w:pPr>
    <w:rPr>
      <w:rFonts w:ascii="黑体" w:eastAsia="黑体"/>
      <w:kern w:val="0"/>
      <w:sz w:val="28"/>
    </w:rPr>
  </w:style>
  <w:style w:type="paragraph" w:customStyle="1" w:styleId="73">
    <w:name w:val="标准文件_封面密级"/>
    <w:basedOn w:val="1"/>
    <w:uiPriority w:val="0"/>
    <w:rPr>
      <w:rFonts w:eastAsia="黑体"/>
      <w:sz w:val="32"/>
    </w:rPr>
  </w:style>
  <w:style w:type="paragraph" w:customStyle="1" w:styleId="74">
    <w:name w:val="标准文件_封面实施日期"/>
    <w:basedOn w:val="1"/>
    <w:uiPriority w:val="0"/>
    <w:pPr>
      <w:spacing w:line="310" w:lineRule="exact"/>
      <w:jc w:val="right"/>
    </w:pPr>
    <w:rPr>
      <w:rFonts w:ascii="黑体" w:eastAsia="黑体"/>
      <w:sz w:val="28"/>
    </w:rPr>
  </w:style>
  <w:style w:type="paragraph" w:customStyle="1" w:styleId="75">
    <w:name w:val="标准文件_封面抬头"/>
    <w:basedOn w:val="56"/>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uiPriority w:val="0"/>
    <w:rPr>
      <w:rFonts w:ascii="Times New Roman" w:hAnsi="Times New Roman" w:eastAsia="宋体" w:cs="Times New Roman"/>
      <w:szCs w:val="20"/>
    </w:rPr>
  </w:style>
  <w:style w:type="paragraph" w:customStyle="1" w:styleId="87">
    <w:name w:val="标准文件_附录章标题"/>
    <w:next w:val="56"/>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uiPriority w:val="0"/>
    <w:pPr>
      <w:ind w:left="488" w:leftChars="200" w:hanging="289" w:hangingChars="290"/>
    </w:pPr>
  </w:style>
  <w:style w:type="paragraph" w:customStyle="1" w:styleId="89">
    <w:name w:val="标准文件_前言、引言标题"/>
    <w:next w:val="1"/>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uiPriority w:val="0"/>
    <w:pPr>
      <w:spacing w:line="460" w:lineRule="exact"/>
    </w:pPr>
  </w:style>
  <w:style w:type="paragraph" w:customStyle="1" w:styleId="91">
    <w:name w:val="标准文件_目录标题"/>
    <w:basedOn w:val="1"/>
    <w:uiPriority w:val="0"/>
    <w:pPr>
      <w:spacing w:after="150" w:afterLines="150" w:line="240" w:lineRule="auto"/>
      <w:jc w:val="center"/>
    </w:pPr>
    <w:rPr>
      <w:rFonts w:ascii="黑体" w:eastAsia="黑体"/>
      <w:sz w:val="32"/>
    </w:rPr>
  </w:style>
  <w:style w:type="paragraph" w:customStyle="1" w:styleId="92">
    <w:name w:val="标准文件_破折号列项"/>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uiPriority w:val="0"/>
    <w:pPr>
      <w:numPr>
        <w:numId w:val="10"/>
      </w:numPr>
      <w:ind w:left="0" w:firstLine="200"/>
    </w:pPr>
  </w:style>
  <w:style w:type="paragraph" w:customStyle="1" w:styleId="94">
    <w:name w:val="标准文件_三级条标题"/>
    <w:basedOn w:val="65"/>
    <w:next w:val="56"/>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uiPriority w:val="0"/>
    <w:pPr>
      <w:adjustRightInd/>
      <w:spacing w:line="240" w:lineRule="auto"/>
      <w:ind w:firstLine="200" w:firstLineChars="200"/>
    </w:pPr>
    <w:rPr>
      <w:sz w:val="18"/>
      <w:szCs w:val="24"/>
    </w:rPr>
  </w:style>
  <w:style w:type="paragraph" w:customStyle="1" w:styleId="97">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uiPriority w:val="0"/>
    <w:rPr>
      <w:rFonts w:ascii="宋体" w:hAnsi="Times New Roman" w:eastAsia="宋体" w:cs="Times New Roman"/>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uiPriority w:val="0"/>
    <w:pPr>
      <w:numPr>
        <w:ilvl w:val="0"/>
        <w:numId w:val="12"/>
      </w:numPr>
      <w:spacing w:line="240" w:lineRule="auto"/>
      <w:jc w:val="left"/>
    </w:pPr>
    <w:rPr>
      <w:rFonts w:ascii="宋体" w:hAnsi="宋体"/>
      <w:sz w:val="18"/>
    </w:rPr>
  </w:style>
  <w:style w:type="character" w:customStyle="1" w:styleId="102">
    <w:name w:val="标准文件_图表脚注内容"/>
    <w:uiPriority w:val="0"/>
    <w:rPr>
      <w:rFonts w:ascii="宋体" w:hAnsi="宋体" w:eastAsia="宋体" w:cs="Times New Roman"/>
      <w:spacing w:val="0"/>
      <w:sz w:val="18"/>
      <w:vertAlign w:val="superscript"/>
    </w:rPr>
  </w:style>
  <w:style w:type="paragraph" w:customStyle="1" w:styleId="103">
    <w:name w:val="标准文件_五级条标题"/>
    <w:next w:val="56"/>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uiPriority w:val="0"/>
    <w:pPr>
      <w:numPr>
        <w:ilvl w:val="2"/>
      </w:numPr>
      <w:spacing w:before="50" w:beforeLines="50" w:after="50" w:afterLines="5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uiPriority w:val="0"/>
    <w:pPr>
      <w:adjustRightInd/>
      <w:spacing w:line="240" w:lineRule="auto"/>
      <w:jc w:val="left"/>
    </w:pPr>
    <w:rPr>
      <w:bCs/>
      <w:iCs/>
    </w:rPr>
  </w:style>
  <w:style w:type="paragraph" w:customStyle="1" w:styleId="143">
    <w:name w:val="目录 31"/>
    <w:basedOn w:val="1"/>
    <w:next w:val="1"/>
    <w:semiHidden/>
    <w:uiPriority w:val="0"/>
    <w:pPr>
      <w:spacing w:line="240" w:lineRule="auto"/>
    </w:pPr>
    <w:rPr>
      <w:rFonts w:ascii="宋体" w:hAnsi="宋体"/>
      <w:iCs/>
    </w:rPr>
  </w:style>
  <w:style w:type="paragraph" w:customStyle="1" w:styleId="144">
    <w:name w:val="目录 41"/>
    <w:basedOn w:val="1"/>
    <w:next w:val="1"/>
    <w:semiHidden/>
    <w:uiPriority w:val="0"/>
    <w:pPr>
      <w:adjustRightInd/>
      <w:spacing w:line="240" w:lineRule="auto"/>
      <w:jc w:val="left"/>
    </w:pPr>
  </w:style>
  <w:style w:type="paragraph" w:customStyle="1" w:styleId="145">
    <w:name w:val="目录 51"/>
    <w:basedOn w:val="1"/>
    <w:next w:val="1"/>
    <w:semiHidden/>
    <w:uiPriority w:val="0"/>
    <w:pPr>
      <w:spacing w:line="240" w:lineRule="auto"/>
    </w:pPr>
    <w:rPr>
      <w:rFonts w:ascii="宋体" w:hAnsi="宋体"/>
    </w:rPr>
  </w:style>
  <w:style w:type="paragraph" w:customStyle="1" w:styleId="146">
    <w:name w:val="目录 61"/>
    <w:basedOn w:val="1"/>
    <w:next w:val="1"/>
    <w:semiHidden/>
    <w:uiPriority w:val="0"/>
    <w:pPr>
      <w:adjustRightInd/>
      <w:spacing w:line="240" w:lineRule="auto"/>
      <w:jc w:val="left"/>
    </w:pPr>
  </w:style>
  <w:style w:type="paragraph" w:customStyle="1" w:styleId="147">
    <w:name w:val="目录 71"/>
    <w:basedOn w:val="146"/>
    <w:semiHidden/>
    <w:uiPriority w:val="0"/>
    <w:pPr>
      <w:ind w:left="1260"/>
    </w:pPr>
  </w:style>
  <w:style w:type="paragraph" w:customStyle="1" w:styleId="148">
    <w:name w:val="目录 81"/>
    <w:basedOn w:val="147"/>
    <w:semiHidden/>
    <w:uiPriority w:val="0"/>
    <w:pPr>
      <w:ind w:left="1470"/>
    </w:pPr>
  </w:style>
  <w:style w:type="paragraph" w:customStyle="1" w:styleId="149">
    <w:name w:val="目录 91"/>
    <w:basedOn w:val="148"/>
    <w:semiHidden/>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wrap="around"/>
      <w:spacing w:line="0" w:lineRule="atLeast"/>
    </w:pPr>
    <w:rPr>
      <w:rFonts w:ascii="黑体" w:eastAsia="黑体"/>
      <w:b w:val="0"/>
    </w:rPr>
  </w:style>
  <w:style w:type="paragraph" w:customStyle="1" w:styleId="152">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 w:type="character" w:customStyle="1" w:styleId="230">
    <w:name w:val="段 Char"/>
    <w:link w:val="231"/>
    <w:uiPriority w:val="0"/>
    <w:rPr>
      <w:rFonts w:ascii="宋体" w:hAnsi="Times New Roman"/>
      <w:sz w:val="21"/>
    </w:rPr>
  </w:style>
  <w:style w:type="paragraph" w:customStyle="1" w:styleId="231">
    <w:name w:val="段"/>
    <w:link w:val="230"/>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32">
    <w:name w:val="正文表标题"/>
    <w:next w:val="231"/>
    <w:uiPriority w:val="0"/>
    <w:pPr>
      <w:tabs>
        <w:tab w:val="left" w:pos="360"/>
      </w:tabs>
      <w:spacing w:before="156" w:beforeLines="50" w:after="156" w:afterLines="50"/>
      <w:jc w:val="center"/>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9" Type="http://schemas.openxmlformats.org/officeDocument/2006/relationships/glossaryDocument" Target="glossary/document.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3.jpeg"/><Relationship Id="rId23" Type="http://schemas.openxmlformats.org/officeDocument/2006/relationships/image" Target="media/image2.png"/><Relationship Id="rId22" Type="http://schemas.openxmlformats.org/officeDocument/2006/relationships/image" Target="media/image1.png"/><Relationship Id="rId21" Type="http://schemas.openxmlformats.org/officeDocument/2006/relationships/theme" Target="theme/theme1.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footer" Target="footer7.xml"/><Relationship Id="rId18" Type="http://schemas.openxmlformats.org/officeDocument/2006/relationships/header" Target="header8.xml"/><Relationship Id="rId17" Type="http://schemas.openxmlformats.org/officeDocument/2006/relationships/header" Target="head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D6FF2A317C74F17922A762932622B82"/>
        <w:style w:val=""/>
        <w:category>
          <w:name w:val="常规"/>
          <w:gallery w:val="placeholder"/>
        </w:category>
        <w:types>
          <w:type w:val="bbPlcHdr"/>
        </w:types>
        <w:behaviors>
          <w:behavior w:val="content"/>
        </w:behaviors>
        <w:description w:val=""/>
        <w:guid w:val="{0ACF9DA5-A33E-4C31-B748-90838629CFD1}"/>
      </w:docPartPr>
      <w:docPartBody>
        <w:p>
          <w:pPr>
            <w:pStyle w:val="5"/>
          </w:pPr>
          <w:r>
            <w:rPr>
              <w:rStyle w:val="4"/>
              <w:rFonts w:hint="eastAsia"/>
            </w:rPr>
            <w:t>单击或点击此处输入文字。</w:t>
          </w:r>
        </w:p>
      </w:docPartBody>
    </w:docPart>
    <w:docPart>
      <w:docPartPr>
        <w:name w:val="14C653F9F7FF412DB4A3078046680EA7"/>
        <w:style w:val=""/>
        <w:category>
          <w:name w:val="常规"/>
          <w:gallery w:val="placeholder"/>
        </w:category>
        <w:types>
          <w:type w:val="bbPlcHdr"/>
        </w:types>
        <w:behaviors>
          <w:behavior w:val="content"/>
        </w:behaviors>
        <w:description w:val=""/>
        <w:guid w:val="{DCBD9CD0-C84F-46C3-9014-5E35DFBF3E5E}"/>
      </w:docPartPr>
      <w:docPartBody>
        <w:p>
          <w:pPr>
            <w:pStyle w:val="6"/>
          </w:pPr>
          <w:r>
            <w:rPr>
              <w:rStyle w:val="4"/>
              <w:rFonts w:hint="eastAsia"/>
            </w:rPr>
            <w:t>选择一项。</w:t>
          </w:r>
        </w:p>
      </w:docPartBody>
    </w:docPart>
    <w:docPart>
      <w:docPartPr>
        <w:name w:val="8F8C7537BA8D4D9FAD4E26C21B978CD1"/>
        <w:style w:val=""/>
        <w:category>
          <w:name w:val="常规"/>
          <w:gallery w:val="placeholder"/>
        </w:category>
        <w:types>
          <w:type w:val="bbPlcHdr"/>
        </w:types>
        <w:behaviors>
          <w:behavior w:val="content"/>
        </w:behaviors>
        <w:description w:val=""/>
        <w:guid w:val="{47146277-8B6B-4243-9175-921C52142BAB}"/>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426"/>
    <w:rsid w:val="000F2426"/>
    <w:rsid w:val="00132405"/>
    <w:rsid w:val="00173A53"/>
    <w:rsid w:val="001A647F"/>
    <w:rsid w:val="00235697"/>
    <w:rsid w:val="00285F4C"/>
    <w:rsid w:val="0028649B"/>
    <w:rsid w:val="00402C3E"/>
    <w:rsid w:val="004262DB"/>
    <w:rsid w:val="004976CA"/>
    <w:rsid w:val="004C7529"/>
    <w:rsid w:val="005A278E"/>
    <w:rsid w:val="006A3FE2"/>
    <w:rsid w:val="006E4A50"/>
    <w:rsid w:val="00896930"/>
    <w:rsid w:val="008C33C1"/>
    <w:rsid w:val="009144CC"/>
    <w:rsid w:val="00AA2F5A"/>
    <w:rsid w:val="00AC381C"/>
    <w:rsid w:val="00BA4A94"/>
    <w:rsid w:val="00C14D16"/>
    <w:rsid w:val="00CD07B9"/>
    <w:rsid w:val="00D820E5"/>
    <w:rsid w:val="00DD7359"/>
    <w:rsid w:val="00E17F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1D6FF2A317C74F17922A762932622B8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14C653F9F7FF412DB4A3078046680EA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8F8C7537BA8D4D9FAD4E26C21B978CD1"/>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D1092D-0990-457C-8F85-34408A291245}">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8</Pages>
  <Words>569</Words>
  <Characters>3249</Characters>
  <Lines>27</Lines>
  <Paragraphs>7</Paragraphs>
  <TotalTime>39</TotalTime>
  <ScaleCrop>false</ScaleCrop>
  <LinksUpToDate>false</LinksUpToDate>
  <CharactersWithSpaces>3811</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2021-12-21T04:07:00Z</dcterms:created>
  <dc:creator>WINDOWS</dc:creator>
  <dc:description>&lt;config cover="true" show_menu="true" version="1.0.0" doctype="SDKXY"&gt;_x000d_
&lt;/config&gt;</dc:description>
  <cp:lastModifiedBy>誰念誰川</cp:lastModifiedBy>
  <cp:lastPrinted>2021-02-02T08:22:00Z</cp:lastPrinted>
  <dcterms:modified xsi:type="dcterms:W3CDTF">2021-12-27T03:06:58Z</dcterms:modified>
  <dc:title>团体标准</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_DocHome">
    <vt:i4>1313502412</vt:i4>
  </property>
  <property fmtid="{D5CDD505-2E9C-101B-9397-08002B2CF9AE}" pid="16" name="KSOProductBuildVer">
    <vt:lpwstr>2052-11.1.0.11194</vt:lpwstr>
  </property>
  <property fmtid="{D5CDD505-2E9C-101B-9397-08002B2CF9AE}" pid="17" name="ICV">
    <vt:lpwstr>5DCF098DBB574410AC6666F49157E7C0</vt:lpwstr>
  </property>
</Properties>
</file>