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04D95">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61C20">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104D95">
                    <w:rPr>
                      <w:rFonts w:hint="eastAsia"/>
                    </w:rPr>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04D95">
              <w:rPr>
                <w:rFonts w:ascii="黑体" w:eastAsia="黑体" w:hAnsi="黑体" w:hint="eastAsia"/>
                <w:sz w:val="21"/>
                <w:szCs w:val="21"/>
              </w:rPr>
              <w:t>B 61</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61C20">
        <w:rPr>
          <w:rFonts w:ascii="黑体" w:eastAsia="黑体" w:hint="eastAsia"/>
          <w:b w:val="0"/>
          <w:w w:val="100"/>
          <w:sz w:val="48"/>
        </w:rPr>
        <w:t>团体标准</w:t>
      </w:r>
      <w:r w:rsidRPr="001A4CF3">
        <w:rPr>
          <w:rFonts w:ascii="黑体" w:eastAsia="黑体"/>
          <w:b w:val="0"/>
          <w:w w:val="100"/>
          <w:sz w:val="48"/>
        </w:rPr>
        <w:fldChar w:fldCharType="end"/>
      </w:r>
      <w:bookmarkEnd w:id="4"/>
      <w:r w:rsidR="00161C20" w:rsidRPr="007B7453">
        <w:rPr>
          <w:rFonts w:ascii="黑体" w:eastAsia="黑体" w:hAnsi="黑体"/>
          <w:b w:val="0"/>
          <w:bCs w:val="0"/>
          <w:w w:val="100"/>
          <w:sz w:val="48"/>
          <w:szCs w:val="48"/>
        </w:rPr>
        <w:t xml:space="preserve"> </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104D95">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FC198F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C750A">
        <w:t>两面针药材贮藏技术规程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104D95" w:rsidRPr="00104D95">
        <w:rPr>
          <w:rFonts w:eastAsia="黑体"/>
          <w:noProof/>
          <w:szCs w:val="28"/>
        </w:rPr>
        <w:t>Technical regulations of</w:t>
      </w:r>
      <w:r w:rsidR="00053BED">
        <w:rPr>
          <w:rFonts w:eastAsia="黑体"/>
          <w:noProof/>
          <w:szCs w:val="28"/>
        </w:rPr>
        <w:t xml:space="preserve"> m</w:t>
      </w:r>
      <w:r w:rsidR="00104D95" w:rsidRPr="00104D95">
        <w:rPr>
          <w:rFonts w:eastAsia="黑体"/>
          <w:noProof/>
          <w:szCs w:val="28"/>
        </w:rPr>
        <w:t xml:space="preserve">edicinal </w:t>
      </w:r>
      <w:r w:rsidR="00053BED">
        <w:rPr>
          <w:rFonts w:eastAsia="黑体"/>
          <w:noProof/>
          <w:szCs w:val="28"/>
        </w:rPr>
        <w:t>m</w:t>
      </w:r>
      <w:r w:rsidR="00104D95" w:rsidRPr="00104D95">
        <w:rPr>
          <w:rFonts w:eastAsia="黑体"/>
          <w:noProof/>
          <w:szCs w:val="28"/>
        </w:rPr>
        <w:t xml:space="preserve">aterials for </w:t>
      </w:r>
      <w:r w:rsidR="00053BED">
        <w:rPr>
          <w:rFonts w:eastAsia="黑体"/>
          <w:noProof/>
          <w:szCs w:val="28"/>
        </w:rPr>
        <w:t>s</w:t>
      </w:r>
      <w:r w:rsidR="00104D95" w:rsidRPr="00104D95">
        <w:rPr>
          <w:rFonts w:eastAsia="黑体"/>
          <w:noProof/>
          <w:szCs w:val="28"/>
        </w:rPr>
        <w:t>torage of Z</w:t>
      </w:r>
      <w:r w:rsidR="009B5FB9">
        <w:rPr>
          <w:rFonts w:eastAsia="黑体"/>
          <w:noProof/>
          <w:szCs w:val="28"/>
        </w:rPr>
        <w:t>anthoxyi radlx</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990D50">
        <w:rPr>
          <w:noProof/>
          <w:sz w:val="24"/>
          <w:szCs w:val="28"/>
        </w:rPr>
      </w:r>
      <w:r w:rsidR="00990D50">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FC1935">
        <w:rPr>
          <w:rFonts w:hint="eastAsia"/>
          <w:noProof/>
          <w:sz w:val="21"/>
          <w:szCs w:val="28"/>
        </w:rPr>
        <w:t>（本草案完成时间：</w:t>
      </w:r>
      <w:r w:rsidR="00FC1935">
        <w:rPr>
          <w:rFonts w:hint="eastAsia"/>
          <w:noProof/>
          <w:sz w:val="21"/>
          <w:szCs w:val="28"/>
        </w:rPr>
        <w:t>2021</w:t>
      </w:r>
      <w:r w:rsidR="00FC1935">
        <w:rPr>
          <w:rFonts w:hint="eastAsia"/>
          <w:noProof/>
          <w:sz w:val="21"/>
          <w:szCs w:val="28"/>
        </w:rPr>
        <w:t>年</w:t>
      </w:r>
      <w:r w:rsidR="00FC1935">
        <w:rPr>
          <w:rFonts w:hint="eastAsia"/>
          <w:noProof/>
          <w:sz w:val="21"/>
          <w:szCs w:val="28"/>
        </w:rPr>
        <w:t>12</w:t>
      </w:r>
      <w:r w:rsidR="00FC1935">
        <w:rPr>
          <w:rFonts w:hint="eastAsia"/>
          <w:noProof/>
          <w:sz w:val="21"/>
          <w:szCs w:val="28"/>
        </w:rPr>
        <w:t>月</w:t>
      </w:r>
      <w:r w:rsidR="00FC1935">
        <w:rPr>
          <w:rFonts w:hint="eastAsia"/>
          <w:noProof/>
          <w:sz w:val="21"/>
          <w:szCs w:val="28"/>
        </w:rPr>
        <w:t>15</w:t>
      </w:r>
      <w:r w:rsidR="00FC1935">
        <w:rPr>
          <w:rFonts w:hint="eastAsia"/>
          <w:noProof/>
          <w:sz w:val="21"/>
          <w:szCs w:val="28"/>
        </w:rPr>
        <w:t>日）</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990D50">
        <w:rPr>
          <w:b/>
          <w:noProof/>
          <w:sz w:val="21"/>
          <w:szCs w:val="28"/>
        </w:rPr>
      </w:r>
      <w:r w:rsidR="00990D50">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161C20" w:rsidRPr="004C7E8B">
        <w:rPr>
          <w:rFonts w:hAnsi="黑体"/>
          <w:w w:val="100"/>
          <w:sz w:val="28"/>
        </w:rPr>
      </w:r>
      <w:r w:rsidRPr="004C7E8B">
        <w:rPr>
          <w:rFonts w:hAnsi="黑体"/>
          <w:w w:val="100"/>
          <w:sz w:val="28"/>
        </w:rPr>
        <w:fldChar w:fldCharType="separate"/>
      </w:r>
      <w:r w:rsidR="00161C20">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A3AA3C7" wp14:editId="76A9D4F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86FC91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21105" w:rsidRDefault="00821105" w:rsidP="00821105">
      <w:pPr>
        <w:pStyle w:val="a6"/>
        <w:spacing w:after="360"/>
      </w:pPr>
      <w:bookmarkStart w:id="21" w:name="BookMark2"/>
      <w:r w:rsidRPr="00821105">
        <w:rPr>
          <w:spacing w:val="320"/>
        </w:rPr>
        <w:lastRenderedPageBreak/>
        <w:t>前</w:t>
      </w:r>
      <w:r>
        <w:t>言</w:t>
      </w:r>
    </w:p>
    <w:p w:rsidR="00821105" w:rsidRDefault="00821105" w:rsidP="00821105">
      <w:pPr>
        <w:pStyle w:val="affff6"/>
        <w:ind w:firstLine="420"/>
      </w:pPr>
      <w:r>
        <w:rPr>
          <w:rFonts w:hint="eastAsia"/>
        </w:rPr>
        <w:t>本文件按照GB/T 1.1—2020《标准化工作导则  第1部分：标准化文件的结构和起草规则》的规定起草。</w:t>
      </w:r>
    </w:p>
    <w:p w:rsidR="00821105" w:rsidRDefault="00821105" w:rsidP="00D35CC6">
      <w:pPr>
        <w:pStyle w:val="affff6"/>
        <w:ind w:firstLine="420"/>
      </w:pPr>
      <w:r>
        <w:rPr>
          <w:rFonts w:hint="eastAsia"/>
        </w:rPr>
        <w:t>本文件由</w:t>
      </w:r>
      <w:r w:rsidRPr="00821105">
        <w:rPr>
          <w:rFonts w:hint="eastAsia"/>
        </w:rPr>
        <w:t>广西壮族自治区中医药管理局</w:t>
      </w:r>
      <w:r>
        <w:rPr>
          <w:rFonts w:hint="eastAsia"/>
        </w:rPr>
        <w:t>提出</w:t>
      </w:r>
      <w:r w:rsidR="00D35CC6">
        <w:rPr>
          <w:rFonts w:hint="eastAsia"/>
        </w:rPr>
        <w:t>并归口</w:t>
      </w:r>
      <w:r>
        <w:rPr>
          <w:rFonts w:hint="eastAsia"/>
        </w:rPr>
        <w:t>。</w:t>
      </w:r>
    </w:p>
    <w:p w:rsidR="00821105" w:rsidRDefault="00821105" w:rsidP="00821105">
      <w:pPr>
        <w:pStyle w:val="affff6"/>
        <w:ind w:firstLine="420"/>
      </w:pPr>
      <w:r>
        <w:rPr>
          <w:rFonts w:hint="eastAsia"/>
        </w:rPr>
        <w:t>本文件起草单位：</w:t>
      </w:r>
      <w:r w:rsidRPr="00821105">
        <w:rPr>
          <w:rFonts w:hint="eastAsia"/>
        </w:rPr>
        <w:t>广西壮族自治区药用植物园</w:t>
      </w:r>
    </w:p>
    <w:p w:rsidR="00821105" w:rsidRDefault="00821105" w:rsidP="00821105">
      <w:pPr>
        <w:pStyle w:val="affff6"/>
        <w:ind w:firstLine="420"/>
      </w:pPr>
      <w:r>
        <w:rPr>
          <w:rFonts w:hint="eastAsia"/>
        </w:rPr>
        <w:t>本文件主要起草人：</w:t>
      </w:r>
      <w:r w:rsidRPr="00821105">
        <w:rPr>
          <w:rFonts w:hint="eastAsia"/>
        </w:rPr>
        <w:t>黄宝优、黄雪彦、韦坤华、缪剑华、余丽莹、韦莹、黄燕芬、乔丽娅、柯芳、谢月英、彭玉德、农东新、潘春柳、蓝祖栽、王春丽、姚李祥、熊峥。</w:t>
      </w:r>
    </w:p>
    <w:p w:rsidR="00821105" w:rsidRDefault="00821105" w:rsidP="00821105">
      <w:pPr>
        <w:pStyle w:val="affff6"/>
        <w:ind w:firstLine="420"/>
      </w:pPr>
    </w:p>
    <w:p w:rsidR="00821105" w:rsidRPr="00821105" w:rsidRDefault="00821105" w:rsidP="00821105">
      <w:pPr>
        <w:pStyle w:val="affff6"/>
        <w:ind w:firstLine="420"/>
        <w:sectPr w:rsidR="00821105" w:rsidRPr="00821105" w:rsidSect="00821105">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linePitch="312"/>
        </w:sectPr>
      </w:pPr>
    </w:p>
    <w:p w:rsidR="00821105" w:rsidRDefault="00821105" w:rsidP="00821105">
      <w:pPr>
        <w:pStyle w:val="a6"/>
        <w:spacing w:after="360"/>
      </w:pPr>
      <w:bookmarkStart w:id="22" w:name="BookMark3"/>
      <w:bookmarkEnd w:id="21"/>
      <w:r w:rsidRPr="00821105">
        <w:rPr>
          <w:spacing w:val="320"/>
        </w:rPr>
        <w:lastRenderedPageBreak/>
        <w:t>引</w:t>
      </w:r>
      <w:r>
        <w:t>言</w:t>
      </w:r>
    </w:p>
    <w:p w:rsidR="00821105" w:rsidRDefault="00821105" w:rsidP="00821105">
      <w:pPr>
        <w:pStyle w:val="affff6"/>
        <w:ind w:firstLine="420"/>
      </w:pPr>
      <w:r w:rsidRPr="00821105">
        <w:rPr>
          <w:rFonts w:hint="eastAsia"/>
        </w:rPr>
        <w:t>两面针，为芸香科植物两面针（</w:t>
      </w:r>
      <w:r w:rsidRPr="00821105">
        <w:rPr>
          <w:rFonts w:ascii="Times New Roman"/>
          <w:i/>
        </w:rPr>
        <w:t>Zanthoxylum nididum</w:t>
      </w:r>
      <w:r w:rsidRPr="00821105">
        <w:rPr>
          <w:rFonts w:ascii="Times New Roman"/>
        </w:rPr>
        <w:t xml:space="preserve"> (Roxb.) DC.</w:t>
      </w:r>
      <w:r w:rsidRPr="00821105">
        <w:rPr>
          <w:rFonts w:hint="eastAsia"/>
        </w:rPr>
        <w:t>）的干燥根，是广西大宗道地药材。贮藏对药材质量的影响非常显著，适宜的包装和贮藏方式对药材质量至关重要，关于两面针贮藏方面的研究非常少，针对这一现状，项目组开展了两面针药材贮藏技术方面的研究，通过不同贮藏方式的实验摸索出适宜的贮藏技术，并制订适合本地区的“两面针药材贮藏技术规程”，以保障两面针药材质量。</w:t>
      </w:r>
    </w:p>
    <w:p w:rsidR="00821105" w:rsidRDefault="00821105" w:rsidP="00821105">
      <w:pPr>
        <w:pStyle w:val="affff6"/>
        <w:ind w:firstLine="420"/>
      </w:pPr>
    </w:p>
    <w:p w:rsidR="00821105" w:rsidRPr="00821105" w:rsidRDefault="00821105" w:rsidP="00821105">
      <w:pPr>
        <w:pStyle w:val="affff6"/>
        <w:ind w:firstLine="420"/>
        <w:sectPr w:rsidR="00821105" w:rsidRPr="00821105" w:rsidSect="00821105">
          <w:pgSz w:w="11906" w:h="16838" w:code="9"/>
          <w:pgMar w:top="2410"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AABA80020D2482290089657B085BEFE"/>
        </w:placeholder>
      </w:sdtPr>
      <w:sdtEndPr/>
      <w:sdtContent>
        <w:bookmarkStart w:id="24" w:name="NEW_STAND_NAME" w:displacedByCustomXml="prev"/>
        <w:p w:rsidR="00F26B7E" w:rsidRPr="00F26B7E" w:rsidRDefault="00161C20" w:rsidP="00161C20">
          <w:pPr>
            <w:pStyle w:val="afffffffff1"/>
            <w:spacing w:beforeLines="100" w:before="240" w:afterLines="220" w:after="528"/>
          </w:pPr>
          <w:r>
            <w:rPr>
              <w:rFonts w:hint="eastAsia"/>
            </w:rPr>
            <w:t>两面针药材贮藏技术规程</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104D95" w:rsidRDefault="00104D95" w:rsidP="00104D95">
      <w:pPr>
        <w:pStyle w:val="affff6"/>
        <w:ind w:firstLine="420"/>
      </w:pPr>
      <w:bookmarkStart w:id="33" w:name="_Toc17233326"/>
      <w:bookmarkStart w:id="34" w:name="_Toc17233334"/>
      <w:bookmarkStart w:id="35" w:name="_Toc24884212"/>
      <w:bookmarkStart w:id="36" w:name="_Toc24884219"/>
      <w:bookmarkStart w:id="37" w:name="_Toc26648466"/>
      <w:r>
        <w:rPr>
          <w:rFonts w:hint="eastAsia"/>
        </w:rPr>
        <w:t>本标准界定了两面针药材贮藏技术的术语和定义，规定了两面针药材采收与加工、质量要求、贮藏和出库。</w:t>
      </w:r>
    </w:p>
    <w:p w:rsidR="008B0C9C" w:rsidRDefault="00104D95" w:rsidP="00104D95">
      <w:pPr>
        <w:pStyle w:val="affff6"/>
        <w:ind w:firstLine="420"/>
      </w:pPr>
      <w:r>
        <w:rPr>
          <w:rFonts w:hint="eastAsia"/>
        </w:rPr>
        <w:t>本标准适用于广西</w:t>
      </w:r>
      <w:r w:rsidR="00BD37FA">
        <w:rPr>
          <w:rFonts w:hint="eastAsia"/>
        </w:rPr>
        <w:t>行政区域</w:t>
      </w:r>
      <w:r w:rsidR="00BD37FA">
        <w:t>范围</w:t>
      </w:r>
      <w:r>
        <w:rPr>
          <w:rFonts w:hint="eastAsia"/>
        </w:rPr>
        <w:t>内</w:t>
      </w:r>
      <w:r w:rsidR="00BD37FA">
        <w:rPr>
          <w:rFonts w:hint="eastAsia"/>
        </w:rPr>
        <w:t>的两面针药材</w:t>
      </w:r>
      <w:r>
        <w:rPr>
          <w:rFonts w:hint="eastAsia"/>
        </w:rPr>
        <w:t>贮藏。</w:t>
      </w:r>
    </w:p>
    <w:p w:rsidR="00E2552F" w:rsidRDefault="00E2552F" w:rsidP="00A77CCB">
      <w:pPr>
        <w:pStyle w:val="affc"/>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43C9B37ABCFD4C019DF0367EB7E0F3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04D95" w:rsidRDefault="00104D95" w:rsidP="00104D95">
      <w:pPr>
        <w:pStyle w:val="affff6"/>
        <w:ind w:firstLine="420"/>
      </w:pPr>
      <w:r>
        <w:rPr>
          <w:rFonts w:hint="eastAsia"/>
        </w:rPr>
        <w:t>GB/T 8946 塑料编织袋通用技术要求</w:t>
      </w:r>
    </w:p>
    <w:p w:rsidR="00104D95" w:rsidRDefault="00104D95" w:rsidP="00104D95">
      <w:pPr>
        <w:pStyle w:val="affff6"/>
        <w:ind w:firstLine="420"/>
      </w:pPr>
      <w:r>
        <w:rPr>
          <w:rFonts w:hint="eastAsia"/>
        </w:rPr>
        <w:t>SB/T 11094 中药材仓储管理规范</w:t>
      </w:r>
    </w:p>
    <w:p w:rsidR="00104D95" w:rsidRDefault="00104D95" w:rsidP="00104D95">
      <w:pPr>
        <w:pStyle w:val="affff6"/>
        <w:ind w:firstLine="420"/>
      </w:pPr>
      <w:r>
        <w:rPr>
          <w:rFonts w:hint="eastAsia"/>
        </w:rPr>
        <w:t>DB45/T 1954.4-2019 两面针 第4部分：药材生产技术规程</w:t>
      </w:r>
    </w:p>
    <w:p w:rsidR="006A10B9" w:rsidRDefault="006A10B9" w:rsidP="00104D95">
      <w:pPr>
        <w:pStyle w:val="affff6"/>
        <w:ind w:firstLine="420"/>
      </w:pPr>
      <w:r w:rsidRPr="006A10B9">
        <w:rPr>
          <w:rFonts w:hint="eastAsia"/>
        </w:rPr>
        <w:t>《中华人民共和国食品安全法》</w:t>
      </w:r>
    </w:p>
    <w:p w:rsidR="00AD7B31" w:rsidRPr="00AD7B31" w:rsidRDefault="00AD7B31" w:rsidP="00104D95">
      <w:pPr>
        <w:pStyle w:val="affff6"/>
        <w:ind w:firstLine="420"/>
      </w:pPr>
      <w:r w:rsidRPr="00AD7B31">
        <w:rPr>
          <w:rFonts w:hint="eastAsia"/>
        </w:rPr>
        <w:t>《中华人民共和国药典》2020年版（一部）</w:t>
      </w:r>
    </w:p>
    <w:p w:rsidR="00AA6EC9" w:rsidRPr="008A57E6" w:rsidRDefault="00104D95" w:rsidP="00AD7B31">
      <w:pPr>
        <w:pStyle w:val="affff6"/>
        <w:ind w:firstLineChars="195" w:firstLine="409"/>
      </w:pPr>
      <w:r>
        <w:rPr>
          <w:rFonts w:hint="eastAsia"/>
        </w:rPr>
        <w:t>《中华人民共和国药典》2020年版（四部）通则</w:t>
      </w:r>
    </w:p>
    <w:p w:rsidR="00B265BC" w:rsidRPr="00E030F9" w:rsidRDefault="00FD59EB" w:rsidP="00FD59EB">
      <w:pPr>
        <w:pStyle w:val="affc"/>
        <w:spacing w:before="240" w:after="240"/>
      </w:pPr>
      <w:r>
        <w:rPr>
          <w:rFonts w:hint="eastAsia"/>
          <w:szCs w:val="21"/>
        </w:rPr>
        <w:t>术语和定义</w:t>
      </w:r>
    </w:p>
    <w:bookmarkStart w:id="41" w:name="_Toc26986532" w:displacedByCustomXml="next"/>
    <w:bookmarkEnd w:id="41" w:displacedByCustomXml="next"/>
    <w:sdt>
      <w:sdtPr>
        <w:id w:val="-1909835108"/>
        <w:placeholder>
          <w:docPart w:val="D631CB02E4A04BE5B0585C11B98EE5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C1935" w:rsidP="00BA263B">
          <w:pPr>
            <w:pStyle w:val="affff6"/>
            <w:ind w:firstLine="420"/>
          </w:pPr>
          <w:r>
            <w:t>下列术语和定义适用于本文件。</w:t>
          </w:r>
        </w:p>
      </w:sdtContent>
    </w:sdt>
    <w:p w:rsidR="004B3E93" w:rsidRDefault="005B4DCD" w:rsidP="00620521">
      <w:pPr>
        <w:pStyle w:val="affffffffffe"/>
        <w:spacing w:afterLines="50" w:after="120"/>
        <w:ind w:left="420" w:hangingChars="200" w:hanging="420"/>
      </w:pPr>
      <w:r w:rsidRPr="005B4DCD">
        <w:rPr>
          <w:rFonts w:ascii="黑体" w:eastAsia="黑体" w:hAnsi="黑体"/>
        </w:rPr>
        <w:br/>
      </w:r>
      <w:r>
        <w:rPr>
          <w:rFonts w:ascii="黑体" w:eastAsia="黑体" w:hAnsi="黑体" w:hint="eastAsia"/>
        </w:rPr>
        <w:t>两面针</w:t>
      </w:r>
    </w:p>
    <w:p w:rsidR="002A1382" w:rsidRDefault="002A1382" w:rsidP="003C4AEE">
      <w:pPr>
        <w:pStyle w:val="affff6"/>
        <w:ind w:firstLine="420"/>
      </w:pPr>
      <w:r w:rsidRPr="002A1382">
        <w:rPr>
          <w:rFonts w:hint="eastAsia"/>
        </w:rPr>
        <w:t>本品为芸香科花椒属藤本植物两面针</w:t>
      </w:r>
      <w:r w:rsidRPr="003C4AEE">
        <w:rPr>
          <w:rFonts w:ascii="Times New Roman"/>
          <w:i/>
        </w:rPr>
        <w:t>Zanthoxylum nididum</w:t>
      </w:r>
      <w:r w:rsidRPr="003C4AEE">
        <w:rPr>
          <w:rFonts w:ascii="Times New Roman"/>
        </w:rPr>
        <w:t xml:space="preserve"> (Roxb.) DC.</w:t>
      </w:r>
      <w:r w:rsidRPr="002A1382">
        <w:rPr>
          <w:rFonts w:hint="eastAsia"/>
        </w:rPr>
        <w:t>的干燥根。</w:t>
      </w:r>
    </w:p>
    <w:p w:rsidR="002A1382" w:rsidRDefault="002A1382" w:rsidP="002A1382">
      <w:pPr>
        <w:pStyle w:val="affc"/>
        <w:spacing w:before="240" w:after="240"/>
      </w:pPr>
      <w:r>
        <w:rPr>
          <w:rFonts w:hint="eastAsia"/>
        </w:rPr>
        <w:t>采收</w:t>
      </w:r>
      <w:r>
        <w:t>与加工</w:t>
      </w:r>
    </w:p>
    <w:p w:rsidR="002A1382" w:rsidRDefault="002A1382" w:rsidP="002A1382">
      <w:pPr>
        <w:pStyle w:val="affd"/>
        <w:spacing w:before="120" w:after="120"/>
      </w:pPr>
      <w:r>
        <w:rPr>
          <w:rFonts w:hint="eastAsia"/>
        </w:rPr>
        <w:t>采收</w:t>
      </w:r>
    </w:p>
    <w:p w:rsidR="002A1382" w:rsidRDefault="002A1382" w:rsidP="003C4AEE">
      <w:pPr>
        <w:pStyle w:val="affff6"/>
        <w:ind w:firstLine="420"/>
      </w:pPr>
      <w:r w:rsidRPr="002A1382">
        <w:rPr>
          <w:rFonts w:hint="eastAsia"/>
        </w:rPr>
        <w:t>按DB45/T 1954.4-2019标准执行。种植4</w:t>
      </w:r>
      <w:r w:rsidR="0034503A" w:rsidRPr="0034503A">
        <w:rPr>
          <w:vertAlign w:val="superscript"/>
        </w:rPr>
        <w:t xml:space="preserve"> </w:t>
      </w:r>
      <w:r w:rsidR="0034503A">
        <w:rPr>
          <w:rFonts w:hint="eastAsia"/>
        </w:rPr>
        <w:t>a</w:t>
      </w:r>
      <w:r w:rsidRPr="002A1382">
        <w:rPr>
          <w:rFonts w:hint="eastAsia"/>
        </w:rPr>
        <w:t>～5</w:t>
      </w:r>
      <w:r w:rsidR="0034503A" w:rsidRPr="0034503A">
        <w:rPr>
          <w:vertAlign w:val="superscript"/>
        </w:rPr>
        <w:t xml:space="preserve"> </w:t>
      </w:r>
      <w:r w:rsidR="0034503A">
        <w:rPr>
          <w:rFonts w:hint="eastAsia"/>
        </w:rPr>
        <w:t>a</w:t>
      </w:r>
      <w:r w:rsidRPr="002A1382">
        <w:rPr>
          <w:rFonts w:hint="eastAsia"/>
        </w:rPr>
        <w:t>以后，当两面针主干直径达到3</w:t>
      </w:r>
      <w:r w:rsidRPr="002A1382">
        <w:rPr>
          <w:rFonts w:hint="eastAsia"/>
          <w:vertAlign w:val="superscript"/>
        </w:rPr>
        <w:t xml:space="preserve"> </w:t>
      </w:r>
      <w:r w:rsidRPr="002A1382">
        <w:rPr>
          <w:rFonts w:hint="eastAsia"/>
        </w:rPr>
        <w:t>cm以上时采收。</w:t>
      </w:r>
    </w:p>
    <w:p w:rsidR="002A1382" w:rsidRDefault="002A1382" w:rsidP="002A1382">
      <w:pPr>
        <w:pStyle w:val="affd"/>
        <w:spacing w:before="120" w:after="120"/>
      </w:pPr>
      <w:r>
        <w:rPr>
          <w:rFonts w:hint="eastAsia"/>
        </w:rPr>
        <w:t>采收</w:t>
      </w:r>
      <w:r>
        <w:t>方法</w:t>
      </w:r>
    </w:p>
    <w:p w:rsidR="002A1382" w:rsidRDefault="002A1382" w:rsidP="003C4AEE">
      <w:pPr>
        <w:pStyle w:val="affff6"/>
        <w:ind w:firstLine="420"/>
      </w:pPr>
      <w:r w:rsidRPr="002A1382">
        <w:rPr>
          <w:rFonts w:hint="eastAsia"/>
        </w:rPr>
        <w:t>冬季将根部挖出，除去地上部分，保留根部。</w:t>
      </w:r>
    </w:p>
    <w:p w:rsidR="009D6651" w:rsidRDefault="009D6651" w:rsidP="009D6651">
      <w:pPr>
        <w:pStyle w:val="affd"/>
        <w:spacing w:before="120" w:after="120"/>
      </w:pPr>
      <w:r>
        <w:rPr>
          <w:rFonts w:hint="eastAsia"/>
        </w:rPr>
        <w:t>初</w:t>
      </w:r>
      <w:r>
        <w:t>加工</w:t>
      </w:r>
    </w:p>
    <w:p w:rsidR="009D6651" w:rsidRDefault="009D6651" w:rsidP="009D6651">
      <w:pPr>
        <w:pStyle w:val="affff6"/>
        <w:ind w:firstLine="420"/>
      </w:pPr>
      <w:r w:rsidRPr="009D6651">
        <w:rPr>
          <w:rFonts w:hint="eastAsia"/>
        </w:rPr>
        <w:t>除净根部泥土，切片，晒干。</w:t>
      </w:r>
    </w:p>
    <w:p w:rsidR="009D6651" w:rsidRDefault="009D6651" w:rsidP="009D6651">
      <w:pPr>
        <w:pStyle w:val="affc"/>
        <w:spacing w:before="240" w:after="240"/>
      </w:pPr>
      <w:r>
        <w:rPr>
          <w:rFonts w:hint="eastAsia"/>
        </w:rPr>
        <w:t>质量</w:t>
      </w:r>
      <w:r>
        <w:t>要求</w:t>
      </w:r>
    </w:p>
    <w:p w:rsidR="009D6651" w:rsidRDefault="009D6651" w:rsidP="009D6651">
      <w:pPr>
        <w:pStyle w:val="affff6"/>
        <w:ind w:firstLine="420"/>
      </w:pPr>
      <w:r w:rsidRPr="009D6651">
        <w:rPr>
          <w:rFonts w:hint="eastAsia"/>
        </w:rPr>
        <w:t>应符合《中华人民共和国药典》（2020）版 （一部）</w:t>
      </w:r>
      <w:r w:rsidR="0034503A">
        <w:rPr>
          <w:rFonts w:hint="eastAsia"/>
        </w:rPr>
        <w:t>中</w:t>
      </w:r>
      <w:r w:rsidR="0034503A">
        <w:t>两面针药材质量标准</w:t>
      </w:r>
      <w:r w:rsidR="0034503A">
        <w:rPr>
          <w:rFonts w:hint="eastAsia"/>
        </w:rPr>
        <w:t>方可贮藏</w:t>
      </w:r>
      <w:r w:rsidRPr="009D6651">
        <w:rPr>
          <w:rFonts w:hint="eastAsia"/>
        </w:rPr>
        <w:t>。</w:t>
      </w:r>
    </w:p>
    <w:p w:rsidR="009D6651" w:rsidRDefault="009D6651" w:rsidP="009D6651">
      <w:pPr>
        <w:pStyle w:val="affc"/>
        <w:spacing w:before="240" w:after="240"/>
      </w:pPr>
      <w:r>
        <w:rPr>
          <w:rFonts w:hint="eastAsia"/>
        </w:rPr>
        <w:t>贮藏</w:t>
      </w:r>
    </w:p>
    <w:p w:rsidR="009D6651" w:rsidRPr="009D6651" w:rsidRDefault="009D6651" w:rsidP="009D6651">
      <w:pPr>
        <w:pStyle w:val="affd"/>
        <w:spacing w:before="120" w:after="120"/>
      </w:pPr>
      <w:r>
        <w:rPr>
          <w:rFonts w:hint="eastAsia"/>
        </w:rPr>
        <w:t>外宽检查</w:t>
      </w:r>
    </w:p>
    <w:p w:rsidR="009D6651" w:rsidRDefault="001E581E" w:rsidP="001E581E">
      <w:pPr>
        <w:pStyle w:val="aff2"/>
        <w:spacing w:before="120" w:after="120"/>
      </w:pPr>
      <w:r>
        <w:rPr>
          <w:rFonts w:hint="eastAsia"/>
        </w:rPr>
        <w:lastRenderedPageBreak/>
        <w:t>两面针</w:t>
      </w:r>
      <w:r>
        <w:t>药材外宽要求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02732B" w:rsidTr="0002732B">
        <w:trPr>
          <w:tblHeader/>
          <w:jc w:val="center"/>
        </w:trPr>
        <w:tc>
          <w:tcPr>
            <w:tcW w:w="4667" w:type="dxa"/>
            <w:tcBorders>
              <w:top w:val="single" w:sz="8" w:space="0" w:color="auto"/>
              <w:bottom w:val="single" w:sz="8" w:space="0" w:color="auto"/>
            </w:tcBorders>
            <w:shd w:val="clear" w:color="auto" w:fill="auto"/>
            <w:vAlign w:val="center"/>
          </w:tcPr>
          <w:p w:rsidR="0002732B" w:rsidRPr="00E1021C" w:rsidRDefault="0002732B" w:rsidP="0002732B">
            <w:pPr>
              <w:ind w:firstLineChars="900" w:firstLine="1890"/>
            </w:pPr>
            <w:r w:rsidRPr="00E1021C">
              <w:rPr>
                <w:rFonts w:hint="eastAsia"/>
              </w:rPr>
              <w:t>项目</w:t>
            </w:r>
          </w:p>
        </w:tc>
        <w:tc>
          <w:tcPr>
            <w:tcW w:w="4667" w:type="dxa"/>
            <w:tcBorders>
              <w:top w:val="single" w:sz="8" w:space="0" w:color="auto"/>
              <w:bottom w:val="single" w:sz="8" w:space="0" w:color="auto"/>
            </w:tcBorders>
            <w:shd w:val="clear" w:color="auto" w:fill="auto"/>
            <w:vAlign w:val="center"/>
          </w:tcPr>
          <w:p w:rsidR="0002732B" w:rsidRPr="00E1021C" w:rsidRDefault="0002732B" w:rsidP="0002732B">
            <w:pPr>
              <w:ind w:firstLineChars="650" w:firstLine="1365"/>
            </w:pPr>
            <w:r w:rsidRPr="00E1021C">
              <w:rPr>
                <w:rFonts w:hint="eastAsia"/>
              </w:rPr>
              <w:t>外观检查要求</w:t>
            </w:r>
          </w:p>
        </w:tc>
      </w:tr>
      <w:tr w:rsidR="0002732B" w:rsidTr="0002732B">
        <w:trPr>
          <w:jc w:val="center"/>
        </w:trPr>
        <w:tc>
          <w:tcPr>
            <w:tcW w:w="4667" w:type="dxa"/>
            <w:tcBorders>
              <w:top w:val="single" w:sz="8" w:space="0" w:color="auto"/>
            </w:tcBorders>
            <w:shd w:val="clear" w:color="auto" w:fill="auto"/>
            <w:vAlign w:val="center"/>
          </w:tcPr>
          <w:p w:rsidR="0002732B" w:rsidRPr="00E1021C" w:rsidRDefault="0002732B" w:rsidP="0002732B">
            <w:pPr>
              <w:ind w:firstLineChars="900" w:firstLine="1890"/>
            </w:pPr>
            <w:r w:rsidRPr="00E1021C">
              <w:rPr>
                <w:rFonts w:hint="eastAsia"/>
              </w:rPr>
              <w:t>性状</w:t>
            </w:r>
          </w:p>
        </w:tc>
        <w:tc>
          <w:tcPr>
            <w:tcW w:w="4667" w:type="dxa"/>
            <w:tcBorders>
              <w:top w:val="single" w:sz="8" w:space="0" w:color="auto"/>
            </w:tcBorders>
            <w:shd w:val="clear" w:color="auto" w:fill="auto"/>
            <w:vAlign w:val="center"/>
          </w:tcPr>
          <w:p w:rsidR="0002732B" w:rsidRPr="00E1021C" w:rsidRDefault="0002732B" w:rsidP="0002732B">
            <w:pPr>
              <w:ind w:firstLineChars="200" w:firstLine="420"/>
            </w:pPr>
            <w:r w:rsidRPr="00E1021C">
              <w:rPr>
                <w:rFonts w:hint="eastAsia"/>
              </w:rPr>
              <w:t>厚片或圆柱形短段，厚度、大小均匀</w:t>
            </w:r>
          </w:p>
        </w:tc>
      </w:tr>
      <w:tr w:rsidR="0002732B" w:rsidTr="0002732B">
        <w:trPr>
          <w:jc w:val="center"/>
        </w:trPr>
        <w:tc>
          <w:tcPr>
            <w:tcW w:w="4667" w:type="dxa"/>
            <w:shd w:val="clear" w:color="auto" w:fill="auto"/>
            <w:vAlign w:val="center"/>
          </w:tcPr>
          <w:p w:rsidR="0002732B" w:rsidRPr="00E1021C" w:rsidRDefault="0002732B" w:rsidP="0002732B">
            <w:pPr>
              <w:ind w:firstLineChars="900" w:firstLine="1890"/>
            </w:pPr>
            <w:r w:rsidRPr="00E1021C">
              <w:rPr>
                <w:rFonts w:hint="eastAsia"/>
              </w:rPr>
              <w:t>质地</w:t>
            </w:r>
          </w:p>
        </w:tc>
        <w:tc>
          <w:tcPr>
            <w:tcW w:w="4667" w:type="dxa"/>
            <w:shd w:val="clear" w:color="auto" w:fill="auto"/>
            <w:vAlign w:val="center"/>
          </w:tcPr>
          <w:p w:rsidR="0002732B" w:rsidRPr="00E1021C" w:rsidRDefault="0002732B" w:rsidP="0002732B">
            <w:pPr>
              <w:ind w:firstLineChars="900" w:firstLine="1890"/>
            </w:pPr>
            <w:r w:rsidRPr="00E1021C">
              <w:rPr>
                <w:rFonts w:hint="eastAsia"/>
              </w:rPr>
              <w:t>坚硬</w:t>
            </w:r>
          </w:p>
        </w:tc>
      </w:tr>
      <w:tr w:rsidR="0002732B" w:rsidTr="0002732B">
        <w:trPr>
          <w:jc w:val="center"/>
        </w:trPr>
        <w:tc>
          <w:tcPr>
            <w:tcW w:w="4667" w:type="dxa"/>
            <w:shd w:val="clear" w:color="auto" w:fill="auto"/>
            <w:vAlign w:val="center"/>
          </w:tcPr>
          <w:p w:rsidR="0002732B" w:rsidRPr="00E1021C" w:rsidRDefault="0002732B" w:rsidP="0002732B">
            <w:pPr>
              <w:ind w:firstLineChars="900" w:firstLine="1890"/>
            </w:pPr>
            <w:r w:rsidRPr="00E1021C">
              <w:rPr>
                <w:rFonts w:hint="eastAsia"/>
              </w:rPr>
              <w:t>色泽</w:t>
            </w:r>
          </w:p>
        </w:tc>
        <w:tc>
          <w:tcPr>
            <w:tcW w:w="4667" w:type="dxa"/>
            <w:shd w:val="clear" w:color="auto" w:fill="auto"/>
            <w:vAlign w:val="center"/>
          </w:tcPr>
          <w:p w:rsidR="0002732B" w:rsidRPr="00E1021C" w:rsidRDefault="0002732B" w:rsidP="0002732B">
            <w:pPr>
              <w:ind w:firstLineChars="500" w:firstLine="1050"/>
            </w:pPr>
            <w:r w:rsidRPr="00E1021C">
              <w:rPr>
                <w:rFonts w:hint="eastAsia"/>
              </w:rPr>
              <w:t>皮部淡棕色，木部淡黄色</w:t>
            </w:r>
          </w:p>
        </w:tc>
      </w:tr>
      <w:tr w:rsidR="0002732B" w:rsidTr="0002732B">
        <w:trPr>
          <w:jc w:val="center"/>
        </w:trPr>
        <w:tc>
          <w:tcPr>
            <w:tcW w:w="4667" w:type="dxa"/>
            <w:shd w:val="clear" w:color="auto" w:fill="auto"/>
            <w:vAlign w:val="center"/>
          </w:tcPr>
          <w:p w:rsidR="0002732B" w:rsidRPr="00E1021C" w:rsidRDefault="0002732B" w:rsidP="0002732B">
            <w:pPr>
              <w:ind w:firstLineChars="900" w:firstLine="1890"/>
            </w:pPr>
            <w:r w:rsidRPr="00E1021C">
              <w:rPr>
                <w:rFonts w:hint="eastAsia"/>
              </w:rPr>
              <w:t>气味</w:t>
            </w:r>
          </w:p>
        </w:tc>
        <w:tc>
          <w:tcPr>
            <w:tcW w:w="4667" w:type="dxa"/>
            <w:shd w:val="clear" w:color="auto" w:fill="auto"/>
            <w:vAlign w:val="center"/>
          </w:tcPr>
          <w:p w:rsidR="0002732B" w:rsidRPr="00E1021C" w:rsidRDefault="0002732B" w:rsidP="0002732B">
            <w:pPr>
              <w:ind w:firstLineChars="500" w:firstLine="1050"/>
            </w:pPr>
            <w:r w:rsidRPr="00E1021C">
              <w:rPr>
                <w:rFonts w:hint="eastAsia"/>
              </w:rPr>
              <w:t>气微香，味辛辣麻舌而苦</w:t>
            </w:r>
          </w:p>
        </w:tc>
      </w:tr>
      <w:tr w:rsidR="0002732B" w:rsidTr="0002732B">
        <w:trPr>
          <w:jc w:val="center"/>
        </w:trPr>
        <w:tc>
          <w:tcPr>
            <w:tcW w:w="4667" w:type="dxa"/>
            <w:shd w:val="clear" w:color="auto" w:fill="auto"/>
            <w:vAlign w:val="center"/>
          </w:tcPr>
          <w:p w:rsidR="0002732B" w:rsidRPr="00E1021C" w:rsidRDefault="0002732B" w:rsidP="0002732B">
            <w:pPr>
              <w:ind w:firstLineChars="900" w:firstLine="1890"/>
            </w:pPr>
            <w:r w:rsidRPr="00E1021C">
              <w:rPr>
                <w:rFonts w:hint="eastAsia"/>
              </w:rPr>
              <w:t>霉变</w:t>
            </w:r>
          </w:p>
        </w:tc>
        <w:tc>
          <w:tcPr>
            <w:tcW w:w="4667" w:type="dxa"/>
            <w:shd w:val="clear" w:color="auto" w:fill="auto"/>
            <w:vAlign w:val="center"/>
          </w:tcPr>
          <w:p w:rsidR="0002732B" w:rsidRPr="00E1021C" w:rsidRDefault="0002732B" w:rsidP="0002732B">
            <w:pPr>
              <w:ind w:firstLineChars="800" w:firstLine="1680"/>
            </w:pPr>
            <w:r w:rsidRPr="00E1021C">
              <w:rPr>
                <w:rFonts w:hint="eastAsia"/>
              </w:rPr>
              <w:t>无霉变</w:t>
            </w:r>
          </w:p>
        </w:tc>
      </w:tr>
      <w:tr w:rsidR="0002732B" w:rsidTr="0002732B">
        <w:trPr>
          <w:jc w:val="center"/>
        </w:trPr>
        <w:tc>
          <w:tcPr>
            <w:tcW w:w="4667" w:type="dxa"/>
            <w:shd w:val="clear" w:color="auto" w:fill="auto"/>
            <w:vAlign w:val="center"/>
          </w:tcPr>
          <w:p w:rsidR="0002732B" w:rsidRPr="00E1021C" w:rsidRDefault="0002732B" w:rsidP="0002732B">
            <w:pPr>
              <w:ind w:firstLineChars="900" w:firstLine="1890"/>
            </w:pPr>
            <w:r w:rsidRPr="00E1021C">
              <w:rPr>
                <w:rFonts w:hint="eastAsia"/>
              </w:rPr>
              <w:t>虫情</w:t>
            </w:r>
          </w:p>
        </w:tc>
        <w:tc>
          <w:tcPr>
            <w:tcW w:w="4667" w:type="dxa"/>
            <w:shd w:val="clear" w:color="auto" w:fill="auto"/>
            <w:vAlign w:val="center"/>
          </w:tcPr>
          <w:p w:rsidR="0002732B" w:rsidRPr="00E1021C" w:rsidRDefault="0002732B" w:rsidP="0002732B">
            <w:pPr>
              <w:ind w:firstLineChars="800" w:firstLine="1680"/>
            </w:pPr>
            <w:r w:rsidRPr="00E1021C">
              <w:rPr>
                <w:rFonts w:hint="eastAsia"/>
              </w:rPr>
              <w:t>无虫蛀</w:t>
            </w:r>
          </w:p>
        </w:tc>
      </w:tr>
      <w:tr w:rsidR="0002732B" w:rsidTr="0002732B">
        <w:trPr>
          <w:jc w:val="center"/>
        </w:trPr>
        <w:tc>
          <w:tcPr>
            <w:tcW w:w="4667" w:type="dxa"/>
            <w:shd w:val="clear" w:color="auto" w:fill="auto"/>
            <w:vAlign w:val="center"/>
          </w:tcPr>
          <w:p w:rsidR="0002732B" w:rsidRPr="00E1021C" w:rsidRDefault="0002732B" w:rsidP="0002732B">
            <w:pPr>
              <w:ind w:firstLineChars="900" w:firstLine="1890"/>
            </w:pPr>
            <w:r w:rsidRPr="00E1021C">
              <w:rPr>
                <w:rFonts w:hint="eastAsia"/>
              </w:rPr>
              <w:t>杂质</w:t>
            </w:r>
          </w:p>
        </w:tc>
        <w:tc>
          <w:tcPr>
            <w:tcW w:w="4667" w:type="dxa"/>
            <w:shd w:val="clear" w:color="auto" w:fill="auto"/>
            <w:vAlign w:val="center"/>
          </w:tcPr>
          <w:p w:rsidR="0002732B" w:rsidRDefault="0002732B" w:rsidP="0002732B">
            <w:pPr>
              <w:ind w:firstLineChars="800" w:firstLine="1680"/>
            </w:pPr>
            <w:r w:rsidRPr="00E1021C">
              <w:rPr>
                <w:rFonts w:hint="eastAsia"/>
              </w:rPr>
              <w:t>无杂质</w:t>
            </w:r>
          </w:p>
        </w:tc>
      </w:tr>
    </w:tbl>
    <w:p w:rsidR="0002732B" w:rsidRDefault="0002732B" w:rsidP="0002732B">
      <w:pPr>
        <w:pStyle w:val="affff6"/>
        <w:ind w:firstLine="420"/>
      </w:pPr>
    </w:p>
    <w:p w:rsidR="0002732B" w:rsidRDefault="000B6550" w:rsidP="000B6550">
      <w:pPr>
        <w:pStyle w:val="affd"/>
        <w:spacing w:before="120" w:after="120"/>
      </w:pPr>
      <w:r>
        <w:rPr>
          <w:rFonts w:hint="eastAsia"/>
        </w:rPr>
        <w:t>库房</w:t>
      </w:r>
      <w:r>
        <w:t>准备</w:t>
      </w:r>
    </w:p>
    <w:p w:rsidR="000B6550" w:rsidRDefault="000B6550" w:rsidP="000B6550">
      <w:pPr>
        <w:pStyle w:val="affff6"/>
        <w:ind w:firstLine="420"/>
      </w:pPr>
      <w:r w:rsidRPr="000B6550">
        <w:rPr>
          <w:rFonts w:hint="eastAsia"/>
        </w:rPr>
        <w:t>贮藏前一周7</w:t>
      </w:r>
      <w:r w:rsidRPr="00BD37FA">
        <w:rPr>
          <w:rFonts w:hint="eastAsia"/>
          <w:vertAlign w:val="superscript"/>
        </w:rPr>
        <w:t xml:space="preserve"> </w:t>
      </w:r>
      <w:r w:rsidRPr="000B6550">
        <w:rPr>
          <w:rFonts w:hint="eastAsia"/>
        </w:rPr>
        <w:t>d～10</w:t>
      </w:r>
      <w:r w:rsidRPr="00BD37FA">
        <w:rPr>
          <w:rFonts w:hint="eastAsia"/>
          <w:vertAlign w:val="superscript"/>
        </w:rPr>
        <w:t xml:space="preserve"> </w:t>
      </w:r>
      <w:r w:rsidRPr="000B6550">
        <w:rPr>
          <w:rFonts w:hint="eastAsia"/>
        </w:rPr>
        <w:t>d对库房进行清扫和消毒，保持通风，消毒时选择《中华人民共和国食品安全法》允许使用的消毒剂。</w:t>
      </w:r>
    </w:p>
    <w:p w:rsidR="000B6550" w:rsidRDefault="000B6550" w:rsidP="000B6550">
      <w:pPr>
        <w:pStyle w:val="affd"/>
        <w:spacing w:before="120" w:after="120"/>
      </w:pPr>
      <w:r>
        <w:rPr>
          <w:rFonts w:hint="eastAsia"/>
        </w:rPr>
        <w:t>包装与标</w:t>
      </w:r>
      <w:r>
        <w:t>鉴</w:t>
      </w:r>
    </w:p>
    <w:p w:rsidR="000B6550" w:rsidRDefault="000B6550" w:rsidP="000B6550">
      <w:pPr>
        <w:pStyle w:val="affff6"/>
        <w:ind w:firstLine="420"/>
      </w:pPr>
      <w:r w:rsidRPr="000B6550">
        <w:rPr>
          <w:rFonts w:hint="eastAsia"/>
        </w:rPr>
        <w:t>将干燥后的两面针装入干净卫生的塑料编织袋中，将袋口扎紧并标记药材名称、产地、数量、包装日期等内容，所用塑料编织袋应符合GB/T 8946的规定。</w:t>
      </w:r>
    </w:p>
    <w:p w:rsidR="000B6550" w:rsidRDefault="000B6550" w:rsidP="000B6550">
      <w:pPr>
        <w:pStyle w:val="affd"/>
        <w:spacing w:before="120" w:after="120"/>
      </w:pPr>
      <w:r>
        <w:rPr>
          <w:rFonts w:hint="eastAsia"/>
        </w:rPr>
        <w:t>入库</w:t>
      </w:r>
    </w:p>
    <w:p w:rsidR="000B6550" w:rsidRDefault="000B6550" w:rsidP="000B6550">
      <w:pPr>
        <w:pStyle w:val="affff6"/>
        <w:ind w:firstLine="420"/>
      </w:pPr>
      <w:r w:rsidRPr="000B6550">
        <w:rPr>
          <w:rFonts w:hint="eastAsia"/>
        </w:rPr>
        <w:t>建立入库登记本，详细记录药材品名、产地、贮藏条件、入库数量、入库时间、批次号等信息。</w:t>
      </w:r>
    </w:p>
    <w:p w:rsidR="000B6550" w:rsidRPr="000B6550" w:rsidRDefault="000B6550" w:rsidP="000B6550">
      <w:pPr>
        <w:pStyle w:val="affd"/>
        <w:spacing w:before="120" w:after="120"/>
      </w:pPr>
      <w:r>
        <w:rPr>
          <w:rFonts w:hint="eastAsia"/>
        </w:rPr>
        <w:t>堆</w:t>
      </w:r>
      <w:r>
        <w:t>码管理</w:t>
      </w:r>
    </w:p>
    <w:p w:rsidR="002A1382" w:rsidRDefault="000B6550" w:rsidP="0034503A">
      <w:pPr>
        <w:pStyle w:val="affff6"/>
        <w:ind w:firstLine="420"/>
      </w:pPr>
      <w:r>
        <w:rPr>
          <w:rFonts w:hint="eastAsia"/>
        </w:rPr>
        <w:t>将两面针药材在垫板上进行堆码，垫板高度不低于10</w:t>
      </w:r>
      <w:r w:rsidR="001A3260" w:rsidRPr="001A3260">
        <w:rPr>
          <w:vertAlign w:val="superscript"/>
        </w:rPr>
        <w:t xml:space="preserve"> </w:t>
      </w:r>
      <w:r>
        <w:rPr>
          <w:rFonts w:hint="eastAsia"/>
        </w:rPr>
        <w:t>cm。垛与垛间距不低于1</w:t>
      </w:r>
      <w:r w:rsidR="001A3260" w:rsidRPr="001A3260">
        <w:rPr>
          <w:vertAlign w:val="superscript"/>
        </w:rPr>
        <w:t xml:space="preserve"> </w:t>
      </w:r>
      <w:r>
        <w:rPr>
          <w:rFonts w:hint="eastAsia"/>
        </w:rPr>
        <w:t>m，垛与墙间距不低于0.5</w:t>
      </w:r>
      <w:r w:rsidR="001A3260" w:rsidRPr="001A3260">
        <w:rPr>
          <w:vertAlign w:val="superscript"/>
        </w:rPr>
        <w:t xml:space="preserve"> </w:t>
      </w:r>
      <w:r>
        <w:rPr>
          <w:rFonts w:hint="eastAsia"/>
        </w:rPr>
        <w:t>m，垛与梁、柱间距不低于0.3</w:t>
      </w:r>
      <w:r w:rsidR="001A3260" w:rsidRPr="001A3260">
        <w:rPr>
          <w:vertAlign w:val="superscript"/>
        </w:rPr>
        <w:t xml:space="preserve"> </w:t>
      </w:r>
      <w:r>
        <w:rPr>
          <w:rFonts w:hint="eastAsia"/>
        </w:rPr>
        <w:t>m，主要通道的宽度不低于2</w:t>
      </w:r>
      <w:r w:rsidR="001A3260" w:rsidRPr="001A3260">
        <w:rPr>
          <w:vertAlign w:val="superscript"/>
        </w:rPr>
        <w:t xml:space="preserve"> </w:t>
      </w:r>
      <w:r>
        <w:rPr>
          <w:rFonts w:hint="eastAsia"/>
        </w:rPr>
        <w:t>m，照明灯具垂直下方与药材距离不低于0.5</w:t>
      </w:r>
      <w:r w:rsidR="001A3260" w:rsidRPr="001A3260">
        <w:rPr>
          <w:vertAlign w:val="superscript"/>
        </w:rPr>
        <w:t xml:space="preserve"> </w:t>
      </w:r>
      <w:r>
        <w:rPr>
          <w:rFonts w:hint="eastAsia"/>
        </w:rPr>
        <w:t>m。堆码应充分利用货位空间，保证货垛整齐、稳固、美观，便于两面针药材养护与仓储作业。</w:t>
      </w:r>
    </w:p>
    <w:p w:rsidR="000B6550" w:rsidRDefault="000B6550" w:rsidP="000B6550">
      <w:pPr>
        <w:pStyle w:val="affd"/>
        <w:spacing w:before="120" w:after="120"/>
      </w:pPr>
      <w:r>
        <w:rPr>
          <w:rFonts w:hint="eastAsia"/>
        </w:rPr>
        <w:t>贮藏</w:t>
      </w:r>
      <w:r>
        <w:t>管理</w:t>
      </w:r>
    </w:p>
    <w:p w:rsidR="000B6550" w:rsidRDefault="000B6550" w:rsidP="009B5FB9">
      <w:pPr>
        <w:pStyle w:val="affff6"/>
        <w:ind w:firstLine="420"/>
      </w:pPr>
      <w:r w:rsidRPr="000B6550">
        <w:rPr>
          <w:rFonts w:hint="eastAsia"/>
        </w:rPr>
        <w:t>两面针药材库房应有防潮、防霉、防鼠、防虫设施，应保持清洁、通风、避光、干燥、无异味；每个月通风1～2</w:t>
      </w:r>
      <w:r w:rsidR="001A3260">
        <w:rPr>
          <w:rFonts w:hint="eastAsia"/>
        </w:rPr>
        <w:t>次；</w:t>
      </w:r>
      <w:r w:rsidRPr="000B6550">
        <w:rPr>
          <w:rFonts w:hint="eastAsia"/>
        </w:rPr>
        <w:t>应定期检查库房及药材情况，及时剔除霉变的药材。仓库内不应存储有毒有害物质或者其它易腐、易燃品，其它指标应符合SB/T 11094-2014规定。</w:t>
      </w:r>
    </w:p>
    <w:p w:rsidR="000B6550" w:rsidRDefault="00266273" w:rsidP="000B6550">
      <w:pPr>
        <w:pStyle w:val="affd"/>
        <w:spacing w:before="120" w:after="120"/>
      </w:pPr>
      <w:r>
        <w:rPr>
          <w:rFonts w:hint="eastAsia"/>
        </w:rPr>
        <w:t>贮藏</w:t>
      </w:r>
      <w:r>
        <w:t>温度</w:t>
      </w:r>
    </w:p>
    <w:p w:rsidR="00266273" w:rsidRDefault="00266273" w:rsidP="00266273">
      <w:pPr>
        <w:pStyle w:val="affff6"/>
        <w:ind w:firstLine="420"/>
      </w:pPr>
      <w:r w:rsidRPr="00266273">
        <w:rPr>
          <w:rFonts w:hint="eastAsia"/>
        </w:rPr>
        <w:t>宜常温贮藏。</w:t>
      </w:r>
    </w:p>
    <w:p w:rsidR="00266273" w:rsidRDefault="00266273" w:rsidP="00266273">
      <w:pPr>
        <w:pStyle w:val="affd"/>
        <w:spacing w:before="120" w:after="120"/>
      </w:pPr>
      <w:r>
        <w:rPr>
          <w:rFonts w:hint="eastAsia"/>
        </w:rPr>
        <w:t>贮藏</w:t>
      </w:r>
      <w:r>
        <w:t>期</w:t>
      </w:r>
    </w:p>
    <w:p w:rsidR="00266273" w:rsidRDefault="00266273" w:rsidP="00266273">
      <w:pPr>
        <w:pStyle w:val="affff6"/>
        <w:ind w:firstLine="420"/>
      </w:pPr>
      <w:r>
        <w:rPr>
          <w:rFonts w:hint="eastAsia"/>
        </w:rPr>
        <w:t>4年</w:t>
      </w:r>
      <w:r>
        <w:t>。</w:t>
      </w:r>
    </w:p>
    <w:p w:rsidR="00266273" w:rsidRDefault="00266273" w:rsidP="00266273">
      <w:pPr>
        <w:pStyle w:val="affc"/>
        <w:spacing w:before="240" w:after="240"/>
      </w:pPr>
      <w:r>
        <w:rPr>
          <w:rFonts w:hint="eastAsia"/>
        </w:rPr>
        <w:t>出库</w:t>
      </w:r>
    </w:p>
    <w:p w:rsidR="00266273" w:rsidRDefault="00266273" w:rsidP="00266273">
      <w:pPr>
        <w:pStyle w:val="affd"/>
        <w:spacing w:before="120" w:after="120"/>
      </w:pPr>
      <w:r>
        <w:rPr>
          <w:rFonts w:hint="eastAsia"/>
        </w:rPr>
        <w:t>出库</w:t>
      </w:r>
      <w:r>
        <w:t>天气</w:t>
      </w:r>
    </w:p>
    <w:p w:rsidR="00266273" w:rsidRDefault="00266273" w:rsidP="00266273">
      <w:pPr>
        <w:pStyle w:val="affff6"/>
        <w:ind w:firstLine="420"/>
      </w:pPr>
      <w:r w:rsidRPr="00266273">
        <w:rPr>
          <w:rFonts w:hint="eastAsia"/>
        </w:rPr>
        <w:t>选择晴朗、干燥的天气出库，避免受潮，方便运输。</w:t>
      </w:r>
    </w:p>
    <w:p w:rsidR="00266273" w:rsidRDefault="00266273" w:rsidP="00266273">
      <w:pPr>
        <w:pStyle w:val="affd"/>
        <w:spacing w:before="120" w:after="120"/>
      </w:pPr>
      <w:r>
        <w:rPr>
          <w:rFonts w:hint="eastAsia"/>
        </w:rPr>
        <w:t>出库</w:t>
      </w:r>
      <w:r>
        <w:t>等级</w:t>
      </w:r>
    </w:p>
    <w:p w:rsidR="00266273" w:rsidRDefault="00266273" w:rsidP="00266273">
      <w:pPr>
        <w:pStyle w:val="affff6"/>
        <w:ind w:firstLine="420"/>
      </w:pPr>
      <w:r w:rsidRPr="00266273">
        <w:rPr>
          <w:rFonts w:hint="eastAsia"/>
        </w:rPr>
        <w:lastRenderedPageBreak/>
        <w:t>建立出库登记表，出库时详细记录产品的品名、产地、规格、等级、贮藏条件、出库数量、出库时间、批次号等信息，并妥善保管相应单据及贮藏档案；大批量药材出库时应抽样检测药材是否符合质量要求。</w:t>
      </w:r>
    </w:p>
    <w:p w:rsidR="00266273" w:rsidRDefault="00266273" w:rsidP="00266273">
      <w:pPr>
        <w:pStyle w:val="affd"/>
        <w:spacing w:before="120" w:after="120"/>
      </w:pPr>
      <w:r>
        <w:rPr>
          <w:rFonts w:hint="eastAsia"/>
        </w:rPr>
        <w:t>抽检</w:t>
      </w:r>
    </w:p>
    <w:p w:rsidR="00266273" w:rsidRDefault="00266273" w:rsidP="00266273">
      <w:pPr>
        <w:pStyle w:val="affff6"/>
        <w:ind w:firstLine="420"/>
      </w:pPr>
      <w:r w:rsidRPr="00266273">
        <w:rPr>
          <w:rFonts w:hint="eastAsia"/>
        </w:rPr>
        <w:t>出库时应随机抽样检查，药材总包件数在100件以下的，取样5件；100～1000件按5</w:t>
      </w:r>
      <w:r w:rsidR="005C1FCC" w:rsidRPr="005C1FCC">
        <w:rPr>
          <w:vertAlign w:val="superscript"/>
        </w:rPr>
        <w:t xml:space="preserve"> </w:t>
      </w:r>
      <w:r w:rsidRPr="00266273">
        <w:rPr>
          <w:rFonts w:hint="eastAsia"/>
        </w:rPr>
        <w:t>%取样；超过1000件的，超过部分按1</w:t>
      </w:r>
      <w:r w:rsidR="00BB7900" w:rsidRPr="00BB7900">
        <w:rPr>
          <w:vertAlign w:val="superscript"/>
        </w:rPr>
        <w:t xml:space="preserve"> </w:t>
      </w:r>
      <w:r w:rsidR="005C1FCC" w:rsidRPr="005C1FCC">
        <w:t>%</w:t>
      </w:r>
      <w:r w:rsidRPr="00266273">
        <w:rPr>
          <w:rFonts w:hint="eastAsia"/>
        </w:rPr>
        <w:t>取样；不足5件的逐件取样，每份样品500</w:t>
      </w:r>
      <w:r w:rsidR="001A3260" w:rsidRPr="001A3260">
        <w:rPr>
          <w:vertAlign w:val="superscript"/>
        </w:rPr>
        <w:t xml:space="preserve"> </w:t>
      </w:r>
      <w:r w:rsidRPr="00266273">
        <w:rPr>
          <w:rFonts w:hint="eastAsia"/>
        </w:rPr>
        <w:t>g，平均变质或发霉率低于5</w:t>
      </w:r>
      <w:r w:rsidR="00BB7900" w:rsidRPr="00BB7900">
        <w:rPr>
          <w:vertAlign w:val="superscript"/>
        </w:rPr>
        <w:t xml:space="preserve"> </w:t>
      </w:r>
      <w:r w:rsidR="005C1FCC" w:rsidRPr="005C1FCC">
        <w:t>%</w:t>
      </w:r>
      <w:r w:rsidRPr="00266273">
        <w:rPr>
          <w:rFonts w:hint="eastAsia"/>
        </w:rPr>
        <w:t>的药材可以出库，如高于5</w:t>
      </w:r>
      <w:r w:rsidR="00BB7900" w:rsidRPr="00BB7900">
        <w:rPr>
          <w:vertAlign w:val="superscript"/>
        </w:rPr>
        <w:t xml:space="preserve"> </w:t>
      </w:r>
      <w:r w:rsidR="005C1FCC" w:rsidRPr="005C1FCC">
        <w:t>%</w:t>
      </w:r>
      <w:r w:rsidRPr="00266273">
        <w:rPr>
          <w:rFonts w:hint="eastAsia"/>
        </w:rPr>
        <w:t>将变质药材筛出方可出库。</w:t>
      </w:r>
    </w:p>
    <w:p w:rsidR="00266273" w:rsidRDefault="00266273" w:rsidP="00266273">
      <w:pPr>
        <w:pStyle w:val="affd"/>
        <w:spacing w:before="120" w:after="120"/>
      </w:pPr>
      <w:r>
        <w:rPr>
          <w:rFonts w:hint="eastAsia"/>
        </w:rPr>
        <w:t>检测</w:t>
      </w:r>
      <w:r>
        <w:t>方法</w:t>
      </w:r>
    </w:p>
    <w:p w:rsidR="00266273" w:rsidRPr="00266273" w:rsidRDefault="00266273" w:rsidP="00266273">
      <w:pPr>
        <w:pStyle w:val="affff6"/>
        <w:ind w:firstLine="420"/>
      </w:pPr>
      <w:r w:rsidRPr="00266273">
        <w:rPr>
          <w:rFonts w:hint="eastAsia"/>
        </w:rPr>
        <w:t>药材含水量、总灰分、浸出物、氯化两面针针碱含量检测方法</w:t>
      </w:r>
      <w:r w:rsidR="00EB7686">
        <w:rPr>
          <w:rFonts w:hint="eastAsia"/>
        </w:rPr>
        <w:t>按</w:t>
      </w:r>
      <w:r w:rsidRPr="00266273">
        <w:rPr>
          <w:rFonts w:hint="eastAsia"/>
        </w:rPr>
        <w:t>附录A</w:t>
      </w:r>
      <w:r w:rsidR="00EB7686">
        <w:rPr>
          <w:rFonts w:hint="eastAsia"/>
        </w:rPr>
        <w:t>执行</w:t>
      </w:r>
      <w:r w:rsidRPr="00266273">
        <w:rPr>
          <w:rFonts w:hint="eastAsia"/>
        </w:rPr>
        <w:t>。</w:t>
      </w:r>
    </w:p>
    <w:p w:rsidR="002A1382" w:rsidRPr="002A1382" w:rsidRDefault="002A1382" w:rsidP="002A1382">
      <w:pPr>
        <w:pStyle w:val="affff6"/>
        <w:ind w:firstLine="420"/>
      </w:pPr>
    </w:p>
    <w:p w:rsidR="002A1382" w:rsidRPr="002A1382" w:rsidRDefault="002A1382" w:rsidP="002A1382">
      <w:pPr>
        <w:pStyle w:val="affff6"/>
        <w:ind w:firstLine="420"/>
      </w:pPr>
    </w:p>
    <w:p w:rsidR="002A1260" w:rsidRDefault="002A1260" w:rsidP="00653FED">
      <w:pPr>
        <w:pStyle w:val="affff6"/>
        <w:ind w:firstLine="420"/>
      </w:pPr>
    </w:p>
    <w:p w:rsidR="001D212F" w:rsidRDefault="001D212F" w:rsidP="00E60C63">
      <w:pPr>
        <w:pStyle w:val="affff6"/>
        <w:ind w:firstLine="420"/>
      </w:pPr>
    </w:p>
    <w:p w:rsidR="009273B3" w:rsidRDefault="009273B3" w:rsidP="001D212F">
      <w:pPr>
        <w:pStyle w:val="affff6"/>
        <w:ind w:firstLine="420"/>
      </w:pPr>
    </w:p>
    <w:p w:rsidR="00B0535C" w:rsidRDefault="00B0535C" w:rsidP="001D212F">
      <w:pPr>
        <w:pStyle w:val="affff6"/>
        <w:ind w:firstLine="420"/>
        <w:sectPr w:rsidR="00B0535C" w:rsidSect="009908A3">
          <w:pgSz w:w="11906" w:h="16838" w:code="9"/>
          <w:pgMar w:top="2410" w:right="1134" w:bottom="1134" w:left="1134" w:header="1418" w:footer="1134" w:gutter="284"/>
          <w:pgNumType w:start="1"/>
          <w:cols w:space="425"/>
          <w:formProt w:val="0"/>
          <w:docGrid w:linePitch="312"/>
        </w:sectPr>
      </w:pPr>
    </w:p>
    <w:p w:rsidR="00B0535C" w:rsidRDefault="00B0535C" w:rsidP="00B0535C">
      <w:pPr>
        <w:pStyle w:val="af8"/>
        <w:rPr>
          <w:vanish w:val="0"/>
        </w:rPr>
      </w:pPr>
      <w:bookmarkStart w:id="42" w:name="BookMark5"/>
      <w:bookmarkEnd w:id="23"/>
    </w:p>
    <w:p w:rsidR="00B0535C" w:rsidRDefault="00B0535C" w:rsidP="00B0535C">
      <w:pPr>
        <w:pStyle w:val="afe"/>
        <w:rPr>
          <w:vanish w:val="0"/>
        </w:rPr>
      </w:pPr>
    </w:p>
    <w:p w:rsidR="00B0535C" w:rsidRDefault="00B0535C" w:rsidP="00B0535C">
      <w:pPr>
        <w:pStyle w:val="aff3"/>
        <w:spacing w:before="60" w:after="120"/>
      </w:pPr>
      <w:r>
        <w:br/>
      </w:r>
      <w:r>
        <w:rPr>
          <w:rFonts w:hint="eastAsia"/>
        </w:rPr>
        <w:t>（规范性）</w:t>
      </w:r>
      <w:r>
        <w:br/>
      </w:r>
      <w:r>
        <w:rPr>
          <w:rFonts w:hint="eastAsia"/>
        </w:rPr>
        <w:t>两面针药材质量指标测定方法</w:t>
      </w:r>
    </w:p>
    <w:p w:rsidR="00B0535C" w:rsidRDefault="00B0535C" w:rsidP="00B0535C">
      <w:pPr>
        <w:pStyle w:val="affff6"/>
        <w:ind w:firstLine="420"/>
      </w:pPr>
      <w:r>
        <w:rPr>
          <w:rFonts w:hint="eastAsia"/>
        </w:rPr>
        <w:t>总灰分按照《中华人民共和国药典》2020年版 四部 通则2302测定；</w:t>
      </w:r>
    </w:p>
    <w:p w:rsidR="00B0535C" w:rsidRDefault="00B0535C" w:rsidP="00B0535C">
      <w:pPr>
        <w:pStyle w:val="affff6"/>
        <w:ind w:firstLine="420"/>
      </w:pPr>
      <w:r>
        <w:rPr>
          <w:rFonts w:hint="eastAsia"/>
        </w:rPr>
        <w:t>含水量按照《中华人民共和国药典》2020年版 四部 通则0832第二法测定；</w:t>
      </w:r>
    </w:p>
    <w:p w:rsidR="00B0535C" w:rsidRDefault="00B0535C" w:rsidP="00B0535C">
      <w:pPr>
        <w:pStyle w:val="affff6"/>
        <w:ind w:firstLine="420"/>
      </w:pPr>
      <w:r>
        <w:rPr>
          <w:rFonts w:hint="eastAsia"/>
        </w:rPr>
        <w:t>浸出物按照《中华人民共和国药典》2020年版 四部 通则2201项下的热浸法测定；</w:t>
      </w:r>
    </w:p>
    <w:p w:rsidR="00B0535C" w:rsidRPr="00B0535C" w:rsidRDefault="00B0535C" w:rsidP="00B0535C">
      <w:pPr>
        <w:pStyle w:val="affff6"/>
        <w:ind w:firstLine="420"/>
      </w:pPr>
      <w:r>
        <w:rPr>
          <w:rFonts w:hint="eastAsia"/>
        </w:rPr>
        <w:t>苦参碱和氧化苦参碱总量按照《中国人民共和国药典》2020年版 四部 通则0512的高效液相色谱法测定。</w:t>
      </w:r>
    </w:p>
    <w:p w:rsidR="00B0535C" w:rsidRPr="00B0535C" w:rsidRDefault="00B0535C" w:rsidP="00B0535C">
      <w:pPr>
        <w:pStyle w:val="affff6"/>
        <w:ind w:firstLine="420"/>
      </w:pPr>
      <w:bookmarkStart w:id="43" w:name="_GoBack"/>
    </w:p>
    <w:p w:rsidR="00B0535C" w:rsidRPr="00B0535C" w:rsidRDefault="00B0535C" w:rsidP="00B0535C">
      <w:pPr>
        <w:pStyle w:val="affff6"/>
        <w:ind w:firstLine="420"/>
      </w:pPr>
    </w:p>
    <w:p w:rsidR="00B0535C" w:rsidRDefault="00B0535C" w:rsidP="00B0535C">
      <w:pPr>
        <w:pStyle w:val="affff6"/>
        <w:ind w:firstLine="420"/>
      </w:pPr>
    </w:p>
    <w:p w:rsidR="00B0535C" w:rsidRDefault="00B0535C" w:rsidP="00B0535C">
      <w:pPr>
        <w:pStyle w:val="affff6"/>
        <w:ind w:firstLineChars="0" w:firstLine="0"/>
        <w:jc w:val="center"/>
      </w:pPr>
      <w:bookmarkStart w:id="44" w:name="BookMark8"/>
      <w:bookmarkEnd w:id="42"/>
      <w:bookmarkEnd w:id="43"/>
      <w:r>
        <w:drawing>
          <wp:inline distT="0" distB="0" distL="0" distR="0" wp14:anchorId="6C5C1977" wp14:editId="2449CF5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B0535C" w:rsidSect="00B0535C">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D50" w:rsidRDefault="00990D50" w:rsidP="00D86DB7">
      <w:r>
        <w:separator/>
      </w:r>
    </w:p>
    <w:p w:rsidR="00990D50" w:rsidRDefault="00990D50"/>
    <w:p w:rsidR="00990D50" w:rsidRDefault="00990D50"/>
  </w:endnote>
  <w:endnote w:type="continuationSeparator" w:id="0">
    <w:p w:rsidR="00990D50" w:rsidRDefault="00990D50" w:rsidP="00D86DB7">
      <w:r>
        <w:continuationSeparator/>
      </w:r>
    </w:p>
    <w:p w:rsidR="00990D50" w:rsidRDefault="00990D50"/>
    <w:p w:rsidR="00990D50" w:rsidRDefault="00990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161C20" w:rsidRPr="00161C20">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D50" w:rsidRDefault="00990D50" w:rsidP="00D86DB7">
      <w:r>
        <w:separator/>
      </w:r>
    </w:p>
  </w:footnote>
  <w:footnote w:type="continuationSeparator" w:id="0">
    <w:p w:rsidR="00990D50" w:rsidRDefault="00990D50" w:rsidP="00D86DB7">
      <w:r>
        <w:continuationSeparator/>
      </w:r>
    </w:p>
    <w:p w:rsidR="00990D50" w:rsidRDefault="00990D50"/>
    <w:p w:rsidR="00990D50" w:rsidRDefault="00990D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04D95">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161C20">
      <w:t>T/GXAS XXXX</w:t>
    </w:r>
    <w:r w:rsidR="00161C20">
      <w:t>—</w:t>
    </w:r>
    <w:r w:rsidR="00161C2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8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stylePaneSortMethod w:val="0000"/>
  <w:documentProtection w:edit="forms" w:enforcement="1" w:cryptProviderType="rsaFull" w:cryptAlgorithmClass="hash" w:cryptAlgorithmType="typeAny" w:cryptAlgorithmSid="4" w:cryptSpinCount="100000" w:hash="9nIic9SQMjKH08aw6tou887AvrQ=" w:salt="sEo5jqjtyNsuEepaBVIX8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D9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32B"/>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3BED"/>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550"/>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4D95"/>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C2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260"/>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81E"/>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273"/>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382"/>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832"/>
    <w:rsid w:val="002E4D5A"/>
    <w:rsid w:val="002E6326"/>
    <w:rsid w:val="002F30E0"/>
    <w:rsid w:val="002F35E4"/>
    <w:rsid w:val="002F3730"/>
    <w:rsid w:val="002F38E1"/>
    <w:rsid w:val="002F7AF6"/>
    <w:rsid w:val="00300E63"/>
    <w:rsid w:val="00302F5F"/>
    <w:rsid w:val="0030441D"/>
    <w:rsid w:val="00306063"/>
    <w:rsid w:val="00313B85"/>
    <w:rsid w:val="00317988"/>
    <w:rsid w:val="00317A6F"/>
    <w:rsid w:val="003221B4"/>
    <w:rsid w:val="0032258D"/>
    <w:rsid w:val="00322E62"/>
    <w:rsid w:val="00324D13"/>
    <w:rsid w:val="00324EDD"/>
    <w:rsid w:val="003331E4"/>
    <w:rsid w:val="00336C64"/>
    <w:rsid w:val="00337162"/>
    <w:rsid w:val="0034194F"/>
    <w:rsid w:val="00344605"/>
    <w:rsid w:val="0034503A"/>
    <w:rsid w:val="003474AA"/>
    <w:rsid w:val="00350D1D"/>
    <w:rsid w:val="00352C83"/>
    <w:rsid w:val="00352F1A"/>
    <w:rsid w:val="0036107C"/>
    <w:rsid w:val="003615D2"/>
    <w:rsid w:val="00362E5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62D9"/>
    <w:rsid w:val="003B09AD"/>
    <w:rsid w:val="003B1F18"/>
    <w:rsid w:val="003B5BF0"/>
    <w:rsid w:val="003B60BF"/>
    <w:rsid w:val="003B6550"/>
    <w:rsid w:val="003B6BE3"/>
    <w:rsid w:val="003C010C"/>
    <w:rsid w:val="003C0A6C"/>
    <w:rsid w:val="003C14F8"/>
    <w:rsid w:val="003C4AEE"/>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8F5"/>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9DF"/>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AA2"/>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9D"/>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4DCD"/>
    <w:rsid w:val="005B51CE"/>
    <w:rsid w:val="005B5885"/>
    <w:rsid w:val="005B5CD7"/>
    <w:rsid w:val="005B6CF6"/>
    <w:rsid w:val="005B7422"/>
    <w:rsid w:val="005C1FCC"/>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21"/>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000"/>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10B9"/>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D56"/>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2B94"/>
    <w:rsid w:val="007F01F3"/>
    <w:rsid w:val="007F0ED8"/>
    <w:rsid w:val="007F0F63"/>
    <w:rsid w:val="007F75CE"/>
    <w:rsid w:val="008013A4"/>
    <w:rsid w:val="008027CE"/>
    <w:rsid w:val="00802F42"/>
    <w:rsid w:val="00804383"/>
    <w:rsid w:val="00804BB7"/>
    <w:rsid w:val="00804D41"/>
    <w:rsid w:val="00810257"/>
    <w:rsid w:val="008104F5"/>
    <w:rsid w:val="00811072"/>
    <w:rsid w:val="00811369"/>
    <w:rsid w:val="00814D48"/>
    <w:rsid w:val="00815419"/>
    <w:rsid w:val="008163C8"/>
    <w:rsid w:val="008164A1"/>
    <w:rsid w:val="00817325"/>
    <w:rsid w:val="008209E6"/>
    <w:rsid w:val="00821105"/>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28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4372"/>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0D50"/>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FB9"/>
    <w:rsid w:val="009B6029"/>
    <w:rsid w:val="009B6971"/>
    <w:rsid w:val="009C27F1"/>
    <w:rsid w:val="009C3152"/>
    <w:rsid w:val="009C3257"/>
    <w:rsid w:val="009C4CFA"/>
    <w:rsid w:val="009C5070"/>
    <w:rsid w:val="009C750A"/>
    <w:rsid w:val="009D112C"/>
    <w:rsid w:val="009D1385"/>
    <w:rsid w:val="009D47FA"/>
    <w:rsid w:val="009D4C5B"/>
    <w:rsid w:val="009D50D2"/>
    <w:rsid w:val="009D6651"/>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8F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9B2"/>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B31"/>
    <w:rsid w:val="00AE070A"/>
    <w:rsid w:val="00AE101C"/>
    <w:rsid w:val="00AE2A69"/>
    <w:rsid w:val="00AE37E5"/>
    <w:rsid w:val="00AE5EB4"/>
    <w:rsid w:val="00AF0C18"/>
    <w:rsid w:val="00AF47C5"/>
    <w:rsid w:val="00AF5398"/>
    <w:rsid w:val="00B049AF"/>
    <w:rsid w:val="00B0535C"/>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0A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717"/>
    <w:rsid w:val="00BA7C9A"/>
    <w:rsid w:val="00BB5F8F"/>
    <w:rsid w:val="00BB657A"/>
    <w:rsid w:val="00BB7900"/>
    <w:rsid w:val="00BC1A4E"/>
    <w:rsid w:val="00BC5DC7"/>
    <w:rsid w:val="00BC6B8B"/>
    <w:rsid w:val="00BC73D8"/>
    <w:rsid w:val="00BD37FA"/>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BBE"/>
    <w:rsid w:val="00C94DF2"/>
    <w:rsid w:val="00C96741"/>
    <w:rsid w:val="00CA2D1B"/>
    <w:rsid w:val="00CA375D"/>
    <w:rsid w:val="00CA5517"/>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90"/>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DF3"/>
    <w:rsid w:val="00D25E37"/>
    <w:rsid w:val="00D2661A"/>
    <w:rsid w:val="00D27582"/>
    <w:rsid w:val="00D27EC4"/>
    <w:rsid w:val="00D32719"/>
    <w:rsid w:val="00D33333"/>
    <w:rsid w:val="00D352A2"/>
    <w:rsid w:val="00D35CC6"/>
    <w:rsid w:val="00D4162B"/>
    <w:rsid w:val="00D4514F"/>
    <w:rsid w:val="00D451E2"/>
    <w:rsid w:val="00D45E89"/>
    <w:rsid w:val="00D45E8D"/>
    <w:rsid w:val="00D466AE"/>
    <w:rsid w:val="00D4734F"/>
    <w:rsid w:val="00D51BF3"/>
    <w:rsid w:val="00D57F2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41C"/>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983"/>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F18"/>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FBD"/>
    <w:rsid w:val="00E822E8"/>
    <w:rsid w:val="00E82554"/>
    <w:rsid w:val="00E82606"/>
    <w:rsid w:val="00E831C1"/>
    <w:rsid w:val="00E845B0"/>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B7686"/>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1C5"/>
    <w:rsid w:val="00F11586"/>
    <w:rsid w:val="00F1183B"/>
    <w:rsid w:val="00F11C9F"/>
    <w:rsid w:val="00F12263"/>
    <w:rsid w:val="00F1409D"/>
    <w:rsid w:val="00F14214"/>
    <w:rsid w:val="00F157A9"/>
    <w:rsid w:val="00F16F00"/>
    <w:rsid w:val="00F25BB6"/>
    <w:rsid w:val="00F26B7E"/>
    <w:rsid w:val="00F27A3B"/>
    <w:rsid w:val="00F32256"/>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1935"/>
    <w:rsid w:val="00FC2CB7"/>
    <w:rsid w:val="00FC4090"/>
    <w:rsid w:val="00FC55B4"/>
    <w:rsid w:val="00FD00E6"/>
    <w:rsid w:val="00FD09A1"/>
    <w:rsid w:val="00FD2A7C"/>
    <w:rsid w:val="00FD5014"/>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ABA80020D2482290089657B085BEFE"/>
        <w:category>
          <w:name w:val="常规"/>
          <w:gallery w:val="placeholder"/>
        </w:category>
        <w:types>
          <w:type w:val="bbPlcHdr"/>
        </w:types>
        <w:behaviors>
          <w:behavior w:val="content"/>
        </w:behaviors>
        <w:guid w:val="{AA86C435-DBF8-4A72-A4C5-DC5C39D49488}"/>
      </w:docPartPr>
      <w:docPartBody>
        <w:p w:rsidR="008167CB" w:rsidRDefault="00A042FE">
          <w:pPr>
            <w:pStyle w:val="1AABA80020D2482290089657B085BEFE"/>
          </w:pPr>
          <w:r w:rsidRPr="00751A05">
            <w:rPr>
              <w:rStyle w:val="a3"/>
              <w:rFonts w:hint="eastAsia"/>
            </w:rPr>
            <w:t>单击或点击此处输入文字。</w:t>
          </w:r>
        </w:p>
      </w:docPartBody>
    </w:docPart>
    <w:docPart>
      <w:docPartPr>
        <w:name w:val="43C9B37ABCFD4C019DF0367EB7E0F3D9"/>
        <w:category>
          <w:name w:val="常规"/>
          <w:gallery w:val="placeholder"/>
        </w:category>
        <w:types>
          <w:type w:val="bbPlcHdr"/>
        </w:types>
        <w:behaviors>
          <w:behavior w:val="content"/>
        </w:behaviors>
        <w:guid w:val="{2F439FC8-D0E2-455D-9E02-95EB086003A9}"/>
      </w:docPartPr>
      <w:docPartBody>
        <w:p w:rsidR="008167CB" w:rsidRDefault="00A042FE">
          <w:pPr>
            <w:pStyle w:val="43C9B37ABCFD4C019DF0367EB7E0F3D9"/>
          </w:pPr>
          <w:r w:rsidRPr="00FB6243">
            <w:rPr>
              <w:rStyle w:val="a3"/>
              <w:rFonts w:hint="eastAsia"/>
            </w:rPr>
            <w:t>选择一项。</w:t>
          </w:r>
        </w:p>
      </w:docPartBody>
    </w:docPart>
    <w:docPart>
      <w:docPartPr>
        <w:name w:val="D631CB02E4A04BE5B0585C11B98EE551"/>
        <w:category>
          <w:name w:val="常规"/>
          <w:gallery w:val="placeholder"/>
        </w:category>
        <w:types>
          <w:type w:val="bbPlcHdr"/>
        </w:types>
        <w:behaviors>
          <w:behavior w:val="content"/>
        </w:behaviors>
        <w:guid w:val="{D25377C4-AE91-4EAE-A201-5A25EE5C4905}"/>
      </w:docPartPr>
      <w:docPartBody>
        <w:p w:rsidR="008167CB" w:rsidRDefault="00A042FE">
          <w:pPr>
            <w:pStyle w:val="D631CB02E4A04BE5B0585C11B98EE55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FE"/>
    <w:rsid w:val="000366F3"/>
    <w:rsid w:val="00572651"/>
    <w:rsid w:val="008167CB"/>
    <w:rsid w:val="00A042FE"/>
    <w:rsid w:val="00A53699"/>
    <w:rsid w:val="00EB48E4"/>
    <w:rsid w:val="00FB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ABA80020D2482290089657B085BEFE">
    <w:name w:val="1AABA80020D2482290089657B085BEFE"/>
    <w:pPr>
      <w:widowControl w:val="0"/>
      <w:jc w:val="both"/>
    </w:pPr>
  </w:style>
  <w:style w:type="paragraph" w:customStyle="1" w:styleId="43C9B37ABCFD4C019DF0367EB7E0F3D9">
    <w:name w:val="43C9B37ABCFD4C019DF0367EB7E0F3D9"/>
    <w:pPr>
      <w:widowControl w:val="0"/>
      <w:jc w:val="both"/>
    </w:pPr>
  </w:style>
  <w:style w:type="paragraph" w:customStyle="1" w:styleId="D631CB02E4A04BE5B0585C11B98EE551">
    <w:name w:val="D631CB02E4A04BE5B0585C11B98EE55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ABA80020D2482290089657B085BEFE">
    <w:name w:val="1AABA80020D2482290089657B085BEFE"/>
    <w:pPr>
      <w:widowControl w:val="0"/>
      <w:jc w:val="both"/>
    </w:pPr>
  </w:style>
  <w:style w:type="paragraph" w:customStyle="1" w:styleId="43C9B37ABCFD4C019DF0367EB7E0F3D9">
    <w:name w:val="43C9B37ABCFD4C019DF0367EB7E0F3D9"/>
    <w:pPr>
      <w:widowControl w:val="0"/>
      <w:jc w:val="both"/>
    </w:pPr>
  </w:style>
  <w:style w:type="paragraph" w:customStyle="1" w:styleId="D631CB02E4A04BE5B0585C11B98EE551">
    <w:name w:val="D631CB02E4A04BE5B0585C11B98EE55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1268B-D09C-4C49-AE16-BD86101D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167</TotalTime>
  <Pages>7</Pages>
  <Words>385</Words>
  <Characters>2197</Characters>
  <Application>Microsoft Office Word</Application>
  <DocSecurity>0</DocSecurity>
  <Lines>18</Lines>
  <Paragraphs>5</Paragraphs>
  <ScaleCrop>false</ScaleCrop>
  <Company>PCMI</Company>
  <LinksUpToDate>false</LinksUpToDate>
  <CharactersWithSpaces>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微软用户</cp:lastModifiedBy>
  <cp:revision>19</cp:revision>
  <cp:lastPrinted>2021-02-02T08:22:00Z</cp:lastPrinted>
  <dcterms:created xsi:type="dcterms:W3CDTF">2022-01-14T00:54:00Z</dcterms:created>
  <dcterms:modified xsi:type="dcterms:W3CDTF">2022-01-19T08:13:00Z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