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方正小标宋简体" w:hAnsi="黑体" w:eastAsia="方正小标宋简体" w:cs="黑体"/>
          <w:bCs/>
          <w:color w:val="000000"/>
          <w:sz w:val="44"/>
          <w:szCs w:val="44"/>
        </w:rPr>
      </w:pPr>
      <w:r>
        <w:rPr>
          <w:rFonts w:hint="eastAsia" w:ascii="方正小标宋简体" w:hAnsi="黑体" w:eastAsia="方正小标宋简体" w:cs="黑体"/>
          <w:bCs/>
          <w:color w:val="000000"/>
          <w:sz w:val="44"/>
          <w:szCs w:val="44"/>
        </w:rPr>
        <w:t>团体标准《食用木薯块根质量综合评价技术规程》（征求意见稿）编制说明</w:t>
      </w:r>
    </w:p>
    <w:p>
      <w:pPr>
        <w:spacing w:line="600" w:lineRule="exact"/>
        <w:jc w:val="center"/>
        <w:rPr>
          <w:rFonts w:ascii="方正小标宋简体" w:hAnsi="黑体" w:eastAsia="方正小标宋简体" w:cs="黑体"/>
          <w:bCs/>
          <w:color w:val="000000"/>
          <w:sz w:val="44"/>
          <w:szCs w:val="44"/>
        </w:rPr>
      </w:pPr>
    </w:p>
    <w:p>
      <w:pPr>
        <w:autoSpaceDE w:val="0"/>
        <w:autoSpaceDN w:val="0"/>
        <w:adjustRightInd w:val="0"/>
        <w:spacing w:before="156" w:beforeLines="50" w:after="156" w:afterLines="50" w:line="560" w:lineRule="exact"/>
        <w:ind w:firstLine="640" w:firstLineChars="200"/>
        <w:jc w:val="left"/>
        <w:rPr>
          <w:rFonts w:ascii="黑体" w:hAnsi="黑体" w:eastAsia="黑体" w:cs="仿宋_GB2312"/>
          <w:sz w:val="32"/>
          <w:szCs w:val="32"/>
        </w:rPr>
      </w:pPr>
      <w:r>
        <w:rPr>
          <w:rFonts w:hint="eastAsia" w:ascii="黑体" w:hAnsi="黑体" w:eastAsia="黑体" w:cs="仿宋_GB2312"/>
          <w:sz w:val="32"/>
          <w:szCs w:val="32"/>
        </w:rPr>
        <w:t>一</w:t>
      </w:r>
      <w:r>
        <w:rPr>
          <w:rFonts w:ascii="黑体" w:hAnsi="黑体" w:eastAsia="黑体" w:cs="仿宋_GB2312"/>
          <w:sz w:val="32"/>
          <w:szCs w:val="32"/>
        </w:rPr>
        <w:t>、</w:t>
      </w:r>
      <w:r>
        <w:rPr>
          <w:rFonts w:hint="eastAsia" w:ascii="黑体" w:hAnsi="黑体" w:eastAsia="黑体" w:cs="仿宋_GB2312"/>
          <w:sz w:val="32"/>
          <w:szCs w:val="32"/>
        </w:rPr>
        <w:t>项目来源</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lang w:val="zh-CN"/>
        </w:rPr>
        <w:t>根据广西标准化</w:t>
      </w:r>
      <w:r>
        <w:rPr>
          <w:rFonts w:ascii="仿宋_GB2312" w:hAnsi="宋体" w:eastAsia="仿宋_GB2312"/>
          <w:sz w:val="32"/>
          <w:szCs w:val="32"/>
          <w:lang w:val="zh-CN"/>
        </w:rPr>
        <w:t>协会</w:t>
      </w:r>
      <w:r>
        <w:rPr>
          <w:rFonts w:hint="eastAsia" w:ascii="仿宋_GB2312" w:hAnsi="宋体" w:eastAsia="仿宋_GB2312"/>
          <w:sz w:val="32"/>
          <w:szCs w:val="32"/>
          <w:lang w:val="zh-CN"/>
        </w:rPr>
        <w:t>《关于下达2021年第二十八批团体标准制修订项目计划的通知》（桂标协﹝2021﹞</w:t>
      </w:r>
      <w:r>
        <w:rPr>
          <w:rFonts w:ascii="仿宋_GB2312" w:hAnsi="宋体" w:eastAsia="仿宋_GB2312"/>
          <w:sz w:val="32"/>
          <w:szCs w:val="32"/>
        </w:rPr>
        <w:t>76</w:t>
      </w:r>
      <w:r>
        <w:rPr>
          <w:rFonts w:hint="eastAsia" w:ascii="仿宋_GB2312" w:hAnsi="宋体" w:eastAsia="仿宋_GB2312"/>
          <w:sz w:val="32"/>
          <w:szCs w:val="32"/>
          <w:lang w:val="zh-CN"/>
        </w:rPr>
        <w:t>号）文件精神，由</w:t>
      </w:r>
      <w:r>
        <w:rPr>
          <w:rFonts w:hint="eastAsia" w:ascii="仿宋_GB2312" w:hAnsi="宋体" w:eastAsia="仿宋_GB2312"/>
          <w:sz w:val="32"/>
          <w:szCs w:val="32"/>
        </w:rPr>
        <w:t>广西壮族自治区农业科学院经济作物研究所</w:t>
      </w:r>
      <w:r>
        <w:rPr>
          <w:rFonts w:hint="eastAsia" w:ascii="仿宋_GB2312" w:hAnsi="宋体" w:eastAsia="仿宋_GB2312"/>
          <w:sz w:val="32"/>
          <w:szCs w:val="32"/>
          <w:lang w:val="zh-CN"/>
        </w:rPr>
        <w:t>提出，</w:t>
      </w:r>
      <w:r>
        <w:rPr>
          <w:rFonts w:hint="eastAsia" w:ascii="仿宋_GB2312" w:hAnsi="宋体" w:eastAsia="仿宋_GB2312"/>
          <w:sz w:val="32"/>
          <w:szCs w:val="32"/>
        </w:rPr>
        <w:t>广西壮族自治区农业科学院经济作物研究所、广西壮族自治区农业科学院农产品加工研究所</w:t>
      </w:r>
      <w:r>
        <w:rPr>
          <w:rFonts w:hint="eastAsia" w:ascii="仿宋_GB2312" w:hAnsi="宋体" w:eastAsia="仿宋_GB2312"/>
          <w:sz w:val="32"/>
          <w:szCs w:val="32"/>
          <w:lang w:val="zh-CN"/>
        </w:rPr>
        <w:t>共同起草的团体标准《</w:t>
      </w:r>
      <w:r>
        <w:rPr>
          <w:rFonts w:hint="eastAsia" w:ascii="仿宋_GB2312" w:hAnsi="宋体" w:eastAsia="仿宋_GB2312"/>
          <w:sz w:val="32"/>
          <w:szCs w:val="32"/>
        </w:rPr>
        <w:t>食用木薯块根质量综合评价技术规程</w:t>
      </w:r>
      <w:r>
        <w:rPr>
          <w:rFonts w:hint="eastAsia" w:ascii="仿宋_GB2312" w:hAnsi="宋体" w:eastAsia="仿宋_GB2312"/>
          <w:sz w:val="32"/>
          <w:szCs w:val="32"/>
          <w:lang w:val="zh-CN"/>
        </w:rPr>
        <w:t>》（项目编号：</w:t>
      </w:r>
      <w:r>
        <w:rPr>
          <w:rFonts w:ascii="仿宋_GB2312" w:hAnsi="宋体" w:eastAsia="仿宋_GB2312"/>
          <w:sz w:val="32"/>
          <w:szCs w:val="32"/>
          <w:lang w:val="zh-CN"/>
        </w:rPr>
        <w:t>2021-2803</w:t>
      </w:r>
      <w:r>
        <w:rPr>
          <w:rFonts w:hint="eastAsia" w:ascii="仿宋_GB2312" w:hAnsi="宋体" w:eastAsia="仿宋_GB2312"/>
          <w:sz w:val="32"/>
          <w:szCs w:val="32"/>
          <w:lang w:val="zh-CN"/>
        </w:rPr>
        <w:t>）。</w:t>
      </w:r>
    </w:p>
    <w:p>
      <w:pPr>
        <w:autoSpaceDE w:val="0"/>
        <w:autoSpaceDN w:val="0"/>
        <w:adjustRightInd w:val="0"/>
        <w:spacing w:before="156" w:beforeLines="50" w:after="156" w:afterLines="50" w:line="560" w:lineRule="exact"/>
        <w:ind w:firstLine="640" w:firstLineChars="200"/>
        <w:jc w:val="left"/>
        <w:rPr>
          <w:rFonts w:ascii="黑体" w:hAnsi="黑体" w:eastAsia="黑体" w:cs="仿宋_GB2312"/>
          <w:sz w:val="32"/>
          <w:szCs w:val="32"/>
        </w:rPr>
      </w:pPr>
      <w:r>
        <w:rPr>
          <w:rFonts w:hint="eastAsia" w:ascii="黑体" w:hAnsi="黑体" w:eastAsia="黑体" w:cs="仿宋_GB2312"/>
          <w:sz w:val="32"/>
          <w:szCs w:val="32"/>
        </w:rPr>
        <w:t>二</w:t>
      </w:r>
      <w:r>
        <w:rPr>
          <w:rFonts w:ascii="黑体" w:hAnsi="黑体" w:eastAsia="黑体" w:cs="仿宋_GB2312"/>
          <w:sz w:val="32"/>
          <w:szCs w:val="32"/>
        </w:rPr>
        <w:t>、</w:t>
      </w:r>
      <w:r>
        <w:rPr>
          <w:rFonts w:hint="eastAsia" w:ascii="黑体" w:hAnsi="黑体" w:eastAsia="黑体" w:cs="仿宋_GB2312"/>
          <w:sz w:val="32"/>
          <w:szCs w:val="32"/>
        </w:rPr>
        <w:t>项目背景及目的意义</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2019年《国务院关于促进乡村产业振兴的指导意见》和2021年中央一号文件中均提出要立足当地特色资源，发展乡村产业。加快形成一批以绿色优质特色农产品生产、加工、流通、销售产业链为基础，集科技创新、休闲观光、种养结合、循环利用的特色农业产业集群；壮大一批经济效益好、带动能力强、规范生产管理的新型农业经营主体和龙头企业；打造一批知名特色农业品牌，将绿色优质特色产业培育成贫困地区打赢脱贫攻坚战的重要民生产业、农业农村经济发展的重要支柱产业、农民持续增收的重要战略产业。在全面推动乡村振兴的新阶段，我区特色作物——木薯产业发展获得了不可多得的新机遇，成为优势特色鲜明、辐射面广和带动能力强的脱贫支柱产业。近年来国内相关科研单位和企业开展了木薯食用化开发研究，国家木薯产业技术体系将木薯食用化研究开发利用列为“十三五”重点研发任务。我国华南地区有食用木薯的传统，20世纪50-60年代，由于木薯具有粗生、易植、高产和四季可收获食用等优良特性，一度成为困难时期解决热区农民温饱的主粮。随着人们对均衡营养和特色食物的高质量追求，以特色风味和绿色健康食品为特点的木薯，重新走进人们的饮食生活。</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食用木薯具有低氢苷、低糖、低脂、营养价值高等优点，其块根富含淀粉、膳食纤维、维生素及钙、锌、镁、钾等矿物质，长期食用可为人体补充多种微量元素，改善人们的日常膳食结构。此外，食用木薯的抗病虫害的能力强、耐贫瘠，在种植过程中可全程不需要使用农药，是天然健康的无公害薯类杂粮。木薯食品开发利用广泛，产品附加值高，市场前景广阔，可蒸煮烹炸制作各种食用木薯菜肴或加工成食用木薯全粉制作烘烤食品、膨化食品等。市场上催生了张飞木薯羹、小小李白、印小尼、壹家等网红木薯羹品牌。国内相关科研单位和企业纷纷开展了许多木薯食用化开发研究，国家木薯产业技术体系也将木薯食用化研究开发利用列为“十四五”重点研发任务。</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一直以来，木薯被人们认为属于低值产业，处在一年不如一年的尴尬境地。提高木薯块根质量，提升其竞争力，是当前我区积极应对外部环境变化，重振广西木薯产业的希望所在，也是打造竞争新优势和实现富民兴桂的需要。木薯质量的保障与提升，需要标准化的质量综合评价技术对木薯的农艺性状指标、食用型专用生理指标、鲜薯品质性状指标、加工特性指标进行综合评价。世界上木薯总产量的65%用于人类食物。木薯是广西特色优势产业之一，广西木薯种植面积、产量均占全国60%以上，近年种植面积在300万亩左右，高峰年份曾达到450万亩。在产业延伸方面，区内现有木薯淀粉加工厂和酒精加工厂60多家。</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通过制定团体标准《食用木薯块根质量综合评价技术规程》，以标准为抓手，统一规范食用木薯块根质量综合评价的评价指标、评价方法、评价规则，用标准化更好地指导食用木薯块根质量的评价</w:t>
      </w:r>
      <w:r>
        <w:rPr>
          <w:rFonts w:hint="eastAsia" w:ascii="仿宋_GB2312" w:hAnsi="宋体" w:eastAsia="仿宋_GB2312"/>
          <w:sz w:val="32"/>
          <w:szCs w:val="32"/>
          <w:lang w:val="zh-CN"/>
        </w:rPr>
        <w:t>，达到</w:t>
      </w:r>
      <w:r>
        <w:rPr>
          <w:rFonts w:hint="eastAsia" w:ascii="仿宋_GB2312" w:hAnsi="宋体" w:eastAsia="仿宋_GB2312"/>
          <w:sz w:val="32"/>
          <w:szCs w:val="32"/>
        </w:rPr>
        <w:t>保障木薯块根质量</w:t>
      </w:r>
      <w:r>
        <w:rPr>
          <w:rFonts w:hint="eastAsia" w:ascii="仿宋_GB2312" w:hAnsi="宋体" w:eastAsia="仿宋_GB2312"/>
          <w:sz w:val="32"/>
          <w:szCs w:val="32"/>
          <w:lang w:val="zh-CN"/>
        </w:rPr>
        <w:t>的目的，具有一定的先进性和实用性，完全符合广西特色农业发展的需求。</w:t>
      </w:r>
    </w:p>
    <w:p>
      <w:pPr>
        <w:autoSpaceDE w:val="0"/>
        <w:autoSpaceDN w:val="0"/>
        <w:adjustRightInd w:val="0"/>
        <w:spacing w:before="156" w:beforeLines="50" w:after="156" w:afterLines="50" w:line="560" w:lineRule="exact"/>
        <w:ind w:firstLine="640" w:firstLineChars="200"/>
        <w:jc w:val="left"/>
        <w:rPr>
          <w:rFonts w:ascii="黑体" w:hAnsi="黑体" w:eastAsia="黑体" w:cs="仿宋_GB2312"/>
          <w:sz w:val="32"/>
          <w:szCs w:val="32"/>
        </w:rPr>
      </w:pPr>
      <w:r>
        <w:rPr>
          <w:rFonts w:hint="eastAsia" w:ascii="黑体" w:hAnsi="黑体" w:eastAsia="黑体" w:cs="仿宋_GB2312"/>
          <w:sz w:val="32"/>
          <w:szCs w:val="32"/>
        </w:rPr>
        <w:t>三</w:t>
      </w:r>
      <w:r>
        <w:rPr>
          <w:rFonts w:ascii="黑体" w:hAnsi="黑体" w:eastAsia="黑体" w:cs="仿宋_GB2312"/>
          <w:sz w:val="32"/>
          <w:szCs w:val="32"/>
        </w:rPr>
        <w:t>、</w:t>
      </w:r>
      <w:r>
        <w:rPr>
          <w:rFonts w:hint="eastAsia" w:ascii="黑体" w:hAnsi="黑体" w:eastAsia="黑体" w:cs="仿宋_GB2312"/>
          <w:sz w:val="32"/>
          <w:szCs w:val="32"/>
        </w:rPr>
        <w:t>标准编制过程</w:t>
      </w:r>
    </w:p>
    <w:p>
      <w:pPr>
        <w:adjustRightInd w:val="0"/>
        <w:snapToGrid w:val="0"/>
        <w:spacing w:before="156" w:beforeLines="50" w:after="156" w:afterLines="50" w:line="560" w:lineRule="exact"/>
        <w:ind w:left="505"/>
        <w:rPr>
          <w:rFonts w:ascii="楷体" w:hAnsi="楷体" w:eastAsia="楷体" w:cs="黑体"/>
          <w:bCs/>
          <w:sz w:val="32"/>
          <w:szCs w:val="32"/>
        </w:rPr>
      </w:pPr>
      <w:r>
        <w:rPr>
          <w:rFonts w:hint="eastAsia" w:ascii="楷体" w:hAnsi="楷体" w:eastAsia="楷体" w:cs="仿宋_GB2312"/>
          <w:b/>
          <w:sz w:val="32"/>
          <w:szCs w:val="32"/>
        </w:rPr>
        <w:t>（一）成立标准编制工作组</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团体标准《</w:t>
      </w:r>
      <w:r>
        <w:rPr>
          <w:rFonts w:hint="eastAsia" w:ascii="仿宋_GB2312" w:hAnsi="宋体" w:eastAsia="仿宋_GB2312"/>
          <w:sz w:val="32"/>
          <w:szCs w:val="32"/>
          <w:lang w:val="zh-CN"/>
        </w:rPr>
        <w:t>食用木薯块根质量综合评价技术规程</w:t>
      </w:r>
      <w:r>
        <w:rPr>
          <w:rFonts w:hint="eastAsia" w:ascii="仿宋_GB2312" w:hAnsi="宋体" w:eastAsia="仿宋_GB2312"/>
          <w:sz w:val="32"/>
          <w:szCs w:val="32"/>
        </w:rPr>
        <w:t>》项目任务下达后，由广西壮族自治区农业科学院经济作物研究所组织成立了标准编制工作组，制定了标准编写方案，明确任务职责，确定工作技术路线，开展标准研制工作，具体标准编制工作由广西壮族自治区农业科学院经济作物研究所、广西壮族自治区农业科学院农产品加工研究所相关人员配合。</w:t>
      </w:r>
    </w:p>
    <w:p>
      <w:pPr>
        <w:spacing w:before="156" w:beforeLines="50" w:after="156" w:afterLines="50" w:line="560" w:lineRule="exact"/>
        <w:ind w:firstLine="643" w:firstLineChars="200"/>
        <w:rPr>
          <w:rFonts w:ascii="楷体" w:hAnsi="楷体" w:eastAsia="楷体" w:cs="仿宋_GB2312"/>
          <w:b/>
          <w:sz w:val="32"/>
          <w:szCs w:val="32"/>
        </w:rPr>
      </w:pPr>
      <w:r>
        <w:rPr>
          <w:rFonts w:hint="eastAsia" w:ascii="楷体" w:hAnsi="楷体" w:eastAsia="楷体" w:cs="仿宋_GB2312"/>
          <w:b/>
          <w:sz w:val="32"/>
          <w:szCs w:val="32"/>
        </w:rPr>
        <w:t>（二）收集整理文献资料</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标准编制工作组收集了国内食用木薯</w:t>
      </w:r>
      <w:r>
        <w:rPr>
          <w:rFonts w:ascii="仿宋_GB2312" w:hAnsi="宋体" w:eastAsia="仿宋_GB2312"/>
          <w:sz w:val="32"/>
          <w:szCs w:val="32"/>
        </w:rPr>
        <w:t>块根综合</w:t>
      </w:r>
      <w:r>
        <w:rPr>
          <w:rFonts w:hint="eastAsia" w:ascii="仿宋_GB2312" w:hAnsi="宋体" w:eastAsia="仿宋_GB2312"/>
          <w:sz w:val="32"/>
          <w:szCs w:val="32"/>
        </w:rPr>
        <w:t>评价的相关文献资料。主要有：</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NY/T 1520  木薯</w:t>
      </w:r>
    </w:p>
    <w:p>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NY/T 2552  能源</w:t>
      </w:r>
      <w:r>
        <w:rPr>
          <w:rFonts w:ascii="仿宋_GB2312" w:hAnsi="宋体" w:eastAsia="仿宋_GB2312"/>
          <w:sz w:val="32"/>
          <w:szCs w:val="32"/>
        </w:rPr>
        <w:t>木薯等级规格</w:t>
      </w:r>
      <w:r>
        <w:rPr>
          <w:rFonts w:hint="eastAsia" w:ascii="仿宋_GB2312" w:hAnsi="宋体" w:eastAsia="仿宋_GB2312"/>
          <w:sz w:val="32"/>
          <w:szCs w:val="32"/>
        </w:rPr>
        <w:t xml:space="preserve">  鲜木薯</w:t>
      </w:r>
    </w:p>
    <w:p>
      <w:pPr>
        <w:spacing w:line="560" w:lineRule="exact"/>
        <w:ind w:firstLine="640" w:firstLineChars="200"/>
        <w:rPr>
          <w:rFonts w:hint="eastAsia" w:ascii="仿宋_GB2312" w:hAnsi="宋体" w:eastAsia="仿宋_GB2312"/>
          <w:color w:val="FF0000"/>
          <w:sz w:val="32"/>
          <w:szCs w:val="32"/>
        </w:rPr>
      </w:pPr>
      <w:r>
        <w:rPr>
          <w:rFonts w:hint="eastAsia" w:ascii="仿宋_GB2312" w:hAnsi="宋体" w:eastAsia="仿宋_GB2312"/>
          <w:color w:val="FF0000"/>
          <w:sz w:val="32"/>
          <w:szCs w:val="32"/>
        </w:rPr>
        <w:t>YC</w:t>
      </w:r>
      <w:r>
        <w:rPr>
          <w:rFonts w:hint="eastAsia" w:ascii="仿宋_GB2312" w:hAnsi="宋体" w:eastAsia="仿宋_GB2312"/>
          <w:color w:val="FF0000"/>
          <w:sz w:val="32"/>
          <w:szCs w:val="32"/>
          <w:lang w:val="en-US" w:eastAsia="zh-CN"/>
        </w:rPr>
        <w:t>/</w:t>
      </w:r>
      <w:r>
        <w:rPr>
          <w:rFonts w:hint="eastAsia" w:ascii="仿宋_GB2312" w:hAnsi="宋体" w:eastAsia="仿宋_GB2312"/>
          <w:color w:val="FF0000"/>
          <w:sz w:val="32"/>
          <w:szCs w:val="32"/>
        </w:rPr>
        <w:t xml:space="preserve">T 142-2010 </w:t>
      </w:r>
      <w:r>
        <w:rPr>
          <w:rFonts w:hint="eastAsia" w:ascii="仿宋_GB2312" w:hAnsi="宋体" w:eastAsia="仿宋_GB2312"/>
          <w:color w:val="FF0000"/>
          <w:sz w:val="32"/>
          <w:szCs w:val="32"/>
          <w:lang w:val="en-US" w:eastAsia="zh-CN"/>
        </w:rPr>
        <w:t xml:space="preserve"> </w:t>
      </w:r>
      <w:r>
        <w:rPr>
          <w:rFonts w:hint="eastAsia" w:ascii="仿宋_GB2312" w:hAnsi="宋体" w:eastAsia="仿宋_GB2312"/>
          <w:color w:val="FF0000"/>
          <w:sz w:val="32"/>
          <w:szCs w:val="32"/>
        </w:rPr>
        <w:t>烟草农艺性状调查测量方法</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DB44/T 1324  木薯生产技术规程</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DBS45</w:t>
      </w:r>
      <w:r>
        <w:rPr>
          <w:rFonts w:ascii="仿宋_GB2312" w:hAnsi="宋体" w:eastAsia="仿宋_GB2312"/>
          <w:sz w:val="32"/>
          <w:szCs w:val="32"/>
        </w:rPr>
        <w:t>/</w:t>
      </w:r>
      <w:r>
        <w:rPr>
          <w:rFonts w:hint="eastAsia" w:ascii="仿宋_GB2312" w:hAnsi="宋体" w:eastAsia="仿宋_GB2312"/>
          <w:sz w:val="32"/>
          <w:szCs w:val="32"/>
        </w:rPr>
        <w:t xml:space="preserve"> </w:t>
      </w:r>
      <w:r>
        <w:rPr>
          <w:rFonts w:ascii="仿宋_GB2312" w:hAnsi="宋体" w:eastAsia="仿宋_GB2312"/>
          <w:sz w:val="32"/>
          <w:szCs w:val="32"/>
        </w:rPr>
        <w:t xml:space="preserve">041  </w:t>
      </w:r>
      <w:r>
        <w:rPr>
          <w:rFonts w:hint="eastAsia" w:ascii="仿宋_GB2312" w:hAnsi="宋体" w:eastAsia="仿宋_GB2312"/>
          <w:sz w:val="32"/>
          <w:szCs w:val="32"/>
        </w:rPr>
        <w:t>食品安全地方标准  木薯全粉</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DB45/T 1769  食用木薯可延期收获生产技术规程</w:t>
      </w:r>
    </w:p>
    <w:p>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DB45/T 1867</w:t>
      </w:r>
      <w:r>
        <w:rPr>
          <w:rFonts w:ascii="仿宋_GB2312" w:hAnsi="宋体" w:eastAsia="仿宋_GB2312"/>
          <w:sz w:val="32"/>
          <w:szCs w:val="32"/>
        </w:rPr>
        <w:t xml:space="preserve">  </w:t>
      </w:r>
      <w:r>
        <w:rPr>
          <w:rFonts w:hint="eastAsia" w:ascii="仿宋_GB2312" w:hAnsi="宋体" w:eastAsia="仿宋_GB2312"/>
          <w:sz w:val="32"/>
          <w:szCs w:val="32"/>
        </w:rPr>
        <w:t>食用木薯全粉加工技术规程</w:t>
      </w:r>
    </w:p>
    <w:p>
      <w:pPr>
        <w:spacing w:line="560" w:lineRule="exact"/>
        <w:ind w:firstLine="640" w:firstLineChars="200"/>
        <w:rPr>
          <w:rFonts w:hint="eastAsia" w:ascii="仿宋_GB2312" w:hAnsi="宋体" w:eastAsia="仿宋_GB2312"/>
          <w:color w:val="FF0000"/>
          <w:sz w:val="32"/>
          <w:szCs w:val="32"/>
          <w:lang w:eastAsia="zh-CN"/>
        </w:rPr>
      </w:pPr>
      <w:r>
        <w:rPr>
          <w:rFonts w:hint="eastAsia" w:ascii="仿宋_GB2312" w:hAnsi="宋体" w:eastAsia="仿宋_GB2312"/>
          <w:color w:val="FF0000"/>
          <w:sz w:val="32"/>
          <w:szCs w:val="32"/>
        </w:rPr>
        <w:t>王颖</w:t>
      </w:r>
      <w:r>
        <w:rPr>
          <w:rFonts w:hint="eastAsia" w:ascii="仿宋_GB2312" w:hAnsi="宋体" w:eastAsia="仿宋_GB2312"/>
          <w:color w:val="FF0000"/>
          <w:sz w:val="32"/>
          <w:szCs w:val="32"/>
          <w:lang w:val="en-US" w:eastAsia="zh-CN"/>
        </w:rPr>
        <w:t>等，</w:t>
      </w:r>
      <w:r>
        <w:rPr>
          <w:rFonts w:hint="eastAsia" w:ascii="仿宋_GB2312" w:hAnsi="宋体" w:eastAsia="仿宋_GB2312"/>
          <w:color w:val="FF0000"/>
          <w:sz w:val="32"/>
          <w:szCs w:val="32"/>
          <w:lang w:eastAsia="zh-CN"/>
        </w:rPr>
        <w:t>《</w:t>
      </w:r>
      <w:r>
        <w:rPr>
          <w:rFonts w:hint="eastAsia" w:ascii="仿宋_GB2312" w:hAnsi="宋体" w:eastAsia="仿宋_GB2312"/>
          <w:color w:val="FF0000"/>
          <w:sz w:val="32"/>
          <w:szCs w:val="32"/>
        </w:rPr>
        <w:t>不同食用木薯品种（系）薯片加工适宜性研究</w:t>
      </w:r>
      <w:r>
        <w:rPr>
          <w:rFonts w:hint="eastAsia" w:ascii="仿宋_GB2312" w:hAnsi="宋体" w:eastAsia="仿宋_GB2312"/>
          <w:color w:val="FF0000"/>
          <w:sz w:val="32"/>
          <w:szCs w:val="32"/>
          <w:lang w:eastAsia="zh-CN"/>
        </w:rPr>
        <w:t>》</w:t>
      </w:r>
    </w:p>
    <w:p>
      <w:pPr>
        <w:spacing w:line="560" w:lineRule="exact"/>
        <w:ind w:firstLine="640" w:firstLineChars="200"/>
        <w:rPr>
          <w:rFonts w:hint="eastAsia" w:ascii="仿宋_GB2312" w:hAnsi="宋体" w:eastAsia="仿宋_GB2312"/>
          <w:color w:val="FF0000"/>
          <w:sz w:val="32"/>
          <w:szCs w:val="32"/>
          <w:lang w:eastAsia="zh-CN"/>
        </w:rPr>
      </w:pPr>
      <w:r>
        <w:rPr>
          <w:rFonts w:hint="eastAsia" w:ascii="仿宋_GB2312" w:hAnsi="宋体" w:eastAsia="仿宋_GB2312"/>
          <w:color w:val="FF0000"/>
          <w:sz w:val="32"/>
          <w:szCs w:val="32"/>
          <w:lang w:eastAsia="zh-CN"/>
        </w:rPr>
        <w:t>陆柳英，《不同食用木薯品种（系）鲜食加工适宜性研究》</w:t>
      </w:r>
    </w:p>
    <w:p>
      <w:pPr>
        <w:spacing w:before="156" w:beforeLines="50" w:after="156" w:afterLines="50" w:line="560" w:lineRule="exact"/>
        <w:ind w:firstLine="643" w:firstLineChars="200"/>
        <w:rPr>
          <w:rFonts w:ascii="楷体" w:hAnsi="楷体" w:eastAsia="楷体" w:cs="仿宋_GB2312"/>
          <w:b/>
          <w:sz w:val="32"/>
          <w:szCs w:val="32"/>
        </w:rPr>
      </w:pPr>
      <w:r>
        <w:rPr>
          <w:rFonts w:hint="eastAsia" w:ascii="楷体" w:hAnsi="楷体" w:eastAsia="楷体" w:cs="仿宋_GB2312"/>
          <w:b/>
          <w:sz w:val="32"/>
          <w:szCs w:val="32"/>
        </w:rPr>
        <w:t>（三）研讨确定标准主体内容</w:t>
      </w:r>
    </w:p>
    <w:p>
      <w:pPr>
        <w:spacing w:line="560" w:lineRule="exact"/>
        <w:ind w:firstLine="640" w:firstLineChars="200"/>
        <w:rPr>
          <w:rFonts w:ascii="仿宋_GB2312" w:hAnsi="宋体" w:eastAsia="仿宋_GB2312"/>
          <w:sz w:val="32"/>
          <w:szCs w:val="32"/>
          <w:lang w:val="zh-CN"/>
        </w:rPr>
      </w:pPr>
      <w:r>
        <w:rPr>
          <w:rFonts w:hint="eastAsia" w:ascii="仿宋_GB2312" w:hAnsi="宋体" w:eastAsia="仿宋_GB2312"/>
          <w:sz w:val="32"/>
          <w:szCs w:val="32"/>
        </w:rPr>
        <w:t>标准编制工作组在对收集的资料进行整理研究之后，召开了标准编制会议，对标准的整体框架结构进行了研究，并对标准的关键性内容进行了初步探讨。经过研究，标准的主体内容确定为术语和定义、评价指标</w:t>
      </w:r>
      <w:r>
        <w:rPr>
          <w:rFonts w:ascii="仿宋_GB2312" w:hAnsi="宋体" w:eastAsia="仿宋_GB2312"/>
          <w:sz w:val="32"/>
          <w:szCs w:val="32"/>
        </w:rPr>
        <w:t>、评价方法</w:t>
      </w:r>
      <w:r>
        <w:rPr>
          <w:rFonts w:hint="eastAsia" w:ascii="仿宋_GB2312" w:hAnsi="宋体" w:eastAsia="仿宋_GB2312"/>
          <w:sz w:val="32"/>
          <w:szCs w:val="32"/>
        </w:rPr>
        <w:t>、</w:t>
      </w:r>
      <w:r>
        <w:rPr>
          <w:rFonts w:ascii="仿宋_GB2312" w:hAnsi="宋体" w:eastAsia="仿宋_GB2312"/>
          <w:sz w:val="32"/>
          <w:szCs w:val="32"/>
        </w:rPr>
        <w:t>评价规则</w:t>
      </w:r>
      <w:r>
        <w:rPr>
          <w:rFonts w:hint="eastAsia" w:ascii="仿宋_GB2312" w:hAnsi="宋体" w:eastAsia="仿宋_GB2312"/>
          <w:sz w:val="32"/>
          <w:szCs w:val="32"/>
        </w:rPr>
        <w:t>。</w:t>
      </w:r>
    </w:p>
    <w:p>
      <w:pPr>
        <w:spacing w:before="156" w:beforeLines="50" w:after="156" w:afterLines="50" w:line="560" w:lineRule="exact"/>
        <w:ind w:firstLine="643" w:firstLineChars="200"/>
        <w:rPr>
          <w:rFonts w:ascii="楷体" w:hAnsi="楷体" w:eastAsia="楷体" w:cs="仿宋_GB2312"/>
          <w:b/>
          <w:sz w:val="32"/>
          <w:szCs w:val="32"/>
        </w:rPr>
      </w:pPr>
      <w:r>
        <w:rPr>
          <w:rFonts w:hint="eastAsia" w:ascii="楷体" w:hAnsi="楷体" w:eastAsia="楷体" w:cs="仿宋_GB2312"/>
          <w:b/>
          <w:sz w:val="32"/>
          <w:szCs w:val="32"/>
        </w:rPr>
        <w:t>（四）调研、形成文本草案、征求意见稿</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2021年8月，标准起草工作小组进行了广泛实地调研工作，查阅了大量的国内外文献资料，对食用木薯块根质量综合评价技术进行系统总结。经编制组反复讨论，形成了标准的基本构架，对主要内容进行了讨论并对项目的工作进行了部署和安排。</w:t>
      </w:r>
    </w:p>
    <w:p>
      <w:pPr>
        <w:spacing w:line="560" w:lineRule="exact"/>
        <w:ind w:firstLine="640" w:firstLineChars="200"/>
        <w:rPr>
          <w:rFonts w:ascii="仿宋_GB2312" w:hAnsi="宋体" w:eastAsia="仿宋_GB2312"/>
          <w:color w:val="auto"/>
          <w:sz w:val="32"/>
          <w:szCs w:val="32"/>
        </w:rPr>
      </w:pPr>
      <w:r>
        <w:rPr>
          <w:rFonts w:hint="eastAsia" w:ascii="仿宋_GB2312" w:hAnsi="宋体" w:eastAsia="仿宋_GB2312"/>
          <w:sz w:val="32"/>
          <w:szCs w:val="32"/>
        </w:rPr>
        <w:t>20</w:t>
      </w:r>
      <w:r>
        <w:rPr>
          <w:rFonts w:hint="eastAsia" w:ascii="仿宋_GB2312" w:hAnsi="宋体" w:eastAsia="仿宋_GB2312"/>
          <w:color w:val="auto"/>
          <w:sz w:val="32"/>
          <w:szCs w:val="32"/>
        </w:rPr>
        <w:t>21年9月～10月，在前期工作的基础之上，通过理清逻辑脉络，整合已有的参考资料中有关食用木薯块根质量综合评价的资料，并结合区内食用木薯块根质量综合评价实际要求的基础上，按照简化、统一等原则编制完成团体标准《食用木薯块根质量综合评价技术规程》（草案）。</w:t>
      </w:r>
    </w:p>
    <w:p>
      <w:pPr>
        <w:spacing w:line="560" w:lineRule="exact"/>
        <w:ind w:firstLine="640" w:firstLineChars="200"/>
        <w:rPr>
          <w:rFonts w:ascii="仿宋_GB2312" w:hAnsi="宋体" w:eastAsia="仿宋_GB2312"/>
          <w:color w:val="auto"/>
          <w:sz w:val="32"/>
          <w:szCs w:val="32"/>
        </w:rPr>
      </w:pPr>
      <w:r>
        <w:rPr>
          <w:rFonts w:hint="eastAsia" w:ascii="仿宋_GB2312" w:hAnsi="宋体" w:eastAsia="仿宋_GB2312"/>
          <w:color w:val="auto"/>
          <w:sz w:val="32"/>
          <w:szCs w:val="32"/>
        </w:rPr>
        <w:t>2021年10月～11月，深入食用木薯</w:t>
      </w:r>
      <w:r>
        <w:rPr>
          <w:rFonts w:hint="eastAsia" w:ascii="仿宋_GB2312" w:hAnsi="宋体" w:eastAsia="仿宋_GB2312"/>
          <w:color w:val="auto"/>
          <w:sz w:val="32"/>
          <w:szCs w:val="32"/>
          <w:lang w:val="zh-CN"/>
        </w:rPr>
        <w:t>产区及加工工厂，针对食用木薯的农艺性状指标、</w:t>
      </w:r>
      <w:r>
        <w:rPr>
          <w:rFonts w:hint="eastAsia" w:ascii="仿宋_GB2312" w:hAnsi="宋体" w:eastAsia="仿宋_GB2312"/>
          <w:color w:val="auto"/>
          <w:sz w:val="32"/>
          <w:szCs w:val="32"/>
        </w:rPr>
        <w:t>食用型专用生理指标、鲜薯品质性状指标、加工特性指标进行分组实地调研。标准编制工作组多次召开会议，对标准草案进行了反复修改和研究讨论，最终形成了团体标准《食用木薯块根质量综合评价技术规程》（征求意见稿）和（征求意见稿）编制说明。</w:t>
      </w:r>
    </w:p>
    <w:p>
      <w:pPr>
        <w:autoSpaceDE w:val="0"/>
        <w:autoSpaceDN w:val="0"/>
        <w:adjustRightInd w:val="0"/>
        <w:spacing w:before="156" w:beforeLines="50" w:after="156" w:afterLines="50" w:line="560" w:lineRule="exact"/>
        <w:ind w:firstLine="640" w:firstLineChars="200"/>
        <w:jc w:val="left"/>
        <w:rPr>
          <w:rFonts w:ascii="黑体" w:hAnsi="黑体" w:eastAsia="黑体" w:cs="仿宋_GB2312"/>
          <w:color w:val="auto"/>
          <w:sz w:val="32"/>
          <w:szCs w:val="32"/>
        </w:rPr>
      </w:pPr>
      <w:bookmarkStart w:id="0" w:name="_Toc526940083"/>
      <w:r>
        <w:rPr>
          <w:rFonts w:hint="eastAsia" w:ascii="黑体" w:hAnsi="黑体" w:eastAsia="黑体" w:cs="仿宋_GB2312"/>
          <w:color w:val="auto"/>
          <w:sz w:val="32"/>
          <w:szCs w:val="32"/>
        </w:rPr>
        <w:t>四、标准制定原则</w:t>
      </w:r>
      <w:bookmarkEnd w:id="0"/>
    </w:p>
    <w:p>
      <w:pPr>
        <w:spacing w:before="156" w:beforeLines="50" w:after="156" w:afterLines="50" w:line="560" w:lineRule="exact"/>
        <w:ind w:firstLine="643" w:firstLineChars="200"/>
        <w:rPr>
          <w:rFonts w:ascii="楷体" w:hAnsi="楷体" w:eastAsia="楷体"/>
          <w:b/>
          <w:color w:val="auto"/>
          <w:sz w:val="32"/>
          <w:szCs w:val="32"/>
        </w:rPr>
      </w:pPr>
      <w:r>
        <w:rPr>
          <w:rFonts w:hint="eastAsia" w:ascii="楷体" w:hAnsi="楷体" w:eastAsia="楷体"/>
          <w:b/>
          <w:color w:val="auto"/>
          <w:sz w:val="32"/>
          <w:szCs w:val="32"/>
        </w:rPr>
        <w:t>（一）实用性原则</w:t>
      </w:r>
    </w:p>
    <w:p>
      <w:pPr>
        <w:spacing w:line="560" w:lineRule="exact"/>
        <w:ind w:firstLine="640" w:firstLineChars="200"/>
        <w:rPr>
          <w:rFonts w:ascii="仿宋_GB2312" w:hAnsi="宋体" w:eastAsia="仿宋_GB2312"/>
          <w:color w:val="auto"/>
          <w:sz w:val="32"/>
          <w:szCs w:val="32"/>
          <w:lang w:val="zh-CN"/>
        </w:rPr>
      </w:pPr>
      <w:r>
        <w:rPr>
          <w:rFonts w:hint="eastAsia" w:ascii="仿宋_GB2312" w:hAnsi="宋体" w:eastAsia="仿宋_GB2312"/>
          <w:color w:val="auto"/>
          <w:sz w:val="32"/>
          <w:szCs w:val="32"/>
          <w:lang w:val="zh-CN"/>
        </w:rPr>
        <w:t>本标准是在充分收集相关资料和文献，分析区内</w:t>
      </w:r>
      <w:r>
        <w:rPr>
          <w:rFonts w:hint="eastAsia" w:ascii="仿宋_GB2312" w:hAnsi="宋体" w:eastAsia="仿宋_GB2312"/>
          <w:color w:val="auto"/>
          <w:sz w:val="32"/>
          <w:szCs w:val="32"/>
        </w:rPr>
        <w:t>食用木薯块根质量综合评价</w:t>
      </w:r>
      <w:r>
        <w:rPr>
          <w:rFonts w:hint="eastAsia" w:ascii="仿宋_GB2312" w:hAnsi="宋体" w:eastAsia="仿宋_GB2312"/>
          <w:color w:val="auto"/>
          <w:sz w:val="32"/>
          <w:szCs w:val="32"/>
          <w:lang w:val="zh-CN"/>
        </w:rPr>
        <w:t>现状，在现有国家、行业标准相关</w:t>
      </w:r>
      <w:r>
        <w:rPr>
          <w:rFonts w:hint="eastAsia" w:ascii="仿宋_GB2312" w:hAnsi="宋体" w:eastAsia="仿宋_GB2312"/>
          <w:color w:val="auto"/>
          <w:sz w:val="32"/>
          <w:szCs w:val="32"/>
        </w:rPr>
        <w:t>食用木薯块根质量综合评价</w:t>
      </w:r>
      <w:r>
        <w:rPr>
          <w:rFonts w:hint="eastAsia" w:ascii="仿宋_GB2312" w:hAnsi="宋体" w:eastAsia="仿宋_GB2312"/>
          <w:color w:val="auto"/>
          <w:sz w:val="32"/>
          <w:szCs w:val="32"/>
          <w:lang w:val="zh-CN"/>
        </w:rPr>
        <w:t>技术的基础上，结合多年经验而总结起草的。符合当前</w:t>
      </w:r>
      <w:r>
        <w:rPr>
          <w:rFonts w:hint="eastAsia" w:ascii="仿宋_GB2312" w:hAnsi="宋体" w:eastAsia="仿宋_GB2312"/>
          <w:color w:val="auto"/>
          <w:sz w:val="32"/>
          <w:szCs w:val="32"/>
        </w:rPr>
        <w:t>食用木薯块根质量综合评价</w:t>
      </w:r>
      <w:r>
        <w:rPr>
          <w:rFonts w:hint="eastAsia" w:ascii="仿宋_GB2312" w:hAnsi="宋体" w:eastAsia="仿宋_GB2312"/>
          <w:color w:val="auto"/>
          <w:sz w:val="32"/>
          <w:szCs w:val="32"/>
          <w:lang w:val="zh-CN"/>
        </w:rPr>
        <w:t>技术的要求，有利于行业的长远发展，具有较强的实用性和可操作性。</w:t>
      </w:r>
    </w:p>
    <w:p>
      <w:pPr>
        <w:spacing w:before="156" w:beforeLines="50" w:after="156" w:afterLines="50" w:line="560" w:lineRule="exact"/>
        <w:ind w:firstLine="643" w:firstLineChars="200"/>
        <w:rPr>
          <w:rFonts w:ascii="楷体" w:hAnsi="楷体" w:eastAsia="楷体"/>
          <w:b/>
          <w:color w:val="auto"/>
          <w:sz w:val="32"/>
          <w:szCs w:val="32"/>
        </w:rPr>
      </w:pPr>
      <w:r>
        <w:rPr>
          <w:rFonts w:hint="eastAsia" w:ascii="楷体" w:hAnsi="楷体" w:eastAsia="楷体"/>
          <w:b/>
          <w:color w:val="auto"/>
          <w:sz w:val="32"/>
          <w:szCs w:val="32"/>
        </w:rPr>
        <w:t>（二）协调性原则</w:t>
      </w:r>
    </w:p>
    <w:p>
      <w:pPr>
        <w:spacing w:line="560" w:lineRule="exact"/>
        <w:ind w:firstLine="640" w:firstLineChars="200"/>
        <w:rPr>
          <w:rFonts w:ascii="仿宋_GB2312" w:hAnsi="宋体" w:eastAsia="仿宋_GB2312"/>
          <w:color w:val="auto"/>
          <w:sz w:val="32"/>
          <w:szCs w:val="32"/>
          <w:lang w:val="zh-CN"/>
        </w:rPr>
      </w:pPr>
      <w:r>
        <w:rPr>
          <w:rFonts w:hint="eastAsia" w:ascii="仿宋_GB2312" w:hAnsi="宋体" w:eastAsia="仿宋_GB2312"/>
          <w:color w:val="auto"/>
          <w:sz w:val="32"/>
          <w:szCs w:val="32"/>
          <w:lang w:val="zh-CN"/>
        </w:rPr>
        <w:t>本标准编写过程中注意了</w:t>
      </w:r>
      <w:r>
        <w:rPr>
          <w:rFonts w:hint="eastAsia" w:ascii="仿宋_GB2312" w:hAnsi="宋体" w:eastAsia="仿宋_GB2312"/>
          <w:color w:val="auto"/>
          <w:sz w:val="32"/>
          <w:szCs w:val="32"/>
        </w:rPr>
        <w:t>食用木薯块根质量综合评价</w:t>
      </w:r>
      <w:r>
        <w:rPr>
          <w:rFonts w:hint="eastAsia" w:ascii="仿宋_GB2312" w:hAnsi="宋体" w:eastAsia="仿宋_GB2312"/>
          <w:color w:val="auto"/>
          <w:sz w:val="32"/>
          <w:szCs w:val="32"/>
          <w:lang w:val="zh-CN"/>
        </w:rPr>
        <w:t>技术要求与相关法律法规的协调问题，在内容上与现行法律法规、标准协调一致。</w:t>
      </w:r>
    </w:p>
    <w:p>
      <w:pPr>
        <w:spacing w:before="156" w:beforeLines="50" w:after="156" w:afterLines="50" w:line="560" w:lineRule="exact"/>
        <w:ind w:firstLine="643" w:firstLineChars="200"/>
        <w:rPr>
          <w:rFonts w:ascii="楷体" w:hAnsi="楷体" w:eastAsia="楷体"/>
          <w:b/>
          <w:color w:val="auto"/>
          <w:sz w:val="32"/>
          <w:szCs w:val="32"/>
        </w:rPr>
      </w:pPr>
      <w:r>
        <w:rPr>
          <w:rFonts w:hint="eastAsia" w:ascii="楷体" w:hAnsi="楷体" w:eastAsia="楷体"/>
          <w:b/>
          <w:color w:val="auto"/>
          <w:sz w:val="32"/>
          <w:szCs w:val="32"/>
        </w:rPr>
        <w:t>（三）规范性原则</w:t>
      </w:r>
    </w:p>
    <w:p>
      <w:pPr>
        <w:spacing w:line="560" w:lineRule="exact"/>
        <w:ind w:firstLine="640" w:firstLineChars="200"/>
        <w:rPr>
          <w:rFonts w:ascii="仿宋_GB2312" w:hAnsi="宋体" w:eastAsia="仿宋_GB2312"/>
          <w:color w:val="auto"/>
          <w:sz w:val="32"/>
          <w:szCs w:val="32"/>
          <w:lang w:val="zh-CN"/>
        </w:rPr>
      </w:pPr>
      <w:r>
        <w:rPr>
          <w:rFonts w:hint="eastAsia" w:ascii="仿宋_GB2312" w:hAnsi="宋体" w:eastAsia="仿宋_GB2312"/>
          <w:color w:val="auto"/>
          <w:sz w:val="32"/>
          <w:szCs w:val="32"/>
          <w:lang w:val="zh-CN"/>
        </w:rPr>
        <w:t>本标准严格按照GB/T 1.1—2020《标准化工作导则 第1部分：标准的结构和编写》的要求和规定编写相关内容，保证标准的编写质量。</w:t>
      </w:r>
    </w:p>
    <w:p>
      <w:pPr>
        <w:spacing w:before="156" w:beforeLines="50" w:after="156" w:afterLines="50" w:line="560" w:lineRule="exact"/>
        <w:ind w:firstLine="643" w:firstLineChars="200"/>
        <w:rPr>
          <w:rFonts w:ascii="楷体" w:hAnsi="楷体" w:eastAsia="楷体"/>
          <w:b/>
          <w:color w:val="auto"/>
          <w:sz w:val="32"/>
          <w:szCs w:val="32"/>
        </w:rPr>
      </w:pPr>
      <w:r>
        <w:rPr>
          <w:rFonts w:hint="eastAsia" w:ascii="楷体" w:hAnsi="楷体" w:eastAsia="楷体"/>
          <w:b/>
          <w:color w:val="auto"/>
          <w:sz w:val="32"/>
          <w:szCs w:val="32"/>
        </w:rPr>
        <w:t>（四）前瞻性原则</w:t>
      </w:r>
    </w:p>
    <w:p>
      <w:pPr>
        <w:spacing w:line="560" w:lineRule="exact"/>
        <w:ind w:firstLine="640" w:firstLineChars="200"/>
        <w:rPr>
          <w:rFonts w:ascii="仿宋_GB2312" w:hAnsi="宋体" w:eastAsia="仿宋_GB2312"/>
          <w:color w:val="auto"/>
          <w:sz w:val="32"/>
          <w:szCs w:val="32"/>
        </w:rPr>
      </w:pPr>
      <w:r>
        <w:rPr>
          <w:rFonts w:hint="eastAsia" w:ascii="仿宋_GB2312" w:hAnsi="宋体" w:eastAsia="仿宋_GB2312"/>
          <w:color w:val="auto"/>
          <w:sz w:val="32"/>
          <w:szCs w:val="32"/>
        </w:rPr>
        <w:t>本标准兼顾当前区内食用木薯块根质量综合评价技术的同时，提出食用木薯块根农艺性状指标、食用型专用生理指标、鲜薯品质性状指标、加工特性指标共四级评价体系的评价方法，在标准中体现了个别特色性、前瞻性和先进性条款，作为对食用木薯块根质量综合评价技术的指导。</w:t>
      </w:r>
    </w:p>
    <w:p>
      <w:pPr>
        <w:autoSpaceDE w:val="0"/>
        <w:autoSpaceDN w:val="0"/>
        <w:adjustRightInd w:val="0"/>
        <w:spacing w:before="156" w:beforeLines="50" w:after="156" w:afterLines="50" w:line="560" w:lineRule="exact"/>
        <w:ind w:firstLine="640" w:firstLineChars="200"/>
        <w:jc w:val="left"/>
        <w:rPr>
          <w:rFonts w:ascii="黑体" w:hAnsi="黑体" w:eastAsia="黑体" w:cs="仿宋_GB2312"/>
          <w:color w:val="auto"/>
          <w:sz w:val="32"/>
          <w:szCs w:val="32"/>
        </w:rPr>
      </w:pPr>
      <w:r>
        <w:rPr>
          <w:rFonts w:hint="eastAsia" w:ascii="黑体" w:hAnsi="黑体" w:eastAsia="黑体" w:cs="仿宋_GB2312"/>
          <w:color w:val="auto"/>
          <w:sz w:val="32"/>
          <w:szCs w:val="32"/>
        </w:rPr>
        <w:t>五</w:t>
      </w:r>
      <w:r>
        <w:rPr>
          <w:rFonts w:ascii="黑体" w:hAnsi="黑体" w:eastAsia="黑体" w:cs="仿宋_GB2312"/>
          <w:color w:val="auto"/>
          <w:sz w:val="32"/>
          <w:szCs w:val="32"/>
        </w:rPr>
        <w:t>、</w:t>
      </w:r>
      <w:r>
        <w:rPr>
          <w:rFonts w:hint="eastAsia" w:ascii="黑体" w:hAnsi="黑体" w:eastAsia="黑体" w:cs="仿宋_GB2312"/>
          <w:color w:val="auto"/>
          <w:sz w:val="32"/>
          <w:szCs w:val="32"/>
        </w:rPr>
        <w:t>标准主要章节内容及确定依据</w:t>
      </w:r>
    </w:p>
    <w:p>
      <w:pPr>
        <w:spacing w:line="560" w:lineRule="exact"/>
        <w:ind w:firstLine="640" w:firstLineChars="200"/>
        <w:rPr>
          <w:rFonts w:ascii="仿宋_GB2312" w:hAnsi="宋体" w:eastAsia="仿宋_GB2312"/>
          <w:color w:val="auto"/>
          <w:sz w:val="32"/>
          <w:szCs w:val="32"/>
        </w:rPr>
      </w:pPr>
      <w:r>
        <w:rPr>
          <w:rFonts w:hint="eastAsia" w:ascii="仿宋_GB2312" w:hAnsi="宋体" w:eastAsia="仿宋_GB2312"/>
          <w:color w:val="auto"/>
          <w:sz w:val="32"/>
          <w:szCs w:val="32"/>
          <w:lang w:val="zh-CN"/>
        </w:rPr>
        <w:t>团体标准《食用木薯块根质量综合评价技术规程》主要内容包括</w:t>
      </w:r>
      <w:r>
        <w:rPr>
          <w:rFonts w:hint="eastAsia" w:ascii="仿宋_GB2312" w:hAnsi="宋体" w:eastAsia="仿宋_GB2312"/>
          <w:color w:val="auto"/>
          <w:sz w:val="32"/>
          <w:szCs w:val="32"/>
        </w:rPr>
        <w:t>术语和定义、评价</w:t>
      </w:r>
      <w:r>
        <w:rPr>
          <w:rFonts w:ascii="仿宋_GB2312" w:hAnsi="宋体" w:eastAsia="仿宋_GB2312"/>
          <w:color w:val="auto"/>
          <w:sz w:val="32"/>
          <w:szCs w:val="32"/>
        </w:rPr>
        <w:t>指标、评价方法</w:t>
      </w:r>
      <w:r>
        <w:rPr>
          <w:rFonts w:hint="eastAsia" w:ascii="仿宋_GB2312" w:hAnsi="宋体" w:eastAsia="仿宋_GB2312"/>
          <w:color w:val="auto"/>
          <w:sz w:val="32"/>
          <w:szCs w:val="32"/>
        </w:rPr>
        <w:t>、</w:t>
      </w:r>
      <w:r>
        <w:rPr>
          <w:rFonts w:ascii="仿宋_GB2312" w:hAnsi="宋体" w:eastAsia="仿宋_GB2312"/>
          <w:color w:val="auto"/>
          <w:sz w:val="32"/>
          <w:szCs w:val="32"/>
        </w:rPr>
        <w:t>评价规则</w:t>
      </w:r>
      <w:r>
        <w:rPr>
          <w:rFonts w:hint="eastAsia" w:ascii="仿宋_GB2312" w:hAnsi="宋体" w:eastAsia="仿宋_GB2312"/>
          <w:color w:val="auto"/>
          <w:sz w:val="32"/>
          <w:szCs w:val="32"/>
        </w:rPr>
        <w:t>。食用木薯块根质量的综合评价，</w:t>
      </w:r>
      <w:r>
        <w:rPr>
          <w:rFonts w:ascii="仿宋_GB2312" w:hAnsi="宋体" w:eastAsia="仿宋_GB2312"/>
          <w:color w:val="auto"/>
          <w:sz w:val="32"/>
          <w:szCs w:val="32"/>
        </w:rPr>
        <w:t>全面、</w:t>
      </w:r>
      <w:r>
        <w:rPr>
          <w:rFonts w:hint="eastAsia" w:ascii="仿宋_GB2312" w:hAnsi="宋体" w:eastAsia="仿宋_GB2312"/>
          <w:color w:val="auto"/>
          <w:sz w:val="32"/>
          <w:szCs w:val="32"/>
        </w:rPr>
        <w:t>客观</w:t>
      </w:r>
      <w:r>
        <w:rPr>
          <w:rFonts w:ascii="仿宋_GB2312" w:hAnsi="宋体" w:eastAsia="仿宋_GB2312"/>
          <w:color w:val="auto"/>
          <w:sz w:val="32"/>
          <w:szCs w:val="32"/>
        </w:rPr>
        <w:t>，</w:t>
      </w:r>
      <w:r>
        <w:rPr>
          <w:rFonts w:hint="eastAsia" w:ascii="仿宋_GB2312" w:hAnsi="宋体" w:eastAsia="仿宋_GB2312"/>
          <w:color w:val="auto"/>
          <w:sz w:val="32"/>
          <w:szCs w:val="32"/>
        </w:rPr>
        <w:t>对保障木薯块根质量、促进广西木薯产业化发展进程、加快我国木薯食品化开发利用具有重大意义。</w:t>
      </w:r>
    </w:p>
    <w:p>
      <w:pPr>
        <w:spacing w:before="156" w:beforeLines="50" w:after="156" w:afterLines="50" w:line="560" w:lineRule="exact"/>
        <w:ind w:firstLine="643" w:firstLineChars="200"/>
        <w:rPr>
          <w:rFonts w:ascii="楷体" w:hAnsi="楷体" w:eastAsia="楷体"/>
          <w:b/>
          <w:color w:val="auto"/>
          <w:sz w:val="32"/>
          <w:szCs w:val="32"/>
        </w:rPr>
      </w:pPr>
      <w:r>
        <w:rPr>
          <w:rFonts w:hint="eastAsia" w:ascii="楷体" w:hAnsi="楷体" w:eastAsia="楷体"/>
          <w:b/>
          <w:color w:val="auto"/>
          <w:sz w:val="32"/>
          <w:szCs w:val="32"/>
        </w:rPr>
        <w:t>（一）术语</w:t>
      </w:r>
      <w:r>
        <w:rPr>
          <w:rFonts w:ascii="楷体" w:hAnsi="楷体" w:eastAsia="楷体"/>
          <w:b/>
          <w:color w:val="auto"/>
          <w:sz w:val="32"/>
          <w:szCs w:val="32"/>
        </w:rPr>
        <w:t>和定义</w:t>
      </w:r>
    </w:p>
    <w:p>
      <w:pPr>
        <w:spacing w:line="560" w:lineRule="exact"/>
        <w:ind w:firstLine="643" w:firstLineChars="200"/>
        <w:rPr>
          <w:rFonts w:hint="eastAsia" w:ascii="仿宋_GB2312" w:hAnsi="宋体" w:eastAsia="仿宋_GB2312"/>
          <w:b/>
          <w:bCs/>
          <w:color w:val="auto"/>
          <w:sz w:val="32"/>
          <w:szCs w:val="32"/>
        </w:rPr>
      </w:pPr>
      <w:r>
        <w:rPr>
          <w:rFonts w:hint="eastAsia" w:ascii="仿宋_GB2312" w:hAnsi="宋体" w:eastAsia="仿宋_GB2312"/>
          <w:b/>
          <w:bCs/>
          <w:color w:val="auto"/>
          <w:sz w:val="32"/>
          <w:szCs w:val="32"/>
          <w:lang w:val="en-US" w:eastAsia="zh-CN"/>
        </w:rPr>
        <w:t>1.</w:t>
      </w:r>
      <w:r>
        <w:rPr>
          <w:rFonts w:hint="eastAsia" w:ascii="仿宋_GB2312" w:hAnsi="宋体" w:eastAsia="仿宋_GB2312"/>
          <w:b/>
          <w:bCs/>
          <w:color w:val="auto"/>
          <w:sz w:val="32"/>
          <w:szCs w:val="32"/>
        </w:rPr>
        <w:t>食用木薯</w:t>
      </w:r>
    </w:p>
    <w:p>
      <w:pPr>
        <w:spacing w:line="560" w:lineRule="exact"/>
        <w:ind w:firstLine="640" w:firstLineChars="200"/>
        <w:rPr>
          <w:rFonts w:ascii="仿宋_GB2312" w:hAnsi="宋体" w:eastAsia="仿宋_GB2312"/>
          <w:color w:val="auto"/>
          <w:sz w:val="32"/>
          <w:szCs w:val="32"/>
        </w:rPr>
      </w:pPr>
      <w:r>
        <w:rPr>
          <w:rFonts w:hint="eastAsia" w:ascii="仿宋_GB2312" w:hAnsi="宋体" w:eastAsia="仿宋_GB2312"/>
          <w:color w:val="auto"/>
          <w:sz w:val="32"/>
          <w:szCs w:val="32"/>
        </w:rPr>
        <w:t>主要依据</w:t>
      </w:r>
      <w:r>
        <w:rPr>
          <w:rFonts w:ascii="仿宋_GB2312" w:hAnsi="宋体" w:eastAsia="仿宋_GB2312"/>
          <w:color w:val="auto"/>
          <w:sz w:val="32"/>
          <w:szCs w:val="32"/>
        </w:rPr>
        <w:t>NY</w:t>
      </w:r>
      <w:r>
        <w:rPr>
          <w:rFonts w:hint="eastAsia" w:ascii="仿宋_GB2312" w:hAnsi="宋体" w:eastAsia="仿宋_GB2312"/>
          <w:color w:val="auto"/>
          <w:sz w:val="32"/>
          <w:szCs w:val="32"/>
        </w:rPr>
        <w:t>/T 1</w:t>
      </w:r>
      <w:r>
        <w:rPr>
          <w:rFonts w:ascii="仿宋_GB2312" w:hAnsi="宋体" w:eastAsia="仿宋_GB2312"/>
          <w:color w:val="auto"/>
          <w:sz w:val="32"/>
          <w:szCs w:val="32"/>
        </w:rPr>
        <w:t>520</w:t>
      </w:r>
      <w:r>
        <w:rPr>
          <w:rFonts w:hint="eastAsia" w:ascii="仿宋_GB2312" w:hAnsi="宋体" w:eastAsia="仿宋_GB2312"/>
          <w:color w:val="auto"/>
          <w:sz w:val="32"/>
          <w:szCs w:val="32"/>
        </w:rPr>
        <w:t>《木薯》的</w:t>
      </w:r>
      <w:r>
        <w:rPr>
          <w:rFonts w:ascii="仿宋_GB2312" w:hAnsi="宋体" w:eastAsia="仿宋_GB2312"/>
          <w:color w:val="auto"/>
          <w:sz w:val="32"/>
          <w:szCs w:val="32"/>
        </w:rPr>
        <w:t>定义</w:t>
      </w: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rPr>
        <w:t>作为</w:t>
      </w:r>
      <w:r>
        <w:rPr>
          <w:rFonts w:ascii="仿宋_GB2312" w:hAnsi="宋体" w:eastAsia="仿宋_GB2312"/>
          <w:color w:val="auto"/>
          <w:sz w:val="32"/>
          <w:szCs w:val="32"/>
        </w:rPr>
        <w:t>食物热能来源的</w:t>
      </w:r>
      <w:r>
        <w:rPr>
          <w:rFonts w:hint="eastAsia" w:ascii="仿宋_GB2312" w:hAnsi="宋体" w:eastAsia="仿宋_GB2312"/>
          <w:color w:val="auto"/>
          <w:sz w:val="32"/>
          <w:szCs w:val="32"/>
        </w:rPr>
        <w:t>鲜</w:t>
      </w:r>
      <w:r>
        <w:rPr>
          <w:rFonts w:ascii="仿宋_GB2312" w:hAnsi="宋体" w:eastAsia="仿宋_GB2312"/>
          <w:color w:val="auto"/>
          <w:sz w:val="32"/>
          <w:szCs w:val="32"/>
        </w:rPr>
        <w:t>木薯</w:t>
      </w:r>
      <w:r>
        <w:rPr>
          <w:rFonts w:hint="eastAsia" w:ascii="仿宋_GB2312" w:hAnsi="宋体" w:eastAsia="仿宋_GB2312"/>
          <w:color w:val="auto"/>
          <w:sz w:val="32"/>
          <w:szCs w:val="32"/>
        </w:rPr>
        <w:t>主要品种有华南6068、GR 891、面包木薯.蛋黄木薯等</w:t>
      </w:r>
      <w:r>
        <w:rPr>
          <w:rFonts w:hint="eastAsia" w:ascii="仿宋_GB2312" w:hAnsi="宋体" w:eastAsia="仿宋_GB2312"/>
          <w:color w:val="auto"/>
          <w:sz w:val="32"/>
          <w:szCs w:val="32"/>
          <w:lang w:val="en-US" w:eastAsia="zh-CN"/>
        </w:rPr>
        <w:t>,</w:t>
      </w:r>
      <w:r>
        <w:rPr>
          <w:rFonts w:hint="eastAsia" w:ascii="仿宋_GB2312" w:hAnsi="宋体" w:eastAsia="仿宋_GB2312"/>
          <w:color w:val="auto"/>
          <w:sz w:val="32"/>
          <w:szCs w:val="32"/>
        </w:rPr>
        <w:t>结合</w:t>
      </w:r>
      <w:r>
        <w:rPr>
          <w:rFonts w:hint="eastAsia" w:ascii="仿宋_GB2312" w:hAnsi="宋体" w:eastAsia="仿宋_GB2312"/>
          <w:color w:val="auto"/>
          <w:sz w:val="32"/>
          <w:szCs w:val="32"/>
          <w:lang w:val="en-US" w:eastAsia="zh-CN"/>
        </w:rPr>
        <w:t>广西</w:t>
      </w:r>
      <w:r>
        <w:rPr>
          <w:rFonts w:ascii="仿宋_GB2312" w:hAnsi="宋体" w:eastAsia="仿宋_GB2312"/>
          <w:color w:val="auto"/>
          <w:sz w:val="32"/>
          <w:szCs w:val="32"/>
        </w:rPr>
        <w:t>食用木薯</w:t>
      </w:r>
      <w:r>
        <w:rPr>
          <w:rFonts w:hint="eastAsia" w:ascii="仿宋_GB2312" w:hAnsi="宋体" w:eastAsia="仿宋_GB2312"/>
          <w:color w:val="auto"/>
          <w:sz w:val="32"/>
          <w:szCs w:val="32"/>
        </w:rPr>
        <w:t>的</w:t>
      </w:r>
      <w:r>
        <w:rPr>
          <w:rFonts w:ascii="仿宋_GB2312" w:hAnsi="宋体" w:eastAsia="仿宋_GB2312"/>
          <w:color w:val="auto"/>
          <w:sz w:val="32"/>
          <w:szCs w:val="32"/>
        </w:rPr>
        <w:t>特</w:t>
      </w:r>
      <w:r>
        <w:rPr>
          <w:rFonts w:hint="eastAsia" w:ascii="仿宋_GB2312" w:hAnsi="宋体" w:eastAsia="仿宋_GB2312"/>
          <w:color w:val="auto"/>
          <w:sz w:val="32"/>
          <w:szCs w:val="32"/>
        </w:rPr>
        <w:t>点</w:t>
      </w:r>
      <w:r>
        <w:rPr>
          <w:rFonts w:hint="eastAsia" w:ascii="仿宋_GB2312" w:hAnsi="宋体" w:eastAsia="仿宋_GB2312"/>
          <w:color w:val="auto"/>
          <w:sz w:val="32"/>
          <w:szCs w:val="32"/>
          <w:lang w:val="en-US" w:eastAsia="zh-CN"/>
        </w:rPr>
        <w:t>及栽培实际</w:t>
      </w:r>
      <w:r>
        <w:rPr>
          <w:rFonts w:ascii="仿宋_GB2312" w:hAnsi="宋体" w:eastAsia="仿宋_GB2312"/>
          <w:color w:val="auto"/>
          <w:sz w:val="32"/>
          <w:szCs w:val="32"/>
        </w:rPr>
        <w:t>进行修改，</w:t>
      </w:r>
      <w:r>
        <w:rPr>
          <w:rFonts w:hint="eastAsia" w:ascii="仿宋_GB2312" w:hAnsi="宋体" w:eastAsia="仿宋_GB2312"/>
          <w:color w:val="auto"/>
          <w:sz w:val="32"/>
          <w:szCs w:val="32"/>
        </w:rPr>
        <w:t>主要品种</w:t>
      </w:r>
      <w:r>
        <w:rPr>
          <w:rFonts w:ascii="仿宋_GB2312" w:hAnsi="宋体" w:eastAsia="仿宋_GB2312"/>
          <w:color w:val="auto"/>
          <w:sz w:val="32"/>
          <w:szCs w:val="32"/>
        </w:rPr>
        <w:t>有</w:t>
      </w:r>
      <w:r>
        <w:rPr>
          <w:rFonts w:hint="eastAsia" w:ascii="仿宋_GB2312" w:hAnsi="宋体" w:eastAsia="仿宋_GB2312"/>
          <w:color w:val="auto"/>
          <w:sz w:val="32"/>
          <w:szCs w:val="32"/>
        </w:rPr>
        <w:t>华南9号、南植199、GR891、桂木薯8号、桂木薯9号等</w:t>
      </w: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lang w:val="en-US" w:eastAsia="zh-CN"/>
        </w:rPr>
        <w:t>这几个品种是广西主栽品种</w:t>
      </w:r>
      <w:r>
        <w:rPr>
          <w:rFonts w:ascii="仿宋_GB2312" w:hAnsi="宋体" w:eastAsia="仿宋_GB2312"/>
          <w:color w:val="auto"/>
          <w:sz w:val="32"/>
          <w:szCs w:val="32"/>
        </w:rPr>
        <w:t>。</w:t>
      </w:r>
      <w:r>
        <w:rPr>
          <w:rFonts w:hint="eastAsia" w:ascii="仿宋_GB2312" w:hAnsi="宋体" w:eastAsia="仿宋_GB2312"/>
          <w:color w:val="auto"/>
          <w:sz w:val="32"/>
          <w:szCs w:val="32"/>
          <w:lang w:val="en-US" w:eastAsia="zh-CN"/>
        </w:rPr>
        <w:t>另外对</w:t>
      </w:r>
      <w:r>
        <w:rPr>
          <w:rFonts w:ascii="仿宋_GB2312" w:hAnsi="宋体" w:eastAsia="仿宋_GB2312"/>
          <w:color w:val="auto"/>
          <w:sz w:val="32"/>
          <w:szCs w:val="32"/>
        </w:rPr>
        <w:t>HCN含量</w:t>
      </w:r>
      <w:r>
        <w:rPr>
          <w:rFonts w:hint="eastAsia" w:ascii="仿宋_GB2312" w:hAnsi="宋体" w:eastAsia="仿宋_GB2312"/>
          <w:color w:val="auto"/>
          <w:sz w:val="32"/>
          <w:szCs w:val="32"/>
          <w:lang w:val="en-US" w:eastAsia="zh-CN"/>
        </w:rPr>
        <w:t>进行界定，</w:t>
      </w:r>
      <w:r>
        <w:rPr>
          <w:rFonts w:ascii="仿宋_GB2312" w:hAnsi="宋体" w:eastAsia="仿宋_GB2312"/>
          <w:color w:val="auto"/>
          <w:sz w:val="32"/>
          <w:szCs w:val="32"/>
        </w:rPr>
        <w:t>木薯鲜薯HCN含量因品种不同而有较大差异，当HCN含量低于50 mg/kg时，不用泡水即可食用，口感也较好。国际上将鲜薯HCN含量低于50 mg/kg的木薯称为甜木薯，即食用木薯</w:t>
      </w:r>
      <w:r>
        <w:rPr>
          <w:rFonts w:hint="eastAsia" w:ascii="仿宋_GB2312" w:hAnsi="宋体" w:eastAsia="仿宋_GB2312"/>
          <w:color w:val="auto"/>
          <w:sz w:val="32"/>
          <w:szCs w:val="32"/>
        </w:rPr>
        <w:t>。由此确定木薯</w:t>
      </w:r>
      <w:r>
        <w:rPr>
          <w:rFonts w:ascii="仿宋_GB2312" w:hAnsi="宋体" w:eastAsia="仿宋_GB2312"/>
          <w:color w:val="auto"/>
          <w:sz w:val="32"/>
          <w:szCs w:val="32"/>
        </w:rPr>
        <w:t>中</w:t>
      </w:r>
      <w:r>
        <w:rPr>
          <w:rFonts w:hint="eastAsia" w:ascii="仿宋_GB2312" w:hAnsi="宋体" w:eastAsia="仿宋_GB2312"/>
          <w:color w:val="auto"/>
          <w:sz w:val="32"/>
          <w:szCs w:val="32"/>
        </w:rPr>
        <w:t>HCN的含量</w:t>
      </w:r>
      <w:r>
        <w:rPr>
          <w:rFonts w:ascii="仿宋_GB2312" w:hAnsi="宋体" w:eastAsia="仿宋_GB2312"/>
          <w:color w:val="auto"/>
          <w:sz w:val="32"/>
          <w:szCs w:val="32"/>
        </w:rPr>
        <w:t>应小于</w:t>
      </w:r>
      <w:r>
        <w:rPr>
          <w:rFonts w:hint="eastAsia" w:ascii="仿宋_GB2312" w:hAnsi="宋体" w:eastAsia="仿宋_GB2312"/>
          <w:color w:val="auto"/>
          <w:sz w:val="32"/>
          <w:szCs w:val="32"/>
        </w:rPr>
        <w:t>50</w:t>
      </w:r>
      <w:r>
        <w:rPr>
          <w:rFonts w:ascii="仿宋_GB2312" w:hAnsi="宋体" w:eastAsia="仿宋_GB2312"/>
          <w:color w:val="auto"/>
          <w:sz w:val="32"/>
          <w:szCs w:val="32"/>
        </w:rPr>
        <w:t xml:space="preserve"> </w:t>
      </w:r>
      <w:r>
        <w:rPr>
          <w:rFonts w:hint="eastAsia" w:ascii="仿宋_GB2312" w:hAnsi="宋体" w:eastAsia="仿宋_GB2312"/>
          <w:color w:val="auto"/>
          <w:sz w:val="32"/>
          <w:szCs w:val="32"/>
        </w:rPr>
        <w:t>mg/kg。</w:t>
      </w:r>
    </w:p>
    <w:p>
      <w:pPr>
        <w:spacing w:line="560" w:lineRule="exact"/>
        <w:ind w:firstLine="643" w:firstLineChars="200"/>
        <w:rPr>
          <w:rFonts w:ascii="仿宋_GB2312" w:hAnsi="宋体" w:eastAsia="仿宋_GB2312"/>
          <w:b/>
          <w:bCs/>
          <w:color w:val="auto"/>
          <w:sz w:val="32"/>
          <w:szCs w:val="32"/>
        </w:rPr>
      </w:pPr>
      <w:r>
        <w:rPr>
          <w:rFonts w:hint="eastAsia" w:ascii="仿宋_GB2312" w:hAnsi="宋体" w:eastAsia="仿宋_GB2312"/>
          <w:b/>
          <w:bCs/>
          <w:color w:val="auto"/>
          <w:sz w:val="32"/>
          <w:szCs w:val="32"/>
          <w:lang w:val="en-US" w:eastAsia="zh-CN"/>
        </w:rPr>
        <w:t>2.</w:t>
      </w:r>
      <w:r>
        <w:rPr>
          <w:rFonts w:hint="eastAsia" w:ascii="仿宋_GB2312" w:hAnsi="宋体" w:eastAsia="仿宋_GB2312"/>
          <w:b/>
          <w:bCs/>
          <w:color w:val="auto"/>
          <w:sz w:val="32"/>
          <w:szCs w:val="32"/>
        </w:rPr>
        <w:t>农艺</w:t>
      </w:r>
      <w:r>
        <w:rPr>
          <w:rFonts w:ascii="仿宋_GB2312" w:hAnsi="宋体" w:eastAsia="仿宋_GB2312"/>
          <w:b/>
          <w:bCs/>
          <w:color w:val="auto"/>
          <w:sz w:val="32"/>
          <w:szCs w:val="32"/>
        </w:rPr>
        <w:t>性状</w:t>
      </w:r>
    </w:p>
    <w:p>
      <w:pPr>
        <w:spacing w:line="560" w:lineRule="exact"/>
        <w:ind w:firstLine="640" w:firstLineChars="200"/>
        <w:rPr>
          <w:rFonts w:ascii="仿宋_GB2312" w:hAnsi="宋体" w:eastAsia="仿宋_GB2312"/>
          <w:color w:val="auto"/>
          <w:sz w:val="32"/>
          <w:szCs w:val="32"/>
        </w:rPr>
      </w:pPr>
      <w:r>
        <w:rPr>
          <w:rFonts w:hint="eastAsia" w:ascii="仿宋_GB2312" w:hAnsi="宋体" w:eastAsia="仿宋_GB2312"/>
          <w:color w:val="auto"/>
          <w:sz w:val="32"/>
          <w:szCs w:val="32"/>
        </w:rPr>
        <w:t>主要依据</w:t>
      </w:r>
      <w:r>
        <w:rPr>
          <w:rFonts w:hint="eastAsia" w:ascii="仿宋_GB2312" w:hAnsi="宋体" w:eastAsia="仿宋_GB2312"/>
          <w:color w:val="auto"/>
          <w:sz w:val="32"/>
          <w:szCs w:val="32"/>
          <w:lang w:val="zh-CN"/>
        </w:rPr>
        <w:t>YC/T 142《烟草农艺性状调查测量方法》</w:t>
      </w:r>
      <w:r>
        <w:rPr>
          <w:rFonts w:hint="eastAsia" w:ascii="仿宋_GB2312" w:hAnsi="宋体" w:eastAsia="仿宋_GB2312"/>
          <w:color w:val="auto"/>
          <w:sz w:val="32"/>
          <w:szCs w:val="32"/>
          <w:lang w:val="en-US" w:eastAsia="zh-CN"/>
        </w:rPr>
        <w:t>的要求修改确定</w:t>
      </w:r>
      <w:r>
        <w:rPr>
          <w:rFonts w:ascii="仿宋_GB2312" w:hAnsi="宋体" w:eastAsia="仿宋_GB2312"/>
          <w:color w:val="auto"/>
          <w:sz w:val="32"/>
          <w:szCs w:val="32"/>
        </w:rPr>
        <w:t>。</w:t>
      </w:r>
    </w:p>
    <w:p>
      <w:pPr>
        <w:spacing w:line="560" w:lineRule="exact"/>
        <w:ind w:firstLine="643" w:firstLineChars="200"/>
        <w:rPr>
          <w:rFonts w:hint="eastAsia" w:ascii="仿宋_GB2312" w:hAnsi="宋体" w:eastAsia="仿宋_GB2312"/>
          <w:b/>
          <w:bCs/>
          <w:color w:val="auto"/>
          <w:sz w:val="32"/>
          <w:szCs w:val="32"/>
        </w:rPr>
      </w:pPr>
      <w:r>
        <w:rPr>
          <w:rFonts w:hint="eastAsia" w:ascii="仿宋_GB2312" w:hAnsi="宋体" w:eastAsia="仿宋_GB2312"/>
          <w:b/>
          <w:bCs/>
          <w:color w:val="auto"/>
          <w:sz w:val="32"/>
          <w:szCs w:val="32"/>
          <w:lang w:val="en-US" w:eastAsia="zh-CN"/>
        </w:rPr>
        <w:t>3.</w:t>
      </w:r>
      <w:r>
        <w:rPr>
          <w:rFonts w:hint="eastAsia" w:ascii="仿宋_GB2312" w:hAnsi="宋体" w:eastAsia="仿宋_GB2312"/>
          <w:b/>
          <w:bCs/>
          <w:color w:val="auto"/>
          <w:sz w:val="32"/>
          <w:szCs w:val="32"/>
        </w:rPr>
        <w:t>机械损伤</w:t>
      </w:r>
    </w:p>
    <w:p>
      <w:pPr>
        <w:spacing w:line="560" w:lineRule="exact"/>
        <w:ind w:firstLine="640" w:firstLineChars="200"/>
        <w:rPr>
          <w:rFonts w:hint="eastAsia" w:ascii="仿宋_GB2312" w:hAnsi="宋体" w:eastAsia="仿宋_GB2312"/>
          <w:color w:val="auto"/>
          <w:sz w:val="32"/>
          <w:szCs w:val="32"/>
        </w:rPr>
      </w:pPr>
      <w:r>
        <w:rPr>
          <w:rFonts w:ascii="仿宋_GB2312" w:hAnsi="宋体" w:eastAsia="仿宋_GB2312"/>
          <w:color w:val="auto"/>
          <w:sz w:val="32"/>
          <w:szCs w:val="32"/>
        </w:rPr>
        <w:t>主要依据NY</w:t>
      </w:r>
      <w:r>
        <w:rPr>
          <w:rFonts w:hint="eastAsia" w:ascii="仿宋_GB2312" w:hAnsi="宋体" w:eastAsia="仿宋_GB2312"/>
          <w:color w:val="auto"/>
          <w:sz w:val="32"/>
          <w:szCs w:val="32"/>
        </w:rPr>
        <w:t>/T 1</w:t>
      </w:r>
      <w:r>
        <w:rPr>
          <w:rFonts w:ascii="仿宋_GB2312" w:hAnsi="宋体" w:eastAsia="仿宋_GB2312"/>
          <w:color w:val="auto"/>
          <w:sz w:val="32"/>
          <w:szCs w:val="32"/>
        </w:rPr>
        <w:t>520</w:t>
      </w:r>
      <w:r>
        <w:rPr>
          <w:rFonts w:hint="eastAsia" w:ascii="仿宋_GB2312" w:hAnsi="宋体" w:eastAsia="仿宋_GB2312"/>
          <w:color w:val="auto"/>
          <w:sz w:val="32"/>
          <w:szCs w:val="32"/>
        </w:rPr>
        <w:t>的</w:t>
      </w:r>
      <w:r>
        <w:rPr>
          <w:rFonts w:ascii="仿宋_GB2312" w:hAnsi="宋体" w:eastAsia="仿宋_GB2312"/>
          <w:color w:val="auto"/>
          <w:sz w:val="32"/>
          <w:szCs w:val="32"/>
        </w:rPr>
        <w:t>定义</w:t>
      </w:r>
      <w:r>
        <w:rPr>
          <w:rFonts w:hint="eastAsia" w:ascii="仿宋_GB2312" w:hAnsi="宋体" w:eastAsia="仿宋_GB2312"/>
          <w:color w:val="auto"/>
          <w:sz w:val="32"/>
          <w:szCs w:val="32"/>
          <w:lang w:val="en-US" w:eastAsia="zh-CN"/>
        </w:rPr>
        <w:t>进行确定</w:t>
      </w:r>
      <w:r>
        <w:rPr>
          <w:rFonts w:hint="eastAsia" w:ascii="仿宋_GB2312" w:hAnsi="宋体" w:eastAsia="仿宋_GB2312"/>
          <w:color w:val="auto"/>
          <w:sz w:val="32"/>
          <w:szCs w:val="32"/>
        </w:rPr>
        <w:t>。</w:t>
      </w:r>
    </w:p>
    <w:p>
      <w:pPr>
        <w:spacing w:line="560" w:lineRule="exact"/>
        <w:ind w:firstLine="643" w:firstLineChars="200"/>
        <w:rPr>
          <w:rFonts w:hint="eastAsia" w:ascii="仿宋_GB2312" w:hAnsi="宋体" w:eastAsia="仿宋_GB2312"/>
          <w:b/>
          <w:bCs/>
          <w:color w:val="auto"/>
          <w:sz w:val="32"/>
          <w:szCs w:val="32"/>
        </w:rPr>
      </w:pPr>
      <w:r>
        <w:rPr>
          <w:rFonts w:hint="eastAsia" w:ascii="仿宋_GB2312" w:hAnsi="宋体" w:eastAsia="仿宋_GB2312"/>
          <w:b/>
          <w:bCs/>
          <w:color w:val="auto"/>
          <w:sz w:val="32"/>
          <w:szCs w:val="32"/>
          <w:lang w:val="en-US" w:eastAsia="zh-CN"/>
        </w:rPr>
        <w:t>4.</w:t>
      </w:r>
      <w:r>
        <w:rPr>
          <w:rFonts w:hint="eastAsia" w:ascii="仿宋_GB2312" w:hAnsi="宋体" w:eastAsia="仿宋_GB2312"/>
          <w:b/>
          <w:bCs/>
          <w:color w:val="auto"/>
          <w:sz w:val="32"/>
          <w:szCs w:val="32"/>
        </w:rPr>
        <w:t>木薯全粉</w:t>
      </w:r>
    </w:p>
    <w:p>
      <w:pPr>
        <w:spacing w:line="560" w:lineRule="exact"/>
        <w:ind w:firstLine="640" w:firstLineChars="200"/>
        <w:rPr>
          <w:rFonts w:ascii="仿宋_GB2312" w:hAnsi="宋体" w:eastAsia="仿宋_GB2312"/>
          <w:color w:val="auto"/>
          <w:sz w:val="32"/>
          <w:szCs w:val="32"/>
        </w:rPr>
      </w:pPr>
      <w:r>
        <w:rPr>
          <w:rFonts w:ascii="仿宋_GB2312" w:hAnsi="宋体" w:eastAsia="仿宋_GB2312"/>
          <w:color w:val="auto"/>
          <w:sz w:val="32"/>
          <w:szCs w:val="32"/>
        </w:rPr>
        <w:t>依据</w:t>
      </w:r>
      <w:r>
        <w:rPr>
          <w:rFonts w:hint="eastAsia" w:ascii="仿宋_GB2312" w:hAnsi="宋体" w:eastAsia="仿宋_GB2312"/>
          <w:color w:val="auto"/>
          <w:sz w:val="32"/>
          <w:szCs w:val="32"/>
        </w:rPr>
        <w:t>DBS</w:t>
      </w:r>
      <w:r>
        <w:rPr>
          <w:rFonts w:ascii="仿宋_GB2312" w:hAnsi="宋体" w:eastAsia="仿宋_GB2312"/>
          <w:color w:val="auto"/>
          <w:sz w:val="32"/>
          <w:szCs w:val="32"/>
        </w:rPr>
        <w:t xml:space="preserve"> </w:t>
      </w:r>
      <w:r>
        <w:rPr>
          <w:rFonts w:hint="eastAsia" w:ascii="仿宋_GB2312" w:hAnsi="宋体" w:eastAsia="仿宋_GB2312"/>
          <w:color w:val="auto"/>
          <w:sz w:val="32"/>
          <w:szCs w:val="32"/>
        </w:rPr>
        <w:t>45</w:t>
      </w:r>
      <w:r>
        <w:rPr>
          <w:rFonts w:ascii="仿宋_GB2312" w:hAnsi="宋体" w:eastAsia="仿宋_GB2312"/>
          <w:color w:val="auto"/>
          <w:sz w:val="32"/>
          <w:szCs w:val="32"/>
        </w:rPr>
        <w:t>/041</w:t>
      </w:r>
      <w:r>
        <w:rPr>
          <w:rFonts w:hint="eastAsia" w:ascii="仿宋_GB2312" w:hAnsi="宋体" w:eastAsia="仿宋_GB2312"/>
          <w:color w:val="auto"/>
          <w:sz w:val="32"/>
          <w:szCs w:val="32"/>
        </w:rPr>
        <w:t>中的</w:t>
      </w:r>
      <w:r>
        <w:rPr>
          <w:rFonts w:ascii="仿宋_GB2312" w:hAnsi="宋体" w:eastAsia="仿宋_GB2312"/>
          <w:color w:val="auto"/>
          <w:sz w:val="32"/>
          <w:szCs w:val="32"/>
        </w:rPr>
        <w:t>定义进行确定，</w:t>
      </w:r>
      <w:r>
        <w:rPr>
          <w:rFonts w:hint="eastAsia" w:ascii="仿宋_GB2312" w:hAnsi="宋体" w:eastAsia="仿宋_GB2312"/>
          <w:color w:val="auto"/>
          <w:sz w:val="32"/>
          <w:szCs w:val="32"/>
        </w:rPr>
        <w:t>是以鲜木薯为原料，经清洗、去皮、锉磨（或干木薯经浸泡、磨粉）、脱水、干燥、过筛、包装等工艺加工制成的非即食木薯全粉。</w:t>
      </w:r>
    </w:p>
    <w:p>
      <w:pPr>
        <w:spacing w:before="156" w:beforeLines="50" w:after="156" w:afterLines="50" w:line="560" w:lineRule="exact"/>
        <w:ind w:firstLine="643" w:firstLineChars="200"/>
        <w:rPr>
          <w:rFonts w:ascii="楷体" w:hAnsi="楷体" w:eastAsia="楷体"/>
          <w:b/>
          <w:color w:val="auto"/>
          <w:sz w:val="32"/>
          <w:szCs w:val="32"/>
        </w:rPr>
      </w:pPr>
      <w:r>
        <w:rPr>
          <w:rFonts w:hint="eastAsia" w:ascii="楷体" w:hAnsi="楷体" w:eastAsia="楷体"/>
          <w:b/>
          <w:color w:val="auto"/>
          <w:sz w:val="32"/>
          <w:szCs w:val="32"/>
        </w:rPr>
        <w:t>（二）评价指标</w:t>
      </w:r>
    </w:p>
    <w:p>
      <w:pPr>
        <w:spacing w:line="560" w:lineRule="exact"/>
        <w:ind w:firstLine="640" w:firstLineChars="200"/>
        <w:rPr>
          <w:rFonts w:ascii="仿宋_GB2312" w:hAnsi="宋体" w:eastAsia="仿宋_GB2312"/>
          <w:color w:val="auto"/>
          <w:sz w:val="32"/>
          <w:szCs w:val="32"/>
        </w:rPr>
      </w:pPr>
      <w:r>
        <w:rPr>
          <w:rFonts w:ascii="仿宋_GB2312" w:hAnsi="宋体" w:eastAsia="仿宋_GB2312"/>
          <w:color w:val="auto"/>
          <w:sz w:val="32"/>
          <w:szCs w:val="32"/>
        </w:rPr>
        <w:t>主要包括</w:t>
      </w:r>
      <w:r>
        <w:rPr>
          <w:rFonts w:hint="eastAsia" w:ascii="仿宋_GB2312" w:hAnsi="宋体" w:eastAsia="仿宋_GB2312"/>
          <w:color w:val="auto"/>
          <w:sz w:val="32"/>
          <w:szCs w:val="32"/>
        </w:rPr>
        <w:t>农艺性状指标</w:t>
      </w:r>
      <w:r>
        <w:rPr>
          <w:rFonts w:hint="eastAsia" w:ascii="仿宋_GB2312" w:hAnsi="宋体" w:eastAsia="仿宋_GB2312"/>
          <w:color w:val="auto"/>
          <w:sz w:val="32"/>
          <w:szCs w:val="32"/>
          <w:lang w:eastAsia="zh-CN"/>
        </w:rPr>
        <w:t>、</w:t>
      </w:r>
      <w:r>
        <w:rPr>
          <w:rFonts w:ascii="仿宋_GB2312" w:hAnsi="宋体" w:eastAsia="仿宋_GB2312"/>
          <w:color w:val="auto"/>
          <w:sz w:val="32"/>
          <w:szCs w:val="32"/>
        </w:rPr>
        <w:t>加工特性指标</w:t>
      </w:r>
      <w:r>
        <w:rPr>
          <w:rFonts w:hint="eastAsia" w:ascii="仿宋_GB2312" w:hAnsi="宋体" w:eastAsia="仿宋_GB2312"/>
          <w:color w:val="auto"/>
          <w:sz w:val="32"/>
          <w:szCs w:val="32"/>
          <w:lang w:val="en-US" w:eastAsia="zh-CN"/>
        </w:rPr>
        <w:t>两</w:t>
      </w:r>
      <w:r>
        <w:rPr>
          <w:rFonts w:ascii="仿宋_GB2312" w:hAnsi="宋体" w:eastAsia="仿宋_GB2312"/>
          <w:color w:val="auto"/>
          <w:sz w:val="32"/>
          <w:szCs w:val="32"/>
        </w:rPr>
        <w:t>个方面，对木薯块根进行综合评价。</w:t>
      </w:r>
    </w:p>
    <w:p>
      <w:pPr>
        <w:spacing w:line="560" w:lineRule="exact"/>
        <w:ind w:firstLine="643" w:firstLineChars="200"/>
        <w:rPr>
          <w:rFonts w:hint="eastAsia" w:ascii="仿宋_GB2312" w:hAnsi="宋体" w:eastAsia="仿宋_GB2312"/>
          <w:b/>
          <w:color w:val="auto"/>
          <w:sz w:val="32"/>
          <w:szCs w:val="32"/>
        </w:rPr>
      </w:pPr>
      <w:r>
        <w:rPr>
          <w:rFonts w:hint="eastAsia" w:ascii="仿宋_GB2312" w:hAnsi="宋体" w:eastAsia="仿宋_GB2312"/>
          <w:b/>
          <w:color w:val="auto"/>
          <w:sz w:val="32"/>
          <w:szCs w:val="32"/>
          <w:lang w:val="en-US" w:eastAsia="zh-CN"/>
        </w:rPr>
        <w:t>1.</w:t>
      </w:r>
      <w:r>
        <w:rPr>
          <w:rFonts w:hint="eastAsia" w:ascii="仿宋_GB2312" w:hAnsi="宋体" w:eastAsia="仿宋_GB2312"/>
          <w:b/>
          <w:color w:val="auto"/>
          <w:sz w:val="32"/>
          <w:szCs w:val="32"/>
        </w:rPr>
        <w:t>农艺性状指标</w:t>
      </w:r>
    </w:p>
    <w:p>
      <w:pPr>
        <w:spacing w:line="560" w:lineRule="exact"/>
        <w:ind w:firstLine="640" w:firstLineChars="200"/>
        <w:rPr>
          <w:rFonts w:ascii="仿宋_GB2312" w:hAnsi="宋体" w:eastAsia="仿宋_GB2312"/>
          <w:color w:val="auto"/>
          <w:sz w:val="32"/>
          <w:szCs w:val="32"/>
        </w:rPr>
      </w:pPr>
      <w:r>
        <w:rPr>
          <w:rFonts w:ascii="仿宋_GB2312" w:hAnsi="宋体" w:eastAsia="仿宋_GB2312"/>
          <w:color w:val="auto"/>
          <w:sz w:val="32"/>
          <w:szCs w:val="32"/>
        </w:rPr>
        <w:t>主要依据</w:t>
      </w:r>
      <w:r>
        <w:rPr>
          <w:rFonts w:hint="eastAsia" w:ascii="仿宋_GB2312" w:hAnsi="宋体" w:eastAsia="仿宋_GB2312"/>
          <w:color w:val="auto"/>
          <w:sz w:val="32"/>
          <w:szCs w:val="32"/>
        </w:rPr>
        <w:t>广西壮族自治区农业科学院经济作物研究所多年的研究</w:t>
      </w:r>
      <w:r>
        <w:rPr>
          <w:rFonts w:ascii="仿宋_GB2312" w:hAnsi="宋体" w:eastAsia="仿宋_GB2312"/>
          <w:color w:val="auto"/>
          <w:sz w:val="32"/>
          <w:szCs w:val="32"/>
        </w:rPr>
        <w:t>经验确定，对木薯块根的商品数率、</w:t>
      </w:r>
      <w:r>
        <w:rPr>
          <w:rFonts w:hint="eastAsia" w:ascii="仿宋_GB2312" w:hAnsi="宋体" w:eastAsia="仿宋_GB2312"/>
          <w:color w:val="auto"/>
          <w:sz w:val="32"/>
          <w:szCs w:val="32"/>
        </w:rPr>
        <w:t>机械损伤</w:t>
      </w:r>
      <w:r>
        <w:rPr>
          <w:rFonts w:ascii="仿宋_GB2312" w:hAnsi="宋体" w:eastAsia="仿宋_GB2312"/>
          <w:color w:val="auto"/>
          <w:sz w:val="32"/>
          <w:szCs w:val="32"/>
        </w:rPr>
        <w:t>、颜色、气味、</w:t>
      </w:r>
      <w:r>
        <w:rPr>
          <w:rFonts w:hint="eastAsia" w:ascii="仿宋_GB2312" w:hAnsi="宋体" w:eastAsia="仿宋_GB2312"/>
          <w:color w:val="auto"/>
          <w:sz w:val="32"/>
          <w:szCs w:val="32"/>
        </w:rPr>
        <w:t>冻害</w:t>
      </w:r>
      <w:r>
        <w:rPr>
          <w:rFonts w:ascii="仿宋_GB2312" w:hAnsi="宋体" w:eastAsia="仿宋_GB2312"/>
          <w:color w:val="auto"/>
          <w:sz w:val="32"/>
          <w:szCs w:val="32"/>
        </w:rPr>
        <w:t>、霉烂、</w:t>
      </w:r>
      <w:r>
        <w:rPr>
          <w:rFonts w:hint="eastAsia" w:ascii="仿宋_GB2312" w:hAnsi="宋体" w:eastAsia="仿宋_GB2312"/>
          <w:color w:val="auto"/>
          <w:sz w:val="32"/>
          <w:szCs w:val="32"/>
        </w:rPr>
        <w:t>变质</w:t>
      </w:r>
      <w:r>
        <w:rPr>
          <w:rFonts w:ascii="仿宋_GB2312" w:hAnsi="宋体" w:eastAsia="仿宋_GB2312"/>
          <w:color w:val="auto"/>
          <w:sz w:val="32"/>
          <w:szCs w:val="32"/>
        </w:rPr>
        <w:t>、病虫害、薯型、结薯集中度</w:t>
      </w:r>
      <w:r>
        <w:rPr>
          <w:rFonts w:hint="eastAsia" w:ascii="仿宋_GB2312" w:hAnsi="宋体" w:eastAsia="仿宋_GB2312"/>
          <w:color w:val="auto"/>
          <w:sz w:val="32"/>
          <w:szCs w:val="32"/>
        </w:rPr>
        <w:t>、</w:t>
      </w:r>
      <w:r>
        <w:rPr>
          <w:rFonts w:ascii="仿宋_GB2312" w:hAnsi="宋体" w:eastAsia="仿宋_GB2312"/>
          <w:color w:val="auto"/>
          <w:sz w:val="32"/>
          <w:szCs w:val="32"/>
        </w:rPr>
        <w:t>结薯分布情况进行评价。</w:t>
      </w:r>
      <w:r>
        <w:rPr>
          <w:rFonts w:hint="eastAsia" w:ascii="仿宋_GB2312" w:hAnsi="宋体" w:eastAsia="仿宋_GB2312"/>
          <w:color w:val="auto"/>
          <w:sz w:val="32"/>
          <w:szCs w:val="32"/>
        </w:rPr>
        <w:t>表1给出了</w:t>
      </w:r>
      <w:r>
        <w:rPr>
          <w:rFonts w:ascii="仿宋_GB2312" w:hAnsi="宋体" w:eastAsia="仿宋_GB2312"/>
          <w:color w:val="auto"/>
          <w:sz w:val="32"/>
          <w:szCs w:val="32"/>
        </w:rPr>
        <w:t>具体的指标</w:t>
      </w:r>
      <w:r>
        <w:rPr>
          <w:rFonts w:hint="eastAsia" w:ascii="仿宋_GB2312" w:hAnsi="宋体" w:eastAsia="仿宋_GB2312"/>
          <w:color w:val="auto"/>
          <w:sz w:val="32"/>
          <w:szCs w:val="32"/>
        </w:rPr>
        <w:t>:</w:t>
      </w:r>
    </w:p>
    <w:p>
      <w:pPr>
        <w:spacing w:line="560" w:lineRule="exact"/>
        <w:ind w:firstLine="640" w:firstLineChars="200"/>
        <w:rPr>
          <w:rFonts w:hint="eastAsia" w:ascii="仿宋_GB2312" w:hAnsi="宋体" w:eastAsia="仿宋_GB2312"/>
          <w:color w:val="auto"/>
          <w:sz w:val="32"/>
          <w:szCs w:val="32"/>
        </w:rPr>
      </w:pPr>
      <w:r>
        <w:rPr>
          <w:rFonts w:ascii="仿宋_GB2312" w:hAnsi="宋体" w:eastAsia="仿宋_GB2312"/>
          <w:color w:val="auto"/>
          <w:sz w:val="32"/>
          <w:szCs w:val="32"/>
        </w:rPr>
        <w:drawing>
          <wp:anchor distT="0" distB="0" distL="114300" distR="114300" simplePos="0" relativeHeight="251659264" behindDoc="0" locked="0" layoutInCell="1" allowOverlap="1">
            <wp:simplePos x="0" y="0"/>
            <wp:positionH relativeFrom="column">
              <wp:posOffset>151130</wp:posOffset>
            </wp:positionH>
            <wp:positionV relativeFrom="paragraph">
              <wp:posOffset>180975</wp:posOffset>
            </wp:positionV>
            <wp:extent cx="5585460" cy="1638300"/>
            <wp:effectExtent l="0" t="0" r="0" b="0"/>
            <wp:wrapTopAndBottom/>
            <wp:docPr id="2" name="图片 2" descr="C:\Users\ADMINI~1\AppData\Local\Temp\WeChat Files\f3f81fa1bab01c2d59f5a8b65d0137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ADMINI~1\AppData\Local\Temp\WeChat Files\f3f81fa1bab01c2d59f5a8b65d0137e.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5585460" cy="1638300"/>
                    </a:xfrm>
                    <a:prstGeom prst="rect">
                      <a:avLst/>
                    </a:prstGeom>
                    <a:noFill/>
                    <a:ln>
                      <a:noFill/>
                    </a:ln>
                  </pic:spPr>
                </pic:pic>
              </a:graphicData>
            </a:graphic>
          </wp:anchor>
        </w:drawing>
      </w:r>
      <w:r>
        <w:rPr>
          <w:rFonts w:hint="eastAsia" w:ascii="仿宋_GB2312" w:hAnsi="宋体" w:eastAsia="仿宋_GB2312"/>
          <w:color w:val="auto"/>
          <w:sz w:val="32"/>
          <w:szCs w:val="32"/>
        </w:rPr>
        <w:t>块根</w:t>
      </w:r>
      <w:r>
        <w:rPr>
          <w:rFonts w:ascii="仿宋_GB2312" w:hAnsi="宋体" w:eastAsia="仿宋_GB2312"/>
          <w:color w:val="auto"/>
          <w:sz w:val="32"/>
          <w:szCs w:val="32"/>
        </w:rPr>
        <w:t>商品数率</w:t>
      </w:r>
      <w:r>
        <w:rPr>
          <w:rFonts w:hint="eastAsia" w:ascii="仿宋_GB2312" w:hAnsi="宋体" w:eastAsia="仿宋_GB2312"/>
          <w:color w:val="auto"/>
          <w:sz w:val="32"/>
          <w:szCs w:val="32"/>
        </w:rPr>
        <w:t>是</w:t>
      </w:r>
      <w:r>
        <w:rPr>
          <w:rFonts w:ascii="仿宋_GB2312" w:hAnsi="宋体" w:eastAsia="仿宋_GB2312"/>
          <w:color w:val="auto"/>
          <w:sz w:val="32"/>
          <w:szCs w:val="32"/>
        </w:rPr>
        <w:t>影响经济效益的主要因素</w:t>
      </w:r>
      <w:r>
        <w:rPr>
          <w:rFonts w:hint="eastAsia" w:ascii="仿宋_GB2312" w:hAnsi="宋体" w:eastAsia="仿宋_GB2312"/>
          <w:color w:val="auto"/>
          <w:sz w:val="32"/>
          <w:szCs w:val="32"/>
        </w:rPr>
        <w:t>，</w:t>
      </w:r>
      <w:r>
        <w:rPr>
          <w:rFonts w:ascii="仿宋_GB2312" w:hAnsi="宋体" w:eastAsia="仿宋_GB2312"/>
          <w:color w:val="auto"/>
          <w:sz w:val="32"/>
          <w:szCs w:val="32"/>
        </w:rPr>
        <w:t>要求</w:t>
      </w:r>
      <w:r>
        <w:rPr>
          <w:rFonts w:hint="eastAsia" w:ascii="仿宋_GB2312" w:hAnsi="宋体" w:eastAsia="仿宋_GB2312"/>
          <w:color w:val="auto"/>
          <w:sz w:val="32"/>
          <w:szCs w:val="32"/>
        </w:rPr>
        <w:t>一级木薯</w:t>
      </w:r>
      <w:r>
        <w:rPr>
          <w:rFonts w:ascii="仿宋_GB2312" w:hAnsi="宋体" w:eastAsia="仿宋_GB2312"/>
          <w:color w:val="auto"/>
          <w:sz w:val="32"/>
          <w:szCs w:val="32"/>
        </w:rPr>
        <w:t>的块根商品数率应达到</w:t>
      </w:r>
      <w:r>
        <w:rPr>
          <w:rFonts w:hint="eastAsia" w:ascii="仿宋_GB2312" w:hAnsi="宋体" w:eastAsia="仿宋_GB2312"/>
          <w:color w:val="auto"/>
          <w:sz w:val="32"/>
          <w:szCs w:val="32"/>
        </w:rPr>
        <w:t>80％以上</w:t>
      </w:r>
      <w:r>
        <w:rPr>
          <w:rFonts w:ascii="仿宋_GB2312" w:hAnsi="宋体" w:eastAsia="仿宋_GB2312"/>
          <w:color w:val="auto"/>
          <w:sz w:val="32"/>
          <w:szCs w:val="32"/>
        </w:rPr>
        <w:t>，</w:t>
      </w:r>
      <w:r>
        <w:rPr>
          <w:rFonts w:hint="eastAsia" w:ascii="仿宋_GB2312" w:hAnsi="宋体" w:eastAsia="仿宋_GB2312"/>
          <w:color w:val="auto"/>
          <w:sz w:val="32"/>
          <w:szCs w:val="32"/>
        </w:rPr>
        <w:t>二级、三级分别达到70%～80%、60%～70%</w:t>
      </w: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lang w:val="en-US" w:eastAsia="zh-CN"/>
        </w:rPr>
        <w:t>主要</w:t>
      </w:r>
      <w:r>
        <w:rPr>
          <w:rFonts w:hint="eastAsia" w:ascii="仿宋_GB2312" w:hAnsi="宋体" w:eastAsia="仿宋_GB2312"/>
          <w:color w:val="auto"/>
          <w:sz w:val="32"/>
          <w:szCs w:val="32"/>
          <w:lang w:eastAsia="zh-CN"/>
        </w:rPr>
        <w:t>根据</w:t>
      </w:r>
      <w:r>
        <w:rPr>
          <w:rFonts w:hint="eastAsia" w:ascii="仿宋_GB2312" w:hAnsi="宋体" w:eastAsia="仿宋_GB2312"/>
          <w:color w:val="auto"/>
          <w:sz w:val="32"/>
          <w:szCs w:val="32"/>
        </w:rPr>
        <w:t>广西壮族自治区农业科学院经济作物研究所</w:t>
      </w:r>
      <w:r>
        <w:rPr>
          <w:rFonts w:hint="eastAsia" w:ascii="仿宋_GB2312" w:hAnsi="宋体" w:eastAsia="仿宋_GB2312"/>
          <w:color w:val="auto"/>
          <w:sz w:val="32"/>
          <w:szCs w:val="32"/>
          <w:lang w:eastAsia="zh-CN"/>
        </w:rPr>
        <w:t>实际生产中采收的实际</w:t>
      </w:r>
      <w:r>
        <w:rPr>
          <w:rFonts w:hint="eastAsia" w:ascii="仿宋_GB2312" w:hAnsi="宋体" w:eastAsia="仿宋_GB2312"/>
          <w:color w:val="auto"/>
          <w:sz w:val="32"/>
          <w:szCs w:val="32"/>
          <w:lang w:val="en-US" w:eastAsia="zh-CN"/>
        </w:rPr>
        <w:t>进行确定</w:t>
      </w:r>
      <w:r>
        <w:rPr>
          <w:rFonts w:hint="eastAsia" w:ascii="仿宋_GB2312" w:hAnsi="宋体" w:eastAsia="仿宋_GB2312"/>
          <w:color w:val="auto"/>
          <w:sz w:val="32"/>
          <w:szCs w:val="32"/>
        </w:rPr>
        <w:t>。</w:t>
      </w:r>
    </w:p>
    <w:p>
      <w:pPr>
        <w:spacing w:line="560" w:lineRule="exact"/>
        <w:ind w:firstLine="640" w:firstLineChars="200"/>
        <w:rPr>
          <w:rFonts w:hint="eastAsia" w:ascii="仿宋_GB2312" w:hAnsi="宋体" w:eastAsia="仿宋_GB2312"/>
          <w:color w:val="auto"/>
          <w:sz w:val="32"/>
          <w:szCs w:val="32"/>
        </w:rPr>
      </w:pPr>
      <w:r>
        <w:rPr>
          <w:rFonts w:hint="eastAsia" w:ascii="仿宋_GB2312" w:hAnsi="宋体" w:eastAsia="仿宋_GB2312"/>
          <w:color w:val="auto"/>
          <w:sz w:val="32"/>
          <w:szCs w:val="32"/>
        </w:rPr>
        <w:t>木薯</w:t>
      </w:r>
      <w:r>
        <w:rPr>
          <w:rFonts w:ascii="仿宋_GB2312" w:hAnsi="宋体" w:eastAsia="仿宋_GB2312"/>
          <w:color w:val="auto"/>
          <w:sz w:val="32"/>
          <w:szCs w:val="32"/>
        </w:rPr>
        <w:t>块根在</w:t>
      </w:r>
      <w:r>
        <w:rPr>
          <w:rFonts w:hint="eastAsia" w:ascii="仿宋_GB2312" w:hAnsi="宋体" w:eastAsia="仿宋_GB2312"/>
          <w:color w:val="auto"/>
          <w:sz w:val="32"/>
          <w:szCs w:val="32"/>
        </w:rPr>
        <w:t>采收</w:t>
      </w:r>
      <w:r>
        <w:rPr>
          <w:rFonts w:ascii="仿宋_GB2312" w:hAnsi="宋体" w:eastAsia="仿宋_GB2312"/>
          <w:color w:val="auto"/>
          <w:sz w:val="32"/>
          <w:szCs w:val="32"/>
        </w:rPr>
        <w:t>、运输过程中</w:t>
      </w:r>
      <w:r>
        <w:rPr>
          <w:rFonts w:hint="eastAsia" w:ascii="仿宋_GB2312" w:hAnsi="宋体" w:eastAsia="仿宋_GB2312"/>
          <w:color w:val="auto"/>
          <w:sz w:val="32"/>
          <w:szCs w:val="32"/>
        </w:rPr>
        <w:t>会受到损伤，</w:t>
      </w:r>
      <w:r>
        <w:rPr>
          <w:rFonts w:ascii="仿宋_GB2312" w:hAnsi="宋体" w:eastAsia="仿宋_GB2312"/>
          <w:color w:val="auto"/>
          <w:sz w:val="32"/>
          <w:szCs w:val="32"/>
        </w:rPr>
        <w:t>对</w:t>
      </w:r>
      <w:r>
        <w:rPr>
          <w:rFonts w:hint="eastAsia" w:ascii="仿宋_GB2312" w:hAnsi="宋体" w:eastAsia="仿宋_GB2312"/>
          <w:color w:val="auto"/>
          <w:sz w:val="32"/>
          <w:szCs w:val="32"/>
        </w:rPr>
        <w:t>木薯</w:t>
      </w:r>
      <w:r>
        <w:rPr>
          <w:rFonts w:ascii="仿宋_GB2312" w:hAnsi="宋体" w:eastAsia="仿宋_GB2312"/>
          <w:color w:val="auto"/>
          <w:sz w:val="32"/>
          <w:szCs w:val="32"/>
        </w:rPr>
        <w:t>的</w:t>
      </w:r>
      <w:r>
        <w:rPr>
          <w:rFonts w:hint="eastAsia" w:ascii="仿宋_GB2312" w:hAnsi="宋体" w:eastAsia="仿宋_GB2312"/>
          <w:color w:val="auto"/>
          <w:sz w:val="32"/>
          <w:szCs w:val="32"/>
        </w:rPr>
        <w:t>品质</w:t>
      </w:r>
      <w:r>
        <w:rPr>
          <w:rFonts w:ascii="仿宋_GB2312" w:hAnsi="宋体" w:eastAsia="仿宋_GB2312"/>
          <w:color w:val="auto"/>
          <w:sz w:val="32"/>
          <w:szCs w:val="32"/>
        </w:rPr>
        <w:t>和外观产生不良影响</w:t>
      </w:r>
      <w:r>
        <w:rPr>
          <w:rFonts w:hint="eastAsia" w:ascii="仿宋_GB2312" w:hAnsi="宋体" w:eastAsia="仿宋_GB2312"/>
          <w:color w:val="auto"/>
          <w:sz w:val="32"/>
          <w:szCs w:val="32"/>
        </w:rPr>
        <w:t>，</w:t>
      </w:r>
      <w:r>
        <w:rPr>
          <w:rFonts w:hint="eastAsia" w:ascii="仿宋_GB2312" w:hAnsi="宋体" w:eastAsia="仿宋_GB2312"/>
          <w:color w:val="auto"/>
          <w:sz w:val="32"/>
          <w:szCs w:val="32"/>
          <w:lang w:val="en-US" w:eastAsia="zh-CN"/>
        </w:rPr>
        <w:t>在</w:t>
      </w:r>
      <w:r>
        <w:rPr>
          <w:rFonts w:hint="eastAsia" w:ascii="仿宋_GB2312" w:hAnsi="宋体" w:eastAsia="仿宋_GB2312"/>
          <w:color w:val="auto"/>
          <w:sz w:val="32"/>
          <w:szCs w:val="32"/>
        </w:rPr>
        <w:t>NY/T 1520</w:t>
      </w:r>
      <w:r>
        <w:rPr>
          <w:rFonts w:hint="eastAsia" w:ascii="仿宋_GB2312" w:hAnsi="宋体" w:eastAsia="仿宋_GB2312"/>
          <w:color w:val="auto"/>
          <w:sz w:val="32"/>
          <w:szCs w:val="32"/>
          <w:lang w:val="en-US" w:eastAsia="zh-CN"/>
        </w:rPr>
        <w:t>《木薯》</w:t>
      </w:r>
      <w:r>
        <w:rPr>
          <w:rFonts w:hint="eastAsia" w:ascii="仿宋_GB2312" w:hAnsi="宋体" w:eastAsia="仿宋_GB2312"/>
          <w:color w:val="auto"/>
          <w:sz w:val="32"/>
          <w:szCs w:val="32"/>
        </w:rPr>
        <w:t>中</w:t>
      </w:r>
      <w:r>
        <w:rPr>
          <w:rFonts w:ascii="仿宋_GB2312" w:hAnsi="宋体" w:eastAsia="仿宋_GB2312"/>
          <w:color w:val="auto"/>
          <w:sz w:val="32"/>
          <w:szCs w:val="32"/>
        </w:rPr>
        <w:t>对</w:t>
      </w:r>
      <w:r>
        <w:rPr>
          <w:rFonts w:hint="eastAsia" w:ascii="仿宋_GB2312" w:hAnsi="宋体" w:eastAsia="仿宋_GB2312"/>
          <w:color w:val="auto"/>
          <w:sz w:val="32"/>
          <w:szCs w:val="32"/>
        </w:rPr>
        <w:t>的一等品</w:t>
      </w:r>
      <w:r>
        <w:rPr>
          <w:rFonts w:ascii="仿宋_GB2312" w:hAnsi="宋体" w:eastAsia="仿宋_GB2312"/>
          <w:color w:val="auto"/>
          <w:sz w:val="32"/>
          <w:szCs w:val="32"/>
        </w:rPr>
        <w:t>、二等</w:t>
      </w:r>
      <w:r>
        <w:rPr>
          <w:rFonts w:hint="eastAsia" w:ascii="仿宋_GB2312" w:hAnsi="宋体" w:eastAsia="仿宋_GB2312"/>
          <w:color w:val="auto"/>
          <w:sz w:val="32"/>
          <w:szCs w:val="32"/>
        </w:rPr>
        <w:t>品</w:t>
      </w:r>
      <w:r>
        <w:rPr>
          <w:rFonts w:ascii="仿宋_GB2312" w:hAnsi="宋体" w:eastAsia="仿宋_GB2312"/>
          <w:color w:val="auto"/>
          <w:sz w:val="32"/>
          <w:szCs w:val="32"/>
        </w:rPr>
        <w:t>、三等品</w:t>
      </w:r>
      <w:r>
        <w:rPr>
          <w:rFonts w:hint="eastAsia" w:ascii="仿宋_GB2312" w:hAnsi="宋体" w:eastAsia="仿宋_GB2312"/>
          <w:color w:val="auto"/>
          <w:sz w:val="32"/>
          <w:szCs w:val="32"/>
          <w:lang w:val="en-US" w:eastAsia="zh-CN"/>
        </w:rPr>
        <w:t>的表述为文字描述，经过多年</w:t>
      </w:r>
      <w:r>
        <w:rPr>
          <w:rFonts w:hint="eastAsia" w:ascii="仿宋_GB2312" w:hAnsi="宋体" w:eastAsia="仿宋_GB2312"/>
          <w:color w:val="auto"/>
          <w:sz w:val="32"/>
          <w:szCs w:val="32"/>
        </w:rPr>
        <w:t>广西壮族自治区农业科学院经济作物研究所</w:t>
      </w:r>
      <w:r>
        <w:rPr>
          <w:rFonts w:hint="eastAsia" w:ascii="仿宋_GB2312" w:hAnsi="宋体" w:eastAsia="仿宋_GB2312"/>
          <w:color w:val="auto"/>
          <w:sz w:val="32"/>
          <w:szCs w:val="32"/>
          <w:lang w:val="en-US" w:eastAsia="zh-CN"/>
        </w:rPr>
        <w:t>对广西食用木薯的研究</w:t>
      </w:r>
      <w:r>
        <w:rPr>
          <w:rFonts w:hint="eastAsia" w:ascii="仿宋_GB2312" w:hAnsi="宋体" w:eastAsia="仿宋_GB2312"/>
          <w:color w:val="auto"/>
          <w:sz w:val="32"/>
          <w:szCs w:val="32"/>
        </w:rPr>
        <w:t>确定</w:t>
      </w:r>
      <w:r>
        <w:rPr>
          <w:rFonts w:ascii="仿宋_GB2312" w:hAnsi="宋体" w:eastAsia="仿宋_GB2312"/>
          <w:color w:val="auto"/>
          <w:sz w:val="32"/>
          <w:szCs w:val="32"/>
        </w:rPr>
        <w:t>一级</w:t>
      </w:r>
      <w:r>
        <w:rPr>
          <w:rFonts w:hint="eastAsia" w:ascii="仿宋_GB2312" w:hAnsi="宋体" w:eastAsia="仿宋_GB2312"/>
          <w:color w:val="auto"/>
          <w:sz w:val="32"/>
          <w:szCs w:val="32"/>
        </w:rPr>
        <w:t>、</w:t>
      </w:r>
      <w:r>
        <w:rPr>
          <w:rFonts w:ascii="仿宋_GB2312" w:hAnsi="宋体" w:eastAsia="仿宋_GB2312"/>
          <w:color w:val="auto"/>
          <w:sz w:val="32"/>
          <w:szCs w:val="32"/>
        </w:rPr>
        <w:t>二级、三级木薯</w:t>
      </w:r>
      <w:r>
        <w:rPr>
          <w:rFonts w:hint="eastAsia" w:ascii="仿宋_GB2312" w:hAnsi="宋体" w:eastAsia="仿宋_GB2312"/>
          <w:color w:val="auto"/>
          <w:sz w:val="32"/>
          <w:szCs w:val="32"/>
        </w:rPr>
        <w:t>的</w:t>
      </w:r>
      <w:r>
        <w:rPr>
          <w:rFonts w:ascii="仿宋_GB2312" w:hAnsi="宋体" w:eastAsia="仿宋_GB2312"/>
          <w:color w:val="auto"/>
          <w:sz w:val="32"/>
          <w:szCs w:val="32"/>
        </w:rPr>
        <w:t>机械损伤程度分别</w:t>
      </w:r>
      <w:r>
        <w:rPr>
          <w:rFonts w:hint="eastAsia" w:ascii="仿宋_GB2312" w:hAnsi="宋体" w:eastAsia="仿宋_GB2312"/>
          <w:color w:val="auto"/>
          <w:sz w:val="32"/>
          <w:szCs w:val="32"/>
        </w:rPr>
        <w:t>要求</w:t>
      </w:r>
      <w:r>
        <w:rPr>
          <w:rFonts w:ascii="仿宋_GB2312" w:hAnsi="宋体" w:eastAsia="仿宋_GB2312"/>
          <w:color w:val="auto"/>
          <w:sz w:val="32"/>
          <w:szCs w:val="32"/>
        </w:rPr>
        <w:t>不高于</w:t>
      </w:r>
      <w:r>
        <w:rPr>
          <w:rFonts w:hint="eastAsia" w:ascii="仿宋_GB2312" w:hAnsi="宋体" w:eastAsia="仿宋_GB2312"/>
          <w:color w:val="auto"/>
          <w:sz w:val="32"/>
          <w:szCs w:val="32"/>
        </w:rPr>
        <w:t>5%、10%、20%。</w:t>
      </w:r>
    </w:p>
    <w:p>
      <w:pPr>
        <w:spacing w:line="560" w:lineRule="exact"/>
        <w:ind w:firstLine="640" w:firstLineChars="200"/>
        <w:rPr>
          <w:rFonts w:ascii="仿宋_GB2312" w:hAnsi="宋体" w:eastAsia="仿宋_GB2312"/>
          <w:color w:val="auto"/>
          <w:sz w:val="32"/>
          <w:szCs w:val="32"/>
        </w:rPr>
      </w:pPr>
      <w:r>
        <w:rPr>
          <w:rFonts w:hint="eastAsia" w:ascii="仿宋_GB2312" w:hAnsi="宋体" w:eastAsia="仿宋_GB2312"/>
          <w:color w:val="auto"/>
          <w:sz w:val="32"/>
          <w:szCs w:val="32"/>
        </w:rPr>
        <w:t>颜色</w:t>
      </w: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rPr>
        <w:t>气味</w:t>
      </w: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rPr>
        <w:t>冻害、霉烂、变质、病虫害</w:t>
      </w:r>
      <w:r>
        <w:rPr>
          <w:rFonts w:hint="eastAsia" w:ascii="仿宋_GB2312" w:hAnsi="宋体" w:eastAsia="仿宋_GB2312"/>
          <w:color w:val="auto"/>
          <w:sz w:val="32"/>
          <w:szCs w:val="32"/>
          <w:lang w:val="en-US" w:eastAsia="zh-CN"/>
        </w:rPr>
        <w:t>主要依据NY/T 2552《能源木薯等级规格  鲜木薯》的要求进行确定</w:t>
      </w:r>
      <w:r>
        <w:rPr>
          <w:rFonts w:ascii="仿宋_GB2312" w:hAnsi="宋体" w:eastAsia="仿宋_GB2312"/>
          <w:color w:val="auto"/>
          <w:sz w:val="32"/>
          <w:szCs w:val="32"/>
        </w:rPr>
        <w:t>。</w:t>
      </w:r>
    </w:p>
    <w:p>
      <w:pPr>
        <w:spacing w:line="560" w:lineRule="exact"/>
        <w:ind w:firstLine="643" w:firstLineChars="200"/>
        <w:rPr>
          <w:rFonts w:hint="default" w:ascii="仿宋_GB2312" w:hAnsi="宋体" w:eastAsia="仿宋_GB2312"/>
          <w:b/>
          <w:color w:val="auto"/>
          <w:sz w:val="32"/>
          <w:szCs w:val="32"/>
          <w:lang w:val="en-US" w:eastAsia="zh-CN"/>
        </w:rPr>
      </w:pPr>
      <w:r>
        <w:rPr>
          <w:rFonts w:hint="eastAsia" w:ascii="仿宋_GB2312" w:hAnsi="宋体" w:eastAsia="仿宋_GB2312"/>
          <w:b/>
          <w:color w:val="auto"/>
          <w:sz w:val="32"/>
          <w:szCs w:val="32"/>
          <w:lang w:val="en-US" w:eastAsia="zh-CN"/>
        </w:rPr>
        <w:t>2.加工特性指标</w:t>
      </w:r>
    </w:p>
    <w:p>
      <w:pPr>
        <w:spacing w:line="560" w:lineRule="exact"/>
        <w:ind w:firstLine="640" w:firstLineChars="200"/>
        <w:rPr>
          <w:rFonts w:hint="default" w:ascii="仿宋_GB2312" w:hAnsi="宋体" w:eastAsia="仿宋_GB2312"/>
          <w:color w:val="auto"/>
          <w:sz w:val="32"/>
          <w:szCs w:val="32"/>
          <w:lang w:val="en-US"/>
        </w:rPr>
      </w:pPr>
      <w:r>
        <w:rPr>
          <w:rFonts w:hint="eastAsia" w:ascii="仿宋_GB2312" w:hAnsi="宋体" w:eastAsia="仿宋_GB2312"/>
          <w:color w:val="auto"/>
          <w:sz w:val="32"/>
          <w:szCs w:val="32"/>
        </w:rPr>
        <w:t>木薯是世界上许多贫困地区最重要的粮食作物，人们</w:t>
      </w:r>
      <w:r>
        <w:rPr>
          <w:rFonts w:ascii="仿宋_GB2312" w:hAnsi="宋体" w:eastAsia="仿宋_GB2312"/>
          <w:color w:val="auto"/>
          <w:sz w:val="32"/>
          <w:szCs w:val="32"/>
        </w:rPr>
        <w:t>对食用木薯最关注的是其</w:t>
      </w:r>
      <w:r>
        <w:rPr>
          <w:rFonts w:hint="eastAsia" w:ascii="仿宋_GB2312" w:hAnsi="宋体" w:eastAsia="仿宋_GB2312"/>
          <w:color w:val="auto"/>
          <w:sz w:val="32"/>
          <w:szCs w:val="32"/>
        </w:rPr>
        <w:t>营养指标，</w:t>
      </w:r>
      <w:r>
        <w:rPr>
          <w:rFonts w:ascii="仿宋_GB2312" w:hAnsi="宋体" w:eastAsia="仿宋_GB2312"/>
          <w:color w:val="auto"/>
          <w:sz w:val="32"/>
          <w:szCs w:val="32"/>
        </w:rPr>
        <w:t>因此</w:t>
      </w:r>
      <w:r>
        <w:rPr>
          <w:rFonts w:hint="eastAsia" w:ascii="仿宋_GB2312" w:hAnsi="宋体" w:eastAsia="仿宋_GB2312"/>
          <w:b/>
          <w:color w:val="auto"/>
          <w:sz w:val="32"/>
          <w:szCs w:val="32"/>
        </w:rPr>
        <w:t>鲜薯</w:t>
      </w:r>
      <w:r>
        <w:rPr>
          <w:rFonts w:hint="eastAsia" w:ascii="仿宋_GB2312" w:hAnsi="宋体" w:eastAsia="仿宋_GB2312"/>
          <w:b/>
          <w:color w:val="auto"/>
          <w:sz w:val="32"/>
          <w:szCs w:val="32"/>
          <w:lang w:val="en-US" w:eastAsia="zh-CN"/>
        </w:rPr>
        <w:t>营养</w:t>
      </w:r>
      <w:r>
        <w:rPr>
          <w:rFonts w:ascii="仿宋_GB2312" w:hAnsi="宋体" w:eastAsia="仿宋_GB2312"/>
          <w:b/>
          <w:color w:val="auto"/>
          <w:sz w:val="32"/>
          <w:szCs w:val="32"/>
        </w:rPr>
        <w:t>指标</w:t>
      </w:r>
      <w:r>
        <w:rPr>
          <w:rFonts w:hint="eastAsia" w:ascii="仿宋_GB2312" w:hAnsi="宋体" w:eastAsia="仿宋_GB2312"/>
          <w:color w:val="auto"/>
          <w:sz w:val="32"/>
          <w:szCs w:val="32"/>
        </w:rPr>
        <w:t>确定为蛋白质、</w:t>
      </w:r>
      <w:r>
        <w:rPr>
          <w:rFonts w:hint="eastAsia" w:ascii="仿宋_GB2312" w:hAnsi="宋体" w:eastAsia="仿宋_GB2312"/>
          <w:color w:val="auto"/>
          <w:sz w:val="32"/>
          <w:szCs w:val="32"/>
          <w:lang w:val="en-US" w:eastAsia="zh-CN"/>
        </w:rPr>
        <w:t>膳食纤维</w:t>
      </w:r>
      <w:r>
        <w:rPr>
          <w:rFonts w:hint="eastAsia" w:ascii="仿宋_GB2312" w:hAnsi="宋体" w:eastAsia="仿宋_GB2312"/>
          <w:color w:val="auto"/>
          <w:sz w:val="32"/>
          <w:szCs w:val="32"/>
        </w:rPr>
        <w:t>、维生素C、β-胡萝卜素、钾、钙</w:t>
      </w:r>
      <w:r>
        <w:rPr>
          <w:rFonts w:hint="eastAsia" w:ascii="仿宋_GB2312" w:hAnsi="宋体" w:eastAsia="仿宋_GB2312"/>
          <w:color w:val="auto"/>
          <w:sz w:val="32"/>
          <w:szCs w:val="32"/>
          <w:lang w:val="en-US" w:eastAsia="zh-CN"/>
        </w:rPr>
        <w:t>6</w:t>
      </w:r>
      <w:r>
        <w:rPr>
          <w:rFonts w:hint="eastAsia" w:ascii="仿宋_GB2312" w:hAnsi="宋体" w:eastAsia="仿宋_GB2312"/>
          <w:color w:val="auto"/>
          <w:sz w:val="32"/>
          <w:szCs w:val="32"/>
        </w:rPr>
        <w:t>个项目</w:t>
      </w:r>
      <w:r>
        <w:rPr>
          <w:rFonts w:ascii="仿宋_GB2312" w:hAnsi="宋体" w:eastAsia="仿宋_GB2312"/>
          <w:color w:val="auto"/>
          <w:sz w:val="32"/>
          <w:szCs w:val="32"/>
        </w:rPr>
        <w:t>。</w:t>
      </w:r>
      <w:r>
        <w:rPr>
          <w:rFonts w:hint="eastAsia" w:ascii="仿宋_GB2312" w:hAnsi="宋体" w:eastAsia="仿宋_GB2312"/>
          <w:color w:val="auto"/>
          <w:sz w:val="32"/>
          <w:szCs w:val="32"/>
        </w:rPr>
        <w:t>为保证所定各项指标范围的</w:t>
      </w:r>
      <w:r>
        <w:rPr>
          <w:rFonts w:ascii="仿宋_GB2312" w:hAnsi="宋体" w:eastAsia="仿宋_GB2312"/>
          <w:color w:val="auto"/>
          <w:sz w:val="32"/>
          <w:szCs w:val="32"/>
        </w:rPr>
        <w:t>合理性</w:t>
      </w:r>
      <w:r>
        <w:rPr>
          <w:rFonts w:hint="eastAsia" w:ascii="仿宋_GB2312" w:hAnsi="宋体" w:eastAsia="仿宋_GB2312"/>
          <w:color w:val="auto"/>
          <w:sz w:val="32"/>
          <w:szCs w:val="32"/>
        </w:rPr>
        <w:t>，起草单位结合了</w:t>
      </w:r>
      <w:r>
        <w:rPr>
          <w:rFonts w:hint="eastAsia" w:ascii="仿宋_GB2312" w:hAnsi="宋体" w:eastAsia="仿宋_GB2312"/>
          <w:color w:val="auto"/>
          <w:sz w:val="32"/>
          <w:szCs w:val="32"/>
          <w:lang w:val="en-US" w:eastAsia="zh-CN"/>
        </w:rPr>
        <w:t>不同食用木薯</w:t>
      </w:r>
      <w:r>
        <w:rPr>
          <w:rFonts w:hint="eastAsia" w:ascii="仿宋_GB2312" w:hAnsi="宋体" w:eastAsia="仿宋_GB2312"/>
          <w:color w:val="auto"/>
          <w:sz w:val="32"/>
          <w:szCs w:val="32"/>
        </w:rPr>
        <w:t>产品送检的检验报告进行确定</w:t>
      </w: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rPr>
        <w:t>不同品种木薯的多数品质指标差异较大，参考对多个</w:t>
      </w:r>
      <w:r>
        <w:rPr>
          <w:rFonts w:ascii="仿宋_GB2312" w:hAnsi="宋体" w:eastAsia="仿宋_GB2312"/>
          <w:color w:val="auto"/>
          <w:sz w:val="32"/>
          <w:szCs w:val="32"/>
        </w:rPr>
        <w:t>品种的</w:t>
      </w:r>
      <w:r>
        <w:rPr>
          <w:rFonts w:hint="eastAsia" w:ascii="仿宋_GB2312" w:hAnsi="宋体" w:eastAsia="仿宋_GB2312"/>
          <w:color w:val="auto"/>
          <w:sz w:val="32"/>
          <w:szCs w:val="32"/>
          <w:lang w:val="en-US" w:eastAsia="zh-CN"/>
        </w:rPr>
        <w:t>一级</w:t>
      </w:r>
      <w:r>
        <w:rPr>
          <w:rFonts w:ascii="仿宋_GB2312" w:hAnsi="宋体" w:eastAsia="仿宋_GB2312"/>
          <w:color w:val="auto"/>
          <w:sz w:val="32"/>
          <w:szCs w:val="32"/>
        </w:rPr>
        <w:t>木薯块根的检测结果</w:t>
      </w:r>
      <w:r>
        <w:rPr>
          <w:rFonts w:hint="eastAsia" w:ascii="仿宋_GB2312" w:hAnsi="宋体" w:eastAsia="仿宋_GB2312"/>
          <w:color w:val="auto"/>
          <w:sz w:val="32"/>
          <w:szCs w:val="32"/>
          <w:lang w:val="en-US" w:eastAsia="zh-CN"/>
        </w:rPr>
        <w:t>最终</w:t>
      </w:r>
      <w:r>
        <w:rPr>
          <w:rFonts w:hint="eastAsia" w:ascii="仿宋_GB2312" w:hAnsi="宋体" w:eastAsia="仿宋_GB2312"/>
          <w:color w:val="auto"/>
          <w:sz w:val="32"/>
          <w:szCs w:val="32"/>
        </w:rPr>
        <w:t>确定鲜薯营养指标</w:t>
      </w: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lang w:val="en-US" w:eastAsia="zh-CN"/>
        </w:rPr>
        <w:t>见表2</w:t>
      </w:r>
      <w:r>
        <w:rPr>
          <w:rFonts w:hint="eastAsia" w:ascii="仿宋_GB2312" w:hAnsi="宋体" w:eastAsia="仿宋_GB2312"/>
          <w:color w:val="auto"/>
          <w:sz w:val="32"/>
          <w:szCs w:val="32"/>
        </w:rPr>
        <w:t>。</w:t>
      </w:r>
      <w:r>
        <w:rPr>
          <w:rFonts w:hint="eastAsia" w:ascii="仿宋_GB2312" w:hAnsi="宋体" w:eastAsia="仿宋_GB2312"/>
          <w:color w:val="auto"/>
          <w:sz w:val="32"/>
          <w:szCs w:val="32"/>
          <w:lang w:val="en-US" w:eastAsia="zh-CN"/>
        </w:rPr>
        <w:t>同时结合一级木薯的营养指标对木薯块根的特级和二级营养指标进行要求。</w:t>
      </w:r>
    </w:p>
    <w:p>
      <w:pPr>
        <w:spacing w:line="560" w:lineRule="exact"/>
        <w:ind w:firstLine="562" w:firstLineChars="200"/>
        <w:jc w:val="center"/>
        <w:rPr>
          <w:rFonts w:hint="default" w:ascii="仿宋_GB2312" w:hAnsi="宋体" w:eastAsia="仿宋_GB2312"/>
          <w:b/>
          <w:bCs/>
          <w:color w:val="auto"/>
          <w:sz w:val="28"/>
          <w:szCs w:val="28"/>
          <w:lang w:val="en-US" w:eastAsia="zh-CN"/>
        </w:rPr>
      </w:pPr>
      <w:r>
        <w:rPr>
          <w:rFonts w:hint="eastAsia" w:ascii="仿宋_GB2312" w:hAnsi="宋体" w:eastAsia="仿宋_GB2312"/>
          <w:b/>
          <w:bCs/>
          <w:color w:val="auto"/>
          <w:sz w:val="28"/>
          <w:szCs w:val="28"/>
          <w:lang w:val="en-US" w:eastAsia="zh-CN"/>
        </w:rPr>
        <w:t>表2</w:t>
      </w:r>
      <w:r>
        <w:rPr>
          <w:rFonts w:hint="eastAsia" w:ascii="仿宋_GB2312" w:hAnsi="宋体" w:eastAsia="仿宋_GB2312"/>
          <w:b/>
          <w:bCs/>
          <w:color w:val="auto"/>
          <w:sz w:val="28"/>
          <w:szCs w:val="28"/>
        </w:rPr>
        <w:t>鲜薯</w:t>
      </w:r>
      <w:r>
        <w:rPr>
          <w:rFonts w:hint="eastAsia" w:ascii="仿宋_GB2312" w:hAnsi="宋体" w:eastAsia="仿宋_GB2312"/>
          <w:b/>
          <w:bCs/>
          <w:color w:val="auto"/>
          <w:sz w:val="28"/>
          <w:szCs w:val="28"/>
          <w:lang w:val="en-US" w:eastAsia="zh-CN"/>
        </w:rPr>
        <w:t>营养</w:t>
      </w:r>
      <w:r>
        <w:rPr>
          <w:rFonts w:ascii="仿宋_GB2312" w:hAnsi="宋体" w:eastAsia="仿宋_GB2312"/>
          <w:b/>
          <w:bCs/>
          <w:color w:val="auto"/>
          <w:sz w:val="28"/>
          <w:szCs w:val="28"/>
        </w:rPr>
        <w:t>指标</w:t>
      </w:r>
      <w:r>
        <w:rPr>
          <w:rFonts w:hint="eastAsia" w:ascii="仿宋_GB2312" w:hAnsi="宋体" w:eastAsia="仿宋_GB2312"/>
          <w:b/>
          <w:bCs/>
          <w:color w:val="auto"/>
          <w:sz w:val="28"/>
          <w:szCs w:val="28"/>
          <w:lang w:val="en-US" w:eastAsia="zh-CN"/>
        </w:rPr>
        <w:t>检测数据</w:t>
      </w:r>
    </w:p>
    <w:tbl>
      <w:tblPr>
        <w:tblStyle w:val="9"/>
        <w:tblW w:w="4996"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024"/>
        <w:gridCol w:w="611"/>
        <w:gridCol w:w="684"/>
        <w:gridCol w:w="684"/>
        <w:gridCol w:w="684"/>
        <w:gridCol w:w="684"/>
        <w:gridCol w:w="684"/>
        <w:gridCol w:w="684"/>
        <w:gridCol w:w="684"/>
        <w:gridCol w:w="684"/>
        <w:gridCol w:w="684"/>
        <w:gridCol w:w="684"/>
        <w:gridCol w:w="69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exact"/>
          <w:jc w:val="center"/>
        </w:trPr>
        <w:tc>
          <w:tcPr>
            <w:tcW w:w="558" w:type="pct"/>
            <w:vMerge w:val="restart"/>
            <w:tcBorders>
              <w:top w:val="single" w:color="auto" w:sz="8" w:space="0"/>
              <w:left w:val="single" w:color="auto" w:sz="8" w:space="0"/>
              <w:right w:val="single" w:color="auto" w:sz="4" w:space="0"/>
            </w:tcBorders>
            <w:shd w:val="clear" w:color="auto" w:fill="auto"/>
            <w:vAlign w:val="center"/>
          </w:tcPr>
          <w:p>
            <w:pPr>
              <w:pStyle w:val="13"/>
              <w:keepNext w:val="0"/>
              <w:keepLines w:val="0"/>
              <w:widowControl/>
              <w:suppressLineNumbers w:val="0"/>
              <w:spacing w:before="0" w:beforeAutospacing="0" w:after="0" w:afterAutospacing="0"/>
              <w:ind w:left="0" w:right="0" w:firstLine="0" w:firstLineChars="0"/>
              <w:jc w:val="center"/>
              <w:rPr>
                <w:rFonts w:hint="default" w:hAnsi="宋体"/>
                <w:color w:val="auto"/>
                <w:sz w:val="18"/>
                <w:szCs w:val="18"/>
                <w:lang w:val="en-US"/>
              </w:rPr>
            </w:pPr>
            <w:r>
              <w:rPr>
                <w:rFonts w:hint="default" w:hAnsi="宋体"/>
                <w:color w:val="auto"/>
                <w:sz w:val="18"/>
                <w:szCs w:val="18"/>
              </w:rPr>
              <w:t>项目</w:t>
            </w:r>
          </w:p>
        </w:tc>
        <w:tc>
          <w:tcPr>
            <w:tcW w:w="333" w:type="pct"/>
            <w:vMerge w:val="restart"/>
            <w:tcBorders>
              <w:top w:val="single" w:color="auto" w:sz="8" w:space="0"/>
              <w:left w:val="single" w:color="auto" w:sz="8" w:space="0"/>
              <w:right w:val="single" w:color="auto" w:sz="4" w:space="0"/>
            </w:tcBorders>
            <w:shd w:val="clear" w:color="auto" w:fill="auto"/>
            <w:vAlign w:val="center"/>
          </w:tcPr>
          <w:p>
            <w:pPr>
              <w:pStyle w:val="13"/>
              <w:keepNext w:val="0"/>
              <w:keepLines w:val="0"/>
              <w:widowControl/>
              <w:suppressLineNumbers w:val="0"/>
              <w:spacing w:before="0" w:beforeAutospacing="0" w:after="0" w:afterAutospacing="0"/>
              <w:ind w:left="0" w:right="0" w:firstLine="0" w:firstLineChars="0"/>
              <w:jc w:val="center"/>
              <w:rPr>
                <w:rFonts w:hint="default" w:hAnsi="宋体" w:eastAsia="宋体"/>
                <w:color w:val="auto"/>
                <w:sz w:val="18"/>
                <w:szCs w:val="18"/>
                <w:lang w:val="en-US" w:eastAsia="zh-CN"/>
              </w:rPr>
            </w:pPr>
            <w:r>
              <w:rPr>
                <w:rFonts w:hint="eastAsia" w:hAnsi="宋体"/>
                <w:color w:val="auto"/>
                <w:sz w:val="18"/>
                <w:szCs w:val="18"/>
                <w:lang w:val="en-US" w:eastAsia="zh-CN"/>
              </w:rPr>
              <w:t>样品名称</w:t>
            </w:r>
          </w:p>
        </w:tc>
        <w:tc>
          <w:tcPr>
            <w:tcW w:w="4108" w:type="pct"/>
            <w:gridSpan w:val="11"/>
            <w:tcBorders>
              <w:top w:val="single" w:color="auto" w:sz="8" w:space="0"/>
              <w:left w:val="single" w:color="auto" w:sz="8" w:space="0"/>
              <w:right w:val="single" w:color="auto" w:sz="4" w:space="0"/>
            </w:tcBorders>
            <w:shd w:val="clear" w:color="auto" w:fill="auto"/>
            <w:vAlign w:val="center"/>
          </w:tcPr>
          <w:p>
            <w:pPr>
              <w:pStyle w:val="13"/>
              <w:keepNext w:val="0"/>
              <w:keepLines w:val="0"/>
              <w:widowControl/>
              <w:suppressLineNumbers w:val="0"/>
              <w:spacing w:before="0" w:beforeAutospacing="0" w:after="0" w:afterAutospacing="0"/>
              <w:ind w:left="0" w:right="0" w:firstLine="0" w:firstLineChars="0"/>
              <w:jc w:val="center"/>
              <w:rPr>
                <w:rFonts w:hint="eastAsia" w:hAnsi="宋体"/>
                <w:color w:val="auto"/>
                <w:sz w:val="18"/>
                <w:szCs w:val="18"/>
                <w:lang w:val="en-US" w:eastAsia="zh-CN"/>
              </w:rPr>
            </w:pPr>
            <w:r>
              <w:rPr>
                <w:rFonts w:hint="eastAsia" w:hAnsi="宋体"/>
                <w:color w:val="auto"/>
                <w:sz w:val="18"/>
                <w:szCs w:val="18"/>
                <w:lang w:val="en-US" w:eastAsia="zh-CN"/>
              </w:rPr>
              <w:t>检测结果</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98" w:hRule="exact"/>
          <w:jc w:val="center"/>
        </w:trPr>
        <w:tc>
          <w:tcPr>
            <w:tcW w:w="558" w:type="pct"/>
            <w:vMerge w:val="continue"/>
            <w:tcBorders>
              <w:left w:val="single" w:color="auto" w:sz="8" w:space="0"/>
              <w:bottom w:val="single" w:color="auto" w:sz="8" w:space="0"/>
              <w:right w:val="single" w:color="auto" w:sz="4" w:space="0"/>
            </w:tcBorders>
            <w:shd w:val="clear" w:color="auto" w:fill="auto"/>
            <w:vAlign w:val="center"/>
          </w:tcPr>
          <w:p>
            <w:pPr>
              <w:pStyle w:val="13"/>
              <w:keepNext w:val="0"/>
              <w:keepLines w:val="0"/>
              <w:widowControl/>
              <w:suppressLineNumbers w:val="0"/>
              <w:spacing w:before="0" w:beforeAutospacing="0" w:after="0" w:afterAutospacing="0"/>
              <w:ind w:left="0" w:right="0" w:firstLine="0" w:firstLineChars="0"/>
              <w:jc w:val="center"/>
              <w:rPr>
                <w:rFonts w:hint="default" w:hAnsi="宋体"/>
                <w:color w:val="auto"/>
                <w:sz w:val="18"/>
                <w:szCs w:val="18"/>
              </w:rPr>
            </w:pPr>
          </w:p>
        </w:tc>
        <w:tc>
          <w:tcPr>
            <w:tcW w:w="333" w:type="pct"/>
            <w:vMerge w:val="continue"/>
            <w:tcBorders>
              <w:left w:val="single" w:color="auto" w:sz="8" w:space="0"/>
              <w:bottom w:val="single" w:color="auto" w:sz="8" w:space="0"/>
              <w:right w:val="single" w:color="auto" w:sz="4" w:space="0"/>
            </w:tcBorders>
            <w:shd w:val="clear" w:color="auto" w:fill="auto"/>
            <w:vAlign w:val="center"/>
          </w:tcPr>
          <w:p>
            <w:pPr>
              <w:pStyle w:val="13"/>
              <w:keepNext w:val="0"/>
              <w:keepLines w:val="0"/>
              <w:widowControl/>
              <w:suppressLineNumbers w:val="0"/>
              <w:spacing w:before="0" w:beforeAutospacing="0" w:after="0" w:afterAutospacing="0"/>
              <w:ind w:left="0" w:right="0" w:firstLine="0" w:firstLineChars="0"/>
              <w:jc w:val="center"/>
              <w:rPr>
                <w:rFonts w:hint="default" w:hAnsi="宋体"/>
                <w:color w:val="auto"/>
                <w:sz w:val="18"/>
                <w:szCs w:val="18"/>
              </w:rPr>
            </w:pPr>
          </w:p>
        </w:tc>
        <w:tc>
          <w:tcPr>
            <w:tcW w:w="373" w:type="pct"/>
            <w:tcBorders>
              <w:left w:val="single" w:color="auto" w:sz="8" w:space="0"/>
              <w:bottom w:val="single" w:color="auto" w:sz="8" w:space="0"/>
              <w:right w:val="single" w:color="auto" w:sz="4" w:space="0"/>
            </w:tcBorders>
            <w:shd w:val="clear" w:color="auto" w:fill="auto"/>
            <w:vAlign w:val="center"/>
          </w:tcPr>
          <w:p>
            <w:pPr>
              <w:pStyle w:val="13"/>
              <w:keepNext w:val="0"/>
              <w:keepLines w:val="0"/>
              <w:widowControl/>
              <w:suppressLineNumbers w:val="0"/>
              <w:spacing w:before="0" w:beforeAutospacing="0" w:after="0" w:afterAutospacing="0"/>
              <w:ind w:left="0" w:right="0" w:firstLine="0" w:firstLineChars="0"/>
              <w:jc w:val="center"/>
              <w:rPr>
                <w:rFonts w:hint="default" w:hAnsi="宋体" w:eastAsia="宋体"/>
                <w:color w:val="auto"/>
                <w:sz w:val="18"/>
                <w:szCs w:val="18"/>
                <w:lang w:val="en-US" w:eastAsia="zh-CN"/>
              </w:rPr>
            </w:pPr>
            <w:r>
              <w:rPr>
                <w:rFonts w:hint="eastAsia" w:hAnsi="宋体"/>
                <w:color w:val="auto"/>
                <w:sz w:val="18"/>
                <w:szCs w:val="18"/>
                <w:lang w:val="en-US" w:eastAsia="zh-CN"/>
              </w:rPr>
              <w:t>报告1</w:t>
            </w:r>
          </w:p>
        </w:tc>
        <w:tc>
          <w:tcPr>
            <w:tcW w:w="373" w:type="pct"/>
            <w:tcBorders>
              <w:left w:val="single" w:color="auto" w:sz="8" w:space="0"/>
              <w:bottom w:val="single" w:color="auto" w:sz="8" w:space="0"/>
              <w:right w:val="single" w:color="auto" w:sz="4" w:space="0"/>
            </w:tcBorders>
            <w:shd w:val="clear" w:color="auto" w:fill="auto"/>
            <w:vAlign w:val="center"/>
          </w:tcPr>
          <w:p>
            <w:pPr>
              <w:pStyle w:val="13"/>
              <w:keepNext w:val="0"/>
              <w:keepLines w:val="0"/>
              <w:widowControl/>
              <w:suppressLineNumbers w:val="0"/>
              <w:spacing w:before="0" w:beforeAutospacing="0" w:after="0" w:afterAutospacing="0"/>
              <w:ind w:left="0" w:right="0" w:firstLine="0" w:firstLineChars="0"/>
              <w:jc w:val="center"/>
              <w:rPr>
                <w:rFonts w:hint="eastAsia" w:hAnsi="宋体"/>
                <w:color w:val="auto"/>
                <w:sz w:val="18"/>
                <w:szCs w:val="18"/>
                <w:lang w:val="en-US" w:eastAsia="zh-CN"/>
              </w:rPr>
            </w:pPr>
            <w:r>
              <w:rPr>
                <w:rFonts w:hint="eastAsia" w:hAnsi="宋体"/>
                <w:color w:val="auto"/>
                <w:sz w:val="18"/>
                <w:szCs w:val="18"/>
                <w:lang w:val="en-US" w:eastAsia="zh-CN"/>
              </w:rPr>
              <w:t>报告2</w:t>
            </w:r>
          </w:p>
        </w:tc>
        <w:tc>
          <w:tcPr>
            <w:tcW w:w="373" w:type="pct"/>
            <w:tcBorders>
              <w:left w:val="single" w:color="auto" w:sz="8" w:space="0"/>
              <w:bottom w:val="single" w:color="auto" w:sz="8" w:space="0"/>
              <w:right w:val="single" w:color="auto" w:sz="4" w:space="0"/>
            </w:tcBorders>
            <w:shd w:val="clear" w:color="auto" w:fill="auto"/>
            <w:vAlign w:val="center"/>
          </w:tcPr>
          <w:p>
            <w:pPr>
              <w:pStyle w:val="13"/>
              <w:keepNext w:val="0"/>
              <w:keepLines w:val="0"/>
              <w:widowControl/>
              <w:suppressLineNumbers w:val="0"/>
              <w:spacing w:before="0" w:beforeAutospacing="0" w:after="0" w:afterAutospacing="0"/>
              <w:ind w:left="0" w:right="0" w:firstLine="0" w:firstLineChars="0"/>
              <w:jc w:val="center"/>
              <w:rPr>
                <w:rFonts w:hint="default" w:hAnsi="宋体" w:eastAsia="宋体"/>
                <w:color w:val="auto"/>
                <w:sz w:val="18"/>
                <w:szCs w:val="18"/>
                <w:lang w:val="en-US" w:eastAsia="zh-CN"/>
              </w:rPr>
            </w:pPr>
            <w:r>
              <w:rPr>
                <w:rFonts w:hint="eastAsia" w:hAnsi="宋体"/>
                <w:color w:val="auto"/>
                <w:sz w:val="18"/>
                <w:szCs w:val="18"/>
                <w:lang w:val="en-US" w:eastAsia="zh-CN"/>
              </w:rPr>
              <w:t>报告3</w:t>
            </w:r>
          </w:p>
        </w:tc>
        <w:tc>
          <w:tcPr>
            <w:tcW w:w="373" w:type="pct"/>
            <w:tcBorders>
              <w:left w:val="single" w:color="auto" w:sz="8" w:space="0"/>
              <w:bottom w:val="single" w:color="auto" w:sz="8" w:space="0"/>
              <w:right w:val="single" w:color="auto" w:sz="4" w:space="0"/>
            </w:tcBorders>
            <w:shd w:val="clear" w:color="auto" w:fill="auto"/>
            <w:vAlign w:val="center"/>
          </w:tcPr>
          <w:p>
            <w:pPr>
              <w:pStyle w:val="13"/>
              <w:keepNext w:val="0"/>
              <w:keepLines w:val="0"/>
              <w:widowControl/>
              <w:suppressLineNumbers w:val="0"/>
              <w:spacing w:before="0" w:beforeAutospacing="0" w:after="0" w:afterAutospacing="0"/>
              <w:ind w:left="0" w:right="0" w:firstLine="0" w:firstLineChars="0"/>
              <w:jc w:val="center"/>
              <w:rPr>
                <w:rFonts w:hint="default" w:hAnsi="宋体"/>
                <w:color w:val="auto"/>
                <w:sz w:val="18"/>
                <w:szCs w:val="18"/>
                <w:lang w:val="en-US" w:eastAsia="zh-CN"/>
              </w:rPr>
            </w:pPr>
            <w:r>
              <w:rPr>
                <w:rFonts w:hint="eastAsia" w:hAnsi="宋体"/>
                <w:color w:val="auto"/>
                <w:sz w:val="18"/>
                <w:szCs w:val="18"/>
                <w:lang w:val="en-US" w:eastAsia="zh-CN"/>
              </w:rPr>
              <w:t>报告4</w:t>
            </w:r>
          </w:p>
        </w:tc>
        <w:tc>
          <w:tcPr>
            <w:tcW w:w="373" w:type="pct"/>
            <w:tcBorders>
              <w:left w:val="single" w:color="auto" w:sz="8" w:space="0"/>
              <w:bottom w:val="single" w:color="auto" w:sz="8" w:space="0"/>
              <w:right w:val="single" w:color="auto" w:sz="4" w:space="0"/>
            </w:tcBorders>
            <w:shd w:val="clear" w:color="auto" w:fill="auto"/>
            <w:vAlign w:val="center"/>
          </w:tcPr>
          <w:p>
            <w:pPr>
              <w:pStyle w:val="13"/>
              <w:keepNext w:val="0"/>
              <w:keepLines w:val="0"/>
              <w:widowControl/>
              <w:suppressLineNumbers w:val="0"/>
              <w:spacing w:before="0" w:beforeAutospacing="0" w:after="0" w:afterAutospacing="0"/>
              <w:ind w:left="0" w:right="0" w:firstLine="0" w:firstLineChars="0"/>
              <w:jc w:val="center"/>
              <w:rPr>
                <w:rFonts w:hint="default" w:hAnsi="宋体" w:eastAsia="宋体"/>
                <w:color w:val="auto"/>
                <w:sz w:val="18"/>
                <w:szCs w:val="18"/>
                <w:lang w:val="en-US" w:eastAsia="zh-CN"/>
              </w:rPr>
            </w:pPr>
            <w:r>
              <w:rPr>
                <w:rFonts w:hint="eastAsia" w:hAnsi="宋体"/>
                <w:color w:val="auto"/>
                <w:sz w:val="18"/>
                <w:szCs w:val="18"/>
                <w:lang w:val="en-US" w:eastAsia="zh-CN"/>
              </w:rPr>
              <w:t>报告5</w:t>
            </w:r>
          </w:p>
        </w:tc>
        <w:tc>
          <w:tcPr>
            <w:tcW w:w="373" w:type="pct"/>
            <w:tcBorders>
              <w:left w:val="single" w:color="auto" w:sz="8" w:space="0"/>
              <w:bottom w:val="single" w:color="auto" w:sz="8" w:space="0"/>
              <w:right w:val="single" w:color="auto" w:sz="4" w:space="0"/>
            </w:tcBorders>
            <w:shd w:val="clear" w:color="auto" w:fill="auto"/>
            <w:vAlign w:val="center"/>
          </w:tcPr>
          <w:p>
            <w:pPr>
              <w:pStyle w:val="13"/>
              <w:keepNext w:val="0"/>
              <w:keepLines w:val="0"/>
              <w:widowControl/>
              <w:suppressLineNumbers w:val="0"/>
              <w:spacing w:before="0" w:beforeAutospacing="0" w:after="0" w:afterAutospacing="0"/>
              <w:ind w:left="0" w:right="0" w:firstLine="0" w:firstLineChars="0"/>
              <w:jc w:val="center"/>
              <w:rPr>
                <w:rFonts w:hint="default" w:hAnsi="宋体" w:eastAsia="宋体"/>
                <w:color w:val="auto"/>
                <w:sz w:val="18"/>
                <w:szCs w:val="18"/>
                <w:lang w:val="en-US" w:eastAsia="zh-CN"/>
              </w:rPr>
            </w:pPr>
            <w:r>
              <w:rPr>
                <w:rFonts w:hint="eastAsia" w:hAnsi="宋体"/>
                <w:color w:val="auto"/>
                <w:sz w:val="18"/>
                <w:szCs w:val="18"/>
                <w:lang w:val="en-US" w:eastAsia="zh-CN"/>
              </w:rPr>
              <w:t>报告6</w:t>
            </w:r>
          </w:p>
        </w:tc>
        <w:tc>
          <w:tcPr>
            <w:tcW w:w="373" w:type="pct"/>
            <w:tcBorders>
              <w:left w:val="single" w:color="auto" w:sz="8" w:space="0"/>
              <w:bottom w:val="single" w:color="auto" w:sz="8" w:space="0"/>
              <w:right w:val="single" w:color="auto" w:sz="4" w:space="0"/>
            </w:tcBorders>
            <w:shd w:val="clear" w:color="auto" w:fill="auto"/>
            <w:vAlign w:val="center"/>
          </w:tcPr>
          <w:p>
            <w:pPr>
              <w:pStyle w:val="13"/>
              <w:keepNext w:val="0"/>
              <w:keepLines w:val="0"/>
              <w:widowControl/>
              <w:suppressLineNumbers w:val="0"/>
              <w:spacing w:before="0" w:beforeAutospacing="0" w:after="0" w:afterAutospacing="0"/>
              <w:ind w:left="0" w:right="0" w:firstLine="0" w:firstLineChars="0"/>
              <w:jc w:val="center"/>
              <w:rPr>
                <w:rFonts w:hint="default" w:hAnsi="宋体"/>
                <w:color w:val="auto"/>
                <w:sz w:val="18"/>
                <w:szCs w:val="18"/>
                <w:lang w:val="en-US" w:eastAsia="zh-CN"/>
              </w:rPr>
            </w:pPr>
            <w:r>
              <w:rPr>
                <w:rFonts w:hint="eastAsia" w:hAnsi="宋体"/>
                <w:color w:val="auto"/>
                <w:sz w:val="18"/>
                <w:szCs w:val="18"/>
                <w:lang w:val="en-US" w:eastAsia="zh-CN"/>
              </w:rPr>
              <w:t>报告7</w:t>
            </w:r>
          </w:p>
        </w:tc>
        <w:tc>
          <w:tcPr>
            <w:tcW w:w="373" w:type="pct"/>
            <w:tcBorders>
              <w:left w:val="single" w:color="auto" w:sz="8" w:space="0"/>
              <w:bottom w:val="single" w:color="auto" w:sz="8" w:space="0"/>
              <w:right w:val="single" w:color="auto" w:sz="4" w:space="0"/>
            </w:tcBorders>
            <w:shd w:val="clear" w:color="auto" w:fill="auto"/>
            <w:vAlign w:val="center"/>
          </w:tcPr>
          <w:p>
            <w:pPr>
              <w:pStyle w:val="13"/>
              <w:keepNext w:val="0"/>
              <w:keepLines w:val="0"/>
              <w:widowControl/>
              <w:suppressLineNumbers w:val="0"/>
              <w:spacing w:before="0" w:beforeAutospacing="0" w:after="0" w:afterAutospacing="0"/>
              <w:ind w:left="0" w:right="0" w:firstLine="0" w:firstLineChars="0"/>
              <w:jc w:val="center"/>
              <w:rPr>
                <w:rFonts w:hint="default" w:hAnsi="宋体"/>
                <w:color w:val="auto"/>
                <w:sz w:val="18"/>
                <w:szCs w:val="18"/>
                <w:lang w:val="en-US" w:eastAsia="zh-CN"/>
              </w:rPr>
            </w:pPr>
            <w:r>
              <w:rPr>
                <w:rFonts w:hint="eastAsia" w:hAnsi="宋体"/>
                <w:color w:val="auto"/>
                <w:sz w:val="18"/>
                <w:szCs w:val="18"/>
                <w:lang w:val="en-US" w:eastAsia="zh-CN"/>
              </w:rPr>
              <w:t>报告8</w:t>
            </w:r>
          </w:p>
        </w:tc>
        <w:tc>
          <w:tcPr>
            <w:tcW w:w="373" w:type="pct"/>
            <w:tcBorders>
              <w:left w:val="single" w:color="auto" w:sz="8" w:space="0"/>
              <w:bottom w:val="single" w:color="auto" w:sz="8" w:space="0"/>
              <w:right w:val="single" w:color="auto" w:sz="4" w:space="0"/>
            </w:tcBorders>
            <w:shd w:val="clear" w:color="auto" w:fill="auto"/>
            <w:vAlign w:val="center"/>
          </w:tcPr>
          <w:p>
            <w:pPr>
              <w:pStyle w:val="13"/>
              <w:keepNext w:val="0"/>
              <w:keepLines w:val="0"/>
              <w:widowControl/>
              <w:suppressLineNumbers w:val="0"/>
              <w:spacing w:before="0" w:beforeAutospacing="0" w:after="0" w:afterAutospacing="0"/>
              <w:ind w:left="0" w:right="0" w:firstLine="0" w:firstLineChars="0"/>
              <w:jc w:val="center"/>
              <w:rPr>
                <w:rFonts w:hint="default" w:hAnsi="宋体"/>
                <w:color w:val="auto"/>
                <w:sz w:val="18"/>
                <w:szCs w:val="18"/>
                <w:lang w:val="en-US" w:eastAsia="zh-CN"/>
              </w:rPr>
            </w:pPr>
            <w:r>
              <w:rPr>
                <w:rFonts w:hint="eastAsia" w:hAnsi="宋体"/>
                <w:color w:val="auto"/>
                <w:sz w:val="18"/>
                <w:szCs w:val="18"/>
                <w:lang w:val="en-US" w:eastAsia="zh-CN"/>
              </w:rPr>
              <w:t>报告9</w:t>
            </w:r>
          </w:p>
        </w:tc>
        <w:tc>
          <w:tcPr>
            <w:tcW w:w="373" w:type="pct"/>
            <w:tcBorders>
              <w:left w:val="single" w:color="auto" w:sz="8" w:space="0"/>
              <w:bottom w:val="single" w:color="auto" w:sz="8" w:space="0"/>
              <w:right w:val="single" w:color="auto" w:sz="4" w:space="0"/>
            </w:tcBorders>
            <w:shd w:val="clear" w:color="auto" w:fill="auto"/>
            <w:vAlign w:val="center"/>
          </w:tcPr>
          <w:p>
            <w:pPr>
              <w:pStyle w:val="13"/>
              <w:keepNext w:val="0"/>
              <w:keepLines w:val="0"/>
              <w:widowControl/>
              <w:suppressLineNumbers w:val="0"/>
              <w:spacing w:before="0" w:beforeAutospacing="0" w:after="0" w:afterAutospacing="0"/>
              <w:ind w:left="0" w:right="0" w:firstLine="0" w:firstLineChars="0"/>
              <w:jc w:val="center"/>
              <w:rPr>
                <w:rFonts w:hint="default" w:hAnsi="宋体"/>
                <w:color w:val="auto"/>
                <w:sz w:val="18"/>
                <w:szCs w:val="18"/>
                <w:lang w:val="en-US" w:eastAsia="zh-CN"/>
              </w:rPr>
            </w:pPr>
            <w:r>
              <w:rPr>
                <w:rFonts w:hint="eastAsia" w:hAnsi="宋体"/>
                <w:color w:val="auto"/>
                <w:sz w:val="18"/>
                <w:szCs w:val="18"/>
                <w:lang w:val="en-US" w:eastAsia="zh-CN"/>
              </w:rPr>
              <w:t>报告10</w:t>
            </w:r>
          </w:p>
        </w:tc>
        <w:tc>
          <w:tcPr>
            <w:tcW w:w="377" w:type="pct"/>
            <w:tcBorders>
              <w:left w:val="single" w:color="auto" w:sz="8" w:space="0"/>
              <w:bottom w:val="single" w:color="auto" w:sz="8" w:space="0"/>
              <w:right w:val="single" w:color="auto" w:sz="4" w:space="0"/>
            </w:tcBorders>
            <w:shd w:val="clear" w:color="auto" w:fill="auto"/>
            <w:vAlign w:val="center"/>
          </w:tcPr>
          <w:p>
            <w:pPr>
              <w:pStyle w:val="13"/>
              <w:keepNext w:val="0"/>
              <w:keepLines w:val="0"/>
              <w:widowControl/>
              <w:suppressLineNumbers w:val="0"/>
              <w:spacing w:before="0" w:beforeAutospacing="0" w:after="0" w:afterAutospacing="0"/>
              <w:ind w:left="0" w:right="0" w:firstLine="0" w:firstLineChars="0"/>
              <w:jc w:val="center"/>
              <w:rPr>
                <w:rFonts w:hint="default" w:hAnsi="宋体"/>
                <w:color w:val="auto"/>
                <w:sz w:val="18"/>
                <w:szCs w:val="18"/>
                <w:lang w:val="en-US" w:eastAsia="zh-CN"/>
              </w:rPr>
            </w:pPr>
            <w:r>
              <w:rPr>
                <w:rFonts w:hint="eastAsia" w:hAnsi="宋体"/>
                <w:color w:val="auto"/>
                <w:sz w:val="18"/>
                <w:szCs w:val="18"/>
                <w:lang w:val="en-US" w:eastAsia="zh-CN"/>
              </w:rPr>
              <w:t>报告11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9" w:hRule="exact"/>
          <w:jc w:val="center"/>
        </w:trPr>
        <w:tc>
          <w:tcPr>
            <w:tcW w:w="558" w:type="pct"/>
            <w:vMerge w:val="restart"/>
            <w:tcBorders>
              <w:top w:val="single" w:color="auto" w:sz="4" w:space="0"/>
              <w:left w:val="single" w:color="auto" w:sz="8" w:space="0"/>
              <w:right w:val="single" w:color="auto" w:sz="4" w:space="0"/>
            </w:tcBorders>
            <w:shd w:val="clear" w:color="auto" w:fill="auto"/>
            <w:vAlign w:val="center"/>
          </w:tcPr>
          <w:p>
            <w:pPr>
              <w:pStyle w:val="13"/>
              <w:keepNext w:val="0"/>
              <w:keepLines w:val="0"/>
              <w:widowControl/>
              <w:suppressLineNumbers w:val="0"/>
              <w:spacing w:before="0" w:beforeAutospacing="0" w:after="0" w:afterAutospacing="0" w:line="300" w:lineRule="exact"/>
              <w:ind w:left="0" w:right="0" w:firstLine="0" w:firstLineChars="0"/>
              <w:jc w:val="center"/>
              <w:rPr>
                <w:rFonts w:hint="default" w:hAnsi="宋体"/>
                <w:b/>
                <w:bCs/>
                <w:color w:val="auto"/>
                <w:sz w:val="18"/>
                <w:szCs w:val="18"/>
                <w:lang w:val="en-US"/>
              </w:rPr>
            </w:pPr>
            <w:r>
              <w:rPr>
                <w:rFonts w:hint="default" w:hAnsi="宋体"/>
                <w:color w:val="auto"/>
                <w:sz w:val="18"/>
                <w:szCs w:val="18"/>
              </w:rPr>
              <w:t>蛋白质</w:t>
            </w:r>
            <w:r>
              <w:rPr>
                <w:rFonts w:hint="default" w:hAnsi="宋体"/>
                <w:color w:val="auto"/>
                <w:sz w:val="18"/>
                <w:szCs w:val="18"/>
                <w:lang w:val="en-US"/>
              </w:rPr>
              <w:t>/</w:t>
            </w:r>
            <w:r>
              <w:rPr>
                <w:rFonts w:hint="default" w:hAnsi="宋体"/>
                <w:color w:val="auto"/>
                <w:sz w:val="18"/>
                <w:szCs w:val="18"/>
              </w:rPr>
              <w:t>（</w:t>
            </w:r>
            <w:r>
              <w:rPr>
                <w:rFonts w:hint="default" w:hAnsi="宋体"/>
                <w:color w:val="auto"/>
                <w:sz w:val="18"/>
                <w:szCs w:val="18"/>
                <w:lang w:val="en-US"/>
              </w:rPr>
              <w:t>g/100</w:t>
            </w:r>
            <w:r>
              <w:rPr>
                <w:rFonts w:hint="default" w:hAnsi="宋体"/>
                <w:color w:val="auto"/>
                <w:sz w:val="18"/>
                <w:szCs w:val="18"/>
                <w:vertAlign w:val="superscript"/>
                <w:lang w:val="en-US"/>
              </w:rPr>
              <w:t xml:space="preserve"> </w:t>
            </w:r>
            <w:r>
              <w:rPr>
                <w:rFonts w:hint="default" w:hAnsi="宋体"/>
                <w:color w:val="auto"/>
                <w:sz w:val="18"/>
                <w:szCs w:val="18"/>
                <w:lang w:val="en-US"/>
              </w:rPr>
              <w:t>g</w:t>
            </w:r>
            <w:r>
              <w:rPr>
                <w:rFonts w:hint="default" w:hAnsi="宋体"/>
                <w:color w:val="auto"/>
                <w:sz w:val="18"/>
                <w:szCs w:val="18"/>
              </w:rPr>
              <w:t>）</w:t>
            </w:r>
          </w:p>
        </w:tc>
        <w:tc>
          <w:tcPr>
            <w:tcW w:w="333"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3"/>
              <w:keepNext w:val="0"/>
              <w:keepLines w:val="0"/>
              <w:widowControl/>
              <w:suppressLineNumbers w:val="0"/>
              <w:spacing w:before="0" w:beforeAutospacing="0" w:after="0" w:afterAutospacing="0" w:line="300" w:lineRule="exact"/>
              <w:ind w:left="0" w:right="0" w:firstLine="0" w:firstLineChars="0"/>
              <w:jc w:val="center"/>
              <w:rPr>
                <w:rFonts w:hint="eastAsia" w:hAnsi="宋体" w:eastAsia="宋体"/>
                <w:b/>
                <w:bCs/>
                <w:color w:val="auto"/>
                <w:sz w:val="18"/>
                <w:szCs w:val="18"/>
                <w:lang w:val="en-US" w:eastAsia="zh-CN"/>
              </w:rPr>
            </w:pPr>
            <w:r>
              <w:rPr>
                <w:rFonts w:hint="eastAsia" w:hAnsi="宋体"/>
                <w:b/>
                <w:bCs/>
                <w:color w:val="auto"/>
                <w:sz w:val="18"/>
                <w:szCs w:val="18"/>
                <w:lang w:val="en-US" w:eastAsia="zh-CN"/>
              </w:rPr>
              <w:t>薯肉</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b/>
                <w:bCs/>
                <w:color w:val="auto"/>
                <w:kern w:val="0"/>
                <w:sz w:val="18"/>
                <w:szCs w:val="18"/>
                <w:lang w:val="en-US"/>
              </w:rPr>
            </w:pPr>
            <w:r>
              <w:rPr>
                <w:rFonts w:hint="eastAsia" w:ascii="宋体" w:hAnsi="宋体" w:eastAsia="宋体" w:cs="宋体"/>
                <w:b/>
                <w:bCs/>
                <w:color w:val="auto"/>
                <w:kern w:val="0"/>
                <w:sz w:val="18"/>
                <w:szCs w:val="18"/>
                <w:lang w:val="en-US" w:eastAsia="zh-CN" w:bidi="ar"/>
              </w:rPr>
              <w:t>0.83</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b/>
                <w:bCs/>
                <w:color w:val="auto"/>
                <w:kern w:val="0"/>
                <w:sz w:val="18"/>
                <w:szCs w:val="18"/>
                <w:lang w:val="en-US" w:eastAsia="zh-CN"/>
              </w:rPr>
            </w:pPr>
            <w:r>
              <w:rPr>
                <w:rFonts w:hint="eastAsia" w:ascii="宋体" w:hAnsi="宋体" w:eastAsia="宋体" w:cs="宋体"/>
                <w:b/>
                <w:bCs/>
                <w:color w:val="auto"/>
                <w:kern w:val="0"/>
                <w:sz w:val="18"/>
                <w:szCs w:val="18"/>
                <w:lang w:val="en-US" w:eastAsia="zh-CN"/>
              </w:rPr>
              <w:t>0.60</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b/>
                <w:bCs/>
                <w:color w:val="auto"/>
                <w:kern w:val="0"/>
                <w:sz w:val="18"/>
                <w:szCs w:val="18"/>
                <w:lang w:val="en-US" w:eastAsia="zh-CN" w:bidi="ar"/>
              </w:rPr>
            </w:pPr>
            <w:r>
              <w:rPr>
                <w:rFonts w:hint="eastAsia" w:ascii="宋体" w:hAnsi="宋体" w:eastAsia="宋体" w:cs="宋体"/>
                <w:b/>
                <w:bCs/>
                <w:color w:val="auto"/>
                <w:kern w:val="0"/>
                <w:sz w:val="18"/>
                <w:szCs w:val="18"/>
                <w:lang w:val="en-US" w:eastAsia="zh-CN" w:bidi="ar"/>
              </w:rPr>
              <w:t>0.93</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b/>
                <w:bCs/>
                <w:color w:val="auto"/>
                <w:kern w:val="0"/>
                <w:sz w:val="18"/>
                <w:szCs w:val="18"/>
                <w:lang w:val="en-US" w:eastAsia="zh-CN" w:bidi="ar"/>
              </w:rPr>
            </w:pPr>
            <w:r>
              <w:rPr>
                <w:rFonts w:hint="eastAsia" w:ascii="宋体" w:hAnsi="宋体" w:eastAsia="宋体" w:cs="宋体"/>
                <w:b/>
                <w:bCs/>
                <w:color w:val="auto"/>
                <w:kern w:val="0"/>
                <w:sz w:val="18"/>
                <w:szCs w:val="18"/>
                <w:lang w:val="en-US" w:eastAsia="zh-CN" w:bidi="ar"/>
              </w:rPr>
              <w:t>0.83</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b/>
                <w:bCs/>
                <w:color w:val="auto"/>
                <w:kern w:val="0"/>
                <w:sz w:val="18"/>
                <w:szCs w:val="18"/>
                <w:lang w:val="en-US" w:eastAsia="zh-CN" w:bidi="ar"/>
              </w:rPr>
            </w:pPr>
            <w:r>
              <w:rPr>
                <w:rFonts w:hint="eastAsia" w:ascii="宋体" w:hAnsi="宋体" w:eastAsia="宋体" w:cs="宋体"/>
                <w:b/>
                <w:bCs/>
                <w:color w:val="auto"/>
                <w:kern w:val="0"/>
                <w:sz w:val="18"/>
                <w:szCs w:val="18"/>
                <w:lang w:val="en-US" w:eastAsia="zh-CN" w:bidi="ar"/>
              </w:rPr>
              <w:t>0.69</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b/>
                <w:bCs/>
                <w:color w:val="auto"/>
                <w:kern w:val="0"/>
                <w:sz w:val="18"/>
                <w:szCs w:val="18"/>
                <w:lang w:val="en-US" w:eastAsia="zh-CN" w:bidi="ar"/>
              </w:rPr>
            </w:pPr>
            <w:r>
              <w:rPr>
                <w:rFonts w:hint="eastAsia" w:ascii="宋体" w:hAnsi="宋体" w:eastAsia="宋体" w:cs="宋体"/>
                <w:b/>
                <w:bCs/>
                <w:color w:val="auto"/>
                <w:kern w:val="0"/>
                <w:sz w:val="18"/>
                <w:szCs w:val="18"/>
                <w:lang w:val="en-US" w:eastAsia="zh-CN" w:bidi="ar"/>
              </w:rPr>
              <w:t>0.76</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b/>
                <w:bCs/>
                <w:color w:val="auto"/>
                <w:kern w:val="0"/>
                <w:sz w:val="18"/>
                <w:szCs w:val="18"/>
                <w:lang w:val="en-US" w:eastAsia="zh-CN" w:bidi="ar"/>
              </w:rPr>
            </w:pPr>
            <w:r>
              <w:rPr>
                <w:rFonts w:hint="eastAsia" w:ascii="宋体" w:hAnsi="宋体" w:eastAsia="宋体" w:cs="宋体"/>
                <w:b/>
                <w:bCs/>
                <w:color w:val="auto"/>
                <w:kern w:val="0"/>
                <w:sz w:val="18"/>
                <w:szCs w:val="18"/>
                <w:lang w:val="en-US" w:eastAsia="zh-CN" w:bidi="ar"/>
              </w:rPr>
              <w:t>0</w:t>
            </w:r>
            <w:r>
              <w:rPr>
                <w:rFonts w:hint="eastAsia" w:ascii="宋体" w:hAnsi="宋体" w:cs="宋体"/>
                <w:b/>
                <w:bCs/>
                <w:color w:val="auto"/>
                <w:kern w:val="0"/>
                <w:sz w:val="18"/>
                <w:szCs w:val="18"/>
                <w:lang w:val="en-US" w:eastAsia="zh-CN" w:bidi="ar"/>
              </w:rPr>
              <w:t>.</w:t>
            </w:r>
            <w:r>
              <w:rPr>
                <w:rFonts w:hint="eastAsia" w:ascii="宋体" w:hAnsi="宋体" w:eastAsia="宋体" w:cs="宋体"/>
                <w:b/>
                <w:bCs/>
                <w:color w:val="auto"/>
                <w:kern w:val="0"/>
                <w:sz w:val="18"/>
                <w:szCs w:val="18"/>
                <w:lang w:val="en-US" w:eastAsia="zh-CN" w:bidi="ar"/>
              </w:rPr>
              <w:t>68</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leftChars="0" w:right="0" w:rightChars="0"/>
              <w:jc w:val="center"/>
              <w:rPr>
                <w:rFonts w:hint="eastAsia" w:ascii="宋体" w:hAnsi="宋体" w:eastAsia="宋体" w:cs="宋体"/>
                <w:b/>
                <w:bCs/>
                <w:color w:val="auto"/>
                <w:kern w:val="0"/>
                <w:sz w:val="18"/>
                <w:szCs w:val="18"/>
                <w:lang w:val="en-US" w:eastAsia="zh-CN" w:bidi="ar"/>
              </w:rPr>
            </w:pPr>
            <w:r>
              <w:rPr>
                <w:rFonts w:hint="eastAsia" w:ascii="宋体" w:hAnsi="宋体" w:cs="宋体"/>
                <w:b/>
                <w:bCs/>
                <w:color w:val="auto"/>
                <w:kern w:val="0"/>
                <w:sz w:val="18"/>
                <w:szCs w:val="18"/>
                <w:lang w:val="en-US" w:eastAsia="zh-CN" w:bidi="ar"/>
              </w:rPr>
              <w:t>1.36</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leftChars="0" w:right="0" w:rightChars="0"/>
              <w:jc w:val="center"/>
              <w:rPr>
                <w:rFonts w:hint="eastAsia" w:ascii="宋体" w:hAnsi="宋体" w:eastAsia="宋体" w:cs="宋体"/>
                <w:b/>
                <w:bCs/>
                <w:color w:val="auto"/>
                <w:kern w:val="0"/>
                <w:sz w:val="18"/>
                <w:szCs w:val="18"/>
                <w:lang w:val="en-US" w:eastAsia="zh-CN" w:bidi="ar"/>
              </w:rPr>
            </w:pPr>
            <w:r>
              <w:rPr>
                <w:rFonts w:hint="eastAsia" w:ascii="宋体" w:hAnsi="宋体" w:cs="宋体"/>
                <w:b/>
                <w:bCs/>
                <w:color w:val="auto"/>
                <w:kern w:val="0"/>
                <w:sz w:val="18"/>
                <w:szCs w:val="18"/>
                <w:lang w:val="en-US" w:eastAsia="zh-CN" w:bidi="ar"/>
              </w:rPr>
              <w:t>0.88</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leftChars="0" w:right="0" w:rightChars="0"/>
              <w:jc w:val="center"/>
              <w:rPr>
                <w:rFonts w:hint="eastAsia" w:ascii="宋体" w:hAnsi="宋体" w:eastAsia="宋体" w:cs="宋体"/>
                <w:b/>
                <w:bCs/>
                <w:color w:val="auto"/>
                <w:kern w:val="0"/>
                <w:sz w:val="18"/>
                <w:szCs w:val="18"/>
                <w:lang w:val="en-US" w:eastAsia="zh-CN" w:bidi="ar"/>
              </w:rPr>
            </w:pPr>
            <w:r>
              <w:rPr>
                <w:rFonts w:hint="eastAsia" w:ascii="宋体" w:hAnsi="宋体" w:cs="宋体"/>
                <w:b/>
                <w:bCs/>
                <w:color w:val="auto"/>
                <w:kern w:val="0"/>
                <w:sz w:val="18"/>
                <w:szCs w:val="18"/>
                <w:lang w:val="en-US" w:eastAsia="zh-CN" w:bidi="ar"/>
              </w:rPr>
              <w:t>1.56</w:t>
            </w:r>
          </w:p>
        </w:tc>
        <w:tc>
          <w:tcPr>
            <w:tcW w:w="377"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leftChars="0" w:right="0" w:rightChars="0"/>
              <w:jc w:val="center"/>
              <w:rPr>
                <w:rFonts w:hint="eastAsia" w:ascii="宋体" w:hAnsi="宋体" w:eastAsia="宋体" w:cs="宋体"/>
                <w:b/>
                <w:bCs/>
                <w:color w:val="auto"/>
                <w:kern w:val="0"/>
                <w:sz w:val="18"/>
                <w:szCs w:val="18"/>
                <w:lang w:val="en-US" w:eastAsia="zh-CN" w:bidi="ar"/>
              </w:rPr>
            </w:pPr>
            <w:r>
              <w:rPr>
                <w:rFonts w:hint="eastAsia" w:ascii="宋体" w:hAnsi="宋体" w:cs="宋体"/>
                <w:b/>
                <w:bCs/>
                <w:color w:val="auto"/>
                <w:kern w:val="0"/>
                <w:sz w:val="18"/>
                <w:szCs w:val="18"/>
                <w:lang w:val="en-US" w:eastAsia="zh-CN" w:bidi="ar"/>
              </w:rPr>
              <w:t>1.68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9" w:hRule="exact"/>
          <w:jc w:val="center"/>
        </w:trPr>
        <w:tc>
          <w:tcPr>
            <w:tcW w:w="558" w:type="pct"/>
            <w:vMerge w:val="continue"/>
            <w:tcBorders>
              <w:left w:val="single" w:color="auto" w:sz="8" w:space="0"/>
              <w:right w:val="single" w:color="auto" w:sz="4" w:space="0"/>
            </w:tcBorders>
            <w:shd w:val="clear" w:color="auto" w:fill="auto"/>
            <w:vAlign w:val="center"/>
          </w:tcPr>
          <w:p>
            <w:pPr>
              <w:pStyle w:val="13"/>
              <w:keepNext w:val="0"/>
              <w:keepLines w:val="0"/>
              <w:widowControl/>
              <w:suppressLineNumbers w:val="0"/>
              <w:spacing w:before="0" w:beforeAutospacing="0" w:after="0" w:afterAutospacing="0" w:line="300" w:lineRule="exact"/>
              <w:ind w:left="0" w:right="0" w:firstLine="0" w:firstLineChars="0"/>
              <w:jc w:val="center"/>
              <w:rPr>
                <w:rFonts w:hint="default" w:hAnsi="宋体"/>
                <w:color w:val="auto"/>
                <w:sz w:val="18"/>
                <w:szCs w:val="18"/>
              </w:rPr>
            </w:pPr>
          </w:p>
        </w:tc>
        <w:tc>
          <w:tcPr>
            <w:tcW w:w="333"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3"/>
              <w:keepNext w:val="0"/>
              <w:keepLines w:val="0"/>
              <w:widowControl/>
              <w:suppressLineNumbers w:val="0"/>
              <w:spacing w:before="0" w:beforeAutospacing="0" w:after="0" w:afterAutospacing="0" w:line="300" w:lineRule="exact"/>
              <w:ind w:left="0" w:leftChars="0" w:right="0" w:rightChars="0" w:firstLine="0" w:firstLineChars="0"/>
              <w:jc w:val="center"/>
              <w:rPr>
                <w:rFonts w:hint="eastAsia" w:ascii="宋体" w:hAnsi="宋体" w:eastAsia="宋体" w:cs="Times New Roman"/>
                <w:color w:val="auto"/>
                <w:kern w:val="0"/>
                <w:sz w:val="18"/>
                <w:szCs w:val="18"/>
                <w:lang w:val="en-US" w:eastAsia="zh-CN" w:bidi="ar"/>
              </w:rPr>
            </w:pPr>
            <w:r>
              <w:rPr>
                <w:rFonts w:hint="eastAsia" w:hAnsi="宋体"/>
                <w:color w:val="auto"/>
                <w:sz w:val="18"/>
                <w:szCs w:val="18"/>
                <w:lang w:val="en-US" w:eastAsia="zh-CN"/>
              </w:rPr>
              <w:t>内皮</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leftChars="0" w:right="0" w:rightChars="0"/>
              <w:jc w:val="center"/>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1.71</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leftChars="0" w:right="0" w:rightChars="0"/>
              <w:jc w:val="center"/>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1.86</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leftChars="0" w:right="0" w:rightChars="0"/>
              <w:jc w:val="center"/>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2.19</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leftChars="0" w:right="0" w:rightChars="0"/>
              <w:jc w:val="center"/>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1.89</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leftChars="0" w:right="0" w:rightChars="0"/>
              <w:jc w:val="center"/>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1.88</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leftChars="0" w:right="0" w:rightChars="0"/>
              <w:jc w:val="center"/>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2.40</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leftChars="0" w:right="0" w:rightChars="0"/>
              <w:jc w:val="center"/>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1.85</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leftChars="0" w:right="0" w:rightChars="0"/>
              <w:jc w:val="center"/>
              <w:rPr>
                <w:rFonts w:hint="eastAsia" w:ascii="宋体" w:hAnsi="宋体" w:eastAsia="宋体" w:cs="宋体"/>
                <w:color w:val="auto"/>
                <w:kern w:val="0"/>
                <w:sz w:val="18"/>
                <w:szCs w:val="18"/>
                <w:lang w:val="en-US" w:eastAsia="zh-CN" w:bidi="ar"/>
              </w:rPr>
            </w:pPr>
            <w:r>
              <w:rPr>
                <w:rFonts w:hint="eastAsia" w:ascii="宋体" w:hAnsi="宋体" w:cs="宋体"/>
                <w:color w:val="auto"/>
                <w:kern w:val="0"/>
                <w:sz w:val="18"/>
                <w:szCs w:val="18"/>
                <w:lang w:val="en-US" w:eastAsia="zh-CN" w:bidi="ar"/>
              </w:rPr>
              <w:t>/</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leftChars="0" w:right="0" w:rightChars="0"/>
              <w:jc w:val="center"/>
              <w:rPr>
                <w:rFonts w:hint="eastAsia" w:ascii="宋体" w:hAnsi="宋体" w:eastAsia="宋体" w:cs="宋体"/>
                <w:color w:val="auto"/>
                <w:kern w:val="0"/>
                <w:sz w:val="18"/>
                <w:szCs w:val="18"/>
                <w:lang w:val="en-US" w:eastAsia="zh-CN" w:bidi="ar"/>
              </w:rPr>
            </w:pPr>
            <w:r>
              <w:rPr>
                <w:rFonts w:hint="eastAsia" w:ascii="宋体" w:hAnsi="宋体" w:cs="宋体"/>
                <w:color w:val="auto"/>
                <w:kern w:val="0"/>
                <w:sz w:val="18"/>
                <w:szCs w:val="18"/>
                <w:lang w:val="en-US" w:eastAsia="zh-CN" w:bidi="ar"/>
              </w:rPr>
              <w:t>/</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leftChars="0" w:right="0" w:rightChars="0"/>
              <w:jc w:val="center"/>
              <w:rPr>
                <w:rFonts w:hint="eastAsia" w:ascii="宋体" w:hAnsi="宋体" w:eastAsia="宋体" w:cs="宋体"/>
                <w:color w:val="auto"/>
                <w:kern w:val="0"/>
                <w:sz w:val="18"/>
                <w:szCs w:val="18"/>
                <w:lang w:val="en-US" w:eastAsia="zh-CN" w:bidi="ar"/>
              </w:rPr>
            </w:pPr>
            <w:r>
              <w:rPr>
                <w:rFonts w:hint="eastAsia" w:ascii="宋体" w:hAnsi="宋体" w:cs="宋体"/>
                <w:color w:val="auto"/>
                <w:kern w:val="0"/>
                <w:sz w:val="18"/>
                <w:szCs w:val="18"/>
                <w:lang w:val="en-US" w:eastAsia="zh-CN" w:bidi="ar"/>
              </w:rPr>
              <w:t>/</w:t>
            </w:r>
          </w:p>
        </w:tc>
        <w:tc>
          <w:tcPr>
            <w:tcW w:w="377"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leftChars="0" w:right="0" w:rightChars="0"/>
              <w:jc w:val="center"/>
              <w:rPr>
                <w:rFonts w:hint="eastAsia" w:ascii="宋体" w:hAnsi="宋体" w:eastAsia="宋体" w:cs="宋体"/>
                <w:color w:val="auto"/>
                <w:kern w:val="0"/>
                <w:sz w:val="18"/>
                <w:szCs w:val="18"/>
                <w:lang w:val="en-US" w:eastAsia="zh-CN" w:bidi="ar"/>
              </w:rPr>
            </w:pPr>
            <w:r>
              <w:rPr>
                <w:rFonts w:hint="eastAsia" w:ascii="宋体" w:hAnsi="宋体" w:cs="宋体"/>
                <w:color w:val="auto"/>
                <w:kern w:val="0"/>
                <w:sz w:val="18"/>
                <w:szCs w:val="18"/>
                <w:lang w:val="en-US" w:eastAsia="zh-CN" w:bidi="ar"/>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9" w:hRule="exact"/>
          <w:jc w:val="center"/>
        </w:trPr>
        <w:tc>
          <w:tcPr>
            <w:tcW w:w="558" w:type="pct"/>
            <w:vMerge w:val="continue"/>
            <w:tcBorders>
              <w:left w:val="single" w:color="auto" w:sz="8" w:space="0"/>
              <w:bottom w:val="single" w:color="auto" w:sz="4" w:space="0"/>
              <w:right w:val="single" w:color="auto" w:sz="4" w:space="0"/>
            </w:tcBorders>
            <w:shd w:val="clear" w:color="auto" w:fill="auto"/>
            <w:vAlign w:val="center"/>
          </w:tcPr>
          <w:p>
            <w:pPr>
              <w:pStyle w:val="13"/>
              <w:keepNext w:val="0"/>
              <w:keepLines w:val="0"/>
              <w:widowControl/>
              <w:suppressLineNumbers w:val="0"/>
              <w:spacing w:before="0" w:beforeAutospacing="0" w:after="0" w:afterAutospacing="0" w:line="300" w:lineRule="exact"/>
              <w:ind w:left="0" w:right="0" w:firstLine="0" w:firstLineChars="0"/>
              <w:jc w:val="center"/>
              <w:rPr>
                <w:rFonts w:hint="default" w:hAnsi="宋体"/>
                <w:color w:val="auto"/>
                <w:sz w:val="18"/>
                <w:szCs w:val="18"/>
              </w:rPr>
            </w:pPr>
          </w:p>
        </w:tc>
        <w:tc>
          <w:tcPr>
            <w:tcW w:w="333"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3"/>
              <w:keepNext w:val="0"/>
              <w:keepLines w:val="0"/>
              <w:widowControl/>
              <w:suppressLineNumbers w:val="0"/>
              <w:spacing w:before="0" w:beforeAutospacing="0" w:after="0" w:afterAutospacing="0" w:line="300" w:lineRule="exact"/>
              <w:ind w:left="0" w:right="0" w:firstLine="0" w:firstLineChars="0"/>
              <w:jc w:val="center"/>
              <w:rPr>
                <w:rFonts w:hint="default" w:hAnsi="宋体" w:eastAsia="宋体"/>
                <w:color w:val="auto"/>
                <w:sz w:val="18"/>
                <w:szCs w:val="18"/>
                <w:lang w:val="en-US" w:eastAsia="zh-CN"/>
              </w:rPr>
            </w:pPr>
            <w:r>
              <w:rPr>
                <w:rFonts w:hint="eastAsia" w:hAnsi="宋体"/>
                <w:color w:val="auto"/>
                <w:sz w:val="18"/>
                <w:szCs w:val="18"/>
                <w:lang w:val="en-US" w:eastAsia="zh-CN"/>
              </w:rPr>
              <w:t>总量</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2.54</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2.46</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3.12</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2.72</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2.57</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3.16</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2.53</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color w:val="auto"/>
                <w:kern w:val="0"/>
                <w:sz w:val="18"/>
                <w:szCs w:val="18"/>
                <w:lang w:val="en-US" w:eastAsia="zh-CN" w:bidi="ar"/>
              </w:rPr>
            </w:pP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color w:val="auto"/>
                <w:kern w:val="0"/>
                <w:sz w:val="18"/>
                <w:szCs w:val="18"/>
                <w:lang w:val="en-US" w:eastAsia="zh-CN" w:bidi="ar"/>
              </w:rPr>
            </w:pP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color w:val="auto"/>
                <w:kern w:val="0"/>
                <w:sz w:val="18"/>
                <w:szCs w:val="18"/>
                <w:lang w:val="en-US" w:eastAsia="zh-CN" w:bidi="ar"/>
              </w:rPr>
            </w:pPr>
          </w:p>
        </w:tc>
        <w:tc>
          <w:tcPr>
            <w:tcW w:w="377"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color w:val="auto"/>
                <w:kern w:val="0"/>
                <w:sz w:val="18"/>
                <w:szCs w:val="18"/>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9" w:hRule="exact"/>
          <w:jc w:val="center"/>
        </w:trPr>
        <w:tc>
          <w:tcPr>
            <w:tcW w:w="558" w:type="pct"/>
            <w:vMerge w:val="restart"/>
            <w:tcBorders>
              <w:top w:val="single" w:color="auto" w:sz="4" w:space="0"/>
              <w:left w:val="single" w:color="auto" w:sz="8" w:space="0"/>
              <w:right w:val="single" w:color="auto" w:sz="4" w:space="0"/>
            </w:tcBorders>
            <w:shd w:val="clear" w:color="auto" w:fill="auto"/>
            <w:vAlign w:val="center"/>
          </w:tcPr>
          <w:p>
            <w:pPr>
              <w:pStyle w:val="13"/>
              <w:keepNext w:val="0"/>
              <w:keepLines w:val="0"/>
              <w:widowControl/>
              <w:suppressLineNumbers w:val="0"/>
              <w:spacing w:before="0" w:beforeAutospacing="0" w:after="0" w:afterAutospacing="0" w:line="300" w:lineRule="exact"/>
              <w:ind w:left="0" w:right="0" w:firstLine="0" w:firstLineChars="0"/>
              <w:jc w:val="center"/>
              <w:rPr>
                <w:rFonts w:hint="default" w:hAnsi="宋体"/>
                <w:color w:val="auto"/>
                <w:sz w:val="18"/>
                <w:szCs w:val="18"/>
                <w:lang w:val="en-US"/>
              </w:rPr>
            </w:pPr>
            <w:r>
              <w:rPr>
                <w:rFonts w:hint="default" w:hAnsi="宋体"/>
                <w:color w:val="auto"/>
                <w:sz w:val="18"/>
                <w:szCs w:val="18"/>
              </w:rPr>
              <w:t>膳食纤维</w:t>
            </w:r>
            <w:r>
              <w:rPr>
                <w:rFonts w:hint="default" w:hAnsi="宋体"/>
                <w:color w:val="auto"/>
                <w:sz w:val="18"/>
                <w:szCs w:val="18"/>
                <w:lang w:val="en-US"/>
              </w:rPr>
              <w:t>/</w:t>
            </w:r>
            <w:r>
              <w:rPr>
                <w:rFonts w:hint="default" w:hAnsi="宋体"/>
                <w:color w:val="auto"/>
                <w:sz w:val="18"/>
                <w:szCs w:val="18"/>
              </w:rPr>
              <w:t>（</w:t>
            </w:r>
            <w:r>
              <w:rPr>
                <w:rFonts w:hint="default" w:hAnsi="宋体"/>
                <w:color w:val="auto"/>
                <w:sz w:val="18"/>
                <w:szCs w:val="18"/>
                <w:lang w:val="en-US"/>
              </w:rPr>
              <w:t>g/100</w:t>
            </w:r>
            <w:r>
              <w:rPr>
                <w:rFonts w:hint="default" w:hAnsi="宋体"/>
                <w:color w:val="auto"/>
                <w:sz w:val="18"/>
                <w:szCs w:val="18"/>
                <w:vertAlign w:val="superscript"/>
                <w:lang w:val="en-US"/>
              </w:rPr>
              <w:t xml:space="preserve"> </w:t>
            </w:r>
            <w:r>
              <w:rPr>
                <w:rFonts w:hint="default" w:hAnsi="宋体"/>
                <w:color w:val="auto"/>
                <w:sz w:val="18"/>
                <w:szCs w:val="18"/>
                <w:lang w:val="en-US"/>
              </w:rPr>
              <w:t>g</w:t>
            </w:r>
            <w:r>
              <w:rPr>
                <w:rFonts w:hint="default" w:hAnsi="宋体"/>
                <w:color w:val="auto"/>
                <w:sz w:val="18"/>
                <w:szCs w:val="18"/>
              </w:rPr>
              <w:t>）</w:t>
            </w:r>
          </w:p>
        </w:tc>
        <w:tc>
          <w:tcPr>
            <w:tcW w:w="333"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3"/>
              <w:keepNext w:val="0"/>
              <w:keepLines w:val="0"/>
              <w:widowControl/>
              <w:suppressLineNumbers w:val="0"/>
              <w:spacing w:before="0" w:beforeAutospacing="0" w:after="0" w:afterAutospacing="0" w:line="300" w:lineRule="exact"/>
              <w:ind w:left="0" w:leftChars="0" w:right="0" w:rightChars="0" w:firstLine="0" w:firstLineChars="0"/>
              <w:jc w:val="center"/>
              <w:rPr>
                <w:rFonts w:hint="eastAsia" w:ascii="宋体" w:hAnsi="宋体" w:eastAsia="宋体" w:cs="Times New Roman"/>
                <w:b/>
                <w:bCs/>
                <w:color w:val="auto"/>
                <w:kern w:val="0"/>
                <w:sz w:val="18"/>
                <w:szCs w:val="18"/>
                <w:lang w:val="en-US" w:eastAsia="zh-CN" w:bidi="ar"/>
              </w:rPr>
            </w:pPr>
            <w:r>
              <w:rPr>
                <w:rFonts w:hint="eastAsia" w:hAnsi="宋体"/>
                <w:b/>
                <w:bCs/>
                <w:color w:val="auto"/>
                <w:sz w:val="18"/>
                <w:szCs w:val="18"/>
                <w:lang w:val="en-US" w:eastAsia="zh-CN"/>
              </w:rPr>
              <w:t>薯肉</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b/>
                <w:bCs/>
                <w:color w:val="auto"/>
                <w:kern w:val="0"/>
                <w:sz w:val="18"/>
                <w:szCs w:val="18"/>
                <w:lang w:val="en-US" w:eastAsia="zh-CN"/>
              </w:rPr>
            </w:pPr>
            <w:r>
              <w:rPr>
                <w:rFonts w:hint="eastAsia" w:ascii="宋体" w:hAnsi="宋体" w:eastAsia="宋体" w:cs="宋体"/>
                <w:b/>
                <w:bCs/>
                <w:color w:val="auto"/>
                <w:kern w:val="0"/>
                <w:sz w:val="18"/>
                <w:szCs w:val="18"/>
                <w:lang w:val="en-US" w:eastAsia="zh-CN"/>
              </w:rPr>
              <w:t>1.96</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b/>
                <w:bCs/>
                <w:color w:val="auto"/>
                <w:kern w:val="0"/>
                <w:sz w:val="18"/>
                <w:szCs w:val="18"/>
                <w:lang w:val="en-US" w:eastAsia="zh-CN"/>
              </w:rPr>
            </w:pPr>
            <w:r>
              <w:rPr>
                <w:rFonts w:hint="eastAsia" w:ascii="宋体" w:hAnsi="宋体" w:eastAsia="宋体" w:cs="宋体"/>
                <w:b/>
                <w:bCs/>
                <w:color w:val="auto"/>
                <w:kern w:val="0"/>
                <w:sz w:val="18"/>
                <w:szCs w:val="18"/>
                <w:lang w:val="en-US" w:eastAsia="zh-CN"/>
              </w:rPr>
              <w:t>2.01</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b/>
                <w:bCs/>
                <w:color w:val="auto"/>
                <w:kern w:val="0"/>
                <w:sz w:val="18"/>
                <w:szCs w:val="18"/>
                <w:lang w:val="en-US" w:eastAsia="zh-CN" w:bidi="ar"/>
              </w:rPr>
            </w:pPr>
            <w:r>
              <w:rPr>
                <w:rFonts w:hint="eastAsia" w:ascii="宋体" w:hAnsi="宋体" w:eastAsia="宋体" w:cs="宋体"/>
                <w:b/>
                <w:bCs/>
                <w:color w:val="auto"/>
                <w:kern w:val="0"/>
                <w:sz w:val="18"/>
                <w:szCs w:val="18"/>
                <w:lang w:val="en-US" w:eastAsia="zh-CN" w:bidi="ar"/>
              </w:rPr>
              <w:t>2.22</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b/>
                <w:bCs/>
                <w:color w:val="auto"/>
                <w:kern w:val="0"/>
                <w:sz w:val="18"/>
                <w:szCs w:val="18"/>
                <w:lang w:val="en-US" w:eastAsia="zh-CN" w:bidi="ar"/>
              </w:rPr>
            </w:pPr>
            <w:r>
              <w:rPr>
                <w:rFonts w:hint="eastAsia" w:ascii="宋体" w:hAnsi="宋体" w:eastAsia="宋体" w:cs="宋体"/>
                <w:b/>
                <w:bCs/>
                <w:color w:val="auto"/>
                <w:kern w:val="0"/>
                <w:sz w:val="18"/>
                <w:szCs w:val="18"/>
                <w:lang w:val="en-US" w:eastAsia="zh-CN" w:bidi="ar"/>
              </w:rPr>
              <w:t>2.29</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b/>
                <w:bCs/>
                <w:color w:val="auto"/>
                <w:kern w:val="0"/>
                <w:sz w:val="18"/>
                <w:szCs w:val="18"/>
                <w:lang w:val="en-US" w:eastAsia="zh-CN" w:bidi="ar"/>
              </w:rPr>
            </w:pPr>
            <w:r>
              <w:rPr>
                <w:rFonts w:hint="eastAsia" w:ascii="宋体" w:hAnsi="宋体" w:eastAsia="宋体" w:cs="宋体"/>
                <w:b/>
                <w:bCs/>
                <w:color w:val="auto"/>
                <w:kern w:val="0"/>
                <w:sz w:val="18"/>
                <w:szCs w:val="18"/>
                <w:lang w:val="en-US" w:eastAsia="zh-CN" w:bidi="ar"/>
              </w:rPr>
              <w:t>2.26</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b/>
                <w:bCs/>
                <w:color w:val="auto"/>
                <w:kern w:val="0"/>
                <w:sz w:val="18"/>
                <w:szCs w:val="18"/>
                <w:lang w:val="en-US" w:eastAsia="zh-CN" w:bidi="ar"/>
              </w:rPr>
            </w:pPr>
            <w:r>
              <w:rPr>
                <w:rFonts w:hint="eastAsia" w:ascii="宋体" w:hAnsi="宋体" w:eastAsia="宋体" w:cs="宋体"/>
                <w:b/>
                <w:bCs/>
                <w:color w:val="auto"/>
                <w:kern w:val="0"/>
                <w:sz w:val="18"/>
                <w:szCs w:val="18"/>
                <w:lang w:val="en-US" w:eastAsia="zh-CN" w:bidi="ar"/>
              </w:rPr>
              <w:t>2.28</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b/>
                <w:bCs/>
                <w:color w:val="auto"/>
                <w:kern w:val="0"/>
                <w:sz w:val="18"/>
                <w:szCs w:val="18"/>
                <w:lang w:val="en-US" w:eastAsia="zh-CN" w:bidi="ar"/>
              </w:rPr>
            </w:pPr>
            <w:r>
              <w:rPr>
                <w:rFonts w:hint="eastAsia" w:ascii="宋体" w:hAnsi="宋体" w:eastAsia="宋体" w:cs="宋体"/>
                <w:b/>
                <w:bCs/>
                <w:color w:val="auto"/>
                <w:kern w:val="0"/>
                <w:sz w:val="18"/>
                <w:szCs w:val="18"/>
                <w:lang w:val="en-US" w:eastAsia="zh-CN" w:bidi="ar"/>
              </w:rPr>
              <w:t>3.02</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leftChars="0" w:right="0" w:rightChars="0"/>
              <w:jc w:val="center"/>
              <w:rPr>
                <w:rFonts w:hint="eastAsia" w:ascii="宋体" w:hAnsi="宋体" w:eastAsia="宋体" w:cs="宋体"/>
                <w:b/>
                <w:bCs/>
                <w:color w:val="auto"/>
                <w:kern w:val="0"/>
                <w:sz w:val="18"/>
                <w:szCs w:val="18"/>
                <w:lang w:val="en-US" w:eastAsia="zh-CN" w:bidi="ar"/>
              </w:rPr>
            </w:pPr>
            <w:r>
              <w:rPr>
                <w:rFonts w:hint="eastAsia" w:ascii="宋体" w:hAnsi="宋体" w:cs="宋体"/>
                <w:b/>
                <w:bCs/>
                <w:color w:val="auto"/>
                <w:kern w:val="0"/>
                <w:sz w:val="18"/>
                <w:szCs w:val="18"/>
                <w:lang w:val="en-US" w:eastAsia="zh-CN" w:bidi="ar"/>
              </w:rPr>
              <w:t>2.06</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leftChars="0" w:right="0" w:rightChars="0"/>
              <w:jc w:val="center"/>
              <w:rPr>
                <w:rFonts w:hint="eastAsia" w:ascii="宋体" w:hAnsi="宋体" w:eastAsia="宋体" w:cs="宋体"/>
                <w:b/>
                <w:bCs/>
                <w:color w:val="auto"/>
                <w:kern w:val="0"/>
                <w:sz w:val="18"/>
                <w:szCs w:val="18"/>
                <w:lang w:val="en-US" w:eastAsia="zh-CN" w:bidi="ar"/>
              </w:rPr>
            </w:pPr>
            <w:r>
              <w:rPr>
                <w:rFonts w:hint="eastAsia" w:ascii="宋体" w:hAnsi="宋体" w:cs="宋体"/>
                <w:b/>
                <w:bCs/>
                <w:color w:val="auto"/>
                <w:kern w:val="0"/>
                <w:sz w:val="18"/>
                <w:szCs w:val="18"/>
                <w:lang w:val="en-US" w:eastAsia="zh-CN" w:bidi="ar"/>
              </w:rPr>
              <w:t>4.43</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leftChars="0" w:right="0" w:rightChars="0"/>
              <w:jc w:val="center"/>
              <w:rPr>
                <w:rFonts w:hint="eastAsia" w:ascii="宋体" w:hAnsi="宋体" w:eastAsia="宋体" w:cs="宋体"/>
                <w:b/>
                <w:bCs/>
                <w:color w:val="auto"/>
                <w:kern w:val="0"/>
                <w:sz w:val="18"/>
                <w:szCs w:val="18"/>
                <w:lang w:val="en-US" w:eastAsia="zh-CN" w:bidi="ar"/>
              </w:rPr>
            </w:pPr>
            <w:r>
              <w:rPr>
                <w:rFonts w:hint="eastAsia" w:ascii="宋体" w:hAnsi="宋体" w:cs="宋体"/>
                <w:b/>
                <w:bCs/>
                <w:color w:val="auto"/>
                <w:kern w:val="0"/>
                <w:sz w:val="18"/>
                <w:szCs w:val="18"/>
                <w:lang w:val="en-US" w:eastAsia="zh-CN" w:bidi="ar"/>
              </w:rPr>
              <w:t>2.80</w:t>
            </w:r>
          </w:p>
        </w:tc>
        <w:tc>
          <w:tcPr>
            <w:tcW w:w="377"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leftChars="0" w:right="0" w:rightChars="0"/>
              <w:jc w:val="center"/>
              <w:rPr>
                <w:rFonts w:hint="eastAsia" w:ascii="宋体" w:hAnsi="宋体" w:eastAsia="宋体" w:cs="宋体"/>
                <w:b/>
                <w:bCs/>
                <w:color w:val="auto"/>
                <w:kern w:val="0"/>
                <w:sz w:val="18"/>
                <w:szCs w:val="18"/>
                <w:lang w:val="en-US" w:eastAsia="zh-CN" w:bidi="ar"/>
              </w:rPr>
            </w:pPr>
            <w:r>
              <w:rPr>
                <w:rFonts w:hint="eastAsia" w:ascii="宋体" w:hAnsi="宋体" w:cs="宋体"/>
                <w:b/>
                <w:bCs/>
                <w:color w:val="auto"/>
                <w:kern w:val="0"/>
                <w:sz w:val="18"/>
                <w:szCs w:val="18"/>
                <w:lang w:val="en-US" w:eastAsia="zh-CN" w:bidi="ar"/>
              </w:rPr>
              <w:t>1.84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0" w:hRule="exact"/>
          <w:jc w:val="center"/>
        </w:trPr>
        <w:tc>
          <w:tcPr>
            <w:tcW w:w="558" w:type="pct"/>
            <w:vMerge w:val="continue"/>
            <w:tcBorders>
              <w:left w:val="single" w:color="auto" w:sz="8" w:space="0"/>
              <w:right w:val="single" w:color="auto" w:sz="4" w:space="0"/>
            </w:tcBorders>
            <w:shd w:val="clear" w:color="auto" w:fill="auto"/>
            <w:vAlign w:val="center"/>
          </w:tcPr>
          <w:p>
            <w:pPr>
              <w:pStyle w:val="13"/>
              <w:keepNext w:val="0"/>
              <w:keepLines w:val="0"/>
              <w:widowControl/>
              <w:suppressLineNumbers w:val="0"/>
              <w:spacing w:before="0" w:beforeAutospacing="0" w:after="0" w:afterAutospacing="0" w:line="300" w:lineRule="exact"/>
              <w:ind w:left="0" w:right="0" w:firstLine="0" w:firstLineChars="0"/>
              <w:jc w:val="center"/>
              <w:rPr>
                <w:rFonts w:hint="default" w:hAnsi="宋体"/>
                <w:color w:val="auto"/>
                <w:sz w:val="18"/>
                <w:szCs w:val="18"/>
              </w:rPr>
            </w:pPr>
          </w:p>
        </w:tc>
        <w:tc>
          <w:tcPr>
            <w:tcW w:w="333"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3"/>
              <w:keepNext w:val="0"/>
              <w:keepLines w:val="0"/>
              <w:widowControl/>
              <w:suppressLineNumbers w:val="0"/>
              <w:spacing w:before="0" w:beforeAutospacing="0" w:after="0" w:afterAutospacing="0" w:line="300" w:lineRule="exact"/>
              <w:ind w:left="0" w:leftChars="0" w:right="0" w:rightChars="0" w:firstLine="0" w:firstLineChars="0"/>
              <w:jc w:val="center"/>
              <w:rPr>
                <w:rFonts w:hint="eastAsia" w:ascii="宋体" w:hAnsi="宋体" w:eastAsia="宋体" w:cs="Times New Roman"/>
                <w:color w:val="auto"/>
                <w:kern w:val="0"/>
                <w:sz w:val="18"/>
                <w:szCs w:val="18"/>
                <w:lang w:val="en-US" w:eastAsia="zh-CN" w:bidi="ar"/>
              </w:rPr>
            </w:pPr>
            <w:r>
              <w:rPr>
                <w:rFonts w:hint="eastAsia" w:hAnsi="宋体"/>
                <w:color w:val="auto"/>
                <w:sz w:val="18"/>
                <w:szCs w:val="18"/>
                <w:lang w:val="en-US" w:eastAsia="zh-CN"/>
              </w:rPr>
              <w:t>内皮</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leftChars="0" w:right="0" w:rightChars="0"/>
              <w:jc w:val="center"/>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leftChars="0" w:right="0" w:rightChars="0"/>
              <w:jc w:val="center"/>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leftChars="0" w:right="0" w:rightChars="0"/>
              <w:jc w:val="center"/>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leftChars="0" w:right="0" w:rightChars="0"/>
              <w:jc w:val="center"/>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leftChars="0" w:right="0" w:rightChars="0"/>
              <w:jc w:val="center"/>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leftChars="0" w:right="0" w:rightChars="0"/>
              <w:jc w:val="center"/>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leftChars="0" w:right="0" w:rightChars="0"/>
              <w:jc w:val="center"/>
              <w:rPr>
                <w:rFonts w:hint="eastAsia"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leftChars="0" w:right="0" w:rightChars="0"/>
              <w:jc w:val="center"/>
              <w:rPr>
                <w:rFonts w:hint="eastAsia" w:ascii="宋体" w:hAnsi="宋体" w:eastAsia="宋体" w:cs="宋体"/>
                <w:color w:val="auto"/>
                <w:kern w:val="0"/>
                <w:sz w:val="18"/>
                <w:szCs w:val="18"/>
                <w:lang w:val="en-US" w:eastAsia="zh-CN" w:bidi="ar"/>
              </w:rPr>
            </w:pPr>
            <w:r>
              <w:rPr>
                <w:rFonts w:hint="eastAsia" w:ascii="宋体" w:hAnsi="宋体" w:cs="宋体"/>
                <w:color w:val="auto"/>
                <w:kern w:val="0"/>
                <w:sz w:val="18"/>
                <w:szCs w:val="18"/>
                <w:lang w:val="en-US" w:eastAsia="zh-CN" w:bidi="ar"/>
              </w:rPr>
              <w:t>/</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leftChars="0" w:right="0" w:rightChars="0"/>
              <w:jc w:val="center"/>
              <w:rPr>
                <w:rFonts w:hint="eastAsia" w:ascii="宋体" w:hAnsi="宋体" w:eastAsia="宋体" w:cs="宋体"/>
                <w:color w:val="auto"/>
                <w:kern w:val="0"/>
                <w:sz w:val="18"/>
                <w:szCs w:val="18"/>
                <w:lang w:val="en-US" w:eastAsia="zh-CN" w:bidi="ar"/>
              </w:rPr>
            </w:pPr>
            <w:r>
              <w:rPr>
                <w:rFonts w:hint="eastAsia" w:ascii="宋体" w:hAnsi="宋体" w:cs="宋体"/>
                <w:color w:val="auto"/>
                <w:kern w:val="0"/>
                <w:sz w:val="18"/>
                <w:szCs w:val="18"/>
                <w:lang w:val="en-US" w:eastAsia="zh-CN" w:bidi="ar"/>
              </w:rPr>
              <w:t>/</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leftChars="0" w:right="0" w:rightChars="0"/>
              <w:jc w:val="center"/>
              <w:rPr>
                <w:rFonts w:hint="eastAsia" w:ascii="宋体" w:hAnsi="宋体" w:eastAsia="宋体" w:cs="宋体"/>
                <w:color w:val="auto"/>
                <w:kern w:val="0"/>
                <w:sz w:val="18"/>
                <w:szCs w:val="18"/>
                <w:lang w:val="en-US" w:eastAsia="zh-CN" w:bidi="ar"/>
              </w:rPr>
            </w:pPr>
            <w:r>
              <w:rPr>
                <w:rFonts w:hint="eastAsia" w:ascii="宋体" w:hAnsi="宋体" w:cs="宋体"/>
                <w:color w:val="auto"/>
                <w:kern w:val="0"/>
                <w:sz w:val="18"/>
                <w:szCs w:val="18"/>
                <w:lang w:val="en-US" w:eastAsia="zh-CN" w:bidi="ar"/>
              </w:rPr>
              <w:t>/</w:t>
            </w:r>
          </w:p>
        </w:tc>
        <w:tc>
          <w:tcPr>
            <w:tcW w:w="377"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leftChars="0" w:right="0" w:rightChars="0"/>
              <w:jc w:val="center"/>
              <w:rPr>
                <w:rFonts w:hint="eastAsia" w:ascii="宋体" w:hAnsi="宋体" w:eastAsia="宋体" w:cs="宋体"/>
                <w:color w:val="auto"/>
                <w:kern w:val="0"/>
                <w:sz w:val="18"/>
                <w:szCs w:val="18"/>
                <w:lang w:val="en-US" w:eastAsia="zh-CN" w:bidi="ar"/>
              </w:rPr>
            </w:pPr>
            <w:r>
              <w:rPr>
                <w:rFonts w:hint="eastAsia" w:ascii="宋体" w:hAnsi="宋体" w:cs="宋体"/>
                <w:color w:val="auto"/>
                <w:kern w:val="0"/>
                <w:sz w:val="18"/>
                <w:szCs w:val="18"/>
                <w:lang w:val="en-US" w:eastAsia="zh-CN" w:bidi="ar"/>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558" w:type="pct"/>
            <w:vMerge w:val="continue"/>
            <w:tcBorders>
              <w:left w:val="single" w:color="auto" w:sz="8" w:space="0"/>
              <w:bottom w:val="single" w:color="auto" w:sz="4" w:space="0"/>
              <w:right w:val="single" w:color="auto" w:sz="4" w:space="0"/>
            </w:tcBorders>
            <w:shd w:val="clear" w:color="auto" w:fill="auto"/>
            <w:vAlign w:val="center"/>
          </w:tcPr>
          <w:p>
            <w:pPr>
              <w:pStyle w:val="13"/>
              <w:keepNext w:val="0"/>
              <w:keepLines w:val="0"/>
              <w:widowControl/>
              <w:suppressLineNumbers w:val="0"/>
              <w:spacing w:before="0" w:beforeAutospacing="0" w:after="0" w:afterAutospacing="0" w:line="300" w:lineRule="exact"/>
              <w:ind w:left="0" w:right="0" w:firstLine="0" w:firstLineChars="0"/>
              <w:jc w:val="center"/>
              <w:rPr>
                <w:rFonts w:hint="default" w:hAnsi="宋体"/>
                <w:color w:val="auto"/>
                <w:sz w:val="18"/>
                <w:szCs w:val="18"/>
              </w:rPr>
            </w:pPr>
          </w:p>
        </w:tc>
        <w:tc>
          <w:tcPr>
            <w:tcW w:w="333"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3"/>
              <w:keepNext w:val="0"/>
              <w:keepLines w:val="0"/>
              <w:widowControl/>
              <w:suppressLineNumbers w:val="0"/>
              <w:spacing w:before="0" w:beforeAutospacing="0" w:after="0" w:afterAutospacing="0" w:line="300" w:lineRule="exact"/>
              <w:ind w:left="0" w:leftChars="0" w:right="0" w:rightChars="0" w:firstLine="0" w:firstLineChars="0"/>
              <w:jc w:val="center"/>
              <w:rPr>
                <w:rFonts w:hint="eastAsia" w:ascii="宋体" w:hAnsi="宋体" w:eastAsia="宋体" w:cs="Times New Roman"/>
                <w:color w:val="auto"/>
                <w:kern w:val="0"/>
                <w:sz w:val="18"/>
                <w:szCs w:val="18"/>
                <w:lang w:val="en-US" w:eastAsia="zh-CN" w:bidi="ar"/>
              </w:rPr>
            </w:pPr>
            <w:r>
              <w:rPr>
                <w:rFonts w:hint="eastAsia" w:hAnsi="宋体"/>
                <w:color w:val="auto"/>
                <w:sz w:val="18"/>
                <w:szCs w:val="18"/>
                <w:lang w:val="en-US" w:eastAsia="zh-CN"/>
              </w:rPr>
              <w:t>总量</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leftChars="0" w:right="0" w:rightChars="0"/>
              <w:jc w:val="center"/>
              <w:rPr>
                <w:rFonts w:hint="default"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lang w:val="en-US" w:eastAsia="zh-CN"/>
              </w:rPr>
              <w:t>1.96</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leftChars="0" w:right="0" w:rightChars="0"/>
              <w:jc w:val="center"/>
              <w:rPr>
                <w:rFonts w:hint="default"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lang w:val="en-US" w:eastAsia="zh-CN"/>
              </w:rPr>
              <w:t>2.01</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leftChars="0" w:right="0" w:rightChars="0"/>
              <w:jc w:val="center"/>
              <w:rPr>
                <w:rFonts w:hint="default"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2.22</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leftChars="0" w:right="0" w:rightChars="0"/>
              <w:jc w:val="center"/>
              <w:rPr>
                <w:rFonts w:hint="default"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2.29</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leftChars="0" w:right="0" w:rightChars="0"/>
              <w:jc w:val="center"/>
              <w:rPr>
                <w:rFonts w:hint="default"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2.26</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leftChars="0" w:right="0" w:rightChars="0"/>
              <w:jc w:val="center"/>
              <w:rPr>
                <w:rFonts w:hint="default"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2.28</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leftChars="0" w:right="0" w:rightChars="0"/>
              <w:jc w:val="center"/>
              <w:rPr>
                <w:rFonts w:hint="default"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3.02</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leftChars="0" w:right="0" w:rightChars="0"/>
              <w:jc w:val="center"/>
              <w:rPr>
                <w:rFonts w:hint="default" w:ascii="宋体" w:hAnsi="宋体" w:eastAsia="宋体" w:cs="宋体"/>
                <w:color w:val="auto"/>
                <w:kern w:val="0"/>
                <w:sz w:val="18"/>
                <w:szCs w:val="18"/>
                <w:lang w:val="en-US" w:eastAsia="zh-CN" w:bidi="ar"/>
              </w:rPr>
            </w:pPr>
            <w:r>
              <w:rPr>
                <w:rFonts w:hint="eastAsia" w:ascii="宋体" w:hAnsi="宋体" w:cs="宋体"/>
                <w:color w:val="auto"/>
                <w:kern w:val="0"/>
                <w:sz w:val="18"/>
                <w:szCs w:val="18"/>
                <w:lang w:val="en-US" w:eastAsia="zh-CN" w:bidi="ar"/>
              </w:rPr>
              <w:t>/</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leftChars="0" w:right="0" w:rightChars="0"/>
              <w:jc w:val="center"/>
              <w:rPr>
                <w:rFonts w:hint="eastAsia" w:ascii="宋体" w:hAnsi="宋体" w:eastAsia="宋体" w:cs="宋体"/>
                <w:color w:val="auto"/>
                <w:kern w:val="0"/>
                <w:sz w:val="18"/>
                <w:szCs w:val="18"/>
                <w:lang w:val="en-US" w:eastAsia="zh-CN" w:bidi="ar"/>
              </w:rPr>
            </w:pPr>
            <w:r>
              <w:rPr>
                <w:rFonts w:hint="eastAsia" w:ascii="宋体" w:hAnsi="宋体" w:cs="宋体"/>
                <w:color w:val="auto"/>
                <w:kern w:val="0"/>
                <w:sz w:val="18"/>
                <w:szCs w:val="18"/>
                <w:lang w:val="en-US" w:eastAsia="zh-CN" w:bidi="ar"/>
              </w:rPr>
              <w:t>/</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leftChars="0" w:right="0" w:rightChars="0"/>
              <w:jc w:val="center"/>
              <w:rPr>
                <w:rFonts w:hint="default" w:ascii="宋体" w:hAnsi="宋体" w:eastAsia="宋体" w:cs="宋体"/>
                <w:color w:val="auto"/>
                <w:kern w:val="0"/>
                <w:sz w:val="18"/>
                <w:szCs w:val="18"/>
                <w:lang w:val="en-US" w:eastAsia="zh-CN" w:bidi="ar"/>
              </w:rPr>
            </w:pPr>
            <w:r>
              <w:rPr>
                <w:rFonts w:hint="eastAsia" w:ascii="宋体" w:hAnsi="宋体" w:cs="宋体"/>
                <w:color w:val="auto"/>
                <w:kern w:val="0"/>
                <w:sz w:val="18"/>
                <w:szCs w:val="18"/>
                <w:lang w:val="en-US" w:eastAsia="zh-CN" w:bidi="ar"/>
              </w:rPr>
              <w:t>/</w:t>
            </w:r>
          </w:p>
        </w:tc>
        <w:tc>
          <w:tcPr>
            <w:tcW w:w="377"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leftChars="0" w:right="0" w:rightChars="0"/>
              <w:jc w:val="center"/>
              <w:rPr>
                <w:rFonts w:hint="default" w:ascii="宋体" w:hAnsi="宋体" w:eastAsia="宋体" w:cs="宋体"/>
                <w:color w:val="auto"/>
                <w:kern w:val="0"/>
                <w:sz w:val="18"/>
                <w:szCs w:val="18"/>
                <w:lang w:val="en-US" w:eastAsia="zh-CN" w:bidi="ar"/>
              </w:rPr>
            </w:pPr>
            <w:r>
              <w:rPr>
                <w:rFonts w:hint="eastAsia" w:ascii="宋体" w:hAnsi="宋体" w:cs="宋体"/>
                <w:color w:val="auto"/>
                <w:kern w:val="0"/>
                <w:sz w:val="18"/>
                <w:szCs w:val="18"/>
                <w:lang w:val="en-US" w:eastAsia="zh-CN" w:bidi="ar"/>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558" w:type="pct"/>
            <w:vMerge w:val="restart"/>
            <w:tcBorders>
              <w:top w:val="single" w:color="auto" w:sz="4" w:space="0"/>
              <w:left w:val="single" w:color="auto" w:sz="8" w:space="0"/>
              <w:right w:val="single" w:color="auto" w:sz="4" w:space="0"/>
            </w:tcBorders>
            <w:shd w:val="clear" w:color="auto" w:fill="auto"/>
            <w:vAlign w:val="center"/>
          </w:tcPr>
          <w:p>
            <w:pPr>
              <w:pStyle w:val="13"/>
              <w:keepNext w:val="0"/>
              <w:keepLines w:val="0"/>
              <w:widowControl/>
              <w:suppressLineNumbers w:val="0"/>
              <w:spacing w:before="0" w:beforeAutospacing="0" w:after="0" w:afterAutospacing="0" w:line="300" w:lineRule="exact"/>
              <w:ind w:left="0" w:right="0" w:firstLine="0" w:firstLineChars="0"/>
              <w:jc w:val="center"/>
              <w:rPr>
                <w:rFonts w:hint="default" w:hAnsi="宋体"/>
                <w:color w:val="auto"/>
                <w:sz w:val="18"/>
                <w:szCs w:val="18"/>
                <w:lang w:val="en-US"/>
              </w:rPr>
            </w:pPr>
            <w:r>
              <w:rPr>
                <w:rFonts w:hint="default" w:hAnsi="宋体"/>
                <w:color w:val="auto"/>
                <w:sz w:val="18"/>
                <w:szCs w:val="18"/>
              </w:rPr>
              <w:t>维生素</w:t>
            </w:r>
            <w:r>
              <w:rPr>
                <w:rFonts w:hint="default" w:hAnsi="宋体"/>
                <w:color w:val="auto"/>
                <w:sz w:val="18"/>
                <w:szCs w:val="18"/>
                <w:lang w:val="en-US"/>
              </w:rPr>
              <w:t>C/</w:t>
            </w:r>
            <w:r>
              <w:rPr>
                <w:rFonts w:hint="default" w:hAnsi="宋体"/>
                <w:color w:val="auto"/>
                <w:sz w:val="18"/>
                <w:szCs w:val="18"/>
              </w:rPr>
              <w:t>（</w:t>
            </w:r>
            <w:r>
              <w:rPr>
                <w:rFonts w:hint="default" w:hAnsi="宋体"/>
                <w:color w:val="auto"/>
                <w:sz w:val="18"/>
                <w:szCs w:val="18"/>
                <w:lang w:val="en-US"/>
              </w:rPr>
              <w:t>mg/100</w:t>
            </w:r>
            <w:r>
              <w:rPr>
                <w:rFonts w:hint="default" w:hAnsi="宋体"/>
                <w:color w:val="auto"/>
                <w:sz w:val="18"/>
                <w:szCs w:val="18"/>
                <w:vertAlign w:val="superscript"/>
                <w:lang w:val="en-US"/>
              </w:rPr>
              <w:t xml:space="preserve"> </w:t>
            </w:r>
            <w:r>
              <w:rPr>
                <w:rFonts w:hint="default" w:hAnsi="宋体"/>
                <w:color w:val="auto"/>
                <w:sz w:val="18"/>
                <w:szCs w:val="18"/>
                <w:lang w:val="en-US"/>
              </w:rPr>
              <w:t>g</w:t>
            </w:r>
            <w:r>
              <w:rPr>
                <w:rFonts w:hint="default" w:hAnsi="宋体"/>
                <w:color w:val="auto"/>
                <w:sz w:val="18"/>
                <w:szCs w:val="18"/>
              </w:rPr>
              <w:t>）</w:t>
            </w:r>
          </w:p>
        </w:tc>
        <w:tc>
          <w:tcPr>
            <w:tcW w:w="333"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3"/>
              <w:keepNext w:val="0"/>
              <w:keepLines w:val="0"/>
              <w:widowControl/>
              <w:suppressLineNumbers w:val="0"/>
              <w:spacing w:before="0" w:beforeAutospacing="0" w:after="0" w:afterAutospacing="0" w:line="300" w:lineRule="exact"/>
              <w:ind w:left="0" w:leftChars="0" w:right="0" w:rightChars="0" w:firstLine="0" w:firstLineChars="0"/>
              <w:jc w:val="center"/>
              <w:rPr>
                <w:rFonts w:hint="eastAsia" w:ascii="宋体" w:hAnsi="宋体" w:eastAsia="宋体" w:cs="Times New Roman"/>
                <w:b/>
                <w:bCs/>
                <w:color w:val="auto"/>
                <w:kern w:val="0"/>
                <w:sz w:val="18"/>
                <w:szCs w:val="18"/>
                <w:lang w:val="en-US" w:eastAsia="zh-CN" w:bidi="ar"/>
              </w:rPr>
            </w:pPr>
            <w:r>
              <w:rPr>
                <w:rFonts w:hint="eastAsia" w:hAnsi="宋体"/>
                <w:b/>
                <w:bCs/>
                <w:color w:val="auto"/>
                <w:sz w:val="18"/>
                <w:szCs w:val="18"/>
                <w:lang w:val="en-US" w:eastAsia="zh-CN"/>
              </w:rPr>
              <w:t>薯肉</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b/>
                <w:bCs/>
                <w:color w:val="auto"/>
                <w:kern w:val="0"/>
                <w:sz w:val="18"/>
                <w:szCs w:val="18"/>
                <w:lang w:val="en-US" w:eastAsia="zh-CN"/>
              </w:rPr>
            </w:pPr>
            <w:r>
              <w:rPr>
                <w:rFonts w:hint="eastAsia" w:ascii="宋体" w:hAnsi="宋体" w:eastAsia="宋体" w:cs="宋体"/>
                <w:b/>
                <w:bCs/>
                <w:color w:val="auto"/>
                <w:kern w:val="0"/>
                <w:sz w:val="18"/>
                <w:szCs w:val="18"/>
                <w:lang w:val="en-US" w:eastAsia="zh-CN"/>
              </w:rPr>
              <w:t>20.0</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b/>
                <w:bCs/>
                <w:color w:val="auto"/>
                <w:kern w:val="0"/>
                <w:sz w:val="18"/>
                <w:szCs w:val="18"/>
                <w:lang w:val="en-US" w:eastAsia="zh-CN"/>
              </w:rPr>
            </w:pPr>
            <w:r>
              <w:rPr>
                <w:rFonts w:hint="eastAsia" w:ascii="宋体" w:hAnsi="宋体" w:eastAsia="宋体" w:cs="宋体"/>
                <w:b/>
                <w:bCs/>
                <w:color w:val="auto"/>
                <w:kern w:val="0"/>
                <w:sz w:val="18"/>
                <w:szCs w:val="18"/>
                <w:lang w:val="en-US" w:eastAsia="zh-CN"/>
              </w:rPr>
              <w:t>27.6</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b/>
                <w:bCs/>
                <w:color w:val="auto"/>
                <w:kern w:val="0"/>
                <w:sz w:val="18"/>
                <w:szCs w:val="18"/>
                <w:lang w:val="en-US" w:eastAsia="zh-CN" w:bidi="ar"/>
              </w:rPr>
            </w:pPr>
            <w:r>
              <w:rPr>
                <w:rFonts w:hint="eastAsia" w:ascii="宋体" w:hAnsi="宋体" w:eastAsia="宋体" w:cs="宋体"/>
                <w:b/>
                <w:bCs/>
                <w:color w:val="auto"/>
                <w:kern w:val="0"/>
                <w:sz w:val="18"/>
                <w:szCs w:val="18"/>
                <w:lang w:val="en-US" w:eastAsia="zh-CN" w:bidi="ar"/>
              </w:rPr>
              <w:t>33.5</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b/>
                <w:bCs/>
                <w:color w:val="auto"/>
                <w:kern w:val="0"/>
                <w:sz w:val="18"/>
                <w:szCs w:val="18"/>
                <w:lang w:val="en-US" w:eastAsia="zh-CN" w:bidi="ar"/>
              </w:rPr>
            </w:pPr>
            <w:r>
              <w:rPr>
                <w:rFonts w:hint="eastAsia" w:ascii="宋体" w:hAnsi="宋体" w:eastAsia="宋体" w:cs="宋体"/>
                <w:b/>
                <w:bCs/>
                <w:color w:val="auto"/>
                <w:kern w:val="0"/>
                <w:sz w:val="18"/>
                <w:szCs w:val="18"/>
                <w:lang w:val="en-US" w:eastAsia="zh-CN" w:bidi="ar"/>
              </w:rPr>
              <w:t>19.4</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b/>
                <w:bCs/>
                <w:color w:val="auto"/>
                <w:kern w:val="0"/>
                <w:sz w:val="18"/>
                <w:szCs w:val="18"/>
                <w:lang w:val="en-US" w:eastAsia="zh-CN" w:bidi="ar"/>
              </w:rPr>
            </w:pPr>
            <w:r>
              <w:rPr>
                <w:rFonts w:hint="eastAsia" w:ascii="宋体" w:hAnsi="宋体" w:eastAsia="宋体" w:cs="宋体"/>
                <w:b/>
                <w:bCs/>
                <w:color w:val="auto"/>
                <w:kern w:val="0"/>
                <w:sz w:val="18"/>
                <w:szCs w:val="18"/>
                <w:lang w:val="en-US" w:eastAsia="zh-CN" w:bidi="ar"/>
              </w:rPr>
              <w:t>34.5</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b/>
                <w:bCs/>
                <w:color w:val="auto"/>
                <w:kern w:val="0"/>
                <w:sz w:val="18"/>
                <w:szCs w:val="18"/>
                <w:lang w:val="en-US" w:eastAsia="zh-CN" w:bidi="ar"/>
              </w:rPr>
            </w:pPr>
            <w:r>
              <w:rPr>
                <w:rFonts w:hint="eastAsia" w:ascii="宋体" w:hAnsi="宋体" w:eastAsia="宋体" w:cs="宋体"/>
                <w:b/>
                <w:bCs/>
                <w:color w:val="auto"/>
                <w:kern w:val="0"/>
                <w:sz w:val="18"/>
                <w:szCs w:val="18"/>
                <w:lang w:val="en-US" w:eastAsia="zh-CN" w:bidi="ar"/>
              </w:rPr>
              <w:t>30.1</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b/>
                <w:bCs/>
                <w:color w:val="auto"/>
                <w:kern w:val="0"/>
                <w:sz w:val="18"/>
                <w:szCs w:val="18"/>
                <w:lang w:val="en-US" w:eastAsia="zh-CN" w:bidi="ar"/>
              </w:rPr>
            </w:pPr>
            <w:r>
              <w:rPr>
                <w:rFonts w:hint="eastAsia" w:ascii="宋体" w:hAnsi="宋体" w:eastAsia="宋体" w:cs="宋体"/>
                <w:b/>
                <w:bCs/>
                <w:color w:val="auto"/>
                <w:kern w:val="0"/>
                <w:sz w:val="18"/>
                <w:szCs w:val="18"/>
                <w:lang w:val="en-US" w:eastAsia="zh-CN" w:bidi="ar"/>
              </w:rPr>
              <w:t>19.6</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leftChars="0" w:right="0" w:rightChars="0"/>
              <w:jc w:val="center"/>
              <w:rPr>
                <w:rFonts w:hint="default" w:ascii="宋体" w:hAnsi="宋体" w:eastAsia="宋体" w:cs="宋体"/>
                <w:color w:val="auto"/>
                <w:kern w:val="0"/>
                <w:sz w:val="18"/>
                <w:szCs w:val="18"/>
                <w:lang w:val="en-US" w:eastAsia="zh-CN" w:bidi="ar"/>
              </w:rPr>
            </w:pPr>
            <w:r>
              <w:rPr>
                <w:rFonts w:hint="eastAsia" w:ascii="宋体" w:hAnsi="宋体" w:cs="宋体"/>
                <w:color w:val="auto"/>
                <w:kern w:val="0"/>
                <w:sz w:val="18"/>
                <w:szCs w:val="18"/>
                <w:lang w:val="en-US" w:eastAsia="zh-CN" w:bidi="ar"/>
              </w:rPr>
              <w:t>/</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leftChars="0" w:right="0" w:rightChars="0"/>
              <w:jc w:val="center"/>
              <w:rPr>
                <w:rFonts w:hint="eastAsia" w:ascii="宋体" w:hAnsi="宋体" w:eastAsia="宋体" w:cs="宋体"/>
                <w:color w:val="auto"/>
                <w:kern w:val="0"/>
                <w:sz w:val="18"/>
                <w:szCs w:val="18"/>
                <w:lang w:val="en-US" w:eastAsia="zh-CN" w:bidi="ar"/>
              </w:rPr>
            </w:pPr>
            <w:r>
              <w:rPr>
                <w:rFonts w:hint="eastAsia" w:ascii="宋体" w:hAnsi="宋体" w:cs="宋体"/>
                <w:color w:val="auto"/>
                <w:kern w:val="0"/>
                <w:sz w:val="18"/>
                <w:szCs w:val="18"/>
                <w:lang w:val="en-US" w:eastAsia="zh-CN" w:bidi="ar"/>
              </w:rPr>
              <w:t>/</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leftChars="0" w:right="0" w:rightChars="0"/>
              <w:jc w:val="center"/>
              <w:rPr>
                <w:rFonts w:hint="eastAsia" w:ascii="宋体" w:hAnsi="宋体" w:eastAsia="宋体" w:cs="宋体"/>
                <w:color w:val="auto"/>
                <w:kern w:val="0"/>
                <w:sz w:val="18"/>
                <w:szCs w:val="18"/>
                <w:lang w:val="en-US" w:eastAsia="zh-CN" w:bidi="ar"/>
              </w:rPr>
            </w:pPr>
            <w:r>
              <w:rPr>
                <w:rFonts w:hint="eastAsia" w:ascii="宋体" w:hAnsi="宋体" w:cs="宋体"/>
                <w:color w:val="auto"/>
                <w:kern w:val="0"/>
                <w:sz w:val="18"/>
                <w:szCs w:val="18"/>
                <w:lang w:val="en-US" w:eastAsia="zh-CN" w:bidi="ar"/>
              </w:rPr>
              <w:t>/</w:t>
            </w:r>
          </w:p>
        </w:tc>
        <w:tc>
          <w:tcPr>
            <w:tcW w:w="377"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leftChars="0" w:right="0" w:rightChars="0"/>
              <w:jc w:val="center"/>
              <w:rPr>
                <w:rFonts w:hint="eastAsia" w:ascii="宋体" w:hAnsi="宋体" w:eastAsia="宋体" w:cs="宋体"/>
                <w:color w:val="auto"/>
                <w:kern w:val="0"/>
                <w:sz w:val="18"/>
                <w:szCs w:val="18"/>
                <w:lang w:val="en-US" w:eastAsia="zh-CN" w:bidi="ar"/>
              </w:rPr>
            </w:pPr>
            <w:r>
              <w:rPr>
                <w:rFonts w:hint="eastAsia" w:ascii="宋体" w:hAnsi="宋体" w:cs="宋体"/>
                <w:color w:val="auto"/>
                <w:kern w:val="0"/>
                <w:sz w:val="18"/>
                <w:szCs w:val="18"/>
                <w:lang w:val="en-US" w:eastAsia="zh-CN" w:bidi="ar"/>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9" w:hRule="exact"/>
          <w:jc w:val="center"/>
        </w:trPr>
        <w:tc>
          <w:tcPr>
            <w:tcW w:w="558" w:type="pct"/>
            <w:vMerge w:val="continue"/>
            <w:tcBorders>
              <w:left w:val="single" w:color="auto" w:sz="8" w:space="0"/>
              <w:right w:val="single" w:color="auto" w:sz="4" w:space="0"/>
            </w:tcBorders>
            <w:shd w:val="clear" w:color="auto" w:fill="auto"/>
            <w:vAlign w:val="center"/>
          </w:tcPr>
          <w:p>
            <w:pPr>
              <w:pStyle w:val="13"/>
              <w:keepNext w:val="0"/>
              <w:keepLines w:val="0"/>
              <w:widowControl/>
              <w:suppressLineNumbers w:val="0"/>
              <w:spacing w:before="0" w:beforeAutospacing="0" w:after="0" w:afterAutospacing="0" w:line="300" w:lineRule="exact"/>
              <w:ind w:left="0" w:right="0" w:firstLine="0" w:firstLineChars="0"/>
              <w:jc w:val="center"/>
              <w:rPr>
                <w:rFonts w:hint="default" w:hAnsi="宋体"/>
                <w:color w:val="auto"/>
                <w:sz w:val="18"/>
                <w:szCs w:val="18"/>
              </w:rPr>
            </w:pPr>
          </w:p>
        </w:tc>
        <w:tc>
          <w:tcPr>
            <w:tcW w:w="333"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3"/>
              <w:keepNext w:val="0"/>
              <w:keepLines w:val="0"/>
              <w:widowControl/>
              <w:suppressLineNumbers w:val="0"/>
              <w:spacing w:before="0" w:beforeAutospacing="0" w:after="0" w:afterAutospacing="0" w:line="300" w:lineRule="exact"/>
              <w:ind w:left="0" w:leftChars="0" w:right="0" w:rightChars="0" w:firstLine="0" w:firstLineChars="0"/>
              <w:jc w:val="center"/>
              <w:rPr>
                <w:rFonts w:hint="eastAsia" w:ascii="宋体" w:hAnsi="宋体" w:eastAsia="宋体" w:cs="Times New Roman"/>
                <w:color w:val="auto"/>
                <w:kern w:val="0"/>
                <w:sz w:val="18"/>
                <w:szCs w:val="18"/>
                <w:lang w:val="en-US" w:eastAsia="zh-CN" w:bidi="ar"/>
              </w:rPr>
            </w:pPr>
            <w:r>
              <w:rPr>
                <w:rFonts w:hint="eastAsia" w:hAnsi="宋体"/>
                <w:color w:val="auto"/>
                <w:sz w:val="18"/>
                <w:szCs w:val="18"/>
                <w:lang w:val="en-US" w:eastAsia="zh-CN"/>
              </w:rPr>
              <w:t>内皮</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9.72</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15.9</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12.6</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26.5</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12.1</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18.7</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11.1</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leftChars="0" w:right="0" w:rightChars="0"/>
              <w:jc w:val="center"/>
              <w:rPr>
                <w:rFonts w:hint="default" w:ascii="宋体" w:hAnsi="宋体" w:eastAsia="宋体" w:cs="宋体"/>
                <w:color w:val="auto"/>
                <w:kern w:val="0"/>
                <w:sz w:val="18"/>
                <w:szCs w:val="18"/>
                <w:lang w:val="en-US" w:eastAsia="zh-CN" w:bidi="ar"/>
              </w:rPr>
            </w:pPr>
            <w:r>
              <w:rPr>
                <w:rFonts w:hint="eastAsia" w:ascii="宋体" w:hAnsi="宋体" w:cs="宋体"/>
                <w:color w:val="auto"/>
                <w:kern w:val="0"/>
                <w:sz w:val="18"/>
                <w:szCs w:val="18"/>
                <w:lang w:val="en-US" w:eastAsia="zh-CN" w:bidi="ar"/>
              </w:rPr>
              <w:t>/</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leftChars="0" w:right="0" w:rightChars="0"/>
              <w:jc w:val="center"/>
              <w:rPr>
                <w:rFonts w:hint="eastAsia" w:ascii="宋体" w:hAnsi="宋体" w:eastAsia="宋体" w:cs="宋体"/>
                <w:color w:val="auto"/>
                <w:kern w:val="0"/>
                <w:sz w:val="18"/>
                <w:szCs w:val="18"/>
                <w:lang w:val="en-US" w:eastAsia="zh-CN" w:bidi="ar"/>
              </w:rPr>
            </w:pPr>
            <w:r>
              <w:rPr>
                <w:rFonts w:hint="eastAsia" w:ascii="宋体" w:hAnsi="宋体" w:cs="宋体"/>
                <w:color w:val="auto"/>
                <w:kern w:val="0"/>
                <w:sz w:val="18"/>
                <w:szCs w:val="18"/>
                <w:lang w:val="en-US" w:eastAsia="zh-CN" w:bidi="ar"/>
              </w:rPr>
              <w:t>/</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leftChars="0" w:right="0" w:rightChars="0"/>
              <w:jc w:val="center"/>
              <w:rPr>
                <w:rFonts w:hint="eastAsia" w:ascii="宋体" w:hAnsi="宋体" w:eastAsia="宋体" w:cs="宋体"/>
                <w:color w:val="auto"/>
                <w:kern w:val="0"/>
                <w:sz w:val="18"/>
                <w:szCs w:val="18"/>
                <w:lang w:val="en-US" w:eastAsia="zh-CN" w:bidi="ar"/>
              </w:rPr>
            </w:pPr>
            <w:r>
              <w:rPr>
                <w:rFonts w:hint="eastAsia" w:ascii="宋体" w:hAnsi="宋体" w:cs="宋体"/>
                <w:color w:val="auto"/>
                <w:kern w:val="0"/>
                <w:sz w:val="18"/>
                <w:szCs w:val="18"/>
                <w:lang w:val="en-US" w:eastAsia="zh-CN" w:bidi="ar"/>
              </w:rPr>
              <w:t>/</w:t>
            </w:r>
          </w:p>
        </w:tc>
        <w:tc>
          <w:tcPr>
            <w:tcW w:w="377"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leftChars="0" w:right="0" w:rightChars="0"/>
              <w:jc w:val="center"/>
              <w:rPr>
                <w:rFonts w:hint="eastAsia" w:ascii="宋体" w:hAnsi="宋体" w:eastAsia="宋体" w:cs="宋体"/>
                <w:color w:val="auto"/>
                <w:kern w:val="0"/>
                <w:sz w:val="18"/>
                <w:szCs w:val="18"/>
                <w:lang w:val="en-US" w:eastAsia="zh-CN" w:bidi="ar"/>
              </w:rPr>
            </w:pPr>
            <w:r>
              <w:rPr>
                <w:rFonts w:hint="eastAsia" w:ascii="宋体" w:hAnsi="宋体" w:cs="宋体"/>
                <w:color w:val="auto"/>
                <w:kern w:val="0"/>
                <w:sz w:val="18"/>
                <w:szCs w:val="18"/>
                <w:lang w:val="en-US" w:eastAsia="zh-CN" w:bidi="ar"/>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9" w:hRule="exact"/>
          <w:jc w:val="center"/>
        </w:trPr>
        <w:tc>
          <w:tcPr>
            <w:tcW w:w="558" w:type="pct"/>
            <w:vMerge w:val="continue"/>
            <w:tcBorders>
              <w:left w:val="single" w:color="auto" w:sz="8" w:space="0"/>
              <w:bottom w:val="single" w:color="auto" w:sz="4" w:space="0"/>
              <w:right w:val="single" w:color="auto" w:sz="4" w:space="0"/>
            </w:tcBorders>
            <w:shd w:val="clear" w:color="auto" w:fill="auto"/>
            <w:vAlign w:val="center"/>
          </w:tcPr>
          <w:p>
            <w:pPr>
              <w:pStyle w:val="13"/>
              <w:keepNext w:val="0"/>
              <w:keepLines w:val="0"/>
              <w:widowControl/>
              <w:suppressLineNumbers w:val="0"/>
              <w:spacing w:before="0" w:beforeAutospacing="0" w:after="0" w:afterAutospacing="0" w:line="300" w:lineRule="exact"/>
              <w:ind w:left="0" w:right="0" w:firstLine="0" w:firstLineChars="0"/>
              <w:jc w:val="center"/>
              <w:rPr>
                <w:rFonts w:hint="default" w:hAnsi="宋体"/>
                <w:color w:val="auto"/>
                <w:sz w:val="18"/>
                <w:szCs w:val="18"/>
              </w:rPr>
            </w:pPr>
          </w:p>
        </w:tc>
        <w:tc>
          <w:tcPr>
            <w:tcW w:w="333"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3"/>
              <w:keepNext w:val="0"/>
              <w:keepLines w:val="0"/>
              <w:widowControl/>
              <w:suppressLineNumbers w:val="0"/>
              <w:spacing w:before="0" w:beforeAutospacing="0" w:after="0" w:afterAutospacing="0" w:line="300" w:lineRule="exact"/>
              <w:ind w:left="0" w:leftChars="0" w:right="0" w:rightChars="0" w:firstLine="0" w:firstLineChars="0"/>
              <w:jc w:val="center"/>
              <w:rPr>
                <w:rFonts w:hint="eastAsia" w:hAnsi="宋体"/>
                <w:color w:val="auto"/>
                <w:sz w:val="18"/>
                <w:szCs w:val="18"/>
                <w:lang w:val="en-US" w:eastAsia="zh-CN"/>
              </w:rPr>
            </w:pPr>
            <w:r>
              <w:rPr>
                <w:rFonts w:hint="eastAsia" w:hAnsi="宋体"/>
                <w:color w:val="auto"/>
                <w:sz w:val="18"/>
                <w:szCs w:val="18"/>
                <w:lang w:val="en-US" w:eastAsia="zh-CN"/>
              </w:rPr>
              <w:t>总量</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29.72</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43.5</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46.1</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45.9</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46.6</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48.8</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30.7</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color w:val="auto"/>
                <w:kern w:val="0"/>
                <w:sz w:val="18"/>
                <w:szCs w:val="18"/>
                <w:lang w:val="en-US" w:eastAsia="zh-CN" w:bidi="ar"/>
              </w:rPr>
            </w:pPr>
            <w:r>
              <w:rPr>
                <w:rFonts w:hint="eastAsia" w:ascii="宋体" w:hAnsi="宋体" w:cs="宋体"/>
                <w:color w:val="auto"/>
                <w:kern w:val="0"/>
                <w:sz w:val="18"/>
                <w:szCs w:val="18"/>
                <w:lang w:val="en-US" w:eastAsia="zh-CN" w:bidi="ar"/>
              </w:rPr>
              <w:t>/</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color w:val="auto"/>
                <w:kern w:val="0"/>
                <w:sz w:val="18"/>
                <w:szCs w:val="18"/>
                <w:lang w:val="en-US" w:eastAsia="zh-CN" w:bidi="ar"/>
              </w:rPr>
            </w:pPr>
            <w:r>
              <w:rPr>
                <w:rFonts w:hint="eastAsia" w:ascii="宋体" w:hAnsi="宋体" w:cs="宋体"/>
                <w:color w:val="auto"/>
                <w:kern w:val="0"/>
                <w:sz w:val="18"/>
                <w:szCs w:val="18"/>
                <w:lang w:val="en-US" w:eastAsia="zh-CN" w:bidi="ar"/>
              </w:rPr>
              <w:t>/</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color w:val="auto"/>
                <w:kern w:val="0"/>
                <w:sz w:val="18"/>
                <w:szCs w:val="18"/>
                <w:lang w:val="en-US" w:eastAsia="zh-CN" w:bidi="ar"/>
              </w:rPr>
            </w:pPr>
            <w:r>
              <w:rPr>
                <w:rFonts w:hint="eastAsia" w:ascii="宋体" w:hAnsi="宋体" w:cs="宋体"/>
                <w:color w:val="auto"/>
                <w:kern w:val="0"/>
                <w:sz w:val="18"/>
                <w:szCs w:val="18"/>
                <w:lang w:val="en-US" w:eastAsia="zh-CN" w:bidi="ar"/>
              </w:rPr>
              <w:t>/</w:t>
            </w:r>
          </w:p>
        </w:tc>
        <w:tc>
          <w:tcPr>
            <w:tcW w:w="377"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color w:val="auto"/>
                <w:kern w:val="0"/>
                <w:sz w:val="18"/>
                <w:szCs w:val="18"/>
                <w:lang w:val="en-US" w:eastAsia="zh-CN" w:bidi="ar"/>
              </w:rPr>
            </w:pPr>
            <w:r>
              <w:rPr>
                <w:rFonts w:hint="eastAsia" w:ascii="宋体" w:hAnsi="宋体" w:cs="宋体"/>
                <w:color w:val="auto"/>
                <w:kern w:val="0"/>
                <w:sz w:val="18"/>
                <w:szCs w:val="18"/>
                <w:lang w:val="en-US" w:eastAsia="zh-CN" w:bidi="ar"/>
              </w:rPr>
              <w:t>/</w:t>
            </w:r>
          </w:p>
        </w:tc>
      </w:tr>
    </w:tbl>
    <w:p>
      <w:pPr>
        <w:pStyle w:val="13"/>
        <w:keepNext w:val="0"/>
        <w:keepLines w:val="0"/>
        <w:widowControl/>
        <w:suppressLineNumbers w:val="0"/>
        <w:spacing w:before="0" w:beforeAutospacing="0" w:after="0" w:afterAutospacing="0" w:line="300" w:lineRule="exact"/>
        <w:ind w:left="0" w:right="0" w:firstLine="0" w:firstLineChars="0"/>
        <w:jc w:val="center"/>
        <w:rPr>
          <w:rFonts w:hint="default" w:hAnsi="宋体"/>
          <w:color w:val="auto"/>
          <w:sz w:val="18"/>
          <w:szCs w:val="18"/>
        </w:rPr>
      </w:pPr>
      <w:r>
        <w:rPr>
          <w:rFonts w:hint="default" w:hAnsi="宋体"/>
          <w:color w:val="auto"/>
          <w:sz w:val="18"/>
          <w:szCs w:val="18"/>
        </w:rPr>
        <w:br w:type="page"/>
      </w:r>
    </w:p>
    <w:tbl>
      <w:tblPr>
        <w:tblStyle w:val="9"/>
        <w:tblW w:w="4996"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024"/>
        <w:gridCol w:w="611"/>
        <w:gridCol w:w="684"/>
        <w:gridCol w:w="684"/>
        <w:gridCol w:w="684"/>
        <w:gridCol w:w="684"/>
        <w:gridCol w:w="684"/>
        <w:gridCol w:w="684"/>
        <w:gridCol w:w="684"/>
        <w:gridCol w:w="684"/>
        <w:gridCol w:w="684"/>
        <w:gridCol w:w="684"/>
        <w:gridCol w:w="69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9" w:hRule="exact"/>
          <w:jc w:val="center"/>
        </w:trPr>
        <w:tc>
          <w:tcPr>
            <w:tcW w:w="558" w:type="pct"/>
            <w:vMerge w:val="restart"/>
            <w:tcBorders>
              <w:top w:val="single" w:color="auto" w:sz="4" w:space="0"/>
              <w:left w:val="single" w:color="auto" w:sz="8" w:space="0"/>
              <w:right w:val="single" w:color="auto" w:sz="4" w:space="0"/>
            </w:tcBorders>
            <w:shd w:val="clear" w:color="auto" w:fill="auto"/>
            <w:vAlign w:val="center"/>
          </w:tcPr>
          <w:p>
            <w:pPr>
              <w:pStyle w:val="13"/>
              <w:keepNext w:val="0"/>
              <w:keepLines w:val="0"/>
              <w:widowControl/>
              <w:suppressLineNumbers w:val="0"/>
              <w:spacing w:before="0" w:beforeAutospacing="0" w:after="0" w:afterAutospacing="0" w:line="300" w:lineRule="exact"/>
              <w:ind w:left="0" w:right="0" w:firstLine="0" w:firstLineChars="0"/>
              <w:jc w:val="center"/>
              <w:rPr>
                <w:rFonts w:hint="default" w:hAnsi="宋体"/>
                <w:color w:val="auto"/>
                <w:sz w:val="18"/>
                <w:szCs w:val="18"/>
                <w:lang w:val="en-US"/>
              </w:rPr>
            </w:pPr>
            <w:r>
              <w:rPr>
                <w:rFonts w:hint="default" w:hAnsi="宋体"/>
                <w:color w:val="auto"/>
                <w:sz w:val="18"/>
                <w:szCs w:val="18"/>
              </w:rPr>
              <w:t>β</w:t>
            </w:r>
            <w:r>
              <w:rPr>
                <w:rFonts w:hint="default" w:hAnsi="宋体"/>
                <w:color w:val="auto"/>
                <w:sz w:val="18"/>
                <w:szCs w:val="18"/>
                <w:lang w:val="en-US"/>
              </w:rPr>
              <w:t>-</w:t>
            </w:r>
            <w:r>
              <w:rPr>
                <w:rFonts w:hint="default" w:hAnsi="宋体"/>
                <w:color w:val="auto"/>
                <w:sz w:val="18"/>
                <w:szCs w:val="18"/>
              </w:rPr>
              <w:t>胡萝卜素</w:t>
            </w:r>
            <w:r>
              <w:rPr>
                <w:rFonts w:hint="default" w:hAnsi="宋体"/>
                <w:color w:val="auto"/>
                <w:sz w:val="18"/>
                <w:szCs w:val="18"/>
                <w:lang w:val="en-US"/>
              </w:rPr>
              <w:t>/</w:t>
            </w:r>
            <w:r>
              <w:rPr>
                <w:rFonts w:hint="default" w:hAnsi="宋体"/>
                <w:color w:val="auto"/>
                <w:sz w:val="18"/>
                <w:szCs w:val="18"/>
              </w:rPr>
              <w:t>（</w:t>
            </w:r>
            <w:r>
              <w:rPr>
                <w:rFonts w:hint="default" w:hAnsi="宋体"/>
                <w:color w:val="auto"/>
                <w:sz w:val="18"/>
                <w:szCs w:val="18"/>
                <w:lang w:val="en-US"/>
              </w:rPr>
              <w:t>μg/100</w:t>
            </w:r>
            <w:r>
              <w:rPr>
                <w:rFonts w:hint="default" w:hAnsi="宋体"/>
                <w:color w:val="auto"/>
                <w:sz w:val="18"/>
                <w:szCs w:val="18"/>
                <w:vertAlign w:val="superscript"/>
                <w:lang w:val="en-US"/>
              </w:rPr>
              <w:t xml:space="preserve"> </w:t>
            </w:r>
            <w:r>
              <w:rPr>
                <w:rFonts w:hint="default" w:hAnsi="宋体"/>
                <w:color w:val="auto"/>
                <w:sz w:val="18"/>
                <w:szCs w:val="18"/>
                <w:lang w:val="en-US"/>
              </w:rPr>
              <w:t>g</w:t>
            </w:r>
            <w:r>
              <w:rPr>
                <w:rFonts w:hint="default" w:hAnsi="宋体"/>
                <w:color w:val="auto"/>
                <w:sz w:val="18"/>
                <w:szCs w:val="18"/>
              </w:rPr>
              <w:t>）</w:t>
            </w:r>
          </w:p>
        </w:tc>
        <w:tc>
          <w:tcPr>
            <w:tcW w:w="333"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3"/>
              <w:keepNext w:val="0"/>
              <w:keepLines w:val="0"/>
              <w:widowControl/>
              <w:suppressLineNumbers w:val="0"/>
              <w:spacing w:before="0" w:beforeAutospacing="0" w:after="0" w:afterAutospacing="0" w:line="300" w:lineRule="exact"/>
              <w:ind w:left="0" w:leftChars="0" w:right="0" w:rightChars="0" w:firstLine="0" w:firstLineChars="0"/>
              <w:jc w:val="center"/>
              <w:rPr>
                <w:rFonts w:hint="eastAsia" w:ascii="宋体" w:hAnsi="宋体" w:eastAsia="宋体" w:cs="Times New Roman"/>
                <w:b/>
                <w:bCs/>
                <w:color w:val="auto"/>
                <w:kern w:val="0"/>
                <w:sz w:val="18"/>
                <w:szCs w:val="18"/>
                <w:lang w:val="en-US" w:eastAsia="zh-CN" w:bidi="ar"/>
              </w:rPr>
            </w:pPr>
            <w:r>
              <w:rPr>
                <w:rFonts w:hint="eastAsia" w:hAnsi="宋体"/>
                <w:b/>
                <w:bCs/>
                <w:color w:val="auto"/>
                <w:sz w:val="18"/>
                <w:szCs w:val="18"/>
                <w:lang w:val="en-US" w:eastAsia="zh-CN"/>
              </w:rPr>
              <w:t>薯肉</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b/>
                <w:bCs/>
                <w:color w:val="auto"/>
                <w:kern w:val="0"/>
                <w:sz w:val="18"/>
                <w:szCs w:val="18"/>
                <w:lang w:val="en-US" w:eastAsia="zh-CN"/>
              </w:rPr>
            </w:pPr>
            <w:r>
              <w:rPr>
                <w:rFonts w:hint="eastAsia" w:ascii="宋体" w:hAnsi="宋体" w:eastAsia="宋体" w:cs="宋体"/>
                <w:b/>
                <w:bCs/>
                <w:color w:val="auto"/>
                <w:kern w:val="0"/>
                <w:sz w:val="18"/>
                <w:szCs w:val="18"/>
                <w:lang w:val="en-US" w:eastAsia="zh-CN"/>
              </w:rPr>
              <w:t>111</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b/>
                <w:bCs/>
                <w:color w:val="auto"/>
                <w:kern w:val="0"/>
                <w:sz w:val="18"/>
                <w:szCs w:val="18"/>
                <w:lang w:val="en-US" w:eastAsia="zh-CN"/>
              </w:rPr>
            </w:pPr>
            <w:r>
              <w:rPr>
                <w:rFonts w:hint="eastAsia" w:ascii="宋体" w:hAnsi="宋体" w:eastAsia="宋体" w:cs="宋体"/>
                <w:b/>
                <w:bCs/>
                <w:color w:val="auto"/>
                <w:kern w:val="0"/>
                <w:sz w:val="18"/>
                <w:szCs w:val="18"/>
                <w:lang w:val="en-US" w:eastAsia="zh-CN"/>
              </w:rPr>
              <w:t>112</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b/>
                <w:bCs/>
                <w:color w:val="auto"/>
                <w:kern w:val="0"/>
                <w:sz w:val="18"/>
                <w:szCs w:val="18"/>
                <w:lang w:val="en-US" w:eastAsia="zh-CN" w:bidi="ar"/>
              </w:rPr>
            </w:pPr>
            <w:r>
              <w:rPr>
                <w:rFonts w:hint="eastAsia" w:ascii="宋体" w:hAnsi="宋体" w:eastAsia="宋体" w:cs="宋体"/>
                <w:b/>
                <w:bCs/>
                <w:color w:val="auto"/>
                <w:kern w:val="0"/>
                <w:sz w:val="18"/>
                <w:szCs w:val="18"/>
                <w:lang w:val="en-US" w:eastAsia="zh-CN" w:bidi="ar"/>
              </w:rPr>
              <w:t>124</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b/>
                <w:bCs/>
                <w:color w:val="auto"/>
                <w:kern w:val="0"/>
                <w:sz w:val="18"/>
                <w:szCs w:val="18"/>
                <w:lang w:val="en-US" w:eastAsia="zh-CN" w:bidi="ar"/>
              </w:rPr>
            </w:pPr>
            <w:r>
              <w:rPr>
                <w:rFonts w:hint="eastAsia" w:ascii="宋体" w:hAnsi="宋体" w:eastAsia="宋体" w:cs="宋体"/>
                <w:b/>
                <w:bCs/>
                <w:color w:val="auto"/>
                <w:kern w:val="0"/>
                <w:sz w:val="18"/>
                <w:szCs w:val="18"/>
                <w:lang w:val="en-US" w:eastAsia="zh-CN" w:bidi="ar"/>
              </w:rPr>
              <w:t>293</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b/>
                <w:bCs/>
                <w:color w:val="auto"/>
                <w:kern w:val="0"/>
                <w:sz w:val="18"/>
                <w:szCs w:val="18"/>
                <w:lang w:val="en-US" w:eastAsia="zh-CN" w:bidi="ar"/>
              </w:rPr>
            </w:pPr>
            <w:r>
              <w:rPr>
                <w:rFonts w:hint="eastAsia" w:ascii="宋体" w:hAnsi="宋体" w:eastAsia="宋体" w:cs="宋体"/>
                <w:b/>
                <w:bCs/>
                <w:color w:val="auto"/>
                <w:kern w:val="0"/>
                <w:sz w:val="18"/>
                <w:szCs w:val="18"/>
                <w:lang w:val="en-US" w:eastAsia="zh-CN" w:bidi="ar"/>
              </w:rPr>
              <w:t>14.2</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b/>
                <w:bCs/>
                <w:color w:val="auto"/>
                <w:kern w:val="0"/>
                <w:sz w:val="18"/>
                <w:szCs w:val="18"/>
                <w:lang w:val="en-US" w:eastAsia="zh-CN" w:bidi="ar"/>
              </w:rPr>
            </w:pPr>
            <w:r>
              <w:rPr>
                <w:rFonts w:hint="eastAsia" w:ascii="宋体" w:hAnsi="宋体" w:eastAsia="宋体" w:cs="宋体"/>
                <w:b/>
                <w:bCs/>
                <w:color w:val="auto"/>
                <w:kern w:val="0"/>
                <w:sz w:val="18"/>
                <w:szCs w:val="18"/>
                <w:lang w:val="en-US" w:eastAsia="zh-CN" w:bidi="ar"/>
              </w:rPr>
              <w:t>9.86</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b/>
                <w:bCs/>
                <w:color w:val="auto"/>
                <w:kern w:val="0"/>
                <w:sz w:val="18"/>
                <w:szCs w:val="18"/>
                <w:lang w:val="en-US" w:eastAsia="zh-CN" w:bidi="ar"/>
              </w:rPr>
            </w:pPr>
            <w:r>
              <w:rPr>
                <w:rFonts w:hint="eastAsia" w:ascii="宋体" w:hAnsi="宋体" w:eastAsia="宋体" w:cs="宋体"/>
                <w:b/>
                <w:bCs/>
                <w:color w:val="auto"/>
                <w:kern w:val="0"/>
                <w:sz w:val="18"/>
                <w:szCs w:val="18"/>
                <w:lang w:val="en-US" w:eastAsia="zh-CN" w:bidi="ar"/>
              </w:rPr>
              <w:t>9.19</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leftChars="0" w:right="0" w:rightChars="0"/>
              <w:jc w:val="center"/>
              <w:rPr>
                <w:rFonts w:hint="eastAsia" w:ascii="宋体" w:hAnsi="宋体" w:eastAsia="宋体" w:cs="宋体"/>
                <w:b/>
                <w:bCs/>
                <w:color w:val="auto"/>
                <w:kern w:val="0"/>
                <w:sz w:val="18"/>
                <w:szCs w:val="18"/>
                <w:lang w:val="en-US" w:eastAsia="zh-CN" w:bidi="ar"/>
              </w:rPr>
            </w:pPr>
            <w:r>
              <w:rPr>
                <w:rFonts w:hint="eastAsia" w:ascii="宋体" w:hAnsi="宋体" w:cs="宋体"/>
                <w:b/>
                <w:bCs/>
                <w:color w:val="auto"/>
                <w:kern w:val="0"/>
                <w:sz w:val="18"/>
                <w:szCs w:val="18"/>
                <w:lang w:val="en-US" w:eastAsia="zh-CN" w:bidi="ar"/>
              </w:rPr>
              <w:t>131</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leftChars="0" w:right="0" w:rightChars="0"/>
              <w:jc w:val="center"/>
              <w:rPr>
                <w:rFonts w:hint="eastAsia" w:ascii="宋体" w:hAnsi="宋体" w:eastAsia="宋体" w:cs="宋体"/>
                <w:b/>
                <w:bCs/>
                <w:color w:val="auto"/>
                <w:kern w:val="0"/>
                <w:sz w:val="18"/>
                <w:szCs w:val="18"/>
                <w:lang w:val="en-US" w:eastAsia="zh-CN" w:bidi="ar"/>
              </w:rPr>
            </w:pPr>
            <w:r>
              <w:rPr>
                <w:rFonts w:hint="eastAsia" w:ascii="宋体" w:hAnsi="宋体" w:cs="宋体"/>
                <w:b/>
                <w:bCs/>
                <w:color w:val="auto"/>
                <w:kern w:val="0"/>
                <w:sz w:val="18"/>
                <w:szCs w:val="18"/>
                <w:lang w:val="en-US" w:eastAsia="zh-CN" w:bidi="ar"/>
              </w:rPr>
              <w:t>454</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leftChars="0" w:right="0" w:rightChars="0"/>
              <w:jc w:val="center"/>
              <w:rPr>
                <w:rFonts w:hint="eastAsia" w:ascii="宋体" w:hAnsi="宋体" w:eastAsia="宋体" w:cs="宋体"/>
                <w:b/>
                <w:bCs/>
                <w:color w:val="auto"/>
                <w:kern w:val="0"/>
                <w:sz w:val="18"/>
                <w:szCs w:val="18"/>
                <w:lang w:val="en-US" w:eastAsia="zh-CN" w:bidi="ar"/>
              </w:rPr>
            </w:pPr>
            <w:r>
              <w:rPr>
                <w:rFonts w:hint="eastAsia" w:ascii="宋体" w:hAnsi="宋体" w:cs="宋体"/>
                <w:b/>
                <w:bCs/>
                <w:color w:val="auto"/>
                <w:kern w:val="0"/>
                <w:sz w:val="18"/>
                <w:szCs w:val="18"/>
                <w:lang w:val="en-US" w:eastAsia="zh-CN" w:bidi="ar"/>
              </w:rPr>
              <w:t>9.80</w:t>
            </w:r>
          </w:p>
        </w:tc>
        <w:tc>
          <w:tcPr>
            <w:tcW w:w="377"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leftChars="0" w:right="0" w:rightChars="0"/>
              <w:jc w:val="center"/>
              <w:rPr>
                <w:rFonts w:hint="eastAsia" w:ascii="宋体" w:hAnsi="宋体" w:eastAsia="宋体" w:cs="宋体"/>
                <w:b/>
                <w:bCs/>
                <w:color w:val="auto"/>
                <w:kern w:val="0"/>
                <w:sz w:val="18"/>
                <w:szCs w:val="18"/>
                <w:lang w:val="en-US" w:eastAsia="zh-CN" w:bidi="ar"/>
              </w:rPr>
            </w:pPr>
            <w:r>
              <w:rPr>
                <w:rFonts w:hint="eastAsia" w:ascii="宋体" w:hAnsi="宋体" w:cs="宋体"/>
                <w:b/>
                <w:bCs/>
                <w:color w:val="auto"/>
                <w:kern w:val="0"/>
                <w:sz w:val="18"/>
                <w:szCs w:val="18"/>
                <w:lang w:val="en-US" w:eastAsia="zh-CN" w:bidi="ar"/>
              </w:rPr>
              <w:t>172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60" w:hRule="exact"/>
          <w:jc w:val="center"/>
        </w:trPr>
        <w:tc>
          <w:tcPr>
            <w:tcW w:w="558" w:type="pct"/>
            <w:vMerge w:val="continue"/>
            <w:tcBorders>
              <w:left w:val="single" w:color="auto" w:sz="8" w:space="0"/>
              <w:right w:val="single" w:color="auto" w:sz="4" w:space="0"/>
            </w:tcBorders>
            <w:shd w:val="clear" w:color="auto" w:fill="auto"/>
            <w:vAlign w:val="center"/>
          </w:tcPr>
          <w:p>
            <w:pPr>
              <w:pStyle w:val="13"/>
              <w:keepNext w:val="0"/>
              <w:keepLines w:val="0"/>
              <w:widowControl/>
              <w:suppressLineNumbers w:val="0"/>
              <w:spacing w:before="0" w:beforeAutospacing="0" w:after="0" w:afterAutospacing="0" w:line="300" w:lineRule="exact"/>
              <w:ind w:left="0" w:right="0" w:firstLine="0" w:firstLineChars="0"/>
              <w:jc w:val="center"/>
              <w:rPr>
                <w:rFonts w:hint="default" w:hAnsi="宋体"/>
                <w:color w:val="auto"/>
                <w:sz w:val="18"/>
                <w:szCs w:val="18"/>
              </w:rPr>
            </w:pPr>
          </w:p>
        </w:tc>
        <w:tc>
          <w:tcPr>
            <w:tcW w:w="333"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3"/>
              <w:keepNext w:val="0"/>
              <w:keepLines w:val="0"/>
              <w:widowControl/>
              <w:suppressLineNumbers w:val="0"/>
              <w:spacing w:before="0" w:beforeAutospacing="0" w:after="0" w:afterAutospacing="0" w:line="300" w:lineRule="exact"/>
              <w:ind w:left="0" w:leftChars="0" w:right="0" w:rightChars="0" w:firstLine="0" w:firstLineChars="0"/>
              <w:jc w:val="center"/>
              <w:rPr>
                <w:rFonts w:hint="eastAsia" w:ascii="宋体" w:hAnsi="宋体" w:eastAsia="宋体" w:cs="Times New Roman"/>
                <w:color w:val="auto"/>
                <w:kern w:val="0"/>
                <w:sz w:val="18"/>
                <w:szCs w:val="18"/>
                <w:lang w:val="en-US" w:eastAsia="zh-CN" w:bidi="ar"/>
              </w:rPr>
            </w:pPr>
            <w:r>
              <w:rPr>
                <w:rFonts w:hint="eastAsia" w:hAnsi="宋体"/>
                <w:color w:val="auto"/>
                <w:sz w:val="18"/>
                <w:szCs w:val="18"/>
                <w:lang w:val="en-US" w:eastAsia="zh-CN"/>
              </w:rPr>
              <w:t>内皮</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20.7</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18.7</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17.3</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35.2</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5.77</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1.56</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3.28</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leftChars="0" w:right="0" w:rightChars="0"/>
              <w:jc w:val="center"/>
              <w:rPr>
                <w:rFonts w:hint="eastAsia" w:ascii="宋体" w:hAnsi="宋体" w:eastAsia="宋体" w:cs="宋体"/>
                <w:color w:val="auto"/>
                <w:kern w:val="0"/>
                <w:sz w:val="18"/>
                <w:szCs w:val="18"/>
                <w:lang w:val="en-US" w:eastAsia="zh-CN" w:bidi="ar"/>
              </w:rPr>
            </w:pPr>
            <w:r>
              <w:rPr>
                <w:rFonts w:hint="eastAsia" w:ascii="宋体" w:hAnsi="宋体" w:cs="宋体"/>
                <w:color w:val="auto"/>
                <w:kern w:val="0"/>
                <w:sz w:val="18"/>
                <w:szCs w:val="18"/>
                <w:lang w:val="en-US" w:eastAsia="zh-CN" w:bidi="ar"/>
              </w:rPr>
              <w:t>/</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leftChars="0" w:right="0" w:rightChars="0"/>
              <w:jc w:val="center"/>
              <w:rPr>
                <w:rFonts w:hint="eastAsia" w:ascii="宋体" w:hAnsi="宋体" w:eastAsia="宋体" w:cs="宋体"/>
                <w:color w:val="auto"/>
                <w:kern w:val="0"/>
                <w:sz w:val="18"/>
                <w:szCs w:val="18"/>
                <w:lang w:val="en-US" w:eastAsia="zh-CN" w:bidi="ar"/>
              </w:rPr>
            </w:pPr>
            <w:r>
              <w:rPr>
                <w:rFonts w:hint="eastAsia" w:ascii="宋体" w:hAnsi="宋体" w:cs="宋体"/>
                <w:color w:val="auto"/>
                <w:kern w:val="0"/>
                <w:sz w:val="18"/>
                <w:szCs w:val="18"/>
                <w:lang w:val="en-US" w:eastAsia="zh-CN" w:bidi="ar"/>
              </w:rPr>
              <w:t>/</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leftChars="0" w:right="0" w:rightChars="0"/>
              <w:jc w:val="center"/>
              <w:rPr>
                <w:rFonts w:hint="eastAsia" w:ascii="宋体" w:hAnsi="宋体" w:eastAsia="宋体" w:cs="宋体"/>
                <w:color w:val="auto"/>
                <w:kern w:val="0"/>
                <w:sz w:val="18"/>
                <w:szCs w:val="18"/>
                <w:lang w:val="en-US" w:eastAsia="zh-CN" w:bidi="ar"/>
              </w:rPr>
            </w:pPr>
            <w:r>
              <w:rPr>
                <w:rFonts w:hint="eastAsia" w:ascii="宋体" w:hAnsi="宋体" w:cs="宋体"/>
                <w:color w:val="auto"/>
                <w:kern w:val="0"/>
                <w:sz w:val="18"/>
                <w:szCs w:val="18"/>
                <w:lang w:val="en-US" w:eastAsia="zh-CN" w:bidi="ar"/>
              </w:rPr>
              <w:t>/</w:t>
            </w:r>
          </w:p>
        </w:tc>
        <w:tc>
          <w:tcPr>
            <w:tcW w:w="377"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leftChars="0" w:right="0" w:rightChars="0"/>
              <w:jc w:val="center"/>
              <w:rPr>
                <w:rFonts w:hint="eastAsia" w:ascii="宋体" w:hAnsi="宋体" w:eastAsia="宋体" w:cs="宋体"/>
                <w:color w:val="auto"/>
                <w:kern w:val="0"/>
                <w:sz w:val="18"/>
                <w:szCs w:val="18"/>
                <w:lang w:val="en-US" w:eastAsia="zh-CN" w:bidi="ar"/>
              </w:rPr>
            </w:pPr>
            <w:r>
              <w:rPr>
                <w:rFonts w:hint="eastAsia" w:ascii="宋体" w:hAnsi="宋体" w:cs="宋体"/>
                <w:color w:val="auto"/>
                <w:kern w:val="0"/>
                <w:sz w:val="18"/>
                <w:szCs w:val="18"/>
                <w:lang w:val="en-US" w:eastAsia="zh-CN" w:bidi="ar"/>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45" w:hRule="exact"/>
          <w:jc w:val="center"/>
        </w:trPr>
        <w:tc>
          <w:tcPr>
            <w:tcW w:w="558" w:type="pct"/>
            <w:vMerge w:val="continue"/>
            <w:tcBorders>
              <w:left w:val="single" w:color="auto" w:sz="8" w:space="0"/>
              <w:bottom w:val="single" w:color="auto" w:sz="4" w:space="0"/>
              <w:right w:val="single" w:color="auto" w:sz="4" w:space="0"/>
            </w:tcBorders>
            <w:shd w:val="clear" w:color="auto" w:fill="auto"/>
            <w:vAlign w:val="center"/>
          </w:tcPr>
          <w:p>
            <w:pPr>
              <w:pStyle w:val="13"/>
              <w:keepNext w:val="0"/>
              <w:keepLines w:val="0"/>
              <w:widowControl/>
              <w:suppressLineNumbers w:val="0"/>
              <w:spacing w:before="0" w:beforeAutospacing="0" w:after="0" w:afterAutospacing="0" w:line="300" w:lineRule="exact"/>
              <w:ind w:left="0" w:right="0" w:firstLine="0" w:firstLineChars="0"/>
              <w:jc w:val="center"/>
              <w:rPr>
                <w:rFonts w:hint="default" w:hAnsi="宋体"/>
                <w:color w:val="auto"/>
                <w:sz w:val="18"/>
                <w:szCs w:val="18"/>
              </w:rPr>
            </w:pPr>
          </w:p>
        </w:tc>
        <w:tc>
          <w:tcPr>
            <w:tcW w:w="333"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3"/>
              <w:keepNext w:val="0"/>
              <w:keepLines w:val="0"/>
              <w:widowControl/>
              <w:suppressLineNumbers w:val="0"/>
              <w:spacing w:before="0" w:beforeAutospacing="0" w:after="0" w:afterAutospacing="0" w:line="300" w:lineRule="exact"/>
              <w:ind w:left="0" w:leftChars="0" w:right="0" w:rightChars="0" w:firstLine="0" w:firstLineChars="0"/>
              <w:jc w:val="center"/>
              <w:rPr>
                <w:rFonts w:hint="eastAsia" w:hAnsi="宋体"/>
                <w:color w:val="auto"/>
                <w:sz w:val="18"/>
                <w:szCs w:val="18"/>
                <w:lang w:val="en-US" w:eastAsia="zh-CN"/>
              </w:rPr>
            </w:pPr>
            <w:r>
              <w:rPr>
                <w:rFonts w:hint="eastAsia" w:hAnsi="宋体"/>
                <w:color w:val="auto"/>
                <w:sz w:val="18"/>
                <w:szCs w:val="18"/>
                <w:lang w:val="en-US" w:eastAsia="zh-CN"/>
              </w:rPr>
              <w:t>总量</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131.7</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130.7</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141.3</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328.2</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19.97</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11.52</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12.47</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leftChars="0" w:right="0" w:rightChars="0"/>
              <w:jc w:val="center"/>
              <w:rPr>
                <w:rFonts w:hint="default" w:ascii="宋体" w:hAnsi="宋体" w:eastAsia="宋体" w:cs="宋体"/>
                <w:b w:val="0"/>
                <w:bCs w:val="0"/>
                <w:color w:val="auto"/>
                <w:kern w:val="0"/>
                <w:sz w:val="18"/>
                <w:szCs w:val="18"/>
                <w:lang w:val="en-US" w:eastAsia="zh-CN" w:bidi="ar"/>
              </w:rPr>
            </w:pPr>
            <w:r>
              <w:rPr>
                <w:rFonts w:hint="eastAsia" w:ascii="宋体" w:hAnsi="宋体" w:cs="宋体"/>
                <w:b w:val="0"/>
                <w:bCs w:val="0"/>
                <w:color w:val="auto"/>
                <w:kern w:val="0"/>
                <w:sz w:val="18"/>
                <w:szCs w:val="18"/>
                <w:lang w:val="en-US" w:eastAsia="zh-CN" w:bidi="ar"/>
              </w:rPr>
              <w:t>131</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leftChars="0" w:right="0" w:rightChars="0"/>
              <w:jc w:val="center"/>
              <w:rPr>
                <w:rFonts w:hint="default" w:ascii="宋体" w:hAnsi="宋体" w:eastAsia="宋体" w:cs="宋体"/>
                <w:b w:val="0"/>
                <w:bCs w:val="0"/>
                <w:color w:val="auto"/>
                <w:kern w:val="0"/>
                <w:sz w:val="18"/>
                <w:szCs w:val="18"/>
                <w:lang w:val="en-US" w:eastAsia="zh-CN" w:bidi="ar"/>
              </w:rPr>
            </w:pPr>
            <w:r>
              <w:rPr>
                <w:rFonts w:hint="eastAsia" w:ascii="宋体" w:hAnsi="宋体" w:cs="宋体"/>
                <w:b w:val="0"/>
                <w:bCs w:val="0"/>
                <w:color w:val="auto"/>
                <w:kern w:val="0"/>
                <w:sz w:val="18"/>
                <w:szCs w:val="18"/>
                <w:lang w:val="en-US" w:eastAsia="zh-CN" w:bidi="ar"/>
              </w:rPr>
              <w:t>454</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leftChars="0" w:right="0" w:rightChars="0"/>
              <w:jc w:val="center"/>
              <w:rPr>
                <w:rFonts w:hint="default" w:ascii="宋体" w:hAnsi="宋体" w:eastAsia="宋体" w:cs="宋体"/>
                <w:b w:val="0"/>
                <w:bCs w:val="0"/>
                <w:color w:val="auto"/>
                <w:kern w:val="0"/>
                <w:sz w:val="18"/>
                <w:szCs w:val="18"/>
                <w:lang w:val="en-US" w:eastAsia="zh-CN" w:bidi="ar"/>
              </w:rPr>
            </w:pPr>
            <w:r>
              <w:rPr>
                <w:rFonts w:hint="eastAsia" w:ascii="宋体" w:hAnsi="宋体" w:cs="宋体"/>
                <w:b w:val="0"/>
                <w:bCs w:val="0"/>
                <w:color w:val="auto"/>
                <w:kern w:val="0"/>
                <w:sz w:val="18"/>
                <w:szCs w:val="18"/>
                <w:lang w:val="en-US" w:eastAsia="zh-CN" w:bidi="ar"/>
              </w:rPr>
              <w:t>9.80</w:t>
            </w:r>
          </w:p>
        </w:tc>
        <w:tc>
          <w:tcPr>
            <w:tcW w:w="377"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leftChars="0" w:right="0" w:rightChars="0"/>
              <w:jc w:val="center"/>
              <w:rPr>
                <w:rFonts w:hint="default" w:ascii="宋体" w:hAnsi="宋体" w:eastAsia="宋体" w:cs="宋体"/>
                <w:b w:val="0"/>
                <w:bCs w:val="0"/>
                <w:color w:val="auto"/>
                <w:kern w:val="0"/>
                <w:sz w:val="18"/>
                <w:szCs w:val="18"/>
                <w:lang w:val="en-US" w:eastAsia="zh-CN" w:bidi="ar"/>
              </w:rPr>
            </w:pPr>
            <w:r>
              <w:rPr>
                <w:rFonts w:hint="eastAsia" w:ascii="宋体" w:hAnsi="宋体" w:cs="宋体"/>
                <w:b w:val="0"/>
                <w:bCs w:val="0"/>
                <w:color w:val="auto"/>
                <w:kern w:val="0"/>
                <w:sz w:val="18"/>
                <w:szCs w:val="18"/>
                <w:lang w:val="en-US" w:eastAsia="zh-CN" w:bidi="ar"/>
              </w:rPr>
              <w:t>172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8" w:hRule="exact"/>
          <w:jc w:val="center"/>
        </w:trPr>
        <w:tc>
          <w:tcPr>
            <w:tcW w:w="558" w:type="pct"/>
            <w:vMerge w:val="restart"/>
            <w:tcBorders>
              <w:top w:val="single" w:color="auto" w:sz="4" w:space="0"/>
              <w:left w:val="single" w:color="auto" w:sz="8" w:space="0"/>
              <w:right w:val="single" w:color="auto" w:sz="4" w:space="0"/>
            </w:tcBorders>
            <w:shd w:val="clear" w:color="auto" w:fill="auto"/>
            <w:vAlign w:val="center"/>
          </w:tcPr>
          <w:p>
            <w:pPr>
              <w:pStyle w:val="13"/>
              <w:keepNext w:val="0"/>
              <w:keepLines w:val="0"/>
              <w:widowControl/>
              <w:suppressLineNumbers w:val="0"/>
              <w:spacing w:before="0" w:beforeAutospacing="0" w:after="0" w:afterAutospacing="0" w:line="300" w:lineRule="exact"/>
              <w:ind w:left="0" w:right="0" w:firstLine="0" w:firstLineChars="0"/>
              <w:jc w:val="center"/>
              <w:rPr>
                <w:rFonts w:hint="default" w:hAnsi="宋体"/>
                <w:color w:val="auto"/>
                <w:sz w:val="18"/>
                <w:szCs w:val="18"/>
                <w:lang w:val="en-US"/>
              </w:rPr>
            </w:pPr>
            <w:r>
              <w:rPr>
                <w:rFonts w:hint="default" w:hAnsi="宋体"/>
                <w:color w:val="auto"/>
                <w:sz w:val="18"/>
                <w:szCs w:val="18"/>
              </w:rPr>
              <w:t>钾</w:t>
            </w:r>
            <w:r>
              <w:rPr>
                <w:rFonts w:hint="default" w:hAnsi="宋体"/>
                <w:color w:val="auto"/>
                <w:sz w:val="18"/>
                <w:szCs w:val="18"/>
                <w:lang w:val="en-US"/>
              </w:rPr>
              <w:t>/</w:t>
            </w:r>
            <w:r>
              <w:rPr>
                <w:rFonts w:hint="default" w:hAnsi="宋体"/>
                <w:color w:val="auto"/>
                <w:sz w:val="18"/>
                <w:szCs w:val="18"/>
              </w:rPr>
              <w:t>（</w:t>
            </w:r>
            <w:r>
              <w:rPr>
                <w:rFonts w:hint="default" w:hAnsi="宋体"/>
                <w:color w:val="auto"/>
                <w:sz w:val="18"/>
                <w:szCs w:val="18"/>
                <w:lang w:val="en-US"/>
              </w:rPr>
              <w:t>mg/100</w:t>
            </w:r>
            <w:r>
              <w:rPr>
                <w:rFonts w:hint="default" w:hAnsi="宋体"/>
                <w:color w:val="auto"/>
                <w:sz w:val="18"/>
                <w:szCs w:val="18"/>
                <w:vertAlign w:val="superscript"/>
                <w:lang w:val="en-US"/>
              </w:rPr>
              <w:t xml:space="preserve"> </w:t>
            </w:r>
            <w:r>
              <w:rPr>
                <w:rFonts w:hint="default" w:hAnsi="宋体"/>
                <w:color w:val="auto"/>
                <w:sz w:val="18"/>
                <w:szCs w:val="18"/>
                <w:lang w:val="en-US"/>
              </w:rPr>
              <w:t>g</w:t>
            </w:r>
            <w:r>
              <w:rPr>
                <w:rFonts w:hint="default" w:hAnsi="宋体"/>
                <w:color w:val="auto"/>
                <w:sz w:val="18"/>
                <w:szCs w:val="18"/>
              </w:rPr>
              <w:t>）</w:t>
            </w:r>
          </w:p>
        </w:tc>
        <w:tc>
          <w:tcPr>
            <w:tcW w:w="333"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3"/>
              <w:keepNext w:val="0"/>
              <w:keepLines w:val="0"/>
              <w:widowControl/>
              <w:suppressLineNumbers w:val="0"/>
              <w:spacing w:before="0" w:beforeAutospacing="0" w:after="0" w:afterAutospacing="0" w:line="300" w:lineRule="exact"/>
              <w:ind w:left="0" w:leftChars="0" w:right="0" w:rightChars="0" w:firstLine="0" w:firstLineChars="0"/>
              <w:jc w:val="center"/>
              <w:rPr>
                <w:rFonts w:hint="eastAsia" w:ascii="宋体" w:hAnsi="宋体" w:eastAsia="宋体" w:cs="Times New Roman"/>
                <w:color w:val="auto"/>
                <w:kern w:val="0"/>
                <w:sz w:val="18"/>
                <w:szCs w:val="18"/>
                <w:lang w:val="en-US" w:eastAsia="zh-CN" w:bidi="ar"/>
              </w:rPr>
            </w:pPr>
            <w:r>
              <w:rPr>
                <w:rFonts w:hint="eastAsia" w:hAnsi="宋体"/>
                <w:color w:val="auto"/>
                <w:sz w:val="18"/>
                <w:szCs w:val="18"/>
                <w:lang w:val="en-US" w:eastAsia="zh-CN"/>
              </w:rPr>
              <w:t>薯肉</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tabs>
                <w:tab w:val="center" w:pos="886"/>
                <w:tab w:val="right" w:pos="1652"/>
              </w:tabs>
              <w:adjustRightInd/>
              <w:spacing w:before="0" w:beforeAutospacing="0" w:after="0" w:afterAutospacing="0" w:line="300" w:lineRule="exact"/>
              <w:ind w:left="0" w:right="0"/>
              <w:jc w:val="center"/>
              <w:rPr>
                <w:rFonts w:hint="default" w:ascii="宋体" w:hAnsi="宋体" w:eastAsia="宋体" w:cs="宋体"/>
                <w:color w:val="auto"/>
                <w:kern w:val="0"/>
                <w:sz w:val="18"/>
                <w:szCs w:val="18"/>
                <w:lang w:val="en-US"/>
              </w:rPr>
            </w:pPr>
            <w:r>
              <w:rPr>
                <w:rFonts w:hint="eastAsia" w:ascii="宋体" w:hAnsi="宋体" w:eastAsia="宋体" w:cs="宋体"/>
                <w:color w:val="auto"/>
                <w:kern w:val="0"/>
                <w:sz w:val="18"/>
                <w:szCs w:val="18"/>
                <w:lang w:val="en-US" w:eastAsia="zh-CN" w:bidi="ar"/>
              </w:rPr>
              <w:t>301</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300</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335</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545</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256</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316</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270</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leftChars="0" w:right="0" w:rightChars="0"/>
              <w:jc w:val="center"/>
              <w:rPr>
                <w:rFonts w:hint="default" w:ascii="宋体" w:hAnsi="宋体" w:eastAsia="宋体" w:cs="宋体"/>
                <w:color w:val="auto"/>
                <w:kern w:val="0"/>
                <w:sz w:val="18"/>
                <w:szCs w:val="18"/>
                <w:lang w:val="en-US" w:eastAsia="zh-CN" w:bidi="ar"/>
              </w:rPr>
            </w:pPr>
            <w:r>
              <w:rPr>
                <w:rFonts w:hint="eastAsia" w:ascii="宋体" w:hAnsi="宋体" w:cs="宋体"/>
                <w:color w:val="auto"/>
                <w:kern w:val="0"/>
                <w:sz w:val="18"/>
                <w:szCs w:val="18"/>
                <w:lang w:val="en-US" w:eastAsia="zh-CN" w:bidi="ar"/>
              </w:rPr>
              <w:t>517</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leftChars="0" w:right="0" w:rightChars="0"/>
              <w:jc w:val="center"/>
              <w:rPr>
                <w:rFonts w:hint="default" w:ascii="宋体" w:hAnsi="宋体" w:eastAsia="宋体" w:cs="宋体"/>
                <w:color w:val="auto"/>
                <w:kern w:val="0"/>
                <w:sz w:val="18"/>
                <w:szCs w:val="18"/>
                <w:lang w:val="en-US" w:eastAsia="zh-CN" w:bidi="ar"/>
              </w:rPr>
            </w:pPr>
            <w:r>
              <w:rPr>
                <w:rFonts w:hint="eastAsia" w:ascii="宋体" w:hAnsi="宋体" w:cs="宋体"/>
                <w:color w:val="auto"/>
                <w:kern w:val="0"/>
                <w:sz w:val="18"/>
                <w:szCs w:val="18"/>
                <w:lang w:val="en-US" w:eastAsia="zh-CN" w:bidi="ar"/>
              </w:rPr>
              <w:t>553</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leftChars="0" w:right="0" w:rightChars="0"/>
              <w:jc w:val="center"/>
              <w:rPr>
                <w:rFonts w:hint="default" w:ascii="宋体" w:hAnsi="宋体" w:eastAsia="宋体" w:cs="宋体"/>
                <w:color w:val="auto"/>
                <w:kern w:val="0"/>
                <w:sz w:val="18"/>
                <w:szCs w:val="18"/>
                <w:lang w:val="en-US" w:eastAsia="zh-CN" w:bidi="ar"/>
              </w:rPr>
            </w:pPr>
            <w:r>
              <w:rPr>
                <w:rFonts w:hint="eastAsia" w:ascii="宋体" w:hAnsi="宋体" w:cs="宋体"/>
                <w:color w:val="auto"/>
                <w:kern w:val="0"/>
                <w:sz w:val="18"/>
                <w:szCs w:val="18"/>
                <w:lang w:val="en-US" w:eastAsia="zh-CN" w:bidi="ar"/>
              </w:rPr>
              <w:t>482</w:t>
            </w:r>
          </w:p>
        </w:tc>
        <w:tc>
          <w:tcPr>
            <w:tcW w:w="377"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leftChars="0" w:right="0" w:rightChars="0"/>
              <w:jc w:val="center"/>
              <w:rPr>
                <w:rFonts w:hint="default" w:ascii="宋体" w:hAnsi="宋体" w:eastAsia="宋体" w:cs="宋体"/>
                <w:color w:val="auto"/>
                <w:kern w:val="0"/>
                <w:sz w:val="18"/>
                <w:szCs w:val="18"/>
                <w:lang w:val="en-US" w:eastAsia="zh-CN" w:bidi="ar"/>
              </w:rPr>
            </w:pPr>
            <w:r>
              <w:rPr>
                <w:rFonts w:hint="eastAsia" w:ascii="宋体" w:hAnsi="宋体" w:cs="宋体"/>
                <w:color w:val="auto"/>
                <w:kern w:val="0"/>
                <w:sz w:val="18"/>
                <w:szCs w:val="18"/>
                <w:lang w:val="en-US" w:eastAsia="zh-CN" w:bidi="ar"/>
              </w:rPr>
              <w:t>387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9" w:hRule="exact"/>
          <w:jc w:val="center"/>
        </w:trPr>
        <w:tc>
          <w:tcPr>
            <w:tcW w:w="558" w:type="pct"/>
            <w:vMerge w:val="continue"/>
            <w:tcBorders>
              <w:left w:val="single" w:color="auto" w:sz="8" w:space="0"/>
              <w:right w:val="single" w:color="auto" w:sz="4" w:space="0"/>
            </w:tcBorders>
            <w:shd w:val="clear" w:color="auto" w:fill="auto"/>
            <w:vAlign w:val="center"/>
          </w:tcPr>
          <w:p>
            <w:pPr>
              <w:pStyle w:val="13"/>
              <w:keepNext w:val="0"/>
              <w:keepLines w:val="0"/>
              <w:widowControl/>
              <w:suppressLineNumbers w:val="0"/>
              <w:spacing w:before="0" w:beforeAutospacing="0" w:after="0" w:afterAutospacing="0" w:line="300" w:lineRule="exact"/>
              <w:ind w:left="0" w:right="0" w:firstLine="0" w:firstLineChars="0"/>
              <w:jc w:val="center"/>
              <w:rPr>
                <w:rFonts w:hint="default" w:hAnsi="宋体"/>
                <w:color w:val="auto"/>
                <w:sz w:val="18"/>
                <w:szCs w:val="18"/>
              </w:rPr>
            </w:pPr>
          </w:p>
        </w:tc>
        <w:tc>
          <w:tcPr>
            <w:tcW w:w="333"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3"/>
              <w:keepNext w:val="0"/>
              <w:keepLines w:val="0"/>
              <w:widowControl/>
              <w:suppressLineNumbers w:val="0"/>
              <w:spacing w:before="0" w:beforeAutospacing="0" w:after="0" w:afterAutospacing="0" w:line="300" w:lineRule="exact"/>
              <w:ind w:left="0" w:leftChars="0" w:right="0" w:rightChars="0" w:firstLine="0" w:firstLineChars="0"/>
              <w:jc w:val="center"/>
              <w:rPr>
                <w:rFonts w:hint="eastAsia" w:ascii="宋体" w:hAnsi="宋体" w:eastAsia="宋体" w:cs="Times New Roman"/>
                <w:color w:val="auto"/>
                <w:kern w:val="0"/>
                <w:sz w:val="18"/>
                <w:szCs w:val="18"/>
                <w:lang w:val="en-US" w:eastAsia="zh-CN" w:bidi="ar"/>
              </w:rPr>
            </w:pPr>
            <w:r>
              <w:rPr>
                <w:rFonts w:hint="eastAsia" w:hAnsi="宋体"/>
                <w:color w:val="auto"/>
                <w:sz w:val="18"/>
                <w:szCs w:val="18"/>
                <w:lang w:val="en-US" w:eastAsia="zh-CN"/>
              </w:rPr>
              <w:t>内皮</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336</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307</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384</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424</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344</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383</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436</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color w:val="auto"/>
                <w:kern w:val="0"/>
                <w:sz w:val="18"/>
                <w:szCs w:val="18"/>
                <w:lang w:val="en-US" w:eastAsia="zh-CN" w:bidi="ar"/>
              </w:rPr>
            </w:pPr>
            <w:r>
              <w:rPr>
                <w:rFonts w:hint="eastAsia" w:ascii="宋体" w:hAnsi="宋体" w:cs="宋体"/>
                <w:color w:val="auto"/>
                <w:kern w:val="0"/>
                <w:sz w:val="18"/>
                <w:szCs w:val="18"/>
                <w:lang w:val="en-US" w:eastAsia="zh-CN" w:bidi="ar"/>
              </w:rPr>
              <w:t>/</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color w:val="auto"/>
                <w:kern w:val="0"/>
                <w:sz w:val="18"/>
                <w:szCs w:val="18"/>
                <w:lang w:val="en-US" w:eastAsia="zh-CN" w:bidi="ar"/>
              </w:rPr>
            </w:pPr>
            <w:r>
              <w:rPr>
                <w:rFonts w:hint="eastAsia" w:ascii="宋体" w:hAnsi="宋体" w:cs="宋体"/>
                <w:color w:val="auto"/>
                <w:kern w:val="0"/>
                <w:sz w:val="18"/>
                <w:szCs w:val="18"/>
                <w:lang w:val="en-US" w:eastAsia="zh-CN" w:bidi="ar"/>
              </w:rPr>
              <w:t>/</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color w:val="auto"/>
                <w:kern w:val="0"/>
                <w:sz w:val="18"/>
                <w:szCs w:val="18"/>
                <w:lang w:val="en-US" w:eastAsia="zh-CN" w:bidi="ar"/>
              </w:rPr>
            </w:pPr>
            <w:r>
              <w:rPr>
                <w:rFonts w:hint="eastAsia" w:ascii="宋体" w:hAnsi="宋体" w:cs="宋体"/>
                <w:color w:val="auto"/>
                <w:kern w:val="0"/>
                <w:sz w:val="18"/>
                <w:szCs w:val="18"/>
                <w:lang w:val="en-US" w:eastAsia="zh-CN" w:bidi="ar"/>
              </w:rPr>
              <w:t>/</w:t>
            </w:r>
          </w:p>
        </w:tc>
        <w:tc>
          <w:tcPr>
            <w:tcW w:w="377"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color w:val="auto"/>
                <w:kern w:val="0"/>
                <w:sz w:val="18"/>
                <w:szCs w:val="18"/>
                <w:lang w:val="en-US" w:eastAsia="zh-CN" w:bidi="ar"/>
              </w:rPr>
            </w:pPr>
            <w:r>
              <w:rPr>
                <w:rFonts w:hint="eastAsia" w:ascii="宋体" w:hAnsi="宋体" w:cs="宋体"/>
                <w:color w:val="auto"/>
                <w:kern w:val="0"/>
                <w:sz w:val="18"/>
                <w:szCs w:val="18"/>
                <w:lang w:val="en-US" w:eastAsia="zh-CN" w:bidi="ar"/>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558" w:type="pct"/>
            <w:vMerge w:val="continue"/>
            <w:tcBorders>
              <w:left w:val="single" w:color="auto" w:sz="8" w:space="0"/>
              <w:bottom w:val="single" w:color="auto" w:sz="4" w:space="0"/>
              <w:right w:val="single" w:color="auto" w:sz="4" w:space="0"/>
            </w:tcBorders>
            <w:shd w:val="clear" w:color="auto" w:fill="auto"/>
            <w:vAlign w:val="center"/>
          </w:tcPr>
          <w:p>
            <w:pPr>
              <w:pStyle w:val="13"/>
              <w:keepNext w:val="0"/>
              <w:keepLines w:val="0"/>
              <w:widowControl/>
              <w:suppressLineNumbers w:val="0"/>
              <w:spacing w:before="0" w:beforeAutospacing="0" w:after="0" w:afterAutospacing="0" w:line="300" w:lineRule="exact"/>
              <w:ind w:left="0" w:right="0" w:firstLine="0" w:firstLineChars="0"/>
              <w:jc w:val="center"/>
              <w:rPr>
                <w:rFonts w:hint="default" w:hAnsi="宋体"/>
                <w:color w:val="auto"/>
                <w:sz w:val="18"/>
                <w:szCs w:val="18"/>
              </w:rPr>
            </w:pPr>
          </w:p>
        </w:tc>
        <w:tc>
          <w:tcPr>
            <w:tcW w:w="333"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3"/>
              <w:keepNext w:val="0"/>
              <w:keepLines w:val="0"/>
              <w:widowControl/>
              <w:suppressLineNumbers w:val="0"/>
              <w:spacing w:before="0" w:beforeAutospacing="0" w:after="0" w:afterAutospacing="0" w:line="300" w:lineRule="exact"/>
              <w:ind w:left="0" w:leftChars="0" w:right="0" w:rightChars="0" w:firstLine="0" w:firstLineChars="0"/>
              <w:jc w:val="center"/>
              <w:rPr>
                <w:rFonts w:hint="eastAsia" w:hAnsi="宋体"/>
                <w:color w:val="auto"/>
                <w:sz w:val="18"/>
                <w:szCs w:val="18"/>
                <w:lang w:val="en-US" w:eastAsia="zh-CN"/>
              </w:rPr>
            </w:pPr>
            <w:r>
              <w:rPr>
                <w:rFonts w:hint="eastAsia" w:hAnsi="宋体"/>
                <w:color w:val="auto"/>
                <w:sz w:val="18"/>
                <w:szCs w:val="18"/>
                <w:lang w:val="en-US" w:eastAsia="zh-CN"/>
              </w:rPr>
              <w:t>总量</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637</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607</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719</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969</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600</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699</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706</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leftChars="0" w:right="0" w:rightChars="0"/>
              <w:jc w:val="center"/>
              <w:rPr>
                <w:rFonts w:hint="default" w:ascii="宋体" w:hAnsi="宋体" w:eastAsia="宋体" w:cs="宋体"/>
                <w:color w:val="auto"/>
                <w:kern w:val="0"/>
                <w:sz w:val="18"/>
                <w:szCs w:val="18"/>
                <w:lang w:val="en-US" w:eastAsia="zh-CN" w:bidi="ar"/>
              </w:rPr>
            </w:pPr>
            <w:r>
              <w:rPr>
                <w:rFonts w:hint="eastAsia" w:ascii="宋体" w:hAnsi="宋体" w:cs="宋体"/>
                <w:color w:val="auto"/>
                <w:kern w:val="0"/>
                <w:sz w:val="18"/>
                <w:szCs w:val="18"/>
                <w:lang w:val="en-US" w:eastAsia="zh-CN" w:bidi="ar"/>
              </w:rPr>
              <w:t>/</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leftChars="0" w:right="0" w:rightChars="0"/>
              <w:jc w:val="center"/>
              <w:rPr>
                <w:rFonts w:hint="default" w:ascii="宋体" w:hAnsi="宋体" w:eastAsia="宋体" w:cs="宋体"/>
                <w:color w:val="auto"/>
                <w:kern w:val="0"/>
                <w:sz w:val="18"/>
                <w:szCs w:val="18"/>
                <w:lang w:val="en-US" w:eastAsia="zh-CN" w:bidi="ar"/>
              </w:rPr>
            </w:pPr>
            <w:r>
              <w:rPr>
                <w:rFonts w:hint="eastAsia" w:ascii="宋体" w:hAnsi="宋体" w:cs="宋体"/>
                <w:color w:val="auto"/>
                <w:kern w:val="0"/>
                <w:sz w:val="18"/>
                <w:szCs w:val="18"/>
                <w:lang w:val="en-US" w:eastAsia="zh-CN" w:bidi="ar"/>
              </w:rPr>
              <w:t>/</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leftChars="0" w:right="0" w:rightChars="0"/>
              <w:jc w:val="center"/>
              <w:rPr>
                <w:rFonts w:hint="default" w:ascii="宋体" w:hAnsi="宋体" w:eastAsia="宋体" w:cs="宋体"/>
                <w:color w:val="auto"/>
                <w:kern w:val="0"/>
                <w:sz w:val="18"/>
                <w:szCs w:val="18"/>
                <w:lang w:val="en-US" w:eastAsia="zh-CN" w:bidi="ar"/>
              </w:rPr>
            </w:pPr>
            <w:r>
              <w:rPr>
                <w:rFonts w:hint="eastAsia" w:ascii="宋体" w:hAnsi="宋体" w:cs="宋体"/>
                <w:color w:val="auto"/>
                <w:kern w:val="0"/>
                <w:sz w:val="18"/>
                <w:szCs w:val="18"/>
                <w:lang w:val="en-US" w:eastAsia="zh-CN" w:bidi="ar"/>
              </w:rPr>
              <w:t>/</w:t>
            </w:r>
          </w:p>
        </w:tc>
        <w:tc>
          <w:tcPr>
            <w:tcW w:w="377"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leftChars="0" w:right="0" w:rightChars="0"/>
              <w:jc w:val="center"/>
              <w:rPr>
                <w:rFonts w:hint="default" w:ascii="宋体" w:hAnsi="宋体" w:eastAsia="宋体" w:cs="宋体"/>
                <w:color w:val="auto"/>
                <w:kern w:val="0"/>
                <w:sz w:val="18"/>
                <w:szCs w:val="18"/>
                <w:lang w:val="en-US" w:eastAsia="zh-CN" w:bidi="ar"/>
              </w:rPr>
            </w:pPr>
            <w:r>
              <w:rPr>
                <w:rFonts w:hint="eastAsia" w:ascii="宋体" w:hAnsi="宋体" w:cs="宋体"/>
                <w:color w:val="auto"/>
                <w:kern w:val="0"/>
                <w:sz w:val="18"/>
                <w:szCs w:val="18"/>
                <w:lang w:val="en-US" w:eastAsia="zh-CN" w:bidi="ar"/>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9" w:hRule="exact"/>
          <w:jc w:val="center"/>
        </w:trPr>
        <w:tc>
          <w:tcPr>
            <w:tcW w:w="558" w:type="pct"/>
            <w:vMerge w:val="restart"/>
            <w:tcBorders>
              <w:top w:val="single" w:color="auto" w:sz="4" w:space="0"/>
              <w:left w:val="single" w:color="auto" w:sz="8" w:space="0"/>
              <w:right w:val="single" w:color="auto" w:sz="4" w:space="0"/>
            </w:tcBorders>
            <w:shd w:val="clear" w:color="auto" w:fill="auto"/>
            <w:vAlign w:val="center"/>
          </w:tcPr>
          <w:p>
            <w:pPr>
              <w:pStyle w:val="13"/>
              <w:keepNext w:val="0"/>
              <w:keepLines w:val="0"/>
              <w:widowControl/>
              <w:suppressLineNumbers w:val="0"/>
              <w:spacing w:before="0" w:beforeAutospacing="0" w:after="0" w:afterAutospacing="0" w:line="300" w:lineRule="exact"/>
              <w:ind w:left="0" w:right="0" w:firstLine="0" w:firstLineChars="0"/>
              <w:jc w:val="center"/>
              <w:rPr>
                <w:rFonts w:hint="default" w:hAnsi="宋体"/>
                <w:color w:val="auto"/>
                <w:sz w:val="18"/>
                <w:szCs w:val="18"/>
                <w:lang w:val="en-US"/>
              </w:rPr>
            </w:pPr>
            <w:r>
              <w:rPr>
                <w:rFonts w:hint="default" w:hAnsi="宋体"/>
                <w:color w:val="auto"/>
                <w:sz w:val="18"/>
                <w:szCs w:val="18"/>
              </w:rPr>
              <w:t>钙</w:t>
            </w:r>
            <w:r>
              <w:rPr>
                <w:rFonts w:hint="default" w:hAnsi="宋体"/>
                <w:color w:val="auto"/>
                <w:sz w:val="18"/>
                <w:szCs w:val="18"/>
                <w:lang w:val="en-US"/>
              </w:rPr>
              <w:t>/</w:t>
            </w:r>
            <w:r>
              <w:rPr>
                <w:rFonts w:hint="default" w:hAnsi="宋体"/>
                <w:color w:val="auto"/>
                <w:sz w:val="18"/>
                <w:szCs w:val="18"/>
              </w:rPr>
              <w:t>（</w:t>
            </w:r>
            <w:r>
              <w:rPr>
                <w:rFonts w:hint="default" w:hAnsi="宋体"/>
                <w:color w:val="auto"/>
                <w:sz w:val="18"/>
                <w:szCs w:val="18"/>
                <w:lang w:val="en-US"/>
              </w:rPr>
              <w:t>mg/100</w:t>
            </w:r>
            <w:r>
              <w:rPr>
                <w:rFonts w:hint="default" w:hAnsi="宋体"/>
                <w:color w:val="auto"/>
                <w:sz w:val="18"/>
                <w:szCs w:val="18"/>
                <w:vertAlign w:val="superscript"/>
                <w:lang w:val="en-US"/>
              </w:rPr>
              <w:t xml:space="preserve"> </w:t>
            </w:r>
            <w:r>
              <w:rPr>
                <w:rFonts w:hint="default" w:hAnsi="宋体"/>
                <w:color w:val="auto"/>
                <w:sz w:val="18"/>
                <w:szCs w:val="18"/>
                <w:lang w:val="en-US"/>
              </w:rPr>
              <w:t>g</w:t>
            </w:r>
            <w:r>
              <w:rPr>
                <w:rFonts w:hint="default" w:hAnsi="宋体"/>
                <w:color w:val="auto"/>
                <w:sz w:val="18"/>
                <w:szCs w:val="18"/>
              </w:rPr>
              <w:t>）</w:t>
            </w:r>
          </w:p>
        </w:tc>
        <w:tc>
          <w:tcPr>
            <w:tcW w:w="333"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3"/>
              <w:keepNext w:val="0"/>
              <w:keepLines w:val="0"/>
              <w:widowControl/>
              <w:suppressLineNumbers w:val="0"/>
              <w:spacing w:before="0" w:beforeAutospacing="0" w:after="0" w:afterAutospacing="0" w:line="300" w:lineRule="exact"/>
              <w:ind w:left="0" w:leftChars="0" w:right="0" w:rightChars="0" w:firstLine="0" w:firstLineChars="0"/>
              <w:jc w:val="center"/>
              <w:rPr>
                <w:rFonts w:hint="eastAsia" w:ascii="宋体" w:hAnsi="宋体" w:eastAsia="宋体" w:cs="Times New Roman"/>
                <w:color w:val="auto"/>
                <w:kern w:val="0"/>
                <w:sz w:val="18"/>
                <w:szCs w:val="18"/>
                <w:lang w:val="en-US" w:eastAsia="zh-CN" w:bidi="ar"/>
              </w:rPr>
            </w:pPr>
            <w:r>
              <w:rPr>
                <w:rFonts w:hint="eastAsia" w:hAnsi="宋体"/>
                <w:color w:val="auto"/>
                <w:sz w:val="18"/>
                <w:szCs w:val="18"/>
                <w:lang w:val="en-US" w:eastAsia="zh-CN"/>
              </w:rPr>
              <w:t>薯肉</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27.5</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9.12</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27.9</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10.6</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17.5</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19.2</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23.0</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leftChars="0" w:right="0" w:rightChars="0"/>
              <w:jc w:val="center"/>
              <w:rPr>
                <w:rFonts w:hint="default" w:ascii="宋体" w:hAnsi="宋体" w:eastAsia="宋体" w:cs="宋体"/>
                <w:color w:val="auto"/>
                <w:kern w:val="0"/>
                <w:sz w:val="18"/>
                <w:szCs w:val="18"/>
                <w:lang w:val="en-US" w:eastAsia="zh-CN" w:bidi="ar"/>
              </w:rPr>
            </w:pPr>
            <w:r>
              <w:rPr>
                <w:rFonts w:hint="eastAsia" w:ascii="宋体" w:hAnsi="宋体" w:cs="宋体"/>
                <w:color w:val="auto"/>
                <w:kern w:val="0"/>
                <w:sz w:val="18"/>
                <w:szCs w:val="18"/>
                <w:lang w:val="en-US" w:eastAsia="zh-CN" w:bidi="ar"/>
              </w:rPr>
              <w:t>33.4</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leftChars="0" w:right="0" w:rightChars="0"/>
              <w:jc w:val="center"/>
              <w:rPr>
                <w:rFonts w:hint="eastAsia" w:ascii="宋体" w:hAnsi="宋体" w:eastAsia="宋体" w:cs="宋体"/>
                <w:color w:val="auto"/>
                <w:kern w:val="0"/>
                <w:sz w:val="18"/>
                <w:szCs w:val="18"/>
                <w:lang w:val="en-US" w:eastAsia="zh-CN" w:bidi="ar"/>
              </w:rPr>
            </w:pPr>
            <w:r>
              <w:rPr>
                <w:rFonts w:hint="eastAsia" w:ascii="宋体" w:hAnsi="宋体" w:cs="宋体"/>
                <w:color w:val="auto"/>
                <w:kern w:val="0"/>
                <w:sz w:val="18"/>
                <w:szCs w:val="18"/>
                <w:lang w:val="en-US" w:eastAsia="zh-CN" w:bidi="ar"/>
              </w:rPr>
              <w:t>28.4</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leftChars="0" w:right="0" w:rightChars="0"/>
              <w:jc w:val="center"/>
              <w:rPr>
                <w:rFonts w:hint="eastAsia" w:ascii="宋体" w:hAnsi="宋体" w:eastAsia="宋体" w:cs="宋体"/>
                <w:color w:val="auto"/>
                <w:kern w:val="0"/>
                <w:sz w:val="18"/>
                <w:szCs w:val="18"/>
                <w:lang w:val="en-US" w:eastAsia="zh-CN" w:bidi="ar"/>
              </w:rPr>
            </w:pPr>
            <w:r>
              <w:rPr>
                <w:rFonts w:hint="eastAsia" w:ascii="宋体" w:hAnsi="宋体" w:cs="宋体"/>
                <w:color w:val="auto"/>
                <w:kern w:val="0"/>
                <w:sz w:val="18"/>
                <w:szCs w:val="18"/>
                <w:lang w:val="en-US" w:eastAsia="zh-CN" w:bidi="ar"/>
              </w:rPr>
              <w:t>36.3</w:t>
            </w:r>
          </w:p>
        </w:tc>
        <w:tc>
          <w:tcPr>
            <w:tcW w:w="377"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leftChars="0" w:right="0" w:rightChars="0"/>
              <w:jc w:val="center"/>
              <w:rPr>
                <w:rFonts w:hint="eastAsia" w:ascii="宋体" w:hAnsi="宋体" w:eastAsia="宋体" w:cs="宋体"/>
                <w:color w:val="auto"/>
                <w:kern w:val="0"/>
                <w:sz w:val="18"/>
                <w:szCs w:val="18"/>
                <w:lang w:val="en-US" w:eastAsia="zh-CN" w:bidi="ar"/>
              </w:rPr>
            </w:pPr>
            <w:r>
              <w:rPr>
                <w:rFonts w:hint="eastAsia" w:ascii="宋体" w:hAnsi="宋体" w:cs="宋体"/>
                <w:color w:val="auto"/>
                <w:kern w:val="0"/>
                <w:sz w:val="18"/>
                <w:szCs w:val="18"/>
                <w:lang w:val="en-US" w:eastAsia="zh-CN" w:bidi="ar"/>
              </w:rPr>
              <w:t>38.4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9" w:hRule="exact"/>
          <w:jc w:val="center"/>
        </w:trPr>
        <w:tc>
          <w:tcPr>
            <w:tcW w:w="558" w:type="pct"/>
            <w:vMerge w:val="continue"/>
            <w:tcBorders>
              <w:left w:val="single" w:color="auto" w:sz="8" w:space="0"/>
              <w:right w:val="single" w:color="auto" w:sz="4" w:space="0"/>
            </w:tcBorders>
            <w:shd w:val="clear" w:color="auto" w:fill="auto"/>
            <w:vAlign w:val="center"/>
          </w:tcPr>
          <w:p>
            <w:pPr>
              <w:pStyle w:val="13"/>
              <w:keepNext w:val="0"/>
              <w:keepLines w:val="0"/>
              <w:widowControl/>
              <w:suppressLineNumbers w:val="0"/>
              <w:spacing w:before="0" w:beforeAutospacing="0" w:after="0" w:afterAutospacing="0" w:line="300" w:lineRule="exact"/>
              <w:ind w:left="0" w:right="0" w:firstLine="0" w:firstLineChars="0"/>
              <w:jc w:val="center"/>
              <w:rPr>
                <w:rFonts w:hint="default" w:hAnsi="宋体"/>
                <w:color w:val="auto"/>
                <w:sz w:val="18"/>
                <w:szCs w:val="18"/>
              </w:rPr>
            </w:pPr>
          </w:p>
        </w:tc>
        <w:tc>
          <w:tcPr>
            <w:tcW w:w="333"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3"/>
              <w:keepNext w:val="0"/>
              <w:keepLines w:val="0"/>
              <w:widowControl/>
              <w:suppressLineNumbers w:val="0"/>
              <w:spacing w:before="0" w:beforeAutospacing="0" w:after="0" w:afterAutospacing="0" w:line="300" w:lineRule="exact"/>
              <w:ind w:left="0" w:leftChars="0" w:right="0" w:rightChars="0" w:firstLine="0" w:firstLineChars="0"/>
              <w:jc w:val="center"/>
              <w:rPr>
                <w:rFonts w:hint="eastAsia" w:ascii="宋体" w:hAnsi="宋体" w:eastAsia="宋体" w:cs="Times New Roman"/>
                <w:color w:val="auto"/>
                <w:kern w:val="0"/>
                <w:sz w:val="18"/>
                <w:szCs w:val="18"/>
                <w:lang w:val="en-US" w:eastAsia="zh-CN" w:bidi="ar"/>
              </w:rPr>
            </w:pPr>
            <w:r>
              <w:rPr>
                <w:rFonts w:hint="eastAsia" w:hAnsi="宋体"/>
                <w:color w:val="auto"/>
                <w:sz w:val="18"/>
                <w:szCs w:val="18"/>
                <w:lang w:val="en-US" w:eastAsia="zh-CN"/>
              </w:rPr>
              <w:t>内皮</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130</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67.4</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130</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32.7</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137</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119</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176</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leftChars="0" w:right="0" w:rightChars="0"/>
              <w:jc w:val="center"/>
              <w:rPr>
                <w:rFonts w:hint="default" w:ascii="宋体" w:hAnsi="宋体" w:eastAsia="宋体" w:cs="宋体"/>
                <w:color w:val="auto"/>
                <w:kern w:val="0"/>
                <w:sz w:val="18"/>
                <w:szCs w:val="18"/>
                <w:lang w:val="en-US" w:eastAsia="zh-CN" w:bidi="ar"/>
              </w:rPr>
            </w:pPr>
            <w:r>
              <w:rPr>
                <w:rFonts w:hint="eastAsia" w:ascii="宋体" w:hAnsi="宋体" w:cs="宋体"/>
                <w:color w:val="auto"/>
                <w:kern w:val="0"/>
                <w:sz w:val="18"/>
                <w:szCs w:val="18"/>
                <w:lang w:val="en-US" w:eastAsia="zh-CN" w:bidi="ar"/>
              </w:rPr>
              <w:t>/</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leftChars="0" w:right="0" w:rightChars="0"/>
              <w:jc w:val="center"/>
              <w:rPr>
                <w:rFonts w:hint="eastAsia" w:ascii="宋体" w:hAnsi="宋体" w:eastAsia="宋体" w:cs="宋体"/>
                <w:color w:val="auto"/>
                <w:kern w:val="0"/>
                <w:sz w:val="18"/>
                <w:szCs w:val="18"/>
                <w:lang w:val="en-US" w:eastAsia="zh-CN" w:bidi="ar"/>
              </w:rPr>
            </w:pPr>
            <w:r>
              <w:rPr>
                <w:rFonts w:hint="eastAsia" w:ascii="宋体" w:hAnsi="宋体" w:cs="宋体"/>
                <w:color w:val="auto"/>
                <w:kern w:val="0"/>
                <w:sz w:val="18"/>
                <w:szCs w:val="18"/>
                <w:lang w:val="en-US" w:eastAsia="zh-CN" w:bidi="ar"/>
              </w:rPr>
              <w:t>/</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leftChars="0" w:right="0" w:rightChars="0"/>
              <w:jc w:val="center"/>
              <w:rPr>
                <w:rFonts w:hint="eastAsia" w:ascii="宋体" w:hAnsi="宋体" w:eastAsia="宋体" w:cs="宋体"/>
                <w:color w:val="auto"/>
                <w:kern w:val="0"/>
                <w:sz w:val="18"/>
                <w:szCs w:val="18"/>
                <w:lang w:val="en-US" w:eastAsia="zh-CN" w:bidi="ar"/>
              </w:rPr>
            </w:pPr>
            <w:r>
              <w:rPr>
                <w:rFonts w:hint="eastAsia" w:ascii="宋体" w:hAnsi="宋体" w:cs="宋体"/>
                <w:color w:val="auto"/>
                <w:kern w:val="0"/>
                <w:sz w:val="18"/>
                <w:szCs w:val="18"/>
                <w:lang w:val="en-US" w:eastAsia="zh-CN" w:bidi="ar"/>
              </w:rPr>
              <w:t>/</w:t>
            </w:r>
          </w:p>
        </w:tc>
        <w:tc>
          <w:tcPr>
            <w:tcW w:w="377"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leftChars="0" w:right="0" w:rightChars="0"/>
              <w:jc w:val="center"/>
              <w:rPr>
                <w:rFonts w:hint="eastAsia" w:ascii="宋体" w:hAnsi="宋体" w:eastAsia="宋体" w:cs="宋体"/>
                <w:color w:val="auto"/>
                <w:kern w:val="0"/>
                <w:sz w:val="18"/>
                <w:szCs w:val="18"/>
                <w:lang w:val="en-US" w:eastAsia="zh-CN" w:bidi="ar"/>
              </w:rPr>
            </w:pPr>
            <w:r>
              <w:rPr>
                <w:rFonts w:hint="eastAsia" w:ascii="宋体" w:hAnsi="宋体" w:cs="宋体"/>
                <w:color w:val="auto"/>
                <w:kern w:val="0"/>
                <w:sz w:val="18"/>
                <w:szCs w:val="18"/>
                <w:lang w:val="en-US" w:eastAsia="zh-CN" w:bidi="ar"/>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558" w:type="pct"/>
            <w:vMerge w:val="continue"/>
            <w:tcBorders>
              <w:left w:val="single" w:color="auto" w:sz="8" w:space="0"/>
              <w:bottom w:val="single" w:color="auto" w:sz="4" w:space="0"/>
              <w:right w:val="single" w:color="auto" w:sz="4" w:space="0"/>
            </w:tcBorders>
            <w:shd w:val="clear" w:color="auto" w:fill="auto"/>
            <w:vAlign w:val="center"/>
          </w:tcPr>
          <w:p>
            <w:pPr>
              <w:pStyle w:val="13"/>
              <w:keepNext w:val="0"/>
              <w:keepLines w:val="0"/>
              <w:widowControl/>
              <w:suppressLineNumbers w:val="0"/>
              <w:spacing w:before="0" w:beforeAutospacing="0" w:after="0" w:afterAutospacing="0" w:line="300" w:lineRule="exact"/>
              <w:ind w:left="0" w:right="0" w:firstLine="0" w:firstLineChars="0"/>
              <w:jc w:val="center"/>
              <w:rPr>
                <w:rFonts w:hint="default" w:hAnsi="宋体"/>
                <w:color w:val="auto"/>
                <w:sz w:val="18"/>
                <w:szCs w:val="18"/>
              </w:rPr>
            </w:pPr>
          </w:p>
        </w:tc>
        <w:tc>
          <w:tcPr>
            <w:tcW w:w="333"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3"/>
              <w:keepNext w:val="0"/>
              <w:keepLines w:val="0"/>
              <w:widowControl/>
              <w:suppressLineNumbers w:val="0"/>
              <w:spacing w:before="0" w:beforeAutospacing="0" w:after="0" w:afterAutospacing="0" w:line="300" w:lineRule="exact"/>
              <w:ind w:left="0" w:leftChars="0" w:right="0" w:rightChars="0" w:firstLine="0" w:firstLineChars="0"/>
              <w:jc w:val="center"/>
              <w:rPr>
                <w:rFonts w:hint="eastAsia" w:hAnsi="宋体"/>
                <w:color w:val="auto"/>
                <w:sz w:val="18"/>
                <w:szCs w:val="18"/>
                <w:lang w:val="en-US" w:eastAsia="zh-CN"/>
              </w:rPr>
            </w:pPr>
            <w:r>
              <w:rPr>
                <w:rFonts w:hint="eastAsia" w:hAnsi="宋体"/>
                <w:color w:val="auto"/>
                <w:sz w:val="18"/>
                <w:szCs w:val="18"/>
                <w:lang w:val="en-US" w:eastAsia="zh-CN"/>
              </w:rPr>
              <w:t>总量</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157.5</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76.52</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157.9</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43.3</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154.5</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138.2</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right="0"/>
              <w:jc w:val="center"/>
              <w:rPr>
                <w:rFonts w:hint="default"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199.0</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leftChars="0" w:right="0" w:rightChars="0"/>
              <w:jc w:val="center"/>
              <w:rPr>
                <w:rFonts w:hint="default" w:ascii="宋体" w:hAnsi="宋体" w:eastAsia="宋体" w:cs="宋体"/>
                <w:color w:val="auto"/>
                <w:kern w:val="0"/>
                <w:sz w:val="18"/>
                <w:szCs w:val="18"/>
                <w:lang w:val="en-US" w:eastAsia="zh-CN" w:bidi="ar"/>
              </w:rPr>
            </w:pPr>
            <w:r>
              <w:rPr>
                <w:rFonts w:hint="eastAsia" w:ascii="宋体" w:hAnsi="宋体" w:cs="宋体"/>
                <w:color w:val="auto"/>
                <w:kern w:val="0"/>
                <w:sz w:val="18"/>
                <w:szCs w:val="18"/>
                <w:lang w:val="en-US" w:eastAsia="zh-CN" w:bidi="ar"/>
              </w:rPr>
              <w:t>/</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leftChars="0" w:right="0" w:rightChars="0"/>
              <w:jc w:val="center"/>
              <w:rPr>
                <w:rFonts w:hint="default" w:ascii="宋体" w:hAnsi="宋体" w:eastAsia="宋体" w:cs="宋体"/>
                <w:color w:val="auto"/>
                <w:kern w:val="0"/>
                <w:sz w:val="18"/>
                <w:szCs w:val="18"/>
                <w:lang w:val="en-US" w:eastAsia="zh-CN" w:bidi="ar"/>
              </w:rPr>
            </w:pPr>
            <w:r>
              <w:rPr>
                <w:rFonts w:hint="eastAsia" w:ascii="宋体" w:hAnsi="宋体" w:cs="宋体"/>
                <w:color w:val="auto"/>
                <w:kern w:val="0"/>
                <w:sz w:val="18"/>
                <w:szCs w:val="18"/>
                <w:lang w:val="en-US" w:eastAsia="zh-CN" w:bidi="ar"/>
              </w:rPr>
              <w:t>/</w:t>
            </w:r>
          </w:p>
        </w:tc>
        <w:tc>
          <w:tcPr>
            <w:tcW w:w="373"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leftChars="0" w:right="0" w:rightChars="0"/>
              <w:jc w:val="center"/>
              <w:rPr>
                <w:rFonts w:hint="default" w:ascii="宋体" w:hAnsi="宋体" w:eastAsia="宋体" w:cs="宋体"/>
                <w:color w:val="auto"/>
                <w:kern w:val="0"/>
                <w:sz w:val="18"/>
                <w:szCs w:val="18"/>
                <w:lang w:val="en-US" w:eastAsia="zh-CN" w:bidi="ar"/>
              </w:rPr>
            </w:pPr>
            <w:r>
              <w:rPr>
                <w:rFonts w:hint="eastAsia" w:ascii="宋体" w:hAnsi="宋体" w:cs="宋体"/>
                <w:color w:val="auto"/>
                <w:kern w:val="0"/>
                <w:sz w:val="18"/>
                <w:szCs w:val="18"/>
                <w:lang w:val="en-US" w:eastAsia="zh-CN" w:bidi="ar"/>
              </w:rPr>
              <w:t>/</w:t>
            </w:r>
          </w:p>
        </w:tc>
        <w:tc>
          <w:tcPr>
            <w:tcW w:w="377" w:type="pct"/>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suppressLineNumbers w:val="0"/>
              <w:adjustRightInd/>
              <w:spacing w:before="0" w:beforeAutospacing="0" w:after="0" w:afterAutospacing="0" w:line="300" w:lineRule="exact"/>
              <w:ind w:left="0" w:leftChars="0" w:right="0" w:rightChars="0"/>
              <w:jc w:val="center"/>
              <w:rPr>
                <w:rFonts w:hint="default" w:ascii="宋体" w:hAnsi="宋体" w:eastAsia="宋体" w:cs="宋体"/>
                <w:color w:val="auto"/>
                <w:kern w:val="0"/>
                <w:sz w:val="18"/>
                <w:szCs w:val="18"/>
                <w:lang w:val="en-US" w:eastAsia="zh-CN" w:bidi="ar"/>
              </w:rPr>
            </w:pPr>
            <w:r>
              <w:rPr>
                <w:rFonts w:hint="eastAsia" w:ascii="宋体" w:hAnsi="宋体" w:cs="宋体"/>
                <w:color w:val="auto"/>
                <w:kern w:val="0"/>
                <w:sz w:val="18"/>
                <w:szCs w:val="18"/>
                <w:lang w:val="en-US" w:eastAsia="zh-CN" w:bidi="ar"/>
              </w:rPr>
              <w:t>/</w:t>
            </w:r>
          </w:p>
        </w:tc>
      </w:tr>
    </w:tbl>
    <w:p>
      <w:pPr>
        <w:spacing w:line="560" w:lineRule="exact"/>
        <w:ind w:firstLine="562" w:firstLineChars="200"/>
        <w:jc w:val="center"/>
        <w:rPr>
          <w:rFonts w:hint="default" w:ascii="仿宋_GB2312" w:hAnsi="宋体" w:eastAsia="仿宋_GB2312"/>
          <w:b/>
          <w:bCs/>
          <w:color w:val="auto"/>
          <w:sz w:val="28"/>
          <w:szCs w:val="28"/>
          <w:lang w:val="en-US" w:eastAsia="zh-CN"/>
        </w:rPr>
      </w:pPr>
      <w:r>
        <w:rPr>
          <w:rFonts w:hint="eastAsia" w:ascii="仿宋_GB2312" w:hAnsi="宋体" w:eastAsia="仿宋_GB2312"/>
          <w:b/>
          <w:bCs/>
          <w:color w:val="auto"/>
          <w:sz w:val="28"/>
          <w:szCs w:val="28"/>
          <w:lang w:val="en-US" w:eastAsia="zh-CN"/>
        </w:rPr>
        <w:t>表3  不同食用木</w:t>
      </w:r>
      <w:r>
        <w:rPr>
          <w:rFonts w:hint="eastAsia" w:ascii="仿宋_GB2312" w:hAnsi="宋体" w:eastAsia="仿宋_GB2312"/>
          <w:b/>
          <w:bCs/>
          <w:color w:val="auto"/>
          <w:sz w:val="28"/>
          <w:szCs w:val="28"/>
        </w:rPr>
        <w:t>薯</w:t>
      </w:r>
      <w:r>
        <w:rPr>
          <w:rFonts w:hint="eastAsia" w:ascii="仿宋_GB2312" w:hAnsi="宋体" w:eastAsia="仿宋_GB2312"/>
          <w:b/>
          <w:bCs/>
          <w:color w:val="auto"/>
          <w:sz w:val="28"/>
          <w:szCs w:val="28"/>
          <w:lang w:val="en-US" w:eastAsia="zh-CN"/>
        </w:rPr>
        <w:t>营养</w:t>
      </w:r>
      <w:r>
        <w:rPr>
          <w:rFonts w:ascii="仿宋_GB2312" w:hAnsi="宋体" w:eastAsia="仿宋_GB2312"/>
          <w:b/>
          <w:bCs/>
          <w:color w:val="auto"/>
          <w:sz w:val="28"/>
          <w:szCs w:val="28"/>
        </w:rPr>
        <w:t>指标</w:t>
      </w:r>
      <w:r>
        <w:rPr>
          <w:rFonts w:hint="eastAsia" w:ascii="仿宋_GB2312" w:hAnsi="宋体" w:eastAsia="仿宋_GB2312"/>
          <w:b/>
          <w:bCs/>
          <w:color w:val="auto"/>
          <w:sz w:val="28"/>
          <w:szCs w:val="28"/>
          <w:lang w:val="en-US" w:eastAsia="zh-CN"/>
        </w:rPr>
        <w:t>检测数据</w:t>
      </w:r>
    </w:p>
    <w:p>
      <w:pPr>
        <w:spacing w:line="560" w:lineRule="exact"/>
        <w:rPr>
          <w:rFonts w:hint="eastAsia" w:ascii="仿宋_GB2312" w:hAnsi="宋体" w:eastAsia="仿宋_GB2312"/>
          <w:color w:val="auto"/>
          <w:sz w:val="32"/>
          <w:szCs w:val="32"/>
        </w:rPr>
      </w:pPr>
      <w:r>
        <w:rPr>
          <w:rFonts w:ascii="仿宋_GB2312" w:hAnsi="宋体" w:eastAsia="仿宋_GB2312"/>
          <w:b/>
          <w:color w:val="auto"/>
          <w:sz w:val="32"/>
          <w:szCs w:val="32"/>
        </w:rPr>
        <w:drawing>
          <wp:anchor distT="0" distB="0" distL="114300" distR="114300" simplePos="0" relativeHeight="251661312" behindDoc="0" locked="0" layoutInCell="1" allowOverlap="1">
            <wp:simplePos x="0" y="0"/>
            <wp:positionH relativeFrom="margin">
              <wp:posOffset>113030</wp:posOffset>
            </wp:positionH>
            <wp:positionV relativeFrom="page">
              <wp:posOffset>3634740</wp:posOffset>
            </wp:positionV>
            <wp:extent cx="5673090" cy="3891280"/>
            <wp:effectExtent l="0" t="0" r="3810" b="13970"/>
            <wp:wrapTopAndBottom/>
            <wp:docPr id="5" name="图片 5" descr="C:\Users\ADMINI~1\AppData\Local\Temp\WeChat Files\475c27d7d0528d71cd295de91b6a46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1\AppData\Local\Temp\WeChat Files\475c27d7d0528d71cd295de91b6a466.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5673090" cy="3891280"/>
                    </a:xfrm>
                    <a:prstGeom prst="rect">
                      <a:avLst/>
                    </a:prstGeom>
                    <a:noFill/>
                    <a:ln>
                      <a:noFill/>
                    </a:ln>
                  </pic:spPr>
                </pic:pic>
              </a:graphicData>
            </a:graphic>
          </wp:anchor>
        </w:drawing>
      </w:r>
    </w:p>
    <w:p>
      <w:pPr>
        <w:spacing w:line="560" w:lineRule="exact"/>
        <w:ind w:firstLine="640" w:firstLineChars="200"/>
        <w:rPr>
          <w:rFonts w:hint="eastAsia" w:ascii="仿宋_GB2312" w:hAnsi="宋体" w:eastAsia="仿宋_GB2312"/>
          <w:color w:val="auto"/>
          <w:sz w:val="32"/>
          <w:szCs w:val="32"/>
        </w:rPr>
      </w:pPr>
      <w:r>
        <w:rPr>
          <w:rFonts w:hint="eastAsia" w:ascii="仿宋_GB2312" w:hAnsi="宋体" w:eastAsia="仿宋_GB2312"/>
          <w:color w:val="auto"/>
          <w:sz w:val="32"/>
          <w:szCs w:val="32"/>
        </w:rPr>
        <w:t>收集到</w:t>
      </w:r>
      <w:r>
        <w:rPr>
          <w:rFonts w:hint="eastAsia" w:ascii="仿宋_GB2312" w:hAnsi="宋体" w:eastAsia="仿宋_GB2312"/>
          <w:color w:val="auto"/>
          <w:sz w:val="32"/>
          <w:szCs w:val="32"/>
          <w:lang w:val="en-US" w:eastAsia="zh-CN"/>
        </w:rPr>
        <w:t>11</w:t>
      </w:r>
      <w:r>
        <w:rPr>
          <w:rFonts w:hint="eastAsia" w:ascii="仿宋_GB2312" w:hAnsi="宋体" w:eastAsia="仿宋_GB2312"/>
          <w:color w:val="auto"/>
          <w:sz w:val="32"/>
          <w:szCs w:val="32"/>
        </w:rPr>
        <w:t>份检验报告得出：</w:t>
      </w:r>
    </w:p>
    <w:p>
      <w:pPr>
        <w:spacing w:line="560" w:lineRule="exact"/>
        <w:ind w:firstLine="643" w:firstLineChars="200"/>
        <w:rPr>
          <w:rFonts w:hint="eastAsia" w:ascii="仿宋_GB2312" w:eastAsia="仿宋_GB2312"/>
          <w:color w:val="auto"/>
          <w:sz w:val="32"/>
          <w:szCs w:val="32"/>
          <w:lang w:val="zh-CN"/>
        </w:rPr>
      </w:pPr>
      <w:r>
        <w:rPr>
          <w:rFonts w:hint="eastAsia" w:ascii="仿宋_GB2312" w:eastAsia="仿宋_GB2312"/>
          <w:b/>
          <w:color w:val="auto"/>
          <w:sz w:val="32"/>
          <w:szCs w:val="32"/>
        </w:rPr>
        <w:t>蛋白质</w:t>
      </w:r>
      <w:r>
        <w:rPr>
          <w:rFonts w:ascii="仿宋_GB2312" w:eastAsia="仿宋_GB2312"/>
          <w:color w:val="auto"/>
          <w:sz w:val="32"/>
          <w:szCs w:val="32"/>
        </w:rPr>
        <w:t>：</w:t>
      </w:r>
      <w:r>
        <w:rPr>
          <w:rFonts w:ascii="仿宋_GB2312" w:eastAsia="仿宋_GB2312"/>
          <w:color w:val="auto"/>
          <w:sz w:val="32"/>
          <w:szCs w:val="32"/>
          <w:lang w:val="zh-CN"/>
        </w:rPr>
        <w:t>检</w:t>
      </w:r>
      <w:r>
        <w:rPr>
          <w:rFonts w:hint="eastAsia" w:ascii="仿宋_GB2312" w:eastAsia="仿宋_GB2312"/>
          <w:color w:val="auto"/>
          <w:sz w:val="32"/>
          <w:szCs w:val="32"/>
          <w:lang w:val="zh-CN"/>
        </w:rPr>
        <w:t>测结果</w:t>
      </w:r>
      <w:r>
        <w:rPr>
          <w:rFonts w:hint="eastAsia" w:ascii="仿宋_GB2312" w:eastAsia="仿宋_GB2312"/>
          <w:color w:val="auto"/>
          <w:sz w:val="32"/>
          <w:szCs w:val="32"/>
          <w:lang w:val="en-US" w:eastAsia="zh-CN"/>
        </w:rPr>
        <w:t>分别</w:t>
      </w:r>
      <w:r>
        <w:rPr>
          <w:rFonts w:hint="eastAsia" w:ascii="仿宋_GB2312" w:eastAsia="仿宋_GB2312"/>
          <w:color w:val="auto"/>
          <w:sz w:val="32"/>
          <w:szCs w:val="32"/>
          <w:lang w:val="zh-CN"/>
        </w:rPr>
        <w:t>为0.83、0.60、0.93、0.83、0.69、0.76、0.68、1.36、0.88、1.56、1.68。</w:t>
      </w:r>
      <w:r>
        <w:rPr>
          <w:rFonts w:hint="eastAsia" w:ascii="仿宋_GB2312" w:eastAsia="仿宋_GB2312"/>
          <w:color w:val="auto"/>
          <w:sz w:val="32"/>
          <w:szCs w:val="32"/>
          <w:lang w:val="en-US" w:eastAsia="zh-CN"/>
        </w:rPr>
        <w:t>结合不同食用木</w:t>
      </w:r>
      <w:r>
        <w:rPr>
          <w:rFonts w:hint="eastAsia" w:ascii="仿宋_GB2312" w:eastAsia="仿宋_GB2312"/>
          <w:color w:val="auto"/>
          <w:sz w:val="32"/>
          <w:szCs w:val="32"/>
          <w:lang w:val="zh-CN"/>
        </w:rPr>
        <w:t>薯</w:t>
      </w:r>
      <w:r>
        <w:rPr>
          <w:rFonts w:hint="eastAsia" w:ascii="仿宋_GB2312" w:eastAsia="仿宋_GB2312"/>
          <w:color w:val="auto"/>
          <w:sz w:val="32"/>
          <w:szCs w:val="32"/>
          <w:lang w:val="en-US" w:eastAsia="zh-CN"/>
        </w:rPr>
        <w:t>营养</w:t>
      </w:r>
      <w:r>
        <w:rPr>
          <w:rFonts w:hint="eastAsia" w:ascii="仿宋_GB2312" w:eastAsia="仿宋_GB2312"/>
          <w:color w:val="auto"/>
          <w:sz w:val="32"/>
          <w:szCs w:val="32"/>
          <w:lang w:val="zh-CN"/>
        </w:rPr>
        <w:t>指标</w:t>
      </w:r>
      <w:r>
        <w:rPr>
          <w:rFonts w:hint="eastAsia" w:ascii="仿宋_GB2312" w:eastAsia="仿宋_GB2312"/>
          <w:color w:val="auto"/>
          <w:sz w:val="32"/>
          <w:szCs w:val="32"/>
          <w:lang w:val="en-US" w:eastAsia="zh-CN"/>
        </w:rPr>
        <w:t>检测数据，通过近年来</w:t>
      </w:r>
      <w:r>
        <w:rPr>
          <w:rFonts w:hint="eastAsia" w:ascii="仿宋_GB2312" w:hAnsi="宋体" w:eastAsia="仿宋_GB2312"/>
          <w:color w:val="auto"/>
          <w:sz w:val="32"/>
          <w:szCs w:val="32"/>
        </w:rPr>
        <w:t>广西壮族自治区农业科学院经济作物研究</w:t>
      </w:r>
      <w:r>
        <w:rPr>
          <w:rFonts w:hint="eastAsia" w:ascii="仿宋_GB2312" w:hAnsi="宋体" w:eastAsia="仿宋_GB2312"/>
          <w:color w:val="auto"/>
          <w:sz w:val="32"/>
          <w:szCs w:val="32"/>
          <w:lang w:val="en-US" w:eastAsia="zh-CN"/>
        </w:rPr>
        <w:t>对不同木薯的研究情况确定</w:t>
      </w:r>
      <w:r>
        <w:rPr>
          <w:rFonts w:hint="eastAsia" w:ascii="仿宋_GB2312" w:eastAsia="仿宋_GB2312"/>
          <w:color w:val="auto"/>
          <w:sz w:val="32"/>
          <w:szCs w:val="32"/>
          <w:lang w:val="en-US" w:eastAsia="zh-CN"/>
        </w:rPr>
        <w:t>，所有检测数据均在指定范围内，所以</w:t>
      </w:r>
      <w:bookmarkStart w:id="1" w:name="_GoBack"/>
      <w:bookmarkEnd w:id="1"/>
      <w:r>
        <w:rPr>
          <w:rFonts w:hint="eastAsia" w:ascii="仿宋_GB2312" w:eastAsia="仿宋_GB2312"/>
          <w:color w:val="auto"/>
          <w:sz w:val="32"/>
          <w:szCs w:val="32"/>
          <w:lang w:val="en-US" w:eastAsia="zh-CN"/>
        </w:rPr>
        <w:t>以0.5～2.0作为分级要求更加合理</w:t>
      </w:r>
      <w:r>
        <w:rPr>
          <w:rFonts w:hint="eastAsia" w:ascii="仿宋_GB2312" w:eastAsia="仿宋_GB2312"/>
          <w:color w:val="auto"/>
          <w:sz w:val="32"/>
          <w:szCs w:val="32"/>
          <w:lang w:val="zh-CN"/>
        </w:rPr>
        <w:t>。</w:t>
      </w:r>
    </w:p>
    <w:p>
      <w:pPr>
        <w:spacing w:line="560" w:lineRule="exact"/>
        <w:ind w:firstLine="643" w:firstLineChars="200"/>
        <w:rPr>
          <w:rFonts w:hint="default" w:ascii="仿宋_GB2312" w:eastAsia="仿宋_GB2312"/>
          <w:color w:val="auto"/>
          <w:sz w:val="32"/>
          <w:szCs w:val="32"/>
          <w:lang w:val="en-US" w:eastAsia="zh-CN"/>
        </w:rPr>
      </w:pPr>
      <w:r>
        <w:rPr>
          <w:rFonts w:hint="eastAsia" w:ascii="仿宋_GB2312" w:eastAsia="仿宋_GB2312"/>
          <w:b/>
          <w:color w:val="auto"/>
          <w:sz w:val="32"/>
          <w:szCs w:val="32"/>
          <w:lang w:val="en-US" w:eastAsia="zh-CN"/>
        </w:rPr>
        <w:t>膳食</w:t>
      </w:r>
      <w:r>
        <w:rPr>
          <w:rFonts w:hint="eastAsia" w:ascii="仿宋_GB2312" w:eastAsia="仿宋_GB2312"/>
          <w:b/>
          <w:color w:val="auto"/>
          <w:sz w:val="32"/>
          <w:szCs w:val="32"/>
          <w:lang w:val="zh-CN"/>
        </w:rPr>
        <w:t>纤维</w:t>
      </w:r>
      <w:r>
        <w:rPr>
          <w:rFonts w:hint="eastAsia" w:ascii="仿宋_GB2312" w:eastAsia="仿宋_GB2312"/>
          <w:color w:val="auto"/>
          <w:sz w:val="32"/>
          <w:szCs w:val="32"/>
          <w:lang w:val="zh-CN"/>
        </w:rPr>
        <w:t>：</w:t>
      </w:r>
      <w:r>
        <w:rPr>
          <w:rFonts w:hint="eastAsia" w:ascii="仿宋_GB2312" w:eastAsia="仿宋_GB2312"/>
          <w:color w:val="auto"/>
          <w:sz w:val="32"/>
          <w:szCs w:val="32"/>
          <w:lang w:val="en-US" w:eastAsia="zh-CN"/>
        </w:rPr>
        <w:t>检测结果分别为1.96、2.01、2.22、2.29、2.26、2.28、3.02、2.06、4.43、2.80、1.84</w:t>
      </w:r>
      <w:r>
        <w:rPr>
          <w:rFonts w:hint="eastAsia" w:ascii="仿宋_GB2312" w:eastAsia="仿宋_GB2312"/>
          <w:color w:val="auto"/>
          <w:sz w:val="32"/>
          <w:szCs w:val="32"/>
        </w:rPr>
        <w:t>。</w:t>
      </w:r>
      <w:r>
        <w:rPr>
          <w:rFonts w:hint="eastAsia" w:ascii="仿宋_GB2312" w:hAnsi="宋体" w:eastAsia="仿宋_GB2312"/>
          <w:color w:val="auto"/>
          <w:kern w:val="2"/>
          <w:sz w:val="32"/>
          <w:szCs w:val="32"/>
          <w:lang w:val="en-US" w:eastAsia="zh-CN"/>
        </w:rPr>
        <w:t>普遍范围集中2.01～3.0区间，为了更多指标值能达到特级要求，体现商品的价值，所以将膳食纤维分级界限降低为2.50，所以以2.00～2.50</w:t>
      </w:r>
      <w:r>
        <w:rPr>
          <w:rFonts w:hint="eastAsia" w:ascii="仿宋_GB2312" w:eastAsia="仿宋_GB2312"/>
          <w:color w:val="auto"/>
          <w:sz w:val="32"/>
          <w:szCs w:val="32"/>
          <w:lang w:val="en-US" w:eastAsia="zh-CN"/>
        </w:rPr>
        <w:t>作为分级要求更加合理。</w:t>
      </w:r>
    </w:p>
    <w:p>
      <w:pPr>
        <w:spacing w:line="560" w:lineRule="exact"/>
        <w:ind w:firstLine="643" w:firstLineChars="200"/>
        <w:rPr>
          <w:rFonts w:ascii="仿宋_GB2312" w:eastAsia="仿宋_GB2312"/>
          <w:b/>
          <w:color w:val="auto"/>
          <w:sz w:val="32"/>
          <w:szCs w:val="32"/>
        </w:rPr>
      </w:pPr>
      <w:r>
        <w:rPr>
          <w:rFonts w:hint="eastAsia" w:ascii="仿宋_GB2312" w:eastAsia="仿宋_GB2312"/>
          <w:b/>
          <w:color w:val="auto"/>
          <w:sz w:val="32"/>
          <w:szCs w:val="32"/>
        </w:rPr>
        <w:t>维生素</w:t>
      </w:r>
      <w:r>
        <w:rPr>
          <w:rFonts w:ascii="仿宋_GB2312" w:eastAsia="仿宋_GB2312"/>
          <w:b/>
          <w:color w:val="auto"/>
          <w:sz w:val="32"/>
          <w:szCs w:val="32"/>
        </w:rPr>
        <w:t>C</w:t>
      </w:r>
      <w:r>
        <w:rPr>
          <w:rFonts w:hint="eastAsia" w:ascii="仿宋_GB2312" w:eastAsia="仿宋_GB2312"/>
          <w:color w:val="auto"/>
          <w:sz w:val="32"/>
          <w:szCs w:val="32"/>
        </w:rPr>
        <w:t>：</w:t>
      </w:r>
      <w:r>
        <w:rPr>
          <w:rFonts w:ascii="仿宋_GB2312" w:eastAsia="仿宋_GB2312"/>
          <w:color w:val="auto"/>
          <w:sz w:val="32"/>
          <w:szCs w:val="32"/>
          <w:lang w:val="zh-CN"/>
        </w:rPr>
        <w:t>检</w:t>
      </w:r>
      <w:r>
        <w:rPr>
          <w:rFonts w:hint="eastAsia" w:ascii="仿宋_GB2312" w:eastAsia="仿宋_GB2312"/>
          <w:color w:val="auto"/>
          <w:sz w:val="32"/>
          <w:szCs w:val="32"/>
          <w:lang w:val="zh-CN"/>
        </w:rPr>
        <w:t>测结果</w:t>
      </w:r>
      <w:r>
        <w:rPr>
          <w:rFonts w:hint="eastAsia" w:ascii="仿宋_GB2312" w:eastAsia="仿宋_GB2312"/>
          <w:color w:val="auto"/>
          <w:sz w:val="32"/>
          <w:szCs w:val="32"/>
          <w:lang w:val="en-US" w:eastAsia="zh-CN"/>
        </w:rPr>
        <w:t>分别</w:t>
      </w:r>
      <w:r>
        <w:rPr>
          <w:rFonts w:hint="eastAsia" w:ascii="仿宋_GB2312" w:eastAsia="仿宋_GB2312"/>
          <w:color w:val="auto"/>
          <w:sz w:val="32"/>
          <w:szCs w:val="32"/>
          <w:lang w:val="zh-CN"/>
        </w:rPr>
        <w:t>为20.0、27.6、33.5、19.4、34.5、30.1、19.6</w:t>
      </w:r>
      <w:r>
        <w:rPr>
          <w:rFonts w:hint="eastAsia" w:ascii="仿宋_GB2312" w:eastAsia="仿宋_GB2312"/>
          <w:color w:val="auto"/>
          <w:sz w:val="32"/>
          <w:szCs w:val="32"/>
          <w:lang w:eastAsia="zh-CN"/>
        </w:rPr>
        <w:t>。</w:t>
      </w:r>
      <w:r>
        <w:rPr>
          <w:rFonts w:hint="eastAsia" w:ascii="仿宋_GB2312" w:hAnsi="宋体" w:eastAsia="仿宋_GB2312"/>
          <w:color w:val="auto"/>
          <w:kern w:val="2"/>
          <w:sz w:val="32"/>
          <w:szCs w:val="32"/>
          <w:lang w:val="en-US" w:eastAsia="zh-CN"/>
        </w:rPr>
        <w:t>普遍范围集中20.0～30.0区间，所以以20.0～30.0</w:t>
      </w:r>
      <w:r>
        <w:rPr>
          <w:rFonts w:hint="eastAsia" w:ascii="仿宋_GB2312" w:eastAsia="仿宋_GB2312"/>
          <w:color w:val="auto"/>
          <w:sz w:val="32"/>
          <w:szCs w:val="32"/>
          <w:lang w:val="en-US" w:eastAsia="zh-CN"/>
        </w:rPr>
        <w:t>作为分级要求更加合理</w:t>
      </w:r>
      <w:r>
        <w:rPr>
          <w:rFonts w:hint="eastAsia" w:ascii="仿宋_GB2312" w:eastAsia="仿宋_GB2312"/>
          <w:color w:val="auto"/>
          <w:sz w:val="32"/>
          <w:szCs w:val="32"/>
          <w:lang w:val="zh-CN"/>
        </w:rPr>
        <w:t>。</w:t>
      </w:r>
    </w:p>
    <w:p>
      <w:pPr>
        <w:spacing w:line="560" w:lineRule="exact"/>
        <w:ind w:firstLine="643" w:firstLineChars="200"/>
        <w:rPr>
          <w:rFonts w:ascii="仿宋_GB2312" w:eastAsia="仿宋_GB2312"/>
          <w:color w:val="auto"/>
          <w:sz w:val="32"/>
          <w:szCs w:val="32"/>
        </w:rPr>
      </w:pPr>
      <w:r>
        <w:rPr>
          <w:rFonts w:ascii="仿宋_GB2312" w:eastAsia="仿宋_GB2312"/>
          <w:b/>
          <w:color w:val="auto"/>
          <w:sz w:val="32"/>
          <w:szCs w:val="32"/>
        </w:rPr>
        <w:t>β-</w:t>
      </w:r>
      <w:r>
        <w:rPr>
          <w:rFonts w:hint="eastAsia" w:ascii="仿宋_GB2312" w:eastAsia="仿宋_GB2312"/>
          <w:b/>
          <w:color w:val="auto"/>
          <w:sz w:val="32"/>
          <w:szCs w:val="32"/>
        </w:rPr>
        <w:t>胡萝卜素</w:t>
      </w:r>
      <w:r>
        <w:rPr>
          <w:rFonts w:hint="eastAsia" w:ascii="仿宋_GB2312" w:eastAsia="仿宋_GB2312"/>
          <w:b/>
          <w:color w:val="auto"/>
          <w:sz w:val="32"/>
          <w:szCs w:val="32"/>
          <w:lang w:eastAsia="zh-CN"/>
        </w:rPr>
        <w:t>：</w:t>
      </w:r>
      <w:r>
        <w:rPr>
          <w:rFonts w:hint="eastAsia" w:ascii="仿宋_GB2312" w:eastAsia="仿宋_GB2312"/>
          <w:color w:val="auto"/>
          <w:sz w:val="32"/>
          <w:szCs w:val="32"/>
          <w:lang w:val="zh-CN" w:eastAsia="zh-CN"/>
        </w:rPr>
        <w:t>β-胡萝卜素的检测结果</w:t>
      </w:r>
      <w:r>
        <w:rPr>
          <w:rFonts w:hint="eastAsia" w:ascii="仿宋_GB2312" w:eastAsia="仿宋_GB2312"/>
          <w:color w:val="auto"/>
          <w:sz w:val="32"/>
          <w:szCs w:val="32"/>
          <w:lang w:val="en-US" w:eastAsia="zh-CN"/>
        </w:rPr>
        <w:t>分别111、112、124、293、14.2、9.86、9.19、131、454、9.80、172</w:t>
      </w:r>
      <w:r>
        <w:rPr>
          <w:rFonts w:hint="eastAsia" w:ascii="仿宋_GB2312" w:eastAsia="仿宋_GB2312"/>
          <w:color w:val="auto"/>
          <w:sz w:val="32"/>
          <w:szCs w:val="32"/>
          <w:lang w:val="zh-CN" w:eastAsia="zh-CN"/>
        </w:rPr>
        <w:t>，</w:t>
      </w:r>
      <w:r>
        <w:rPr>
          <w:rFonts w:hint="eastAsia" w:ascii="仿宋_GB2312" w:eastAsia="仿宋_GB2312"/>
          <w:color w:val="auto"/>
          <w:sz w:val="32"/>
          <w:szCs w:val="32"/>
        </w:rPr>
        <w:t>不同木薯种质间块根的β-胡萝卜素差异较大，由于β-胡萝卜素含量</w:t>
      </w:r>
      <w:r>
        <w:rPr>
          <w:rFonts w:ascii="仿宋_GB2312" w:eastAsia="仿宋_GB2312"/>
          <w:color w:val="auto"/>
          <w:sz w:val="32"/>
          <w:szCs w:val="32"/>
        </w:rPr>
        <w:t>与</w:t>
      </w:r>
      <w:r>
        <w:rPr>
          <w:rFonts w:hint="eastAsia" w:ascii="仿宋_GB2312" w:eastAsia="仿宋_GB2312"/>
          <w:color w:val="auto"/>
          <w:sz w:val="32"/>
          <w:szCs w:val="32"/>
        </w:rPr>
        <w:t>木薯</w:t>
      </w:r>
      <w:r>
        <w:rPr>
          <w:rFonts w:ascii="仿宋_GB2312" w:eastAsia="仿宋_GB2312"/>
          <w:color w:val="auto"/>
          <w:sz w:val="32"/>
          <w:szCs w:val="32"/>
        </w:rPr>
        <w:t>颜色相关，越黄的木薯其</w:t>
      </w:r>
      <w:r>
        <w:rPr>
          <w:rFonts w:hint="eastAsia" w:ascii="仿宋_GB2312" w:eastAsia="仿宋_GB2312"/>
          <w:color w:val="auto"/>
          <w:sz w:val="32"/>
          <w:szCs w:val="32"/>
        </w:rPr>
        <w:t>β-胡萝卜素含量越高</w:t>
      </w:r>
      <w:r>
        <w:rPr>
          <w:rFonts w:ascii="仿宋_GB2312" w:eastAsia="仿宋_GB2312"/>
          <w:color w:val="auto"/>
          <w:sz w:val="32"/>
          <w:szCs w:val="32"/>
        </w:rPr>
        <w:t>，</w:t>
      </w:r>
      <w:r>
        <w:rPr>
          <w:rFonts w:hint="eastAsia" w:ascii="仿宋_GB2312" w:eastAsia="仿宋_GB2312"/>
          <w:color w:val="auto"/>
          <w:sz w:val="32"/>
          <w:szCs w:val="32"/>
          <w:lang w:val="en-US" w:eastAsia="zh-CN"/>
        </w:rPr>
        <w:t>根据</w:t>
      </w:r>
      <w:r>
        <w:rPr>
          <w:rFonts w:hint="eastAsia" w:ascii="仿宋_GB2312" w:hAnsi="宋体" w:eastAsia="仿宋_GB2312"/>
          <w:color w:val="auto"/>
          <w:sz w:val="32"/>
          <w:szCs w:val="32"/>
        </w:rPr>
        <w:t>广西壮族自治区农业科学院经济作物研究所</w:t>
      </w:r>
      <w:r>
        <w:rPr>
          <w:rFonts w:hint="eastAsia" w:ascii="仿宋_GB2312" w:eastAsia="仿宋_GB2312"/>
          <w:color w:val="auto"/>
          <w:sz w:val="32"/>
          <w:szCs w:val="32"/>
        </w:rPr>
        <w:t>由此</w:t>
      </w:r>
      <w:r>
        <w:rPr>
          <w:rFonts w:ascii="仿宋_GB2312" w:eastAsia="仿宋_GB2312"/>
          <w:color w:val="auto"/>
          <w:sz w:val="32"/>
          <w:szCs w:val="32"/>
        </w:rPr>
        <w:t>确定其指标范围</w:t>
      </w:r>
      <w:r>
        <w:rPr>
          <w:rFonts w:hint="eastAsia" w:ascii="仿宋_GB2312" w:eastAsia="仿宋_GB2312"/>
          <w:color w:val="auto"/>
          <w:sz w:val="32"/>
          <w:szCs w:val="32"/>
        </w:rPr>
        <w:t>，以保证</w:t>
      </w:r>
      <w:r>
        <w:rPr>
          <w:rFonts w:ascii="仿宋_GB2312" w:eastAsia="仿宋_GB2312"/>
          <w:color w:val="auto"/>
          <w:sz w:val="32"/>
          <w:szCs w:val="32"/>
        </w:rPr>
        <w:t>适用于大部分</w:t>
      </w:r>
      <w:r>
        <w:rPr>
          <w:rFonts w:hint="eastAsia" w:ascii="仿宋_GB2312" w:eastAsia="仿宋_GB2312"/>
          <w:color w:val="auto"/>
          <w:sz w:val="32"/>
          <w:szCs w:val="32"/>
        </w:rPr>
        <w:t>食用</w:t>
      </w:r>
      <w:r>
        <w:rPr>
          <w:rFonts w:ascii="仿宋_GB2312" w:eastAsia="仿宋_GB2312"/>
          <w:color w:val="auto"/>
          <w:sz w:val="32"/>
          <w:szCs w:val="32"/>
        </w:rPr>
        <w:t>木薯。</w:t>
      </w:r>
    </w:p>
    <w:p>
      <w:pPr>
        <w:spacing w:line="560" w:lineRule="exact"/>
        <w:ind w:firstLine="643" w:firstLineChars="200"/>
        <w:rPr>
          <w:rFonts w:hint="eastAsia" w:ascii="仿宋_GB2312" w:eastAsia="仿宋_GB2312"/>
          <w:color w:val="auto"/>
          <w:sz w:val="32"/>
          <w:szCs w:val="32"/>
          <w:lang w:val="zh-CN"/>
        </w:rPr>
      </w:pPr>
      <w:r>
        <w:rPr>
          <w:rFonts w:hint="eastAsia" w:ascii="仿宋_GB2312" w:eastAsia="仿宋_GB2312"/>
          <w:b/>
          <w:color w:val="auto"/>
          <w:sz w:val="32"/>
          <w:szCs w:val="32"/>
        </w:rPr>
        <w:t>钾</w:t>
      </w:r>
      <w:r>
        <w:rPr>
          <w:rFonts w:ascii="仿宋_GB2312" w:eastAsia="仿宋_GB2312"/>
          <w:b/>
          <w:color w:val="auto"/>
          <w:sz w:val="32"/>
          <w:szCs w:val="32"/>
        </w:rPr>
        <w:t>、钙</w:t>
      </w:r>
      <w:r>
        <w:rPr>
          <w:rFonts w:ascii="仿宋_GB2312" w:eastAsia="仿宋_GB2312"/>
          <w:color w:val="auto"/>
          <w:sz w:val="32"/>
          <w:szCs w:val="32"/>
        </w:rPr>
        <w:t>：</w:t>
      </w:r>
      <w:r>
        <w:rPr>
          <w:rFonts w:hint="eastAsia" w:ascii="仿宋_GB2312" w:eastAsia="仿宋_GB2312"/>
          <w:color w:val="auto"/>
          <w:sz w:val="32"/>
          <w:szCs w:val="32"/>
        </w:rPr>
        <w:t>矿物质也是人体必需的营养成分，木薯</w:t>
      </w:r>
      <w:r>
        <w:rPr>
          <w:rFonts w:ascii="仿宋_GB2312" w:eastAsia="仿宋_GB2312"/>
          <w:color w:val="auto"/>
          <w:sz w:val="32"/>
          <w:szCs w:val="32"/>
        </w:rPr>
        <w:t>块根中</w:t>
      </w:r>
      <w:r>
        <w:rPr>
          <w:rFonts w:hint="eastAsia" w:ascii="仿宋_GB2312" w:eastAsia="仿宋_GB2312"/>
          <w:color w:val="auto"/>
          <w:sz w:val="32"/>
          <w:szCs w:val="32"/>
          <w:lang w:val="zh-CN"/>
        </w:rPr>
        <w:t>矿物质含量</w:t>
      </w:r>
      <w:r>
        <w:rPr>
          <w:rFonts w:hint="eastAsia" w:ascii="仿宋_GB2312" w:eastAsia="仿宋_GB2312"/>
          <w:color w:val="auto"/>
          <w:sz w:val="32"/>
          <w:szCs w:val="32"/>
        </w:rPr>
        <w:t>可与除大豆外的其他豆类相媲美，</w:t>
      </w:r>
      <w:r>
        <w:rPr>
          <w:rFonts w:ascii="仿宋_GB2312" w:eastAsia="仿宋_GB2312"/>
          <w:color w:val="auto"/>
          <w:sz w:val="32"/>
          <w:szCs w:val="32"/>
        </w:rPr>
        <w:t>其中</w:t>
      </w:r>
      <w:r>
        <w:rPr>
          <w:rFonts w:hint="eastAsia" w:ascii="仿宋_GB2312" w:eastAsia="仿宋_GB2312"/>
          <w:color w:val="auto"/>
          <w:sz w:val="32"/>
          <w:szCs w:val="32"/>
          <w:lang w:val="zh-CN"/>
        </w:rPr>
        <w:t>钾的</w:t>
      </w:r>
      <w:r>
        <w:rPr>
          <w:rFonts w:hint="eastAsia" w:ascii="仿宋_GB2312" w:eastAsia="仿宋_GB2312"/>
          <w:color w:val="auto"/>
          <w:sz w:val="32"/>
          <w:szCs w:val="32"/>
        </w:rPr>
        <w:t>检测结果为301</w:t>
      </w:r>
      <w:r>
        <w:rPr>
          <w:rFonts w:hint="eastAsia" w:ascii="仿宋_GB2312" w:eastAsia="仿宋_GB2312"/>
          <w:color w:val="auto"/>
          <w:sz w:val="32"/>
          <w:szCs w:val="32"/>
          <w:lang w:eastAsia="zh-CN"/>
        </w:rPr>
        <w:t>、</w:t>
      </w:r>
      <w:r>
        <w:rPr>
          <w:rFonts w:hint="eastAsia" w:ascii="仿宋_GB2312" w:eastAsia="仿宋_GB2312"/>
          <w:color w:val="auto"/>
          <w:sz w:val="32"/>
          <w:szCs w:val="32"/>
        </w:rPr>
        <w:t>300</w:t>
      </w:r>
      <w:r>
        <w:rPr>
          <w:rFonts w:hint="eastAsia" w:ascii="仿宋_GB2312" w:eastAsia="仿宋_GB2312"/>
          <w:color w:val="auto"/>
          <w:sz w:val="32"/>
          <w:szCs w:val="32"/>
          <w:lang w:eastAsia="zh-CN"/>
        </w:rPr>
        <w:t>、</w:t>
      </w:r>
      <w:r>
        <w:rPr>
          <w:rFonts w:hint="eastAsia" w:ascii="仿宋_GB2312" w:eastAsia="仿宋_GB2312"/>
          <w:color w:val="auto"/>
          <w:sz w:val="32"/>
          <w:szCs w:val="32"/>
        </w:rPr>
        <w:t>335</w:t>
      </w:r>
      <w:r>
        <w:rPr>
          <w:rFonts w:hint="eastAsia" w:ascii="仿宋_GB2312" w:eastAsia="仿宋_GB2312"/>
          <w:color w:val="auto"/>
          <w:sz w:val="32"/>
          <w:szCs w:val="32"/>
          <w:lang w:eastAsia="zh-CN"/>
        </w:rPr>
        <w:t>、</w:t>
      </w:r>
      <w:r>
        <w:rPr>
          <w:rFonts w:hint="eastAsia" w:ascii="仿宋_GB2312" w:eastAsia="仿宋_GB2312"/>
          <w:color w:val="auto"/>
          <w:sz w:val="32"/>
          <w:szCs w:val="32"/>
        </w:rPr>
        <w:t>545</w:t>
      </w:r>
      <w:r>
        <w:rPr>
          <w:rFonts w:hint="eastAsia" w:ascii="仿宋_GB2312" w:eastAsia="仿宋_GB2312"/>
          <w:color w:val="auto"/>
          <w:sz w:val="32"/>
          <w:szCs w:val="32"/>
          <w:lang w:eastAsia="zh-CN"/>
        </w:rPr>
        <w:t>、</w:t>
      </w:r>
      <w:r>
        <w:rPr>
          <w:rFonts w:hint="eastAsia" w:ascii="仿宋_GB2312" w:eastAsia="仿宋_GB2312"/>
          <w:color w:val="auto"/>
          <w:sz w:val="32"/>
          <w:szCs w:val="32"/>
        </w:rPr>
        <w:t>256</w:t>
      </w:r>
      <w:r>
        <w:rPr>
          <w:rFonts w:hint="eastAsia" w:ascii="仿宋_GB2312" w:eastAsia="仿宋_GB2312"/>
          <w:color w:val="auto"/>
          <w:sz w:val="32"/>
          <w:szCs w:val="32"/>
          <w:lang w:eastAsia="zh-CN"/>
        </w:rPr>
        <w:t>、</w:t>
      </w:r>
      <w:r>
        <w:rPr>
          <w:rFonts w:hint="eastAsia" w:ascii="仿宋_GB2312" w:eastAsia="仿宋_GB2312"/>
          <w:color w:val="auto"/>
          <w:sz w:val="32"/>
          <w:szCs w:val="32"/>
        </w:rPr>
        <w:t>316</w:t>
      </w:r>
      <w:r>
        <w:rPr>
          <w:rFonts w:hint="eastAsia" w:ascii="仿宋_GB2312" w:eastAsia="仿宋_GB2312"/>
          <w:color w:val="auto"/>
          <w:sz w:val="32"/>
          <w:szCs w:val="32"/>
          <w:lang w:eastAsia="zh-CN"/>
        </w:rPr>
        <w:t>、</w:t>
      </w:r>
      <w:r>
        <w:rPr>
          <w:rFonts w:hint="eastAsia" w:ascii="仿宋_GB2312" w:eastAsia="仿宋_GB2312"/>
          <w:color w:val="auto"/>
          <w:sz w:val="32"/>
          <w:szCs w:val="32"/>
        </w:rPr>
        <w:t>270</w:t>
      </w:r>
      <w:r>
        <w:rPr>
          <w:rFonts w:hint="eastAsia" w:ascii="仿宋_GB2312" w:eastAsia="仿宋_GB2312"/>
          <w:color w:val="auto"/>
          <w:sz w:val="32"/>
          <w:szCs w:val="32"/>
          <w:lang w:eastAsia="zh-CN"/>
        </w:rPr>
        <w:t>、</w:t>
      </w:r>
      <w:r>
        <w:rPr>
          <w:rFonts w:hint="eastAsia" w:ascii="仿宋_GB2312" w:eastAsia="仿宋_GB2312"/>
          <w:color w:val="auto"/>
          <w:sz w:val="32"/>
          <w:szCs w:val="32"/>
        </w:rPr>
        <w:t>517</w:t>
      </w:r>
      <w:r>
        <w:rPr>
          <w:rFonts w:hint="eastAsia" w:ascii="仿宋_GB2312" w:eastAsia="仿宋_GB2312"/>
          <w:color w:val="auto"/>
          <w:sz w:val="32"/>
          <w:szCs w:val="32"/>
          <w:lang w:eastAsia="zh-CN"/>
        </w:rPr>
        <w:t>、</w:t>
      </w:r>
      <w:r>
        <w:rPr>
          <w:rFonts w:hint="eastAsia" w:ascii="仿宋_GB2312" w:eastAsia="仿宋_GB2312"/>
          <w:color w:val="auto"/>
          <w:sz w:val="32"/>
          <w:szCs w:val="32"/>
        </w:rPr>
        <w:t>553</w:t>
      </w:r>
      <w:r>
        <w:rPr>
          <w:rFonts w:hint="eastAsia" w:ascii="仿宋_GB2312" w:eastAsia="仿宋_GB2312"/>
          <w:color w:val="auto"/>
          <w:sz w:val="32"/>
          <w:szCs w:val="32"/>
          <w:lang w:eastAsia="zh-CN"/>
        </w:rPr>
        <w:t>、</w:t>
      </w:r>
      <w:r>
        <w:rPr>
          <w:rFonts w:hint="eastAsia" w:ascii="仿宋_GB2312" w:eastAsia="仿宋_GB2312"/>
          <w:color w:val="auto"/>
          <w:sz w:val="32"/>
          <w:szCs w:val="32"/>
        </w:rPr>
        <w:t>482</w:t>
      </w:r>
      <w:r>
        <w:rPr>
          <w:rFonts w:hint="eastAsia" w:ascii="仿宋_GB2312" w:eastAsia="仿宋_GB2312"/>
          <w:color w:val="auto"/>
          <w:sz w:val="32"/>
          <w:szCs w:val="32"/>
          <w:lang w:eastAsia="zh-CN"/>
        </w:rPr>
        <w:t>、</w:t>
      </w:r>
      <w:r>
        <w:rPr>
          <w:rFonts w:hint="eastAsia" w:ascii="仿宋_GB2312" w:eastAsia="仿宋_GB2312"/>
          <w:color w:val="auto"/>
          <w:sz w:val="32"/>
          <w:szCs w:val="32"/>
        </w:rPr>
        <w:t>387</w:t>
      </w:r>
      <w:r>
        <w:rPr>
          <w:rFonts w:hint="eastAsia" w:ascii="仿宋_GB2312" w:eastAsia="仿宋_GB2312"/>
          <w:color w:val="auto"/>
          <w:sz w:val="32"/>
          <w:szCs w:val="32"/>
          <w:lang w:eastAsia="zh-CN"/>
        </w:rPr>
        <w:t>、</w:t>
      </w:r>
      <w:r>
        <w:rPr>
          <w:rFonts w:hint="eastAsia" w:ascii="仿宋_GB2312" w:hAnsi="宋体" w:eastAsia="仿宋_GB2312"/>
          <w:color w:val="auto"/>
          <w:kern w:val="2"/>
          <w:sz w:val="32"/>
          <w:szCs w:val="32"/>
          <w:lang w:val="en-US" w:eastAsia="zh-CN"/>
        </w:rPr>
        <w:t>普遍范围集中300.0～500.0区间</w:t>
      </w:r>
      <w:r>
        <w:rPr>
          <w:rFonts w:hint="eastAsia" w:ascii="仿宋_GB2312" w:eastAsia="仿宋_GB2312"/>
          <w:color w:val="auto"/>
          <w:sz w:val="32"/>
          <w:szCs w:val="32"/>
        </w:rPr>
        <w:t>，</w:t>
      </w:r>
      <w:r>
        <w:rPr>
          <w:rFonts w:hint="eastAsia" w:ascii="仿宋_GB2312" w:hAnsi="宋体" w:eastAsia="仿宋_GB2312"/>
          <w:color w:val="auto"/>
          <w:kern w:val="2"/>
          <w:sz w:val="32"/>
          <w:szCs w:val="32"/>
          <w:lang w:val="en-US" w:eastAsia="zh-CN"/>
        </w:rPr>
        <w:t>为了更多指标值能达到特级要求，体现商品的价值，所以将钾含量分级界限降低为400，所以以300.0～400.0</w:t>
      </w:r>
      <w:r>
        <w:rPr>
          <w:rFonts w:hint="eastAsia" w:ascii="仿宋_GB2312" w:eastAsia="仿宋_GB2312"/>
          <w:color w:val="auto"/>
          <w:sz w:val="32"/>
          <w:szCs w:val="32"/>
          <w:lang w:val="en-US" w:eastAsia="zh-CN"/>
        </w:rPr>
        <w:t>作为分级要求更加合理；</w:t>
      </w:r>
      <w:r>
        <w:rPr>
          <w:rFonts w:hint="eastAsia" w:ascii="仿宋_GB2312" w:eastAsia="仿宋_GB2312"/>
          <w:color w:val="auto"/>
          <w:sz w:val="32"/>
          <w:szCs w:val="32"/>
        </w:rPr>
        <w:t>因此</w:t>
      </w:r>
      <w:r>
        <w:rPr>
          <w:rFonts w:ascii="仿宋_GB2312" w:eastAsia="仿宋_GB2312"/>
          <w:color w:val="auto"/>
          <w:sz w:val="32"/>
          <w:szCs w:val="32"/>
        </w:rPr>
        <w:t>指标范围是</w:t>
      </w:r>
      <w:r>
        <w:rPr>
          <w:rFonts w:hint="eastAsia" w:ascii="仿宋_GB2312" w:eastAsia="仿宋_GB2312"/>
          <w:color w:val="auto"/>
          <w:sz w:val="32"/>
          <w:szCs w:val="32"/>
        </w:rPr>
        <w:t>100</w:t>
      </w:r>
      <w:r>
        <w:rPr>
          <w:rFonts w:hint="eastAsia" w:ascii="仿宋_GB2312" w:eastAsia="仿宋_GB2312"/>
          <w:color w:val="auto"/>
          <w:sz w:val="32"/>
          <w:szCs w:val="32"/>
          <w:vertAlign w:val="superscript"/>
          <w:lang w:val="zh-CN"/>
        </w:rPr>
        <w:t xml:space="preserve"> </w:t>
      </w:r>
      <w:r>
        <w:rPr>
          <w:rFonts w:hint="eastAsia" w:ascii="仿宋_GB2312" w:eastAsia="仿宋_GB2312"/>
          <w:color w:val="auto"/>
          <w:sz w:val="32"/>
          <w:szCs w:val="32"/>
          <w:lang w:val="zh-CN"/>
        </w:rPr>
        <w:t>mg/100g</w:t>
      </w:r>
      <w:r>
        <w:rPr>
          <w:rFonts w:hint="eastAsia" w:ascii="仿宋_GB2312" w:eastAsia="仿宋_GB2312"/>
          <w:color w:val="auto"/>
          <w:sz w:val="32"/>
          <w:szCs w:val="32"/>
        </w:rPr>
        <w:t>～600</w:t>
      </w:r>
      <w:r>
        <w:rPr>
          <w:rFonts w:hint="eastAsia" w:ascii="仿宋_GB2312" w:eastAsia="仿宋_GB2312"/>
          <w:color w:val="auto"/>
          <w:sz w:val="32"/>
          <w:szCs w:val="32"/>
          <w:vertAlign w:val="superscript"/>
        </w:rPr>
        <w:t xml:space="preserve"> </w:t>
      </w:r>
      <w:r>
        <w:rPr>
          <w:rFonts w:hint="eastAsia" w:ascii="仿宋_GB2312" w:eastAsia="仿宋_GB2312"/>
          <w:color w:val="auto"/>
          <w:sz w:val="32"/>
          <w:szCs w:val="32"/>
          <w:lang w:val="zh-CN"/>
        </w:rPr>
        <w:t>mg/100g。钙的</w:t>
      </w:r>
      <w:r>
        <w:rPr>
          <w:rFonts w:hint="eastAsia" w:ascii="仿宋_GB2312" w:eastAsia="仿宋_GB2312"/>
          <w:color w:val="auto"/>
          <w:sz w:val="32"/>
          <w:szCs w:val="32"/>
        </w:rPr>
        <w:t>检测结果为</w:t>
      </w:r>
      <w:r>
        <w:rPr>
          <w:rFonts w:hint="eastAsia" w:ascii="仿宋_GB2312" w:eastAsia="仿宋_GB2312"/>
          <w:color w:val="auto"/>
          <w:sz w:val="32"/>
          <w:szCs w:val="32"/>
          <w:lang w:val="zh-CN"/>
        </w:rPr>
        <w:t>27.5、9.12、27.9、10.6、17.5、19.2、23.0、33.4、28.4、36.3、</w:t>
      </w:r>
      <w:r>
        <w:rPr>
          <w:rFonts w:hint="eastAsia" w:ascii="仿宋_GB2312" w:eastAsia="仿宋_GB2312"/>
          <w:color w:val="auto"/>
          <w:sz w:val="32"/>
          <w:szCs w:val="32"/>
          <w:lang w:val="en-US" w:eastAsia="zh-CN"/>
        </w:rPr>
        <w:t>3</w:t>
      </w:r>
      <w:r>
        <w:rPr>
          <w:rFonts w:hint="eastAsia" w:ascii="仿宋_GB2312" w:eastAsia="仿宋_GB2312"/>
          <w:color w:val="auto"/>
          <w:sz w:val="32"/>
          <w:szCs w:val="32"/>
          <w:lang w:val="zh-CN"/>
        </w:rPr>
        <w:t>8.4</w:t>
      </w:r>
      <w:r>
        <w:rPr>
          <w:rFonts w:ascii="仿宋_GB2312" w:eastAsia="仿宋_GB2312"/>
          <w:color w:val="auto"/>
          <w:sz w:val="32"/>
          <w:szCs w:val="32"/>
        </w:rPr>
        <w:t>9</w:t>
      </w:r>
      <w:r>
        <w:rPr>
          <w:rFonts w:hint="eastAsia" w:ascii="仿宋_GB2312" w:eastAsia="仿宋_GB2312"/>
          <w:color w:val="auto"/>
          <w:sz w:val="32"/>
          <w:szCs w:val="32"/>
          <w:lang w:eastAsia="zh-CN"/>
        </w:rPr>
        <w:t>，</w:t>
      </w:r>
      <w:r>
        <w:rPr>
          <w:rFonts w:hint="eastAsia" w:ascii="仿宋_GB2312" w:hAnsi="宋体" w:eastAsia="仿宋_GB2312"/>
          <w:color w:val="auto"/>
          <w:kern w:val="2"/>
          <w:sz w:val="32"/>
          <w:szCs w:val="32"/>
          <w:lang w:val="en-US" w:eastAsia="zh-CN"/>
        </w:rPr>
        <w:t>普遍范围集中10.0～30.0区间，所以以10.0～30.0</w:t>
      </w:r>
      <w:r>
        <w:rPr>
          <w:rFonts w:hint="eastAsia" w:ascii="仿宋_GB2312" w:eastAsia="仿宋_GB2312"/>
          <w:color w:val="auto"/>
          <w:sz w:val="32"/>
          <w:szCs w:val="32"/>
          <w:lang w:val="en-US" w:eastAsia="zh-CN"/>
        </w:rPr>
        <w:t>作为分级要求更加合理</w:t>
      </w:r>
      <w:r>
        <w:rPr>
          <w:rFonts w:hint="eastAsia" w:ascii="仿宋_GB2312" w:eastAsia="仿宋_GB2312"/>
          <w:color w:val="auto"/>
          <w:sz w:val="32"/>
          <w:szCs w:val="32"/>
          <w:lang w:val="zh-CN"/>
        </w:rPr>
        <w:t>。</w:t>
      </w:r>
    </w:p>
    <w:p>
      <w:pPr>
        <w:snapToGrid w:val="0"/>
        <w:spacing w:line="560" w:lineRule="exact"/>
        <w:ind w:firstLine="640" w:firstLineChars="200"/>
        <w:rPr>
          <w:rFonts w:ascii="仿宋_GB2312" w:eastAsia="仿宋_GB2312"/>
          <w:color w:val="auto"/>
          <w:sz w:val="32"/>
          <w:szCs w:val="32"/>
          <w:lang w:val="zh-CN"/>
        </w:rPr>
      </w:pPr>
      <w:r>
        <w:rPr>
          <w:rFonts w:hint="eastAsia" w:ascii="仿宋_GB2312" w:eastAsia="仿宋_GB2312"/>
          <w:color w:val="auto"/>
          <w:sz w:val="32"/>
          <w:szCs w:val="32"/>
          <w:lang w:val="en-US" w:eastAsia="zh-CN"/>
        </w:rPr>
        <w:t>食味评价包括蒸木薯、</w:t>
      </w:r>
      <w:r>
        <w:rPr>
          <w:rFonts w:hint="eastAsia" w:ascii="仿宋_GB2312" w:hAnsi="宋体" w:eastAsia="仿宋_GB2312"/>
          <w:color w:val="auto"/>
          <w:sz w:val="32"/>
          <w:szCs w:val="32"/>
          <w:lang w:val="en-US" w:eastAsia="zh-CN"/>
        </w:rPr>
        <w:t>木薯汁、木薯羹3种类型，</w:t>
      </w:r>
      <w:r>
        <w:rPr>
          <w:rFonts w:hint="eastAsia" w:ascii="仿宋_GB2312" w:hAnsi="宋体" w:eastAsia="仿宋_GB2312"/>
          <w:color w:val="auto"/>
          <w:sz w:val="32"/>
          <w:szCs w:val="32"/>
        </w:rPr>
        <w:t>主要依据陆柳英</w:t>
      </w:r>
      <w:r>
        <w:rPr>
          <w:rFonts w:ascii="仿宋_GB2312" w:hAnsi="宋体" w:eastAsia="仿宋_GB2312"/>
          <w:color w:val="auto"/>
          <w:sz w:val="32"/>
          <w:szCs w:val="32"/>
        </w:rPr>
        <w:t>、王颖等</w:t>
      </w:r>
      <w:r>
        <w:rPr>
          <w:rFonts w:hint="eastAsia" w:ascii="仿宋_GB2312" w:hAnsi="宋体" w:eastAsia="仿宋_GB2312"/>
          <w:color w:val="auto"/>
          <w:sz w:val="32"/>
          <w:szCs w:val="32"/>
        </w:rPr>
        <w:t>的</w:t>
      </w:r>
      <w:r>
        <w:rPr>
          <w:rFonts w:ascii="仿宋_GB2312" w:hAnsi="宋体" w:eastAsia="仿宋_GB2312"/>
          <w:color w:val="auto"/>
          <w:sz w:val="32"/>
          <w:szCs w:val="32"/>
        </w:rPr>
        <w:t>《不同食用木薯品种（系）鲜食加工适宜性研究》</w:t>
      </w:r>
      <w:r>
        <w:rPr>
          <w:rFonts w:hint="eastAsia" w:ascii="仿宋_GB2312" w:hAnsi="宋体" w:eastAsia="仿宋_GB2312"/>
          <w:color w:val="auto"/>
          <w:sz w:val="32"/>
          <w:szCs w:val="32"/>
        </w:rPr>
        <w:t>进行确定</w:t>
      </w: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rPr>
        <w:t>广西壮族自治区农业科学院经济作物研究所</w:t>
      </w:r>
      <w:r>
        <w:rPr>
          <w:rFonts w:hint="eastAsia" w:ascii="仿宋_GB2312" w:hAnsi="宋体" w:eastAsia="仿宋_GB2312"/>
          <w:color w:val="auto"/>
          <w:sz w:val="32"/>
          <w:szCs w:val="32"/>
          <w:lang w:val="en-US" w:eastAsia="zh-CN"/>
        </w:rPr>
        <w:t>多年来对</w:t>
      </w:r>
      <w:r>
        <w:rPr>
          <w:rFonts w:ascii="仿宋_GB2312" w:hAnsi="宋体" w:eastAsia="仿宋_GB2312"/>
          <w:color w:val="auto"/>
          <w:sz w:val="32"/>
          <w:szCs w:val="32"/>
        </w:rPr>
        <w:t>不同食用木薯品种（系）</w:t>
      </w:r>
      <w:r>
        <w:rPr>
          <w:rFonts w:hint="eastAsia" w:ascii="仿宋_GB2312" w:hAnsi="宋体" w:eastAsia="仿宋_GB2312"/>
          <w:color w:val="auto"/>
          <w:sz w:val="32"/>
          <w:szCs w:val="32"/>
          <w:lang w:val="en-US" w:eastAsia="zh-CN"/>
        </w:rPr>
        <w:t>食味评价进行了相关的研究，形成了较丰富的实践经验。</w:t>
      </w:r>
      <w:r>
        <w:rPr>
          <w:rFonts w:hint="eastAsia" w:ascii="仿宋_GB2312" w:hAnsi="宋体" w:eastAsia="仿宋_GB2312"/>
          <w:color w:val="auto"/>
          <w:sz w:val="32"/>
          <w:szCs w:val="32"/>
        </w:rPr>
        <w:t>华南9号为国内公认综合品质优良的食用木薯品种，南植199为目前种植面积最大的可食用品种。因此蒸木薯</w:t>
      </w:r>
      <w:r>
        <w:rPr>
          <w:rFonts w:ascii="仿宋_GB2312" w:hAnsi="宋体" w:eastAsia="仿宋_GB2312"/>
          <w:color w:val="auto"/>
          <w:sz w:val="32"/>
          <w:szCs w:val="32"/>
        </w:rPr>
        <w:t>的食味评价主要</w:t>
      </w:r>
      <w:r>
        <w:rPr>
          <w:rFonts w:hint="eastAsia" w:ascii="仿宋_GB2312" w:hAnsi="宋体" w:eastAsia="仿宋_GB2312"/>
          <w:color w:val="auto"/>
          <w:sz w:val="32"/>
          <w:szCs w:val="32"/>
        </w:rPr>
        <w:t>以华南9号、南植199木薯品种为对照，优于华南9号为优，南植199和华南9号两者之间为良。木薯汁的</w:t>
      </w:r>
      <w:r>
        <w:rPr>
          <w:rFonts w:ascii="仿宋_GB2312" w:hAnsi="宋体" w:eastAsia="仿宋_GB2312"/>
          <w:color w:val="auto"/>
          <w:sz w:val="32"/>
          <w:szCs w:val="32"/>
        </w:rPr>
        <w:t>食味评价主要从组织状态、口感、风味、色泽进行评价，根据评价结果</w:t>
      </w:r>
      <w:r>
        <w:rPr>
          <w:rFonts w:hint="eastAsia" w:ascii="仿宋_GB2312" w:hAnsi="宋体" w:eastAsia="仿宋_GB2312"/>
          <w:color w:val="auto"/>
          <w:sz w:val="32"/>
          <w:szCs w:val="32"/>
        </w:rPr>
        <w:t>分为</w:t>
      </w:r>
      <w:r>
        <w:rPr>
          <w:rFonts w:ascii="仿宋_GB2312" w:hAnsi="宋体" w:eastAsia="仿宋_GB2312"/>
          <w:color w:val="auto"/>
          <w:sz w:val="32"/>
          <w:szCs w:val="32"/>
        </w:rPr>
        <w:t>优、良、一般三个等级。木薯羹</w:t>
      </w:r>
      <w:r>
        <w:rPr>
          <w:rFonts w:hint="eastAsia" w:ascii="仿宋_GB2312" w:hAnsi="宋体" w:eastAsia="仿宋_GB2312"/>
          <w:color w:val="auto"/>
          <w:sz w:val="32"/>
          <w:szCs w:val="32"/>
        </w:rPr>
        <w:t>的食味</w:t>
      </w:r>
      <w:r>
        <w:rPr>
          <w:rFonts w:ascii="仿宋_GB2312" w:hAnsi="宋体" w:eastAsia="仿宋_GB2312"/>
          <w:color w:val="auto"/>
          <w:sz w:val="32"/>
          <w:szCs w:val="32"/>
        </w:rPr>
        <w:t>评价</w:t>
      </w:r>
      <w:r>
        <w:rPr>
          <w:rFonts w:hint="eastAsia" w:ascii="仿宋_GB2312" w:hAnsi="宋体" w:eastAsia="仿宋_GB2312"/>
          <w:color w:val="auto"/>
          <w:sz w:val="32"/>
          <w:szCs w:val="32"/>
        </w:rPr>
        <w:t>主要参考</w:t>
      </w:r>
      <w:r>
        <w:rPr>
          <w:rFonts w:ascii="仿宋_GB2312" w:hAnsi="宋体" w:eastAsia="仿宋_GB2312"/>
          <w:color w:val="auto"/>
          <w:sz w:val="32"/>
          <w:szCs w:val="32"/>
        </w:rPr>
        <w:t>蒸木薯食味评价中的香度、黏度、面度、纤维感4项指标</w:t>
      </w:r>
      <w:r>
        <w:rPr>
          <w:rFonts w:hint="eastAsia" w:ascii="仿宋_GB2312" w:hAnsi="宋体" w:eastAsia="仿宋_GB2312"/>
          <w:color w:val="auto"/>
          <w:sz w:val="32"/>
          <w:szCs w:val="32"/>
        </w:rPr>
        <w:t>，根据最终得分确定该种质木薯羹质量等级。油炸型</w:t>
      </w:r>
      <w:r>
        <w:rPr>
          <w:rFonts w:ascii="仿宋_GB2312" w:hAnsi="宋体" w:eastAsia="仿宋_GB2312"/>
          <w:color w:val="auto"/>
          <w:sz w:val="32"/>
          <w:szCs w:val="32"/>
        </w:rPr>
        <w:t>即食</w:t>
      </w:r>
      <w:r>
        <w:rPr>
          <w:rFonts w:hint="eastAsia" w:ascii="仿宋_GB2312" w:hAnsi="宋体" w:eastAsia="仿宋_GB2312"/>
          <w:color w:val="auto"/>
          <w:sz w:val="32"/>
          <w:szCs w:val="32"/>
        </w:rPr>
        <w:t>薯片的感官评价</w:t>
      </w:r>
      <w:r>
        <w:rPr>
          <w:rFonts w:ascii="仿宋_GB2312" w:hAnsi="宋体" w:eastAsia="仿宋_GB2312"/>
          <w:color w:val="auto"/>
          <w:sz w:val="32"/>
          <w:szCs w:val="32"/>
        </w:rPr>
        <w:t>对组织状态、口感、风味、色泽进行评价，将薯片分为优</w:t>
      </w:r>
      <w:r>
        <w:rPr>
          <w:rFonts w:hint="eastAsia" w:ascii="仿宋_GB2312" w:hAnsi="宋体" w:eastAsia="仿宋_GB2312"/>
          <w:color w:val="auto"/>
          <w:sz w:val="32"/>
          <w:szCs w:val="32"/>
        </w:rPr>
        <w:t>、</w:t>
      </w:r>
      <w:r>
        <w:rPr>
          <w:rFonts w:ascii="仿宋_GB2312" w:hAnsi="宋体" w:eastAsia="仿宋_GB2312"/>
          <w:color w:val="auto"/>
          <w:sz w:val="32"/>
          <w:szCs w:val="32"/>
        </w:rPr>
        <w:t>良</w:t>
      </w:r>
      <w:r>
        <w:rPr>
          <w:rFonts w:hint="eastAsia" w:ascii="仿宋_GB2312" w:hAnsi="宋体" w:eastAsia="仿宋_GB2312"/>
          <w:color w:val="auto"/>
          <w:sz w:val="32"/>
          <w:szCs w:val="32"/>
        </w:rPr>
        <w:t>、</w:t>
      </w:r>
      <w:r>
        <w:rPr>
          <w:rFonts w:ascii="仿宋_GB2312" w:hAnsi="宋体" w:eastAsia="仿宋_GB2312"/>
          <w:color w:val="auto"/>
          <w:sz w:val="32"/>
          <w:szCs w:val="32"/>
        </w:rPr>
        <w:t>中等</w:t>
      </w:r>
      <w:r>
        <w:rPr>
          <w:rFonts w:hint="eastAsia" w:ascii="仿宋_GB2312" w:hAnsi="宋体" w:eastAsia="仿宋_GB2312"/>
          <w:color w:val="auto"/>
          <w:sz w:val="32"/>
          <w:szCs w:val="32"/>
        </w:rPr>
        <w:t>、</w:t>
      </w:r>
      <w:r>
        <w:rPr>
          <w:rFonts w:ascii="仿宋_GB2312" w:hAnsi="宋体" w:eastAsia="仿宋_GB2312"/>
          <w:color w:val="auto"/>
          <w:sz w:val="32"/>
          <w:szCs w:val="32"/>
        </w:rPr>
        <w:t>较差四</w:t>
      </w:r>
      <w:r>
        <w:rPr>
          <w:rFonts w:hint="eastAsia" w:ascii="仿宋_GB2312" w:hAnsi="宋体" w:eastAsia="仿宋_GB2312"/>
          <w:color w:val="auto"/>
          <w:sz w:val="32"/>
          <w:szCs w:val="32"/>
        </w:rPr>
        <w:t>种</w:t>
      </w:r>
      <w:r>
        <w:rPr>
          <w:rFonts w:ascii="仿宋_GB2312" w:hAnsi="宋体" w:eastAsia="仿宋_GB2312"/>
          <w:color w:val="auto"/>
          <w:sz w:val="32"/>
          <w:szCs w:val="32"/>
        </w:rPr>
        <w:t>等级。</w:t>
      </w:r>
      <w:r>
        <w:rPr>
          <w:rFonts w:hint="eastAsia" w:ascii="仿宋_GB2312" w:hAnsi="宋体" w:eastAsia="仿宋_GB2312"/>
          <w:color w:val="auto"/>
          <w:sz w:val="32"/>
          <w:szCs w:val="32"/>
        </w:rPr>
        <w:t>食用</w:t>
      </w:r>
      <w:r>
        <w:rPr>
          <w:rFonts w:ascii="仿宋_GB2312" w:hAnsi="宋体" w:eastAsia="仿宋_GB2312"/>
          <w:color w:val="auto"/>
          <w:sz w:val="32"/>
          <w:szCs w:val="32"/>
        </w:rPr>
        <w:t>木薯</w:t>
      </w:r>
      <w:r>
        <w:rPr>
          <w:rFonts w:hint="eastAsia" w:ascii="仿宋_GB2312" w:hAnsi="宋体" w:eastAsia="仿宋_GB2312"/>
          <w:color w:val="auto"/>
          <w:sz w:val="32"/>
          <w:szCs w:val="32"/>
        </w:rPr>
        <w:t>全粉</w:t>
      </w:r>
      <w:r>
        <w:rPr>
          <w:rFonts w:ascii="仿宋_GB2312" w:hAnsi="宋体" w:eastAsia="仿宋_GB2312"/>
          <w:color w:val="auto"/>
          <w:sz w:val="32"/>
          <w:szCs w:val="32"/>
        </w:rPr>
        <w:t>加工</w:t>
      </w:r>
      <w:r>
        <w:rPr>
          <w:rFonts w:hint="eastAsia" w:ascii="仿宋_GB2312" w:hAnsi="宋体" w:eastAsia="仿宋_GB2312"/>
          <w:color w:val="auto"/>
          <w:sz w:val="32"/>
          <w:szCs w:val="32"/>
        </w:rPr>
        <w:t>的</w:t>
      </w:r>
      <w:r>
        <w:rPr>
          <w:rFonts w:ascii="仿宋_GB2312" w:hAnsi="宋体" w:eastAsia="仿宋_GB2312"/>
          <w:color w:val="auto"/>
          <w:sz w:val="32"/>
          <w:szCs w:val="32"/>
        </w:rPr>
        <w:t>各项指标依据</w:t>
      </w:r>
      <w:r>
        <w:rPr>
          <w:rFonts w:hint="eastAsia" w:ascii="仿宋_GB2312" w:hAnsi="宋体" w:eastAsia="仿宋_GB2312"/>
          <w:color w:val="auto"/>
          <w:sz w:val="32"/>
          <w:szCs w:val="32"/>
        </w:rPr>
        <w:t>DBS</w:t>
      </w:r>
      <w:r>
        <w:rPr>
          <w:rFonts w:ascii="仿宋_GB2312" w:hAnsi="宋体" w:eastAsia="仿宋_GB2312"/>
          <w:color w:val="auto"/>
          <w:sz w:val="32"/>
          <w:szCs w:val="32"/>
        </w:rPr>
        <w:t xml:space="preserve"> </w:t>
      </w:r>
      <w:r>
        <w:rPr>
          <w:rFonts w:hint="eastAsia" w:ascii="仿宋_GB2312" w:hAnsi="宋体" w:eastAsia="仿宋_GB2312"/>
          <w:color w:val="auto"/>
          <w:sz w:val="32"/>
          <w:szCs w:val="32"/>
        </w:rPr>
        <w:t>45</w:t>
      </w:r>
      <w:r>
        <w:rPr>
          <w:rFonts w:ascii="仿宋_GB2312" w:hAnsi="宋体" w:eastAsia="仿宋_GB2312"/>
          <w:color w:val="auto"/>
          <w:sz w:val="32"/>
          <w:szCs w:val="32"/>
        </w:rPr>
        <w:t>/041</w:t>
      </w:r>
      <w:r>
        <w:rPr>
          <w:rFonts w:hint="eastAsia" w:ascii="仿宋_GB2312" w:hAnsi="宋体" w:eastAsia="仿宋_GB2312"/>
          <w:color w:val="auto"/>
          <w:sz w:val="32"/>
          <w:szCs w:val="32"/>
        </w:rPr>
        <w:t>确定。</w:t>
      </w:r>
    </w:p>
    <w:p>
      <w:pPr>
        <w:spacing w:line="560" w:lineRule="exact"/>
        <w:ind w:firstLine="420" w:firstLineChars="200"/>
        <w:jc w:val="center"/>
        <w:rPr>
          <w:rFonts w:hint="default" w:ascii="仿宋_GB2312" w:hAnsi="宋体" w:eastAsia="仿宋_GB2312"/>
          <w:color w:val="auto"/>
          <w:sz w:val="32"/>
          <w:szCs w:val="32"/>
          <w:lang w:val="en-US" w:eastAsia="zh-CN"/>
        </w:rPr>
      </w:pPr>
      <w:r>
        <w:rPr>
          <w:color w:val="auto"/>
        </w:rPr>
        <w:drawing>
          <wp:anchor distT="0" distB="0" distL="114300" distR="114300" simplePos="0" relativeHeight="251660288" behindDoc="0" locked="0" layoutInCell="1" allowOverlap="1">
            <wp:simplePos x="0" y="0"/>
            <wp:positionH relativeFrom="column">
              <wp:posOffset>289560</wp:posOffset>
            </wp:positionH>
            <wp:positionV relativeFrom="paragraph">
              <wp:posOffset>453390</wp:posOffset>
            </wp:positionV>
            <wp:extent cx="5681980" cy="2614930"/>
            <wp:effectExtent l="0" t="0" r="13970" b="13970"/>
            <wp:wrapSquare wrapText="bothSides"/>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6"/>
                    <a:srcRect t="10283"/>
                    <a:stretch>
                      <a:fillRect/>
                    </a:stretch>
                  </pic:blipFill>
                  <pic:spPr>
                    <a:xfrm>
                      <a:off x="0" y="0"/>
                      <a:ext cx="5681980" cy="2614930"/>
                    </a:xfrm>
                    <a:prstGeom prst="rect">
                      <a:avLst/>
                    </a:prstGeom>
                    <a:noFill/>
                    <a:ln>
                      <a:noFill/>
                    </a:ln>
                  </pic:spPr>
                </pic:pic>
              </a:graphicData>
            </a:graphic>
          </wp:anchor>
        </w:drawing>
      </w:r>
      <w:r>
        <w:rPr>
          <w:rFonts w:hint="eastAsia" w:ascii="仿宋_GB2312" w:hAnsi="宋体" w:eastAsia="仿宋_GB2312"/>
          <w:b/>
          <w:bCs/>
          <w:color w:val="auto"/>
          <w:sz w:val="24"/>
          <w:szCs w:val="24"/>
          <w:lang w:val="en-US" w:eastAsia="zh-CN"/>
        </w:rPr>
        <w:t>表3  不同木薯品种（系）鲜食加工感官评价值</w:t>
      </w:r>
    </w:p>
    <w:p>
      <w:pPr>
        <w:spacing w:before="156" w:beforeLines="50" w:after="156" w:afterLines="50" w:line="560" w:lineRule="exact"/>
        <w:ind w:firstLine="643" w:firstLineChars="200"/>
        <w:rPr>
          <w:rFonts w:ascii="楷体" w:hAnsi="楷体" w:eastAsia="楷体"/>
          <w:b/>
          <w:color w:val="auto"/>
          <w:sz w:val="32"/>
          <w:szCs w:val="32"/>
        </w:rPr>
      </w:pPr>
      <w:r>
        <w:rPr>
          <w:rFonts w:hint="eastAsia" w:ascii="楷体" w:hAnsi="楷体" w:eastAsia="楷体"/>
          <w:b/>
          <w:color w:val="auto"/>
          <w:sz w:val="32"/>
          <w:szCs w:val="32"/>
        </w:rPr>
        <w:t>（三）评价方法</w:t>
      </w:r>
    </w:p>
    <w:p>
      <w:pPr>
        <w:spacing w:line="560" w:lineRule="exact"/>
        <w:ind w:firstLine="643" w:firstLineChars="200"/>
        <w:rPr>
          <w:rFonts w:ascii="仿宋_GB2312" w:hAnsi="宋体" w:eastAsia="仿宋_GB2312"/>
          <w:color w:val="auto"/>
          <w:sz w:val="32"/>
          <w:szCs w:val="32"/>
        </w:rPr>
      </w:pPr>
      <w:r>
        <w:rPr>
          <w:rFonts w:hint="eastAsia" w:ascii="仿宋_GB2312" w:hAnsi="宋体" w:eastAsia="仿宋_GB2312"/>
          <w:b/>
          <w:color w:val="auto"/>
          <w:sz w:val="32"/>
          <w:szCs w:val="32"/>
          <w:lang w:val="en-US" w:eastAsia="zh-CN"/>
        </w:rPr>
        <w:t>1.</w:t>
      </w:r>
      <w:r>
        <w:rPr>
          <w:rFonts w:hint="eastAsia" w:ascii="仿宋_GB2312" w:hAnsi="宋体" w:eastAsia="仿宋_GB2312"/>
          <w:b/>
          <w:color w:val="auto"/>
          <w:sz w:val="32"/>
          <w:szCs w:val="32"/>
        </w:rPr>
        <w:t>农艺性</w:t>
      </w:r>
      <w:r>
        <w:rPr>
          <w:rFonts w:ascii="仿宋_GB2312" w:hAnsi="宋体" w:eastAsia="仿宋_GB2312"/>
          <w:b/>
          <w:color w:val="auto"/>
          <w:sz w:val="32"/>
          <w:szCs w:val="32"/>
        </w:rPr>
        <w:t>状指标</w:t>
      </w:r>
      <w:r>
        <w:rPr>
          <w:rFonts w:ascii="仿宋_GB2312" w:hAnsi="宋体" w:eastAsia="仿宋_GB2312"/>
          <w:color w:val="auto"/>
          <w:sz w:val="32"/>
          <w:szCs w:val="32"/>
        </w:rPr>
        <w:t>的评价方法</w:t>
      </w:r>
      <w:r>
        <w:rPr>
          <w:rFonts w:hint="eastAsia" w:ascii="仿宋_GB2312" w:hAnsi="宋体" w:eastAsia="仿宋_GB2312"/>
          <w:color w:val="auto"/>
          <w:sz w:val="32"/>
          <w:szCs w:val="32"/>
        </w:rPr>
        <w:t>主要依据NY/T 2642的</w:t>
      </w:r>
      <w:r>
        <w:rPr>
          <w:rFonts w:ascii="仿宋_GB2312" w:hAnsi="宋体" w:eastAsia="仿宋_GB2312"/>
          <w:color w:val="auto"/>
          <w:sz w:val="32"/>
          <w:szCs w:val="32"/>
        </w:rPr>
        <w:t>方法进行评价。</w:t>
      </w:r>
      <w:r>
        <w:rPr>
          <w:rFonts w:hint="eastAsia" w:ascii="仿宋_GB2312" w:hAnsi="宋体" w:eastAsia="仿宋_GB2312"/>
          <w:color w:val="auto"/>
          <w:sz w:val="32"/>
          <w:szCs w:val="32"/>
        </w:rPr>
        <w:t>木薯</w:t>
      </w:r>
      <w:r>
        <w:rPr>
          <w:rFonts w:ascii="仿宋_GB2312" w:hAnsi="宋体" w:eastAsia="仿宋_GB2312"/>
          <w:color w:val="auto"/>
          <w:sz w:val="32"/>
          <w:szCs w:val="32"/>
        </w:rPr>
        <w:t>结薯大小不一，</w:t>
      </w:r>
      <w:r>
        <w:rPr>
          <w:rFonts w:hint="eastAsia" w:ascii="仿宋_GB2312" w:hAnsi="宋体" w:eastAsia="仿宋_GB2312"/>
          <w:color w:val="auto"/>
          <w:sz w:val="32"/>
          <w:szCs w:val="32"/>
        </w:rPr>
        <w:t>太小的</w:t>
      </w:r>
      <w:r>
        <w:rPr>
          <w:rFonts w:ascii="仿宋_GB2312" w:hAnsi="宋体" w:eastAsia="仿宋_GB2312"/>
          <w:color w:val="auto"/>
          <w:sz w:val="32"/>
          <w:szCs w:val="32"/>
        </w:rPr>
        <w:t>木薯不便于利用，</w:t>
      </w:r>
      <w:r>
        <w:rPr>
          <w:rFonts w:hint="eastAsia" w:ascii="仿宋_GB2312" w:hAnsi="宋体" w:eastAsia="仿宋_GB2312"/>
          <w:color w:val="auto"/>
          <w:sz w:val="32"/>
          <w:szCs w:val="32"/>
        </w:rPr>
        <w:t>商品薯为单薯重≥</w:t>
      </w:r>
      <w:r>
        <w:rPr>
          <w:rFonts w:ascii="仿宋_GB2312" w:hAnsi="宋体" w:eastAsia="仿宋_GB2312"/>
          <w:color w:val="auto"/>
          <w:sz w:val="32"/>
          <w:szCs w:val="32"/>
        </w:rPr>
        <w:t>0.25</w:t>
      </w:r>
      <w:r>
        <w:rPr>
          <w:rFonts w:ascii="仿宋_GB2312" w:hAnsi="宋体" w:eastAsia="仿宋_GB2312"/>
          <w:color w:val="auto"/>
          <w:sz w:val="32"/>
          <w:szCs w:val="32"/>
          <w:vertAlign w:val="superscript"/>
        </w:rPr>
        <w:t xml:space="preserve"> </w:t>
      </w:r>
      <w:r>
        <w:rPr>
          <w:rFonts w:ascii="仿宋_GB2312" w:hAnsi="宋体" w:eastAsia="仿宋_GB2312"/>
          <w:color w:val="auto"/>
          <w:sz w:val="32"/>
          <w:szCs w:val="32"/>
        </w:rPr>
        <w:t>kg的木薯</w:t>
      </w:r>
      <w:r>
        <w:rPr>
          <w:rFonts w:hint="eastAsia" w:ascii="仿宋_GB2312" w:hAnsi="宋体" w:eastAsia="仿宋_GB2312"/>
          <w:color w:val="auto"/>
          <w:sz w:val="32"/>
          <w:szCs w:val="32"/>
        </w:rPr>
        <w:t>鲜薯。商品数率=检测样品商品薯个数/检测样品总薯个数×100％。机械损伤</w:t>
      </w:r>
      <w:r>
        <w:rPr>
          <w:rFonts w:ascii="仿宋_GB2312" w:hAnsi="宋体" w:eastAsia="仿宋_GB2312"/>
          <w:color w:val="auto"/>
          <w:sz w:val="32"/>
          <w:szCs w:val="32"/>
        </w:rPr>
        <w:t>会影响木薯的</w:t>
      </w:r>
      <w:r>
        <w:rPr>
          <w:rFonts w:hint="eastAsia" w:ascii="仿宋_GB2312" w:hAnsi="宋体" w:eastAsia="仿宋_GB2312"/>
          <w:color w:val="auto"/>
          <w:sz w:val="32"/>
          <w:szCs w:val="32"/>
        </w:rPr>
        <w:t>采后质量</w:t>
      </w:r>
      <w:r>
        <w:rPr>
          <w:rFonts w:ascii="仿宋_GB2312" w:hAnsi="宋体" w:eastAsia="仿宋_GB2312"/>
          <w:color w:val="auto"/>
          <w:sz w:val="32"/>
          <w:szCs w:val="32"/>
        </w:rPr>
        <w:t>，影响经济价值</w:t>
      </w:r>
      <w:r>
        <w:rPr>
          <w:rFonts w:hint="eastAsia" w:ascii="仿宋_GB2312" w:hAnsi="宋体" w:eastAsia="仿宋_GB2312"/>
          <w:color w:val="auto"/>
          <w:sz w:val="32"/>
          <w:szCs w:val="32"/>
        </w:rPr>
        <w:t>。机械损伤率=机械损伤</w:t>
      </w:r>
      <w:r>
        <w:rPr>
          <w:rFonts w:ascii="仿宋_GB2312" w:hAnsi="宋体" w:eastAsia="仿宋_GB2312"/>
          <w:color w:val="auto"/>
          <w:sz w:val="32"/>
          <w:szCs w:val="32"/>
        </w:rPr>
        <w:t>的样品</w:t>
      </w:r>
      <w:r>
        <w:rPr>
          <w:rFonts w:hint="eastAsia" w:ascii="仿宋_GB2312" w:hAnsi="宋体" w:eastAsia="仿宋_GB2312"/>
          <w:color w:val="auto"/>
          <w:sz w:val="32"/>
          <w:szCs w:val="32"/>
        </w:rPr>
        <w:t>个数/检验样品</w:t>
      </w:r>
      <w:r>
        <w:rPr>
          <w:rFonts w:ascii="仿宋_GB2312" w:hAnsi="宋体" w:eastAsia="仿宋_GB2312"/>
          <w:color w:val="auto"/>
          <w:sz w:val="32"/>
          <w:szCs w:val="32"/>
        </w:rPr>
        <w:t>总</w:t>
      </w:r>
      <w:r>
        <w:rPr>
          <w:rFonts w:hint="eastAsia" w:ascii="仿宋_GB2312" w:hAnsi="宋体" w:eastAsia="仿宋_GB2312"/>
          <w:color w:val="auto"/>
          <w:sz w:val="32"/>
          <w:szCs w:val="32"/>
        </w:rPr>
        <w:t>个数×100％</w:t>
      </w:r>
      <w:r>
        <w:rPr>
          <w:rFonts w:ascii="仿宋_GB2312" w:hAnsi="宋体" w:eastAsia="仿宋_GB2312"/>
          <w:color w:val="auto"/>
          <w:sz w:val="32"/>
          <w:szCs w:val="32"/>
        </w:rPr>
        <w:t>。</w:t>
      </w:r>
      <w:r>
        <w:rPr>
          <w:rFonts w:hint="eastAsia" w:ascii="仿宋_GB2312" w:hAnsi="宋体" w:eastAsia="仿宋_GB2312"/>
          <w:color w:val="auto"/>
          <w:sz w:val="32"/>
          <w:szCs w:val="32"/>
        </w:rPr>
        <w:t>在</w:t>
      </w:r>
      <w:r>
        <w:rPr>
          <w:rFonts w:ascii="仿宋_GB2312" w:hAnsi="宋体" w:eastAsia="仿宋_GB2312"/>
          <w:color w:val="auto"/>
          <w:sz w:val="32"/>
          <w:szCs w:val="32"/>
        </w:rPr>
        <w:t>明暗</w:t>
      </w:r>
      <w:r>
        <w:rPr>
          <w:rFonts w:hint="eastAsia" w:ascii="仿宋_GB2312" w:hAnsi="宋体" w:eastAsia="仿宋_GB2312"/>
          <w:color w:val="auto"/>
          <w:sz w:val="32"/>
          <w:szCs w:val="32"/>
        </w:rPr>
        <w:t>适度</w:t>
      </w:r>
      <w:r>
        <w:rPr>
          <w:rFonts w:ascii="仿宋_GB2312" w:hAnsi="宋体" w:eastAsia="仿宋_GB2312"/>
          <w:color w:val="auto"/>
          <w:sz w:val="32"/>
          <w:szCs w:val="32"/>
        </w:rPr>
        <w:t>的光线下，</w:t>
      </w:r>
      <w:r>
        <w:rPr>
          <w:rFonts w:hint="eastAsia" w:ascii="仿宋_GB2312" w:hAnsi="宋体" w:eastAsia="仿宋_GB2312"/>
          <w:color w:val="auto"/>
          <w:sz w:val="32"/>
          <w:szCs w:val="32"/>
        </w:rPr>
        <w:t>用肉眼</w:t>
      </w:r>
      <w:r>
        <w:rPr>
          <w:rFonts w:ascii="仿宋_GB2312" w:hAnsi="宋体" w:eastAsia="仿宋_GB2312"/>
          <w:color w:val="auto"/>
          <w:sz w:val="32"/>
          <w:szCs w:val="32"/>
        </w:rPr>
        <w:t>观察木薯</w:t>
      </w:r>
      <w:r>
        <w:rPr>
          <w:rFonts w:hint="eastAsia" w:ascii="仿宋_GB2312" w:hAnsi="宋体" w:eastAsia="仿宋_GB2312"/>
          <w:color w:val="auto"/>
          <w:sz w:val="32"/>
          <w:szCs w:val="32"/>
        </w:rPr>
        <w:t>块根</w:t>
      </w:r>
      <w:r>
        <w:rPr>
          <w:rFonts w:ascii="仿宋_GB2312" w:hAnsi="宋体" w:eastAsia="仿宋_GB2312"/>
          <w:color w:val="auto"/>
          <w:sz w:val="32"/>
          <w:szCs w:val="32"/>
        </w:rPr>
        <w:t>的颜色。</w:t>
      </w:r>
      <w:r>
        <w:rPr>
          <w:rFonts w:hint="eastAsia" w:ascii="仿宋_GB2312" w:hAnsi="宋体" w:eastAsia="仿宋_GB2312"/>
          <w:color w:val="auto"/>
          <w:sz w:val="32"/>
          <w:szCs w:val="32"/>
        </w:rPr>
        <w:t>气味用</w:t>
      </w:r>
      <w:r>
        <w:rPr>
          <w:rFonts w:ascii="仿宋_GB2312" w:hAnsi="宋体" w:eastAsia="仿宋_GB2312"/>
          <w:color w:val="auto"/>
          <w:sz w:val="32"/>
          <w:szCs w:val="32"/>
        </w:rPr>
        <w:t>鼻</w:t>
      </w:r>
      <w:r>
        <w:rPr>
          <w:rFonts w:hint="eastAsia" w:ascii="仿宋_GB2312" w:hAnsi="宋体" w:eastAsia="仿宋_GB2312"/>
          <w:color w:val="auto"/>
          <w:sz w:val="32"/>
          <w:szCs w:val="32"/>
        </w:rPr>
        <w:t>嗅的方法检测</w:t>
      </w:r>
      <w:r>
        <w:rPr>
          <w:rFonts w:ascii="仿宋_GB2312" w:hAnsi="宋体" w:eastAsia="仿宋_GB2312"/>
          <w:color w:val="auto"/>
          <w:sz w:val="32"/>
          <w:szCs w:val="32"/>
        </w:rPr>
        <w:t>，冻害、霉烂、</w:t>
      </w:r>
      <w:r>
        <w:rPr>
          <w:rFonts w:hint="eastAsia" w:ascii="仿宋_GB2312" w:hAnsi="宋体" w:eastAsia="仿宋_GB2312"/>
          <w:color w:val="auto"/>
          <w:sz w:val="32"/>
          <w:szCs w:val="32"/>
        </w:rPr>
        <w:t>变质</w:t>
      </w:r>
      <w:r>
        <w:rPr>
          <w:rFonts w:ascii="仿宋_GB2312" w:hAnsi="宋体" w:eastAsia="仿宋_GB2312"/>
          <w:color w:val="auto"/>
          <w:sz w:val="32"/>
          <w:szCs w:val="32"/>
        </w:rPr>
        <w:t>、病虫害</w:t>
      </w:r>
      <w:r>
        <w:rPr>
          <w:rFonts w:hint="eastAsia" w:ascii="仿宋_GB2312" w:hAnsi="宋体" w:eastAsia="仿宋_GB2312"/>
          <w:color w:val="auto"/>
          <w:sz w:val="32"/>
          <w:szCs w:val="32"/>
        </w:rPr>
        <w:t>、</w:t>
      </w:r>
      <w:r>
        <w:rPr>
          <w:rFonts w:ascii="仿宋_GB2312" w:hAnsi="宋体" w:eastAsia="仿宋_GB2312"/>
          <w:color w:val="auto"/>
          <w:sz w:val="32"/>
          <w:szCs w:val="32"/>
        </w:rPr>
        <w:t>薯型和结薯情况用目测法进行检测。</w:t>
      </w:r>
      <w:r>
        <w:rPr>
          <w:rFonts w:hint="eastAsia" w:ascii="仿宋_GB2312" w:hAnsi="宋体" w:eastAsia="仿宋_GB2312"/>
          <w:color w:val="auto"/>
          <w:sz w:val="32"/>
          <w:szCs w:val="32"/>
        </w:rPr>
        <w:t>为</w:t>
      </w:r>
      <w:r>
        <w:rPr>
          <w:rFonts w:ascii="仿宋_GB2312" w:hAnsi="宋体" w:eastAsia="仿宋_GB2312"/>
          <w:color w:val="auto"/>
          <w:sz w:val="32"/>
          <w:szCs w:val="32"/>
        </w:rPr>
        <w:t>使检测结果更加准确，</w:t>
      </w:r>
      <w:r>
        <w:rPr>
          <w:rFonts w:hint="eastAsia" w:ascii="仿宋_GB2312" w:hAnsi="宋体" w:eastAsia="仿宋_GB2312"/>
          <w:color w:val="auto"/>
          <w:sz w:val="32"/>
          <w:szCs w:val="32"/>
        </w:rPr>
        <w:t>在</w:t>
      </w:r>
      <w:r>
        <w:rPr>
          <w:rFonts w:ascii="仿宋_GB2312" w:hAnsi="宋体" w:eastAsia="仿宋_GB2312"/>
          <w:color w:val="auto"/>
          <w:sz w:val="32"/>
          <w:szCs w:val="32"/>
        </w:rPr>
        <w:t>检查病虫害</w:t>
      </w:r>
      <w:r>
        <w:rPr>
          <w:rFonts w:hint="eastAsia" w:ascii="仿宋_GB2312" w:hAnsi="宋体" w:eastAsia="仿宋_GB2312"/>
          <w:color w:val="auto"/>
          <w:sz w:val="32"/>
          <w:szCs w:val="32"/>
        </w:rPr>
        <w:t>时</w:t>
      </w:r>
      <w:r>
        <w:rPr>
          <w:rFonts w:ascii="仿宋_GB2312" w:hAnsi="宋体" w:eastAsia="仿宋_GB2312"/>
          <w:color w:val="auto"/>
          <w:sz w:val="32"/>
          <w:szCs w:val="32"/>
        </w:rPr>
        <w:t>，当块根外部表现有病虫害症状或</w:t>
      </w:r>
      <w:r>
        <w:rPr>
          <w:rFonts w:hint="eastAsia" w:ascii="仿宋_GB2312" w:hAnsi="宋体" w:eastAsia="仿宋_GB2312"/>
          <w:color w:val="auto"/>
          <w:sz w:val="32"/>
          <w:szCs w:val="32"/>
        </w:rPr>
        <w:t>对</w:t>
      </w:r>
      <w:r>
        <w:rPr>
          <w:rFonts w:ascii="仿宋_GB2312" w:hAnsi="宋体" w:eastAsia="仿宋_GB2312"/>
          <w:color w:val="auto"/>
          <w:sz w:val="32"/>
          <w:szCs w:val="32"/>
        </w:rPr>
        <w:t>块根内部有怀疑</w:t>
      </w:r>
      <w:r>
        <w:rPr>
          <w:rFonts w:hint="eastAsia" w:ascii="仿宋_GB2312" w:hAnsi="宋体" w:eastAsia="仿宋_GB2312"/>
          <w:color w:val="auto"/>
          <w:sz w:val="32"/>
          <w:szCs w:val="32"/>
        </w:rPr>
        <w:t>时</w:t>
      </w:r>
      <w:r>
        <w:rPr>
          <w:rFonts w:ascii="仿宋_GB2312" w:hAnsi="宋体" w:eastAsia="仿宋_GB2312"/>
          <w:color w:val="auto"/>
          <w:sz w:val="32"/>
          <w:szCs w:val="32"/>
        </w:rPr>
        <w:t>，应剖开检验</w:t>
      </w:r>
      <w:r>
        <w:rPr>
          <w:rFonts w:hint="eastAsia" w:ascii="仿宋_GB2312" w:hAnsi="宋体" w:eastAsia="仿宋_GB2312"/>
          <w:color w:val="auto"/>
          <w:sz w:val="32"/>
          <w:szCs w:val="32"/>
        </w:rPr>
        <w:t>。</w:t>
      </w:r>
    </w:p>
    <w:p>
      <w:pPr>
        <w:spacing w:line="560" w:lineRule="exact"/>
        <w:ind w:firstLine="643" w:firstLineChars="200"/>
        <w:rPr>
          <w:rFonts w:ascii="仿宋_GB2312" w:hAnsi="宋体" w:eastAsia="仿宋_GB2312"/>
          <w:color w:val="auto"/>
          <w:sz w:val="32"/>
          <w:szCs w:val="32"/>
        </w:rPr>
      </w:pPr>
      <w:r>
        <w:rPr>
          <w:rFonts w:hint="eastAsia" w:ascii="仿宋_GB2312" w:hAnsi="宋体" w:eastAsia="仿宋_GB2312"/>
          <w:b/>
          <w:color w:val="auto"/>
          <w:sz w:val="32"/>
          <w:szCs w:val="32"/>
          <w:lang w:val="en-US" w:eastAsia="zh-CN"/>
        </w:rPr>
        <w:t>2.</w:t>
      </w:r>
      <w:r>
        <w:rPr>
          <w:rFonts w:ascii="仿宋_GB2312" w:hAnsi="宋体" w:eastAsia="仿宋_GB2312"/>
          <w:b/>
          <w:color w:val="auto"/>
          <w:sz w:val="32"/>
          <w:szCs w:val="32"/>
          <w:lang w:val="zh-CN"/>
        </w:rPr>
        <w:t>鲜薯</w:t>
      </w:r>
      <w:r>
        <w:rPr>
          <w:rFonts w:hint="eastAsia" w:ascii="仿宋_GB2312" w:hAnsi="宋体" w:eastAsia="仿宋_GB2312"/>
          <w:b/>
          <w:color w:val="auto"/>
          <w:sz w:val="32"/>
          <w:szCs w:val="32"/>
          <w:lang w:val="en-US" w:eastAsia="zh-CN"/>
        </w:rPr>
        <w:t>营养</w:t>
      </w:r>
      <w:r>
        <w:rPr>
          <w:rFonts w:ascii="仿宋_GB2312" w:hAnsi="宋体" w:eastAsia="仿宋_GB2312"/>
          <w:b/>
          <w:color w:val="auto"/>
          <w:sz w:val="32"/>
          <w:szCs w:val="32"/>
          <w:lang w:val="zh-CN"/>
        </w:rPr>
        <w:t>指标</w:t>
      </w:r>
      <w:r>
        <w:rPr>
          <w:rFonts w:hint="eastAsia" w:ascii="仿宋_GB2312" w:hAnsi="宋体" w:eastAsia="仿宋_GB2312"/>
          <w:color w:val="auto"/>
          <w:sz w:val="32"/>
          <w:szCs w:val="32"/>
          <w:lang w:val="zh-CN"/>
        </w:rPr>
        <w:t>的</w:t>
      </w:r>
      <w:r>
        <w:rPr>
          <w:rFonts w:ascii="仿宋_GB2312" w:hAnsi="宋体" w:eastAsia="仿宋_GB2312"/>
          <w:color w:val="auto"/>
          <w:sz w:val="32"/>
          <w:szCs w:val="32"/>
          <w:lang w:val="zh-CN"/>
        </w:rPr>
        <w:t>评价</w:t>
      </w:r>
      <w:r>
        <w:rPr>
          <w:rFonts w:hint="eastAsia" w:ascii="仿宋_GB2312" w:hAnsi="宋体" w:eastAsia="仿宋_GB2312"/>
          <w:color w:val="auto"/>
          <w:sz w:val="32"/>
          <w:szCs w:val="32"/>
          <w:lang w:val="zh-CN"/>
        </w:rPr>
        <w:t>方法主要依据</w:t>
      </w:r>
      <w:r>
        <w:rPr>
          <w:rFonts w:ascii="仿宋_GB2312" w:hAnsi="宋体" w:eastAsia="仿宋_GB2312"/>
          <w:color w:val="auto"/>
          <w:sz w:val="32"/>
          <w:szCs w:val="32"/>
          <w:lang w:val="zh-CN"/>
        </w:rPr>
        <w:t>相应的国家标准</w:t>
      </w:r>
      <w:r>
        <w:rPr>
          <w:rFonts w:hint="eastAsia" w:ascii="仿宋_GB2312" w:hAnsi="宋体" w:eastAsia="仿宋_GB2312"/>
          <w:color w:val="auto"/>
          <w:sz w:val="32"/>
          <w:szCs w:val="32"/>
          <w:lang w:val="zh-CN"/>
        </w:rPr>
        <w:t>进行确定。</w:t>
      </w:r>
      <w:r>
        <w:rPr>
          <w:rFonts w:hint="eastAsia" w:ascii="仿宋_GB2312" w:hAnsi="宋体" w:eastAsia="仿宋_GB2312"/>
          <w:color w:val="auto"/>
          <w:sz w:val="32"/>
          <w:szCs w:val="32"/>
        </w:rPr>
        <w:t>水分和干物质含量按GB 5009.3进行测定。淀粉按GB 5009.9的规定测定。直链淀粉按GB/T 15</w:t>
      </w:r>
      <w:r>
        <w:rPr>
          <w:rFonts w:ascii="仿宋_GB2312" w:hAnsi="宋体" w:eastAsia="仿宋_GB2312"/>
          <w:color w:val="auto"/>
          <w:sz w:val="32"/>
          <w:szCs w:val="32"/>
        </w:rPr>
        <w:t>683</w:t>
      </w:r>
      <w:r>
        <w:rPr>
          <w:rFonts w:hint="eastAsia" w:ascii="仿宋_GB2312" w:hAnsi="宋体" w:eastAsia="仿宋_GB2312"/>
          <w:color w:val="auto"/>
          <w:sz w:val="32"/>
          <w:szCs w:val="32"/>
        </w:rPr>
        <w:t>的规定测定。可溶性糖按</w:t>
      </w:r>
      <w:r>
        <w:rPr>
          <w:rFonts w:ascii="仿宋_GB2312" w:hAnsi="宋体" w:eastAsia="仿宋_GB2312"/>
          <w:color w:val="auto"/>
          <w:sz w:val="32"/>
          <w:szCs w:val="32"/>
        </w:rPr>
        <w:t>GB/T 37493</w:t>
      </w:r>
      <w:r>
        <w:rPr>
          <w:rFonts w:hint="eastAsia" w:ascii="仿宋_GB2312" w:hAnsi="宋体" w:eastAsia="仿宋_GB2312"/>
          <w:color w:val="auto"/>
          <w:sz w:val="32"/>
          <w:szCs w:val="32"/>
        </w:rPr>
        <w:t>的规定测定。蛋白质按GB 5009.5的规定测定。膳食纤维按GB 5009.88的规定测定。维生素C按GB 5009.86的规定测定。β-胡萝卜素按</w:t>
      </w:r>
      <w:r>
        <w:rPr>
          <w:rFonts w:ascii="仿宋_GB2312" w:hAnsi="宋体" w:eastAsia="仿宋_GB2312"/>
          <w:color w:val="auto"/>
          <w:sz w:val="32"/>
          <w:szCs w:val="32"/>
        </w:rPr>
        <w:t>GB 5009.</w:t>
      </w:r>
      <w:r>
        <w:rPr>
          <w:rFonts w:hint="eastAsia" w:ascii="仿宋_GB2312" w:hAnsi="宋体" w:eastAsia="仿宋_GB2312"/>
          <w:color w:val="auto"/>
          <w:sz w:val="32"/>
          <w:szCs w:val="32"/>
        </w:rPr>
        <w:t>83的规定</w:t>
      </w:r>
      <w:r>
        <w:rPr>
          <w:rFonts w:ascii="仿宋_GB2312" w:hAnsi="宋体" w:eastAsia="仿宋_GB2312"/>
          <w:color w:val="auto"/>
          <w:sz w:val="32"/>
          <w:szCs w:val="32"/>
        </w:rPr>
        <w:t>测定</w:t>
      </w:r>
      <w:r>
        <w:rPr>
          <w:rFonts w:hint="eastAsia" w:ascii="仿宋_GB2312" w:hAnsi="宋体" w:eastAsia="仿宋_GB2312"/>
          <w:color w:val="auto"/>
          <w:sz w:val="32"/>
          <w:szCs w:val="32"/>
        </w:rPr>
        <w:t>。矿物质含量（钾、钙）中</w:t>
      </w:r>
      <w:r>
        <w:rPr>
          <w:rFonts w:ascii="仿宋_GB2312" w:hAnsi="宋体" w:eastAsia="仿宋_GB2312"/>
          <w:color w:val="auto"/>
          <w:sz w:val="32"/>
          <w:szCs w:val="32"/>
        </w:rPr>
        <w:t>钾含量</w:t>
      </w:r>
      <w:r>
        <w:rPr>
          <w:rFonts w:hint="eastAsia" w:ascii="仿宋_GB2312" w:hAnsi="宋体" w:eastAsia="仿宋_GB2312"/>
          <w:color w:val="auto"/>
          <w:sz w:val="32"/>
          <w:szCs w:val="32"/>
        </w:rPr>
        <w:t>按</w:t>
      </w:r>
      <w:r>
        <w:rPr>
          <w:rFonts w:ascii="仿宋_GB2312" w:hAnsi="宋体" w:eastAsia="仿宋_GB2312"/>
          <w:color w:val="auto"/>
          <w:sz w:val="32"/>
          <w:szCs w:val="32"/>
        </w:rPr>
        <w:t>GB 5009.91</w:t>
      </w:r>
      <w:r>
        <w:rPr>
          <w:rFonts w:hint="eastAsia" w:ascii="仿宋_GB2312" w:hAnsi="宋体" w:eastAsia="仿宋_GB2312"/>
          <w:color w:val="auto"/>
          <w:sz w:val="32"/>
          <w:szCs w:val="32"/>
        </w:rPr>
        <w:t>的规定测定</w:t>
      </w:r>
      <w:r>
        <w:rPr>
          <w:rFonts w:ascii="仿宋_GB2312" w:hAnsi="宋体" w:eastAsia="仿宋_GB2312"/>
          <w:color w:val="auto"/>
          <w:sz w:val="32"/>
          <w:szCs w:val="32"/>
        </w:rPr>
        <w:t>。钙含量</w:t>
      </w:r>
      <w:r>
        <w:rPr>
          <w:rFonts w:hint="eastAsia" w:ascii="仿宋_GB2312" w:hAnsi="宋体" w:eastAsia="仿宋_GB2312"/>
          <w:color w:val="auto"/>
          <w:sz w:val="32"/>
          <w:szCs w:val="32"/>
        </w:rPr>
        <w:t>按</w:t>
      </w:r>
      <w:r>
        <w:rPr>
          <w:rFonts w:ascii="仿宋_GB2312" w:hAnsi="宋体" w:eastAsia="仿宋_GB2312"/>
          <w:color w:val="auto"/>
          <w:sz w:val="32"/>
          <w:szCs w:val="32"/>
        </w:rPr>
        <w:t>GB 5009.92</w:t>
      </w:r>
      <w:r>
        <w:rPr>
          <w:rFonts w:hint="eastAsia" w:ascii="仿宋_GB2312" w:hAnsi="宋体" w:eastAsia="仿宋_GB2312"/>
          <w:color w:val="auto"/>
          <w:sz w:val="32"/>
          <w:szCs w:val="32"/>
        </w:rPr>
        <w:t>的规定测定。</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宋体" w:eastAsia="仿宋_GB2312"/>
          <w:b/>
          <w:color w:val="auto"/>
          <w:sz w:val="32"/>
          <w:szCs w:val="32"/>
          <w:lang w:val="en-US" w:eastAsia="zh-CN"/>
        </w:rPr>
      </w:pPr>
      <w:r>
        <w:rPr>
          <w:rFonts w:hint="eastAsia" w:ascii="仿宋_GB2312" w:hAnsi="宋体" w:eastAsia="仿宋_GB2312"/>
          <w:b/>
          <w:color w:val="auto"/>
          <w:sz w:val="32"/>
          <w:szCs w:val="32"/>
          <w:lang w:val="en-US" w:eastAsia="zh-CN"/>
        </w:rPr>
        <w:t>3.食味评价</w:t>
      </w:r>
      <w:r>
        <w:rPr>
          <w:rFonts w:ascii="仿宋_GB2312" w:hAnsi="宋体" w:eastAsia="仿宋_GB2312"/>
          <w:color w:val="auto"/>
          <w:sz w:val="32"/>
          <w:szCs w:val="32"/>
          <w:lang w:val="zh-CN"/>
        </w:rPr>
        <w:t>的评价方法主要依据</w:t>
      </w:r>
      <w:r>
        <w:rPr>
          <w:rFonts w:hint="eastAsia" w:ascii="仿宋_GB2312" w:hAnsi="宋体" w:eastAsia="仿宋_GB2312"/>
          <w:color w:val="auto"/>
          <w:sz w:val="32"/>
          <w:szCs w:val="32"/>
          <w:lang w:val="zh-CN"/>
        </w:rPr>
        <w:t>陆柳英</w:t>
      </w:r>
      <w:r>
        <w:rPr>
          <w:rFonts w:ascii="仿宋_GB2312" w:hAnsi="宋体" w:eastAsia="仿宋_GB2312"/>
          <w:color w:val="auto"/>
          <w:sz w:val="32"/>
          <w:szCs w:val="32"/>
          <w:lang w:val="zh-CN"/>
        </w:rPr>
        <w:t>、王颖等</w:t>
      </w:r>
      <w:r>
        <w:rPr>
          <w:rFonts w:hint="eastAsia" w:ascii="仿宋_GB2312" w:hAnsi="宋体" w:eastAsia="仿宋_GB2312"/>
          <w:color w:val="auto"/>
          <w:sz w:val="32"/>
          <w:szCs w:val="32"/>
          <w:lang w:val="zh-CN"/>
        </w:rPr>
        <w:t>的</w:t>
      </w:r>
      <w:r>
        <w:rPr>
          <w:rFonts w:ascii="仿宋_GB2312" w:hAnsi="宋体" w:eastAsia="仿宋_GB2312"/>
          <w:color w:val="auto"/>
          <w:sz w:val="32"/>
          <w:szCs w:val="32"/>
          <w:lang w:val="zh-CN"/>
        </w:rPr>
        <w:t>《</w:t>
      </w:r>
      <w:r>
        <w:rPr>
          <w:rFonts w:ascii="仿宋_GB2312" w:hAnsi="宋体" w:eastAsia="仿宋_GB2312"/>
          <w:color w:val="auto"/>
          <w:sz w:val="32"/>
          <w:szCs w:val="32"/>
        </w:rPr>
        <w:t>不同食用木薯品种（系）鲜食加工适宜性研究</w:t>
      </w:r>
      <w:r>
        <w:rPr>
          <w:rFonts w:ascii="仿宋_GB2312" w:hAnsi="宋体" w:eastAsia="仿宋_GB2312"/>
          <w:color w:val="auto"/>
          <w:sz w:val="32"/>
          <w:szCs w:val="32"/>
          <w:lang w:val="zh-CN"/>
        </w:rPr>
        <w:t>》</w:t>
      </w:r>
      <w:r>
        <w:rPr>
          <w:rFonts w:hint="eastAsia" w:ascii="仿宋_GB2312" w:hAnsi="宋体" w:eastAsia="仿宋_GB2312"/>
          <w:color w:val="auto"/>
          <w:sz w:val="32"/>
          <w:szCs w:val="32"/>
          <w:lang w:val="zh-CN"/>
        </w:rPr>
        <w:t>进行确定。给出了</w:t>
      </w:r>
      <w:r>
        <w:rPr>
          <w:rFonts w:ascii="仿宋_GB2312" w:hAnsi="宋体" w:eastAsia="仿宋_GB2312"/>
          <w:color w:val="auto"/>
          <w:sz w:val="32"/>
          <w:szCs w:val="32"/>
          <w:lang w:val="zh-CN"/>
        </w:rPr>
        <w:t>蒸木薯、</w:t>
      </w:r>
      <w:r>
        <w:rPr>
          <w:rFonts w:hint="eastAsia" w:ascii="仿宋_GB2312" w:hAnsi="宋体" w:eastAsia="仿宋_GB2312"/>
          <w:color w:val="auto"/>
          <w:sz w:val="32"/>
          <w:szCs w:val="32"/>
          <w:lang w:val="zh-CN"/>
        </w:rPr>
        <w:t>木薯汁</w:t>
      </w:r>
      <w:r>
        <w:rPr>
          <w:rFonts w:ascii="仿宋_GB2312" w:hAnsi="宋体" w:eastAsia="仿宋_GB2312"/>
          <w:color w:val="auto"/>
          <w:sz w:val="32"/>
          <w:szCs w:val="32"/>
          <w:lang w:val="zh-CN"/>
        </w:rPr>
        <w:t>、木薯羹</w:t>
      </w:r>
      <w:r>
        <w:rPr>
          <w:rFonts w:hint="eastAsia" w:ascii="仿宋_GB2312" w:hAnsi="宋体" w:eastAsia="仿宋_GB2312"/>
          <w:color w:val="auto"/>
          <w:sz w:val="32"/>
          <w:szCs w:val="32"/>
          <w:lang w:val="zh-CN"/>
        </w:rPr>
        <w:t>和</w:t>
      </w:r>
      <w:r>
        <w:rPr>
          <w:rFonts w:ascii="仿宋_GB2312" w:hAnsi="宋体" w:eastAsia="仿宋_GB2312"/>
          <w:color w:val="auto"/>
          <w:sz w:val="32"/>
          <w:szCs w:val="32"/>
          <w:lang w:val="zh-CN"/>
        </w:rPr>
        <w:t>薯片的加工方法，食味评价通过</w:t>
      </w:r>
      <w:r>
        <w:rPr>
          <w:rFonts w:ascii="仿宋_GB2312" w:hAnsi="宋体" w:eastAsia="仿宋_GB2312"/>
          <w:color w:val="auto"/>
          <w:sz w:val="32"/>
          <w:szCs w:val="32"/>
        </w:rPr>
        <w:t>8人组成的评定小组进行品鉴</w:t>
      </w:r>
      <w:r>
        <w:rPr>
          <w:rFonts w:hint="eastAsia" w:ascii="仿宋_GB2312" w:hAnsi="宋体" w:eastAsia="仿宋_GB2312"/>
          <w:color w:val="auto"/>
          <w:sz w:val="32"/>
          <w:szCs w:val="32"/>
        </w:rPr>
        <w:t>得出结果</w:t>
      </w:r>
      <w:r>
        <w:rPr>
          <w:rFonts w:hint="eastAsia" w:ascii="仿宋_GB2312" w:hAnsi="宋体" w:eastAsia="仿宋_GB2312"/>
          <w:color w:val="auto"/>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ascii="仿宋_GB2312" w:hAnsi="宋体" w:eastAsia="仿宋_GB2312"/>
          <w:color w:val="auto"/>
          <w:sz w:val="32"/>
          <w:szCs w:val="32"/>
        </w:rPr>
      </w:pPr>
      <w:r>
        <w:rPr>
          <w:rFonts w:hint="eastAsia" w:ascii="仿宋_GB2312" w:hAnsi="宋体" w:eastAsia="仿宋_GB2312"/>
          <w:b/>
          <w:color w:val="auto"/>
          <w:sz w:val="32"/>
          <w:szCs w:val="32"/>
          <w:lang w:val="en-US" w:eastAsia="zh-CN"/>
        </w:rPr>
        <w:t>4.油炸型即食薯片加工</w:t>
      </w:r>
      <w:r>
        <w:rPr>
          <w:rFonts w:ascii="仿宋_GB2312" w:hAnsi="宋体" w:eastAsia="仿宋_GB2312"/>
          <w:color w:val="auto"/>
          <w:sz w:val="32"/>
          <w:szCs w:val="32"/>
        </w:rPr>
        <w:t>的</w:t>
      </w:r>
      <w:r>
        <w:rPr>
          <w:rFonts w:hint="eastAsia" w:ascii="仿宋_GB2312" w:hAnsi="宋体" w:eastAsia="仿宋_GB2312"/>
          <w:color w:val="auto"/>
          <w:sz w:val="32"/>
          <w:szCs w:val="32"/>
        </w:rPr>
        <w:t>评价</w:t>
      </w:r>
      <w:r>
        <w:rPr>
          <w:rFonts w:ascii="仿宋_GB2312" w:hAnsi="宋体" w:eastAsia="仿宋_GB2312"/>
          <w:color w:val="auto"/>
          <w:sz w:val="32"/>
          <w:szCs w:val="32"/>
        </w:rPr>
        <w:t>方法主要依据</w:t>
      </w:r>
      <w:r>
        <w:rPr>
          <w:rFonts w:ascii="仿宋_GB2312" w:hAnsi="宋体" w:eastAsia="仿宋_GB2312"/>
          <w:color w:val="auto"/>
          <w:sz w:val="32"/>
          <w:szCs w:val="32"/>
          <w:lang w:val="zh-CN"/>
        </w:rPr>
        <w:t>王颖</w:t>
      </w:r>
      <w:r>
        <w:rPr>
          <w:rFonts w:hint="eastAsia" w:ascii="仿宋_GB2312" w:hAnsi="宋体" w:eastAsia="仿宋_GB2312"/>
          <w:color w:val="auto"/>
          <w:sz w:val="32"/>
          <w:szCs w:val="32"/>
          <w:lang w:val="zh-CN"/>
        </w:rPr>
        <w:t>、陆柳英的</w:t>
      </w:r>
      <w:r>
        <w:rPr>
          <w:rFonts w:ascii="仿宋_GB2312" w:hAnsi="宋体" w:eastAsia="仿宋_GB2312"/>
          <w:color w:val="auto"/>
          <w:sz w:val="32"/>
          <w:szCs w:val="32"/>
          <w:lang w:val="zh-CN"/>
        </w:rPr>
        <w:t>《</w:t>
      </w:r>
      <w:r>
        <w:rPr>
          <w:rFonts w:ascii="仿宋_GB2312" w:hAnsi="宋体" w:eastAsia="仿宋_GB2312"/>
          <w:color w:val="auto"/>
          <w:sz w:val="32"/>
          <w:szCs w:val="32"/>
        </w:rPr>
        <w:t>不同食用木薯品种（系）薯片加工适宜性研究</w:t>
      </w:r>
      <w:r>
        <w:rPr>
          <w:rFonts w:ascii="仿宋_GB2312" w:hAnsi="宋体" w:eastAsia="仿宋_GB2312"/>
          <w:color w:val="auto"/>
          <w:sz w:val="32"/>
          <w:szCs w:val="32"/>
          <w:lang w:val="zh-CN"/>
        </w:rPr>
        <w:t>》</w:t>
      </w:r>
      <w:r>
        <w:rPr>
          <w:rFonts w:hint="eastAsia" w:ascii="仿宋_GB2312" w:hAnsi="宋体" w:eastAsia="仿宋_GB2312"/>
          <w:color w:val="auto"/>
          <w:sz w:val="32"/>
          <w:szCs w:val="32"/>
          <w:lang w:val="en-US" w:eastAsia="zh-CN"/>
        </w:rPr>
        <w:t>进行确定</w:t>
      </w:r>
      <w:r>
        <w:rPr>
          <w:rFonts w:hint="eastAsia" w:ascii="仿宋_GB2312" w:hAnsi="宋体" w:eastAsia="仿宋_GB2312"/>
          <w:color w:val="auto"/>
          <w:sz w:val="32"/>
          <w:szCs w:val="32"/>
          <w:lang w:val="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ascii="仿宋_GB2312" w:hAnsi="宋体" w:eastAsia="仿宋_GB2312"/>
          <w:color w:val="auto"/>
          <w:sz w:val="32"/>
          <w:szCs w:val="32"/>
        </w:rPr>
      </w:pPr>
      <w:r>
        <w:rPr>
          <w:rFonts w:hint="eastAsia" w:ascii="仿宋_GB2312" w:hAnsi="宋体" w:eastAsia="仿宋_GB2312"/>
          <w:b/>
          <w:color w:val="auto"/>
          <w:sz w:val="32"/>
          <w:szCs w:val="32"/>
          <w:lang w:val="en-US" w:eastAsia="zh-CN"/>
        </w:rPr>
        <w:t>5.</w:t>
      </w:r>
      <w:r>
        <w:rPr>
          <w:rFonts w:hint="eastAsia" w:ascii="仿宋_GB2312" w:hAnsi="宋体" w:eastAsia="仿宋_GB2312"/>
          <w:b/>
          <w:bCs/>
          <w:color w:val="auto"/>
          <w:sz w:val="32"/>
          <w:szCs w:val="32"/>
        </w:rPr>
        <w:t>食用木薯全粉</w:t>
      </w:r>
      <w:r>
        <w:rPr>
          <w:rFonts w:ascii="仿宋_GB2312" w:hAnsi="宋体" w:eastAsia="仿宋_GB2312"/>
          <w:b/>
          <w:bCs/>
          <w:color w:val="auto"/>
          <w:sz w:val="32"/>
          <w:szCs w:val="32"/>
        </w:rPr>
        <w:t>加工</w:t>
      </w:r>
      <w:r>
        <w:rPr>
          <w:rFonts w:hint="eastAsia" w:ascii="仿宋_GB2312" w:hAnsi="宋体" w:eastAsia="仿宋_GB2312"/>
          <w:color w:val="auto"/>
          <w:sz w:val="32"/>
          <w:szCs w:val="32"/>
          <w:lang w:val="en-US" w:eastAsia="zh-CN"/>
        </w:rPr>
        <w:t>主要依据</w:t>
      </w:r>
      <w:r>
        <w:rPr>
          <w:rFonts w:hint="eastAsia" w:ascii="仿宋_GB2312" w:hAnsi="宋体" w:eastAsia="仿宋_GB2312"/>
          <w:color w:val="auto"/>
          <w:sz w:val="32"/>
          <w:szCs w:val="32"/>
        </w:rPr>
        <w:t>DBS</w:t>
      </w:r>
      <w:r>
        <w:rPr>
          <w:rFonts w:ascii="仿宋_GB2312" w:hAnsi="宋体" w:eastAsia="仿宋_GB2312"/>
          <w:color w:val="auto"/>
          <w:sz w:val="32"/>
          <w:szCs w:val="32"/>
        </w:rPr>
        <w:t xml:space="preserve"> </w:t>
      </w:r>
      <w:r>
        <w:rPr>
          <w:rFonts w:hint="eastAsia" w:ascii="仿宋_GB2312" w:hAnsi="宋体" w:eastAsia="仿宋_GB2312"/>
          <w:color w:val="auto"/>
          <w:sz w:val="32"/>
          <w:szCs w:val="32"/>
        </w:rPr>
        <w:t>45</w:t>
      </w:r>
      <w:r>
        <w:rPr>
          <w:rFonts w:ascii="仿宋_GB2312" w:hAnsi="宋体" w:eastAsia="仿宋_GB2312"/>
          <w:color w:val="auto"/>
          <w:sz w:val="32"/>
          <w:szCs w:val="32"/>
        </w:rPr>
        <w:t>/041</w:t>
      </w:r>
      <w:r>
        <w:rPr>
          <w:rFonts w:hint="eastAsia" w:ascii="仿宋_GB2312" w:hAnsi="宋体" w:eastAsia="仿宋_GB2312"/>
          <w:color w:val="auto"/>
          <w:sz w:val="32"/>
          <w:szCs w:val="32"/>
        </w:rPr>
        <w:t>的规定</w:t>
      </w:r>
      <w:r>
        <w:rPr>
          <w:rFonts w:ascii="仿宋_GB2312" w:hAnsi="宋体" w:eastAsia="仿宋_GB2312"/>
          <w:color w:val="auto"/>
          <w:sz w:val="32"/>
          <w:szCs w:val="32"/>
        </w:rPr>
        <w:t>进行</w:t>
      </w:r>
      <w:r>
        <w:rPr>
          <w:rFonts w:hint="eastAsia" w:ascii="仿宋_GB2312" w:hAnsi="宋体" w:eastAsia="仿宋_GB2312"/>
          <w:color w:val="auto"/>
          <w:sz w:val="32"/>
          <w:szCs w:val="32"/>
        </w:rPr>
        <w:t>加工和</w:t>
      </w:r>
      <w:r>
        <w:rPr>
          <w:rFonts w:ascii="仿宋_GB2312" w:hAnsi="宋体" w:eastAsia="仿宋_GB2312"/>
          <w:color w:val="auto"/>
          <w:sz w:val="32"/>
          <w:szCs w:val="32"/>
        </w:rPr>
        <w:t>评价。</w:t>
      </w:r>
    </w:p>
    <w:p>
      <w:pPr>
        <w:spacing w:before="156" w:beforeLines="50" w:after="156" w:afterLines="50" w:line="560" w:lineRule="exact"/>
        <w:ind w:firstLine="643" w:firstLineChars="200"/>
        <w:rPr>
          <w:rFonts w:ascii="楷体" w:hAnsi="楷体" w:eastAsia="楷体"/>
          <w:b/>
          <w:color w:val="auto"/>
          <w:sz w:val="32"/>
          <w:szCs w:val="32"/>
        </w:rPr>
      </w:pPr>
      <w:r>
        <w:rPr>
          <w:rFonts w:hint="eastAsia" w:ascii="楷体" w:hAnsi="楷体" w:eastAsia="楷体"/>
          <w:b/>
          <w:color w:val="auto"/>
          <w:sz w:val="32"/>
          <w:szCs w:val="32"/>
        </w:rPr>
        <w:t>（四）评价规则</w:t>
      </w:r>
    </w:p>
    <w:p>
      <w:pPr>
        <w:spacing w:line="560" w:lineRule="exact"/>
        <w:ind w:firstLine="640" w:firstLineChars="200"/>
        <w:rPr>
          <w:rFonts w:ascii="仿宋_GB2312" w:hAnsi="宋体" w:eastAsia="仿宋_GB2312"/>
          <w:color w:val="auto"/>
          <w:sz w:val="32"/>
          <w:szCs w:val="32"/>
        </w:rPr>
      </w:pPr>
      <w:r>
        <w:rPr>
          <w:rFonts w:hint="eastAsia" w:ascii="仿宋_GB2312" w:hAnsi="宋体" w:eastAsia="仿宋_GB2312"/>
          <w:color w:val="auto"/>
          <w:sz w:val="32"/>
          <w:szCs w:val="32"/>
          <w:lang w:val="zh-CN"/>
        </w:rPr>
        <w:t>组批</w:t>
      </w:r>
      <w:r>
        <w:rPr>
          <w:rFonts w:ascii="仿宋_GB2312" w:hAnsi="宋体" w:eastAsia="仿宋_GB2312"/>
          <w:color w:val="auto"/>
          <w:sz w:val="32"/>
          <w:szCs w:val="32"/>
          <w:lang w:val="zh-CN"/>
        </w:rPr>
        <w:t>主要依据</w:t>
      </w:r>
      <w:r>
        <w:rPr>
          <w:rFonts w:hint="eastAsia" w:ascii="仿宋_GB2312" w:hAnsi="宋体" w:eastAsia="仿宋_GB2312"/>
          <w:color w:val="auto"/>
          <w:sz w:val="32"/>
          <w:szCs w:val="32"/>
          <w:lang w:val="zh-CN"/>
        </w:rPr>
        <w:t>NY/T 1520-2007确定</w:t>
      </w:r>
      <w:r>
        <w:rPr>
          <w:rFonts w:ascii="仿宋_GB2312" w:hAnsi="宋体" w:eastAsia="仿宋_GB2312"/>
          <w:color w:val="auto"/>
          <w:sz w:val="32"/>
          <w:szCs w:val="32"/>
          <w:lang w:val="zh-CN"/>
        </w:rPr>
        <w:t>，</w:t>
      </w:r>
      <w:r>
        <w:rPr>
          <w:rFonts w:hint="eastAsia" w:ascii="仿宋_GB2312" w:hAnsi="宋体" w:eastAsia="仿宋_GB2312"/>
          <w:color w:val="auto"/>
          <w:sz w:val="32"/>
          <w:szCs w:val="32"/>
        </w:rPr>
        <w:t>种源一致，种植地环境条件基本一致、种植时期一致、生产管理措施一致、采收和产地初加工基本一致、仓储条件基本一致的一批木薯，</w:t>
      </w:r>
      <w:r>
        <w:rPr>
          <w:rFonts w:ascii="仿宋_GB2312" w:hAnsi="宋体" w:eastAsia="仿宋_GB2312"/>
          <w:color w:val="auto"/>
          <w:sz w:val="32"/>
          <w:szCs w:val="32"/>
        </w:rPr>
        <w:t>可使评价结果更加可靠</w:t>
      </w:r>
      <w:r>
        <w:rPr>
          <w:rFonts w:hint="eastAsia" w:ascii="仿宋_GB2312" w:hAnsi="宋体" w:eastAsia="仿宋_GB2312"/>
          <w:color w:val="auto"/>
          <w:sz w:val="32"/>
          <w:szCs w:val="32"/>
        </w:rPr>
        <w:t>。</w:t>
      </w:r>
      <w:r>
        <w:rPr>
          <w:rFonts w:hint="eastAsia" w:ascii="仿宋_GB2312" w:hAnsi="宋体" w:eastAsia="仿宋_GB2312"/>
          <w:color w:val="auto"/>
          <w:sz w:val="32"/>
          <w:szCs w:val="32"/>
          <w:lang w:val="zh-CN"/>
        </w:rPr>
        <w:t>取样</w:t>
      </w:r>
      <w:r>
        <w:rPr>
          <w:rFonts w:ascii="仿宋_GB2312" w:hAnsi="宋体" w:eastAsia="仿宋_GB2312"/>
          <w:color w:val="auto"/>
          <w:sz w:val="32"/>
          <w:szCs w:val="32"/>
          <w:lang w:val="zh-CN"/>
        </w:rPr>
        <w:t>方法主要</w:t>
      </w:r>
      <w:r>
        <w:rPr>
          <w:rFonts w:hint="eastAsia" w:ascii="仿宋_GB2312" w:hAnsi="宋体" w:eastAsia="仿宋_GB2312"/>
          <w:color w:val="auto"/>
          <w:sz w:val="32"/>
          <w:szCs w:val="32"/>
          <w:lang w:val="zh-CN"/>
        </w:rPr>
        <w:t>依据NY/T 2252</w:t>
      </w:r>
      <w:r>
        <w:rPr>
          <w:rFonts w:ascii="仿宋_GB2312" w:hAnsi="宋体" w:eastAsia="仿宋_GB2312"/>
          <w:color w:val="auto"/>
          <w:sz w:val="32"/>
          <w:szCs w:val="32"/>
          <w:lang w:val="zh-CN"/>
        </w:rPr>
        <w:t>-2014</w:t>
      </w:r>
      <w:r>
        <w:rPr>
          <w:rFonts w:hint="eastAsia" w:ascii="仿宋_GB2312" w:hAnsi="宋体" w:eastAsia="仿宋_GB2312"/>
          <w:color w:val="auto"/>
          <w:sz w:val="32"/>
          <w:szCs w:val="32"/>
          <w:lang w:val="zh-CN"/>
        </w:rPr>
        <w:t>《能源</w:t>
      </w:r>
      <w:r>
        <w:rPr>
          <w:rFonts w:ascii="仿宋_GB2312" w:hAnsi="宋体" w:eastAsia="仿宋_GB2312"/>
          <w:color w:val="auto"/>
          <w:sz w:val="32"/>
          <w:szCs w:val="32"/>
          <w:lang w:val="zh-CN"/>
        </w:rPr>
        <w:t>木薯等级规格</w:t>
      </w:r>
      <w:r>
        <w:rPr>
          <w:rFonts w:hint="eastAsia" w:ascii="仿宋_GB2312" w:hAnsi="宋体" w:eastAsia="仿宋_GB2312"/>
          <w:color w:val="auto"/>
          <w:sz w:val="32"/>
          <w:szCs w:val="32"/>
          <w:lang w:val="zh-CN"/>
        </w:rPr>
        <w:t xml:space="preserve"> </w:t>
      </w:r>
      <w:r>
        <w:rPr>
          <w:rFonts w:ascii="仿宋_GB2312" w:hAnsi="宋体" w:eastAsia="仿宋_GB2312"/>
          <w:color w:val="auto"/>
          <w:sz w:val="32"/>
          <w:szCs w:val="32"/>
          <w:lang w:val="zh-CN"/>
        </w:rPr>
        <w:t xml:space="preserve"> </w:t>
      </w:r>
      <w:r>
        <w:rPr>
          <w:rFonts w:hint="eastAsia" w:ascii="仿宋_GB2312" w:hAnsi="宋体" w:eastAsia="仿宋_GB2312"/>
          <w:color w:val="auto"/>
          <w:sz w:val="32"/>
          <w:szCs w:val="32"/>
          <w:lang w:val="zh-CN"/>
        </w:rPr>
        <w:t>鲜</w:t>
      </w:r>
      <w:r>
        <w:rPr>
          <w:rFonts w:ascii="仿宋_GB2312" w:hAnsi="宋体" w:eastAsia="仿宋_GB2312"/>
          <w:color w:val="auto"/>
          <w:sz w:val="32"/>
          <w:szCs w:val="32"/>
          <w:lang w:val="zh-CN"/>
        </w:rPr>
        <w:t>木薯</w:t>
      </w:r>
      <w:r>
        <w:rPr>
          <w:rFonts w:hint="eastAsia" w:ascii="仿宋_GB2312" w:hAnsi="宋体" w:eastAsia="仿宋_GB2312"/>
          <w:color w:val="auto"/>
          <w:sz w:val="32"/>
          <w:szCs w:val="32"/>
          <w:lang w:val="zh-CN"/>
        </w:rPr>
        <w:t>》结合</w:t>
      </w:r>
      <w:r>
        <w:rPr>
          <w:rFonts w:ascii="仿宋_GB2312" w:hAnsi="宋体" w:eastAsia="仿宋_GB2312"/>
          <w:color w:val="auto"/>
          <w:sz w:val="32"/>
          <w:szCs w:val="32"/>
          <w:lang w:val="zh-CN"/>
        </w:rPr>
        <w:t>实际评价过程</w:t>
      </w:r>
      <w:r>
        <w:rPr>
          <w:rFonts w:hint="eastAsia" w:ascii="仿宋_GB2312" w:hAnsi="宋体" w:eastAsia="仿宋_GB2312"/>
          <w:color w:val="auto"/>
          <w:sz w:val="32"/>
          <w:szCs w:val="32"/>
          <w:lang w:val="zh-CN"/>
        </w:rPr>
        <w:t>进行确定。农艺性状</w:t>
      </w:r>
      <w:r>
        <w:rPr>
          <w:rFonts w:ascii="仿宋_GB2312" w:hAnsi="宋体" w:eastAsia="仿宋_GB2312"/>
          <w:color w:val="auto"/>
          <w:sz w:val="32"/>
          <w:szCs w:val="32"/>
          <w:lang w:val="zh-CN"/>
        </w:rPr>
        <w:t>指标、实用型专用生理指标、鲜薯品质性状指标、加工特性指标的评价采用不同的</w:t>
      </w:r>
      <w:r>
        <w:rPr>
          <w:rFonts w:hint="eastAsia" w:ascii="仿宋_GB2312" w:hAnsi="宋体" w:eastAsia="仿宋_GB2312"/>
          <w:color w:val="auto"/>
          <w:sz w:val="32"/>
          <w:szCs w:val="32"/>
          <w:lang w:val="zh-CN"/>
        </w:rPr>
        <w:t>取样</w:t>
      </w:r>
      <w:r>
        <w:rPr>
          <w:rFonts w:ascii="仿宋_GB2312" w:hAnsi="宋体" w:eastAsia="仿宋_GB2312"/>
          <w:color w:val="auto"/>
          <w:sz w:val="32"/>
          <w:szCs w:val="32"/>
          <w:lang w:val="zh-CN"/>
        </w:rPr>
        <w:t>方法</w:t>
      </w:r>
      <w:r>
        <w:rPr>
          <w:rFonts w:hint="eastAsia" w:ascii="仿宋_GB2312" w:hAnsi="宋体" w:eastAsia="仿宋_GB2312"/>
          <w:color w:val="auto"/>
          <w:sz w:val="32"/>
          <w:szCs w:val="32"/>
          <w:lang w:val="zh-CN"/>
        </w:rPr>
        <w:t>，</w:t>
      </w:r>
      <w:r>
        <w:rPr>
          <w:rFonts w:ascii="仿宋_GB2312" w:hAnsi="宋体" w:eastAsia="仿宋_GB2312"/>
          <w:color w:val="auto"/>
          <w:sz w:val="32"/>
          <w:szCs w:val="32"/>
          <w:lang w:val="zh-CN"/>
        </w:rPr>
        <w:t>抽取具有代表性的样品</w:t>
      </w:r>
      <w:r>
        <w:rPr>
          <w:rFonts w:hint="eastAsia" w:ascii="仿宋_GB2312" w:hAnsi="宋体" w:eastAsia="仿宋_GB2312"/>
          <w:color w:val="auto"/>
          <w:sz w:val="32"/>
          <w:szCs w:val="32"/>
          <w:lang w:val="zh-CN"/>
        </w:rPr>
        <w:t>进行</w:t>
      </w:r>
      <w:r>
        <w:rPr>
          <w:rFonts w:ascii="仿宋_GB2312" w:hAnsi="宋体" w:eastAsia="仿宋_GB2312"/>
          <w:color w:val="auto"/>
          <w:sz w:val="32"/>
          <w:szCs w:val="32"/>
          <w:lang w:val="zh-CN"/>
        </w:rPr>
        <w:t>评价。</w:t>
      </w:r>
    </w:p>
    <w:p>
      <w:pPr>
        <w:adjustRightInd w:val="0"/>
        <w:snapToGrid w:val="0"/>
        <w:spacing w:before="156" w:beforeLines="50" w:after="156" w:afterLines="50" w:line="560" w:lineRule="exact"/>
        <w:ind w:firstLine="640" w:firstLineChars="200"/>
        <w:rPr>
          <w:rFonts w:ascii="黑体" w:hAnsi="黑体" w:eastAsia="黑体" w:cs="黑体"/>
          <w:bCs/>
          <w:color w:val="auto"/>
          <w:sz w:val="32"/>
          <w:szCs w:val="32"/>
        </w:rPr>
      </w:pPr>
      <w:r>
        <w:rPr>
          <w:rFonts w:hint="eastAsia" w:ascii="黑体" w:hAnsi="黑体" w:eastAsia="黑体" w:cs="黑体"/>
          <w:bCs/>
          <w:color w:val="auto"/>
          <w:sz w:val="32"/>
          <w:szCs w:val="32"/>
        </w:rPr>
        <w:t>六</w:t>
      </w:r>
      <w:r>
        <w:rPr>
          <w:rFonts w:ascii="黑体" w:hAnsi="黑体" w:eastAsia="黑体" w:cs="黑体"/>
          <w:bCs/>
          <w:color w:val="auto"/>
          <w:sz w:val="32"/>
          <w:szCs w:val="32"/>
        </w:rPr>
        <w:t>、</w:t>
      </w:r>
      <w:r>
        <w:rPr>
          <w:rFonts w:hint="eastAsia" w:ascii="黑体" w:hAnsi="黑体" w:eastAsia="黑体" w:cs="黑体"/>
          <w:bCs/>
          <w:color w:val="auto"/>
          <w:sz w:val="32"/>
          <w:szCs w:val="32"/>
        </w:rPr>
        <w:t>国内外同类标准制修订情况及与法律法规、强制性标准关系</w:t>
      </w:r>
    </w:p>
    <w:p>
      <w:pPr>
        <w:spacing w:line="560" w:lineRule="exact"/>
        <w:ind w:firstLine="640" w:firstLineChars="200"/>
        <w:rPr>
          <w:rFonts w:ascii="仿宋_GB2312" w:hAnsi="宋体" w:eastAsia="仿宋_GB2312"/>
          <w:color w:val="auto"/>
          <w:sz w:val="32"/>
          <w:szCs w:val="32"/>
        </w:rPr>
      </w:pPr>
      <w:r>
        <w:rPr>
          <w:rFonts w:hint="eastAsia" w:ascii="仿宋_GB2312" w:hAnsi="宋体" w:eastAsia="仿宋_GB2312"/>
          <w:color w:val="auto"/>
          <w:sz w:val="32"/>
          <w:szCs w:val="32"/>
          <w:lang w:val="zh-CN"/>
        </w:rPr>
        <w:t>经查阅，国内与</w:t>
      </w:r>
      <w:r>
        <w:rPr>
          <w:rFonts w:hint="eastAsia" w:ascii="仿宋_GB2312" w:hAnsi="宋体" w:eastAsia="仿宋_GB2312"/>
          <w:color w:val="auto"/>
          <w:sz w:val="32"/>
          <w:szCs w:val="32"/>
        </w:rPr>
        <w:t>食用木薯块根质量综合评价</w:t>
      </w:r>
      <w:r>
        <w:rPr>
          <w:rFonts w:hint="eastAsia" w:ascii="仿宋_GB2312" w:hAnsi="宋体" w:eastAsia="仿宋_GB2312"/>
          <w:color w:val="auto"/>
          <w:sz w:val="32"/>
          <w:szCs w:val="32"/>
          <w:lang w:val="zh-CN"/>
        </w:rPr>
        <w:t>技术有关的国家标准、行业标准及地方标准有：GB/T 31784-2015《马铃薯</w:t>
      </w:r>
      <w:r>
        <w:rPr>
          <w:rFonts w:ascii="仿宋_GB2312" w:hAnsi="宋体" w:eastAsia="仿宋_GB2312"/>
          <w:color w:val="auto"/>
          <w:sz w:val="32"/>
          <w:szCs w:val="32"/>
          <w:lang w:val="zh-CN"/>
        </w:rPr>
        <w:t>商品薯分级与检验规程</w:t>
      </w:r>
      <w:r>
        <w:rPr>
          <w:rFonts w:hint="eastAsia" w:ascii="仿宋_GB2312" w:hAnsi="宋体" w:eastAsia="仿宋_GB2312"/>
          <w:color w:val="auto"/>
          <w:sz w:val="32"/>
          <w:szCs w:val="32"/>
          <w:lang w:val="zh-CN"/>
        </w:rPr>
        <w:t>》、NY/T</w:t>
      </w:r>
      <w:r>
        <w:rPr>
          <w:rFonts w:ascii="仿宋_GB2312" w:hAnsi="宋体" w:eastAsia="仿宋_GB2312"/>
          <w:color w:val="auto"/>
          <w:sz w:val="32"/>
          <w:szCs w:val="32"/>
          <w:lang w:val="zh-CN"/>
        </w:rPr>
        <w:t xml:space="preserve"> 2552-2014</w:t>
      </w:r>
      <w:r>
        <w:rPr>
          <w:rFonts w:hint="eastAsia" w:ascii="仿宋_GB2312" w:hAnsi="宋体" w:eastAsia="仿宋_GB2312"/>
          <w:color w:val="auto"/>
          <w:sz w:val="32"/>
          <w:szCs w:val="32"/>
          <w:lang w:val="zh-CN"/>
        </w:rPr>
        <w:t>《能源木薯</w:t>
      </w:r>
      <w:r>
        <w:rPr>
          <w:rFonts w:ascii="仿宋_GB2312" w:hAnsi="宋体" w:eastAsia="仿宋_GB2312"/>
          <w:color w:val="auto"/>
          <w:sz w:val="32"/>
          <w:szCs w:val="32"/>
          <w:lang w:val="zh-CN"/>
        </w:rPr>
        <w:t>等级规格</w:t>
      </w:r>
      <w:r>
        <w:rPr>
          <w:rFonts w:hint="eastAsia" w:ascii="仿宋_GB2312" w:hAnsi="宋体" w:eastAsia="仿宋_GB2312"/>
          <w:color w:val="auto"/>
          <w:sz w:val="32"/>
          <w:szCs w:val="32"/>
          <w:lang w:val="zh-CN"/>
        </w:rPr>
        <w:t xml:space="preserve">  鲜木薯》</w:t>
      </w:r>
      <w:r>
        <w:rPr>
          <w:rFonts w:hint="eastAsia" w:ascii="仿宋_GB2312" w:hAnsi="宋体" w:eastAsia="仿宋_GB2312"/>
          <w:color w:val="auto"/>
          <w:sz w:val="32"/>
          <w:szCs w:val="32"/>
        </w:rPr>
        <w:t>、DBS 45/041-2017《食品安全</w:t>
      </w:r>
      <w:r>
        <w:rPr>
          <w:rFonts w:ascii="仿宋_GB2312" w:hAnsi="宋体" w:eastAsia="仿宋_GB2312"/>
          <w:color w:val="auto"/>
          <w:sz w:val="32"/>
          <w:szCs w:val="32"/>
        </w:rPr>
        <w:t>地方标准</w:t>
      </w:r>
      <w:r>
        <w:rPr>
          <w:rFonts w:hint="eastAsia" w:ascii="仿宋_GB2312" w:hAnsi="宋体" w:eastAsia="仿宋_GB2312"/>
          <w:color w:val="auto"/>
          <w:sz w:val="32"/>
          <w:szCs w:val="32"/>
        </w:rPr>
        <w:t xml:space="preserve">  木薯</w:t>
      </w:r>
      <w:r>
        <w:rPr>
          <w:rFonts w:ascii="仿宋_GB2312" w:hAnsi="宋体" w:eastAsia="仿宋_GB2312"/>
          <w:color w:val="auto"/>
          <w:sz w:val="32"/>
          <w:szCs w:val="32"/>
        </w:rPr>
        <w:t>全粉</w:t>
      </w:r>
      <w:r>
        <w:rPr>
          <w:rFonts w:hint="eastAsia" w:ascii="仿宋_GB2312" w:hAnsi="宋体" w:eastAsia="仿宋_GB2312"/>
          <w:color w:val="auto"/>
          <w:sz w:val="32"/>
          <w:szCs w:val="32"/>
        </w:rPr>
        <w:t>》，以上标准没有给出食用木薯块根质量综合评价的方法，不能</w:t>
      </w:r>
      <w:r>
        <w:rPr>
          <w:rFonts w:ascii="仿宋_GB2312" w:hAnsi="宋体" w:eastAsia="仿宋_GB2312"/>
          <w:color w:val="auto"/>
          <w:sz w:val="32"/>
          <w:szCs w:val="32"/>
        </w:rPr>
        <w:t>对</w:t>
      </w:r>
      <w:r>
        <w:rPr>
          <w:rFonts w:hint="eastAsia" w:ascii="仿宋_GB2312" w:hAnsi="宋体" w:eastAsia="仿宋_GB2312"/>
          <w:color w:val="auto"/>
          <w:sz w:val="32"/>
          <w:szCs w:val="32"/>
        </w:rPr>
        <w:t>食用</w:t>
      </w:r>
      <w:r>
        <w:rPr>
          <w:rFonts w:ascii="仿宋_GB2312" w:hAnsi="宋体" w:eastAsia="仿宋_GB2312"/>
          <w:color w:val="auto"/>
          <w:sz w:val="32"/>
          <w:szCs w:val="32"/>
        </w:rPr>
        <w:t>木薯</w:t>
      </w:r>
      <w:r>
        <w:rPr>
          <w:rFonts w:hint="eastAsia" w:ascii="仿宋_GB2312" w:hAnsi="宋体" w:eastAsia="仿宋_GB2312"/>
          <w:color w:val="auto"/>
          <w:sz w:val="32"/>
          <w:szCs w:val="32"/>
        </w:rPr>
        <w:t>块根</w:t>
      </w:r>
      <w:r>
        <w:rPr>
          <w:rFonts w:ascii="仿宋_GB2312" w:hAnsi="宋体" w:eastAsia="仿宋_GB2312"/>
          <w:color w:val="auto"/>
          <w:sz w:val="32"/>
          <w:szCs w:val="32"/>
        </w:rPr>
        <w:t>进行多个方面的客观评价，</w:t>
      </w:r>
      <w:r>
        <w:rPr>
          <w:rFonts w:hint="eastAsia" w:ascii="仿宋_GB2312" w:hAnsi="宋体" w:eastAsia="仿宋_GB2312"/>
          <w:color w:val="auto"/>
          <w:sz w:val="32"/>
          <w:szCs w:val="32"/>
        </w:rPr>
        <w:t>均无法满足广西的食用木薯块根质量综合评价技术要求。</w:t>
      </w:r>
    </w:p>
    <w:p>
      <w:pPr>
        <w:spacing w:line="560" w:lineRule="exact"/>
        <w:ind w:firstLine="640" w:firstLineChars="200"/>
        <w:rPr>
          <w:rFonts w:ascii="仿宋_GB2312" w:hAnsi="宋体" w:eastAsia="仿宋_GB2312"/>
          <w:color w:val="auto"/>
          <w:sz w:val="32"/>
          <w:szCs w:val="32"/>
        </w:rPr>
      </w:pPr>
      <w:r>
        <w:rPr>
          <w:rFonts w:hint="eastAsia" w:ascii="仿宋_GB2312" w:hAnsi="宋体" w:eastAsia="仿宋_GB2312"/>
          <w:color w:val="auto"/>
          <w:sz w:val="32"/>
          <w:szCs w:val="32"/>
          <w:lang w:val="zh-CN"/>
        </w:rPr>
        <w:t>本标准的内容与现行的法律、法规及强制性标准无冲突，标准的编写符合</w:t>
      </w:r>
      <w:r>
        <w:rPr>
          <w:rFonts w:hint="eastAsia" w:ascii="仿宋_GB2312" w:hAnsi="宋体" w:eastAsia="仿宋_GB2312"/>
          <w:color w:val="auto"/>
          <w:sz w:val="32"/>
          <w:szCs w:val="32"/>
        </w:rPr>
        <w:t>GB/T</w:t>
      </w:r>
      <w:r>
        <w:rPr>
          <w:rFonts w:ascii="仿宋_GB2312" w:hAnsi="宋体" w:eastAsia="仿宋_GB2312"/>
          <w:color w:val="auto"/>
          <w:sz w:val="32"/>
          <w:szCs w:val="32"/>
        </w:rPr>
        <w:t xml:space="preserve"> </w:t>
      </w:r>
      <w:r>
        <w:rPr>
          <w:rFonts w:hint="eastAsia" w:ascii="仿宋_GB2312" w:hAnsi="宋体" w:eastAsia="仿宋_GB2312"/>
          <w:color w:val="auto"/>
          <w:sz w:val="32"/>
          <w:szCs w:val="32"/>
        </w:rPr>
        <w:t>1.1-2020的要求。</w:t>
      </w:r>
    </w:p>
    <w:p>
      <w:pPr>
        <w:adjustRightInd w:val="0"/>
        <w:snapToGrid w:val="0"/>
        <w:spacing w:before="156" w:beforeLines="50" w:after="156" w:afterLines="50" w:line="560" w:lineRule="exact"/>
        <w:ind w:firstLine="640" w:firstLineChars="200"/>
        <w:rPr>
          <w:rFonts w:ascii="黑体" w:hAnsi="黑体" w:eastAsia="黑体" w:cs="黑体"/>
          <w:bCs/>
          <w:color w:val="auto"/>
          <w:sz w:val="32"/>
          <w:szCs w:val="32"/>
        </w:rPr>
      </w:pPr>
      <w:r>
        <w:rPr>
          <w:rFonts w:hint="eastAsia" w:ascii="黑体" w:hAnsi="黑体" w:eastAsia="黑体" w:cs="黑体"/>
          <w:bCs/>
          <w:color w:val="auto"/>
          <w:sz w:val="32"/>
          <w:szCs w:val="32"/>
        </w:rPr>
        <w:t>七、重大分歧意见发处理经过和依据</w:t>
      </w:r>
    </w:p>
    <w:p>
      <w:pPr>
        <w:spacing w:line="560" w:lineRule="exact"/>
        <w:ind w:firstLine="640" w:firstLineChars="200"/>
        <w:rPr>
          <w:rFonts w:ascii="仿宋_GB2312" w:hAnsi="宋体" w:eastAsia="仿宋_GB2312"/>
          <w:color w:val="auto"/>
          <w:sz w:val="32"/>
          <w:szCs w:val="32"/>
        </w:rPr>
      </w:pPr>
      <w:r>
        <w:rPr>
          <w:rFonts w:hint="eastAsia" w:ascii="仿宋_GB2312" w:hAnsi="宋体" w:eastAsia="仿宋_GB2312"/>
          <w:color w:val="auto"/>
          <w:sz w:val="32"/>
          <w:szCs w:val="32"/>
        </w:rPr>
        <w:t>本标准研制过程中无重大分歧意见。</w:t>
      </w:r>
    </w:p>
    <w:p>
      <w:pPr>
        <w:spacing w:before="156" w:beforeLines="50" w:after="156" w:afterLines="50" w:line="560" w:lineRule="exact"/>
        <w:ind w:firstLine="640" w:firstLineChars="200"/>
        <w:rPr>
          <w:rFonts w:ascii="黑体" w:hAnsi="黑体" w:eastAsia="黑体"/>
          <w:color w:val="auto"/>
          <w:sz w:val="32"/>
          <w:szCs w:val="32"/>
        </w:rPr>
      </w:pPr>
      <w:r>
        <w:rPr>
          <w:rFonts w:hint="eastAsia" w:ascii="黑体" w:hAnsi="黑体" w:eastAsia="黑体"/>
          <w:color w:val="auto"/>
          <w:sz w:val="32"/>
          <w:szCs w:val="32"/>
        </w:rPr>
        <w:t>八</w:t>
      </w:r>
      <w:r>
        <w:rPr>
          <w:rFonts w:ascii="黑体" w:hAnsi="黑体" w:eastAsia="黑体"/>
          <w:color w:val="auto"/>
          <w:sz w:val="32"/>
          <w:szCs w:val="32"/>
        </w:rPr>
        <w:t>、自我承诺</w:t>
      </w:r>
    </w:p>
    <w:p>
      <w:pPr>
        <w:spacing w:line="560" w:lineRule="exact"/>
        <w:ind w:firstLine="640" w:firstLineChars="200"/>
        <w:rPr>
          <w:rFonts w:ascii="仿宋_GB2312" w:hAnsi="宋体" w:eastAsia="仿宋_GB2312"/>
          <w:color w:val="auto"/>
          <w:sz w:val="32"/>
          <w:szCs w:val="32"/>
        </w:rPr>
      </w:pPr>
      <w:r>
        <w:rPr>
          <w:rFonts w:hint="eastAsia" w:ascii="仿宋_GB2312" w:hAnsi="宋体" w:eastAsia="仿宋_GB2312"/>
          <w:color w:val="auto"/>
          <w:sz w:val="32"/>
          <w:szCs w:val="32"/>
        </w:rPr>
        <w:t>本标准内容与各项指标不低于国家强制性标准、推荐性国家标准和行业标准。</w:t>
      </w:r>
    </w:p>
    <w:p>
      <w:pPr>
        <w:spacing w:line="560" w:lineRule="exact"/>
        <w:rPr>
          <w:rFonts w:ascii="仿宋_GB2312" w:hAnsi="宋体" w:eastAsia="仿宋_GB2312"/>
          <w:color w:val="auto"/>
          <w:sz w:val="32"/>
          <w:szCs w:val="32"/>
          <w:lang w:val="zh-CN"/>
        </w:rPr>
      </w:pPr>
    </w:p>
    <w:p>
      <w:pPr>
        <w:spacing w:line="560" w:lineRule="exact"/>
        <w:rPr>
          <w:rFonts w:ascii="仿宋_GB2312" w:hAnsi="宋体" w:eastAsia="仿宋_GB2312"/>
          <w:color w:val="auto"/>
          <w:sz w:val="32"/>
          <w:szCs w:val="32"/>
          <w:lang w:val="zh-CN"/>
        </w:rPr>
      </w:pPr>
    </w:p>
    <w:p>
      <w:pPr>
        <w:spacing w:line="560" w:lineRule="exact"/>
        <w:ind w:firstLine="640" w:firstLineChars="200"/>
        <w:jc w:val="right"/>
        <w:outlineLvl w:val="0"/>
        <w:rPr>
          <w:rFonts w:ascii="仿宋_GB2312" w:hAnsi="宋体" w:eastAsia="仿宋_GB2312"/>
          <w:color w:val="auto"/>
          <w:sz w:val="32"/>
          <w:szCs w:val="32"/>
          <w:lang w:val="zh-CN"/>
        </w:rPr>
      </w:pPr>
      <w:r>
        <w:rPr>
          <w:rFonts w:hint="eastAsia" w:ascii="仿宋_GB2312" w:hAnsi="宋体" w:eastAsia="仿宋_GB2312"/>
          <w:color w:val="auto"/>
          <w:sz w:val="32"/>
          <w:szCs w:val="32"/>
          <w:lang w:val="zh-CN"/>
        </w:rPr>
        <w:t>团体标准《食用木薯块根质量综合评价技术规程》</w:t>
      </w:r>
    </w:p>
    <w:p>
      <w:pPr>
        <w:spacing w:line="560" w:lineRule="exact"/>
        <w:ind w:firstLine="5920" w:firstLineChars="1850"/>
        <w:jc w:val="right"/>
        <w:rPr>
          <w:rFonts w:ascii="仿宋_GB2312" w:hAnsi="宋体" w:eastAsia="仿宋_GB2312"/>
          <w:color w:val="auto"/>
          <w:sz w:val="32"/>
          <w:szCs w:val="32"/>
          <w:lang w:val="zh-CN"/>
        </w:rPr>
      </w:pPr>
      <w:r>
        <w:rPr>
          <w:rFonts w:hint="eastAsia" w:ascii="仿宋_GB2312" w:hAnsi="宋体" w:eastAsia="仿宋_GB2312"/>
          <w:color w:val="auto"/>
          <w:sz w:val="32"/>
          <w:szCs w:val="32"/>
          <w:lang w:val="zh-CN"/>
        </w:rPr>
        <w:t>标准编制小组</w:t>
      </w:r>
    </w:p>
    <w:p>
      <w:pPr>
        <w:spacing w:line="560" w:lineRule="exact"/>
        <w:ind w:firstLine="640" w:firstLineChars="200"/>
        <w:jc w:val="right"/>
        <w:rPr>
          <w:rFonts w:ascii="仿宋_GB2312" w:hAnsi="宋体" w:eastAsia="仿宋_GB2312"/>
          <w:color w:val="auto"/>
          <w:sz w:val="32"/>
          <w:szCs w:val="32"/>
        </w:rPr>
      </w:pPr>
      <w:r>
        <w:rPr>
          <w:rFonts w:hint="eastAsia" w:ascii="仿宋_GB2312" w:hAnsi="宋体" w:eastAsia="仿宋_GB2312"/>
          <w:color w:val="auto"/>
          <w:sz w:val="32"/>
          <w:szCs w:val="32"/>
        </w:rPr>
        <w:t>202</w:t>
      </w:r>
      <w:r>
        <w:rPr>
          <w:rFonts w:hint="eastAsia" w:ascii="仿宋_GB2312" w:hAnsi="宋体" w:eastAsia="仿宋_GB2312"/>
          <w:color w:val="auto"/>
          <w:sz w:val="32"/>
          <w:szCs w:val="32"/>
          <w:lang w:val="en-US" w:eastAsia="zh-CN"/>
        </w:rPr>
        <w:t>2</w:t>
      </w:r>
      <w:r>
        <w:rPr>
          <w:rFonts w:hint="eastAsia" w:ascii="仿宋_GB2312" w:hAnsi="宋体" w:eastAsia="仿宋_GB2312"/>
          <w:color w:val="auto"/>
          <w:sz w:val="32"/>
          <w:szCs w:val="32"/>
          <w:lang w:val="zh-CN"/>
        </w:rPr>
        <w:t>年</w:t>
      </w:r>
      <w:r>
        <w:rPr>
          <w:rFonts w:hint="eastAsia" w:ascii="仿宋_GB2312" w:hAnsi="宋体" w:eastAsia="仿宋_GB2312"/>
          <w:color w:val="auto"/>
          <w:sz w:val="32"/>
          <w:szCs w:val="32"/>
          <w:lang w:val="en-US" w:eastAsia="zh-CN"/>
        </w:rPr>
        <w:t>2</w:t>
      </w:r>
      <w:r>
        <w:rPr>
          <w:rFonts w:hint="eastAsia" w:ascii="仿宋_GB2312" w:hAnsi="宋体" w:eastAsia="仿宋_GB2312"/>
          <w:color w:val="auto"/>
          <w:sz w:val="32"/>
          <w:szCs w:val="32"/>
          <w:lang w:val="zh-CN"/>
        </w:rPr>
        <w:t>月</w:t>
      </w:r>
      <w:r>
        <w:rPr>
          <w:rFonts w:hint="eastAsia" w:ascii="仿宋_GB2312" w:hAnsi="宋体" w:eastAsia="仿宋_GB2312"/>
          <w:color w:val="auto"/>
          <w:sz w:val="32"/>
          <w:szCs w:val="32"/>
          <w:lang w:val="en-US" w:eastAsia="zh-CN"/>
        </w:rPr>
        <w:t>24</w:t>
      </w:r>
      <w:r>
        <w:rPr>
          <w:rFonts w:hint="eastAsia" w:ascii="仿宋_GB2312" w:hAnsi="宋体" w:eastAsia="仿宋_GB2312"/>
          <w:color w:val="auto"/>
          <w:sz w:val="32"/>
          <w:szCs w:val="32"/>
        </w:rPr>
        <w:t>日</w:t>
      </w:r>
    </w:p>
    <w:p>
      <w:pPr>
        <w:spacing w:line="560" w:lineRule="exact"/>
        <w:rPr>
          <w:sz w:val="32"/>
          <w:szCs w:val="32"/>
        </w:rPr>
      </w:pPr>
    </w:p>
    <w:sectPr>
      <w:pgSz w:w="11906" w:h="16838"/>
      <w:pgMar w:top="1474" w:right="1474" w:bottom="1474"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altName w:val="仿宋_GB2312"/>
    <w:panose1 w:val="02010601030101010101"/>
    <w:charset w:val="86"/>
    <w:family w:val="auto"/>
    <w:pitch w:val="default"/>
    <w:sig w:usb0="00000000" w:usb1="00000000" w:usb2="00000010" w:usb3="00000000" w:csb0="00040000"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7EC27CF"/>
    <w:multiLevelType w:val="singleLevel"/>
    <w:tmpl w:val="F7EC27CF"/>
    <w:lvl w:ilvl="0" w:tentative="0">
      <w:start w:val="4"/>
      <w:numFmt w:val="chineseCounting"/>
      <w:suff w:val="nothing"/>
      <w:lvlText w:val="（%1）"/>
      <w:lvlJc w:val="left"/>
      <w:rPr>
        <w:rFonts w:hint="eastAsia"/>
      </w:rPr>
    </w:lvl>
  </w:abstractNum>
  <w:abstractNum w:abstractNumId="1">
    <w:nsid w:val="6CEA2025"/>
    <w:multiLevelType w:val="multilevel"/>
    <w:tmpl w:val="6CEA2025"/>
    <w:lvl w:ilvl="0" w:tentative="0">
      <w:start w:val="1"/>
      <w:numFmt w:val="none"/>
      <w:pStyle w:val="25"/>
      <w:suff w:val="nothing"/>
      <w:lvlText w:val="%1"/>
      <w:lvlJc w:val="left"/>
      <w:pPr>
        <w:ind w:left="0" w:firstLine="0"/>
      </w:pPr>
      <w:rPr>
        <w:rFonts w:hint="eastAsia"/>
      </w:rPr>
    </w:lvl>
    <w:lvl w:ilvl="1" w:tentative="0">
      <w:start w:val="1"/>
      <w:numFmt w:val="decimal"/>
      <w:pStyle w:val="23"/>
      <w:suff w:val="nothing"/>
      <w:lvlText w:val="%1%2　"/>
      <w:lvlJc w:val="left"/>
      <w:pPr>
        <w:ind w:left="0" w:firstLine="0"/>
      </w:pPr>
      <w:rPr>
        <w:rFonts w:hint="eastAsia" w:ascii="黑体" w:eastAsia="黑体"/>
        <w:b w:val="0"/>
        <w:i w:val="0"/>
        <w:sz w:val="21"/>
      </w:rPr>
    </w:lvl>
    <w:lvl w:ilvl="2" w:tentative="0">
      <w:start w:val="1"/>
      <w:numFmt w:val="decimal"/>
      <w:pStyle w:val="24"/>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19"/>
      <w:suff w:val="nothing"/>
      <w:lvlText w:val="%1%2.%3.%4　"/>
      <w:lvlJc w:val="left"/>
      <w:pPr>
        <w:ind w:left="0" w:firstLine="0"/>
      </w:pPr>
      <w:rPr>
        <w:rFonts w:hint="eastAsia" w:ascii="黑体" w:eastAsia="黑体"/>
        <w:b w:val="0"/>
        <w:i w:val="0"/>
        <w:sz w:val="21"/>
      </w:rPr>
    </w:lvl>
    <w:lvl w:ilvl="4" w:tentative="0">
      <w:start w:val="1"/>
      <w:numFmt w:val="decimal"/>
      <w:pStyle w:val="20"/>
      <w:suff w:val="nothing"/>
      <w:lvlText w:val="%1%2.%3.%4.%5　"/>
      <w:lvlJc w:val="left"/>
      <w:pPr>
        <w:ind w:left="0" w:firstLine="0"/>
      </w:pPr>
      <w:rPr>
        <w:rFonts w:hint="eastAsia" w:ascii="黑体" w:eastAsia="黑体"/>
        <w:b w:val="0"/>
        <w:i w:val="0"/>
        <w:sz w:val="21"/>
      </w:rPr>
    </w:lvl>
    <w:lvl w:ilvl="5" w:tentative="0">
      <w:start w:val="1"/>
      <w:numFmt w:val="decimal"/>
      <w:pStyle w:val="21"/>
      <w:suff w:val="nothing"/>
      <w:lvlText w:val="%1%2.%3.%4.%5.%6　"/>
      <w:lvlJc w:val="left"/>
      <w:pPr>
        <w:ind w:left="0" w:firstLine="0"/>
      </w:pPr>
      <w:rPr>
        <w:rFonts w:hint="eastAsia" w:ascii="黑体" w:eastAsia="黑体"/>
        <w:b w:val="0"/>
        <w:i w:val="0"/>
        <w:sz w:val="21"/>
      </w:rPr>
    </w:lvl>
    <w:lvl w:ilvl="6" w:tentative="0">
      <w:start w:val="1"/>
      <w:numFmt w:val="decimal"/>
      <w:pStyle w:val="22"/>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74664EEB"/>
    <w:multiLevelType w:val="multilevel"/>
    <w:tmpl w:val="74664EEB"/>
    <w:lvl w:ilvl="0" w:tentative="0">
      <w:start w:val="1"/>
      <w:numFmt w:val="japaneseCounting"/>
      <w:pStyle w:val="27"/>
      <w:lvlText w:val="%1、"/>
      <w:lvlJc w:val="left"/>
      <w:pPr>
        <w:ind w:left="504" w:hanging="504"/>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2F40A7A"/>
    <w:rsid w:val="00007A3B"/>
    <w:rsid w:val="0001362E"/>
    <w:rsid w:val="000301E7"/>
    <w:rsid w:val="000357FD"/>
    <w:rsid w:val="00042DA8"/>
    <w:rsid w:val="00045229"/>
    <w:rsid w:val="000512D3"/>
    <w:rsid w:val="00056E03"/>
    <w:rsid w:val="00060EB2"/>
    <w:rsid w:val="000647D8"/>
    <w:rsid w:val="000736B7"/>
    <w:rsid w:val="00085266"/>
    <w:rsid w:val="000909BA"/>
    <w:rsid w:val="00094F6B"/>
    <w:rsid w:val="000A38AA"/>
    <w:rsid w:val="000A39DF"/>
    <w:rsid w:val="000B69C7"/>
    <w:rsid w:val="000B6C8F"/>
    <w:rsid w:val="000C482C"/>
    <w:rsid w:val="000C5EA5"/>
    <w:rsid w:val="000C73B6"/>
    <w:rsid w:val="000D4AA2"/>
    <w:rsid w:val="000D4D34"/>
    <w:rsid w:val="000E0033"/>
    <w:rsid w:val="000E1F56"/>
    <w:rsid w:val="000F666F"/>
    <w:rsid w:val="001008A6"/>
    <w:rsid w:val="001117EC"/>
    <w:rsid w:val="0011425E"/>
    <w:rsid w:val="00136612"/>
    <w:rsid w:val="00137598"/>
    <w:rsid w:val="001379D8"/>
    <w:rsid w:val="001404BA"/>
    <w:rsid w:val="0014131C"/>
    <w:rsid w:val="001441AB"/>
    <w:rsid w:val="00153708"/>
    <w:rsid w:val="001538F1"/>
    <w:rsid w:val="00160605"/>
    <w:rsid w:val="001643A4"/>
    <w:rsid w:val="0018765E"/>
    <w:rsid w:val="00192652"/>
    <w:rsid w:val="001B3206"/>
    <w:rsid w:val="001C0310"/>
    <w:rsid w:val="001C450D"/>
    <w:rsid w:val="001C7DA7"/>
    <w:rsid w:val="001D20FE"/>
    <w:rsid w:val="001E0C5E"/>
    <w:rsid w:val="001E22DF"/>
    <w:rsid w:val="001F2328"/>
    <w:rsid w:val="00201A81"/>
    <w:rsid w:val="0020586B"/>
    <w:rsid w:val="00210294"/>
    <w:rsid w:val="002111F4"/>
    <w:rsid w:val="00214B36"/>
    <w:rsid w:val="00216C5F"/>
    <w:rsid w:val="002172C1"/>
    <w:rsid w:val="002219A2"/>
    <w:rsid w:val="00224154"/>
    <w:rsid w:val="002276C5"/>
    <w:rsid w:val="00231022"/>
    <w:rsid w:val="00240039"/>
    <w:rsid w:val="002461EE"/>
    <w:rsid w:val="002556C0"/>
    <w:rsid w:val="00266580"/>
    <w:rsid w:val="002714FB"/>
    <w:rsid w:val="00285DB4"/>
    <w:rsid w:val="0029495C"/>
    <w:rsid w:val="002978BA"/>
    <w:rsid w:val="002A1A2A"/>
    <w:rsid w:val="002A4693"/>
    <w:rsid w:val="002B5A2F"/>
    <w:rsid w:val="002E078A"/>
    <w:rsid w:val="002E08EB"/>
    <w:rsid w:val="002E26A4"/>
    <w:rsid w:val="002E4500"/>
    <w:rsid w:val="002E73C7"/>
    <w:rsid w:val="002F331F"/>
    <w:rsid w:val="002F4911"/>
    <w:rsid w:val="0030021B"/>
    <w:rsid w:val="00300939"/>
    <w:rsid w:val="003114F8"/>
    <w:rsid w:val="003213AB"/>
    <w:rsid w:val="00330246"/>
    <w:rsid w:val="00335065"/>
    <w:rsid w:val="003356FD"/>
    <w:rsid w:val="00341840"/>
    <w:rsid w:val="00344DCA"/>
    <w:rsid w:val="003610C1"/>
    <w:rsid w:val="00361BA1"/>
    <w:rsid w:val="00362592"/>
    <w:rsid w:val="00364D16"/>
    <w:rsid w:val="0036618D"/>
    <w:rsid w:val="00371892"/>
    <w:rsid w:val="0039281A"/>
    <w:rsid w:val="00395C01"/>
    <w:rsid w:val="003A4307"/>
    <w:rsid w:val="003A7559"/>
    <w:rsid w:val="003A7E9E"/>
    <w:rsid w:val="003B1821"/>
    <w:rsid w:val="003C1FC4"/>
    <w:rsid w:val="003C75FC"/>
    <w:rsid w:val="003D4CDC"/>
    <w:rsid w:val="003E1857"/>
    <w:rsid w:val="003E3205"/>
    <w:rsid w:val="003E3A46"/>
    <w:rsid w:val="003F3405"/>
    <w:rsid w:val="00401A7C"/>
    <w:rsid w:val="00402FE1"/>
    <w:rsid w:val="00404CED"/>
    <w:rsid w:val="0040560F"/>
    <w:rsid w:val="00414DF4"/>
    <w:rsid w:val="00433889"/>
    <w:rsid w:val="00466A67"/>
    <w:rsid w:val="004706BD"/>
    <w:rsid w:val="004711AC"/>
    <w:rsid w:val="0047343A"/>
    <w:rsid w:val="0047535D"/>
    <w:rsid w:val="00477774"/>
    <w:rsid w:val="00482E23"/>
    <w:rsid w:val="0048798C"/>
    <w:rsid w:val="0049553A"/>
    <w:rsid w:val="004A13E8"/>
    <w:rsid w:val="004B216E"/>
    <w:rsid w:val="004B317A"/>
    <w:rsid w:val="004B3F62"/>
    <w:rsid w:val="004B56E1"/>
    <w:rsid w:val="004C7DEA"/>
    <w:rsid w:val="004D1112"/>
    <w:rsid w:val="004D5DCC"/>
    <w:rsid w:val="004E44D8"/>
    <w:rsid w:val="004E55AB"/>
    <w:rsid w:val="004E5D6B"/>
    <w:rsid w:val="00505174"/>
    <w:rsid w:val="005261CB"/>
    <w:rsid w:val="00527551"/>
    <w:rsid w:val="0052788B"/>
    <w:rsid w:val="00530A33"/>
    <w:rsid w:val="005338ED"/>
    <w:rsid w:val="005353A9"/>
    <w:rsid w:val="00537D26"/>
    <w:rsid w:val="005424FE"/>
    <w:rsid w:val="0054308F"/>
    <w:rsid w:val="00547792"/>
    <w:rsid w:val="0055275D"/>
    <w:rsid w:val="00570517"/>
    <w:rsid w:val="00592480"/>
    <w:rsid w:val="005968B3"/>
    <w:rsid w:val="005973A7"/>
    <w:rsid w:val="00597CAF"/>
    <w:rsid w:val="005B135F"/>
    <w:rsid w:val="005B1C23"/>
    <w:rsid w:val="005B5599"/>
    <w:rsid w:val="005B6BA9"/>
    <w:rsid w:val="005C47DF"/>
    <w:rsid w:val="005D150E"/>
    <w:rsid w:val="005D444C"/>
    <w:rsid w:val="005D714D"/>
    <w:rsid w:val="005D7BE4"/>
    <w:rsid w:val="005E1CDE"/>
    <w:rsid w:val="005E4DE7"/>
    <w:rsid w:val="006069FF"/>
    <w:rsid w:val="00611246"/>
    <w:rsid w:val="00613ED1"/>
    <w:rsid w:val="006212CB"/>
    <w:rsid w:val="00626D7F"/>
    <w:rsid w:val="00634B08"/>
    <w:rsid w:val="00641417"/>
    <w:rsid w:val="00657545"/>
    <w:rsid w:val="00661B2F"/>
    <w:rsid w:val="00661FEE"/>
    <w:rsid w:val="0066301B"/>
    <w:rsid w:val="00665425"/>
    <w:rsid w:val="006722D3"/>
    <w:rsid w:val="006816C4"/>
    <w:rsid w:val="006957E0"/>
    <w:rsid w:val="006A5906"/>
    <w:rsid w:val="006A5B11"/>
    <w:rsid w:val="006A5D0E"/>
    <w:rsid w:val="006B7A71"/>
    <w:rsid w:val="006D70EC"/>
    <w:rsid w:val="006D73AF"/>
    <w:rsid w:val="006E2BD2"/>
    <w:rsid w:val="006E7197"/>
    <w:rsid w:val="006F1440"/>
    <w:rsid w:val="006F5BA6"/>
    <w:rsid w:val="006F7E09"/>
    <w:rsid w:val="0070740B"/>
    <w:rsid w:val="00707437"/>
    <w:rsid w:val="00707815"/>
    <w:rsid w:val="00721EE2"/>
    <w:rsid w:val="00727E29"/>
    <w:rsid w:val="00730E6C"/>
    <w:rsid w:val="00733A36"/>
    <w:rsid w:val="00734529"/>
    <w:rsid w:val="007452B3"/>
    <w:rsid w:val="007609B8"/>
    <w:rsid w:val="007671C3"/>
    <w:rsid w:val="007702EA"/>
    <w:rsid w:val="007851EF"/>
    <w:rsid w:val="007A2869"/>
    <w:rsid w:val="007A5579"/>
    <w:rsid w:val="007A5904"/>
    <w:rsid w:val="007B5CA8"/>
    <w:rsid w:val="007D0A53"/>
    <w:rsid w:val="007E2316"/>
    <w:rsid w:val="007F37EE"/>
    <w:rsid w:val="007F67A8"/>
    <w:rsid w:val="007F78F7"/>
    <w:rsid w:val="00800EA9"/>
    <w:rsid w:val="00803B2B"/>
    <w:rsid w:val="00806142"/>
    <w:rsid w:val="008072A2"/>
    <w:rsid w:val="00812919"/>
    <w:rsid w:val="00826793"/>
    <w:rsid w:val="00833836"/>
    <w:rsid w:val="0084042F"/>
    <w:rsid w:val="0085556B"/>
    <w:rsid w:val="0085613D"/>
    <w:rsid w:val="00892A87"/>
    <w:rsid w:val="00893ACB"/>
    <w:rsid w:val="00897C11"/>
    <w:rsid w:val="008A532F"/>
    <w:rsid w:val="008C04B5"/>
    <w:rsid w:val="008D28FA"/>
    <w:rsid w:val="008D7526"/>
    <w:rsid w:val="008E0B5B"/>
    <w:rsid w:val="00904836"/>
    <w:rsid w:val="00906298"/>
    <w:rsid w:val="00906AA1"/>
    <w:rsid w:val="009129EC"/>
    <w:rsid w:val="00915E8E"/>
    <w:rsid w:val="0092390B"/>
    <w:rsid w:val="0092409D"/>
    <w:rsid w:val="00927C4E"/>
    <w:rsid w:val="009332A7"/>
    <w:rsid w:val="00940E4F"/>
    <w:rsid w:val="00943C3E"/>
    <w:rsid w:val="00947E26"/>
    <w:rsid w:val="0095139E"/>
    <w:rsid w:val="00954336"/>
    <w:rsid w:val="009630F8"/>
    <w:rsid w:val="00964CC9"/>
    <w:rsid w:val="009700A1"/>
    <w:rsid w:val="0097489A"/>
    <w:rsid w:val="0098137C"/>
    <w:rsid w:val="00982776"/>
    <w:rsid w:val="00982B8F"/>
    <w:rsid w:val="00986AD3"/>
    <w:rsid w:val="00987678"/>
    <w:rsid w:val="00990039"/>
    <w:rsid w:val="009916B1"/>
    <w:rsid w:val="009A4578"/>
    <w:rsid w:val="009A5BF2"/>
    <w:rsid w:val="009B0913"/>
    <w:rsid w:val="009B5417"/>
    <w:rsid w:val="009B75B2"/>
    <w:rsid w:val="009B77F5"/>
    <w:rsid w:val="009C049D"/>
    <w:rsid w:val="009C08B7"/>
    <w:rsid w:val="009C11C1"/>
    <w:rsid w:val="009D6D29"/>
    <w:rsid w:val="009E1582"/>
    <w:rsid w:val="009F4746"/>
    <w:rsid w:val="009F69DB"/>
    <w:rsid w:val="00A10B97"/>
    <w:rsid w:val="00A23FE8"/>
    <w:rsid w:val="00A259E3"/>
    <w:rsid w:val="00A32C7C"/>
    <w:rsid w:val="00A3458B"/>
    <w:rsid w:val="00A36849"/>
    <w:rsid w:val="00A37326"/>
    <w:rsid w:val="00A417F6"/>
    <w:rsid w:val="00A42957"/>
    <w:rsid w:val="00A470EC"/>
    <w:rsid w:val="00A53B59"/>
    <w:rsid w:val="00A859D0"/>
    <w:rsid w:val="00A900D7"/>
    <w:rsid w:val="00A90F2C"/>
    <w:rsid w:val="00A92BE3"/>
    <w:rsid w:val="00A96D05"/>
    <w:rsid w:val="00AB1B65"/>
    <w:rsid w:val="00AB2810"/>
    <w:rsid w:val="00AB4B0C"/>
    <w:rsid w:val="00AC2B04"/>
    <w:rsid w:val="00AD6D77"/>
    <w:rsid w:val="00AE25AA"/>
    <w:rsid w:val="00AF6E67"/>
    <w:rsid w:val="00B000B8"/>
    <w:rsid w:val="00B1503E"/>
    <w:rsid w:val="00B2687B"/>
    <w:rsid w:val="00B304E9"/>
    <w:rsid w:val="00B31C41"/>
    <w:rsid w:val="00B32326"/>
    <w:rsid w:val="00B422CE"/>
    <w:rsid w:val="00B56C0E"/>
    <w:rsid w:val="00B61237"/>
    <w:rsid w:val="00B6564B"/>
    <w:rsid w:val="00B719E5"/>
    <w:rsid w:val="00B75A61"/>
    <w:rsid w:val="00B93639"/>
    <w:rsid w:val="00BA054B"/>
    <w:rsid w:val="00BA5404"/>
    <w:rsid w:val="00BB01EB"/>
    <w:rsid w:val="00BB5DDA"/>
    <w:rsid w:val="00BB76F5"/>
    <w:rsid w:val="00BC6524"/>
    <w:rsid w:val="00BD4DFD"/>
    <w:rsid w:val="00BD6F78"/>
    <w:rsid w:val="00BE6649"/>
    <w:rsid w:val="00BF1961"/>
    <w:rsid w:val="00BF1DF2"/>
    <w:rsid w:val="00BF604E"/>
    <w:rsid w:val="00C03406"/>
    <w:rsid w:val="00C15ABB"/>
    <w:rsid w:val="00C451C2"/>
    <w:rsid w:val="00C46F59"/>
    <w:rsid w:val="00C53598"/>
    <w:rsid w:val="00C55561"/>
    <w:rsid w:val="00C61BCC"/>
    <w:rsid w:val="00C710D6"/>
    <w:rsid w:val="00C747B0"/>
    <w:rsid w:val="00C7773D"/>
    <w:rsid w:val="00C827F8"/>
    <w:rsid w:val="00C9265B"/>
    <w:rsid w:val="00C955FD"/>
    <w:rsid w:val="00C96EC0"/>
    <w:rsid w:val="00CA2AA3"/>
    <w:rsid w:val="00CA41A5"/>
    <w:rsid w:val="00CA5B30"/>
    <w:rsid w:val="00CB7EB8"/>
    <w:rsid w:val="00CC2DD8"/>
    <w:rsid w:val="00CC4D3B"/>
    <w:rsid w:val="00CD3D7E"/>
    <w:rsid w:val="00CD4D3D"/>
    <w:rsid w:val="00CD6DF7"/>
    <w:rsid w:val="00CF0438"/>
    <w:rsid w:val="00CF4E8E"/>
    <w:rsid w:val="00D0257C"/>
    <w:rsid w:val="00D063E1"/>
    <w:rsid w:val="00D0661A"/>
    <w:rsid w:val="00D16560"/>
    <w:rsid w:val="00D317D7"/>
    <w:rsid w:val="00D4074E"/>
    <w:rsid w:val="00D40E63"/>
    <w:rsid w:val="00D441ED"/>
    <w:rsid w:val="00D5295D"/>
    <w:rsid w:val="00D64197"/>
    <w:rsid w:val="00D66176"/>
    <w:rsid w:val="00D66403"/>
    <w:rsid w:val="00D70F1A"/>
    <w:rsid w:val="00D73E8B"/>
    <w:rsid w:val="00D770C9"/>
    <w:rsid w:val="00D802E2"/>
    <w:rsid w:val="00D8255C"/>
    <w:rsid w:val="00D838AC"/>
    <w:rsid w:val="00D8739D"/>
    <w:rsid w:val="00D94E61"/>
    <w:rsid w:val="00DA7B3E"/>
    <w:rsid w:val="00DB220F"/>
    <w:rsid w:val="00DC111F"/>
    <w:rsid w:val="00DC1721"/>
    <w:rsid w:val="00DC4821"/>
    <w:rsid w:val="00DC6E56"/>
    <w:rsid w:val="00DD0F41"/>
    <w:rsid w:val="00DD42DA"/>
    <w:rsid w:val="00DD60F9"/>
    <w:rsid w:val="00DE13CB"/>
    <w:rsid w:val="00DF2F5D"/>
    <w:rsid w:val="00DF671D"/>
    <w:rsid w:val="00E01A17"/>
    <w:rsid w:val="00E04336"/>
    <w:rsid w:val="00E05C37"/>
    <w:rsid w:val="00E07EA3"/>
    <w:rsid w:val="00E10161"/>
    <w:rsid w:val="00E1662A"/>
    <w:rsid w:val="00E20A22"/>
    <w:rsid w:val="00E21951"/>
    <w:rsid w:val="00E34CA8"/>
    <w:rsid w:val="00E41663"/>
    <w:rsid w:val="00E43B41"/>
    <w:rsid w:val="00E54505"/>
    <w:rsid w:val="00E62F29"/>
    <w:rsid w:val="00E643E8"/>
    <w:rsid w:val="00E64DE5"/>
    <w:rsid w:val="00E92A02"/>
    <w:rsid w:val="00E933D9"/>
    <w:rsid w:val="00E93758"/>
    <w:rsid w:val="00E953C2"/>
    <w:rsid w:val="00EA3E66"/>
    <w:rsid w:val="00EB0332"/>
    <w:rsid w:val="00EB0B12"/>
    <w:rsid w:val="00EB1EE2"/>
    <w:rsid w:val="00EC3B6C"/>
    <w:rsid w:val="00EC65F7"/>
    <w:rsid w:val="00ED018B"/>
    <w:rsid w:val="00EE08EB"/>
    <w:rsid w:val="00EE51E0"/>
    <w:rsid w:val="00EE7D8E"/>
    <w:rsid w:val="00EF0605"/>
    <w:rsid w:val="00EF2897"/>
    <w:rsid w:val="00EF372E"/>
    <w:rsid w:val="00F14412"/>
    <w:rsid w:val="00F14D9D"/>
    <w:rsid w:val="00F20BCD"/>
    <w:rsid w:val="00F22D23"/>
    <w:rsid w:val="00F33457"/>
    <w:rsid w:val="00F340BE"/>
    <w:rsid w:val="00F343D6"/>
    <w:rsid w:val="00F41AE8"/>
    <w:rsid w:val="00F4639D"/>
    <w:rsid w:val="00F51113"/>
    <w:rsid w:val="00F51F15"/>
    <w:rsid w:val="00F5631A"/>
    <w:rsid w:val="00F62630"/>
    <w:rsid w:val="00F6264F"/>
    <w:rsid w:val="00F66419"/>
    <w:rsid w:val="00F70BB2"/>
    <w:rsid w:val="00F72AF7"/>
    <w:rsid w:val="00F81084"/>
    <w:rsid w:val="00F829D1"/>
    <w:rsid w:val="00F909A0"/>
    <w:rsid w:val="00F9381B"/>
    <w:rsid w:val="00F94EB5"/>
    <w:rsid w:val="00F96393"/>
    <w:rsid w:val="00F977D5"/>
    <w:rsid w:val="00FA53CB"/>
    <w:rsid w:val="00FB0950"/>
    <w:rsid w:val="00FB142D"/>
    <w:rsid w:val="00FC1B41"/>
    <w:rsid w:val="00FC1BC7"/>
    <w:rsid w:val="00FC37C1"/>
    <w:rsid w:val="00FC53EA"/>
    <w:rsid w:val="00FE0893"/>
    <w:rsid w:val="00FE40D9"/>
    <w:rsid w:val="00FE558E"/>
    <w:rsid w:val="00FE658D"/>
    <w:rsid w:val="00FF58FD"/>
    <w:rsid w:val="012073A2"/>
    <w:rsid w:val="01973053"/>
    <w:rsid w:val="01CE7107"/>
    <w:rsid w:val="02033A02"/>
    <w:rsid w:val="027E74CA"/>
    <w:rsid w:val="03846660"/>
    <w:rsid w:val="03946FB6"/>
    <w:rsid w:val="040E2447"/>
    <w:rsid w:val="04714CC0"/>
    <w:rsid w:val="04AD3F7A"/>
    <w:rsid w:val="04DB3C44"/>
    <w:rsid w:val="05E901FB"/>
    <w:rsid w:val="06025F00"/>
    <w:rsid w:val="06BC4688"/>
    <w:rsid w:val="06CC7423"/>
    <w:rsid w:val="07436F98"/>
    <w:rsid w:val="091740CA"/>
    <w:rsid w:val="099A4C40"/>
    <w:rsid w:val="0B0401B9"/>
    <w:rsid w:val="0B3722E9"/>
    <w:rsid w:val="0B6F477F"/>
    <w:rsid w:val="0BE94AFA"/>
    <w:rsid w:val="0C114D3A"/>
    <w:rsid w:val="0C5305F4"/>
    <w:rsid w:val="0CE25932"/>
    <w:rsid w:val="0CF43C8A"/>
    <w:rsid w:val="0D4967B3"/>
    <w:rsid w:val="0DA87EC0"/>
    <w:rsid w:val="0E802E54"/>
    <w:rsid w:val="0E911E04"/>
    <w:rsid w:val="0F447B05"/>
    <w:rsid w:val="0FAB789B"/>
    <w:rsid w:val="0FE44295"/>
    <w:rsid w:val="0FEC3E14"/>
    <w:rsid w:val="10806873"/>
    <w:rsid w:val="11860F94"/>
    <w:rsid w:val="121B7F8B"/>
    <w:rsid w:val="12A53D1F"/>
    <w:rsid w:val="12F45FA8"/>
    <w:rsid w:val="12F655BF"/>
    <w:rsid w:val="134C146A"/>
    <w:rsid w:val="13D702FD"/>
    <w:rsid w:val="14377FD0"/>
    <w:rsid w:val="14856F74"/>
    <w:rsid w:val="148808AC"/>
    <w:rsid w:val="149C0C39"/>
    <w:rsid w:val="153C3623"/>
    <w:rsid w:val="158840E2"/>
    <w:rsid w:val="15C0748F"/>
    <w:rsid w:val="15D12138"/>
    <w:rsid w:val="15E47C88"/>
    <w:rsid w:val="16174E54"/>
    <w:rsid w:val="16BE53A8"/>
    <w:rsid w:val="16E37F6D"/>
    <w:rsid w:val="16EC742F"/>
    <w:rsid w:val="17480A93"/>
    <w:rsid w:val="17A35DDF"/>
    <w:rsid w:val="182F7669"/>
    <w:rsid w:val="18787EC5"/>
    <w:rsid w:val="18CC2B8B"/>
    <w:rsid w:val="18EF1C9B"/>
    <w:rsid w:val="19BF3DD7"/>
    <w:rsid w:val="19DA7DEE"/>
    <w:rsid w:val="19DC4E83"/>
    <w:rsid w:val="19E84073"/>
    <w:rsid w:val="1A7368C8"/>
    <w:rsid w:val="1A976BB9"/>
    <w:rsid w:val="1AE72CD3"/>
    <w:rsid w:val="1AEF3D03"/>
    <w:rsid w:val="1B7E0E69"/>
    <w:rsid w:val="1C136E65"/>
    <w:rsid w:val="1C4C4278"/>
    <w:rsid w:val="1C9E476B"/>
    <w:rsid w:val="1CA8000B"/>
    <w:rsid w:val="1CC031EA"/>
    <w:rsid w:val="1D1111C8"/>
    <w:rsid w:val="1D796A5E"/>
    <w:rsid w:val="1D800998"/>
    <w:rsid w:val="1D96232B"/>
    <w:rsid w:val="1DDF2CB1"/>
    <w:rsid w:val="1E6264E0"/>
    <w:rsid w:val="1EFA407E"/>
    <w:rsid w:val="1F126151"/>
    <w:rsid w:val="1F61417A"/>
    <w:rsid w:val="1F7B2EE6"/>
    <w:rsid w:val="1FF068CA"/>
    <w:rsid w:val="20363170"/>
    <w:rsid w:val="208A027D"/>
    <w:rsid w:val="214925D1"/>
    <w:rsid w:val="21B878C1"/>
    <w:rsid w:val="21DF74EB"/>
    <w:rsid w:val="22723962"/>
    <w:rsid w:val="22AD1641"/>
    <w:rsid w:val="23DD07B1"/>
    <w:rsid w:val="241C4DDC"/>
    <w:rsid w:val="24545B5D"/>
    <w:rsid w:val="24CD0EEF"/>
    <w:rsid w:val="24D067A5"/>
    <w:rsid w:val="25D030D9"/>
    <w:rsid w:val="26DA4AFE"/>
    <w:rsid w:val="27B95C35"/>
    <w:rsid w:val="27F25F7B"/>
    <w:rsid w:val="28DB3980"/>
    <w:rsid w:val="28F13D86"/>
    <w:rsid w:val="29204D61"/>
    <w:rsid w:val="29F349D6"/>
    <w:rsid w:val="29F563F0"/>
    <w:rsid w:val="2A897264"/>
    <w:rsid w:val="2A9A65A6"/>
    <w:rsid w:val="2AB10CDE"/>
    <w:rsid w:val="2B5E4C67"/>
    <w:rsid w:val="2B97780B"/>
    <w:rsid w:val="2CCB46E5"/>
    <w:rsid w:val="2D2410CF"/>
    <w:rsid w:val="2D344C00"/>
    <w:rsid w:val="2D923C8D"/>
    <w:rsid w:val="2E2A5CB9"/>
    <w:rsid w:val="2E6073FD"/>
    <w:rsid w:val="2E956FE0"/>
    <w:rsid w:val="2EA475C2"/>
    <w:rsid w:val="2F0C37CF"/>
    <w:rsid w:val="2F24002C"/>
    <w:rsid w:val="2F5A1514"/>
    <w:rsid w:val="2F6A6545"/>
    <w:rsid w:val="2FE77C32"/>
    <w:rsid w:val="302C0C9F"/>
    <w:rsid w:val="30C817CC"/>
    <w:rsid w:val="30C84030"/>
    <w:rsid w:val="30EC66DF"/>
    <w:rsid w:val="31727782"/>
    <w:rsid w:val="31AE15C3"/>
    <w:rsid w:val="31E60C8B"/>
    <w:rsid w:val="31FF6CE2"/>
    <w:rsid w:val="32456CC4"/>
    <w:rsid w:val="3311445F"/>
    <w:rsid w:val="33865CDD"/>
    <w:rsid w:val="345E6D06"/>
    <w:rsid w:val="34AC423B"/>
    <w:rsid w:val="34D15C68"/>
    <w:rsid w:val="353A3782"/>
    <w:rsid w:val="3542414B"/>
    <w:rsid w:val="35860E50"/>
    <w:rsid w:val="35BB3EF4"/>
    <w:rsid w:val="369C4E13"/>
    <w:rsid w:val="36A8469E"/>
    <w:rsid w:val="36B1619C"/>
    <w:rsid w:val="36F84CBD"/>
    <w:rsid w:val="384D7457"/>
    <w:rsid w:val="386B0FD9"/>
    <w:rsid w:val="3933479C"/>
    <w:rsid w:val="393869BB"/>
    <w:rsid w:val="396D1326"/>
    <w:rsid w:val="39BC21E0"/>
    <w:rsid w:val="39E4102F"/>
    <w:rsid w:val="3B5222CB"/>
    <w:rsid w:val="3BB5469A"/>
    <w:rsid w:val="3D9E4506"/>
    <w:rsid w:val="3DA60433"/>
    <w:rsid w:val="3ED50BDE"/>
    <w:rsid w:val="3EE1042C"/>
    <w:rsid w:val="3EE2552D"/>
    <w:rsid w:val="3F295722"/>
    <w:rsid w:val="408F1B38"/>
    <w:rsid w:val="4165602A"/>
    <w:rsid w:val="416B0F76"/>
    <w:rsid w:val="417E0D3F"/>
    <w:rsid w:val="42B40A8B"/>
    <w:rsid w:val="431472BE"/>
    <w:rsid w:val="43154769"/>
    <w:rsid w:val="43EB17DA"/>
    <w:rsid w:val="449E6649"/>
    <w:rsid w:val="450C4D75"/>
    <w:rsid w:val="46184524"/>
    <w:rsid w:val="46ED03C2"/>
    <w:rsid w:val="484F252F"/>
    <w:rsid w:val="4862180D"/>
    <w:rsid w:val="48CB7DE0"/>
    <w:rsid w:val="48DE3F2D"/>
    <w:rsid w:val="497F5F49"/>
    <w:rsid w:val="49E1340B"/>
    <w:rsid w:val="4A0237E4"/>
    <w:rsid w:val="4A8A1CA2"/>
    <w:rsid w:val="4B011028"/>
    <w:rsid w:val="4BF62B9B"/>
    <w:rsid w:val="4C661C38"/>
    <w:rsid w:val="4C695DDB"/>
    <w:rsid w:val="4C9A5EA5"/>
    <w:rsid w:val="4CDF3A61"/>
    <w:rsid w:val="4D1225FB"/>
    <w:rsid w:val="4D9A3B9B"/>
    <w:rsid w:val="4DD528AB"/>
    <w:rsid w:val="4DF026E8"/>
    <w:rsid w:val="4E003582"/>
    <w:rsid w:val="4E755E5F"/>
    <w:rsid w:val="4EE2079C"/>
    <w:rsid w:val="4F0E378C"/>
    <w:rsid w:val="4F3D6BB8"/>
    <w:rsid w:val="4F4E509D"/>
    <w:rsid w:val="503D5B3F"/>
    <w:rsid w:val="509715B3"/>
    <w:rsid w:val="51885345"/>
    <w:rsid w:val="52F40A7A"/>
    <w:rsid w:val="53AB37CE"/>
    <w:rsid w:val="54706EE3"/>
    <w:rsid w:val="54781D67"/>
    <w:rsid w:val="54BA6FAE"/>
    <w:rsid w:val="55013876"/>
    <w:rsid w:val="55297417"/>
    <w:rsid w:val="55527E49"/>
    <w:rsid w:val="555F515E"/>
    <w:rsid w:val="56B93F99"/>
    <w:rsid w:val="56C27DEF"/>
    <w:rsid w:val="56FA72B4"/>
    <w:rsid w:val="57322BDA"/>
    <w:rsid w:val="579529A0"/>
    <w:rsid w:val="58A62F16"/>
    <w:rsid w:val="58BE7A1C"/>
    <w:rsid w:val="59772169"/>
    <w:rsid w:val="5ABA692B"/>
    <w:rsid w:val="5B20154B"/>
    <w:rsid w:val="5C4C5F63"/>
    <w:rsid w:val="5CF30946"/>
    <w:rsid w:val="5D014110"/>
    <w:rsid w:val="5DA3099B"/>
    <w:rsid w:val="5DB11630"/>
    <w:rsid w:val="5E0A1CB3"/>
    <w:rsid w:val="5EB85928"/>
    <w:rsid w:val="5ED013E9"/>
    <w:rsid w:val="5F0437D4"/>
    <w:rsid w:val="5F563DE3"/>
    <w:rsid w:val="5FBE15F0"/>
    <w:rsid w:val="5FFE39FF"/>
    <w:rsid w:val="60090E87"/>
    <w:rsid w:val="60721153"/>
    <w:rsid w:val="60AD2485"/>
    <w:rsid w:val="61154026"/>
    <w:rsid w:val="616855EF"/>
    <w:rsid w:val="62B738DE"/>
    <w:rsid w:val="62C45871"/>
    <w:rsid w:val="62E269BE"/>
    <w:rsid w:val="63273FE2"/>
    <w:rsid w:val="633C4553"/>
    <w:rsid w:val="635E1DC8"/>
    <w:rsid w:val="63B306FF"/>
    <w:rsid w:val="63DB6CD0"/>
    <w:rsid w:val="63F8153B"/>
    <w:rsid w:val="648A3DC7"/>
    <w:rsid w:val="64986500"/>
    <w:rsid w:val="64E84C0B"/>
    <w:rsid w:val="666A2CEB"/>
    <w:rsid w:val="666C3C15"/>
    <w:rsid w:val="66B5037B"/>
    <w:rsid w:val="66BF71C4"/>
    <w:rsid w:val="676F0FA5"/>
    <w:rsid w:val="67BF0790"/>
    <w:rsid w:val="680A63DF"/>
    <w:rsid w:val="68A1291D"/>
    <w:rsid w:val="68B76BCA"/>
    <w:rsid w:val="68D12C7B"/>
    <w:rsid w:val="68EA387A"/>
    <w:rsid w:val="68FC3CE7"/>
    <w:rsid w:val="693646B5"/>
    <w:rsid w:val="69B721C8"/>
    <w:rsid w:val="69D35D2D"/>
    <w:rsid w:val="69D45F41"/>
    <w:rsid w:val="6A9B3230"/>
    <w:rsid w:val="6AB6350D"/>
    <w:rsid w:val="6BEE5365"/>
    <w:rsid w:val="6D833919"/>
    <w:rsid w:val="6E0C603E"/>
    <w:rsid w:val="6E5720A4"/>
    <w:rsid w:val="6F100594"/>
    <w:rsid w:val="6F3E221D"/>
    <w:rsid w:val="6F657C10"/>
    <w:rsid w:val="6FAF1154"/>
    <w:rsid w:val="6FB05B67"/>
    <w:rsid w:val="7003626C"/>
    <w:rsid w:val="70241AA7"/>
    <w:rsid w:val="705F3713"/>
    <w:rsid w:val="707E05FA"/>
    <w:rsid w:val="73041F38"/>
    <w:rsid w:val="73222030"/>
    <w:rsid w:val="73580236"/>
    <w:rsid w:val="738003D8"/>
    <w:rsid w:val="76552FDB"/>
    <w:rsid w:val="76B722F6"/>
    <w:rsid w:val="76EC3085"/>
    <w:rsid w:val="77A46809"/>
    <w:rsid w:val="77EE4ADF"/>
    <w:rsid w:val="78B57F31"/>
    <w:rsid w:val="78ED11E9"/>
    <w:rsid w:val="79C42846"/>
    <w:rsid w:val="7A123434"/>
    <w:rsid w:val="7A5B26E7"/>
    <w:rsid w:val="7A610B9B"/>
    <w:rsid w:val="7A6275CC"/>
    <w:rsid w:val="7AB768AA"/>
    <w:rsid w:val="7AFA5663"/>
    <w:rsid w:val="7BF65A6C"/>
    <w:rsid w:val="7C686567"/>
    <w:rsid w:val="7CE0598F"/>
    <w:rsid w:val="7D0B1632"/>
    <w:rsid w:val="7DA37707"/>
    <w:rsid w:val="7DAB739D"/>
    <w:rsid w:val="7DE5123F"/>
    <w:rsid w:val="7E565709"/>
    <w:rsid w:val="7E9D55BD"/>
    <w:rsid w:val="7EBB4BE7"/>
    <w:rsid w:val="7EF316DC"/>
    <w:rsid w:val="7F6A4D24"/>
    <w:rsid w:val="7FBF1496"/>
    <w:rsid w:val="7FDA4D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0"/>
    <w:pPr>
      <w:spacing w:beforeAutospacing="1" w:afterAutospacing="1"/>
      <w:jc w:val="left"/>
      <w:outlineLvl w:val="2"/>
    </w:pPr>
    <w:rPr>
      <w:rFonts w:hint="eastAsia" w:ascii="宋体" w:hAnsi="宋体"/>
      <w:b/>
      <w:kern w:val="0"/>
      <w:sz w:val="27"/>
      <w:szCs w:val="27"/>
    </w:rPr>
  </w:style>
  <w:style w:type="character" w:default="1" w:styleId="10">
    <w:name w:val="Default Paragraph Font"/>
    <w:semiHidden/>
    <w:unhideWhenUsed/>
    <w:qFormat/>
    <w:uiPriority w:val="1"/>
  </w:style>
  <w:style w:type="table" w:default="1" w:styleId="8">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3">
    <w:name w:val="Document Map"/>
    <w:basedOn w:val="1"/>
    <w:link w:val="18"/>
    <w:qFormat/>
    <w:uiPriority w:val="0"/>
    <w:rPr>
      <w:rFonts w:ascii="宋体"/>
      <w:sz w:val="18"/>
      <w:szCs w:val="18"/>
    </w:rPr>
  </w:style>
  <w:style w:type="paragraph" w:styleId="4">
    <w:name w:val="Balloon Text"/>
    <w:basedOn w:val="1"/>
    <w:link w:val="17"/>
    <w:qFormat/>
    <w:uiPriority w:val="0"/>
    <w:rPr>
      <w:sz w:val="18"/>
      <w:szCs w:val="18"/>
    </w:rPr>
  </w:style>
  <w:style w:type="paragraph" w:styleId="5">
    <w:name w:val="footer"/>
    <w:basedOn w:val="1"/>
    <w:link w:val="16"/>
    <w:qFormat/>
    <w:uiPriority w:val="0"/>
    <w:pPr>
      <w:tabs>
        <w:tab w:val="center" w:pos="4153"/>
        <w:tab w:val="right" w:pos="8306"/>
      </w:tabs>
      <w:snapToGrid w:val="0"/>
      <w:jc w:val="left"/>
    </w:pPr>
    <w:rPr>
      <w:sz w:val="18"/>
      <w:szCs w:val="18"/>
    </w:rPr>
  </w:style>
  <w:style w:type="paragraph" w:styleId="6">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9">
    <w:name w:val="Table Grid"/>
    <w:basedOn w:val="8"/>
    <w:unhideWhenUsed/>
    <w:qFormat/>
    <w:uiPriority w:val="9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0"/>
    <w:rPr>
      <w:b/>
    </w:rPr>
  </w:style>
  <w:style w:type="paragraph" w:styleId="12">
    <w:name w:val="List Paragraph"/>
    <w:basedOn w:val="1"/>
    <w:qFormat/>
    <w:uiPriority w:val="34"/>
    <w:pPr>
      <w:ind w:firstLine="420" w:firstLineChars="200"/>
    </w:pPr>
    <w:rPr>
      <w:szCs w:val="22"/>
    </w:rPr>
  </w:style>
  <w:style w:type="paragraph" w:customStyle="1" w:styleId="13">
    <w:name w:val="标准文件_段"/>
    <w:link w:val="1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14">
    <w:name w:val="标准文件_段 Char"/>
    <w:link w:val="13"/>
    <w:qFormat/>
    <w:uiPriority w:val="0"/>
    <w:rPr>
      <w:rFonts w:ascii="宋体"/>
      <w:sz w:val="21"/>
    </w:rPr>
  </w:style>
  <w:style w:type="character" w:customStyle="1" w:styleId="15">
    <w:name w:val="页眉 字符"/>
    <w:basedOn w:val="10"/>
    <w:link w:val="6"/>
    <w:qFormat/>
    <w:uiPriority w:val="0"/>
    <w:rPr>
      <w:rFonts w:ascii="Times New Roman" w:hAnsi="Times New Roman"/>
      <w:kern w:val="2"/>
      <w:sz w:val="18"/>
      <w:szCs w:val="18"/>
    </w:rPr>
  </w:style>
  <w:style w:type="character" w:customStyle="1" w:styleId="16">
    <w:name w:val="页脚 字符"/>
    <w:basedOn w:val="10"/>
    <w:link w:val="5"/>
    <w:qFormat/>
    <w:uiPriority w:val="0"/>
    <w:rPr>
      <w:rFonts w:ascii="Times New Roman" w:hAnsi="Times New Roman"/>
      <w:kern w:val="2"/>
      <w:sz w:val="18"/>
      <w:szCs w:val="18"/>
    </w:rPr>
  </w:style>
  <w:style w:type="character" w:customStyle="1" w:styleId="17">
    <w:name w:val="批注框文本 字符"/>
    <w:basedOn w:val="10"/>
    <w:link w:val="4"/>
    <w:qFormat/>
    <w:uiPriority w:val="0"/>
    <w:rPr>
      <w:rFonts w:ascii="Times New Roman" w:hAnsi="Times New Roman"/>
      <w:kern w:val="2"/>
      <w:sz w:val="18"/>
      <w:szCs w:val="18"/>
    </w:rPr>
  </w:style>
  <w:style w:type="character" w:customStyle="1" w:styleId="18">
    <w:name w:val="文档结构图 字符"/>
    <w:basedOn w:val="10"/>
    <w:link w:val="3"/>
    <w:qFormat/>
    <w:uiPriority w:val="0"/>
    <w:rPr>
      <w:rFonts w:ascii="宋体"/>
      <w:kern w:val="2"/>
      <w:sz w:val="18"/>
      <w:szCs w:val="18"/>
    </w:rPr>
  </w:style>
  <w:style w:type="paragraph" w:customStyle="1" w:styleId="19">
    <w:name w:val="标准文件_二级条标题"/>
    <w:next w:val="13"/>
    <w:qFormat/>
    <w:uiPriority w:val="0"/>
    <w:pPr>
      <w:widowControl w:val="0"/>
      <w:numPr>
        <w:ilvl w:val="3"/>
        <w:numId w:val="1"/>
      </w:numPr>
      <w:spacing w:beforeLines="50" w:afterLines="50"/>
      <w:jc w:val="both"/>
      <w:outlineLvl w:val="2"/>
    </w:pPr>
    <w:rPr>
      <w:rFonts w:ascii="黑体" w:hAnsi="Times New Roman" w:eastAsia="黑体" w:cs="Times New Roman"/>
      <w:sz w:val="21"/>
      <w:lang w:val="en-US" w:eastAsia="zh-CN" w:bidi="ar-SA"/>
    </w:rPr>
  </w:style>
  <w:style w:type="paragraph" w:customStyle="1" w:styleId="20">
    <w:name w:val="标准文件_三级条标题"/>
    <w:basedOn w:val="19"/>
    <w:next w:val="13"/>
    <w:qFormat/>
    <w:uiPriority w:val="0"/>
    <w:pPr>
      <w:widowControl/>
      <w:numPr>
        <w:ilvl w:val="4"/>
      </w:numPr>
      <w:outlineLvl w:val="3"/>
    </w:pPr>
  </w:style>
  <w:style w:type="paragraph" w:customStyle="1" w:styleId="21">
    <w:name w:val="标准文件_四级条标题"/>
    <w:next w:val="13"/>
    <w:qFormat/>
    <w:uiPriority w:val="0"/>
    <w:pPr>
      <w:widowControl w:val="0"/>
      <w:numPr>
        <w:ilvl w:val="5"/>
        <w:numId w:val="1"/>
      </w:numPr>
      <w:spacing w:beforeLines="50" w:afterLines="50"/>
      <w:jc w:val="both"/>
      <w:outlineLvl w:val="4"/>
    </w:pPr>
    <w:rPr>
      <w:rFonts w:ascii="黑体" w:hAnsi="Times New Roman" w:eastAsia="黑体" w:cs="Times New Roman"/>
      <w:sz w:val="21"/>
      <w:lang w:val="en-US" w:eastAsia="zh-CN" w:bidi="ar-SA"/>
    </w:rPr>
  </w:style>
  <w:style w:type="paragraph" w:customStyle="1" w:styleId="22">
    <w:name w:val="标准文件_五级条标题"/>
    <w:next w:val="13"/>
    <w:qFormat/>
    <w:uiPriority w:val="0"/>
    <w:pPr>
      <w:widowControl w:val="0"/>
      <w:numPr>
        <w:ilvl w:val="6"/>
        <w:numId w:val="1"/>
      </w:numPr>
      <w:spacing w:beforeLines="50" w:afterLines="50"/>
      <w:jc w:val="both"/>
      <w:outlineLvl w:val="5"/>
    </w:pPr>
    <w:rPr>
      <w:rFonts w:ascii="黑体" w:hAnsi="Times New Roman" w:eastAsia="黑体" w:cs="Times New Roman"/>
      <w:sz w:val="21"/>
      <w:lang w:val="en-US" w:eastAsia="zh-CN" w:bidi="ar-SA"/>
    </w:rPr>
  </w:style>
  <w:style w:type="paragraph" w:customStyle="1" w:styleId="23">
    <w:name w:val="标准文件_章标题"/>
    <w:next w:val="13"/>
    <w:qFormat/>
    <w:uiPriority w:val="0"/>
    <w:pPr>
      <w:numPr>
        <w:ilvl w:val="1"/>
        <w:numId w:val="1"/>
      </w:numPr>
      <w:spacing w:beforeLines="100" w:afterLines="100"/>
      <w:jc w:val="both"/>
      <w:outlineLvl w:val="0"/>
    </w:pPr>
    <w:rPr>
      <w:rFonts w:ascii="黑体" w:hAnsi="Times New Roman" w:eastAsia="黑体" w:cs="Times New Roman"/>
      <w:sz w:val="21"/>
      <w:lang w:val="en-US" w:eastAsia="zh-CN" w:bidi="ar-SA"/>
    </w:rPr>
  </w:style>
  <w:style w:type="paragraph" w:customStyle="1" w:styleId="24">
    <w:name w:val="标准文件_一级条标题"/>
    <w:basedOn w:val="23"/>
    <w:next w:val="13"/>
    <w:qFormat/>
    <w:uiPriority w:val="0"/>
    <w:pPr>
      <w:numPr>
        <w:ilvl w:val="2"/>
      </w:numPr>
      <w:spacing w:beforeLines="50" w:afterLines="50"/>
      <w:outlineLvl w:val="1"/>
    </w:pPr>
  </w:style>
  <w:style w:type="paragraph" w:customStyle="1" w:styleId="25">
    <w:name w:val="前言标题"/>
    <w:next w:val="1"/>
    <w:qFormat/>
    <w:uiPriority w:val="0"/>
    <w:pPr>
      <w:numPr>
        <w:ilvl w:val="0"/>
        <w:numId w:val="1"/>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26">
    <w:name w:val="标准文件_术语条一"/>
    <w:basedOn w:val="1"/>
    <w:next w:val="13"/>
    <w:qFormat/>
    <w:uiPriority w:val="0"/>
    <w:pPr>
      <w:widowControl/>
      <w:numPr>
        <w:ilvl w:val="2"/>
        <w:numId w:val="2"/>
      </w:numPr>
    </w:pPr>
    <w:rPr>
      <w:rFonts w:ascii="宋体"/>
      <w:kern w:val="0"/>
      <w:szCs w:val="20"/>
    </w:rPr>
  </w:style>
  <w:style w:type="paragraph" w:customStyle="1" w:styleId="27">
    <w:name w:val="列项——（一级）"/>
    <w:qFormat/>
    <w:uiPriority w:val="0"/>
    <w:pPr>
      <w:widowControl w:val="0"/>
      <w:numPr>
        <w:ilvl w:val="0"/>
        <w:numId w:val="3"/>
      </w:numPr>
      <w:jc w:val="both"/>
    </w:pPr>
    <w:rPr>
      <w:rFonts w:ascii="宋体" w:hAnsi="Times New Roman" w:eastAsia="宋体" w:cs="Times New Roman"/>
      <w:sz w:val="21"/>
      <w:lang w:val="en-US" w:eastAsia="zh-CN" w:bidi="ar-SA"/>
    </w:rPr>
  </w:style>
  <w:style w:type="character" w:customStyle="1" w:styleId="28">
    <w:name w:val="font21"/>
    <w:basedOn w:val="10"/>
    <w:qFormat/>
    <w:uiPriority w:val="0"/>
    <w:rPr>
      <w:rFonts w:hint="eastAsia" w:ascii="等线" w:hAnsi="等线" w:eastAsia="等线"/>
      <w:color w:val="FF0000"/>
      <w:sz w:val="20"/>
      <w:szCs w:val="20"/>
      <w:u w:val="none"/>
    </w:rPr>
  </w:style>
  <w:style w:type="character" w:customStyle="1" w:styleId="29">
    <w:name w:val="font01"/>
    <w:basedOn w:val="10"/>
    <w:qFormat/>
    <w:uiPriority w:val="0"/>
    <w:rPr>
      <w:rFonts w:hint="eastAsia" w:ascii="等线" w:hAnsi="等线" w:eastAsia="等线"/>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89A769-1F83-43BB-9EA6-3E14933BBB2E}">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14</Pages>
  <Words>1017</Words>
  <Characters>5802</Characters>
  <Lines>48</Lines>
  <Paragraphs>13</Paragraphs>
  <TotalTime>2</TotalTime>
  <ScaleCrop>false</ScaleCrop>
  <LinksUpToDate>false</LinksUpToDate>
  <CharactersWithSpaces>6806</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2021-11-23T02:52:00Z</dcterms:created>
  <dc:creator>Administrator</dc:creator>
  <cp:lastModifiedBy>Crazy——林仔</cp:lastModifiedBy>
  <dcterms:modified xsi:type="dcterms:W3CDTF">2022-03-01T02:18:01Z</dcterms:modified>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9E9A9BDCCD0F4BB4B780F1C67A16302C</vt:lpwstr>
  </property>
</Properties>
</file>