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团体标准《</w:t>
      </w:r>
      <w:r>
        <w:rPr>
          <w:rFonts w:hint="eastAsia" w:ascii="方正小标宋简体" w:hAnsi="方正小标宋简体" w:eastAsia="方正小标宋简体" w:cs="方正小标宋简体"/>
          <w:sz w:val="44"/>
          <w:szCs w:val="44"/>
          <w:lang w:eastAsia="zh-CN"/>
        </w:rPr>
        <w:t>绿化植物废弃物资源化处理技术规程</w:t>
      </w:r>
      <w:r>
        <w:rPr>
          <w:rFonts w:hint="eastAsia" w:ascii="方正小标宋简体" w:hAnsi="方正小标宋简体" w:eastAsia="方正小标宋简体" w:cs="方正小标宋简体"/>
          <w:sz w:val="44"/>
          <w:szCs w:val="44"/>
        </w:rPr>
        <w:t>》（征求意见稿）编制说明</w:t>
      </w:r>
    </w:p>
    <w:p>
      <w:pPr>
        <w:spacing w:beforeLines="50"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一、项目来源</w:t>
      </w:r>
    </w:p>
    <w:p>
      <w:pPr>
        <w:spacing w:line="560" w:lineRule="exact"/>
        <w:ind w:firstLine="640" w:firstLineChars="200"/>
        <w:rPr>
          <w:rFonts w:hint="eastAsia" w:ascii="Times New Roman" w:hAnsi="Times New Roman" w:eastAsia="仿宋_GB2312"/>
          <w:sz w:val="32"/>
          <w:szCs w:val="28"/>
          <w:lang w:val="zh-CN"/>
        </w:rPr>
      </w:pPr>
      <w:r>
        <w:rPr>
          <w:rFonts w:hint="eastAsia" w:ascii="Times New Roman" w:hAnsi="Times New Roman" w:eastAsia="仿宋_GB2312"/>
          <w:sz w:val="32"/>
          <w:szCs w:val="28"/>
          <w:lang w:val="zh-CN"/>
        </w:rPr>
        <w:t>本标准的研究基础来源于 201</w:t>
      </w:r>
      <w:r>
        <w:rPr>
          <w:rFonts w:hint="eastAsia" w:ascii="Times New Roman" w:hAnsi="Times New Roman" w:eastAsia="仿宋_GB2312"/>
          <w:sz w:val="32"/>
          <w:szCs w:val="28"/>
          <w:lang w:val="en-US" w:eastAsia="zh-CN"/>
        </w:rPr>
        <w:t>9</w:t>
      </w:r>
      <w:r>
        <w:rPr>
          <w:rFonts w:hint="eastAsia" w:ascii="Times New Roman" w:hAnsi="Times New Roman" w:eastAsia="仿宋_GB2312"/>
          <w:sz w:val="32"/>
          <w:szCs w:val="28"/>
          <w:lang w:val="zh-CN"/>
        </w:rPr>
        <w:t xml:space="preserve"> 年度立项的南宁市重点研发计划项目《南宁市绿化植物废弃物资源化处理关键技术研究和应用》（20193112号），在项目研究的基础上，202</w:t>
      </w:r>
      <w:r>
        <w:rPr>
          <w:rFonts w:hint="eastAsia" w:ascii="Times New Roman" w:hAnsi="Times New Roman" w:eastAsia="仿宋_GB2312"/>
          <w:sz w:val="32"/>
          <w:szCs w:val="28"/>
          <w:lang w:val="en-US" w:eastAsia="zh-CN"/>
        </w:rPr>
        <w:t>1</w:t>
      </w:r>
      <w:r>
        <w:rPr>
          <w:rFonts w:hint="eastAsia" w:ascii="Times New Roman" w:hAnsi="Times New Roman" w:eastAsia="仿宋_GB2312"/>
          <w:sz w:val="32"/>
          <w:szCs w:val="28"/>
          <w:lang w:val="zh-CN"/>
        </w:rPr>
        <w:t xml:space="preserve"> 年 </w:t>
      </w:r>
      <w:r>
        <w:rPr>
          <w:rFonts w:hint="eastAsia" w:ascii="Times New Roman" w:hAnsi="Times New Roman" w:eastAsia="仿宋_GB2312"/>
          <w:sz w:val="32"/>
          <w:szCs w:val="28"/>
          <w:lang w:val="en-US" w:eastAsia="zh-CN"/>
        </w:rPr>
        <w:t>9</w:t>
      </w:r>
      <w:r>
        <w:rPr>
          <w:rFonts w:hint="eastAsia" w:ascii="Times New Roman" w:hAnsi="Times New Roman" w:eastAsia="仿宋_GB2312"/>
          <w:sz w:val="32"/>
          <w:szCs w:val="28"/>
          <w:lang w:val="zh-CN"/>
        </w:rPr>
        <w:t>月，本标准起草单位向</w:t>
      </w:r>
      <w:r>
        <w:rPr>
          <w:rFonts w:hint="eastAsia" w:ascii="Times New Roman" w:hAnsi="Times New Roman" w:eastAsia="仿宋_GB2312"/>
          <w:sz w:val="32"/>
          <w:szCs w:val="28"/>
          <w:lang w:val="zh-CN" w:eastAsia="zh-CN"/>
        </w:rPr>
        <w:t>广西标准化协会</w:t>
      </w:r>
      <w:r>
        <w:rPr>
          <w:rFonts w:hint="eastAsia" w:ascii="Times New Roman" w:hAnsi="Times New Roman" w:eastAsia="仿宋_GB2312"/>
          <w:sz w:val="32"/>
          <w:szCs w:val="28"/>
          <w:lang w:val="zh-CN"/>
        </w:rPr>
        <w:t>申报《</w:t>
      </w:r>
      <w:r>
        <w:rPr>
          <w:rFonts w:hint="eastAsia" w:ascii="Times New Roman" w:hAnsi="Times New Roman" w:eastAsia="仿宋_GB2312"/>
          <w:sz w:val="32"/>
          <w:szCs w:val="28"/>
          <w:lang w:val="zh-CN" w:eastAsia="zh-CN"/>
        </w:rPr>
        <w:t>绿化植物废弃物资源化处理技术规程</w:t>
      </w:r>
      <w:r>
        <w:rPr>
          <w:rFonts w:hint="eastAsia" w:ascii="Times New Roman" w:hAnsi="Times New Roman" w:eastAsia="仿宋_GB2312"/>
          <w:sz w:val="32"/>
          <w:szCs w:val="28"/>
          <w:lang w:val="zh-CN"/>
        </w:rPr>
        <w:t>》</w:t>
      </w:r>
      <w:r>
        <w:rPr>
          <w:rFonts w:hint="eastAsia" w:ascii="Times New Roman" w:hAnsi="Times New Roman" w:eastAsia="仿宋_GB2312"/>
          <w:sz w:val="32"/>
          <w:szCs w:val="28"/>
          <w:lang w:val="en-US" w:eastAsia="zh-CN"/>
        </w:rPr>
        <w:t>团体</w:t>
      </w:r>
      <w:r>
        <w:rPr>
          <w:rFonts w:hint="eastAsia" w:ascii="Times New Roman" w:hAnsi="Times New Roman" w:eastAsia="仿宋_GB2312"/>
          <w:sz w:val="32"/>
          <w:szCs w:val="28"/>
          <w:lang w:val="zh-CN"/>
        </w:rPr>
        <w:t xml:space="preserve">标准的制定项目。2021 年 </w:t>
      </w:r>
      <w:r>
        <w:rPr>
          <w:rFonts w:hint="eastAsia" w:ascii="Times New Roman" w:hAnsi="Times New Roman" w:eastAsia="仿宋_GB2312"/>
          <w:sz w:val="32"/>
          <w:szCs w:val="28"/>
          <w:lang w:val="en-US" w:eastAsia="zh-CN"/>
        </w:rPr>
        <w:t>10</w:t>
      </w:r>
      <w:r>
        <w:rPr>
          <w:rFonts w:hint="eastAsia" w:ascii="Times New Roman" w:hAnsi="Times New Roman" w:eastAsia="仿宋_GB2312"/>
          <w:sz w:val="32"/>
          <w:szCs w:val="28"/>
          <w:lang w:val="zh-CN"/>
        </w:rPr>
        <w:t xml:space="preserve"> 月，</w:t>
      </w:r>
      <w:r>
        <w:rPr>
          <w:rFonts w:hint="eastAsia" w:ascii="Times New Roman" w:hAnsi="Times New Roman" w:eastAsia="仿宋_GB2312"/>
          <w:sz w:val="32"/>
          <w:szCs w:val="28"/>
          <w:lang w:val="zh-CN" w:eastAsia="zh-CN"/>
        </w:rPr>
        <w:t>广西标准化协会</w:t>
      </w:r>
      <w:r>
        <w:rPr>
          <w:rFonts w:hint="eastAsia" w:ascii="Times New Roman" w:hAnsi="Times New Roman" w:eastAsia="仿宋_GB2312"/>
          <w:sz w:val="32"/>
          <w:szCs w:val="28"/>
          <w:lang w:val="zh-CN"/>
        </w:rPr>
        <w:t>发布《</w:t>
      </w:r>
      <w:r>
        <w:rPr>
          <w:rFonts w:hint="eastAsia" w:ascii="Times New Roman" w:hAnsi="Times New Roman" w:eastAsia="仿宋_GB2312"/>
          <w:sz w:val="32"/>
          <w:szCs w:val="28"/>
          <w:lang w:val="zh-CN" w:eastAsia="zh-CN"/>
        </w:rPr>
        <w:t>广西标准化协会已下达2021年第三十五批团体标准制修订计划</w:t>
      </w:r>
      <w:r>
        <w:rPr>
          <w:rFonts w:hint="eastAsia" w:ascii="Times New Roman" w:hAnsi="Times New Roman" w:eastAsia="仿宋_GB2312"/>
          <w:sz w:val="32"/>
          <w:szCs w:val="28"/>
          <w:lang w:val="zh-CN"/>
        </w:rPr>
        <w:t>的通知》（桂标协〔2021〕</w:t>
      </w:r>
      <w:r>
        <w:rPr>
          <w:rFonts w:hint="eastAsia" w:ascii="Times New Roman" w:hAnsi="Times New Roman" w:eastAsia="仿宋_GB2312"/>
          <w:sz w:val="32"/>
          <w:szCs w:val="28"/>
          <w:lang w:val="en-US" w:eastAsia="zh-CN"/>
        </w:rPr>
        <w:t>93</w:t>
      </w:r>
      <w:r>
        <w:rPr>
          <w:rFonts w:hint="eastAsia" w:ascii="Times New Roman" w:hAnsi="Times New Roman" w:eastAsia="仿宋_GB2312"/>
          <w:sz w:val="32"/>
          <w:szCs w:val="28"/>
          <w:lang w:val="zh-CN"/>
        </w:rPr>
        <w:t xml:space="preserve"> 号），同意立项，项目计划编号“</w:t>
      </w:r>
      <w:r>
        <w:rPr>
          <w:rFonts w:hint="eastAsia" w:ascii="Times New Roman" w:hAnsi="Times New Roman" w:eastAsia="仿宋_GB2312" w:cs="宋体"/>
          <w:color w:val="000000"/>
          <w:kern w:val="0"/>
          <w:sz w:val="32"/>
          <w:szCs w:val="30"/>
          <w:lang w:val="en-US" w:eastAsia="zh-CN"/>
        </w:rPr>
        <w:t>2021-3501</w:t>
      </w:r>
      <w:r>
        <w:rPr>
          <w:rFonts w:hint="eastAsia" w:ascii="Times New Roman" w:hAnsi="Times New Roman" w:eastAsia="仿宋_GB2312"/>
          <w:sz w:val="32"/>
          <w:szCs w:val="28"/>
          <w:lang w:val="zh-CN"/>
        </w:rPr>
        <w:t>”。</w:t>
      </w:r>
    </w:p>
    <w:p>
      <w:pPr>
        <w:numPr>
          <w:ilvl w:val="0"/>
          <w:numId w:val="5"/>
        </w:numPr>
        <w:spacing w:beforeLines="50" w:afterLines="50"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项目背景及目的意义</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国家中长期科学和技术发展规划纲要(2006—2020年)》把“综合治污与废弃物循环利用”和“农林生物质综合开发利用”列为优先主题，重点研究“开发高效、低成本、大规模农林生物质的培育、收集与转化关键技术”。《国务院关于深入推进新型城镇化建设的若干意见》（国发〔2016〕8号）指出，要全面提升城市功能，推动新型城市建设，基本建立城市废弃物回收和再生利用体系。提升城市废弃物精细管理水平，通过资源高效利用支撑城市绿色发展，是新型城镇化建设的必然要求。2018年12月 29日，国务院办公厅印发的《“无废城市”建设试点工作方案》中明确提出，“无废城市”是以创新、协调、绿色、开放、共享的新发展理念为引领，通过推动形成绿色发展</w:t>
      </w:r>
      <w:r>
        <w:rPr>
          <w:rFonts w:hint="eastAsia" w:ascii="仿宋_GB2312" w:hAnsi="宋体" w:eastAsia="仿宋_GB2312"/>
          <w:sz w:val="32"/>
          <w:szCs w:val="28"/>
          <w:lang w:val="zh-CN" w:eastAsia="zh-CN"/>
        </w:rPr>
        <w:t>方式</w:t>
      </w:r>
      <w:r>
        <w:rPr>
          <w:rFonts w:hint="eastAsia" w:ascii="仿宋_GB2312" w:hAnsi="宋体" w:eastAsia="仿宋_GB2312"/>
          <w:sz w:val="32"/>
          <w:szCs w:val="28"/>
          <w:lang w:val="zh-CN"/>
        </w:rPr>
        <w:t>和生活方式，持续推进固体废物源头减量和资源化利用，最大限度减少填埋量，将固体废物环境影响降至最低的城市发展模式,旨在最终实现整个城市固体废物产生量最小、资源化利用充分、处置安全的目标。《中华人民共和国国民经济和社会发展第十四个五年规划和2035年远景目标纲要》明确提出“加快推动绿色低碳发展”。因此，减少“碳排放”、建设“资源节约型、环境友好型”城市，需要我们高度重视对各种废弃资源的利用，寻求农林有机废弃物的减量化、无害化、资源化再循环利用的新模式迫在眉睫。将绿化植物废弃物在内的农林有机废弃物进行资源化再利用是实现有机废弃物可持续发展的内在要求，也是必然趋势，不仅可以使其在园林生态系统内得到充分合理和重复利用，降低园林绿化活动对自然和城市环境造成的负面影响，也为园林行业发展循环经济提供了一种新的实用模式。</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随着社会经济发展水平的不断提升，城市绿地总量不断增加，各类绿地养护管理精细化程度越来越高，随之产生的</w:t>
      </w:r>
      <w:r>
        <w:rPr>
          <w:rFonts w:hint="eastAsia" w:ascii="仿宋_GB2312" w:hAnsi="宋体" w:eastAsia="仿宋_GB2312"/>
          <w:sz w:val="32"/>
          <w:szCs w:val="28"/>
          <w:lang w:val="zh-CN" w:eastAsia="zh-CN"/>
        </w:rPr>
        <w:t>绿化</w:t>
      </w:r>
      <w:r>
        <w:rPr>
          <w:rFonts w:hint="eastAsia" w:ascii="仿宋_GB2312" w:hAnsi="宋体" w:eastAsia="仿宋_GB2312"/>
          <w:sz w:val="32"/>
          <w:szCs w:val="28"/>
          <w:lang w:val="en-US" w:eastAsia="zh-CN"/>
        </w:rPr>
        <w:t>植物</w:t>
      </w:r>
      <w:r>
        <w:rPr>
          <w:rFonts w:hint="eastAsia" w:ascii="仿宋_GB2312" w:hAnsi="宋体" w:eastAsia="仿宋_GB2312"/>
          <w:sz w:val="32"/>
          <w:szCs w:val="28"/>
          <w:lang w:val="zh-CN" w:eastAsia="zh-CN"/>
        </w:rPr>
        <w:t>废弃物</w:t>
      </w:r>
      <w:r>
        <w:rPr>
          <w:rFonts w:hint="eastAsia" w:ascii="仿宋_GB2312" w:hAnsi="宋体" w:eastAsia="仿宋_GB2312"/>
          <w:sz w:val="32"/>
          <w:szCs w:val="28"/>
          <w:lang w:val="zh-CN"/>
        </w:rPr>
        <w:t>数量也急剧增加，</w:t>
      </w:r>
      <w:r>
        <w:rPr>
          <w:rFonts w:hint="eastAsia" w:ascii="仿宋_GB2312" w:hAnsi="宋体" w:eastAsia="仿宋_GB2312"/>
          <w:sz w:val="32"/>
          <w:szCs w:val="28"/>
          <w:lang w:val="zh-CN" w:eastAsia="zh-CN"/>
        </w:rPr>
        <w:t>绿化</w:t>
      </w:r>
      <w:r>
        <w:rPr>
          <w:rFonts w:hint="eastAsia" w:ascii="仿宋_GB2312" w:hAnsi="宋体" w:eastAsia="仿宋_GB2312"/>
          <w:sz w:val="32"/>
          <w:szCs w:val="28"/>
          <w:lang w:val="en-US" w:eastAsia="zh-CN"/>
        </w:rPr>
        <w:t>植物</w:t>
      </w:r>
      <w:r>
        <w:rPr>
          <w:rFonts w:hint="eastAsia" w:ascii="仿宋_GB2312" w:hAnsi="宋体" w:eastAsia="仿宋_GB2312"/>
          <w:sz w:val="32"/>
          <w:szCs w:val="28"/>
          <w:lang w:val="zh-CN" w:eastAsia="zh-CN"/>
        </w:rPr>
        <w:t>废弃物</w:t>
      </w:r>
      <w:r>
        <w:rPr>
          <w:rFonts w:hint="eastAsia" w:ascii="仿宋_GB2312" w:hAnsi="宋体" w:eastAsia="仿宋_GB2312"/>
          <w:sz w:val="32"/>
          <w:szCs w:val="28"/>
          <w:lang w:val="zh-CN"/>
        </w:rPr>
        <w:t>的处置与资源化循环利用日渐成为不可忽视的重要问题。2007年</w:t>
      </w:r>
      <w:r>
        <w:rPr>
          <w:rFonts w:hint="eastAsia" w:ascii="仿宋_GB2312" w:hAnsi="宋体" w:eastAsia="仿宋_GB2312"/>
          <w:sz w:val="32"/>
          <w:szCs w:val="28"/>
          <w:lang w:val="en-US" w:eastAsia="zh-CN"/>
        </w:rPr>
        <w:t>8月30日</w:t>
      </w:r>
      <w:r>
        <w:rPr>
          <w:rFonts w:hint="eastAsia" w:ascii="仿宋_GB2312" w:hAnsi="宋体" w:eastAsia="仿宋_GB2312"/>
          <w:sz w:val="32"/>
          <w:szCs w:val="28"/>
          <w:lang w:val="zh-CN"/>
        </w:rPr>
        <w:t>，我国原建设部颁布了《关于建设节约型城市园林绿化的意见》（建城[2007]215号），明确提出“鼓励通过堆肥、发展生物质燃料、有机营养基质和深加工等方式处理修剪的树枝，减少占用垃圾填埋库容，实现循环利用”。北京、上海、广州、杭州、南京等城市响应国家政策，积极推进</w:t>
      </w:r>
      <w:r>
        <w:rPr>
          <w:rFonts w:hint="eastAsia" w:ascii="仿宋_GB2312" w:hAnsi="宋体" w:eastAsia="仿宋_GB2312"/>
          <w:sz w:val="32"/>
          <w:szCs w:val="28"/>
          <w:lang w:val="zh-CN" w:eastAsia="zh-CN"/>
        </w:rPr>
        <w:t>绿化</w:t>
      </w:r>
      <w:r>
        <w:rPr>
          <w:rFonts w:hint="eastAsia" w:ascii="仿宋_GB2312" w:hAnsi="宋体" w:eastAsia="仿宋_GB2312"/>
          <w:sz w:val="32"/>
          <w:szCs w:val="28"/>
          <w:lang w:val="en-US" w:eastAsia="zh-CN"/>
        </w:rPr>
        <w:t>植物</w:t>
      </w:r>
      <w:r>
        <w:rPr>
          <w:rFonts w:hint="eastAsia" w:ascii="仿宋_GB2312" w:hAnsi="宋体" w:eastAsia="仿宋_GB2312"/>
          <w:sz w:val="32"/>
          <w:szCs w:val="28"/>
          <w:lang w:val="zh-CN" w:eastAsia="zh-CN"/>
        </w:rPr>
        <w:t>废弃物</w:t>
      </w:r>
      <w:r>
        <w:rPr>
          <w:rFonts w:hint="eastAsia" w:ascii="仿宋_GB2312" w:hAnsi="宋体" w:eastAsia="仿宋_GB2312"/>
          <w:sz w:val="32"/>
          <w:szCs w:val="28"/>
          <w:lang w:val="zh-CN"/>
        </w:rPr>
        <w:t>资源化处置。</w:t>
      </w:r>
      <w:r>
        <w:rPr>
          <w:rFonts w:hint="eastAsia" w:ascii="仿宋_GB2312" w:hAnsi="宋体" w:eastAsia="仿宋_GB2312"/>
          <w:sz w:val="32"/>
          <w:szCs w:val="28"/>
          <w:lang w:val="zh-CN" w:eastAsia="zh-CN"/>
        </w:rPr>
        <w:t>2015年，南宁市政府也投资在狮山公园东北侧边坡建立了7124平方米的南宁市绿化工程管理中心绿化树枝处理站，用于资源化处理市政道路园林绿化种植养护服务产生的绿化</w:t>
      </w:r>
      <w:r>
        <w:rPr>
          <w:rFonts w:hint="eastAsia" w:ascii="仿宋_GB2312" w:hAnsi="宋体" w:eastAsia="仿宋_GB2312"/>
          <w:sz w:val="32"/>
          <w:szCs w:val="28"/>
          <w:lang w:val="en-US" w:eastAsia="zh-CN"/>
        </w:rPr>
        <w:t>植物</w:t>
      </w:r>
      <w:r>
        <w:rPr>
          <w:rFonts w:hint="eastAsia" w:ascii="仿宋_GB2312" w:hAnsi="宋体" w:eastAsia="仿宋_GB2312"/>
          <w:sz w:val="32"/>
          <w:szCs w:val="28"/>
          <w:lang w:val="zh-CN" w:eastAsia="zh-CN"/>
        </w:rPr>
        <w:t xml:space="preserve">废弃物。 </w:t>
      </w:r>
    </w:p>
    <w:p>
      <w:pPr>
        <w:keepNext w:val="0"/>
        <w:keepLines w:val="0"/>
        <w:pageBreakBefore w:val="0"/>
        <w:kinsoku/>
        <w:wordWrap/>
        <w:overflowPunct/>
        <w:topLinePunct w:val="0"/>
        <w:autoSpaceDE/>
        <w:autoSpaceDN/>
        <w:bidi w:val="0"/>
        <w:adjustRightInd/>
        <w:snapToGrid/>
        <w:spacing w:line="240" w:lineRule="auto"/>
        <w:ind w:firstLine="640" w:firstLineChars="200"/>
        <w:jc w:val="both"/>
        <w:rPr>
          <w:rFonts w:hint="eastAsia" w:ascii="仿宋_GB2312" w:hAnsi="宋体" w:eastAsia="仿宋_GB2312"/>
          <w:sz w:val="32"/>
          <w:szCs w:val="28"/>
          <w:lang w:val="zh-CN" w:eastAsia="zh-CN"/>
        </w:rPr>
      </w:pPr>
      <w:r>
        <w:rPr>
          <w:rFonts w:hint="eastAsia" w:ascii="仿宋_GB2312" w:hAnsi="宋体" w:eastAsia="仿宋_GB2312"/>
          <w:sz w:val="32"/>
          <w:szCs w:val="28"/>
          <w:lang w:val="zh-CN" w:eastAsia="zh-CN"/>
        </w:rPr>
        <w:t>南宁</w:t>
      </w:r>
      <w:r>
        <w:rPr>
          <w:rFonts w:hint="eastAsia" w:ascii="仿宋_GB2312" w:hAnsi="宋体" w:eastAsia="仿宋_GB2312"/>
          <w:sz w:val="32"/>
          <w:szCs w:val="28"/>
          <w:lang w:val="zh-CN"/>
        </w:rPr>
        <w:t>地处中国</w:t>
      </w:r>
      <w:r>
        <w:rPr>
          <w:rFonts w:hint="eastAsia" w:ascii="仿宋_GB2312" w:hAnsi="宋体" w:eastAsia="仿宋_GB2312"/>
          <w:sz w:val="32"/>
          <w:szCs w:val="28"/>
          <w:lang w:val="zh-CN" w:eastAsia="zh-CN"/>
        </w:rPr>
        <w:t>华南地区、广西南部</w:t>
      </w:r>
      <w:r>
        <w:rPr>
          <w:rFonts w:hint="eastAsia" w:ascii="仿宋_GB2312" w:hAnsi="宋体" w:eastAsia="仿宋_GB2312"/>
          <w:sz w:val="32"/>
          <w:szCs w:val="28"/>
          <w:lang w:val="zh-CN"/>
        </w:rPr>
        <w:t>，</w:t>
      </w:r>
      <w:r>
        <w:rPr>
          <w:rFonts w:hint="eastAsia" w:ascii="仿宋_GB2312" w:hAnsi="宋体" w:eastAsia="仿宋_GB2312"/>
          <w:sz w:val="32"/>
          <w:szCs w:val="28"/>
          <w:lang w:val="zh-CN" w:eastAsia="zh-CN"/>
        </w:rPr>
        <w:t>是广西壮族自治区首府及广西政治、经济、文化中心，</w:t>
      </w:r>
      <w:r>
        <w:rPr>
          <w:rFonts w:hint="eastAsia" w:ascii="仿宋_GB2312" w:hAnsi="宋体" w:eastAsia="仿宋_GB2312"/>
          <w:sz w:val="32"/>
          <w:szCs w:val="28"/>
          <w:lang w:val="zh-CN"/>
        </w:rPr>
        <w:t>总面积</w:t>
      </w:r>
      <w:r>
        <w:rPr>
          <w:rFonts w:hint="eastAsia" w:ascii="仿宋_GB2312" w:hAnsi="宋体" w:eastAsia="仿宋_GB2312"/>
          <w:sz w:val="32"/>
          <w:szCs w:val="28"/>
          <w:lang w:val="en-US" w:eastAsia="zh-CN"/>
        </w:rPr>
        <w:t>22112</w:t>
      </w:r>
      <w:r>
        <w:rPr>
          <w:rFonts w:hint="eastAsia" w:ascii="仿宋_GB2312" w:hAnsi="宋体" w:eastAsia="仿宋_GB2312"/>
          <w:sz w:val="32"/>
          <w:szCs w:val="28"/>
          <w:lang w:val="zh-CN"/>
        </w:rPr>
        <w:t>平方公里，建成区面积</w:t>
      </w:r>
      <w:r>
        <w:rPr>
          <w:rFonts w:hint="eastAsia" w:ascii="仿宋_GB2312" w:hAnsi="宋体" w:eastAsia="仿宋_GB2312"/>
          <w:sz w:val="32"/>
          <w:szCs w:val="28"/>
          <w:lang w:val="en-US" w:eastAsia="zh-CN"/>
        </w:rPr>
        <w:t>242</w:t>
      </w:r>
      <w:r>
        <w:rPr>
          <w:rFonts w:hint="eastAsia" w:ascii="仿宋_GB2312" w:hAnsi="宋体" w:eastAsia="仿宋_GB2312"/>
          <w:sz w:val="32"/>
          <w:szCs w:val="28"/>
          <w:lang w:val="zh-CN"/>
        </w:rPr>
        <w:t>平方公里。</w:t>
      </w:r>
      <w:r>
        <w:rPr>
          <w:rFonts w:hint="eastAsia" w:ascii="仿宋_GB2312" w:hAnsi="宋体" w:eastAsia="仿宋_GB2312"/>
          <w:sz w:val="32"/>
          <w:szCs w:val="28"/>
          <w:lang w:val="zh-CN" w:eastAsia="zh-CN"/>
        </w:rPr>
        <w:t>南宁的</w:t>
      </w:r>
      <w:r>
        <w:rPr>
          <w:rFonts w:hint="eastAsia" w:ascii="仿宋_GB2312" w:hAnsi="宋体" w:eastAsia="仿宋_GB2312"/>
          <w:sz w:val="32"/>
          <w:szCs w:val="28"/>
          <w:lang w:val="zh-CN"/>
        </w:rPr>
        <w:t>绿化建设</w:t>
      </w:r>
      <w:r>
        <w:rPr>
          <w:rFonts w:hint="eastAsia" w:ascii="仿宋_GB2312" w:hAnsi="宋体" w:eastAsia="仿宋_GB2312"/>
          <w:sz w:val="32"/>
          <w:szCs w:val="28"/>
          <w:lang w:val="zh-CN" w:eastAsia="zh-CN"/>
        </w:rPr>
        <w:t>在国内</w:t>
      </w:r>
      <w:r>
        <w:rPr>
          <w:rFonts w:hint="eastAsia" w:ascii="仿宋_GB2312" w:hAnsi="宋体" w:eastAsia="仿宋_GB2312"/>
          <w:sz w:val="32"/>
          <w:szCs w:val="28"/>
          <w:lang w:val="zh-CN"/>
        </w:rPr>
        <w:t>处于领先水平</w:t>
      </w:r>
      <w:r>
        <w:rPr>
          <w:rFonts w:hint="eastAsia" w:ascii="仿宋_GB2312" w:hAnsi="宋体" w:eastAsia="仿宋_GB2312"/>
          <w:sz w:val="32"/>
          <w:szCs w:val="28"/>
          <w:lang w:val="zh-CN" w:eastAsia="zh-CN"/>
        </w:rPr>
        <w:t>，</w:t>
      </w:r>
      <w:r>
        <w:rPr>
          <w:rFonts w:hint="eastAsia" w:ascii="仿宋_GB2312" w:hAnsi="宋体" w:eastAsia="仿宋_GB2312"/>
          <w:sz w:val="32"/>
          <w:szCs w:val="28"/>
          <w:lang w:val="zh-CN"/>
        </w:rPr>
        <w:t>是名符其实的“中国绿城”。截止 2020 年底，全市建成区(含武鸣区)绿地率达到 35.15%、绿化覆盖率 40.90％、人均公园绿地面积 12.20 平方米/人。“十三五”期间新增公园绿地面积 962.5 公顷，新增绿道 231 公里，新增立体绿化约 42.3 万平方米</w:t>
      </w:r>
      <w:r>
        <w:rPr>
          <w:rFonts w:hint="eastAsia" w:ascii="仿宋_GB2312" w:hAnsi="宋体" w:eastAsia="仿宋_GB2312"/>
          <w:sz w:val="32"/>
          <w:szCs w:val="28"/>
          <w:lang w:val="zh-CN" w:eastAsia="zh-CN"/>
        </w:rPr>
        <w:t>。</w:t>
      </w:r>
      <w:r>
        <w:rPr>
          <w:rFonts w:hint="eastAsia" w:ascii="仿宋_GB2312" w:hAnsi="宋体" w:eastAsia="仿宋_GB2312"/>
          <w:sz w:val="32"/>
          <w:szCs w:val="28"/>
          <w:lang w:val="zh-CN"/>
        </w:rPr>
        <w:t>“十四五”绿化规划中，预计到2025年，建成区绿地率</w:t>
      </w:r>
      <w:r>
        <w:rPr>
          <w:rFonts w:hint="eastAsia" w:ascii="仿宋_GB2312" w:hAnsi="宋体" w:eastAsia="仿宋_GB2312"/>
          <w:sz w:val="32"/>
          <w:szCs w:val="28"/>
          <w:lang w:val="zh-CN" w:eastAsia="zh-CN"/>
        </w:rPr>
        <w:t>达到</w:t>
      </w:r>
      <w:r>
        <w:rPr>
          <w:rFonts w:hint="eastAsia" w:ascii="仿宋_GB2312" w:hAnsi="宋体" w:eastAsia="仿宋_GB2312"/>
          <w:sz w:val="32"/>
          <w:szCs w:val="28"/>
          <w:lang w:val="zh-CN"/>
        </w:rPr>
        <w:t>36%</w:t>
      </w:r>
      <w:r>
        <w:rPr>
          <w:rFonts w:hint="eastAsia" w:ascii="仿宋_GB2312" w:hAnsi="宋体" w:eastAsia="仿宋_GB2312"/>
          <w:sz w:val="32"/>
          <w:szCs w:val="28"/>
          <w:lang w:val="zh-CN" w:eastAsia="zh-CN"/>
        </w:rPr>
        <w:t>以上。</w:t>
      </w:r>
      <w:r>
        <w:rPr>
          <w:rFonts w:hint="eastAsia" w:ascii="仿宋_GB2312" w:hAnsi="宋体" w:eastAsia="仿宋_GB2312"/>
          <w:sz w:val="32"/>
          <w:szCs w:val="28"/>
          <w:lang w:val="zh-CN"/>
        </w:rPr>
        <w:t>随着</w:t>
      </w:r>
      <w:r>
        <w:rPr>
          <w:rFonts w:hint="eastAsia" w:ascii="仿宋_GB2312" w:hAnsi="宋体" w:eastAsia="仿宋_GB2312"/>
          <w:sz w:val="32"/>
          <w:szCs w:val="28"/>
          <w:lang w:val="zh-CN" w:eastAsia="zh-CN"/>
        </w:rPr>
        <w:t>南宁</w:t>
      </w:r>
      <w:r>
        <w:rPr>
          <w:rFonts w:hint="eastAsia" w:ascii="仿宋_GB2312" w:hAnsi="宋体" w:eastAsia="仿宋_GB2312"/>
          <w:sz w:val="32"/>
          <w:szCs w:val="28"/>
          <w:lang w:val="zh-CN"/>
        </w:rPr>
        <w:t>绿地面积的阶段性增加，过程中产生的</w:t>
      </w:r>
      <w:r>
        <w:rPr>
          <w:rFonts w:hint="eastAsia" w:ascii="仿宋_GB2312" w:hAnsi="宋体" w:eastAsia="仿宋_GB2312"/>
          <w:sz w:val="32"/>
          <w:szCs w:val="28"/>
          <w:lang w:val="zh-CN" w:eastAsia="zh-CN"/>
        </w:rPr>
        <w:t>绿化</w:t>
      </w:r>
      <w:r>
        <w:rPr>
          <w:rFonts w:hint="eastAsia" w:ascii="仿宋_GB2312" w:hAnsi="宋体" w:eastAsia="仿宋_GB2312"/>
          <w:sz w:val="32"/>
          <w:szCs w:val="28"/>
          <w:lang w:val="en-US" w:eastAsia="zh-CN"/>
        </w:rPr>
        <w:t>植物</w:t>
      </w:r>
      <w:r>
        <w:rPr>
          <w:rFonts w:hint="eastAsia" w:ascii="仿宋_GB2312" w:hAnsi="宋体" w:eastAsia="仿宋_GB2312"/>
          <w:sz w:val="32"/>
          <w:szCs w:val="28"/>
          <w:lang w:val="zh-CN" w:eastAsia="zh-CN"/>
        </w:rPr>
        <w:t>废弃物</w:t>
      </w:r>
      <w:r>
        <w:rPr>
          <w:rFonts w:hint="eastAsia" w:ascii="仿宋_GB2312" w:hAnsi="宋体" w:eastAsia="仿宋_GB2312"/>
          <w:sz w:val="32"/>
          <w:szCs w:val="28"/>
          <w:lang w:val="zh-CN"/>
        </w:rPr>
        <w:t>数量不可忽视。据</w:t>
      </w:r>
      <w:r>
        <w:rPr>
          <w:rFonts w:hint="eastAsia" w:ascii="仿宋_GB2312" w:hAnsi="宋体" w:eastAsia="仿宋_GB2312"/>
          <w:sz w:val="32"/>
          <w:szCs w:val="28"/>
          <w:lang w:val="zh-CN" w:eastAsia="zh-CN"/>
        </w:rPr>
        <w:t>不完全统计</w:t>
      </w:r>
      <w:r>
        <w:rPr>
          <w:rFonts w:hint="eastAsia" w:ascii="仿宋_GB2312" w:hAnsi="宋体" w:eastAsia="仿宋_GB2312"/>
          <w:sz w:val="32"/>
          <w:szCs w:val="28"/>
          <w:lang w:val="zh-CN"/>
        </w:rPr>
        <w:t>，</w:t>
      </w:r>
      <w:r>
        <w:rPr>
          <w:rFonts w:hint="eastAsia" w:ascii="仿宋_GB2312" w:hAnsi="宋体" w:eastAsia="仿宋_GB2312"/>
          <w:sz w:val="32"/>
          <w:szCs w:val="28"/>
          <w:lang w:val="en-US" w:eastAsia="zh-CN"/>
        </w:rPr>
        <w:t>南宁市</w:t>
      </w:r>
      <w:r>
        <w:rPr>
          <w:rFonts w:hint="eastAsia" w:ascii="仿宋_GB2312" w:hAnsi="宋体" w:eastAsia="仿宋_GB2312"/>
          <w:sz w:val="32"/>
          <w:szCs w:val="28"/>
          <w:lang w:val="zh-CN"/>
        </w:rPr>
        <w:t>绿化</w:t>
      </w:r>
      <w:r>
        <w:rPr>
          <w:rFonts w:hint="eastAsia" w:ascii="仿宋_GB2312" w:hAnsi="宋体" w:eastAsia="仿宋_GB2312"/>
          <w:sz w:val="32"/>
          <w:szCs w:val="28"/>
          <w:lang w:val="en-US" w:eastAsia="zh-CN"/>
        </w:rPr>
        <w:t>植物</w:t>
      </w:r>
      <w:r>
        <w:rPr>
          <w:rFonts w:hint="eastAsia" w:ascii="仿宋_GB2312" w:hAnsi="宋体" w:eastAsia="仿宋_GB2312"/>
          <w:sz w:val="32"/>
          <w:szCs w:val="28"/>
          <w:lang w:val="zh-CN"/>
        </w:rPr>
        <w:t>废弃物产生</w:t>
      </w:r>
      <w:r>
        <w:rPr>
          <w:rFonts w:hint="eastAsia" w:ascii="仿宋_GB2312" w:hAnsi="宋体" w:eastAsia="仿宋_GB2312"/>
          <w:sz w:val="32"/>
          <w:szCs w:val="28"/>
          <w:lang w:val="en-US" w:eastAsia="zh-CN"/>
        </w:rPr>
        <w:t>量从</w:t>
      </w:r>
      <w:r>
        <w:rPr>
          <w:rFonts w:hint="eastAsia" w:ascii="仿宋_GB2312" w:hAnsi="宋体" w:eastAsia="仿宋_GB2312"/>
          <w:sz w:val="32"/>
          <w:szCs w:val="28"/>
          <w:lang w:val="zh-CN"/>
        </w:rPr>
        <w:t>2019年</w:t>
      </w:r>
      <w:r>
        <w:rPr>
          <w:rFonts w:hint="eastAsia" w:ascii="仿宋_GB2312" w:hAnsi="宋体" w:eastAsia="仿宋_GB2312"/>
          <w:sz w:val="32"/>
          <w:szCs w:val="28"/>
          <w:lang w:val="en-US" w:eastAsia="zh-CN"/>
        </w:rPr>
        <w:t>的</w:t>
      </w:r>
      <w:r>
        <w:rPr>
          <w:rFonts w:hint="eastAsia" w:ascii="仿宋_GB2312" w:hAnsi="宋体" w:eastAsia="仿宋_GB2312"/>
          <w:sz w:val="32"/>
          <w:szCs w:val="28"/>
          <w:lang w:val="zh-CN"/>
        </w:rPr>
        <w:t>16.83万吨</w:t>
      </w:r>
      <w:r>
        <w:rPr>
          <w:rFonts w:hint="eastAsia" w:ascii="仿宋_GB2312" w:hAnsi="宋体" w:eastAsia="仿宋_GB2312"/>
          <w:sz w:val="32"/>
          <w:szCs w:val="28"/>
          <w:lang w:val="en-US" w:eastAsia="zh-CN"/>
        </w:rPr>
        <w:t>增加到2021年的</w:t>
      </w:r>
      <w:r>
        <w:rPr>
          <w:rFonts w:hint="eastAsia" w:ascii="仿宋_GB2312" w:hAnsi="宋体" w:eastAsia="仿宋_GB2312"/>
          <w:sz w:val="32"/>
          <w:szCs w:val="28"/>
          <w:lang w:val="zh-CN"/>
        </w:rPr>
        <w:t>17.91万吨</w:t>
      </w:r>
      <w:r>
        <w:rPr>
          <w:rFonts w:hint="eastAsia" w:ascii="仿宋_GB2312" w:hAnsi="宋体" w:eastAsia="仿宋_GB2312"/>
          <w:sz w:val="32"/>
          <w:szCs w:val="28"/>
          <w:lang w:val="zh-CN" w:eastAsia="zh-CN"/>
        </w:rPr>
        <w:t>，增幅</w:t>
      </w:r>
      <w:r>
        <w:rPr>
          <w:rFonts w:hint="eastAsia" w:ascii="仿宋_GB2312" w:hAnsi="宋体" w:eastAsia="仿宋_GB2312"/>
          <w:sz w:val="32"/>
          <w:szCs w:val="28"/>
          <w:lang w:val="en-US" w:eastAsia="zh-CN"/>
        </w:rPr>
        <w:t>明显</w:t>
      </w:r>
      <w:r>
        <w:rPr>
          <w:rFonts w:hint="eastAsia" w:ascii="仿宋_GB2312" w:hAnsi="宋体" w:eastAsia="仿宋_GB2312"/>
          <w:sz w:val="32"/>
          <w:szCs w:val="28"/>
          <w:lang w:val="zh-CN" w:eastAsia="zh-CN"/>
        </w:rPr>
        <w:t>。</w:t>
      </w:r>
    </w:p>
    <w:p>
      <w:pPr>
        <w:spacing w:line="560" w:lineRule="exact"/>
        <w:ind w:firstLine="640" w:firstLineChars="200"/>
        <w:rPr>
          <w:rFonts w:hint="eastAsia" w:ascii="仿宋_GB2312" w:hAnsi="宋体" w:eastAsia="仿宋_GB2312"/>
          <w:sz w:val="32"/>
          <w:szCs w:val="28"/>
          <w:lang w:val="zh-CN" w:eastAsia="zh-CN"/>
        </w:rPr>
      </w:pPr>
      <w:r>
        <w:rPr>
          <w:rFonts w:hint="eastAsia" w:ascii="仿宋_GB2312" w:hAnsi="宋体" w:eastAsia="仿宋_GB2312"/>
          <w:sz w:val="32"/>
          <w:szCs w:val="28"/>
          <w:lang w:val="zh-CN" w:eastAsia="zh-CN"/>
        </w:rPr>
        <w:t>结合各部门反馈信息和实地调研统计，南宁市各城区、开发区、管委会管辖的绿地、市政道路绿化带、公园园林绿化</w:t>
      </w:r>
      <w:r>
        <w:rPr>
          <w:rFonts w:hint="eastAsia" w:ascii="仿宋_GB2312" w:hAnsi="宋体" w:eastAsia="仿宋_GB2312"/>
          <w:sz w:val="32"/>
          <w:szCs w:val="28"/>
          <w:lang w:val="en-US" w:eastAsia="zh-CN"/>
        </w:rPr>
        <w:t>植物</w:t>
      </w:r>
      <w:r>
        <w:rPr>
          <w:rFonts w:hint="eastAsia" w:ascii="仿宋_GB2312" w:hAnsi="宋体" w:eastAsia="仿宋_GB2312"/>
          <w:sz w:val="32"/>
          <w:szCs w:val="28"/>
          <w:lang w:val="zh-CN" w:eastAsia="zh-CN"/>
        </w:rPr>
        <w:t>废弃物目前主要有4个去向：①进入生活垃圾填埋场或焚烧厂；②进入专门的绿化树枝处理站；③公园简易破碎就地处理；④进入私营企业的绿化</w:t>
      </w:r>
      <w:r>
        <w:rPr>
          <w:rFonts w:hint="eastAsia" w:ascii="仿宋_GB2312" w:hAnsi="宋体" w:eastAsia="仿宋_GB2312"/>
          <w:sz w:val="32"/>
          <w:szCs w:val="28"/>
          <w:lang w:val="en-US" w:eastAsia="zh-CN"/>
        </w:rPr>
        <w:t>植物</w:t>
      </w:r>
      <w:r>
        <w:rPr>
          <w:rFonts w:hint="eastAsia" w:ascii="仿宋_GB2312" w:hAnsi="宋体" w:eastAsia="仿宋_GB2312"/>
          <w:sz w:val="32"/>
          <w:szCs w:val="28"/>
          <w:lang w:val="zh-CN" w:eastAsia="zh-CN"/>
        </w:rPr>
        <w:t>废弃物回收厂。其中，50%以上的绿化</w:t>
      </w:r>
      <w:r>
        <w:rPr>
          <w:rFonts w:hint="eastAsia" w:ascii="仿宋_GB2312" w:hAnsi="宋体" w:eastAsia="仿宋_GB2312"/>
          <w:sz w:val="32"/>
          <w:szCs w:val="28"/>
          <w:lang w:val="en-US" w:eastAsia="zh-CN"/>
        </w:rPr>
        <w:t>植物</w:t>
      </w:r>
      <w:r>
        <w:rPr>
          <w:rFonts w:hint="eastAsia" w:ascii="仿宋_GB2312" w:hAnsi="宋体" w:eastAsia="仿宋_GB2312"/>
          <w:sz w:val="32"/>
          <w:szCs w:val="28"/>
          <w:lang w:val="zh-CN" w:eastAsia="zh-CN"/>
        </w:rPr>
        <w:t>废弃物主要流向私营企业的绿化</w:t>
      </w:r>
      <w:r>
        <w:rPr>
          <w:rFonts w:hint="eastAsia" w:ascii="仿宋_GB2312" w:hAnsi="宋体" w:eastAsia="仿宋_GB2312"/>
          <w:sz w:val="32"/>
          <w:szCs w:val="28"/>
          <w:lang w:val="en-US" w:eastAsia="zh-CN"/>
        </w:rPr>
        <w:t>植物</w:t>
      </w:r>
      <w:r>
        <w:rPr>
          <w:rFonts w:hint="eastAsia" w:ascii="仿宋_GB2312" w:hAnsi="宋体" w:eastAsia="仿宋_GB2312"/>
          <w:sz w:val="32"/>
          <w:szCs w:val="28"/>
          <w:lang w:val="zh-CN" w:eastAsia="zh-CN"/>
        </w:rPr>
        <w:t>废弃物回收厂，主要作为燃料直接燃烧，其资源化利用方式比较原始，不仅会造成环境污染，废弃物中的能量也未得到充分利用，不是一种高效的资源化利用方式。</w:t>
      </w:r>
    </w:p>
    <w:p>
      <w:pPr>
        <w:spacing w:line="560" w:lineRule="exact"/>
        <w:ind w:firstLine="640" w:firstLineChars="200"/>
      </w:pPr>
      <w:r>
        <w:rPr>
          <w:rFonts w:hint="eastAsia" w:ascii="仿宋_GB2312" w:hAnsi="宋体" w:eastAsia="仿宋_GB2312"/>
          <w:sz w:val="32"/>
          <w:szCs w:val="28"/>
          <w:lang w:val="zh-CN" w:eastAsia="zh-CN"/>
        </w:rPr>
        <w:t>根据《关于印发南宁市生活垃圾分类制度实施方案的通知》（南府办函[2018]19号）、《南宁市人民政府办公厅关于印发南宁市易腐垃圾收运和处置实施方案的通知》（南府办函[2019]27号）文件要求及南宁市政府关于垃圾分类工作的总体部署，需逐步建立和完善园林绿化垃圾收运、处置管理体系。为全力推动全市绿化</w:t>
      </w:r>
      <w:r>
        <w:rPr>
          <w:rFonts w:hint="eastAsia" w:ascii="仿宋_GB2312" w:hAnsi="宋体" w:eastAsia="仿宋_GB2312"/>
          <w:sz w:val="32"/>
          <w:szCs w:val="28"/>
          <w:lang w:val="en-US" w:eastAsia="zh-CN"/>
        </w:rPr>
        <w:t>植物</w:t>
      </w:r>
      <w:r>
        <w:rPr>
          <w:rFonts w:hint="eastAsia" w:ascii="仿宋_GB2312" w:hAnsi="宋体" w:eastAsia="仿宋_GB2312"/>
          <w:sz w:val="32"/>
          <w:szCs w:val="28"/>
          <w:lang w:val="zh-CN" w:eastAsia="zh-CN"/>
        </w:rPr>
        <w:t>废弃物资源化利用工作，建立科学、规范的收运、处置体系，南宁市市政和园林管理局制定了《南宁市园林绿化垃圾处置工作实施方案》（以下简称《方案》）。《方案》要求全力推动全市园林绿化垃圾遵循政府主导、属地管理、市场运作、社会监督的原则，结合南宁市实际，按照“大分流、小分类”的模式，采取就地处理和集中处置相结合方式，以资源化利用为目的进行处置。所以，依据《方案》，制定一个科学地、可操作性强的标准指导绿化</w:t>
      </w:r>
      <w:r>
        <w:rPr>
          <w:rFonts w:hint="eastAsia" w:ascii="仿宋_GB2312" w:hAnsi="宋体" w:eastAsia="仿宋_GB2312"/>
          <w:sz w:val="32"/>
          <w:szCs w:val="28"/>
          <w:lang w:val="en-US" w:eastAsia="zh-CN"/>
        </w:rPr>
        <w:t>植物</w:t>
      </w:r>
      <w:r>
        <w:rPr>
          <w:rFonts w:hint="eastAsia" w:ascii="仿宋_GB2312" w:hAnsi="宋体" w:eastAsia="仿宋_GB2312"/>
          <w:sz w:val="32"/>
          <w:szCs w:val="28"/>
          <w:lang w:val="zh-CN" w:eastAsia="zh-CN"/>
        </w:rPr>
        <w:t>废弃物的</w:t>
      </w:r>
      <w:r>
        <w:rPr>
          <w:rFonts w:hint="eastAsia" w:ascii="仿宋_GB2312" w:hAnsi="宋体" w:eastAsia="仿宋_GB2312"/>
          <w:sz w:val="32"/>
          <w:szCs w:val="28"/>
          <w:lang w:val="en-US" w:eastAsia="zh-CN"/>
        </w:rPr>
        <w:t>收运和</w:t>
      </w:r>
      <w:r>
        <w:rPr>
          <w:rFonts w:hint="eastAsia" w:ascii="仿宋_GB2312" w:hAnsi="宋体" w:eastAsia="仿宋_GB2312"/>
          <w:sz w:val="32"/>
          <w:szCs w:val="28"/>
          <w:lang w:val="zh-CN" w:eastAsia="zh-CN"/>
        </w:rPr>
        <w:t>资源化处置，</w:t>
      </w:r>
      <w:r>
        <w:rPr>
          <w:rFonts w:hint="eastAsia" w:ascii="仿宋_GB2312" w:hAnsi="宋体" w:eastAsia="仿宋_GB2312"/>
          <w:sz w:val="32"/>
          <w:szCs w:val="28"/>
          <w:lang w:val="en-US" w:eastAsia="zh-CN"/>
        </w:rPr>
        <w:t>对</w:t>
      </w:r>
      <w:r>
        <w:rPr>
          <w:rFonts w:hint="eastAsia" w:ascii="仿宋_GB2312" w:hAnsi="宋体" w:eastAsia="仿宋_GB2312"/>
          <w:sz w:val="32"/>
          <w:szCs w:val="28"/>
          <w:lang w:val="zh-CN" w:eastAsia="zh-CN"/>
        </w:rPr>
        <w:t>确保全市绿化</w:t>
      </w:r>
      <w:r>
        <w:rPr>
          <w:rFonts w:hint="eastAsia" w:ascii="仿宋_GB2312" w:hAnsi="宋体" w:eastAsia="仿宋_GB2312"/>
          <w:sz w:val="32"/>
          <w:szCs w:val="28"/>
          <w:lang w:val="en-US" w:eastAsia="zh-CN"/>
        </w:rPr>
        <w:t>植物废弃物</w:t>
      </w:r>
      <w:r>
        <w:rPr>
          <w:rFonts w:hint="eastAsia" w:ascii="仿宋_GB2312" w:hAnsi="宋体" w:eastAsia="仿宋_GB2312"/>
          <w:sz w:val="32"/>
          <w:szCs w:val="28"/>
          <w:lang w:val="zh-CN" w:eastAsia="zh-CN"/>
        </w:rPr>
        <w:t>实现“减量化、资源化、无害化”，对加快资源循环利用基地建设，推进城市公共基础设施一体化，促进垃圾分类和资源循环利用，推动新型城市发展，具有重要的战略意义。</w:t>
      </w:r>
    </w:p>
    <w:p>
      <w:pPr>
        <w:spacing w:beforeLines="50"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三、标准编制过程</w:t>
      </w:r>
    </w:p>
    <w:p>
      <w:pPr>
        <w:spacing w:beforeLines="50" w:afterLines="50" w:line="560" w:lineRule="exact"/>
        <w:ind w:firstLine="643" w:firstLineChars="200"/>
        <w:rPr>
          <w:rFonts w:ascii="楷体" w:hAnsi="楷体" w:eastAsia="楷体"/>
          <w:b/>
          <w:sz w:val="32"/>
          <w:szCs w:val="32"/>
          <w:lang w:val="zh-CN"/>
        </w:rPr>
      </w:pPr>
      <w:r>
        <w:rPr>
          <w:rFonts w:hint="eastAsia" w:ascii="楷体" w:hAnsi="楷体" w:eastAsia="楷体"/>
          <w:b/>
          <w:sz w:val="32"/>
          <w:szCs w:val="32"/>
          <w:lang w:val="zh-CN"/>
        </w:rPr>
        <w:t>（一）成立标准编制工作组</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为了确保标准编制工作的顺利开展，自接到</w:t>
      </w:r>
      <w:r>
        <w:rPr>
          <w:rFonts w:hint="eastAsia" w:ascii="仿宋_GB2312" w:hAnsi="宋体" w:eastAsia="仿宋_GB2312"/>
          <w:sz w:val="32"/>
          <w:szCs w:val="28"/>
          <w:lang w:val="en-US" w:eastAsia="zh-CN"/>
        </w:rPr>
        <w:t>广西标准化协会</w:t>
      </w:r>
      <w:r>
        <w:rPr>
          <w:rFonts w:hint="eastAsia" w:ascii="仿宋_GB2312" w:hAnsi="宋体" w:eastAsia="仿宋_GB2312"/>
          <w:sz w:val="32"/>
          <w:szCs w:val="28"/>
          <w:lang w:val="zh-CN"/>
        </w:rPr>
        <w:t>立项文件，</w:t>
      </w:r>
      <w:r>
        <w:rPr>
          <w:rFonts w:hint="eastAsia" w:ascii="仿宋_GB2312" w:hAnsi="宋体" w:eastAsia="仿宋_GB2312"/>
          <w:sz w:val="32"/>
          <w:szCs w:val="28"/>
          <w:lang w:val="en-US" w:eastAsia="zh-CN"/>
        </w:rPr>
        <w:t>南宁市园林科研所</w:t>
      </w:r>
      <w:r>
        <w:rPr>
          <w:rFonts w:hint="eastAsia" w:ascii="仿宋_GB2312" w:hAnsi="宋体" w:eastAsia="仿宋_GB2312"/>
          <w:sz w:val="32"/>
          <w:szCs w:val="28"/>
          <w:lang w:val="zh-CN"/>
        </w:rPr>
        <w:t>组织成立了标准编制工作组，明确分工及时间进度安排，确定了标准体系框架。</w:t>
      </w:r>
    </w:p>
    <w:p>
      <w:pPr>
        <w:spacing w:beforeLines="50" w:afterLines="50" w:line="560" w:lineRule="exact"/>
        <w:ind w:firstLine="643" w:firstLineChars="200"/>
        <w:rPr>
          <w:rFonts w:hint="eastAsia" w:ascii="楷体" w:hAnsi="楷体" w:eastAsia="楷体" w:cs="Times New Roman"/>
          <w:b/>
          <w:sz w:val="32"/>
          <w:szCs w:val="32"/>
          <w:lang w:val="zh-CN"/>
        </w:rPr>
      </w:pPr>
      <w:r>
        <w:rPr>
          <w:rFonts w:hint="eastAsia" w:ascii="楷体" w:hAnsi="楷体" w:eastAsia="楷体" w:cs="Times New Roman"/>
          <w:b/>
          <w:sz w:val="32"/>
          <w:szCs w:val="32"/>
          <w:lang w:val="zh-CN"/>
        </w:rPr>
        <w:t>（二）</w:t>
      </w:r>
      <w:r>
        <w:rPr>
          <w:rFonts w:hint="eastAsia" w:ascii="楷体" w:hAnsi="楷体" w:eastAsia="楷体" w:cs="Times New Roman"/>
          <w:b/>
          <w:sz w:val="32"/>
          <w:szCs w:val="32"/>
          <w:lang w:val="en-US" w:eastAsia="zh-CN"/>
        </w:rPr>
        <w:t>收集</w:t>
      </w:r>
      <w:r>
        <w:rPr>
          <w:rFonts w:hint="eastAsia" w:ascii="楷体" w:hAnsi="楷体" w:eastAsia="楷体" w:cs="Times New Roman"/>
          <w:b/>
          <w:sz w:val="32"/>
          <w:szCs w:val="32"/>
          <w:lang w:val="zh-CN"/>
        </w:rPr>
        <w:t>文献</w:t>
      </w:r>
      <w:r>
        <w:rPr>
          <w:rFonts w:hint="eastAsia" w:ascii="楷体" w:hAnsi="楷体" w:eastAsia="楷体" w:cs="Times New Roman"/>
          <w:b/>
          <w:sz w:val="32"/>
          <w:szCs w:val="32"/>
          <w:lang w:val="en-US" w:eastAsia="zh-CN"/>
        </w:rPr>
        <w:t>资料</w:t>
      </w:r>
      <w:r>
        <w:rPr>
          <w:rFonts w:hint="eastAsia" w:ascii="楷体" w:hAnsi="楷体" w:eastAsia="楷体" w:cs="Times New Roman"/>
          <w:b/>
          <w:sz w:val="32"/>
          <w:szCs w:val="32"/>
          <w:lang w:val="zh-CN"/>
        </w:rPr>
        <w:t>及组织开展实地调研</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一是搜集与</w:t>
      </w:r>
      <w:r>
        <w:rPr>
          <w:rFonts w:hint="eastAsia" w:ascii="仿宋_GB2312" w:hAnsi="宋体" w:eastAsia="仿宋_GB2312"/>
          <w:sz w:val="32"/>
          <w:szCs w:val="28"/>
          <w:lang w:val="zh-CN" w:eastAsia="zh-CN"/>
        </w:rPr>
        <w:t>绿化植物废弃物资源化处理</w:t>
      </w:r>
      <w:r>
        <w:rPr>
          <w:rFonts w:hint="eastAsia" w:ascii="仿宋_GB2312" w:hAnsi="宋体" w:eastAsia="仿宋_GB2312"/>
          <w:sz w:val="32"/>
          <w:szCs w:val="28"/>
          <w:lang w:val="en-US" w:eastAsia="zh-CN"/>
        </w:rPr>
        <w:t>有关</w:t>
      </w:r>
      <w:r>
        <w:rPr>
          <w:rFonts w:hint="eastAsia" w:ascii="仿宋_GB2312" w:hAnsi="宋体" w:eastAsia="仿宋_GB2312"/>
          <w:sz w:val="32"/>
          <w:szCs w:val="28"/>
          <w:lang w:val="zh-CN"/>
        </w:rPr>
        <w:t>的政策文件及标准。目前国内</w:t>
      </w:r>
      <w:r>
        <w:rPr>
          <w:rFonts w:hint="eastAsia" w:ascii="仿宋_GB2312" w:hAnsi="宋体" w:eastAsia="仿宋_GB2312"/>
          <w:sz w:val="32"/>
          <w:szCs w:val="28"/>
          <w:lang w:val="zh-CN" w:eastAsia="zh-CN"/>
        </w:rPr>
        <w:t>绿化植物废弃物资源化处理</w:t>
      </w:r>
      <w:r>
        <w:rPr>
          <w:rFonts w:hint="eastAsia" w:ascii="仿宋_GB2312" w:hAnsi="宋体" w:eastAsia="仿宋_GB2312"/>
          <w:sz w:val="32"/>
          <w:szCs w:val="28"/>
          <w:lang w:val="zh-CN"/>
        </w:rPr>
        <w:t>的相关国家标准、地方标准具体列出如下：</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GB/T 31755 绿化植物废弃物处置和应用技术规程</w:t>
      </w:r>
    </w:p>
    <w:p>
      <w:pPr>
        <w:pStyle w:val="15"/>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sz w:val="32"/>
          <w:szCs w:val="28"/>
          <w:lang w:val="en-US" w:eastAsia="zh-CN"/>
        </w:rPr>
        <w:t>T</w:t>
      </w:r>
      <w:r>
        <w:rPr>
          <w:rFonts w:hint="eastAsia" w:ascii="仿宋_GB2312" w:hAnsi="宋体" w:eastAsia="仿宋_GB2312"/>
          <w:sz w:val="32"/>
          <w:szCs w:val="28"/>
          <w:lang w:val="zh-CN"/>
        </w:rPr>
        <w:t>/</w:t>
      </w:r>
      <w:r>
        <w:rPr>
          <w:rFonts w:hint="eastAsia" w:ascii="仿宋_GB2312" w:hAnsi="宋体" w:eastAsia="仿宋_GB2312"/>
          <w:sz w:val="32"/>
          <w:szCs w:val="28"/>
          <w:lang w:val="en-US" w:eastAsia="zh-CN"/>
        </w:rPr>
        <w:t>HW</w:t>
      </w:r>
      <w:r>
        <w:rPr>
          <w:rFonts w:hint="eastAsia" w:ascii="仿宋_GB2312" w:hAnsi="宋体" w:eastAsia="仿宋_GB2312"/>
          <w:sz w:val="32"/>
          <w:szCs w:val="28"/>
          <w:lang w:val="zh-CN"/>
        </w:rPr>
        <w:t xml:space="preserve"> </w:t>
      </w:r>
      <w:r>
        <w:rPr>
          <w:rFonts w:hint="eastAsia" w:ascii="仿宋_GB2312" w:hAnsi="宋体" w:eastAsia="仿宋_GB2312"/>
          <w:sz w:val="32"/>
          <w:szCs w:val="28"/>
          <w:lang w:val="en-US" w:eastAsia="zh-CN"/>
        </w:rPr>
        <w:t xml:space="preserve">00019 </w:t>
      </w:r>
      <w:r>
        <w:rPr>
          <w:rFonts w:hint="eastAsia" w:ascii="仿宋_GB2312" w:hAnsi="宋体" w:eastAsia="仿宋_GB2312" w:cs="Times New Roman"/>
          <w:sz w:val="32"/>
          <w:szCs w:val="28"/>
          <w:lang w:val="zh-CN" w:eastAsia="zh-CN"/>
        </w:rPr>
        <w:t>园林垃圾收运技术规程</w:t>
      </w:r>
    </w:p>
    <w:p>
      <w:pPr>
        <w:pStyle w:val="15"/>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DB11/T 1512 园林绿化废弃物资源化利用规范</w:t>
      </w:r>
    </w:p>
    <w:p>
      <w:pPr>
        <w:pStyle w:val="15"/>
        <w:ind w:firstLine="640" w:firstLineChars="200"/>
        <w:rPr>
          <w:rFonts w:hint="default" w:ascii="仿宋_GB2312" w:hAnsi="宋体" w:eastAsia="仿宋_GB2312" w:cs="Times New Roman"/>
          <w:sz w:val="32"/>
          <w:szCs w:val="28"/>
          <w:lang w:val="en-US" w:eastAsia="zh-CN"/>
        </w:rPr>
      </w:pPr>
      <w:r>
        <w:rPr>
          <w:rFonts w:hint="default" w:ascii="仿宋_GB2312" w:hAnsi="宋体" w:eastAsia="仿宋_GB2312" w:cs="Times New Roman"/>
          <w:sz w:val="32"/>
          <w:szCs w:val="28"/>
          <w:lang w:val="en-US" w:eastAsia="zh-CN"/>
        </w:rPr>
        <w:t>DB 3301/T 0275园林绿化植物废弃物资源利用管理规范</w:t>
      </w:r>
    </w:p>
    <w:p>
      <w:pPr>
        <w:pStyle w:val="15"/>
        <w:ind w:firstLine="640" w:firstLineChars="200"/>
        <w:rPr>
          <w:rFonts w:hint="eastAsia" w:ascii="仿宋_GB2312" w:hAnsi="宋体" w:eastAsia="仿宋_GB2312" w:cs="Times New Roman"/>
          <w:sz w:val="32"/>
          <w:szCs w:val="28"/>
          <w:lang w:val="en-US" w:eastAsia="zh-CN"/>
        </w:rPr>
      </w:pPr>
      <w:r>
        <w:rPr>
          <w:rFonts w:hint="default" w:ascii="仿宋_GB2312" w:hAnsi="宋体" w:eastAsia="仿宋_GB2312" w:cs="Times New Roman"/>
          <w:sz w:val="32"/>
          <w:szCs w:val="28"/>
          <w:lang w:val="en-US" w:eastAsia="zh-CN"/>
        </w:rPr>
        <w:t xml:space="preserve">DB 31/T </w:t>
      </w:r>
      <w:r>
        <w:rPr>
          <w:rFonts w:hint="eastAsia" w:ascii="仿宋_GB2312" w:hAnsi="宋体" w:eastAsia="仿宋_GB2312" w:cs="Times New Roman"/>
          <w:sz w:val="32"/>
          <w:szCs w:val="28"/>
          <w:lang w:val="en-US" w:eastAsia="zh-CN"/>
        </w:rPr>
        <w:t>404 绿化植物废弃物处置技术规范</w:t>
      </w:r>
    </w:p>
    <w:p>
      <w:pPr>
        <w:pStyle w:val="15"/>
        <w:ind w:firstLine="640" w:firstLineChars="200"/>
        <w:rPr>
          <w:rFonts w:hint="eastAsia" w:ascii="仿宋_GB2312" w:hAnsi="宋体" w:eastAsia="仿宋_GB2312" w:cs="Times New Roman"/>
          <w:sz w:val="32"/>
          <w:szCs w:val="28"/>
          <w:lang w:val="en-US" w:eastAsia="zh-CN"/>
        </w:rPr>
      </w:pPr>
      <w:r>
        <w:rPr>
          <w:rFonts w:hint="default" w:ascii="仿宋_GB2312" w:hAnsi="宋体" w:eastAsia="仿宋_GB2312" w:cs="Times New Roman"/>
          <w:sz w:val="32"/>
          <w:szCs w:val="28"/>
          <w:lang w:val="en-US" w:eastAsia="zh-CN"/>
        </w:rPr>
        <w:t xml:space="preserve">DB 31/T </w:t>
      </w:r>
      <w:r>
        <w:rPr>
          <w:rFonts w:hint="eastAsia" w:ascii="仿宋_GB2312" w:hAnsi="宋体" w:eastAsia="仿宋_GB2312" w:cs="Times New Roman"/>
          <w:sz w:val="32"/>
          <w:szCs w:val="28"/>
          <w:lang w:val="en-US" w:eastAsia="zh-CN"/>
        </w:rPr>
        <w:t>1035 绿化有机覆盖物应用技术规范</w:t>
      </w:r>
    </w:p>
    <w:p>
      <w:pPr>
        <w:pStyle w:val="15"/>
        <w:ind w:firstLine="640" w:firstLineChars="200"/>
        <w:rPr>
          <w:rFonts w:hint="eastAsia" w:ascii="仿宋_GB2312" w:hAnsi="宋体" w:eastAsia="仿宋_GB2312" w:cs="Times New Roman"/>
          <w:sz w:val="32"/>
          <w:szCs w:val="28"/>
          <w:lang w:val="en-US" w:eastAsia="zh-CN"/>
        </w:rPr>
      </w:pPr>
      <w:r>
        <w:rPr>
          <w:rFonts w:hint="default" w:ascii="仿宋_GB2312" w:hAnsi="宋体" w:eastAsia="仿宋_GB2312" w:cs="Times New Roman"/>
          <w:sz w:val="32"/>
          <w:szCs w:val="28"/>
          <w:lang w:val="en-US" w:eastAsia="zh-CN"/>
        </w:rPr>
        <w:t xml:space="preserve">DB </w:t>
      </w:r>
      <w:r>
        <w:rPr>
          <w:rFonts w:hint="eastAsia" w:ascii="仿宋_GB2312" w:hAnsi="宋体" w:eastAsia="仿宋_GB2312" w:cs="Times New Roman"/>
          <w:sz w:val="32"/>
          <w:szCs w:val="28"/>
          <w:lang w:val="en-US" w:eastAsia="zh-CN"/>
        </w:rPr>
        <w:t>11</w:t>
      </w:r>
      <w:r>
        <w:rPr>
          <w:rFonts w:hint="default" w:ascii="仿宋_GB2312" w:hAnsi="宋体" w:eastAsia="仿宋_GB2312" w:cs="Times New Roman"/>
          <w:sz w:val="32"/>
          <w:szCs w:val="28"/>
          <w:lang w:val="en-US" w:eastAsia="zh-CN"/>
        </w:rPr>
        <w:t xml:space="preserve">/T </w:t>
      </w:r>
      <w:r>
        <w:rPr>
          <w:rFonts w:hint="eastAsia" w:ascii="仿宋_GB2312" w:hAnsi="宋体" w:eastAsia="仿宋_GB2312" w:cs="Times New Roman"/>
          <w:sz w:val="32"/>
          <w:szCs w:val="28"/>
          <w:lang w:val="en-US" w:eastAsia="zh-CN"/>
        </w:rPr>
        <w:t>840 园林绿化废弃物堆肥技术规程</w:t>
      </w:r>
    </w:p>
    <w:p>
      <w:pPr>
        <w:pStyle w:val="15"/>
        <w:ind w:firstLine="640" w:firstLineChars="200"/>
        <w:rPr>
          <w:rFonts w:ascii="仿宋_GB2312" w:hAnsi="宋体" w:eastAsia="仿宋_GB2312"/>
          <w:sz w:val="32"/>
          <w:szCs w:val="28"/>
          <w:lang w:val="zh-CN"/>
        </w:rPr>
      </w:pPr>
      <w:r>
        <w:rPr>
          <w:rFonts w:hint="default" w:ascii="仿宋_GB2312" w:hAnsi="宋体" w:eastAsia="仿宋_GB2312" w:cs="Times New Roman"/>
          <w:sz w:val="32"/>
          <w:szCs w:val="28"/>
          <w:lang w:val="en-US" w:eastAsia="zh-CN"/>
        </w:rPr>
        <w:t>DB</w:t>
      </w:r>
      <w:r>
        <w:rPr>
          <w:rFonts w:hint="eastAsia" w:ascii="仿宋_GB2312" w:hAnsi="宋体" w:eastAsia="仿宋_GB2312" w:cs="Times New Roman"/>
          <w:sz w:val="32"/>
          <w:szCs w:val="28"/>
          <w:lang w:val="en-US" w:eastAsia="zh-CN"/>
        </w:rPr>
        <w:t>J440100</w:t>
      </w:r>
      <w:r>
        <w:rPr>
          <w:rFonts w:hint="default" w:ascii="仿宋_GB2312" w:hAnsi="宋体" w:eastAsia="仿宋_GB2312" w:cs="Times New Roman"/>
          <w:sz w:val="32"/>
          <w:szCs w:val="28"/>
          <w:lang w:val="en-US" w:eastAsia="zh-CN"/>
        </w:rPr>
        <w:t xml:space="preserve">/T </w:t>
      </w:r>
      <w:r>
        <w:rPr>
          <w:rFonts w:hint="eastAsia" w:ascii="仿宋_GB2312" w:hAnsi="宋体" w:eastAsia="仿宋_GB2312" w:cs="Times New Roman"/>
          <w:sz w:val="32"/>
          <w:szCs w:val="28"/>
          <w:lang w:val="en-US" w:eastAsia="zh-CN"/>
        </w:rPr>
        <w:t>59 城市绿色废弃物循环利用技术通用规范</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eastAsia="仿宋_GB2312"/>
          <w:sz w:val="32"/>
          <w:szCs w:val="28"/>
          <w:lang w:val="zh-CN"/>
        </w:rPr>
        <w:t>二是实地调研和访谈。标准编制工作组主要成员</w:t>
      </w:r>
      <w:r>
        <w:rPr>
          <w:rFonts w:hint="eastAsia" w:ascii="仿宋_GB2312" w:eastAsia="仿宋_GB2312"/>
          <w:color w:val="000000" w:themeColor="text1"/>
          <w:sz w:val="32"/>
          <w:szCs w:val="32"/>
          <w14:textFill>
            <w14:solidFill>
              <w14:schemeClr w14:val="tx1"/>
            </w14:solidFill>
          </w14:textFill>
        </w:rPr>
        <w:t>赴苏州、昆山、徐州考察调研绿化</w:t>
      </w:r>
      <w:r>
        <w:rPr>
          <w:rFonts w:hint="eastAsia" w:ascii="仿宋_GB2312" w:eastAsia="仿宋_GB2312"/>
          <w:color w:val="000000" w:themeColor="text1"/>
          <w:sz w:val="32"/>
          <w:szCs w:val="32"/>
          <w:lang w:eastAsia="zh-CN"/>
          <w14:textFill>
            <w14:solidFill>
              <w14:schemeClr w14:val="tx1"/>
            </w14:solidFill>
          </w14:textFill>
        </w:rPr>
        <w:t>植物</w:t>
      </w:r>
      <w:r>
        <w:rPr>
          <w:rFonts w:hint="eastAsia" w:ascii="仿宋_GB2312" w:eastAsia="仿宋_GB2312"/>
          <w:color w:val="000000" w:themeColor="text1"/>
          <w:sz w:val="32"/>
          <w:szCs w:val="32"/>
          <w14:textFill>
            <w14:solidFill>
              <w14:schemeClr w14:val="tx1"/>
            </w14:solidFill>
          </w14:textFill>
        </w:rPr>
        <w:t>废弃物资源化利用方面的经验做法。通过实地考察及座谈会等形式，对绿化</w:t>
      </w:r>
      <w:r>
        <w:rPr>
          <w:rFonts w:hint="eastAsia" w:ascii="仿宋_GB2312" w:eastAsia="仿宋_GB2312"/>
          <w:color w:val="000000" w:themeColor="text1"/>
          <w:sz w:val="32"/>
          <w:szCs w:val="32"/>
          <w:lang w:eastAsia="zh-CN"/>
          <w14:textFill>
            <w14:solidFill>
              <w14:schemeClr w14:val="tx1"/>
            </w14:solidFill>
          </w14:textFill>
        </w:rPr>
        <w:t>植物</w:t>
      </w:r>
      <w:r>
        <w:rPr>
          <w:rFonts w:hint="eastAsia" w:ascii="仿宋_GB2312" w:eastAsia="仿宋_GB2312"/>
          <w:color w:val="000000" w:themeColor="text1"/>
          <w:sz w:val="32"/>
          <w:szCs w:val="32"/>
          <w14:textFill>
            <w14:solidFill>
              <w14:schemeClr w14:val="tx1"/>
            </w14:solidFill>
          </w14:textFill>
        </w:rPr>
        <w:t>废弃物处理运作模式、生产工艺、产品利用等</w:t>
      </w:r>
      <w:r>
        <w:rPr>
          <w:rFonts w:hint="eastAsia" w:ascii="仿宋_GB2312" w:hAnsi="宋体" w:eastAsia="仿宋_GB2312" w:cs="Times New Roman"/>
          <w:sz w:val="32"/>
          <w:szCs w:val="28"/>
          <w:lang w:val="zh-CN"/>
        </w:rPr>
        <w:t>方面</w:t>
      </w:r>
      <w:r>
        <w:rPr>
          <w:rFonts w:hint="eastAsia" w:ascii="仿宋_GB2312" w:hAnsi="宋体" w:eastAsia="仿宋_GB2312" w:cs="Times New Roman"/>
          <w:sz w:val="32"/>
          <w:szCs w:val="28"/>
          <w:lang w:val="zh-CN" w:eastAsia="zh-CN"/>
        </w:rPr>
        <w:t>的成功经验</w:t>
      </w:r>
      <w:r>
        <w:rPr>
          <w:rFonts w:hint="eastAsia" w:ascii="仿宋_GB2312" w:hAnsi="宋体" w:eastAsia="仿宋_GB2312" w:cs="Times New Roman"/>
          <w:sz w:val="32"/>
          <w:szCs w:val="28"/>
          <w:lang w:val="zh-CN"/>
        </w:rPr>
        <w:t>进行了</w:t>
      </w:r>
      <w:r>
        <w:rPr>
          <w:rFonts w:hint="eastAsia" w:ascii="仿宋_GB2312" w:hAnsi="宋体" w:eastAsia="仿宋_GB2312" w:cs="Times New Roman"/>
          <w:sz w:val="32"/>
          <w:szCs w:val="28"/>
          <w:lang w:val="zh-CN" w:eastAsia="zh-CN"/>
        </w:rPr>
        <w:t>初步</w:t>
      </w:r>
      <w:r>
        <w:rPr>
          <w:rFonts w:hint="eastAsia" w:ascii="仿宋_GB2312" w:hAnsi="宋体" w:eastAsia="仿宋_GB2312" w:cs="Times New Roman"/>
          <w:sz w:val="32"/>
          <w:szCs w:val="28"/>
          <w:lang w:val="zh-CN"/>
        </w:rPr>
        <w:t>了解</w:t>
      </w:r>
      <w:r>
        <w:rPr>
          <w:rFonts w:hint="eastAsia" w:ascii="仿宋_GB2312" w:hAnsi="宋体" w:eastAsia="仿宋_GB2312" w:cs="Times New Roman"/>
          <w:sz w:val="32"/>
          <w:szCs w:val="28"/>
          <w:lang w:val="zh-CN" w:eastAsia="zh-CN"/>
        </w:rPr>
        <w:t>。</w:t>
      </w:r>
      <w:r>
        <w:rPr>
          <w:rFonts w:hint="eastAsia" w:ascii="仿宋_GB2312" w:hAnsi="宋体" w:eastAsia="仿宋_GB2312" w:cs="Times New Roman"/>
          <w:sz w:val="32"/>
          <w:szCs w:val="28"/>
          <w:lang w:val="zh-CN"/>
        </w:rPr>
        <w:t>对</w:t>
      </w:r>
      <w:r>
        <w:rPr>
          <w:rFonts w:hint="eastAsia" w:ascii="仿宋_GB2312" w:hAnsi="宋体" w:eastAsia="仿宋_GB2312" w:cs="Times New Roman"/>
          <w:sz w:val="32"/>
          <w:szCs w:val="28"/>
          <w:lang w:val="en-US" w:eastAsia="zh-CN"/>
        </w:rPr>
        <w:t>南宁市绿化植物废弃物产生单位，各城区、</w:t>
      </w:r>
      <w:r>
        <w:rPr>
          <w:rFonts w:hint="eastAsia" w:ascii="仿宋_GB2312" w:hAnsi="宋体" w:eastAsia="仿宋_GB2312" w:cs="Times New Roman"/>
          <w:sz w:val="32"/>
          <w:szCs w:val="28"/>
          <w:lang w:val="zh-CN" w:eastAsia="zh-CN"/>
        </w:rPr>
        <w:t>开发区、管委会、</w:t>
      </w:r>
      <w:r>
        <w:rPr>
          <w:rFonts w:hint="eastAsia" w:ascii="仿宋_GB2312" w:hAnsi="宋体" w:eastAsia="仿宋_GB2312" w:cs="Times New Roman"/>
          <w:sz w:val="32"/>
          <w:szCs w:val="28"/>
          <w:lang w:val="en-US" w:eastAsia="zh-CN"/>
        </w:rPr>
        <w:t>公园</w:t>
      </w:r>
      <w:r>
        <w:rPr>
          <w:rFonts w:hint="eastAsia" w:ascii="仿宋_GB2312" w:hAnsi="宋体" w:eastAsia="仿宋_GB2312" w:cs="Times New Roman"/>
          <w:sz w:val="32"/>
          <w:szCs w:val="28"/>
          <w:lang w:val="zh-CN"/>
        </w:rPr>
        <w:t>等</w:t>
      </w:r>
      <w:r>
        <w:rPr>
          <w:rFonts w:hint="eastAsia" w:ascii="仿宋_GB2312" w:hAnsi="宋体" w:eastAsia="仿宋_GB2312" w:cs="Times New Roman"/>
          <w:sz w:val="32"/>
          <w:szCs w:val="28"/>
          <w:lang w:val="en-US" w:eastAsia="zh-CN"/>
        </w:rPr>
        <w:t>相关部门</w:t>
      </w:r>
      <w:r>
        <w:rPr>
          <w:rFonts w:hint="eastAsia" w:ascii="仿宋_GB2312" w:hAnsi="宋体" w:eastAsia="仿宋_GB2312" w:cs="Times New Roman"/>
          <w:sz w:val="32"/>
          <w:szCs w:val="28"/>
          <w:lang w:val="zh-CN"/>
        </w:rPr>
        <w:t>采取走访的方式开展实地调研，基本摸清全市</w:t>
      </w:r>
      <w:r>
        <w:rPr>
          <w:rFonts w:hint="eastAsia" w:ascii="仿宋_GB2312" w:hAnsi="宋体" w:eastAsia="仿宋_GB2312" w:cs="Times New Roman"/>
          <w:sz w:val="32"/>
          <w:szCs w:val="28"/>
          <w:lang w:val="en-US" w:eastAsia="zh-CN"/>
        </w:rPr>
        <w:t>绿化植物废弃物清运量和处置现状</w:t>
      </w:r>
      <w:r>
        <w:rPr>
          <w:rFonts w:hint="eastAsia" w:ascii="仿宋_GB2312" w:hAnsi="宋体" w:eastAsia="仿宋_GB2312" w:cs="Times New Roman"/>
          <w:sz w:val="32"/>
          <w:szCs w:val="28"/>
          <w:lang w:val="zh-CN"/>
        </w:rPr>
        <w:t>。</w:t>
      </w:r>
    </w:p>
    <w:p>
      <w:pPr>
        <w:spacing w:beforeLines="50" w:afterLines="50" w:line="560" w:lineRule="exact"/>
        <w:ind w:firstLine="643" w:firstLineChars="200"/>
        <w:rPr>
          <w:rFonts w:hint="eastAsia" w:ascii="楷体" w:hAnsi="楷体" w:eastAsia="楷体" w:cs="Times New Roman"/>
          <w:b/>
          <w:sz w:val="32"/>
          <w:szCs w:val="32"/>
          <w:lang w:val="zh-CN"/>
        </w:rPr>
      </w:pPr>
      <w:r>
        <w:rPr>
          <w:rFonts w:hint="eastAsia" w:ascii="楷体" w:hAnsi="楷体" w:eastAsia="楷体" w:cs="Times New Roman"/>
          <w:b/>
          <w:sz w:val="32"/>
          <w:szCs w:val="32"/>
          <w:lang w:val="zh-CN"/>
        </w:rPr>
        <w:t>（三）形成标准征求意见稿</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eastAsia="仿宋_GB2312" w:cs="Times New Roman"/>
          <w:sz w:val="32"/>
          <w:szCs w:val="28"/>
          <w:lang w:val="zh-CN"/>
        </w:rPr>
        <w:t>在上述工作的基础上，根据标准起草时间进度安排，标准编制工作组</w:t>
      </w:r>
      <w:r>
        <w:rPr>
          <w:rFonts w:hint="eastAsia" w:ascii="仿宋_GB2312" w:hAnsi="宋体" w:eastAsia="仿宋_GB2312" w:cs="Times New Roman"/>
          <w:sz w:val="32"/>
          <w:szCs w:val="28"/>
          <w:lang w:val="en-US" w:eastAsia="zh-CN"/>
        </w:rPr>
        <w:t>线上进行</w:t>
      </w:r>
      <w:r>
        <w:rPr>
          <w:rFonts w:hint="eastAsia" w:ascii="仿宋_GB2312" w:hAnsi="宋体" w:eastAsia="仿宋_GB2312" w:cs="Times New Roman"/>
          <w:sz w:val="32"/>
          <w:szCs w:val="28"/>
          <w:lang w:val="zh-CN"/>
        </w:rPr>
        <w:t>了多次研讨，进一步明确了标准适用范围、原则、内容，对标准草案进行逐条逐句讨论，不断完善标准内容，形成了《</w:t>
      </w:r>
      <w:r>
        <w:rPr>
          <w:rFonts w:hint="eastAsia" w:ascii="仿宋_GB2312" w:hAnsi="宋体" w:eastAsia="仿宋_GB2312" w:cs="Times New Roman"/>
          <w:sz w:val="32"/>
          <w:szCs w:val="28"/>
          <w:lang w:val="zh-CN" w:eastAsia="zh-CN"/>
        </w:rPr>
        <w:t>绿化植物废弃物资源化处理技术规程</w:t>
      </w:r>
      <w:r>
        <w:rPr>
          <w:rFonts w:hint="eastAsia" w:ascii="仿宋_GB2312" w:hAnsi="宋体" w:eastAsia="仿宋_GB2312" w:cs="Times New Roman"/>
          <w:sz w:val="32"/>
          <w:szCs w:val="28"/>
          <w:lang w:val="zh-CN"/>
        </w:rPr>
        <w:t>》拟征求意见稿及其编制说明。</w:t>
      </w:r>
    </w:p>
    <w:p>
      <w:pPr>
        <w:numPr>
          <w:ilvl w:val="0"/>
          <w:numId w:val="6"/>
        </w:numPr>
        <w:spacing w:beforeLines="50" w:afterLines="50"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标准制定原则</w:t>
      </w:r>
    </w:p>
    <w:p>
      <w:pPr>
        <w:spacing w:beforeLines="50" w:afterLines="50" w:line="560" w:lineRule="exact"/>
        <w:ind w:firstLine="643" w:firstLineChars="200"/>
        <w:rPr>
          <w:rFonts w:hint="eastAsia" w:ascii="楷体" w:hAnsi="楷体" w:eastAsia="楷体" w:cs="Times New Roman"/>
          <w:b/>
          <w:sz w:val="32"/>
          <w:szCs w:val="32"/>
          <w:lang w:val="zh-CN"/>
        </w:rPr>
      </w:pPr>
      <w:r>
        <w:rPr>
          <w:rFonts w:hint="eastAsia" w:ascii="楷体" w:hAnsi="楷体" w:eastAsia="楷体" w:cs="Times New Roman"/>
          <w:b/>
          <w:sz w:val="32"/>
          <w:szCs w:val="32"/>
          <w:lang w:val="zh-CN"/>
        </w:rPr>
        <w:t>（一）规范性原则</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eastAsia="仿宋_GB2312" w:cs="Times New Roman"/>
          <w:sz w:val="32"/>
          <w:szCs w:val="28"/>
          <w:lang w:val="zh-CN"/>
        </w:rPr>
        <w:t>本标准按照 GB/T 1.1-2020《标准化工作导则第 1 部分：标准化文件的结构和起草规则》的要求进行编写，保证标准形式和内容的规范性。</w:t>
      </w:r>
    </w:p>
    <w:p>
      <w:pPr>
        <w:spacing w:beforeLines="50" w:afterLines="50" w:line="560" w:lineRule="exact"/>
        <w:ind w:firstLine="643" w:firstLineChars="200"/>
        <w:rPr>
          <w:rFonts w:hint="eastAsia" w:ascii="楷体" w:hAnsi="楷体" w:eastAsia="楷体" w:cs="Times New Roman"/>
          <w:b/>
          <w:sz w:val="32"/>
          <w:szCs w:val="32"/>
          <w:lang w:val="zh-CN"/>
        </w:rPr>
      </w:pPr>
      <w:r>
        <w:rPr>
          <w:rFonts w:hint="eastAsia" w:ascii="楷体" w:hAnsi="楷体" w:eastAsia="楷体" w:cs="Times New Roman"/>
          <w:b/>
          <w:sz w:val="32"/>
          <w:szCs w:val="32"/>
          <w:lang w:val="zh-CN"/>
        </w:rPr>
        <w:t>（二）系统性原则</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eastAsia="仿宋_GB2312" w:cs="Times New Roman"/>
          <w:sz w:val="32"/>
          <w:szCs w:val="28"/>
          <w:lang w:val="zh-CN"/>
        </w:rPr>
        <w:t>本标准属于废弃物综合利用领域标准之一，经实地调研和广泛征求意见，在相关方面标准的条款、理念和依据法规等方面考虑与其他标准协调一致，形成相互支撑、内容连贯的标准体系。</w:t>
      </w:r>
    </w:p>
    <w:p>
      <w:pPr>
        <w:spacing w:beforeLines="50" w:afterLines="50" w:line="560" w:lineRule="exact"/>
        <w:ind w:firstLine="643" w:firstLineChars="200"/>
        <w:rPr>
          <w:rFonts w:hint="eastAsia" w:ascii="楷体" w:hAnsi="楷体" w:eastAsia="楷体" w:cs="Times New Roman"/>
          <w:b/>
          <w:sz w:val="32"/>
          <w:szCs w:val="32"/>
          <w:lang w:val="zh-CN" w:eastAsia="zh-CN"/>
        </w:rPr>
      </w:pPr>
      <w:r>
        <w:rPr>
          <w:rFonts w:hint="eastAsia" w:ascii="楷体" w:hAnsi="楷体" w:eastAsia="楷体" w:cs="Times New Roman"/>
          <w:b/>
          <w:sz w:val="32"/>
          <w:szCs w:val="32"/>
          <w:lang w:val="zh-CN"/>
        </w:rPr>
        <w:t>（三）</w:t>
      </w:r>
      <w:r>
        <w:rPr>
          <w:rFonts w:hint="eastAsia" w:ascii="楷体" w:hAnsi="楷体" w:eastAsia="楷体" w:cs="Times New Roman"/>
          <w:b/>
          <w:sz w:val="32"/>
          <w:szCs w:val="32"/>
          <w:lang w:val="zh-CN" w:eastAsia="zh-CN"/>
        </w:rPr>
        <w:t>操作性原则</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我国在</w:t>
      </w:r>
      <w:r>
        <w:rPr>
          <w:rFonts w:hint="eastAsia" w:ascii="仿宋_GB2312" w:hAnsi="宋体" w:eastAsia="仿宋_GB2312" w:cs="Times New Roman"/>
          <w:sz w:val="32"/>
          <w:szCs w:val="28"/>
          <w:lang w:val="en-US" w:eastAsia="zh-CN"/>
        </w:rPr>
        <w:t>绿化植物</w:t>
      </w:r>
      <w:r>
        <w:rPr>
          <w:rFonts w:hint="eastAsia" w:ascii="仿宋_GB2312" w:hAnsi="宋体" w:eastAsia="仿宋_GB2312" w:cs="Times New Roman"/>
          <w:sz w:val="32"/>
          <w:szCs w:val="28"/>
          <w:lang w:val="zh-CN" w:eastAsia="zh-CN"/>
        </w:rPr>
        <w:t>废弃物资源化利用方面虽然还不是很完善，但发展比较迅速，陆续出台了一系列的标准，在运作过程中积累一定的</w:t>
      </w:r>
      <w:r>
        <w:rPr>
          <w:rFonts w:hint="eastAsia" w:ascii="仿宋_GB2312" w:hAnsi="宋体" w:eastAsia="仿宋_GB2312" w:cs="Times New Roman"/>
          <w:sz w:val="32"/>
          <w:szCs w:val="28"/>
          <w:lang w:val="en-US" w:eastAsia="zh-CN"/>
        </w:rPr>
        <w:t>实践</w:t>
      </w:r>
      <w:r>
        <w:rPr>
          <w:rFonts w:hint="eastAsia" w:ascii="仿宋_GB2312" w:hAnsi="宋体" w:eastAsia="仿宋_GB2312" w:cs="Times New Roman"/>
          <w:sz w:val="32"/>
          <w:szCs w:val="28"/>
          <w:lang w:val="zh-CN" w:eastAsia="zh-CN"/>
        </w:rPr>
        <w:t>经验和实际案例。该标准总结吸纳了这些成功的经验，同时紧密结合我国</w:t>
      </w:r>
      <w:r>
        <w:rPr>
          <w:rFonts w:hint="eastAsia" w:ascii="仿宋_GB2312" w:hAnsi="宋体" w:eastAsia="仿宋_GB2312" w:cs="Times New Roman"/>
          <w:sz w:val="32"/>
          <w:szCs w:val="28"/>
          <w:lang w:val="en-US" w:eastAsia="zh-CN"/>
        </w:rPr>
        <w:t>绿化植物</w:t>
      </w:r>
      <w:r>
        <w:rPr>
          <w:rFonts w:hint="eastAsia" w:ascii="仿宋_GB2312" w:hAnsi="宋体" w:eastAsia="仿宋_GB2312" w:cs="Times New Roman"/>
          <w:sz w:val="32"/>
          <w:szCs w:val="28"/>
          <w:lang w:val="zh-CN" w:eastAsia="zh-CN"/>
        </w:rPr>
        <w:t>废弃物资源化利用的发展现状等客观实际，使标准能够有效指导绿化植物废弃物资源化利用工作的顺利进行。</w:t>
      </w:r>
    </w:p>
    <w:p>
      <w:pPr>
        <w:spacing w:beforeLines="50" w:afterLines="50" w:line="560" w:lineRule="exact"/>
        <w:ind w:firstLine="643" w:firstLineChars="200"/>
        <w:rPr>
          <w:rFonts w:hint="eastAsia" w:ascii="楷体" w:hAnsi="楷体" w:eastAsia="楷体" w:cs="Times New Roman"/>
          <w:b/>
          <w:sz w:val="32"/>
          <w:szCs w:val="32"/>
          <w:lang w:val="zh-CN"/>
        </w:rPr>
      </w:pPr>
      <w:r>
        <w:rPr>
          <w:rFonts w:hint="eastAsia" w:ascii="楷体" w:hAnsi="楷体" w:eastAsia="楷体" w:cs="Times New Roman"/>
          <w:b/>
          <w:sz w:val="32"/>
          <w:szCs w:val="32"/>
          <w:lang w:val="zh-CN"/>
        </w:rPr>
        <w:t>（四）前瞻性原则</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本标准根据当前广西区内绿化植物废弃物产生类别的现状，在标准中体现了个别特色性、前瞻性和先进性条款，作为对绿化植物废弃物资源化处理的指导。</w:t>
      </w:r>
    </w:p>
    <w:p>
      <w:pPr>
        <w:spacing w:beforeLines="50"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五、标准主要章节内容及确定依据</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cs="Times New Roman"/>
          <w:sz w:val="32"/>
          <w:szCs w:val="28"/>
          <w:lang w:val="zh-CN" w:eastAsia="zh-CN"/>
        </w:rPr>
        <w:t>团体标准《绿化植物废弃物资源化处理技术规程》主要内容包括术语和定义、</w:t>
      </w:r>
      <w:bookmarkStart w:id="0" w:name="_Toc100847804"/>
      <w:bookmarkStart w:id="1" w:name="_Toc100847856"/>
      <w:r>
        <w:rPr>
          <w:rFonts w:hint="eastAsia" w:ascii="仿宋_GB2312" w:hAnsi="宋体" w:eastAsia="仿宋_GB2312" w:cs="Times New Roman"/>
          <w:sz w:val="32"/>
          <w:szCs w:val="28"/>
          <w:lang w:val="zh-CN" w:eastAsia="zh-CN"/>
        </w:rPr>
        <w:t>基本原则</w:t>
      </w:r>
      <w:bookmarkEnd w:id="0"/>
      <w:bookmarkEnd w:id="1"/>
      <w:r>
        <w:rPr>
          <w:rFonts w:hint="eastAsia" w:ascii="仿宋_GB2312" w:hAnsi="宋体" w:eastAsia="仿宋_GB2312" w:cs="Times New Roman"/>
          <w:sz w:val="32"/>
          <w:szCs w:val="28"/>
          <w:lang w:val="zh-CN" w:eastAsia="zh-CN"/>
        </w:rPr>
        <w:t>、</w:t>
      </w:r>
      <w:bookmarkStart w:id="2" w:name="_Toc100847857"/>
      <w:bookmarkStart w:id="3" w:name="_Toc100847805"/>
      <w:r>
        <w:rPr>
          <w:rFonts w:hint="eastAsia" w:ascii="仿宋_GB2312" w:hAnsi="宋体" w:eastAsia="仿宋_GB2312" w:cs="Times New Roman"/>
          <w:sz w:val="32"/>
          <w:szCs w:val="28"/>
          <w:lang w:val="zh-CN" w:eastAsia="zh-CN"/>
        </w:rPr>
        <w:t>处理站点</w:t>
      </w:r>
      <w:bookmarkEnd w:id="2"/>
      <w:bookmarkEnd w:id="3"/>
      <w:r>
        <w:rPr>
          <w:rFonts w:hint="eastAsia" w:ascii="仿宋_GB2312" w:hAnsi="宋体" w:eastAsia="仿宋_GB2312" w:cs="Times New Roman"/>
          <w:sz w:val="32"/>
          <w:szCs w:val="28"/>
          <w:lang w:val="zh-CN" w:eastAsia="zh-CN"/>
        </w:rPr>
        <w:t>、</w:t>
      </w:r>
      <w:bookmarkStart w:id="4" w:name="_Toc100847858"/>
      <w:bookmarkStart w:id="5" w:name="_Toc100847813"/>
      <w:r>
        <w:rPr>
          <w:rFonts w:hint="eastAsia" w:ascii="仿宋_GB2312" w:hAnsi="宋体" w:eastAsia="仿宋_GB2312" w:cs="Times New Roman"/>
          <w:sz w:val="32"/>
          <w:szCs w:val="28"/>
          <w:lang w:val="zh-CN" w:eastAsia="zh-CN"/>
        </w:rPr>
        <w:t>服务单位</w:t>
      </w:r>
      <w:bookmarkEnd w:id="4"/>
      <w:bookmarkEnd w:id="5"/>
      <w:r>
        <w:rPr>
          <w:rFonts w:hint="eastAsia" w:ascii="仿宋_GB2312" w:hAnsi="宋体" w:eastAsia="仿宋_GB2312" w:cs="Times New Roman"/>
          <w:sz w:val="32"/>
          <w:szCs w:val="28"/>
          <w:lang w:val="zh-CN" w:eastAsia="zh-CN"/>
        </w:rPr>
        <w:t>、</w:t>
      </w:r>
      <w:bookmarkStart w:id="6" w:name="_Toc100847859"/>
      <w:bookmarkStart w:id="7" w:name="_Toc100847814"/>
      <w:r>
        <w:rPr>
          <w:rFonts w:hint="eastAsia" w:ascii="仿宋_GB2312" w:hAnsi="宋体" w:eastAsia="仿宋_GB2312" w:cs="Times New Roman"/>
          <w:sz w:val="32"/>
          <w:szCs w:val="28"/>
          <w:lang w:val="zh-CN" w:eastAsia="zh-CN"/>
        </w:rPr>
        <w:t>预处理</w:t>
      </w:r>
      <w:bookmarkEnd w:id="6"/>
      <w:bookmarkEnd w:id="7"/>
      <w:r>
        <w:rPr>
          <w:rFonts w:hint="eastAsia" w:ascii="仿宋_GB2312" w:hAnsi="宋体" w:eastAsia="仿宋_GB2312" w:cs="Times New Roman"/>
          <w:sz w:val="32"/>
          <w:szCs w:val="28"/>
          <w:lang w:val="zh-CN" w:eastAsia="zh-CN"/>
        </w:rPr>
        <w:t>、</w:t>
      </w:r>
      <w:bookmarkStart w:id="8" w:name="_Toc100847860"/>
      <w:bookmarkStart w:id="9" w:name="_Toc100847815"/>
      <w:r>
        <w:rPr>
          <w:rFonts w:hint="eastAsia" w:ascii="仿宋_GB2312" w:hAnsi="宋体" w:eastAsia="仿宋_GB2312" w:cs="Times New Roman"/>
          <w:sz w:val="32"/>
          <w:szCs w:val="28"/>
          <w:lang w:val="zh-CN" w:eastAsia="zh-CN"/>
        </w:rPr>
        <w:t>收集与运输</w:t>
      </w:r>
      <w:bookmarkEnd w:id="8"/>
      <w:bookmarkEnd w:id="9"/>
      <w:r>
        <w:rPr>
          <w:rFonts w:hint="eastAsia" w:ascii="仿宋_GB2312" w:hAnsi="宋体" w:eastAsia="仿宋_GB2312" w:cs="Times New Roman"/>
          <w:sz w:val="32"/>
          <w:szCs w:val="28"/>
          <w:lang w:val="zh-CN" w:eastAsia="zh-CN"/>
        </w:rPr>
        <w:t>、</w:t>
      </w:r>
      <w:bookmarkStart w:id="10" w:name="_Toc100847861"/>
      <w:bookmarkStart w:id="11" w:name="_Toc100847816"/>
      <w:r>
        <w:rPr>
          <w:rFonts w:hint="eastAsia" w:ascii="仿宋_GB2312" w:hAnsi="宋体" w:eastAsia="仿宋_GB2312" w:cs="Times New Roman"/>
          <w:sz w:val="32"/>
          <w:szCs w:val="28"/>
          <w:lang w:val="zh-CN" w:eastAsia="zh-CN"/>
        </w:rPr>
        <w:t>储存</w:t>
      </w:r>
      <w:bookmarkEnd w:id="10"/>
      <w:bookmarkEnd w:id="11"/>
      <w:r>
        <w:rPr>
          <w:rFonts w:hint="eastAsia" w:ascii="仿宋_GB2312" w:hAnsi="宋体" w:eastAsia="仿宋_GB2312" w:cs="Times New Roman"/>
          <w:sz w:val="32"/>
          <w:szCs w:val="28"/>
          <w:lang w:val="zh-CN" w:eastAsia="zh-CN"/>
        </w:rPr>
        <w:t>、</w:t>
      </w:r>
      <w:bookmarkStart w:id="12" w:name="_Toc100847817"/>
      <w:bookmarkStart w:id="13" w:name="_Toc100847862"/>
      <w:r>
        <w:rPr>
          <w:rFonts w:hint="eastAsia" w:ascii="仿宋_GB2312" w:hAnsi="宋体" w:eastAsia="仿宋_GB2312" w:cs="Times New Roman"/>
          <w:sz w:val="32"/>
          <w:szCs w:val="28"/>
          <w:lang w:val="zh-CN" w:eastAsia="zh-CN"/>
        </w:rPr>
        <w:t>资源化处理</w:t>
      </w:r>
      <w:bookmarkEnd w:id="12"/>
      <w:bookmarkEnd w:id="13"/>
      <w:r>
        <w:rPr>
          <w:rFonts w:hint="eastAsia" w:ascii="仿宋_GB2312" w:hAnsi="宋体" w:eastAsia="仿宋_GB2312" w:cs="Times New Roman"/>
          <w:sz w:val="32"/>
          <w:szCs w:val="28"/>
          <w:lang w:val="zh-CN" w:eastAsia="zh-CN"/>
        </w:rPr>
        <w:t>、</w:t>
      </w:r>
      <w:bookmarkStart w:id="14" w:name="_Toc100847863"/>
      <w:bookmarkStart w:id="15" w:name="_Toc100847824"/>
      <w:r>
        <w:rPr>
          <w:rFonts w:hint="eastAsia" w:ascii="仿宋_GB2312" w:hAnsi="宋体" w:eastAsia="仿宋_GB2312" w:cs="Times New Roman"/>
          <w:sz w:val="32"/>
          <w:szCs w:val="28"/>
          <w:lang w:val="zh-CN" w:eastAsia="zh-CN"/>
        </w:rPr>
        <w:t>管理和信息收集</w:t>
      </w:r>
      <w:bookmarkEnd w:id="14"/>
      <w:bookmarkEnd w:id="15"/>
      <w:r>
        <w:rPr>
          <w:rFonts w:hint="eastAsia" w:ascii="仿宋_GB2312" w:hAnsi="宋体" w:eastAsia="仿宋_GB2312" w:cs="Times New Roman"/>
          <w:sz w:val="32"/>
          <w:szCs w:val="28"/>
          <w:lang w:val="zh-CN" w:eastAsia="zh-CN"/>
        </w:rPr>
        <w:t>。</w:t>
      </w:r>
    </w:p>
    <w:p>
      <w:pPr>
        <w:numPr>
          <w:ilvl w:val="0"/>
          <w:numId w:val="7"/>
        </w:numPr>
        <w:ind w:firstLine="643" w:firstLineChars="200"/>
        <w:rPr>
          <w:rFonts w:hint="eastAsia" w:ascii="楷体" w:hAnsi="楷体" w:eastAsia="楷体"/>
          <w:b/>
          <w:sz w:val="32"/>
          <w:szCs w:val="32"/>
          <w:lang w:val="zh-CN"/>
        </w:rPr>
      </w:pPr>
      <w:r>
        <w:rPr>
          <w:rFonts w:hint="eastAsia" w:ascii="楷体" w:hAnsi="楷体" w:eastAsia="楷体"/>
          <w:b/>
          <w:sz w:val="32"/>
          <w:szCs w:val="32"/>
          <w:lang w:val="zh-CN"/>
        </w:rPr>
        <w:t>术语和定义</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该部分用于解释在技术标准中使用的专业术语。本标准给出了</w:t>
      </w:r>
      <w:r>
        <w:rPr>
          <w:rFonts w:hint="eastAsia" w:ascii="仿宋_GB2312" w:hAnsi="宋体" w:eastAsia="仿宋_GB2312" w:cs="Times New Roman"/>
          <w:sz w:val="32"/>
          <w:szCs w:val="28"/>
          <w:lang w:val="en-US" w:eastAsia="zh-CN"/>
        </w:rPr>
        <w:t>3</w:t>
      </w:r>
      <w:r>
        <w:rPr>
          <w:rFonts w:hint="eastAsia" w:ascii="仿宋_GB2312" w:hAnsi="宋体" w:eastAsia="仿宋_GB2312" w:cs="Times New Roman"/>
          <w:sz w:val="32"/>
          <w:szCs w:val="28"/>
          <w:lang w:val="zh-CN" w:eastAsia="zh-CN"/>
        </w:rPr>
        <w:t xml:space="preserve"> 条术语和定义，包括绿化植物废弃物、预处理、特殊处理。</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rPr>
        <w:t>——绿化植物废弃物（greenery waste）。</w:t>
      </w:r>
      <w:r>
        <w:rPr>
          <w:rFonts w:hint="eastAsia" w:ascii="仿宋_GB2312" w:hAnsi="宋体" w:eastAsia="仿宋_GB2312"/>
          <w:sz w:val="32"/>
          <w:szCs w:val="28"/>
          <w:lang w:val="zh-CN" w:eastAsia="zh-CN"/>
        </w:rPr>
        <w:t>绿化植物在生长过程中因自然更新、病虫害、自然灾害、绿化养护和苗木移植过程中人工修整等产生的树叶、落花、树枝、草屑等植物性废弃物材料。</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该定义主要根据国家标准《 绿化植物废弃物处置和应用技术规程》（GB/T 31755-2015）的定义“绿化植物废弃物”进行了补充，在原有绿化植物废弃物基础上，根据当前我区绿化植物废弃物的特点进行了来源补充。</w:t>
      </w:r>
    </w:p>
    <w:p>
      <w:pPr>
        <w:spacing w:line="560" w:lineRule="exact"/>
        <w:ind w:firstLine="640" w:firstLineChars="200"/>
        <w:rPr>
          <w:rFonts w:hint="eastAsia" w:ascii="仿宋_GB2312" w:hAnsi="宋体" w:eastAsia="仿宋_GB2312"/>
          <w:sz w:val="32"/>
          <w:szCs w:val="28"/>
          <w:lang w:val="zh-CN" w:eastAsia="zh-CN"/>
        </w:rPr>
      </w:pPr>
      <w:bookmarkStart w:id="16" w:name="_Toc100847802"/>
      <w:r>
        <w:rPr>
          <w:rFonts w:hint="eastAsia" w:ascii="仿宋_GB2312" w:hAnsi="宋体" w:eastAsia="仿宋_GB2312"/>
          <w:sz w:val="32"/>
          <w:szCs w:val="28"/>
          <w:lang w:val="zh-CN" w:eastAsia="zh-CN"/>
        </w:rPr>
        <w:t>——预处理</w:t>
      </w:r>
      <w:bookmarkEnd w:id="16"/>
      <w:r>
        <w:rPr>
          <w:rFonts w:hint="eastAsia" w:ascii="仿宋_GB2312" w:hAnsi="宋体" w:eastAsia="仿宋_GB2312"/>
          <w:sz w:val="32"/>
          <w:szCs w:val="28"/>
          <w:lang w:val="zh-CN" w:eastAsia="zh-CN"/>
        </w:rPr>
        <w:t>（pretreatment）在绿化植物废弃物运输前，对绿化植物废弃物进行切割、分拣、分类、捆扎等的过程。</w:t>
      </w:r>
    </w:p>
    <w:p>
      <w:pPr>
        <w:spacing w:line="560" w:lineRule="exact"/>
        <w:ind w:firstLine="640" w:firstLineChars="200"/>
        <w:rPr>
          <w:rFonts w:hint="eastAsia"/>
          <w:lang w:val="zh-CN" w:eastAsia="zh-CN"/>
        </w:rPr>
      </w:pPr>
      <w:r>
        <w:rPr>
          <w:rFonts w:hint="eastAsia" w:ascii="仿宋_GB2312" w:hAnsi="宋体" w:eastAsia="仿宋_GB2312"/>
          <w:sz w:val="32"/>
          <w:szCs w:val="28"/>
          <w:lang w:val="zh-CN"/>
        </w:rPr>
        <w:t>[来源：</w:t>
      </w:r>
      <w:r>
        <w:rPr>
          <w:rFonts w:hint="eastAsia" w:ascii="仿宋_GB2312" w:hAnsi="宋体" w:eastAsia="仿宋_GB2312"/>
          <w:sz w:val="32"/>
          <w:szCs w:val="28"/>
          <w:lang w:val="en-US" w:eastAsia="zh-CN"/>
        </w:rPr>
        <w:t>T</w:t>
      </w:r>
      <w:r>
        <w:rPr>
          <w:rFonts w:hint="eastAsia" w:ascii="仿宋_GB2312" w:hAnsi="宋体" w:eastAsia="仿宋_GB2312"/>
          <w:sz w:val="32"/>
          <w:szCs w:val="28"/>
          <w:lang w:val="zh-CN"/>
        </w:rPr>
        <w:t>/</w:t>
      </w:r>
      <w:r>
        <w:rPr>
          <w:rFonts w:hint="eastAsia" w:ascii="仿宋_GB2312" w:hAnsi="宋体" w:eastAsia="仿宋_GB2312"/>
          <w:sz w:val="32"/>
          <w:szCs w:val="28"/>
          <w:lang w:val="en-US" w:eastAsia="zh-CN"/>
        </w:rPr>
        <w:t>HW</w:t>
      </w:r>
      <w:r>
        <w:rPr>
          <w:rFonts w:hint="eastAsia" w:ascii="仿宋_GB2312" w:hAnsi="宋体" w:eastAsia="仿宋_GB2312"/>
          <w:sz w:val="32"/>
          <w:szCs w:val="28"/>
          <w:lang w:val="zh-CN"/>
        </w:rPr>
        <w:t xml:space="preserve"> </w:t>
      </w:r>
      <w:r>
        <w:rPr>
          <w:rFonts w:hint="eastAsia" w:ascii="仿宋_GB2312" w:hAnsi="宋体" w:eastAsia="仿宋_GB2312"/>
          <w:sz w:val="32"/>
          <w:szCs w:val="28"/>
          <w:lang w:val="en-US" w:eastAsia="zh-CN"/>
        </w:rPr>
        <w:t>00019</w:t>
      </w:r>
      <w:r>
        <w:rPr>
          <w:rFonts w:hint="eastAsia" w:ascii="仿宋_GB2312" w:hAnsi="宋体" w:eastAsia="仿宋_GB2312"/>
          <w:sz w:val="32"/>
          <w:szCs w:val="28"/>
          <w:lang w:val="zh-CN"/>
        </w:rPr>
        <w:t>—</w:t>
      </w:r>
      <w:r>
        <w:rPr>
          <w:rFonts w:hint="eastAsia" w:ascii="仿宋_GB2312" w:hAnsi="宋体" w:eastAsia="仿宋_GB2312"/>
          <w:sz w:val="32"/>
          <w:szCs w:val="28"/>
          <w:lang w:val="en-US" w:eastAsia="zh-CN"/>
        </w:rPr>
        <w:t>2020</w:t>
      </w:r>
      <w:r>
        <w:rPr>
          <w:rFonts w:hint="eastAsia" w:ascii="仿宋_GB2312" w:hAnsi="宋体" w:eastAsia="仿宋_GB2312"/>
          <w:sz w:val="32"/>
          <w:szCs w:val="28"/>
          <w:lang w:val="zh-CN"/>
        </w:rPr>
        <w:t>，定义</w:t>
      </w:r>
      <w:r>
        <w:rPr>
          <w:rFonts w:hint="eastAsia" w:ascii="仿宋_GB2312" w:hAnsi="宋体" w:eastAsia="仿宋_GB2312"/>
          <w:sz w:val="32"/>
          <w:szCs w:val="28"/>
          <w:lang w:val="en-US" w:eastAsia="zh-CN"/>
        </w:rPr>
        <w:t>2.0.2</w:t>
      </w:r>
      <w:r>
        <w:rPr>
          <w:rFonts w:hint="eastAsia" w:ascii="仿宋_GB2312" w:hAnsi="宋体" w:eastAsia="仿宋_GB2312"/>
          <w:sz w:val="32"/>
          <w:szCs w:val="28"/>
          <w:lang w:val="zh-CN"/>
        </w:rPr>
        <w:t>，有修改]</w:t>
      </w:r>
    </w:p>
    <w:p>
      <w:pPr>
        <w:spacing w:line="560" w:lineRule="exact"/>
        <w:ind w:firstLine="640" w:firstLineChars="200"/>
        <w:rPr>
          <w:rFonts w:hint="eastAsia" w:ascii="仿宋_GB2312" w:hAnsi="宋体" w:eastAsia="仿宋_GB2312"/>
          <w:sz w:val="32"/>
          <w:szCs w:val="28"/>
          <w:lang w:val="zh-CN"/>
        </w:rPr>
      </w:pPr>
      <w:r>
        <w:rPr>
          <w:rFonts w:hint="eastAsia" w:ascii="仿宋_GB2312" w:hAnsi="宋体" w:eastAsia="仿宋_GB2312"/>
          <w:sz w:val="32"/>
          <w:szCs w:val="28"/>
          <w:lang w:val="zh-CN" w:eastAsia="zh-CN"/>
        </w:rPr>
        <w:t>——特殊处理（special treatment）。</w:t>
      </w:r>
      <w:r>
        <w:rPr>
          <w:rFonts w:hint="eastAsia" w:ascii="仿宋_GB2312" w:hAnsi="宋体" w:eastAsia="仿宋_GB2312" w:cs="Times New Roman"/>
          <w:sz w:val="32"/>
          <w:szCs w:val="28"/>
          <w:lang w:val="zh-CN" w:eastAsia="zh-CN"/>
        </w:rPr>
        <w:t>对含有有毒或危险性化学物质、检疫性有害生物的绿化植物废弃物，由有资质的机构进行的处理。</w:t>
      </w:r>
    </w:p>
    <w:p>
      <w:pPr>
        <w:spacing w:line="560" w:lineRule="exact"/>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[来源：LY/T 1822—2019，定义3.</w:t>
      </w:r>
      <w:r>
        <w:rPr>
          <w:rFonts w:hint="eastAsia" w:ascii="仿宋_GB2312" w:hAnsi="宋体" w:eastAsia="仿宋_GB2312"/>
          <w:sz w:val="32"/>
          <w:szCs w:val="28"/>
          <w:lang w:val="en-US" w:eastAsia="zh-CN"/>
        </w:rPr>
        <w:t>8，有修改</w:t>
      </w:r>
      <w:r>
        <w:rPr>
          <w:rFonts w:hint="eastAsia" w:ascii="仿宋_GB2312" w:hAnsi="宋体" w:eastAsia="仿宋_GB2312"/>
          <w:sz w:val="32"/>
          <w:szCs w:val="28"/>
          <w:lang w:val="zh-CN"/>
        </w:rPr>
        <w:t>]</w:t>
      </w:r>
    </w:p>
    <w:p>
      <w:pPr>
        <w:numPr>
          <w:ilvl w:val="0"/>
          <w:numId w:val="8"/>
        </w:numPr>
        <w:ind w:left="-13" w:leftChars="0" w:firstLine="643" w:firstLineChars="0"/>
        <w:rPr>
          <w:rFonts w:hint="eastAsia" w:ascii="楷体" w:hAnsi="楷体" w:eastAsia="楷体"/>
          <w:b/>
          <w:sz w:val="32"/>
          <w:szCs w:val="32"/>
          <w:lang w:val="zh-CN"/>
        </w:rPr>
      </w:pPr>
      <w:r>
        <w:rPr>
          <w:rFonts w:hint="eastAsia" w:ascii="楷体" w:hAnsi="楷体" w:eastAsia="楷体"/>
          <w:b/>
          <w:sz w:val="32"/>
          <w:szCs w:val="32"/>
          <w:lang w:val="zh-CN"/>
        </w:rPr>
        <w:t>基本原则</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en-US" w:eastAsia="zh-CN"/>
        </w:rPr>
        <w:t>在</w:t>
      </w:r>
      <w:r>
        <w:rPr>
          <w:rFonts w:hint="eastAsia" w:ascii="仿宋_GB2312" w:hAnsi="宋体" w:eastAsia="仿宋_GB2312" w:cs="Times New Roman"/>
          <w:sz w:val="32"/>
          <w:szCs w:val="28"/>
          <w:lang w:val="zh-CN" w:eastAsia="zh-CN"/>
        </w:rPr>
        <w:t>绿化植物废弃物</w:t>
      </w:r>
      <w:r>
        <w:rPr>
          <w:rFonts w:hint="eastAsia" w:ascii="仿宋_GB2312" w:hAnsi="宋体" w:eastAsia="仿宋_GB2312" w:cs="Times New Roman"/>
          <w:sz w:val="32"/>
          <w:szCs w:val="28"/>
          <w:lang w:val="en-US" w:eastAsia="zh-CN"/>
        </w:rPr>
        <w:t>的资源化处理过程中，主要强调三个基本原则：</w:t>
      </w:r>
    </w:p>
    <w:p>
      <w:pPr>
        <w:numPr>
          <w:ilvl w:val="0"/>
          <w:numId w:val="9"/>
        </w:num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sz w:val="32"/>
          <w:szCs w:val="28"/>
          <w:lang w:val="zh-CN" w:eastAsia="zh-CN"/>
        </w:rPr>
        <w:t>合理、高效、低碳、循环利用的原则。</w:t>
      </w:r>
      <w:r>
        <w:rPr>
          <w:rFonts w:hint="eastAsia" w:ascii="仿宋_GB2312" w:hAnsi="宋体" w:eastAsia="仿宋_GB2312" w:cs="Times New Roman"/>
          <w:sz w:val="32"/>
          <w:szCs w:val="28"/>
          <w:lang w:val="zh-CN" w:eastAsia="zh-CN"/>
        </w:rPr>
        <w:t>绿化植物废弃物收运和处置系统的规划、建设、运行与管理，应综合考虑各方面的因素，根据绿化植物废弃物类别、产生量、收运范围、运输距离等，统筹规划，合理布局，科学安排处置利用，实现资源合理高效利用。</w:t>
      </w:r>
    </w:p>
    <w:p>
      <w:pPr>
        <w:numPr>
          <w:ilvl w:val="0"/>
          <w:numId w:val="9"/>
        </w:numPr>
        <w:spacing w:line="560" w:lineRule="exact"/>
        <w:ind w:firstLine="640" w:firstLineChars="200"/>
        <w:rPr>
          <w:rFonts w:hint="eastAsia" w:ascii="仿宋_GB2312" w:hAnsi="宋体" w:eastAsia="仿宋_GB2312"/>
          <w:sz w:val="32"/>
          <w:szCs w:val="28"/>
          <w:lang w:val="zh-CN" w:eastAsia="zh-CN"/>
        </w:rPr>
      </w:pPr>
      <w:r>
        <w:rPr>
          <w:rFonts w:hint="eastAsia" w:ascii="仿宋_GB2312" w:hAnsi="宋体" w:eastAsia="仿宋_GB2312"/>
          <w:sz w:val="32"/>
          <w:szCs w:val="28"/>
          <w:lang w:val="zh-CN" w:eastAsia="zh-CN"/>
        </w:rPr>
        <w:t>适用性技术原则。绿化</w:t>
      </w:r>
      <w:r>
        <w:rPr>
          <w:rFonts w:hint="eastAsia" w:ascii="仿宋_GB2312" w:hAnsi="宋体" w:eastAsia="仿宋_GB2312"/>
          <w:sz w:val="32"/>
          <w:szCs w:val="28"/>
          <w:lang w:val="en-US" w:eastAsia="zh-CN"/>
        </w:rPr>
        <w:t>植物</w:t>
      </w:r>
      <w:r>
        <w:rPr>
          <w:rFonts w:hint="eastAsia" w:ascii="仿宋_GB2312" w:hAnsi="宋体" w:eastAsia="仿宋_GB2312"/>
          <w:sz w:val="32"/>
          <w:szCs w:val="28"/>
          <w:lang w:val="zh-CN" w:eastAsia="zh-CN"/>
        </w:rPr>
        <w:t>废弃物再利用应该根据实际情况而定，要因地制宜，结合本地的地理环境、市区情况、市场状况，分别选择不同的技术路线。</w:t>
      </w:r>
    </w:p>
    <w:p>
      <w:pPr>
        <w:numPr>
          <w:ilvl w:val="0"/>
          <w:numId w:val="9"/>
        </w:numPr>
        <w:spacing w:line="560" w:lineRule="exact"/>
        <w:ind w:left="0" w:leftChars="0"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分类收集、分类运输、分类处理的原则。绿化植物废弃物在收集和运输前应按要求分类，不同类别的绿化植物废弃物应安排不同的专用车辆进行收集运输，不得将分好类的绿化植物废弃物混装后运输，也不得将绿化植物废弃物混入其他垃圾收运体系。分类后的绿化植物废弃物应根据处置要求用专用车辆运输到匹配的末端处理站，如易腐类绿化植物废弃物适宜堆肥，木质纤维素含量高的树干适宜加工园林绿化覆盖物或生物质固型燃料等。</w:t>
      </w:r>
    </w:p>
    <w:p>
      <w:pPr>
        <w:numPr>
          <w:ilvl w:val="0"/>
          <w:numId w:val="9"/>
        </w:numPr>
        <w:spacing w:line="560" w:lineRule="exact"/>
        <w:ind w:left="0" w:leftChars="0"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分散预处理与集中加工相结合的开展原则。按照分类收集的原则，不同</w:t>
      </w:r>
      <w:r>
        <w:rPr>
          <w:rFonts w:hint="eastAsia" w:ascii="仿宋_GB2312" w:hAnsi="宋体" w:eastAsia="仿宋_GB2312" w:cs="Times New Roman"/>
          <w:sz w:val="32"/>
          <w:szCs w:val="28"/>
          <w:lang w:val="en-US" w:eastAsia="zh-CN"/>
        </w:rPr>
        <w:t>区域</w:t>
      </w:r>
      <w:r>
        <w:rPr>
          <w:rFonts w:hint="eastAsia" w:ascii="仿宋_GB2312" w:hAnsi="宋体" w:eastAsia="仿宋_GB2312" w:cs="Times New Roman"/>
          <w:sz w:val="32"/>
          <w:szCs w:val="28"/>
          <w:lang w:val="zh-CN" w:eastAsia="zh-CN"/>
        </w:rPr>
        <w:t>的绿化植物废弃物，根据其产生量，酌情考虑分散和集中处理，鼓励就近分散处理，或者将绿化植物废弃物统一运输到处置场地集中处理，减少在收运和处理绿化植物废弃物时的资源消耗。</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en-US" w:eastAsia="zh-CN"/>
        </w:rPr>
        <w:t>5、</w:t>
      </w:r>
      <w:r>
        <w:rPr>
          <w:rFonts w:hint="eastAsia" w:ascii="仿宋_GB2312" w:hAnsi="宋体" w:eastAsia="仿宋_GB2312" w:cs="Times New Roman"/>
          <w:sz w:val="32"/>
          <w:szCs w:val="28"/>
          <w:lang w:val="zh-CN" w:eastAsia="zh-CN"/>
        </w:rPr>
        <w:t>就近原则和交通便利原则。绿化植物废弃物收集点的设置应综合考虑服务范围内绿化植物废弃物产生量、收集能力、运输距离、配套条件等因素，遵循就近原则和交通便利原则，规划最经济合理的路线。</w:t>
      </w:r>
    </w:p>
    <w:p>
      <w:pPr>
        <w:numPr>
          <w:ilvl w:val="0"/>
          <w:numId w:val="8"/>
        </w:numPr>
        <w:ind w:left="-13" w:leftChars="0" w:firstLine="643" w:firstLineChars="0"/>
        <w:rPr>
          <w:rFonts w:hint="eastAsia" w:ascii="楷体" w:hAnsi="楷体" w:eastAsia="楷体"/>
          <w:b/>
          <w:sz w:val="32"/>
          <w:szCs w:val="32"/>
          <w:lang w:val="zh-CN" w:eastAsia="zh-CN"/>
        </w:rPr>
      </w:pPr>
      <w:r>
        <w:rPr>
          <w:rFonts w:hint="eastAsia" w:ascii="楷体" w:hAnsi="楷体" w:eastAsia="楷体"/>
          <w:b/>
          <w:sz w:val="32"/>
          <w:szCs w:val="32"/>
          <w:lang w:val="zh-CN" w:eastAsia="zh-CN"/>
        </w:rPr>
        <w:t>处理站点</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鉴于绿化植物废弃物不会像生活垃圾一样常年均匀连续产生，有些处理站点不要求常年存在，设置为临时收集点、中转站和集中收集处理中心，同时，处置站点应符合防火、环境卫生、各种安全等的要求：</w:t>
      </w:r>
    </w:p>
    <w:p>
      <w:pPr>
        <w:spacing w:line="560" w:lineRule="exact"/>
        <w:ind w:firstLine="640" w:firstLineChars="200"/>
        <w:rPr>
          <w:rFonts w:hint="eastAsia" w:ascii="仿宋_GB2312" w:hAnsi="宋体" w:eastAsia="仿宋_GB2312" w:cs="Times New Roman"/>
          <w:sz w:val="32"/>
          <w:szCs w:val="28"/>
          <w:lang w:val="zh-CN" w:eastAsia="zh-CN"/>
        </w:rPr>
      </w:pPr>
      <w:bookmarkStart w:id="17" w:name="_Toc100847806"/>
      <w:r>
        <w:rPr>
          <w:rFonts w:hint="eastAsia" w:ascii="仿宋_GB2312" w:hAnsi="宋体" w:eastAsia="仿宋_GB2312" w:cs="Times New Roman"/>
          <w:sz w:val="32"/>
          <w:szCs w:val="28"/>
          <w:lang w:val="zh-CN" w:eastAsia="zh-CN"/>
        </w:rPr>
        <w:t>一是应先综合考虑服务范围内绿化植物废弃物产生量及运输距离等因素合理规划处理站点。</w:t>
      </w:r>
      <w:bookmarkEnd w:id="17"/>
    </w:p>
    <w:p>
      <w:pPr>
        <w:spacing w:line="560" w:lineRule="exact"/>
        <w:ind w:firstLine="640" w:firstLineChars="200"/>
        <w:rPr>
          <w:rFonts w:hint="eastAsia" w:ascii="仿宋_GB2312" w:hAnsi="宋体" w:eastAsia="仿宋_GB2312" w:cs="Times New Roman"/>
          <w:sz w:val="32"/>
          <w:szCs w:val="28"/>
          <w:lang w:val="zh-CN" w:eastAsia="zh-CN"/>
        </w:rPr>
      </w:pPr>
      <w:bookmarkStart w:id="18" w:name="_Toc100847807"/>
      <w:r>
        <w:rPr>
          <w:rFonts w:hint="eastAsia" w:ascii="仿宋_GB2312" w:hAnsi="宋体" w:eastAsia="仿宋_GB2312" w:cs="Times New Roman"/>
          <w:sz w:val="32"/>
          <w:szCs w:val="28"/>
          <w:lang w:val="zh-CN" w:eastAsia="zh-CN"/>
        </w:rPr>
        <w:t>二是处理站点场地选址应最大限度地降低运输和建设成本。</w:t>
      </w:r>
      <w:bookmarkEnd w:id="18"/>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三是处置站点场地应远离生活区、水源区、景点，作业区宜布置在主导风向的下风向。</w:t>
      </w:r>
    </w:p>
    <w:p>
      <w:pPr>
        <w:spacing w:line="560" w:lineRule="exact"/>
        <w:ind w:firstLine="640" w:firstLineChars="200"/>
        <w:rPr>
          <w:rFonts w:hint="eastAsia" w:ascii="仿宋_GB2312" w:hAnsi="宋体" w:eastAsia="仿宋_GB2312" w:cs="Times New Roman"/>
          <w:sz w:val="32"/>
          <w:szCs w:val="28"/>
          <w:lang w:val="zh-CN" w:eastAsia="zh-CN"/>
        </w:rPr>
      </w:pPr>
      <w:bookmarkStart w:id="19" w:name="_Toc100847808"/>
      <w:r>
        <w:rPr>
          <w:rFonts w:hint="eastAsia" w:ascii="仿宋_GB2312" w:hAnsi="宋体" w:eastAsia="仿宋_GB2312" w:cs="Times New Roman"/>
          <w:sz w:val="32"/>
          <w:szCs w:val="28"/>
          <w:lang w:val="zh-CN" w:eastAsia="zh-CN"/>
        </w:rPr>
        <w:t>四是应根据绿化植物的分布情况，设置处理站点为固定收集点、临时收集点、中转站和集中收集处理中心。</w:t>
      </w:r>
      <w:bookmarkEnd w:id="19"/>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en-US" w:eastAsia="zh-CN"/>
        </w:rPr>
        <w:t>五是</w:t>
      </w:r>
      <w:r>
        <w:rPr>
          <w:rFonts w:hint="eastAsia" w:ascii="仿宋_GB2312" w:hAnsi="宋体" w:eastAsia="仿宋_GB2312" w:cs="Times New Roman"/>
          <w:sz w:val="32"/>
          <w:szCs w:val="28"/>
          <w:lang w:val="zh-CN" w:eastAsia="zh-CN"/>
        </w:rPr>
        <w:t>一般综合性公园、动物园、植物园、园博园等或者大面积城市绿地（50 hm</w:t>
      </w:r>
      <w:r>
        <w:rPr>
          <w:rFonts w:hint="eastAsia" w:ascii="仿宋_GB2312" w:hAnsi="宋体" w:eastAsia="仿宋_GB2312" w:cs="Times New Roman"/>
          <w:sz w:val="32"/>
          <w:szCs w:val="28"/>
          <w:vertAlign w:val="superscript"/>
          <w:lang w:val="zh-CN" w:eastAsia="zh-CN"/>
        </w:rPr>
        <w:t xml:space="preserve">2 </w:t>
      </w:r>
      <w:r>
        <w:rPr>
          <w:rFonts w:hint="eastAsia" w:ascii="仿宋_GB2312" w:hAnsi="宋体" w:eastAsia="仿宋_GB2312" w:cs="Times New Roman"/>
          <w:sz w:val="32"/>
          <w:szCs w:val="28"/>
          <w:lang w:val="zh-CN" w:eastAsia="zh-CN"/>
        </w:rPr>
        <w:t>以上），在规划前期应设计好固定的绿化植物废弃物收集点。</w:t>
      </w:r>
    </w:p>
    <w:p>
      <w:pPr>
        <w:spacing w:line="560" w:lineRule="exact"/>
        <w:ind w:firstLine="640" w:firstLineChars="200"/>
        <w:rPr>
          <w:rFonts w:hint="eastAsia" w:ascii="仿宋_GB2312" w:hAnsi="宋体" w:eastAsia="仿宋_GB2312" w:cs="Times New Roman"/>
          <w:sz w:val="32"/>
          <w:szCs w:val="28"/>
          <w:lang w:val="zh-CN" w:eastAsia="zh-CN"/>
        </w:rPr>
      </w:pPr>
      <w:bookmarkStart w:id="20" w:name="_Toc100847809"/>
      <w:r>
        <w:rPr>
          <w:rFonts w:hint="eastAsia" w:ascii="仿宋_GB2312" w:hAnsi="宋体" w:eastAsia="仿宋_GB2312" w:cs="Times New Roman"/>
          <w:sz w:val="32"/>
          <w:szCs w:val="28"/>
          <w:lang w:val="en-US" w:eastAsia="zh-CN"/>
        </w:rPr>
        <w:t>六</w:t>
      </w:r>
      <w:r>
        <w:rPr>
          <w:rFonts w:hint="eastAsia" w:ascii="仿宋_GB2312" w:hAnsi="宋体" w:eastAsia="仿宋_GB2312" w:cs="Times New Roman"/>
          <w:sz w:val="32"/>
          <w:szCs w:val="28"/>
          <w:lang w:val="zh-CN" w:eastAsia="zh-CN"/>
        </w:rPr>
        <w:t>是集中收集处理中心应具备对绿化植物废弃物资源化利用的生产条件，对集中收集的废弃物进行深加工、包装和存放。</w:t>
      </w:r>
      <w:bookmarkEnd w:id="20"/>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en-US" w:eastAsia="zh-CN"/>
        </w:rPr>
        <w:t>七</w:t>
      </w:r>
      <w:r>
        <w:rPr>
          <w:rFonts w:hint="eastAsia" w:ascii="仿宋_GB2312" w:hAnsi="宋体" w:eastAsia="仿宋_GB2312" w:cs="Times New Roman"/>
          <w:sz w:val="32"/>
          <w:szCs w:val="28"/>
          <w:lang w:val="zh-CN" w:eastAsia="zh-CN"/>
        </w:rPr>
        <w:t>是处理站点应符合防火、卫生和各种安全的要求。</w:t>
      </w:r>
    </w:p>
    <w:p>
      <w:pPr>
        <w:spacing w:line="560" w:lineRule="exact"/>
        <w:ind w:firstLine="640" w:firstLineChars="200"/>
        <w:rPr>
          <w:rFonts w:hint="eastAsia" w:ascii="仿宋_GB2312" w:hAnsi="宋体" w:eastAsia="仿宋_GB2312" w:cs="Times New Roman"/>
          <w:sz w:val="32"/>
          <w:szCs w:val="28"/>
          <w:lang w:val="zh-CN" w:eastAsia="zh-CN"/>
        </w:rPr>
      </w:pPr>
      <w:bookmarkStart w:id="21" w:name="_Toc100847810"/>
      <w:r>
        <w:rPr>
          <w:rFonts w:hint="eastAsia" w:ascii="仿宋_GB2312" w:hAnsi="宋体" w:eastAsia="仿宋_GB2312" w:cs="Times New Roman"/>
          <w:sz w:val="32"/>
          <w:szCs w:val="28"/>
          <w:lang w:val="en-US" w:eastAsia="zh-CN"/>
        </w:rPr>
        <w:t>八</w:t>
      </w:r>
      <w:r>
        <w:rPr>
          <w:rFonts w:hint="eastAsia" w:ascii="仿宋_GB2312" w:hAnsi="宋体" w:eastAsia="仿宋_GB2312" w:cs="Times New Roman"/>
          <w:sz w:val="32"/>
          <w:szCs w:val="28"/>
          <w:lang w:val="zh-CN" w:eastAsia="zh-CN"/>
        </w:rPr>
        <w:t>是处理站点的排水系统应采用分流制，应设污水处理设施。</w:t>
      </w:r>
      <w:bookmarkEnd w:id="21"/>
    </w:p>
    <w:p>
      <w:pPr>
        <w:spacing w:line="560" w:lineRule="exact"/>
        <w:ind w:firstLine="640" w:firstLineChars="200"/>
        <w:rPr>
          <w:rFonts w:hint="eastAsia" w:ascii="仿宋_GB2312" w:hAnsi="宋体" w:eastAsia="仿宋_GB2312" w:cs="Times New Roman"/>
          <w:sz w:val="32"/>
          <w:szCs w:val="28"/>
          <w:lang w:val="zh-CN" w:eastAsia="zh-CN"/>
        </w:rPr>
      </w:pPr>
      <w:bookmarkStart w:id="22" w:name="_Toc100847811"/>
      <w:r>
        <w:rPr>
          <w:rFonts w:hint="eastAsia" w:ascii="仿宋_GB2312" w:hAnsi="宋体" w:eastAsia="仿宋_GB2312" w:cs="Times New Roman"/>
          <w:sz w:val="32"/>
          <w:szCs w:val="28"/>
          <w:lang w:val="en-US" w:eastAsia="zh-CN"/>
        </w:rPr>
        <w:t>九</w:t>
      </w:r>
      <w:r>
        <w:rPr>
          <w:rFonts w:hint="eastAsia" w:ascii="仿宋_GB2312" w:hAnsi="宋体" w:eastAsia="仿宋_GB2312" w:cs="Times New Roman"/>
          <w:sz w:val="32"/>
          <w:szCs w:val="28"/>
          <w:lang w:val="zh-CN" w:eastAsia="zh-CN"/>
        </w:rPr>
        <w:t>是处理站点宜建成平整的硬化地面，有固定的建筑设施满足设备安置及物料堆放的需求。</w:t>
      </w:r>
      <w:bookmarkEnd w:id="22"/>
    </w:p>
    <w:p>
      <w:pPr>
        <w:spacing w:line="560" w:lineRule="exact"/>
        <w:ind w:firstLine="640" w:firstLineChars="200"/>
        <w:rPr>
          <w:rFonts w:hint="eastAsia" w:ascii="仿宋_GB2312" w:hAnsi="宋体" w:eastAsia="仿宋_GB2312" w:cs="Times New Roman"/>
          <w:sz w:val="32"/>
          <w:szCs w:val="28"/>
          <w:lang w:val="zh-CN" w:eastAsia="zh-CN"/>
        </w:rPr>
      </w:pPr>
      <w:bookmarkStart w:id="23" w:name="_Toc100847812"/>
      <w:r>
        <w:rPr>
          <w:rFonts w:hint="eastAsia" w:ascii="仿宋_GB2312" w:hAnsi="宋体" w:eastAsia="仿宋_GB2312" w:cs="Times New Roman"/>
          <w:sz w:val="32"/>
          <w:szCs w:val="28"/>
          <w:lang w:val="en-US" w:eastAsia="zh-CN"/>
        </w:rPr>
        <w:t>十</w:t>
      </w:r>
      <w:r>
        <w:rPr>
          <w:rFonts w:hint="eastAsia" w:ascii="仿宋_GB2312" w:hAnsi="宋体" w:eastAsia="仿宋_GB2312" w:cs="Times New Roman"/>
          <w:sz w:val="32"/>
          <w:szCs w:val="28"/>
          <w:lang w:val="zh-CN" w:eastAsia="zh-CN"/>
        </w:rPr>
        <w:t>是没有经过铺设的处理站点，应确保土壤具有足够的透水能力，以保证不会造成土壤泥泞，同时也能满足机械操作的要求。</w:t>
      </w:r>
      <w:bookmarkEnd w:id="23"/>
    </w:p>
    <w:p>
      <w:pPr>
        <w:numPr>
          <w:ilvl w:val="0"/>
          <w:numId w:val="8"/>
        </w:numPr>
        <w:ind w:left="-13" w:leftChars="0" w:firstLine="643" w:firstLineChars="0"/>
        <w:rPr>
          <w:rFonts w:hint="eastAsia" w:ascii="楷体" w:hAnsi="楷体" w:eastAsia="楷体"/>
          <w:b/>
          <w:sz w:val="32"/>
          <w:szCs w:val="32"/>
          <w:lang w:val="zh-CN" w:eastAsia="zh-CN"/>
        </w:rPr>
      </w:pPr>
      <w:r>
        <w:rPr>
          <w:rFonts w:hint="eastAsia" w:ascii="楷体" w:hAnsi="楷体" w:eastAsia="楷体"/>
          <w:b/>
          <w:sz w:val="32"/>
          <w:szCs w:val="32"/>
          <w:lang w:val="zh-CN" w:eastAsia="zh-CN"/>
        </w:rPr>
        <w:t>服务单位</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本条对绿化植物废弃物收运和处置单位应当具备的基本条件进行了规定。服务单位应取得当地政府部门的核准或进行相应的备案；服务单位承接绿化植物废弃物的处置工作应与主管单位签订相应的合同或协议；服务单位应自觉接受相关主管部门的管理和监督；服务单位应配备相应的人员、技术、场地、设施设备等生产条件；服务单位应建立完善的台账制度，包括收运作业台账、处置台账、安全管理台账等；服务单位应具备健全的组织机构和管理制度；服务单位应对作业人员进行相关实操培训及安全卫生培训；服务单位应积极采用信息化技术，实现智慧化管理绿化植物废弃物的收运和处置。</w:t>
      </w:r>
    </w:p>
    <w:p>
      <w:pPr>
        <w:numPr>
          <w:ilvl w:val="0"/>
          <w:numId w:val="8"/>
        </w:numPr>
        <w:ind w:left="-13" w:leftChars="0" w:firstLine="643" w:firstLineChars="0"/>
        <w:rPr>
          <w:rFonts w:hint="eastAsia" w:ascii="楷体" w:hAnsi="楷体" w:eastAsia="楷体"/>
          <w:b/>
          <w:sz w:val="32"/>
          <w:szCs w:val="32"/>
          <w:lang w:val="zh-CN" w:eastAsia="zh-CN"/>
        </w:rPr>
      </w:pPr>
      <w:r>
        <w:rPr>
          <w:rFonts w:hint="eastAsia" w:ascii="楷体" w:hAnsi="楷体" w:eastAsia="楷体"/>
          <w:b/>
          <w:sz w:val="32"/>
          <w:szCs w:val="32"/>
          <w:lang w:val="zh-CN" w:eastAsia="zh-CN"/>
        </w:rPr>
        <w:t>预处理</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绿化植物废弃物体积较大，需要进行枝干分解方便捆扎，为保证作业人员及周边行人、居民的安全，预处理作业应在规定的场地内进行，同时，进行简单分拣，严禁其他垃圾和危险废物混入。</w:t>
      </w:r>
    </w:p>
    <w:p>
      <w:pPr>
        <w:numPr>
          <w:ilvl w:val="0"/>
          <w:numId w:val="0"/>
        </w:numPr>
        <w:ind w:left="630" w:leftChars="0"/>
        <w:rPr>
          <w:rFonts w:hint="eastAsia" w:ascii="楷体" w:hAnsi="楷体" w:eastAsia="楷体"/>
          <w:b/>
          <w:sz w:val="32"/>
          <w:szCs w:val="32"/>
          <w:lang w:val="zh-CN" w:eastAsia="zh-CN"/>
        </w:rPr>
      </w:pPr>
      <w:r>
        <w:rPr>
          <w:rFonts w:hint="eastAsia" w:ascii="楷体" w:hAnsi="楷体" w:eastAsia="楷体"/>
          <w:b/>
          <w:sz w:val="32"/>
          <w:szCs w:val="32"/>
          <w:lang w:val="zh-CN" w:eastAsia="zh-CN"/>
        </w:rPr>
        <w:t>（六）收集与运输</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根据标准起草单位对绿化植物废弃物收运的研究成果以及试验验证，同时参考了《 绿化植物废弃物处置和应用技术规程》（GB/T 31755-2015）、《园林垃圾收运技术规程》（</w:t>
      </w:r>
      <w:r>
        <w:rPr>
          <w:rFonts w:hint="eastAsia" w:ascii="仿宋_GB2312" w:hAnsi="宋体" w:eastAsia="仿宋_GB2312" w:cs="Times New Roman"/>
          <w:sz w:val="32"/>
          <w:szCs w:val="28"/>
          <w:lang w:val="en-US" w:eastAsia="zh-CN"/>
        </w:rPr>
        <w:t>T</w:t>
      </w:r>
      <w:r>
        <w:rPr>
          <w:rFonts w:hint="eastAsia" w:ascii="仿宋_GB2312" w:hAnsi="宋体" w:eastAsia="仿宋_GB2312" w:cs="Times New Roman"/>
          <w:sz w:val="32"/>
          <w:szCs w:val="28"/>
          <w:lang w:val="zh-CN" w:eastAsia="zh-CN"/>
        </w:rPr>
        <w:t>/</w:t>
      </w:r>
      <w:r>
        <w:rPr>
          <w:rFonts w:hint="eastAsia" w:ascii="仿宋_GB2312" w:hAnsi="宋体" w:eastAsia="仿宋_GB2312" w:cs="Times New Roman"/>
          <w:sz w:val="32"/>
          <w:szCs w:val="28"/>
          <w:lang w:val="en-US" w:eastAsia="zh-CN"/>
        </w:rPr>
        <w:t>HW</w:t>
      </w:r>
      <w:r>
        <w:rPr>
          <w:rFonts w:hint="eastAsia" w:ascii="仿宋_GB2312" w:hAnsi="宋体" w:eastAsia="仿宋_GB2312" w:cs="Times New Roman"/>
          <w:sz w:val="32"/>
          <w:szCs w:val="28"/>
          <w:lang w:val="zh-CN" w:eastAsia="zh-CN"/>
        </w:rPr>
        <w:t xml:space="preserve"> </w:t>
      </w:r>
      <w:r>
        <w:rPr>
          <w:rFonts w:hint="eastAsia" w:ascii="仿宋_GB2312" w:hAnsi="宋体" w:eastAsia="仿宋_GB2312" w:cs="Times New Roman"/>
          <w:sz w:val="32"/>
          <w:szCs w:val="28"/>
          <w:lang w:val="en-US" w:eastAsia="zh-CN"/>
        </w:rPr>
        <w:t>00019</w:t>
      </w:r>
      <w:r>
        <w:rPr>
          <w:rFonts w:hint="eastAsia" w:ascii="仿宋_GB2312" w:hAnsi="宋体" w:eastAsia="仿宋_GB2312" w:cs="Times New Roman"/>
          <w:sz w:val="32"/>
          <w:szCs w:val="28"/>
          <w:lang w:val="zh-CN" w:eastAsia="zh-CN"/>
        </w:rPr>
        <w:t>—</w:t>
      </w:r>
      <w:r>
        <w:rPr>
          <w:rFonts w:hint="eastAsia" w:ascii="仿宋_GB2312" w:hAnsi="宋体" w:eastAsia="仿宋_GB2312" w:cs="Times New Roman"/>
          <w:sz w:val="32"/>
          <w:szCs w:val="28"/>
          <w:lang w:val="en-US" w:eastAsia="zh-CN"/>
        </w:rPr>
        <w:t>2020</w:t>
      </w:r>
      <w:r>
        <w:rPr>
          <w:rFonts w:hint="eastAsia" w:ascii="仿宋_GB2312" w:hAnsi="宋体" w:eastAsia="仿宋_GB2312" w:cs="Times New Roman"/>
          <w:sz w:val="32"/>
          <w:szCs w:val="28"/>
          <w:lang w:val="zh-CN" w:eastAsia="zh-CN"/>
        </w:rPr>
        <w:t>）等政策文件以及有关期刊论文，提出了收集和运输的相关要求。</w:t>
      </w:r>
    </w:p>
    <w:p>
      <w:pPr>
        <w:numPr>
          <w:ilvl w:val="0"/>
          <w:numId w:val="8"/>
        </w:numPr>
        <w:ind w:left="-13" w:leftChars="0" w:firstLine="643" w:firstLineChars="0"/>
        <w:rPr>
          <w:rFonts w:hint="eastAsia" w:ascii="楷体" w:hAnsi="楷体" w:eastAsia="楷体"/>
          <w:b/>
          <w:sz w:val="32"/>
          <w:szCs w:val="32"/>
          <w:lang w:val="zh-CN" w:eastAsia="zh-CN"/>
        </w:rPr>
      </w:pPr>
      <w:r>
        <w:rPr>
          <w:rFonts w:hint="eastAsia" w:ascii="楷体" w:hAnsi="楷体" w:eastAsia="楷体"/>
          <w:b/>
          <w:sz w:val="32"/>
          <w:szCs w:val="32"/>
          <w:lang w:val="zh-CN" w:eastAsia="zh-CN"/>
        </w:rPr>
        <w:t>储存</w:t>
      </w:r>
    </w:p>
    <w:p>
      <w:pPr>
        <w:spacing w:line="560" w:lineRule="exact"/>
        <w:ind w:firstLine="640" w:firstLineChars="200"/>
        <w:rPr>
          <w:rFonts w:hint="eastAsia"/>
          <w:lang w:val="zh-CN" w:eastAsia="zh-CN"/>
        </w:rPr>
      </w:pPr>
      <w:r>
        <w:rPr>
          <w:rFonts w:hint="eastAsia" w:ascii="仿宋_GB2312" w:hAnsi="宋体" w:eastAsia="仿宋_GB2312" w:cs="Times New Roman"/>
          <w:sz w:val="32"/>
          <w:szCs w:val="28"/>
          <w:lang w:val="zh-CN" w:eastAsia="zh-CN"/>
        </w:rPr>
        <w:t>本条主要介绍了</w:t>
      </w:r>
      <w:r>
        <w:rPr>
          <w:rFonts w:hint="eastAsia" w:ascii="仿宋_GB2312" w:hAnsi="宋体" w:eastAsia="仿宋_GB2312" w:cs="Times New Roman"/>
          <w:sz w:val="32"/>
          <w:szCs w:val="28"/>
          <w:lang w:val="en-US" w:eastAsia="zh-CN"/>
        </w:rPr>
        <w:t>绿化植物废弃物</w:t>
      </w:r>
      <w:r>
        <w:rPr>
          <w:rFonts w:hint="eastAsia" w:ascii="仿宋_GB2312" w:hAnsi="宋体" w:eastAsia="仿宋_GB2312" w:cs="Times New Roman"/>
          <w:sz w:val="32"/>
          <w:szCs w:val="28"/>
          <w:lang w:val="zh-CN" w:eastAsia="zh-CN"/>
        </w:rPr>
        <w:t>处置和回收利用过程中储存环节的技术要求和技术要点，主要列举了储存原料的安全要求、储存方法、储存场所的设施设备、卫生、安全、消防、环保等要求。</w:t>
      </w:r>
    </w:p>
    <w:p>
      <w:pPr>
        <w:numPr>
          <w:ilvl w:val="0"/>
          <w:numId w:val="8"/>
        </w:numPr>
        <w:ind w:left="-13" w:leftChars="0" w:firstLine="643" w:firstLineChars="0"/>
        <w:rPr>
          <w:rFonts w:hint="eastAsia" w:ascii="楷体" w:hAnsi="楷体" w:eastAsia="楷体"/>
          <w:b/>
          <w:sz w:val="32"/>
          <w:szCs w:val="32"/>
          <w:lang w:val="zh-CN" w:eastAsia="zh-CN"/>
        </w:rPr>
      </w:pPr>
      <w:r>
        <w:rPr>
          <w:rFonts w:hint="eastAsia" w:ascii="楷体" w:hAnsi="楷体" w:eastAsia="楷体"/>
          <w:b/>
          <w:sz w:val="32"/>
          <w:szCs w:val="32"/>
          <w:lang w:val="zh-CN" w:eastAsia="zh-CN"/>
        </w:rPr>
        <w:t>资源化处理</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color w:val="auto"/>
          <w:sz w:val="32"/>
          <w:szCs w:val="28"/>
          <w:lang w:val="zh-CN" w:eastAsia="zh-CN"/>
        </w:rPr>
        <w:t>本条提供了</w:t>
      </w:r>
      <w:r>
        <w:rPr>
          <w:rFonts w:hint="eastAsia" w:ascii="仿宋_GB2312" w:hAnsi="宋体" w:eastAsia="仿宋_GB2312" w:cs="Times New Roman"/>
          <w:color w:val="auto"/>
          <w:sz w:val="32"/>
          <w:szCs w:val="28"/>
          <w:lang w:val="en-US" w:eastAsia="zh-CN"/>
        </w:rPr>
        <w:t>绿化植物废弃物</w:t>
      </w:r>
      <w:r>
        <w:rPr>
          <w:rFonts w:hint="eastAsia" w:ascii="仿宋_GB2312" w:hAnsi="宋体" w:eastAsia="仿宋_GB2312" w:cs="Times New Roman"/>
          <w:color w:val="auto"/>
          <w:sz w:val="32"/>
          <w:szCs w:val="28"/>
          <w:lang w:val="zh-CN" w:eastAsia="zh-CN"/>
        </w:rPr>
        <w:t>资源化利用的</w:t>
      </w:r>
      <w:r>
        <w:rPr>
          <w:rFonts w:hint="eastAsia" w:ascii="仿宋_GB2312" w:hAnsi="宋体" w:eastAsia="仿宋_GB2312" w:cs="Times New Roman"/>
          <w:color w:val="auto"/>
          <w:sz w:val="32"/>
          <w:szCs w:val="28"/>
          <w:lang w:val="en-US" w:eastAsia="zh-CN"/>
        </w:rPr>
        <w:t>多种方式，</w:t>
      </w:r>
      <w:r>
        <w:rPr>
          <w:rFonts w:hint="eastAsia" w:ascii="仿宋_GB2312" w:hAnsi="宋体" w:eastAsia="仿宋_GB2312" w:cs="Times New Roman"/>
          <w:color w:val="auto"/>
          <w:sz w:val="32"/>
          <w:szCs w:val="28"/>
          <w:lang w:val="zh-CN" w:eastAsia="zh-CN"/>
        </w:rPr>
        <w:t>为</w:t>
      </w:r>
      <w:r>
        <w:rPr>
          <w:rFonts w:hint="eastAsia" w:ascii="仿宋_GB2312" w:hAnsi="宋体" w:eastAsia="仿宋_GB2312" w:cs="Times New Roman"/>
          <w:color w:val="auto"/>
          <w:sz w:val="32"/>
          <w:szCs w:val="28"/>
          <w:lang w:val="en-US" w:eastAsia="zh-CN"/>
        </w:rPr>
        <w:t>绿化植物废弃物</w:t>
      </w:r>
      <w:r>
        <w:rPr>
          <w:rFonts w:hint="eastAsia" w:ascii="仿宋_GB2312" w:hAnsi="宋体" w:eastAsia="仿宋_GB2312" w:cs="Times New Roman"/>
          <w:color w:val="auto"/>
          <w:sz w:val="32"/>
          <w:szCs w:val="28"/>
          <w:lang w:val="zh-CN" w:eastAsia="zh-CN"/>
        </w:rPr>
        <w:t>资源化利用提供了综合、系统的解决方案，其中包括</w:t>
      </w:r>
      <w:r>
        <w:rPr>
          <w:rFonts w:hint="eastAsia" w:ascii="仿宋_GB2312" w:hAnsi="宋体" w:eastAsia="仿宋_GB2312" w:cs="Times New Roman"/>
          <w:color w:val="auto"/>
          <w:sz w:val="32"/>
          <w:szCs w:val="28"/>
          <w:lang w:val="en-US" w:eastAsia="zh-CN"/>
        </w:rPr>
        <w:t>堆肥</w:t>
      </w:r>
      <w:r>
        <w:rPr>
          <w:rFonts w:hint="eastAsia" w:ascii="仿宋_GB2312" w:hAnsi="宋体" w:eastAsia="仿宋_GB2312" w:cs="Times New Roman"/>
          <w:color w:val="auto"/>
          <w:sz w:val="32"/>
          <w:szCs w:val="28"/>
          <w:lang w:val="zh-CN" w:eastAsia="zh-CN"/>
        </w:rPr>
        <w:t>、绿化有机覆盖物、生物质燃料、</w:t>
      </w:r>
      <w:bookmarkStart w:id="24" w:name="_Toc100847821"/>
      <w:r>
        <w:rPr>
          <w:rFonts w:hint="eastAsia" w:ascii="仿宋_GB2312" w:hAnsi="宋体" w:eastAsia="仿宋_GB2312" w:cs="Times New Roman"/>
          <w:color w:val="auto"/>
          <w:sz w:val="32"/>
          <w:szCs w:val="28"/>
          <w:lang w:val="zh-CN" w:eastAsia="zh-CN"/>
        </w:rPr>
        <w:t>食用菌栽培基质</w:t>
      </w:r>
      <w:bookmarkEnd w:id="24"/>
      <w:r>
        <w:rPr>
          <w:rFonts w:hint="eastAsia" w:ascii="仿宋_GB2312" w:hAnsi="宋体" w:eastAsia="仿宋_GB2312" w:cs="Times New Roman"/>
          <w:color w:val="auto"/>
          <w:sz w:val="32"/>
          <w:szCs w:val="28"/>
          <w:lang w:val="zh-CN" w:eastAsia="zh-CN"/>
        </w:rPr>
        <w:t>、</w:t>
      </w:r>
      <w:bookmarkStart w:id="25" w:name="_Toc100847822"/>
      <w:r>
        <w:rPr>
          <w:rFonts w:hint="eastAsia" w:ascii="仿宋_GB2312" w:hAnsi="宋体" w:eastAsia="仿宋_GB2312" w:cs="Times New Roman"/>
          <w:color w:val="auto"/>
          <w:sz w:val="32"/>
          <w:szCs w:val="28"/>
          <w:lang w:val="zh-CN" w:eastAsia="zh-CN"/>
        </w:rPr>
        <w:t>板材加工</w:t>
      </w:r>
      <w:bookmarkEnd w:id="25"/>
      <w:r>
        <w:rPr>
          <w:rFonts w:hint="eastAsia" w:ascii="仿宋_GB2312" w:hAnsi="宋体" w:eastAsia="仿宋_GB2312" w:cs="Times New Roman"/>
          <w:color w:val="auto"/>
          <w:sz w:val="32"/>
          <w:szCs w:val="28"/>
          <w:lang w:val="zh-CN" w:eastAsia="zh-CN"/>
        </w:rPr>
        <w:t>、</w:t>
      </w:r>
      <w:bookmarkStart w:id="26" w:name="_Toc100847823"/>
      <w:r>
        <w:rPr>
          <w:rFonts w:hint="eastAsia" w:ascii="仿宋_GB2312" w:hAnsi="宋体" w:eastAsia="仿宋_GB2312" w:cs="Times New Roman"/>
          <w:color w:val="auto"/>
          <w:sz w:val="32"/>
          <w:szCs w:val="28"/>
          <w:lang w:val="zh-CN" w:eastAsia="zh-CN"/>
        </w:rPr>
        <w:t>生物质炭</w:t>
      </w:r>
      <w:bookmarkEnd w:id="26"/>
      <w:r>
        <w:rPr>
          <w:rFonts w:hint="eastAsia" w:ascii="仿宋_GB2312" w:hAnsi="宋体" w:eastAsia="仿宋_GB2312" w:cs="Times New Roman"/>
          <w:color w:val="auto"/>
          <w:sz w:val="32"/>
          <w:szCs w:val="28"/>
          <w:lang w:val="zh-CN" w:eastAsia="zh-CN"/>
        </w:rPr>
        <w:t>、艺术化应用等主要利用模式及对应的标准要求。</w:t>
      </w:r>
    </w:p>
    <w:p>
      <w:pPr>
        <w:spacing w:line="560" w:lineRule="exact"/>
        <w:ind w:firstLine="640" w:firstLineChars="200"/>
        <w:rPr>
          <w:rFonts w:hint="eastAsia" w:ascii="仿宋_GB2312" w:hAnsi="宋体" w:eastAsia="仿宋_GB2312" w:cs="Times New Roman"/>
          <w:sz w:val="32"/>
          <w:szCs w:val="28"/>
          <w:lang w:val="en-US" w:eastAsia="zh-CN"/>
        </w:rPr>
      </w:pPr>
      <w:r>
        <w:rPr>
          <w:rFonts w:hint="eastAsia" w:ascii="仿宋_GB2312" w:hAnsi="宋体" w:eastAsia="仿宋_GB2312" w:cs="Times New Roman"/>
          <w:sz w:val="32"/>
          <w:szCs w:val="28"/>
          <w:lang w:val="en-US" w:eastAsia="zh-CN"/>
        </w:rPr>
        <w:t>1.堆肥</w:t>
      </w:r>
    </w:p>
    <w:p>
      <w:pPr>
        <w:spacing w:line="560" w:lineRule="exact"/>
        <w:ind w:firstLine="640" w:firstLineChars="200"/>
        <w:rPr>
          <w:rFonts w:hint="eastAsia" w:ascii="仿宋_GB2312" w:hAnsi="宋体" w:eastAsia="仿宋_GB2312" w:cs="Times New Roman"/>
          <w:sz w:val="32"/>
          <w:szCs w:val="28"/>
          <w:lang w:val="en-US" w:eastAsia="zh-CN"/>
        </w:rPr>
      </w:pPr>
      <w:r>
        <w:rPr>
          <w:rFonts w:hint="eastAsia" w:ascii="仿宋_GB2312" w:hAnsi="宋体" w:eastAsia="仿宋_GB2312" w:cs="Times New Roman"/>
          <w:sz w:val="32"/>
          <w:szCs w:val="28"/>
          <w:lang w:val="zh-CN" w:eastAsia="zh-CN"/>
        </w:rPr>
        <w:t>绿化植物废弃物中的树叶、花、草屑等易腐类废弃物可直接堆肥，树枝、树干需经过二次粉碎处理后堆肥。粒径大小应符合：小于</w:t>
      </w:r>
      <w:r>
        <w:rPr>
          <w:rFonts w:hint="eastAsia" w:ascii="仿宋_GB2312" w:hAnsi="宋体" w:eastAsia="仿宋_GB2312" w:cs="Times New Roman"/>
          <w:sz w:val="32"/>
          <w:szCs w:val="28"/>
          <w:lang w:val="en-US" w:eastAsia="zh-CN"/>
        </w:rPr>
        <w:t>3cm，且小于2cm的粒径占总量的75%以上；</w:t>
      </w:r>
      <w:r>
        <w:rPr>
          <w:rFonts w:hint="eastAsia" w:ascii="仿宋_GB2312" w:hAnsi="宋体" w:eastAsia="仿宋_GB2312" w:cs="Times New Roman"/>
          <w:sz w:val="32"/>
          <w:szCs w:val="28"/>
          <w:lang w:val="zh-CN" w:eastAsia="zh-CN"/>
        </w:rPr>
        <w:t>需要快速堆肥时，粒径宜小于</w:t>
      </w:r>
      <w:r>
        <w:rPr>
          <w:rFonts w:hint="eastAsia" w:ascii="仿宋_GB2312" w:hAnsi="宋体" w:eastAsia="仿宋_GB2312" w:cs="Times New Roman"/>
          <w:sz w:val="32"/>
          <w:szCs w:val="28"/>
          <w:lang w:val="en-US" w:eastAsia="zh-CN"/>
        </w:rPr>
        <w:t>1cm</w:t>
      </w:r>
      <w:r>
        <w:rPr>
          <w:rFonts w:hint="eastAsia" w:ascii="仿宋_GB2312" w:hAnsi="宋体" w:eastAsia="仿宋_GB2312" w:cs="Times New Roman"/>
          <w:sz w:val="32"/>
          <w:szCs w:val="28"/>
          <w:lang w:val="zh-CN" w:eastAsia="zh-CN"/>
        </w:rPr>
        <w:t>。</w:t>
      </w:r>
      <w:r>
        <w:rPr>
          <w:rFonts w:hint="eastAsia" w:ascii="仿宋_GB2312" w:hAnsi="宋体" w:eastAsia="仿宋_GB2312" w:cs="Times New Roman"/>
          <w:sz w:val="32"/>
          <w:szCs w:val="28"/>
          <w:lang w:val="en-US" w:eastAsia="zh-CN"/>
        </w:rPr>
        <w:t>堆肥工艺的具体步骤按</w:t>
      </w:r>
      <w:r>
        <w:rPr>
          <w:rFonts w:hint="eastAsia" w:ascii="仿宋_GB2312" w:hAnsi="宋体" w:eastAsia="仿宋_GB2312" w:cs="Times New Roman"/>
          <w:sz w:val="32"/>
          <w:szCs w:val="28"/>
          <w:lang w:val="zh-CN" w:eastAsia="zh-CN"/>
        </w:rPr>
        <w:t>GB/T 31755的规定执行。</w:t>
      </w:r>
    </w:p>
    <w:p>
      <w:pPr>
        <w:spacing w:line="560" w:lineRule="exact"/>
        <w:ind w:firstLine="640" w:firstLineChars="200"/>
        <w:rPr>
          <w:rFonts w:hint="eastAsia" w:ascii="仿宋_GB2312" w:hAnsi="宋体" w:eastAsia="仿宋_GB2312" w:cs="Times New Roman"/>
          <w:sz w:val="32"/>
          <w:szCs w:val="28"/>
          <w:lang w:val="en-US" w:eastAsia="zh-CN"/>
        </w:rPr>
      </w:pPr>
      <w:bookmarkStart w:id="27" w:name="_Toc100847819"/>
      <w:r>
        <w:rPr>
          <w:rFonts w:hint="eastAsia" w:ascii="仿宋_GB2312" w:hAnsi="宋体" w:eastAsia="仿宋_GB2312" w:cs="Times New Roman"/>
          <w:sz w:val="32"/>
          <w:szCs w:val="28"/>
          <w:lang w:val="en-US" w:eastAsia="zh-CN"/>
        </w:rPr>
        <w:t>2.绿化有机覆盖物</w:t>
      </w:r>
      <w:bookmarkEnd w:id="27"/>
    </w:p>
    <w:p>
      <w:pPr>
        <w:spacing w:line="560" w:lineRule="exact"/>
        <w:ind w:firstLine="640" w:firstLineChars="200"/>
        <w:rPr>
          <w:rFonts w:hint="eastAsia" w:ascii="仿宋_GB2312" w:hAnsi="宋体" w:eastAsia="仿宋_GB2312" w:cs="Times New Roman"/>
          <w:sz w:val="32"/>
          <w:szCs w:val="28"/>
          <w:lang w:val="en-US" w:eastAsia="zh-CN"/>
        </w:rPr>
      </w:pPr>
      <w:r>
        <w:rPr>
          <w:rFonts w:hint="eastAsia" w:ascii="仿宋_GB2312" w:hAnsi="宋体" w:eastAsia="仿宋_GB2312" w:cs="Times New Roman"/>
          <w:sz w:val="32"/>
          <w:szCs w:val="28"/>
          <w:lang w:val="zh-CN" w:eastAsia="zh-CN"/>
        </w:rPr>
        <w:t>绿化植物废弃物中</w:t>
      </w:r>
      <w:r>
        <w:rPr>
          <w:rFonts w:hint="eastAsia" w:ascii="仿宋_GB2312" w:hAnsi="宋体" w:eastAsia="仿宋_GB2312" w:cs="Times New Roman"/>
          <w:sz w:val="32"/>
          <w:szCs w:val="28"/>
          <w:lang w:val="en-US" w:eastAsia="zh-CN"/>
        </w:rPr>
        <w:t>叶片少、直径大于2cm的枝条，可制成绿化有机覆盖物。根据覆盖物形状和粒径大小需要，处置加工覆盖物，覆盖物的指标要求和应用方法按GB/T 31755的规定执行。</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en-US" w:eastAsia="zh-CN"/>
        </w:rPr>
        <w:t>3.</w:t>
      </w:r>
      <w:r>
        <w:rPr>
          <w:rFonts w:hint="eastAsia" w:ascii="仿宋_GB2312" w:hAnsi="宋体" w:eastAsia="仿宋_GB2312" w:cs="Times New Roman"/>
          <w:sz w:val="32"/>
          <w:szCs w:val="28"/>
          <w:lang w:val="zh-CN" w:eastAsia="zh-CN"/>
        </w:rPr>
        <w:t>生物质</w:t>
      </w:r>
      <w:r>
        <w:rPr>
          <w:rFonts w:hint="eastAsia" w:ascii="仿宋_GB2312" w:hAnsi="宋体" w:eastAsia="仿宋_GB2312" w:cs="Times New Roman"/>
          <w:sz w:val="32"/>
          <w:szCs w:val="28"/>
          <w:lang w:val="en-US" w:eastAsia="zh-CN"/>
        </w:rPr>
        <w:t>燃料</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绿化植物废弃物还可制成生物质</w:t>
      </w:r>
      <w:r>
        <w:rPr>
          <w:rFonts w:hint="eastAsia" w:ascii="仿宋_GB2312" w:hAnsi="宋体" w:eastAsia="仿宋_GB2312" w:cs="Times New Roman"/>
          <w:sz w:val="32"/>
          <w:szCs w:val="28"/>
          <w:lang w:val="en-US" w:eastAsia="zh-CN"/>
        </w:rPr>
        <w:t>燃料，用于发电和生产</w:t>
      </w:r>
      <w:r>
        <w:rPr>
          <w:rFonts w:hint="eastAsia" w:ascii="仿宋_GB2312" w:hAnsi="宋体" w:eastAsia="仿宋_GB2312" w:cs="Times New Roman"/>
          <w:sz w:val="32"/>
          <w:szCs w:val="28"/>
          <w:lang w:val="zh-CN" w:eastAsia="zh-CN"/>
        </w:rPr>
        <w:t xml:space="preserve">生物质固体成型燃料。因为绿化植物废弃物主要元素是有机质，碳、氢、氧、氮等4种元素合计占95% 以上。其中，碳的含量最高，一般在50%左右 </w:t>
      </w:r>
      <w:r>
        <w:rPr>
          <w:rFonts w:hint="eastAsia" w:ascii="仿宋_GB2312" w:hAnsi="宋体" w:eastAsia="仿宋_GB2312" w:cs="Times New Roman"/>
          <w:sz w:val="32"/>
          <w:szCs w:val="28"/>
          <w:lang w:val="en-US" w:eastAsia="zh-CN"/>
        </w:rPr>
        <w:t>,完全可以用作生产生物质燃料的原料</w:t>
      </w:r>
      <w:r>
        <w:rPr>
          <w:rFonts w:hint="eastAsia" w:ascii="仿宋_GB2312" w:hAnsi="宋体" w:eastAsia="仿宋_GB2312" w:cs="Times New Roman"/>
          <w:sz w:val="32"/>
          <w:szCs w:val="28"/>
          <w:lang w:val="zh-CN" w:eastAsia="zh-CN"/>
        </w:rPr>
        <w:t>。根据《国家发展改革委关于印发可再生能源中长期发展规划的通知》发改能源</w:t>
      </w:r>
      <w:r>
        <w:rPr>
          <w:rFonts w:hint="eastAsia" w:ascii="Times New Roman" w:hAnsi="Times New Roman" w:eastAsia="仿宋_GB2312"/>
          <w:sz w:val="32"/>
          <w:szCs w:val="28"/>
          <w:lang w:val="zh-CN"/>
        </w:rPr>
        <w:t>〔20</w:t>
      </w:r>
      <w:r>
        <w:rPr>
          <w:rFonts w:hint="eastAsia" w:eastAsia="仿宋_GB2312"/>
          <w:sz w:val="32"/>
          <w:szCs w:val="28"/>
          <w:lang w:val="en-US" w:eastAsia="zh-CN"/>
        </w:rPr>
        <w:t>07</w:t>
      </w:r>
      <w:r>
        <w:rPr>
          <w:rFonts w:hint="eastAsia" w:ascii="Times New Roman" w:hAnsi="Times New Roman" w:eastAsia="仿宋_GB2312"/>
          <w:sz w:val="32"/>
          <w:szCs w:val="28"/>
          <w:lang w:val="zh-CN"/>
        </w:rPr>
        <w:t>〕</w:t>
      </w:r>
      <w:r>
        <w:rPr>
          <w:rFonts w:hint="eastAsia" w:ascii="仿宋_GB2312" w:hAnsi="宋体" w:eastAsia="仿宋_GB2312" w:cs="Times New Roman"/>
          <w:sz w:val="32"/>
          <w:szCs w:val="28"/>
          <w:lang w:val="zh-CN" w:eastAsia="zh-CN"/>
        </w:rPr>
        <w:t>2174号文件精神，可再生能源中长期发展规划表明：现代生物质能的发展方向是高效清洁利用，将生物质转换为优质能源，包括电力、燃气、液体燃料和固体成型燃料等。</w:t>
      </w:r>
    </w:p>
    <w:p>
      <w:pPr>
        <w:spacing w:line="560" w:lineRule="exact"/>
        <w:ind w:firstLine="640" w:firstLineChars="200"/>
        <w:rPr>
          <w:rFonts w:hint="eastAsia" w:ascii="仿宋_GB2312" w:hAnsi="宋体" w:eastAsia="仿宋_GB2312" w:cs="Times New Roman"/>
          <w:sz w:val="32"/>
          <w:szCs w:val="28"/>
          <w:lang w:val="en-US" w:eastAsia="zh-CN"/>
        </w:rPr>
      </w:pPr>
      <w:r>
        <w:rPr>
          <w:rFonts w:hint="eastAsia" w:ascii="仿宋_GB2312" w:hAnsi="宋体" w:eastAsia="仿宋_GB2312" w:cs="Times New Roman"/>
          <w:sz w:val="32"/>
          <w:szCs w:val="28"/>
          <w:lang w:val="zh-CN" w:eastAsia="zh-CN"/>
        </w:rPr>
        <w:t>用绿化植物废弃物生产</w:t>
      </w:r>
      <w:r>
        <w:rPr>
          <w:rFonts w:hint="eastAsia" w:ascii="仿宋_GB2312" w:hAnsi="宋体" w:eastAsia="仿宋_GB2312" w:cs="Times New Roman"/>
          <w:sz w:val="32"/>
          <w:szCs w:val="28"/>
          <w:lang w:val="en-US" w:eastAsia="zh-CN"/>
        </w:rPr>
        <w:t>生物质固体成型燃料按NY/T1878的规定执行。</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en-US" w:eastAsia="zh-CN"/>
        </w:rPr>
        <w:t>4.</w:t>
      </w:r>
      <w:r>
        <w:rPr>
          <w:rFonts w:hint="eastAsia" w:ascii="仿宋_GB2312" w:hAnsi="宋体" w:eastAsia="仿宋_GB2312" w:cs="Times New Roman"/>
          <w:sz w:val="32"/>
          <w:szCs w:val="28"/>
          <w:lang w:val="zh-CN" w:eastAsia="zh-CN"/>
        </w:rPr>
        <w:t>食用菌栽培基质</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en-US" w:eastAsia="zh-CN"/>
        </w:rPr>
        <w:t>绿化植物废弃物中除桉、樟、槐、苦楝等含有害物质树种外的阔叶树木屑，还有自然堆积六个月以上的针叶树种木屑都可以作为</w:t>
      </w:r>
      <w:r>
        <w:rPr>
          <w:rFonts w:hint="eastAsia" w:ascii="仿宋_GB2312" w:hAnsi="宋体" w:eastAsia="仿宋_GB2312" w:cs="Times New Roman"/>
          <w:sz w:val="32"/>
          <w:szCs w:val="28"/>
          <w:lang w:val="zh-CN" w:eastAsia="zh-CN"/>
        </w:rPr>
        <w:t>食用菌栽培基质的主料。主料的制作要求按NY5099的规定执行。</w:t>
      </w:r>
    </w:p>
    <w:p>
      <w:pPr>
        <w:spacing w:line="560" w:lineRule="exact"/>
        <w:ind w:firstLine="640" w:firstLineChars="200"/>
        <w:rPr>
          <w:rFonts w:hint="default" w:ascii="仿宋_GB2312" w:hAnsi="宋体" w:eastAsia="仿宋_GB2312" w:cs="Times New Roman"/>
          <w:sz w:val="32"/>
          <w:szCs w:val="28"/>
          <w:lang w:val="en-US" w:eastAsia="zh-CN"/>
        </w:rPr>
      </w:pPr>
      <w:r>
        <w:rPr>
          <w:rFonts w:hint="eastAsia" w:ascii="仿宋_GB2312" w:hAnsi="宋体" w:eastAsia="仿宋_GB2312" w:cs="Times New Roman"/>
          <w:sz w:val="32"/>
          <w:szCs w:val="28"/>
          <w:lang w:val="en-US" w:eastAsia="zh-CN"/>
        </w:rPr>
        <w:t>5.</w:t>
      </w:r>
      <w:r>
        <w:rPr>
          <w:rFonts w:hint="eastAsia" w:ascii="仿宋_GB2312" w:hAnsi="宋体" w:eastAsia="仿宋_GB2312" w:cs="Times New Roman"/>
          <w:sz w:val="32"/>
          <w:szCs w:val="28"/>
          <w:lang w:val="zh-CN" w:eastAsia="zh-CN"/>
        </w:rPr>
        <w:t>板材加工</w:t>
      </w:r>
    </w:p>
    <w:p>
      <w:pPr>
        <w:pStyle w:val="9"/>
        <w:keepNext w:val="0"/>
        <w:keepLines w:val="0"/>
        <w:widowControl/>
        <w:suppressLineNumbers w:val="0"/>
        <w:autoSpaceDE w:val="0"/>
        <w:autoSpaceDN w:val="0"/>
        <w:adjustRightInd/>
        <w:spacing w:before="0" w:beforeAutospacing="0" w:after="0" w:afterAutospacing="0" w:line="240" w:lineRule="auto"/>
        <w:ind w:left="0" w:right="0" w:firstLine="640" w:firstLineChars="200"/>
        <w:jc w:val="both"/>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en-US" w:eastAsia="zh-CN"/>
        </w:rPr>
        <w:t>绿化植物废弃物中较大的成材干或树枝可作为加工人造板和木塑复合材的原料。用作人造板生产的绿化植物废弃物应该符合GB/T 33039 的要求。加工出的木塑复合材应符合LY/T 1613。</w:t>
      </w:r>
    </w:p>
    <w:p>
      <w:pPr>
        <w:spacing w:line="560" w:lineRule="exact"/>
        <w:ind w:firstLine="640" w:firstLineChars="200"/>
        <w:rPr>
          <w:rFonts w:hint="eastAsia" w:ascii="仿宋_GB2312" w:hAnsi="宋体" w:eastAsia="仿宋_GB2312" w:cs="Times New Roman"/>
          <w:sz w:val="32"/>
          <w:szCs w:val="28"/>
          <w:lang w:val="en-US" w:eastAsia="zh-CN"/>
        </w:rPr>
      </w:pPr>
      <w:r>
        <w:rPr>
          <w:rFonts w:hint="eastAsia" w:ascii="仿宋_GB2312" w:hAnsi="宋体" w:eastAsia="仿宋_GB2312" w:cs="Times New Roman"/>
          <w:sz w:val="32"/>
          <w:szCs w:val="28"/>
          <w:lang w:val="en-US" w:eastAsia="zh-CN"/>
        </w:rPr>
        <w:t>6.生物质炭</w:t>
      </w:r>
    </w:p>
    <w:p>
      <w:pPr>
        <w:spacing w:line="560" w:lineRule="exact"/>
        <w:ind w:firstLine="640" w:firstLineChars="200"/>
        <w:rPr>
          <w:rFonts w:hint="default" w:ascii="仿宋_GB2312" w:hAnsi="宋体" w:eastAsia="仿宋_GB2312" w:cs="Times New Roman"/>
          <w:sz w:val="32"/>
          <w:szCs w:val="28"/>
          <w:lang w:val="en-US" w:eastAsia="zh-CN"/>
        </w:rPr>
      </w:pPr>
      <w:r>
        <w:rPr>
          <w:rFonts w:hint="eastAsia" w:ascii="仿宋_GB2312" w:hAnsi="宋体" w:eastAsia="仿宋_GB2312" w:cs="Times New Roman"/>
          <w:sz w:val="32"/>
          <w:szCs w:val="28"/>
          <w:lang w:val="zh-CN" w:eastAsia="zh-CN"/>
        </w:rPr>
        <w:t>绿化植物废弃物中</w:t>
      </w:r>
      <w:r>
        <w:rPr>
          <w:rFonts w:hint="default" w:ascii="仿宋_GB2312" w:hAnsi="宋体" w:eastAsia="仿宋_GB2312" w:cs="Times New Roman"/>
          <w:sz w:val="32"/>
          <w:szCs w:val="28"/>
          <w:lang w:val="en-US" w:eastAsia="zh-CN"/>
        </w:rPr>
        <w:t>较粗壮的植物枝条、树</w:t>
      </w:r>
      <w:r>
        <w:rPr>
          <w:rFonts w:hint="eastAsia" w:ascii="仿宋_GB2312" w:hAnsi="宋体" w:eastAsia="仿宋_GB2312" w:cs="Times New Roman"/>
          <w:sz w:val="32"/>
          <w:szCs w:val="28"/>
          <w:lang w:val="en-US" w:eastAsia="zh-CN"/>
        </w:rPr>
        <w:t>干</w:t>
      </w:r>
      <w:r>
        <w:rPr>
          <w:rFonts w:hint="default" w:ascii="仿宋_GB2312" w:hAnsi="宋体" w:eastAsia="仿宋_GB2312" w:cs="Times New Roman"/>
          <w:sz w:val="32"/>
          <w:szCs w:val="28"/>
          <w:lang w:val="en-US" w:eastAsia="zh-CN"/>
        </w:rPr>
        <w:t>等</w:t>
      </w:r>
      <w:r>
        <w:rPr>
          <w:rFonts w:hint="eastAsia" w:ascii="仿宋_GB2312" w:hAnsi="宋体" w:eastAsia="仿宋_GB2312" w:cs="Times New Roman"/>
          <w:sz w:val="32"/>
          <w:szCs w:val="28"/>
          <w:lang w:val="en-US" w:eastAsia="zh-CN"/>
        </w:rPr>
        <w:t>还可以制成生物质炭。</w:t>
      </w:r>
      <w:r>
        <w:rPr>
          <w:rFonts w:hint="default" w:ascii="仿宋_GB2312" w:hAnsi="宋体" w:eastAsia="仿宋_GB2312" w:cs="Times New Roman"/>
          <w:sz w:val="32"/>
          <w:szCs w:val="28"/>
          <w:lang w:val="en-US" w:eastAsia="zh-CN"/>
        </w:rPr>
        <w:t>生物质炭是指生物质在缺氧或者绝氧的条件下热解所产生的含碳丰富的固体物质，生物质炭的原料来源丰富，包括农作物秸秆、</w:t>
      </w:r>
      <w:r>
        <w:rPr>
          <w:rFonts w:hint="eastAsia" w:ascii="仿宋_GB2312" w:hAnsi="宋体" w:eastAsia="仿宋_GB2312" w:cs="Times New Roman"/>
          <w:sz w:val="32"/>
          <w:szCs w:val="28"/>
          <w:lang w:val="en-US" w:eastAsia="zh-CN"/>
        </w:rPr>
        <w:t>林木</w:t>
      </w:r>
      <w:r>
        <w:rPr>
          <w:rFonts w:hint="default" w:ascii="仿宋_GB2312" w:hAnsi="宋体" w:eastAsia="仿宋_GB2312" w:cs="Times New Roman"/>
          <w:sz w:val="32"/>
          <w:szCs w:val="28"/>
          <w:lang w:val="en-US" w:eastAsia="zh-CN"/>
        </w:rPr>
        <w:t>废弃物、食品加工残余、</w:t>
      </w:r>
      <w:r>
        <w:rPr>
          <w:rFonts w:hint="eastAsia" w:ascii="仿宋_GB2312" w:hAnsi="宋体" w:eastAsia="仿宋_GB2312" w:cs="Times New Roman"/>
          <w:sz w:val="32"/>
          <w:szCs w:val="28"/>
          <w:lang w:val="en-US" w:eastAsia="zh-CN"/>
        </w:rPr>
        <w:t>禽畜</w:t>
      </w:r>
      <w:r>
        <w:rPr>
          <w:rFonts w:hint="default" w:ascii="仿宋_GB2312" w:hAnsi="宋体" w:eastAsia="仿宋_GB2312" w:cs="Times New Roman"/>
          <w:sz w:val="32"/>
          <w:szCs w:val="28"/>
          <w:lang w:val="en-US" w:eastAsia="zh-CN"/>
        </w:rPr>
        <w:t>粪便等</w:t>
      </w:r>
      <w:r>
        <w:rPr>
          <w:rFonts w:hint="eastAsia" w:ascii="仿宋_GB2312" w:hAnsi="宋体" w:eastAsia="仿宋_GB2312" w:cs="Times New Roman"/>
          <w:sz w:val="32"/>
          <w:szCs w:val="28"/>
          <w:lang w:val="en-US" w:eastAsia="zh-CN"/>
        </w:rPr>
        <w:t>，</w:t>
      </w:r>
      <w:r>
        <w:rPr>
          <w:rFonts w:hint="default" w:ascii="仿宋_GB2312" w:hAnsi="宋体" w:eastAsia="仿宋_GB2312" w:cs="Times New Roman"/>
          <w:sz w:val="32"/>
          <w:szCs w:val="28"/>
          <w:lang w:val="en-US" w:eastAsia="zh-CN"/>
        </w:rPr>
        <w:t>已被广泛用于制备生物</w:t>
      </w:r>
      <w:r>
        <w:rPr>
          <w:rFonts w:hint="eastAsia" w:ascii="仿宋_GB2312" w:hAnsi="宋体" w:eastAsia="仿宋_GB2312" w:cs="Times New Roman"/>
          <w:sz w:val="32"/>
          <w:szCs w:val="28"/>
          <w:lang w:val="en-US" w:eastAsia="zh-CN"/>
        </w:rPr>
        <w:t>质</w:t>
      </w:r>
      <w:r>
        <w:rPr>
          <w:rFonts w:hint="default" w:ascii="仿宋_GB2312" w:hAnsi="宋体" w:eastAsia="仿宋_GB2312" w:cs="Times New Roman"/>
          <w:sz w:val="32"/>
          <w:szCs w:val="28"/>
          <w:lang w:val="en-US" w:eastAsia="zh-CN"/>
        </w:rPr>
        <w:t>炭。</w:t>
      </w:r>
    </w:p>
    <w:p>
      <w:pPr>
        <w:spacing w:line="560" w:lineRule="exact"/>
        <w:ind w:firstLine="640" w:firstLineChars="200"/>
        <w:rPr>
          <w:rFonts w:hint="default" w:ascii="仿宋_GB2312" w:hAnsi="宋体" w:eastAsia="仿宋_GB2312" w:cs="Times New Roman"/>
          <w:sz w:val="32"/>
          <w:szCs w:val="28"/>
          <w:lang w:val="en-US" w:eastAsia="zh-CN"/>
        </w:rPr>
      </w:pPr>
      <w:r>
        <w:rPr>
          <w:rFonts w:hint="eastAsia" w:ascii="仿宋_GB2312" w:hAnsi="宋体" w:eastAsia="仿宋_GB2312" w:cs="Times New Roman"/>
          <w:sz w:val="32"/>
          <w:szCs w:val="28"/>
          <w:lang w:val="en-US" w:eastAsia="zh-CN"/>
        </w:rPr>
        <w:t>7.艺术化应用</w:t>
      </w:r>
    </w:p>
    <w:p>
      <w:pPr>
        <w:spacing w:line="560" w:lineRule="exact"/>
        <w:ind w:firstLine="640" w:firstLineChars="200"/>
        <w:rPr>
          <w:rFonts w:hint="default" w:ascii="仿宋_GB2312" w:hAnsi="宋体" w:cs="Times New Roman"/>
          <w:sz w:val="32"/>
          <w:szCs w:val="28"/>
          <w:lang w:val="en-US" w:eastAsia="zh-CN"/>
        </w:rPr>
      </w:pPr>
      <w:r>
        <w:rPr>
          <w:rFonts w:hint="default" w:ascii="仿宋_GB2312" w:hAnsi="宋体" w:eastAsia="仿宋_GB2312" w:cs="Times New Roman"/>
          <w:sz w:val="32"/>
          <w:szCs w:val="28"/>
          <w:lang w:val="en-US" w:eastAsia="zh-CN"/>
        </w:rPr>
        <w:t>绿化</w:t>
      </w:r>
      <w:r>
        <w:rPr>
          <w:rFonts w:hint="eastAsia" w:ascii="仿宋_GB2312" w:hAnsi="宋体" w:eastAsia="仿宋_GB2312" w:cs="Times New Roman"/>
          <w:sz w:val="32"/>
          <w:szCs w:val="28"/>
          <w:lang w:val="en-US" w:eastAsia="zh-CN"/>
        </w:rPr>
        <w:t>植物</w:t>
      </w:r>
      <w:r>
        <w:rPr>
          <w:rFonts w:hint="default" w:ascii="仿宋_GB2312" w:hAnsi="宋体" w:eastAsia="仿宋_GB2312" w:cs="Times New Roman"/>
          <w:sz w:val="32"/>
          <w:szCs w:val="28"/>
          <w:lang w:val="en-US" w:eastAsia="zh-CN"/>
        </w:rPr>
        <w:t>废弃物中</w:t>
      </w:r>
      <w:r>
        <w:rPr>
          <w:rFonts w:hint="eastAsia" w:ascii="仿宋_GB2312" w:hAnsi="宋体" w:eastAsia="仿宋_GB2312" w:cs="Times New Roman"/>
          <w:sz w:val="32"/>
          <w:szCs w:val="28"/>
          <w:lang w:val="en-US" w:eastAsia="zh-CN"/>
        </w:rPr>
        <w:t>有</w:t>
      </w:r>
      <w:r>
        <w:rPr>
          <w:rFonts w:hint="default" w:ascii="仿宋_GB2312" w:hAnsi="宋体" w:eastAsia="仿宋_GB2312" w:cs="Times New Roman"/>
          <w:sz w:val="32"/>
          <w:szCs w:val="28"/>
          <w:lang w:val="en-US" w:eastAsia="zh-CN"/>
        </w:rPr>
        <w:t>大量的植物根系、枝干、茎叶、果实等具有天然美感，可以</w:t>
      </w:r>
      <w:r>
        <w:rPr>
          <w:rFonts w:hint="eastAsia" w:ascii="仿宋_GB2312" w:hAnsi="宋体" w:eastAsia="仿宋_GB2312" w:cs="Times New Roman"/>
          <w:sz w:val="32"/>
          <w:szCs w:val="28"/>
          <w:lang w:val="en-US" w:eastAsia="zh-CN"/>
        </w:rPr>
        <w:t>进行艺术化加工</w:t>
      </w:r>
      <w:r>
        <w:rPr>
          <w:rFonts w:hint="default" w:ascii="仿宋_GB2312" w:hAnsi="宋体" w:eastAsia="仿宋_GB2312" w:cs="Times New Roman"/>
          <w:sz w:val="32"/>
          <w:szCs w:val="28"/>
          <w:lang w:val="en-US" w:eastAsia="zh-CN"/>
        </w:rPr>
        <w:t>利用</w:t>
      </w:r>
      <w:r>
        <w:rPr>
          <w:rFonts w:hint="eastAsia" w:ascii="仿宋_GB2312" w:hAnsi="宋体" w:eastAsia="仿宋_GB2312" w:cs="Times New Roman"/>
          <w:sz w:val="32"/>
          <w:szCs w:val="28"/>
          <w:lang w:val="en-US" w:eastAsia="zh-CN"/>
        </w:rPr>
        <w:t>。比如：</w:t>
      </w:r>
      <w:r>
        <w:rPr>
          <w:rFonts w:hint="default" w:ascii="仿宋_GB2312" w:hAnsi="宋体" w:eastAsia="仿宋_GB2312" w:cs="Times New Roman"/>
          <w:sz w:val="32"/>
          <w:szCs w:val="28"/>
          <w:lang w:val="en-US" w:eastAsia="zh-CN"/>
        </w:rPr>
        <w:t>树木的根系制</w:t>
      </w:r>
      <w:r>
        <w:rPr>
          <w:rFonts w:hint="eastAsia" w:ascii="仿宋_GB2312" w:hAnsi="宋体" w:eastAsia="仿宋_GB2312" w:cs="Times New Roman"/>
          <w:sz w:val="32"/>
          <w:szCs w:val="28"/>
          <w:lang w:val="en-US" w:eastAsia="zh-CN"/>
        </w:rPr>
        <w:t>做</w:t>
      </w:r>
      <w:r>
        <w:rPr>
          <w:rFonts w:hint="default" w:ascii="仿宋_GB2312" w:hAnsi="宋体" w:eastAsia="仿宋_GB2312" w:cs="Times New Roman"/>
          <w:sz w:val="32"/>
          <w:szCs w:val="28"/>
          <w:lang w:val="en-US" w:eastAsia="zh-CN"/>
        </w:rPr>
        <w:t>艺术感很强的根雕</w:t>
      </w:r>
      <w:r>
        <w:rPr>
          <w:rFonts w:hint="eastAsia" w:ascii="仿宋_GB2312" w:hAnsi="宋体" w:eastAsia="仿宋_GB2312" w:cs="Times New Roman"/>
          <w:sz w:val="32"/>
          <w:szCs w:val="28"/>
          <w:lang w:val="en-US" w:eastAsia="zh-CN"/>
        </w:rPr>
        <w:t>、</w:t>
      </w:r>
      <w:r>
        <w:rPr>
          <w:rFonts w:hint="default" w:ascii="仿宋_GB2312" w:hAnsi="宋体" w:eastAsia="仿宋_GB2312" w:cs="Times New Roman"/>
          <w:sz w:val="32"/>
          <w:szCs w:val="28"/>
          <w:lang w:val="en-US" w:eastAsia="zh-CN"/>
        </w:rPr>
        <w:t>果实和花朵制作干花</w:t>
      </w:r>
      <w:r>
        <w:rPr>
          <w:rFonts w:hint="eastAsia" w:ascii="仿宋_GB2312" w:hAnsi="宋体" w:eastAsia="仿宋_GB2312" w:cs="Times New Roman"/>
          <w:sz w:val="32"/>
          <w:szCs w:val="28"/>
          <w:lang w:val="en-US" w:eastAsia="zh-CN"/>
        </w:rPr>
        <w:t>、树墩和树桩设计成坐凳等。</w:t>
      </w:r>
      <w:bookmarkStart w:id="32" w:name="_GoBack"/>
      <w:bookmarkEnd w:id="32"/>
    </w:p>
    <w:p>
      <w:pPr>
        <w:numPr>
          <w:ilvl w:val="0"/>
          <w:numId w:val="0"/>
        </w:numPr>
        <w:ind w:left="630" w:leftChars="0"/>
        <w:rPr>
          <w:rFonts w:hint="eastAsia" w:ascii="仿宋_GB2312" w:hAnsi="宋体" w:eastAsia="仿宋_GB2312" w:cs="Times New Roman"/>
          <w:kern w:val="2"/>
          <w:sz w:val="32"/>
          <w:szCs w:val="28"/>
          <w:lang w:val="zh-CN" w:eastAsia="zh-CN" w:bidi="ar-SA"/>
        </w:rPr>
      </w:pPr>
      <w:r>
        <w:rPr>
          <w:rFonts w:hint="eastAsia" w:ascii="楷体" w:hAnsi="楷体" w:eastAsia="楷体"/>
          <w:b/>
          <w:sz w:val="32"/>
          <w:szCs w:val="32"/>
          <w:lang w:val="zh-CN" w:eastAsia="zh-CN"/>
        </w:rPr>
        <w:t>（八）管理和信息收集</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本条规定了</w:t>
      </w:r>
      <w:bookmarkStart w:id="28" w:name="_Toc100847825"/>
      <w:r>
        <w:rPr>
          <w:rFonts w:hint="eastAsia" w:ascii="仿宋_GB2312" w:hAnsi="宋体" w:eastAsia="仿宋_GB2312" w:cs="Times New Roman"/>
          <w:sz w:val="32"/>
          <w:szCs w:val="28"/>
          <w:lang w:val="zh-CN" w:eastAsia="zh-CN"/>
        </w:rPr>
        <w:t>主管单位</w:t>
      </w:r>
      <w:bookmarkEnd w:id="28"/>
      <w:bookmarkStart w:id="29" w:name="_Toc100847826"/>
      <w:r>
        <w:rPr>
          <w:rFonts w:hint="eastAsia" w:ascii="仿宋_GB2312" w:hAnsi="宋体" w:eastAsia="仿宋_GB2312" w:cs="Times New Roman"/>
          <w:sz w:val="32"/>
          <w:szCs w:val="28"/>
          <w:lang w:val="zh-CN" w:eastAsia="zh-CN"/>
        </w:rPr>
        <w:t>、废弃物产生单位</w:t>
      </w:r>
      <w:bookmarkEnd w:id="29"/>
      <w:r>
        <w:rPr>
          <w:rFonts w:hint="eastAsia" w:ascii="仿宋_GB2312" w:hAnsi="宋体" w:eastAsia="仿宋_GB2312" w:cs="Times New Roman"/>
          <w:sz w:val="32"/>
          <w:szCs w:val="28"/>
          <w:lang w:val="zh-CN" w:eastAsia="zh-CN"/>
        </w:rPr>
        <w:t>、</w:t>
      </w:r>
      <w:bookmarkStart w:id="30" w:name="_Toc100847827"/>
      <w:r>
        <w:rPr>
          <w:rFonts w:hint="eastAsia" w:ascii="仿宋_GB2312" w:hAnsi="宋体" w:eastAsia="仿宋_GB2312" w:cs="Times New Roman"/>
          <w:sz w:val="32"/>
          <w:szCs w:val="28"/>
          <w:lang w:val="zh-CN" w:eastAsia="zh-CN"/>
        </w:rPr>
        <w:t>服务单位</w:t>
      </w:r>
      <w:bookmarkEnd w:id="30"/>
      <w:r>
        <w:rPr>
          <w:rFonts w:hint="eastAsia" w:ascii="仿宋_GB2312" w:hAnsi="宋体" w:eastAsia="仿宋_GB2312" w:cs="Times New Roman"/>
          <w:sz w:val="32"/>
          <w:szCs w:val="28"/>
          <w:lang w:val="zh-CN" w:eastAsia="zh-CN"/>
        </w:rPr>
        <w:t>、</w:t>
      </w:r>
      <w:bookmarkStart w:id="31" w:name="_Toc100847828"/>
      <w:r>
        <w:rPr>
          <w:rFonts w:hint="eastAsia" w:ascii="仿宋_GB2312" w:hAnsi="宋体" w:eastAsia="仿宋_GB2312" w:cs="Times New Roman"/>
          <w:sz w:val="32"/>
          <w:szCs w:val="28"/>
          <w:lang w:val="zh-CN" w:eastAsia="zh-CN"/>
        </w:rPr>
        <w:t>使用单位</w:t>
      </w:r>
      <w:bookmarkEnd w:id="31"/>
      <w:r>
        <w:rPr>
          <w:rFonts w:hint="eastAsia" w:ascii="仿宋_GB2312" w:hAnsi="宋体" w:eastAsia="仿宋_GB2312" w:cs="Times New Roman"/>
          <w:sz w:val="32"/>
          <w:szCs w:val="28"/>
          <w:lang w:val="zh-CN" w:eastAsia="zh-CN"/>
        </w:rPr>
        <w:t>在绿化植物废弃物收运、处置、应用过程中的职责和应收集的信息。结合实施的实际情况，并参考DB11/T 1512—2018 《园林绿化废弃物资源化利用规范》确定。</w:t>
      </w:r>
    </w:p>
    <w:p>
      <w:pPr>
        <w:numPr>
          <w:ilvl w:val="0"/>
          <w:numId w:val="0"/>
        </w:numPr>
        <w:ind w:left="630" w:leftChars="0"/>
        <w:rPr>
          <w:rFonts w:hint="eastAsia" w:ascii="楷体" w:hAnsi="楷体" w:eastAsia="楷体"/>
          <w:b/>
          <w:sz w:val="32"/>
          <w:szCs w:val="32"/>
          <w:lang w:val="zh-CN" w:eastAsia="zh-CN"/>
        </w:rPr>
      </w:pPr>
      <w:r>
        <w:rPr>
          <w:rFonts w:hint="eastAsia" w:ascii="楷体" w:hAnsi="楷体" w:eastAsia="楷体"/>
          <w:b/>
          <w:sz w:val="32"/>
          <w:szCs w:val="32"/>
          <w:lang w:val="zh-CN" w:eastAsia="zh-CN"/>
        </w:rPr>
        <w:t>（九）附录</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附录A （绿化植物废弃物去向登记表）、附录</w:t>
      </w:r>
      <w:r>
        <w:rPr>
          <w:rFonts w:hint="eastAsia" w:ascii="仿宋_GB2312" w:hAnsi="宋体" w:eastAsia="仿宋_GB2312" w:cs="Times New Roman"/>
          <w:sz w:val="32"/>
          <w:szCs w:val="28"/>
          <w:lang w:val="en-US" w:eastAsia="zh-CN"/>
        </w:rPr>
        <w:t>B（</w:t>
      </w:r>
      <w:r>
        <w:rPr>
          <w:rFonts w:hint="eastAsia" w:ascii="仿宋_GB2312" w:hAnsi="宋体" w:eastAsia="仿宋_GB2312" w:cs="Times New Roman"/>
          <w:sz w:val="32"/>
          <w:szCs w:val="28"/>
          <w:lang w:val="zh-CN" w:eastAsia="zh-CN"/>
        </w:rPr>
        <w:t>绿化植物废弃物处置信息登记表</w:t>
      </w:r>
      <w:r>
        <w:rPr>
          <w:rFonts w:hint="eastAsia" w:ascii="仿宋_GB2312" w:hAnsi="宋体" w:eastAsia="仿宋_GB2312" w:cs="Times New Roman"/>
          <w:sz w:val="32"/>
          <w:szCs w:val="28"/>
          <w:lang w:val="en-US" w:eastAsia="zh-CN"/>
        </w:rPr>
        <w:t>）、附录C（</w:t>
      </w:r>
      <w:r>
        <w:rPr>
          <w:rFonts w:hint="eastAsia" w:ascii="仿宋_GB2312" w:hAnsi="宋体" w:eastAsia="仿宋_GB2312" w:cs="Times New Roman"/>
          <w:sz w:val="32"/>
          <w:szCs w:val="28"/>
          <w:lang w:val="zh-CN" w:eastAsia="zh-CN"/>
        </w:rPr>
        <w:t>绿化植物废弃物使用登记表</w:t>
      </w:r>
      <w:r>
        <w:rPr>
          <w:rFonts w:hint="eastAsia" w:ascii="仿宋_GB2312" w:hAnsi="宋体" w:eastAsia="仿宋_GB2312" w:cs="Times New Roman"/>
          <w:sz w:val="32"/>
          <w:szCs w:val="28"/>
          <w:lang w:val="en-US" w:eastAsia="zh-CN"/>
        </w:rPr>
        <w:t>）</w:t>
      </w:r>
      <w:r>
        <w:rPr>
          <w:rFonts w:hint="eastAsia" w:ascii="仿宋_GB2312" w:hAnsi="宋体" w:eastAsia="仿宋_GB2312" w:cs="Times New Roman"/>
          <w:sz w:val="32"/>
          <w:szCs w:val="28"/>
          <w:lang w:val="zh-CN" w:eastAsia="zh-CN"/>
        </w:rPr>
        <w:t>中信息收集主要依据DB11/T 1512—2018 《园林绿化废弃物资源化利用规范》。</w:t>
      </w:r>
    </w:p>
    <w:p>
      <w:pPr>
        <w:spacing w:beforeLines="50"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六、国内外同类标准制修订情况及与法律法规、强制性标准关系</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本标准在结合广西区内绿化植物废弃物实际情况的基础上，重点参考GB/T 31755-2015 《绿化植物废弃物处置和应用技术规程》、</w:t>
      </w:r>
      <w:r>
        <w:rPr>
          <w:rFonts w:hint="eastAsia" w:ascii="仿宋_GB2312" w:hAnsi="宋体" w:eastAsia="仿宋_GB2312" w:cs="Times New Roman"/>
          <w:sz w:val="32"/>
          <w:szCs w:val="28"/>
          <w:lang w:val="en-US" w:eastAsia="zh-CN"/>
        </w:rPr>
        <w:t>T</w:t>
      </w:r>
      <w:r>
        <w:rPr>
          <w:rFonts w:hint="eastAsia" w:ascii="仿宋_GB2312" w:hAnsi="宋体" w:eastAsia="仿宋_GB2312" w:cs="Times New Roman"/>
          <w:sz w:val="32"/>
          <w:szCs w:val="28"/>
          <w:lang w:val="zh-CN" w:eastAsia="zh-CN"/>
        </w:rPr>
        <w:t>/</w:t>
      </w:r>
      <w:r>
        <w:rPr>
          <w:rFonts w:hint="eastAsia" w:ascii="仿宋_GB2312" w:hAnsi="宋体" w:eastAsia="仿宋_GB2312" w:cs="Times New Roman"/>
          <w:sz w:val="32"/>
          <w:szCs w:val="28"/>
          <w:lang w:val="en-US" w:eastAsia="zh-CN"/>
        </w:rPr>
        <w:t>HW</w:t>
      </w:r>
      <w:r>
        <w:rPr>
          <w:rFonts w:hint="eastAsia" w:ascii="仿宋_GB2312" w:hAnsi="宋体" w:eastAsia="仿宋_GB2312" w:cs="Times New Roman"/>
          <w:sz w:val="32"/>
          <w:szCs w:val="28"/>
          <w:lang w:val="zh-CN" w:eastAsia="zh-CN"/>
        </w:rPr>
        <w:t xml:space="preserve"> </w:t>
      </w:r>
      <w:r>
        <w:rPr>
          <w:rFonts w:hint="eastAsia" w:ascii="仿宋_GB2312" w:hAnsi="宋体" w:eastAsia="仿宋_GB2312" w:cs="Times New Roman"/>
          <w:sz w:val="32"/>
          <w:szCs w:val="28"/>
          <w:lang w:val="en-US" w:eastAsia="zh-CN"/>
        </w:rPr>
        <w:t>00019</w:t>
      </w:r>
      <w:r>
        <w:rPr>
          <w:rFonts w:hint="eastAsia" w:ascii="仿宋_GB2312" w:hAnsi="宋体" w:eastAsia="仿宋_GB2312" w:cs="Times New Roman"/>
          <w:sz w:val="32"/>
          <w:szCs w:val="28"/>
          <w:lang w:val="zh-CN" w:eastAsia="zh-CN"/>
        </w:rPr>
        <w:t>—</w:t>
      </w:r>
      <w:r>
        <w:rPr>
          <w:rFonts w:hint="eastAsia" w:ascii="仿宋_GB2312" w:hAnsi="宋体" w:eastAsia="仿宋_GB2312" w:cs="Times New Roman"/>
          <w:sz w:val="32"/>
          <w:szCs w:val="28"/>
          <w:lang w:val="en-US" w:eastAsia="zh-CN"/>
        </w:rPr>
        <w:t>2020《</w:t>
      </w:r>
      <w:r>
        <w:rPr>
          <w:rFonts w:hint="eastAsia" w:ascii="仿宋_GB2312" w:hAnsi="宋体" w:eastAsia="仿宋_GB2312" w:cs="Times New Roman"/>
          <w:sz w:val="32"/>
          <w:szCs w:val="28"/>
          <w:lang w:val="zh-CN" w:eastAsia="zh-CN"/>
        </w:rPr>
        <w:t>园林垃圾收运技术规程</w:t>
      </w:r>
      <w:r>
        <w:rPr>
          <w:rFonts w:hint="eastAsia" w:ascii="仿宋_GB2312" w:hAnsi="宋体" w:eastAsia="仿宋_GB2312" w:cs="Times New Roman"/>
          <w:sz w:val="32"/>
          <w:szCs w:val="28"/>
          <w:lang w:val="en-US" w:eastAsia="zh-CN"/>
        </w:rPr>
        <w:t xml:space="preserve">》 </w:t>
      </w:r>
      <w:r>
        <w:rPr>
          <w:rFonts w:hint="eastAsia" w:ascii="仿宋_GB2312" w:hAnsi="宋体" w:eastAsia="仿宋_GB2312" w:cs="Times New Roman"/>
          <w:sz w:val="32"/>
          <w:szCs w:val="28"/>
          <w:lang w:val="zh-CN" w:eastAsia="zh-CN"/>
        </w:rPr>
        <w:t>、DB11/T 1512—2018 《园林绿化废弃物资源化利用规范》等标准，确定技术内容，确保相关内容与现有标准协调一致。</w:t>
      </w:r>
    </w:p>
    <w:p>
      <w:pPr>
        <w:spacing w:line="560" w:lineRule="exact"/>
        <w:ind w:firstLine="640" w:firstLineChars="200"/>
        <w:rPr>
          <w:rFonts w:hint="eastAsia" w:ascii="仿宋_GB2312" w:hAnsi="宋体" w:eastAsia="仿宋_GB2312"/>
          <w:sz w:val="32"/>
          <w:szCs w:val="28"/>
          <w:lang w:val="zh-CN"/>
        </w:rPr>
      </w:pPr>
    </w:p>
    <w:p>
      <w:pPr>
        <w:spacing w:beforeLines="50"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七、重大分歧意见发处理经过和依据</w:t>
      </w:r>
    </w:p>
    <w:p>
      <w:pPr>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本标准研制过程中无重大分歧意见。</w:t>
      </w:r>
    </w:p>
    <w:p>
      <w:pPr>
        <w:spacing w:beforeLines="50" w:afterLines="50"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八、自我承诺</w:t>
      </w:r>
    </w:p>
    <w:p>
      <w:pPr>
        <w:ind w:firstLine="640" w:firstLineChars="200"/>
        <w:rPr>
          <w:rFonts w:ascii="仿宋_GB2312" w:hAnsi="宋体" w:eastAsia="仿宋_GB2312"/>
          <w:sz w:val="28"/>
          <w:szCs w:val="32"/>
          <w:lang w:val="zh-CN"/>
        </w:rPr>
      </w:pPr>
      <w:r>
        <w:rPr>
          <w:rFonts w:hint="eastAsia" w:ascii="仿宋_GB2312" w:hAnsi="宋体" w:eastAsia="仿宋_GB2312"/>
          <w:sz w:val="32"/>
          <w:szCs w:val="28"/>
          <w:lang w:val="zh-CN"/>
        </w:rPr>
        <w:t>本标准内容与各项指标不低于国家强制性标准、推荐性国家标准和行业标准。</w:t>
      </w:r>
    </w:p>
    <w:p>
      <w:pPr>
        <w:rPr>
          <w:rFonts w:ascii="仿宋_GB2312" w:hAnsi="宋体" w:eastAsia="仿宋_GB2312"/>
          <w:sz w:val="28"/>
          <w:szCs w:val="32"/>
          <w:lang w:val="zh-CN"/>
        </w:rPr>
      </w:pPr>
    </w:p>
    <w:p>
      <w:pPr>
        <w:ind w:firstLine="560" w:firstLineChars="200"/>
        <w:rPr>
          <w:rFonts w:ascii="仿宋_GB2312" w:hAnsi="宋体" w:eastAsia="仿宋_GB2312"/>
          <w:sz w:val="32"/>
          <w:szCs w:val="28"/>
          <w:lang w:val="zh-CN"/>
        </w:rPr>
      </w:pPr>
      <w:r>
        <w:rPr>
          <w:rFonts w:hint="eastAsia" w:ascii="仿宋_GB2312" w:hAnsi="宋体" w:eastAsia="仿宋_GB2312"/>
          <w:sz w:val="28"/>
          <w:szCs w:val="32"/>
          <w:lang w:val="zh-CN"/>
        </w:rPr>
        <w:t xml:space="preserve">         </w:t>
      </w:r>
      <w:r>
        <w:rPr>
          <w:rFonts w:hint="eastAsia" w:ascii="仿宋_GB2312" w:hAnsi="宋体" w:eastAsia="仿宋_GB2312"/>
          <w:sz w:val="32"/>
          <w:szCs w:val="28"/>
          <w:lang w:val="zh-CN"/>
        </w:rPr>
        <w:t>团体标准《</w:t>
      </w:r>
      <w:r>
        <w:rPr>
          <w:rFonts w:hint="eastAsia" w:ascii="仿宋_GB2312" w:hAnsi="宋体" w:eastAsia="仿宋_GB2312"/>
          <w:sz w:val="32"/>
          <w:szCs w:val="28"/>
          <w:lang w:val="zh-CN" w:eastAsia="zh-CN"/>
        </w:rPr>
        <w:t>绿化植物废弃物资源化处理技术规程</w:t>
      </w:r>
      <w:r>
        <w:rPr>
          <w:rFonts w:hint="eastAsia" w:ascii="仿宋_GB2312" w:hAnsi="宋体" w:eastAsia="仿宋_GB2312"/>
          <w:sz w:val="32"/>
          <w:szCs w:val="28"/>
          <w:lang w:val="zh-CN"/>
        </w:rPr>
        <w:t>》</w:t>
      </w:r>
    </w:p>
    <w:p>
      <w:pPr>
        <w:ind w:firstLine="4800" w:firstLineChars="1500"/>
        <w:rPr>
          <w:rFonts w:ascii="仿宋_GB2312" w:hAnsi="宋体" w:eastAsia="仿宋_GB2312"/>
          <w:sz w:val="32"/>
          <w:szCs w:val="28"/>
          <w:lang w:val="zh-CN"/>
        </w:rPr>
      </w:pPr>
      <w:r>
        <w:rPr>
          <w:rFonts w:hint="eastAsia" w:ascii="仿宋_GB2312" w:hAnsi="宋体" w:eastAsia="仿宋_GB2312"/>
          <w:sz w:val="32"/>
          <w:szCs w:val="28"/>
          <w:lang w:val="zh-CN"/>
        </w:rPr>
        <w:t>标准编制小组</w:t>
      </w:r>
    </w:p>
    <w:p>
      <w:pPr>
        <w:ind w:firstLine="640" w:firstLineChars="200"/>
        <w:rPr>
          <w:rFonts w:ascii="仿宋_GB2312" w:hAnsi="宋体" w:eastAsia="仿宋_GB2312"/>
          <w:sz w:val="32"/>
          <w:szCs w:val="28"/>
          <w:lang w:val="zh-CN"/>
        </w:rPr>
      </w:pPr>
      <w:r>
        <w:rPr>
          <w:rFonts w:hint="eastAsia" w:ascii="仿宋_GB2312" w:hAnsi="宋体" w:eastAsia="仿宋_GB2312"/>
          <w:sz w:val="32"/>
          <w:szCs w:val="28"/>
          <w:lang w:val="zh-CN"/>
        </w:rPr>
        <w:t xml:space="preserve">                         2022年</w:t>
      </w:r>
      <w:r>
        <w:rPr>
          <w:rFonts w:hint="eastAsia" w:ascii="仿宋_GB2312" w:hAnsi="宋体" w:eastAsia="仿宋_GB2312"/>
          <w:sz w:val="32"/>
          <w:szCs w:val="28"/>
          <w:lang w:val="en-US" w:eastAsia="zh-CN"/>
        </w:rPr>
        <w:t>5</w:t>
      </w:r>
      <w:r>
        <w:rPr>
          <w:rFonts w:hint="eastAsia" w:ascii="仿宋_GB2312" w:hAnsi="宋体" w:eastAsia="仿宋_GB2312"/>
          <w:sz w:val="32"/>
          <w:szCs w:val="28"/>
          <w:lang w:val="zh-CN"/>
        </w:rPr>
        <w:t>月</w:t>
      </w:r>
      <w:r>
        <w:rPr>
          <w:rFonts w:hint="eastAsia" w:ascii="仿宋_GB2312" w:hAnsi="宋体" w:eastAsia="仿宋_GB2312"/>
          <w:sz w:val="32"/>
          <w:szCs w:val="28"/>
          <w:lang w:val="en-US" w:eastAsia="zh-CN"/>
        </w:rPr>
        <w:t>9</w:t>
      </w:r>
      <w:r>
        <w:rPr>
          <w:rFonts w:hint="eastAsia" w:ascii="仿宋_GB2312" w:hAnsi="宋体" w:eastAsia="仿宋_GB2312"/>
          <w:sz w:val="32"/>
          <w:szCs w:val="28"/>
          <w:lang w:val="zh-CN"/>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12968"/>
    </w:sdtPr>
    <w:sdtContent>
      <w:p>
        <w:pPr>
          <w:pStyle w:val="6"/>
          <w:jc w:val="cente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1</w:t>
        </w:r>
        <w:r>
          <w:rPr>
            <w:rFonts w:ascii="宋体" w:hAnsi="宋体"/>
            <w:sz w:val="32"/>
            <w:szCs w:val="32"/>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4CE78"/>
    <w:multiLevelType w:val="singleLevel"/>
    <w:tmpl w:val="BD04CE78"/>
    <w:lvl w:ilvl="0" w:tentative="0">
      <w:start w:val="1"/>
      <w:numFmt w:val="decimal"/>
      <w:suff w:val="nothing"/>
      <w:lvlText w:val="%1、"/>
      <w:lvlJc w:val="left"/>
    </w:lvl>
  </w:abstractNum>
  <w:abstractNum w:abstractNumId="1">
    <w:nsid w:val="EBE1D4B0"/>
    <w:multiLevelType w:val="singleLevel"/>
    <w:tmpl w:val="EBE1D4B0"/>
    <w:lvl w:ilvl="0" w:tentative="0">
      <w:start w:val="2"/>
      <w:numFmt w:val="chineseCounting"/>
      <w:suff w:val="nothing"/>
      <w:lvlText w:val="%1、"/>
      <w:lvlJc w:val="left"/>
      <w:rPr>
        <w:rFonts w:hint="eastAsia"/>
      </w:rPr>
    </w:lvl>
  </w:abstractNum>
  <w:abstractNum w:abstractNumId="2">
    <w:nsid w:val="F7EC27CF"/>
    <w:multiLevelType w:val="singleLevel"/>
    <w:tmpl w:val="F7EC27CF"/>
    <w:lvl w:ilvl="0" w:tentative="0">
      <w:start w:val="4"/>
      <w:numFmt w:val="chineseCounting"/>
      <w:suff w:val="nothing"/>
      <w:lvlText w:val="（%1）"/>
      <w:lvlJc w:val="left"/>
      <w:rPr>
        <w:rFonts w:hint="eastAsia"/>
      </w:rPr>
    </w:lvl>
  </w:abstractNum>
  <w:abstractNum w:abstractNumId="3">
    <w:nsid w:val="158F870E"/>
    <w:multiLevelType w:val="singleLevel"/>
    <w:tmpl w:val="158F870E"/>
    <w:lvl w:ilvl="0" w:tentative="0">
      <w:start w:val="1"/>
      <w:numFmt w:val="chineseCounting"/>
      <w:suff w:val="nothing"/>
      <w:lvlText w:val="（%1）"/>
      <w:lvlJc w:val="left"/>
      <w:rPr>
        <w:rFonts w:hint="eastAsia"/>
      </w:rPr>
    </w:lvl>
  </w:abstractNum>
  <w:abstractNum w:abstractNumId="4">
    <w:nsid w:val="1FC91163"/>
    <w:multiLevelType w:val="multilevel"/>
    <w:tmpl w:val="1FC91163"/>
    <w:lvl w:ilvl="0" w:tentative="0">
      <w:start w:val="1"/>
      <w:numFmt w:val="decimal"/>
      <w:pStyle w:val="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4"/>
      <w:suff w:val="nothing"/>
      <w:lvlText w:val="%1.%2.%3　"/>
      <w:lvlJc w:val="left"/>
      <w:pPr>
        <w:ind w:left="4361" w:firstLine="0"/>
      </w:pPr>
      <w:rPr>
        <w:rFonts w:hint="eastAsia" w:ascii="黑体" w:hAnsi="Times New Roman" w:eastAsia="黑体"/>
        <w:b w:val="0"/>
        <w:i w:val="0"/>
        <w:sz w:val="21"/>
      </w:rPr>
    </w:lvl>
    <w:lvl w:ilvl="3" w:tentative="0">
      <w:start w:val="1"/>
      <w:numFmt w:val="decimal"/>
      <w:pStyle w:val="35"/>
      <w:suff w:val="nothing"/>
      <w:lvlText w:val="%1.%2.%3.%4　"/>
      <w:lvlJc w:val="left"/>
      <w:pPr>
        <w:ind w:left="0" w:firstLine="0"/>
      </w:pPr>
      <w:rPr>
        <w:rFonts w:hint="eastAsia" w:ascii="黑体" w:hAnsi="Times New Roman" w:eastAsia="黑体"/>
        <w:b w:val="0"/>
        <w:i w:val="0"/>
        <w:sz w:val="21"/>
      </w:rPr>
    </w:lvl>
    <w:lvl w:ilvl="4" w:tentative="0">
      <w:start w:val="1"/>
      <w:numFmt w:val="decimal"/>
      <w:pStyle w:val="36"/>
      <w:suff w:val="nothing"/>
      <w:lvlText w:val="%1.%2.%3.%4.%5　"/>
      <w:lvlJc w:val="left"/>
      <w:pPr>
        <w:ind w:left="840" w:firstLine="0"/>
      </w:pPr>
      <w:rPr>
        <w:rFonts w:hint="eastAsia" w:ascii="黑体" w:hAnsi="Times New Roman" w:eastAsia="黑体"/>
        <w:b w:val="0"/>
        <w:i w:val="0"/>
        <w:sz w:val="21"/>
      </w:rPr>
    </w:lvl>
    <w:lvl w:ilvl="5" w:tentative="0">
      <w:start w:val="1"/>
      <w:numFmt w:val="decimal"/>
      <w:pStyle w:val="37"/>
      <w:suff w:val="nothing"/>
      <w:lvlText w:val="%1.%2.%3.%4.%5.%6　"/>
      <w:lvlJc w:val="left"/>
      <w:pPr>
        <w:ind w:left="-420" w:firstLine="0"/>
      </w:pPr>
      <w:rPr>
        <w:rFonts w:hint="eastAsia" w:ascii="黑体" w:hAnsi="Times New Roman" w:eastAsia="黑体"/>
        <w:b w:val="0"/>
        <w:i w:val="0"/>
        <w:sz w:val="21"/>
      </w:rPr>
    </w:lvl>
    <w:lvl w:ilvl="6" w:tentative="0">
      <w:start w:val="1"/>
      <w:numFmt w:val="decimal"/>
      <w:suff w:val="nothing"/>
      <w:lvlText w:val="%1%2.%3.%4.%5.%6.%7　"/>
      <w:lvlJc w:val="left"/>
      <w:pPr>
        <w:ind w:left="-420" w:firstLine="0"/>
      </w:pPr>
      <w:rPr>
        <w:rFonts w:hint="eastAsia" w:ascii="黑体" w:hAnsi="Times New Roman" w:eastAsia="黑体"/>
        <w:b w:val="0"/>
        <w:i w:val="0"/>
        <w:sz w:val="21"/>
      </w:rPr>
    </w:lvl>
    <w:lvl w:ilvl="7" w:tentative="0">
      <w:start w:val="1"/>
      <w:numFmt w:val="decimal"/>
      <w:lvlText w:val="%1.%2.%3.%4.%5.%6.%7.%8"/>
      <w:lvlJc w:val="left"/>
      <w:pPr>
        <w:tabs>
          <w:tab w:val="left" w:pos="3931"/>
        </w:tabs>
        <w:ind w:left="3549" w:hanging="1418"/>
      </w:pPr>
      <w:rPr>
        <w:rFonts w:hint="eastAsia"/>
      </w:rPr>
    </w:lvl>
    <w:lvl w:ilvl="8" w:tentative="0">
      <w:start w:val="1"/>
      <w:numFmt w:val="decimal"/>
      <w:lvlText w:val="%1.%2.%3.%4.%5.%6.%7.%8.%9"/>
      <w:lvlJc w:val="left"/>
      <w:pPr>
        <w:tabs>
          <w:tab w:val="left" w:pos="4357"/>
        </w:tabs>
        <w:ind w:left="4257" w:hanging="1700"/>
      </w:pPr>
      <w:rPr>
        <w:rFonts w:hint="eastAsia"/>
      </w:rPr>
    </w:lvl>
  </w:abstractNum>
  <w:abstractNum w:abstractNumId="5">
    <w:nsid w:val="38AB5BB1"/>
    <w:multiLevelType w:val="singleLevel"/>
    <w:tmpl w:val="38AB5BB1"/>
    <w:lvl w:ilvl="0" w:tentative="0">
      <w:start w:val="2"/>
      <w:numFmt w:val="chineseCounting"/>
      <w:suff w:val="nothing"/>
      <w:lvlText w:val="（%1）"/>
      <w:lvlJc w:val="left"/>
      <w:pPr>
        <w:ind w:left="-13"/>
      </w:pPr>
      <w:rPr>
        <w:rFonts w:hint="eastAsia"/>
      </w:rPr>
    </w:lvl>
  </w:abstractNum>
  <w:abstractNum w:abstractNumId="6">
    <w:nsid w:val="657D3FBC"/>
    <w:multiLevelType w:val="multilevel"/>
    <w:tmpl w:val="657D3FBC"/>
    <w:lvl w:ilvl="0" w:tentative="0">
      <w:start w:val="1"/>
      <w:numFmt w:val="upperLetter"/>
      <w:pStyle w:val="43"/>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tentative="0">
      <w:start w:val="1"/>
      <w:numFmt w:val="none"/>
      <w:pStyle w:val="28"/>
      <w:suff w:val="nothing"/>
      <w:lvlText w:val="%1"/>
      <w:lvlJc w:val="left"/>
      <w:pPr>
        <w:ind w:left="0" w:firstLine="0"/>
      </w:pPr>
      <w:rPr>
        <w:rFonts w:hint="eastAsia"/>
      </w:rPr>
    </w:lvl>
    <w:lvl w:ilvl="1" w:tentative="0">
      <w:start w:val="1"/>
      <w:numFmt w:val="decimal"/>
      <w:pStyle w:val="26"/>
      <w:suff w:val="nothing"/>
      <w:lvlText w:val="%1%2　"/>
      <w:lvlJc w:val="left"/>
      <w:pPr>
        <w:ind w:left="0" w:firstLine="0"/>
      </w:pPr>
      <w:rPr>
        <w:rFonts w:hint="eastAsia" w:ascii="黑体" w:eastAsia="黑体"/>
        <w:b w:val="0"/>
        <w:i w:val="0"/>
        <w:sz w:val="21"/>
      </w:rPr>
    </w:lvl>
    <w:lvl w:ilvl="2" w:tentative="0">
      <w:start w:val="1"/>
      <w:numFmt w:val="decimal"/>
      <w:pStyle w:val="2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2"/>
      <w:suff w:val="nothing"/>
      <w:lvlText w:val="%1%2.%3.%4　"/>
      <w:lvlJc w:val="left"/>
      <w:pPr>
        <w:ind w:left="0" w:firstLine="0"/>
      </w:pPr>
      <w:rPr>
        <w:rFonts w:hint="eastAsia" w:ascii="黑体" w:eastAsia="黑体"/>
        <w:b w:val="0"/>
        <w:i w:val="0"/>
        <w:sz w:val="21"/>
      </w:rPr>
    </w:lvl>
    <w:lvl w:ilvl="4" w:tentative="0">
      <w:start w:val="1"/>
      <w:numFmt w:val="decimal"/>
      <w:pStyle w:val="23"/>
      <w:suff w:val="nothing"/>
      <w:lvlText w:val="%1%2.%3.%4.%5　"/>
      <w:lvlJc w:val="left"/>
      <w:pPr>
        <w:ind w:left="0" w:firstLine="0"/>
      </w:pPr>
      <w:rPr>
        <w:rFonts w:hint="eastAsia" w:ascii="黑体" w:eastAsia="黑体"/>
        <w:b w:val="0"/>
        <w:i w:val="0"/>
        <w:sz w:val="21"/>
      </w:rPr>
    </w:lvl>
    <w:lvl w:ilvl="5" w:tentative="0">
      <w:start w:val="1"/>
      <w:numFmt w:val="decimal"/>
      <w:pStyle w:val="24"/>
      <w:suff w:val="nothing"/>
      <w:lvlText w:val="%1%2.%3.%4.%5.%6　"/>
      <w:lvlJc w:val="left"/>
      <w:pPr>
        <w:ind w:left="0" w:firstLine="0"/>
      </w:pPr>
      <w:rPr>
        <w:rFonts w:hint="eastAsia" w:ascii="黑体" w:eastAsia="黑体"/>
        <w:b w:val="0"/>
        <w:i w:val="0"/>
        <w:sz w:val="21"/>
      </w:rPr>
    </w:lvl>
    <w:lvl w:ilvl="6" w:tentative="0">
      <w:start w:val="1"/>
      <w:numFmt w:val="decimal"/>
      <w:pStyle w:val="2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7D6BAD73"/>
    <w:multiLevelType w:val="singleLevel"/>
    <w:tmpl w:val="7D6BAD73"/>
    <w:lvl w:ilvl="0" w:tentative="0">
      <w:start w:val="4"/>
      <w:numFmt w:val="chineseCounting"/>
      <w:suff w:val="nothing"/>
      <w:lvlText w:val="%1、"/>
      <w:lvlJc w:val="left"/>
      <w:rPr>
        <w:rFonts w:hint="eastAsia"/>
      </w:rPr>
    </w:lvl>
  </w:abstractNum>
  <w:num w:numId="1">
    <w:abstractNumId w:val="7"/>
  </w:num>
  <w:num w:numId="2">
    <w:abstractNumId w:val="4"/>
  </w:num>
  <w:num w:numId="3">
    <w:abstractNumId w:val="2"/>
  </w:num>
  <w:num w:numId="4">
    <w:abstractNumId w:val="6"/>
  </w:num>
  <w:num w:numId="5">
    <w:abstractNumId w:val="1"/>
  </w:num>
  <w:num w:numId="6">
    <w:abstractNumId w:val="8"/>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1MTRkYTkzNzE3MzFmMmU4NWY1MDE4ODgzNjY4ZDUifQ=="/>
  </w:docVars>
  <w:rsids>
    <w:rsidRoot w:val="52F40A7A"/>
    <w:rsid w:val="00002030"/>
    <w:rsid w:val="00004B01"/>
    <w:rsid w:val="00004C4A"/>
    <w:rsid w:val="00010E6E"/>
    <w:rsid w:val="0001346F"/>
    <w:rsid w:val="000172E1"/>
    <w:rsid w:val="00022A5F"/>
    <w:rsid w:val="000255B1"/>
    <w:rsid w:val="00031C67"/>
    <w:rsid w:val="00045D6D"/>
    <w:rsid w:val="00050D8A"/>
    <w:rsid w:val="00057AD3"/>
    <w:rsid w:val="00072AE1"/>
    <w:rsid w:val="00075056"/>
    <w:rsid w:val="0008582A"/>
    <w:rsid w:val="00094586"/>
    <w:rsid w:val="00095094"/>
    <w:rsid w:val="000A029B"/>
    <w:rsid w:val="000A1420"/>
    <w:rsid w:val="000A63E7"/>
    <w:rsid w:val="000A7D1E"/>
    <w:rsid w:val="000B15F9"/>
    <w:rsid w:val="000B25F0"/>
    <w:rsid w:val="000C1B17"/>
    <w:rsid w:val="000C7B94"/>
    <w:rsid w:val="000D0936"/>
    <w:rsid w:val="000D2085"/>
    <w:rsid w:val="000D4AA2"/>
    <w:rsid w:val="000D5D37"/>
    <w:rsid w:val="000D7675"/>
    <w:rsid w:val="000E68F4"/>
    <w:rsid w:val="000E6DEA"/>
    <w:rsid w:val="000F124B"/>
    <w:rsid w:val="000F3C96"/>
    <w:rsid w:val="000F5CC1"/>
    <w:rsid w:val="000F77A5"/>
    <w:rsid w:val="0010044B"/>
    <w:rsid w:val="00106E48"/>
    <w:rsid w:val="001074C4"/>
    <w:rsid w:val="00113C15"/>
    <w:rsid w:val="00113EE6"/>
    <w:rsid w:val="0011771D"/>
    <w:rsid w:val="00122F32"/>
    <w:rsid w:val="00123812"/>
    <w:rsid w:val="001240E5"/>
    <w:rsid w:val="00127C38"/>
    <w:rsid w:val="0013283F"/>
    <w:rsid w:val="0014292D"/>
    <w:rsid w:val="00144CFD"/>
    <w:rsid w:val="00146E1F"/>
    <w:rsid w:val="00151C6D"/>
    <w:rsid w:val="00152E1B"/>
    <w:rsid w:val="001670A9"/>
    <w:rsid w:val="00171BE7"/>
    <w:rsid w:val="0017654D"/>
    <w:rsid w:val="00184228"/>
    <w:rsid w:val="001901B7"/>
    <w:rsid w:val="00193030"/>
    <w:rsid w:val="001A129A"/>
    <w:rsid w:val="001A2C3B"/>
    <w:rsid w:val="001A44D7"/>
    <w:rsid w:val="001A5698"/>
    <w:rsid w:val="001A60A2"/>
    <w:rsid w:val="001A7A69"/>
    <w:rsid w:val="001B03C8"/>
    <w:rsid w:val="001B08A5"/>
    <w:rsid w:val="001B08C8"/>
    <w:rsid w:val="001C067E"/>
    <w:rsid w:val="001C2136"/>
    <w:rsid w:val="001C4BEF"/>
    <w:rsid w:val="001D0A9B"/>
    <w:rsid w:val="001D6DFB"/>
    <w:rsid w:val="001E0A61"/>
    <w:rsid w:val="001E2028"/>
    <w:rsid w:val="001E5046"/>
    <w:rsid w:val="0020008A"/>
    <w:rsid w:val="002008BD"/>
    <w:rsid w:val="002052DF"/>
    <w:rsid w:val="00205A58"/>
    <w:rsid w:val="00207BE8"/>
    <w:rsid w:val="00224C22"/>
    <w:rsid w:val="0022611B"/>
    <w:rsid w:val="002324AB"/>
    <w:rsid w:val="002362C7"/>
    <w:rsid w:val="00240DD0"/>
    <w:rsid w:val="00244076"/>
    <w:rsid w:val="00246898"/>
    <w:rsid w:val="0025067D"/>
    <w:rsid w:val="00255B2D"/>
    <w:rsid w:val="0025708A"/>
    <w:rsid w:val="00265259"/>
    <w:rsid w:val="00274817"/>
    <w:rsid w:val="002770E7"/>
    <w:rsid w:val="0028089D"/>
    <w:rsid w:val="00286F69"/>
    <w:rsid w:val="00297CC4"/>
    <w:rsid w:val="002A1E5E"/>
    <w:rsid w:val="002A58A4"/>
    <w:rsid w:val="002A7EEE"/>
    <w:rsid w:val="002B656B"/>
    <w:rsid w:val="002C0A09"/>
    <w:rsid w:val="002C18A8"/>
    <w:rsid w:val="002D4945"/>
    <w:rsid w:val="002D6E7D"/>
    <w:rsid w:val="002D7CF5"/>
    <w:rsid w:val="002E3C13"/>
    <w:rsid w:val="002E4CF8"/>
    <w:rsid w:val="002F1363"/>
    <w:rsid w:val="00305AE4"/>
    <w:rsid w:val="0030658C"/>
    <w:rsid w:val="00306B56"/>
    <w:rsid w:val="00310580"/>
    <w:rsid w:val="00320404"/>
    <w:rsid w:val="0032577A"/>
    <w:rsid w:val="00332A60"/>
    <w:rsid w:val="00332CD2"/>
    <w:rsid w:val="0033374E"/>
    <w:rsid w:val="0033381E"/>
    <w:rsid w:val="00333E2F"/>
    <w:rsid w:val="00340AA6"/>
    <w:rsid w:val="003438F5"/>
    <w:rsid w:val="0035100C"/>
    <w:rsid w:val="00361165"/>
    <w:rsid w:val="00371733"/>
    <w:rsid w:val="00382CF3"/>
    <w:rsid w:val="00384E7B"/>
    <w:rsid w:val="003855F8"/>
    <w:rsid w:val="00386773"/>
    <w:rsid w:val="0039067E"/>
    <w:rsid w:val="003D35F5"/>
    <w:rsid w:val="003D593D"/>
    <w:rsid w:val="003E3F3F"/>
    <w:rsid w:val="003E3F52"/>
    <w:rsid w:val="003E42C1"/>
    <w:rsid w:val="003F7245"/>
    <w:rsid w:val="003F76C4"/>
    <w:rsid w:val="00403C1F"/>
    <w:rsid w:val="004057CB"/>
    <w:rsid w:val="004071AD"/>
    <w:rsid w:val="00416771"/>
    <w:rsid w:val="0042060E"/>
    <w:rsid w:val="00423B26"/>
    <w:rsid w:val="00427AB0"/>
    <w:rsid w:val="00430FDB"/>
    <w:rsid w:val="004334C2"/>
    <w:rsid w:val="004364E4"/>
    <w:rsid w:val="004427FE"/>
    <w:rsid w:val="004456FA"/>
    <w:rsid w:val="004464EA"/>
    <w:rsid w:val="00446864"/>
    <w:rsid w:val="004476EC"/>
    <w:rsid w:val="00457D76"/>
    <w:rsid w:val="004714EA"/>
    <w:rsid w:val="00472AF8"/>
    <w:rsid w:val="00483264"/>
    <w:rsid w:val="00487AD3"/>
    <w:rsid w:val="00487CD5"/>
    <w:rsid w:val="00495B49"/>
    <w:rsid w:val="004A085B"/>
    <w:rsid w:val="004A67D6"/>
    <w:rsid w:val="004A70D3"/>
    <w:rsid w:val="004B3E07"/>
    <w:rsid w:val="004C0DEB"/>
    <w:rsid w:val="004C0F0C"/>
    <w:rsid w:val="004C13CE"/>
    <w:rsid w:val="004C3D65"/>
    <w:rsid w:val="004C4192"/>
    <w:rsid w:val="004C6640"/>
    <w:rsid w:val="004D0734"/>
    <w:rsid w:val="004E174F"/>
    <w:rsid w:val="004E2A80"/>
    <w:rsid w:val="004F632C"/>
    <w:rsid w:val="004F6860"/>
    <w:rsid w:val="00505174"/>
    <w:rsid w:val="00506E71"/>
    <w:rsid w:val="005334DC"/>
    <w:rsid w:val="00534C7A"/>
    <w:rsid w:val="00534E76"/>
    <w:rsid w:val="0054263E"/>
    <w:rsid w:val="00543432"/>
    <w:rsid w:val="00552387"/>
    <w:rsid w:val="0055581B"/>
    <w:rsid w:val="00555B17"/>
    <w:rsid w:val="00556950"/>
    <w:rsid w:val="0055791F"/>
    <w:rsid w:val="00563A69"/>
    <w:rsid w:val="005742A0"/>
    <w:rsid w:val="00575CAC"/>
    <w:rsid w:val="0058057F"/>
    <w:rsid w:val="00587573"/>
    <w:rsid w:val="00596018"/>
    <w:rsid w:val="005A03D0"/>
    <w:rsid w:val="005A4D84"/>
    <w:rsid w:val="005A56FC"/>
    <w:rsid w:val="005B1C23"/>
    <w:rsid w:val="005B2C83"/>
    <w:rsid w:val="005B4F6A"/>
    <w:rsid w:val="005C01D0"/>
    <w:rsid w:val="005E18D3"/>
    <w:rsid w:val="005F02EE"/>
    <w:rsid w:val="00603C54"/>
    <w:rsid w:val="00605579"/>
    <w:rsid w:val="00606685"/>
    <w:rsid w:val="006255F6"/>
    <w:rsid w:val="006255FF"/>
    <w:rsid w:val="0062579B"/>
    <w:rsid w:val="00630EE0"/>
    <w:rsid w:val="0063304D"/>
    <w:rsid w:val="00634F18"/>
    <w:rsid w:val="0063510B"/>
    <w:rsid w:val="00643931"/>
    <w:rsid w:val="00645B65"/>
    <w:rsid w:val="00657118"/>
    <w:rsid w:val="00663A2D"/>
    <w:rsid w:val="006651FC"/>
    <w:rsid w:val="00676521"/>
    <w:rsid w:val="00676728"/>
    <w:rsid w:val="00683E8F"/>
    <w:rsid w:val="006867A4"/>
    <w:rsid w:val="006A089E"/>
    <w:rsid w:val="006A4180"/>
    <w:rsid w:val="006A558C"/>
    <w:rsid w:val="006A6C12"/>
    <w:rsid w:val="006A6C6E"/>
    <w:rsid w:val="006B5247"/>
    <w:rsid w:val="006C2D86"/>
    <w:rsid w:val="006C5D24"/>
    <w:rsid w:val="006C6978"/>
    <w:rsid w:val="006D0ABD"/>
    <w:rsid w:val="006D2529"/>
    <w:rsid w:val="006D4CAF"/>
    <w:rsid w:val="006E0EAE"/>
    <w:rsid w:val="006E3F49"/>
    <w:rsid w:val="006E7B72"/>
    <w:rsid w:val="006E7C98"/>
    <w:rsid w:val="006F33AE"/>
    <w:rsid w:val="006F36AF"/>
    <w:rsid w:val="006F579F"/>
    <w:rsid w:val="007211EB"/>
    <w:rsid w:val="00725661"/>
    <w:rsid w:val="0072647B"/>
    <w:rsid w:val="00734925"/>
    <w:rsid w:val="007464D8"/>
    <w:rsid w:val="007473CE"/>
    <w:rsid w:val="00750917"/>
    <w:rsid w:val="00756B7A"/>
    <w:rsid w:val="007723F1"/>
    <w:rsid w:val="0077269F"/>
    <w:rsid w:val="00773D4E"/>
    <w:rsid w:val="0077484C"/>
    <w:rsid w:val="00782FF7"/>
    <w:rsid w:val="00795E8F"/>
    <w:rsid w:val="007A486B"/>
    <w:rsid w:val="007B7084"/>
    <w:rsid w:val="007B7D2B"/>
    <w:rsid w:val="007C05E2"/>
    <w:rsid w:val="007C14D0"/>
    <w:rsid w:val="007C4BD4"/>
    <w:rsid w:val="007F37EE"/>
    <w:rsid w:val="007F5AD7"/>
    <w:rsid w:val="007F6F3A"/>
    <w:rsid w:val="007F7C5A"/>
    <w:rsid w:val="0080432C"/>
    <w:rsid w:val="008064A0"/>
    <w:rsid w:val="00812F89"/>
    <w:rsid w:val="00816C6C"/>
    <w:rsid w:val="00817D5D"/>
    <w:rsid w:val="00817EEE"/>
    <w:rsid w:val="008252D1"/>
    <w:rsid w:val="00827B75"/>
    <w:rsid w:val="00830741"/>
    <w:rsid w:val="008451F4"/>
    <w:rsid w:val="00846662"/>
    <w:rsid w:val="00846B43"/>
    <w:rsid w:val="00847950"/>
    <w:rsid w:val="008507CD"/>
    <w:rsid w:val="00853B04"/>
    <w:rsid w:val="008540BE"/>
    <w:rsid w:val="00854E95"/>
    <w:rsid w:val="008668A8"/>
    <w:rsid w:val="00866934"/>
    <w:rsid w:val="0087147C"/>
    <w:rsid w:val="00877AC9"/>
    <w:rsid w:val="008816F1"/>
    <w:rsid w:val="00892C1C"/>
    <w:rsid w:val="008A137F"/>
    <w:rsid w:val="008A3597"/>
    <w:rsid w:val="008A5EFE"/>
    <w:rsid w:val="008B26B0"/>
    <w:rsid w:val="008B5643"/>
    <w:rsid w:val="008B680D"/>
    <w:rsid w:val="008B6C66"/>
    <w:rsid w:val="008B75DD"/>
    <w:rsid w:val="008C3A06"/>
    <w:rsid w:val="008C441E"/>
    <w:rsid w:val="008C65ED"/>
    <w:rsid w:val="008C6AC7"/>
    <w:rsid w:val="008C6BD8"/>
    <w:rsid w:val="008D1373"/>
    <w:rsid w:val="008D4E14"/>
    <w:rsid w:val="008E2021"/>
    <w:rsid w:val="008F2DF4"/>
    <w:rsid w:val="008F2F90"/>
    <w:rsid w:val="00904023"/>
    <w:rsid w:val="00905603"/>
    <w:rsid w:val="009111EA"/>
    <w:rsid w:val="00923F57"/>
    <w:rsid w:val="009309AA"/>
    <w:rsid w:val="00946400"/>
    <w:rsid w:val="00965A51"/>
    <w:rsid w:val="009671CA"/>
    <w:rsid w:val="00972962"/>
    <w:rsid w:val="00972FC5"/>
    <w:rsid w:val="00981956"/>
    <w:rsid w:val="00982BD5"/>
    <w:rsid w:val="00983918"/>
    <w:rsid w:val="009918CC"/>
    <w:rsid w:val="00996984"/>
    <w:rsid w:val="00996C24"/>
    <w:rsid w:val="009A0290"/>
    <w:rsid w:val="009B05F8"/>
    <w:rsid w:val="009B0913"/>
    <w:rsid w:val="009B3475"/>
    <w:rsid w:val="009B5DAD"/>
    <w:rsid w:val="009B62A8"/>
    <w:rsid w:val="009C3228"/>
    <w:rsid w:val="009C725B"/>
    <w:rsid w:val="009D23FA"/>
    <w:rsid w:val="009D266B"/>
    <w:rsid w:val="009E02E5"/>
    <w:rsid w:val="009E21D2"/>
    <w:rsid w:val="009E36D8"/>
    <w:rsid w:val="009E4104"/>
    <w:rsid w:val="009E6E38"/>
    <w:rsid w:val="00A00ABF"/>
    <w:rsid w:val="00A01F1F"/>
    <w:rsid w:val="00A06C3F"/>
    <w:rsid w:val="00A14D87"/>
    <w:rsid w:val="00A15EF5"/>
    <w:rsid w:val="00A173F3"/>
    <w:rsid w:val="00A24FDF"/>
    <w:rsid w:val="00A32B67"/>
    <w:rsid w:val="00A33BC3"/>
    <w:rsid w:val="00A3695A"/>
    <w:rsid w:val="00A53EF2"/>
    <w:rsid w:val="00A56182"/>
    <w:rsid w:val="00A614F7"/>
    <w:rsid w:val="00A72BE0"/>
    <w:rsid w:val="00A72F2B"/>
    <w:rsid w:val="00A746B4"/>
    <w:rsid w:val="00A74EE5"/>
    <w:rsid w:val="00A775A4"/>
    <w:rsid w:val="00A819DE"/>
    <w:rsid w:val="00A912E4"/>
    <w:rsid w:val="00A92404"/>
    <w:rsid w:val="00A93605"/>
    <w:rsid w:val="00A96B83"/>
    <w:rsid w:val="00A9764A"/>
    <w:rsid w:val="00AA376B"/>
    <w:rsid w:val="00AB06B2"/>
    <w:rsid w:val="00AB2DA5"/>
    <w:rsid w:val="00AC62A5"/>
    <w:rsid w:val="00AD6406"/>
    <w:rsid w:val="00AE0409"/>
    <w:rsid w:val="00AE0CC7"/>
    <w:rsid w:val="00AE6884"/>
    <w:rsid w:val="00AE7C04"/>
    <w:rsid w:val="00B001F4"/>
    <w:rsid w:val="00B0296E"/>
    <w:rsid w:val="00B03ACD"/>
    <w:rsid w:val="00B123DB"/>
    <w:rsid w:val="00B160C4"/>
    <w:rsid w:val="00B16697"/>
    <w:rsid w:val="00B268CE"/>
    <w:rsid w:val="00B27F04"/>
    <w:rsid w:val="00B3000B"/>
    <w:rsid w:val="00B34676"/>
    <w:rsid w:val="00B43123"/>
    <w:rsid w:val="00B43B12"/>
    <w:rsid w:val="00B50F53"/>
    <w:rsid w:val="00B53FB2"/>
    <w:rsid w:val="00B540BC"/>
    <w:rsid w:val="00B54EC2"/>
    <w:rsid w:val="00B604A5"/>
    <w:rsid w:val="00B613A1"/>
    <w:rsid w:val="00B6365B"/>
    <w:rsid w:val="00B636A3"/>
    <w:rsid w:val="00B80E71"/>
    <w:rsid w:val="00B90BCC"/>
    <w:rsid w:val="00B925F3"/>
    <w:rsid w:val="00B97929"/>
    <w:rsid w:val="00BB6FF5"/>
    <w:rsid w:val="00BC171F"/>
    <w:rsid w:val="00BC4455"/>
    <w:rsid w:val="00BD10BC"/>
    <w:rsid w:val="00BD62CB"/>
    <w:rsid w:val="00BD7550"/>
    <w:rsid w:val="00BE5140"/>
    <w:rsid w:val="00BF0016"/>
    <w:rsid w:val="00BF5764"/>
    <w:rsid w:val="00C03202"/>
    <w:rsid w:val="00C13F3F"/>
    <w:rsid w:val="00C17CA3"/>
    <w:rsid w:val="00C2083A"/>
    <w:rsid w:val="00C2476C"/>
    <w:rsid w:val="00C31177"/>
    <w:rsid w:val="00C3291B"/>
    <w:rsid w:val="00C3316E"/>
    <w:rsid w:val="00C4029B"/>
    <w:rsid w:val="00C42251"/>
    <w:rsid w:val="00C468FA"/>
    <w:rsid w:val="00C512F4"/>
    <w:rsid w:val="00C53498"/>
    <w:rsid w:val="00C53C8B"/>
    <w:rsid w:val="00C576EA"/>
    <w:rsid w:val="00C62B66"/>
    <w:rsid w:val="00C71A2A"/>
    <w:rsid w:val="00C729D5"/>
    <w:rsid w:val="00C74827"/>
    <w:rsid w:val="00C77D35"/>
    <w:rsid w:val="00C86E93"/>
    <w:rsid w:val="00C93DB8"/>
    <w:rsid w:val="00CC2F39"/>
    <w:rsid w:val="00CC315E"/>
    <w:rsid w:val="00CC35A5"/>
    <w:rsid w:val="00CD2054"/>
    <w:rsid w:val="00CD6DD2"/>
    <w:rsid w:val="00CE0644"/>
    <w:rsid w:val="00CE0EE1"/>
    <w:rsid w:val="00CE2C95"/>
    <w:rsid w:val="00CE4E86"/>
    <w:rsid w:val="00CF3ECE"/>
    <w:rsid w:val="00CF746A"/>
    <w:rsid w:val="00D007BE"/>
    <w:rsid w:val="00D0154F"/>
    <w:rsid w:val="00D0439E"/>
    <w:rsid w:val="00D127DD"/>
    <w:rsid w:val="00D129C1"/>
    <w:rsid w:val="00D31E19"/>
    <w:rsid w:val="00D35563"/>
    <w:rsid w:val="00D41F6E"/>
    <w:rsid w:val="00D45485"/>
    <w:rsid w:val="00D52670"/>
    <w:rsid w:val="00D52D3A"/>
    <w:rsid w:val="00D570E4"/>
    <w:rsid w:val="00D603FD"/>
    <w:rsid w:val="00D61555"/>
    <w:rsid w:val="00D64185"/>
    <w:rsid w:val="00D6448D"/>
    <w:rsid w:val="00D6621F"/>
    <w:rsid w:val="00D732B5"/>
    <w:rsid w:val="00D74029"/>
    <w:rsid w:val="00D77F0F"/>
    <w:rsid w:val="00D91693"/>
    <w:rsid w:val="00D94810"/>
    <w:rsid w:val="00DA0E02"/>
    <w:rsid w:val="00DA36F2"/>
    <w:rsid w:val="00DC0876"/>
    <w:rsid w:val="00DC325A"/>
    <w:rsid w:val="00DE3986"/>
    <w:rsid w:val="00DF3ABD"/>
    <w:rsid w:val="00DF5055"/>
    <w:rsid w:val="00DF5A2F"/>
    <w:rsid w:val="00DF6063"/>
    <w:rsid w:val="00DF671D"/>
    <w:rsid w:val="00E01EB8"/>
    <w:rsid w:val="00E0763C"/>
    <w:rsid w:val="00E077CA"/>
    <w:rsid w:val="00E10D4E"/>
    <w:rsid w:val="00E114CE"/>
    <w:rsid w:val="00E153B5"/>
    <w:rsid w:val="00E165A6"/>
    <w:rsid w:val="00E2048F"/>
    <w:rsid w:val="00E22B90"/>
    <w:rsid w:val="00E2587A"/>
    <w:rsid w:val="00E34012"/>
    <w:rsid w:val="00E34597"/>
    <w:rsid w:val="00E352F7"/>
    <w:rsid w:val="00E50B46"/>
    <w:rsid w:val="00E55B1A"/>
    <w:rsid w:val="00E57F20"/>
    <w:rsid w:val="00E75003"/>
    <w:rsid w:val="00E77A73"/>
    <w:rsid w:val="00E801DC"/>
    <w:rsid w:val="00E82889"/>
    <w:rsid w:val="00E85B5D"/>
    <w:rsid w:val="00E93D18"/>
    <w:rsid w:val="00EB013C"/>
    <w:rsid w:val="00EB360A"/>
    <w:rsid w:val="00EB5476"/>
    <w:rsid w:val="00EB7532"/>
    <w:rsid w:val="00EC06F7"/>
    <w:rsid w:val="00EC22A2"/>
    <w:rsid w:val="00EC5B56"/>
    <w:rsid w:val="00ED0847"/>
    <w:rsid w:val="00ED1D5B"/>
    <w:rsid w:val="00EE78B6"/>
    <w:rsid w:val="00EE7D57"/>
    <w:rsid w:val="00F0301A"/>
    <w:rsid w:val="00F042E7"/>
    <w:rsid w:val="00F115C7"/>
    <w:rsid w:val="00F13400"/>
    <w:rsid w:val="00F24FBB"/>
    <w:rsid w:val="00F3374D"/>
    <w:rsid w:val="00F67BB0"/>
    <w:rsid w:val="00F70FCD"/>
    <w:rsid w:val="00F718EB"/>
    <w:rsid w:val="00F732E3"/>
    <w:rsid w:val="00F73D6A"/>
    <w:rsid w:val="00F755BF"/>
    <w:rsid w:val="00F77801"/>
    <w:rsid w:val="00F77D16"/>
    <w:rsid w:val="00F900BE"/>
    <w:rsid w:val="00F9435B"/>
    <w:rsid w:val="00FA2720"/>
    <w:rsid w:val="00FA77B1"/>
    <w:rsid w:val="00FB047A"/>
    <w:rsid w:val="00FB0E82"/>
    <w:rsid w:val="00FC599D"/>
    <w:rsid w:val="00FC68A8"/>
    <w:rsid w:val="00FD15E7"/>
    <w:rsid w:val="00FD19C3"/>
    <w:rsid w:val="00FD3708"/>
    <w:rsid w:val="00FD482A"/>
    <w:rsid w:val="00FE19BD"/>
    <w:rsid w:val="00FE253C"/>
    <w:rsid w:val="00FF3472"/>
    <w:rsid w:val="00FF6348"/>
    <w:rsid w:val="00FF683B"/>
    <w:rsid w:val="012073A2"/>
    <w:rsid w:val="01973053"/>
    <w:rsid w:val="027E74CA"/>
    <w:rsid w:val="034B5463"/>
    <w:rsid w:val="04DB3C44"/>
    <w:rsid w:val="051B5455"/>
    <w:rsid w:val="05F52CF1"/>
    <w:rsid w:val="07521F36"/>
    <w:rsid w:val="078F218F"/>
    <w:rsid w:val="07EA01C5"/>
    <w:rsid w:val="0CF43C8A"/>
    <w:rsid w:val="0D4967B3"/>
    <w:rsid w:val="0DA87EC0"/>
    <w:rsid w:val="0F447B05"/>
    <w:rsid w:val="0FEC3E14"/>
    <w:rsid w:val="11E73444"/>
    <w:rsid w:val="12A53D1F"/>
    <w:rsid w:val="134C146A"/>
    <w:rsid w:val="14377FD0"/>
    <w:rsid w:val="14856F74"/>
    <w:rsid w:val="15C0748F"/>
    <w:rsid w:val="16174E54"/>
    <w:rsid w:val="16BE53A8"/>
    <w:rsid w:val="17A35DDF"/>
    <w:rsid w:val="18787EC5"/>
    <w:rsid w:val="19E84073"/>
    <w:rsid w:val="1AEF3D03"/>
    <w:rsid w:val="1B7E0E69"/>
    <w:rsid w:val="1C136E65"/>
    <w:rsid w:val="1CC031EA"/>
    <w:rsid w:val="1D0B0474"/>
    <w:rsid w:val="1EFA407E"/>
    <w:rsid w:val="1F126151"/>
    <w:rsid w:val="20B40687"/>
    <w:rsid w:val="20D71315"/>
    <w:rsid w:val="21604DF6"/>
    <w:rsid w:val="216E5FE0"/>
    <w:rsid w:val="21B878C1"/>
    <w:rsid w:val="22723962"/>
    <w:rsid w:val="241C4DDC"/>
    <w:rsid w:val="24CD0EEF"/>
    <w:rsid w:val="24D067A5"/>
    <w:rsid w:val="27640417"/>
    <w:rsid w:val="29204D61"/>
    <w:rsid w:val="29F563F0"/>
    <w:rsid w:val="2B97780B"/>
    <w:rsid w:val="2BEB6BB2"/>
    <w:rsid w:val="2CCB46E5"/>
    <w:rsid w:val="2E2A5CB9"/>
    <w:rsid w:val="2E6073FD"/>
    <w:rsid w:val="2F24002C"/>
    <w:rsid w:val="30C72319"/>
    <w:rsid w:val="31AE15C3"/>
    <w:rsid w:val="31FF6CE2"/>
    <w:rsid w:val="34561CA3"/>
    <w:rsid w:val="35BB3EF4"/>
    <w:rsid w:val="369C4E13"/>
    <w:rsid w:val="38233460"/>
    <w:rsid w:val="386B0FD9"/>
    <w:rsid w:val="3933479C"/>
    <w:rsid w:val="396D1326"/>
    <w:rsid w:val="39FA6E70"/>
    <w:rsid w:val="3B0444E3"/>
    <w:rsid w:val="3B97665A"/>
    <w:rsid w:val="3E046715"/>
    <w:rsid w:val="3EE2552D"/>
    <w:rsid w:val="410E2FC5"/>
    <w:rsid w:val="42BC2207"/>
    <w:rsid w:val="46ED03C2"/>
    <w:rsid w:val="471104BE"/>
    <w:rsid w:val="484F252F"/>
    <w:rsid w:val="48B30AD7"/>
    <w:rsid w:val="4A8A1CA2"/>
    <w:rsid w:val="4A904936"/>
    <w:rsid w:val="4B011028"/>
    <w:rsid w:val="4C661C38"/>
    <w:rsid w:val="4C9A5EA5"/>
    <w:rsid w:val="4EE2079C"/>
    <w:rsid w:val="4F4E509D"/>
    <w:rsid w:val="4F5A5B0A"/>
    <w:rsid w:val="4F690ED1"/>
    <w:rsid w:val="502E2E70"/>
    <w:rsid w:val="50D543D0"/>
    <w:rsid w:val="51885345"/>
    <w:rsid w:val="524B1ADA"/>
    <w:rsid w:val="52635035"/>
    <w:rsid w:val="52F40A7A"/>
    <w:rsid w:val="53637780"/>
    <w:rsid w:val="53AB37CE"/>
    <w:rsid w:val="53D2046E"/>
    <w:rsid w:val="555F515E"/>
    <w:rsid w:val="579529A0"/>
    <w:rsid w:val="59C34DE2"/>
    <w:rsid w:val="5B16566C"/>
    <w:rsid w:val="5B20154B"/>
    <w:rsid w:val="5CB03332"/>
    <w:rsid w:val="5DB11630"/>
    <w:rsid w:val="5EB85928"/>
    <w:rsid w:val="5F7F05A5"/>
    <w:rsid w:val="60090E87"/>
    <w:rsid w:val="61227EAA"/>
    <w:rsid w:val="616855EF"/>
    <w:rsid w:val="62E269BE"/>
    <w:rsid w:val="63273FE2"/>
    <w:rsid w:val="633C4553"/>
    <w:rsid w:val="635E1DC8"/>
    <w:rsid w:val="63707B8A"/>
    <w:rsid w:val="63F8153B"/>
    <w:rsid w:val="64A74518"/>
    <w:rsid w:val="66BF71C4"/>
    <w:rsid w:val="66D90E83"/>
    <w:rsid w:val="679202A0"/>
    <w:rsid w:val="68A1291D"/>
    <w:rsid w:val="68A24AAF"/>
    <w:rsid w:val="68B76BCA"/>
    <w:rsid w:val="68D12C7B"/>
    <w:rsid w:val="693646B5"/>
    <w:rsid w:val="69604790"/>
    <w:rsid w:val="6B47252D"/>
    <w:rsid w:val="6CAC5D33"/>
    <w:rsid w:val="6D437317"/>
    <w:rsid w:val="6F100594"/>
    <w:rsid w:val="6F7832D9"/>
    <w:rsid w:val="6FB05B67"/>
    <w:rsid w:val="70124A33"/>
    <w:rsid w:val="70241AA7"/>
    <w:rsid w:val="70EA4DF2"/>
    <w:rsid w:val="7221670E"/>
    <w:rsid w:val="73222030"/>
    <w:rsid w:val="73EA172A"/>
    <w:rsid w:val="746131D3"/>
    <w:rsid w:val="74B64137"/>
    <w:rsid w:val="76552FDB"/>
    <w:rsid w:val="77A46809"/>
    <w:rsid w:val="793E45B1"/>
    <w:rsid w:val="79B223EF"/>
    <w:rsid w:val="7A5B26E7"/>
    <w:rsid w:val="7A610B9B"/>
    <w:rsid w:val="7AFA5663"/>
    <w:rsid w:val="7DAB739D"/>
    <w:rsid w:val="7EBB48E0"/>
    <w:rsid w:val="7EBB4BE7"/>
    <w:rsid w:val="7F6C5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b/>
      <w:kern w:val="0"/>
      <w:sz w:val="27"/>
      <w:szCs w:val="27"/>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customStyle="1" w:styleId="2">
    <w:name w:val="样式1"/>
    <w:basedOn w:val="1"/>
    <w:qFormat/>
    <w:uiPriority w:val="0"/>
    <w:pPr>
      <w:spacing w:line="540" w:lineRule="exact"/>
    </w:pPr>
    <w:rPr>
      <w:rFonts w:eastAsia="仿宋_GB2312"/>
      <w:sz w:val="32"/>
    </w:rPr>
  </w:style>
  <w:style w:type="paragraph" w:styleId="5">
    <w:name w:val="Balloon Text"/>
    <w:basedOn w:val="1"/>
    <w:link w:val="21"/>
    <w:qFormat/>
    <w:uiPriority w:val="0"/>
    <w:rPr>
      <w:sz w:val="18"/>
      <w:szCs w:val="18"/>
    </w:rPr>
  </w:style>
  <w:style w:type="paragraph" w:styleId="6">
    <w:name w:val="footer"/>
    <w:basedOn w:val="1"/>
    <w:link w:val="20"/>
    <w:qFormat/>
    <w:uiPriority w:val="99"/>
    <w:pPr>
      <w:tabs>
        <w:tab w:val="center" w:pos="4153"/>
        <w:tab w:val="right" w:pos="8306"/>
      </w:tabs>
      <w:snapToGrid w:val="0"/>
      <w:jc w:val="left"/>
    </w:pPr>
    <w:rPr>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4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9">
    <w:name w:val="Normal (Web)"/>
    <w:basedOn w:val="1"/>
    <w:uiPriority w:val="0"/>
    <w:rPr>
      <w:sz w:val="24"/>
    </w:rPr>
  </w:style>
  <w:style w:type="table" w:styleId="11">
    <w:name w:val="Table Grid"/>
    <w:basedOn w:val="10"/>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Hyperlink"/>
    <w:basedOn w:val="12"/>
    <w:unhideWhenUsed/>
    <w:qFormat/>
    <w:uiPriority w:val="99"/>
    <w:rPr>
      <w:color w:val="0000FF"/>
      <w:u w:val="single"/>
    </w:rPr>
  </w:style>
  <w:style w:type="paragraph" w:customStyle="1" w:styleId="15">
    <w:name w:val="BodyText2"/>
    <w:basedOn w:val="1"/>
    <w:qFormat/>
    <w:uiPriority w:val="0"/>
    <w:pPr>
      <w:spacing w:after="120" w:line="480" w:lineRule="auto"/>
      <w:textAlignment w:val="baseline"/>
    </w:pPr>
    <w:rPr>
      <w:sz w:val="32"/>
      <w:szCs w:val="32"/>
    </w:rPr>
  </w:style>
  <w:style w:type="paragraph" w:styleId="16">
    <w:name w:val="List Paragraph"/>
    <w:basedOn w:val="1"/>
    <w:qFormat/>
    <w:uiPriority w:val="0"/>
    <w:pPr>
      <w:ind w:firstLine="420" w:firstLineChars="200"/>
    </w:pPr>
    <w:rPr>
      <w:szCs w:val="22"/>
    </w:rPr>
  </w:style>
  <w:style w:type="paragraph" w:customStyle="1" w:styleId="17">
    <w:name w:val="标准文件_段"/>
    <w:link w:val="1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8">
    <w:name w:val="标准文件_段 Char"/>
    <w:link w:val="17"/>
    <w:qFormat/>
    <w:uiPriority w:val="0"/>
    <w:rPr>
      <w:rFonts w:ascii="宋体"/>
      <w:sz w:val="21"/>
    </w:rPr>
  </w:style>
  <w:style w:type="character" w:customStyle="1" w:styleId="19">
    <w:name w:val="页眉 Char"/>
    <w:basedOn w:val="12"/>
    <w:link w:val="7"/>
    <w:qFormat/>
    <w:uiPriority w:val="0"/>
    <w:rPr>
      <w:rFonts w:ascii="Times New Roman" w:hAnsi="Times New Roman"/>
      <w:kern w:val="2"/>
      <w:sz w:val="18"/>
      <w:szCs w:val="18"/>
    </w:rPr>
  </w:style>
  <w:style w:type="character" w:customStyle="1" w:styleId="20">
    <w:name w:val="页脚 Char"/>
    <w:basedOn w:val="12"/>
    <w:link w:val="6"/>
    <w:qFormat/>
    <w:uiPriority w:val="99"/>
    <w:rPr>
      <w:rFonts w:ascii="Times New Roman" w:hAnsi="Times New Roman"/>
      <w:kern w:val="2"/>
      <w:sz w:val="18"/>
      <w:szCs w:val="18"/>
    </w:rPr>
  </w:style>
  <w:style w:type="character" w:customStyle="1" w:styleId="21">
    <w:name w:val="批注框文本 Char"/>
    <w:basedOn w:val="12"/>
    <w:link w:val="5"/>
    <w:qFormat/>
    <w:uiPriority w:val="0"/>
    <w:rPr>
      <w:rFonts w:ascii="Times New Roman" w:hAnsi="Times New Roman"/>
      <w:kern w:val="2"/>
      <w:sz w:val="18"/>
      <w:szCs w:val="18"/>
    </w:rPr>
  </w:style>
  <w:style w:type="paragraph" w:customStyle="1" w:styleId="22">
    <w:name w:val="标准文件_二级条标题"/>
    <w:next w:val="17"/>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3">
    <w:name w:val="标准文件_三级条标题"/>
    <w:basedOn w:val="22"/>
    <w:next w:val="17"/>
    <w:qFormat/>
    <w:uiPriority w:val="0"/>
    <w:pPr>
      <w:widowControl/>
      <w:numPr>
        <w:ilvl w:val="4"/>
      </w:numPr>
      <w:outlineLvl w:val="3"/>
    </w:pPr>
  </w:style>
  <w:style w:type="paragraph" w:customStyle="1" w:styleId="24">
    <w:name w:val="标准文件_四级条标题"/>
    <w:next w:val="17"/>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25">
    <w:name w:val="标准文件_五级条标题"/>
    <w:next w:val="17"/>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26">
    <w:name w:val="标准文件_章标题"/>
    <w:next w:val="17"/>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7">
    <w:name w:val="标准文件_一级条标题"/>
    <w:basedOn w:val="26"/>
    <w:next w:val="17"/>
    <w:qFormat/>
    <w:uiPriority w:val="0"/>
    <w:pPr>
      <w:numPr>
        <w:ilvl w:val="2"/>
      </w:numPr>
      <w:spacing w:beforeLines="50" w:afterLines="50"/>
      <w:outlineLvl w:val="1"/>
    </w:pPr>
  </w:style>
  <w:style w:type="paragraph" w:customStyle="1" w:styleId="28">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9">
    <w:name w:val="标准文件_二级无标题"/>
    <w:basedOn w:val="22"/>
    <w:qFormat/>
    <w:uiPriority w:val="0"/>
    <w:pPr>
      <w:spacing w:beforeLines="0" w:afterLines="0"/>
      <w:outlineLvl w:val="9"/>
    </w:pPr>
    <w:rPr>
      <w:rFonts w:ascii="宋体" w:eastAsia="宋体"/>
    </w:rPr>
  </w:style>
  <w:style w:type="character" w:customStyle="1" w:styleId="30">
    <w:name w:val="段 Char"/>
    <w:link w:val="31"/>
    <w:qFormat/>
    <w:uiPriority w:val="0"/>
    <w:rPr>
      <w:rFonts w:ascii="宋体"/>
      <w:sz w:val="21"/>
    </w:rPr>
  </w:style>
  <w:style w:type="paragraph" w:customStyle="1" w:styleId="31">
    <w:name w:val="段"/>
    <w:link w:val="30"/>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32">
    <w:name w:val="一级条标题"/>
    <w:next w:val="3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3">
    <w:name w:val="章标题"/>
    <w:next w:val="31"/>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34">
    <w:name w:val="二级条标题"/>
    <w:basedOn w:val="32"/>
    <w:next w:val="31"/>
    <w:qFormat/>
    <w:uiPriority w:val="0"/>
    <w:pPr>
      <w:numPr>
        <w:ilvl w:val="2"/>
      </w:numPr>
      <w:spacing w:before="50" w:after="50"/>
      <w:outlineLvl w:val="3"/>
    </w:pPr>
  </w:style>
  <w:style w:type="paragraph" w:customStyle="1" w:styleId="35">
    <w:name w:val="三级条标题"/>
    <w:basedOn w:val="34"/>
    <w:next w:val="31"/>
    <w:qFormat/>
    <w:uiPriority w:val="0"/>
    <w:pPr>
      <w:numPr>
        <w:ilvl w:val="3"/>
      </w:numPr>
      <w:outlineLvl w:val="4"/>
    </w:pPr>
  </w:style>
  <w:style w:type="paragraph" w:customStyle="1" w:styleId="36">
    <w:name w:val="四级条标题"/>
    <w:basedOn w:val="35"/>
    <w:next w:val="31"/>
    <w:qFormat/>
    <w:uiPriority w:val="0"/>
    <w:pPr>
      <w:numPr>
        <w:ilvl w:val="4"/>
      </w:numPr>
      <w:outlineLvl w:val="5"/>
    </w:pPr>
  </w:style>
  <w:style w:type="paragraph" w:customStyle="1" w:styleId="37">
    <w:name w:val="五级条标题"/>
    <w:basedOn w:val="36"/>
    <w:next w:val="31"/>
    <w:qFormat/>
    <w:uiPriority w:val="0"/>
    <w:pPr>
      <w:numPr>
        <w:ilvl w:val="5"/>
      </w:numPr>
      <w:outlineLvl w:val="6"/>
    </w:pPr>
  </w:style>
  <w:style w:type="paragraph" w:customStyle="1" w:styleId="38">
    <w:name w:val="标准文件_术语条一"/>
    <w:basedOn w:val="1"/>
    <w:next w:val="17"/>
    <w:qFormat/>
    <w:uiPriority w:val="0"/>
    <w:pPr>
      <w:widowControl/>
      <w:numPr>
        <w:ilvl w:val="2"/>
        <w:numId w:val="3"/>
      </w:numPr>
    </w:pPr>
    <w:rPr>
      <w:rFonts w:ascii="宋体"/>
      <w:kern w:val="0"/>
      <w:szCs w:val="20"/>
    </w:rPr>
  </w:style>
  <w:style w:type="paragraph" w:customStyle="1" w:styleId="39">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40">
    <w:name w:val="HTML 预设格式 Char"/>
    <w:basedOn w:val="12"/>
    <w:link w:val="8"/>
    <w:qFormat/>
    <w:uiPriority w:val="99"/>
    <w:rPr>
      <w:rFonts w:ascii="宋体" w:hAnsi="宋体" w:cs="宋体"/>
      <w:sz w:val="24"/>
      <w:szCs w:val="24"/>
    </w:rPr>
  </w:style>
  <w:style w:type="paragraph" w:styleId="41">
    <w:name w:val="No Spacing"/>
    <w:qFormat/>
    <w:uiPriority w:val="1"/>
    <w:pPr>
      <w:adjustRightInd w:val="0"/>
      <w:snapToGrid w:val="0"/>
    </w:pPr>
    <w:rPr>
      <w:rFonts w:ascii="Tahoma" w:hAnsi="Tahoma" w:eastAsia="微软雅黑" w:cs="Times New Roman"/>
      <w:sz w:val="22"/>
      <w:szCs w:val="22"/>
      <w:lang w:val="en-US" w:eastAsia="zh-CN" w:bidi="ar-SA"/>
    </w:rPr>
  </w:style>
  <w:style w:type="paragraph" w:customStyle="1" w:styleId="42">
    <w:name w:val="标准文件_一级无标题"/>
    <w:basedOn w:val="27"/>
    <w:qFormat/>
    <w:uiPriority w:val="0"/>
    <w:pPr>
      <w:spacing w:before="0" w:beforeLines="0" w:after="0" w:afterLines="0"/>
      <w:outlineLvl w:val="9"/>
    </w:pPr>
    <w:rPr>
      <w:rFonts w:ascii="宋体" w:eastAsia="宋体"/>
    </w:rPr>
  </w:style>
  <w:style w:type="paragraph" w:customStyle="1" w:styleId="43">
    <w:name w:val="标准文件_附录标识"/>
    <w:next w:val="1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378DA-3B95-45C5-9206-7180361DA558}">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6794</Words>
  <Characters>7224</Characters>
  <Lines>68</Lines>
  <Paragraphs>19</Paragraphs>
  <TotalTime>9</TotalTime>
  <ScaleCrop>false</ScaleCrop>
  <LinksUpToDate>false</LinksUpToDate>
  <CharactersWithSpaces>7334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2020-12-08T06:37:00Z</dcterms:created>
  <dc:creator>Administrator</dc:creator>
  <cp:lastModifiedBy>Administrator</cp:lastModifiedBy>
  <dcterms:modified xsi:type="dcterms:W3CDTF">2022-05-20T02:58:56Z</dcterms:modified>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9B84B357C73641C99D2C71A888A4C4E7</vt:lpwstr>
  </property>
  <property fmtid="{D5CDD505-2E9C-101B-9397-08002B2CF9AE}" pid="4" name="commondata">
    <vt:lpwstr>eyJoZGlkIjoiNDU1MTRkYTkzNzE3MzFmMmU4NWY1MDE4ODgzNjY4ZDUifQ==</vt:lpwstr>
  </property>
</Properties>
</file>