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团体标准《工业项目环境影响评价现状调查操作规程》（征求意见稿）编制说明</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一、项目来源</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根据《关于下达2022年第十六批团体标准制修订项目计划的通知》（桂标协﹝2022﹞48号）文件精神，由广西大学提出，广西博环环境咨询服务有限公司、广西博世科环保科技股份有限公司、广西大学、广西桂咨环境评估有限公司共同起草的团体标准《工业项目环境影响评价现状调查操作规程》(项目编号：2022-1601)。</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二、项目背景及目的意义</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环境影响评价，是指对规划和建设项目实施后可能造成的环境影响进行分析、预测和评估，提出预防或者减轻不良环境影响的对策和措施，进行跟踪监测的方法与制度。针对环境影响评价出台了《中华人民共和国环境影响评价法》发布了《建设项目环境保护管理条例》、《建设项目环境影响评价分类管理名录》、《关于加强规划环境影响评价与建设项目环境影响评价联动工作的意见》（环发〔2015〕178号）、《关于加强建设项目环境影响评价事中事后监管的实施意见》（环环评〔2018〕11号）等重要文件，广西也出台了《广西壮族自治区人民政府办公厅关于印发广西壮族自治区建设项目环境准入管理办法的通知》（桂政办发〔2012〕103号）以及广西壮族自治区生态环境厅关于印发《广西壮族自治区建设项目环境影响评价分级审批管理办法（2019年修订版）》的通知（桂环规范〔2019〕8号）等政策，环境影响评价是强化环境管理的有效手段，有助于保证建设项目选址和布局的合理性、指导环境保护措施的设计、为区域开发的社会经济发展提供导向、促进相关环境科学技术的发展。</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工业项目环境影响评价现状调查即工业项目环境影响评价</w:t>
      </w:r>
      <w:r>
        <w:rPr>
          <w:rFonts w:hint="eastAsia" w:ascii="仿宋_GB2312" w:hAnsi="宋体" w:eastAsia="仿宋_GB2312"/>
          <w:sz w:val="32"/>
          <w:szCs w:val="28"/>
          <w:highlight w:val="none"/>
          <w:lang w:val="zh-CN"/>
        </w:rPr>
        <w:t>现场踏勘</w:t>
      </w:r>
      <w:r>
        <w:rPr>
          <w:rFonts w:hint="eastAsia" w:ascii="仿宋_GB2312" w:hAnsi="宋体" w:eastAsia="仿宋_GB2312"/>
          <w:sz w:val="32"/>
          <w:szCs w:val="28"/>
          <w:lang w:val="zh-CN"/>
        </w:rPr>
        <w:t>，是指在对工业项目正式编制环境影响评价文件之前所必须开展的一项现状调查工作，是工业项目环境影响评价文件编制人员获取有关工业项目现场基本情况的过程，多采用实地调查法与实验调查法相结合的方法来进行，它是环境影响评价工作的重要组成部分。而环境影响评价工作的制度是我国环境管理制度一项重要的内容，其目的在于防治生态系统被破坏、阻止环境污染、使国民经济的发展与保护环境保持平衡。科学、客观、公正的环境影响评价是建立在可靠、</w:t>
      </w:r>
      <w:bookmarkStart w:id="0" w:name="_GoBack"/>
      <w:bookmarkEnd w:id="0"/>
      <w:r>
        <w:rPr>
          <w:rFonts w:hint="eastAsia" w:ascii="仿宋_GB2312" w:hAnsi="宋体" w:eastAsia="仿宋_GB2312"/>
          <w:sz w:val="32"/>
          <w:szCs w:val="28"/>
          <w:lang w:val="zh-CN"/>
        </w:rPr>
        <w:t>准确的现状调查基础之上广泛、全面的开展建设项目前期现状调查工作有利于对建设项目环境影响评价工作的关键和重点的把握对后期建设项目环境影响评价文件编制工作具有重要的指导性意义。据统计，我国工业行业涉及广泛，因此工业企业必不可少的工作就是要透彻地掌握工业工艺及原理，而环境影响评价中的工程分析是工业项目环境影响评价的一项基础性分析工作，这也是环保管理部门必须重点审查的重要内容之一，也为工业项目各环境影响专题分析提供至关重要的参考数据，是保证工业项目环境影响预测内容客观，采取的污染防治措施可行的必要前提。为此，笔者根据自己的工作经验，重点论述了工业项目环境影响评价工程分析的重要意义，并初步探究了工业项目环境影响评价中的工程分析所应涉及分析内容工业是我国国民经济的支柱产业之一，工业项目生产工艺复杂在生产中涉及到多种化学反应产生的污染物种类多、数量大，编写化工类项目的环境影响评价报告是一项艰巨的工作。工程分析是报告的核心部分，根据统计数据2019年全区开展环境影响评价的项目约5000个，其中区级及地市级审批的项目约1104个，当前区内可承担建设项目环境影响评价的机构数量约为150家。</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工业项目环境影响评价现状调查主要存在如下问题：1、现状调查之前不知道要准备什么资料，如何规划调查路线。2、在现状调查时往往到了现场，走马观花式的走了一圈，看不到重点，看不到哪里是敏感区，制约项目环评工作开展。3、到了现状调查现场调查时调查资料不清楚、不完整，导致需反复补充现状调查。4、在现状调查时往往只注重拟建项目厂址的调查，而忽视周围的敏感目标，特别是涉及排水项目或是有地下水污染风险项目的下游是否有饮用水源情况等。5、除了项目拟建厂址的调查外，园区情况或是拟建区域情况不知道如何收集资料或是与谁对接获取资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团体标准《工业项目环境影响评价现状调查操作规程》的制定，有助于环境影响评价人员</w:t>
      </w:r>
      <w:r>
        <w:rPr>
          <w:rFonts w:hint="eastAsia" w:ascii="仿宋_GB2312" w:hAnsi="宋体" w:eastAsia="仿宋_GB2312"/>
          <w:sz w:val="32"/>
          <w:szCs w:val="28"/>
          <w:lang w:val="zh-CN"/>
        </w:rPr>
        <w:t>迅速熟悉工业项目现状调查程序、迅速熟悉工业项目现状调查内容，提高工业项目现状调查效率，减少或避免遗漏或调查不全面，为工业项目现状调查获取资料和信息提供途径和方法，对项目环境影响评价工作的开展具有积极意义。</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三、标准编制过程</w:t>
      </w:r>
    </w:p>
    <w:p>
      <w:pPr>
        <w:spacing w:before="156" w:beforeLines="50" w:after="156" w:afterLines="50" w:line="560" w:lineRule="exact"/>
        <w:ind w:firstLine="643" w:firstLineChars="200"/>
        <w:rPr>
          <w:rFonts w:ascii="楷体" w:hAnsi="楷体" w:eastAsia="楷体"/>
          <w:b/>
          <w:sz w:val="32"/>
          <w:szCs w:val="32"/>
          <w:lang w:val="zh-CN"/>
        </w:rPr>
      </w:pPr>
      <w:r>
        <w:rPr>
          <w:rFonts w:hint="eastAsia" w:ascii="楷体" w:hAnsi="楷体" w:eastAsia="楷体"/>
          <w:b/>
          <w:sz w:val="32"/>
          <w:szCs w:val="32"/>
          <w:lang w:val="zh-CN"/>
        </w:rPr>
        <w:t>（一）成立标准编制工作组</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团体标准《工业项目环境影响评价现状调查操作规程》项目任务下达后，成立了标准编制工作组，制定了标准编写方案，明确任务职责，确定工作技术路线，开展标准研制工作，具体标准编制工作由广西博环环境咨询服务有限公司、广西博世科环保科技股份有限公司、广西大学、广西桂咨环境评估有限公司相关人员配合。</w:t>
      </w:r>
    </w:p>
    <w:p>
      <w:pPr>
        <w:spacing w:before="156" w:beforeLines="50" w:after="156" w:afterLines="50" w:line="560" w:lineRule="exact"/>
        <w:ind w:firstLine="643" w:firstLineChars="200"/>
        <w:rPr>
          <w:rFonts w:ascii="楷体" w:hAnsi="楷体" w:eastAsia="楷体"/>
          <w:b/>
          <w:sz w:val="32"/>
          <w:szCs w:val="32"/>
          <w:lang w:val="zh-CN"/>
        </w:rPr>
      </w:pPr>
      <w:r>
        <w:rPr>
          <w:rFonts w:hint="eastAsia" w:ascii="楷体" w:hAnsi="楷体" w:eastAsia="楷体"/>
          <w:b/>
          <w:sz w:val="32"/>
          <w:szCs w:val="32"/>
          <w:lang w:val="zh-CN"/>
        </w:rPr>
        <w:t>（二）收集整理文献资料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相关文献有：</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HJ2.1-2016《建设项目环境影响评价技术导则  总纲》</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HJ2.2-2018《环境影响评价技术导则  大气环境》</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HJ2.4-2009《环境影响评价技术导则  声环境》</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HJ2.3-2018《环境影响评价技术导则  地表水环境》</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HJ610-2016《环境影响评价技术导则  地下水环境》</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HJ169-2018《建设项目环境风险评价技术导则》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HJ19-2022《环境影响评价技术导则  生态影响》</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HJ964-2018《环境影响评价技术导则土壤影响（试行）》</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《建设项目危险废物环境影响评价指南》（2017年10月1日起施行）</w:t>
      </w:r>
    </w:p>
    <w:p>
      <w:pPr>
        <w:spacing w:before="156" w:beforeLines="50" w:after="156" w:afterLines="50" w:line="560" w:lineRule="exact"/>
        <w:ind w:firstLine="643" w:firstLineChars="200"/>
        <w:rPr>
          <w:rFonts w:ascii="楷体" w:hAnsi="楷体" w:eastAsia="楷体"/>
          <w:b/>
          <w:sz w:val="32"/>
          <w:szCs w:val="32"/>
          <w:lang w:val="zh-CN"/>
        </w:rPr>
      </w:pPr>
      <w:r>
        <w:rPr>
          <w:rFonts w:hint="eastAsia" w:ascii="楷体" w:hAnsi="楷体" w:eastAsia="楷体"/>
          <w:b/>
          <w:sz w:val="32"/>
          <w:szCs w:val="32"/>
          <w:lang w:val="zh-CN"/>
        </w:rPr>
        <w:t>（三）研讨确定标准主体内容</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标准编制工作组在对收集的资料进行整理研究后，标准编制工作组召开了标准编制会议，对标准的整体框架进行了研究，并对标准的关键性问题进行了初步探讨。经过研究，标准的主体内容包括术语和定义、人员要求、资料收集和现场调查。</w:t>
      </w:r>
    </w:p>
    <w:p>
      <w:pPr>
        <w:spacing w:before="156" w:beforeLines="50" w:after="156" w:afterLines="50" w:line="560" w:lineRule="exact"/>
        <w:ind w:firstLine="643" w:firstLineChars="200"/>
        <w:rPr>
          <w:rFonts w:ascii="楷体" w:hAnsi="楷体" w:eastAsia="楷体"/>
          <w:b/>
          <w:sz w:val="32"/>
          <w:szCs w:val="32"/>
          <w:lang w:val="zh-CN"/>
        </w:rPr>
      </w:pPr>
      <w:r>
        <w:rPr>
          <w:rFonts w:hint="eastAsia" w:ascii="楷体" w:hAnsi="楷体" w:eastAsia="楷体"/>
          <w:b/>
          <w:sz w:val="32"/>
          <w:szCs w:val="32"/>
          <w:lang w:val="zh-CN"/>
        </w:rPr>
        <w:t>（四）形成文本草案、征求意见稿</w:t>
      </w:r>
    </w:p>
    <w:p>
      <w:pPr>
        <w:tabs>
          <w:tab w:val="left" w:pos="3544"/>
        </w:tabs>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2022年4月，标准起草工作小组进行了广泛实地调研工作，查阅了大量的国内外文献资料，对工业项目环境影响评价现状调查操作进行系统总结。经编制组反复讨论，形成了标准的基本构架，对主要内容进行了讨论并对项目的工作进行了部署和安排。在前期工作的基础之上，通过理清逻辑脉络，整合已有的参考资料中有关工业项目环境影响评价现状调查，并结合广西工业项目环境影响评价现状调查实际要求的基础上，按照简化、统一等原则编制完成团体标准《工业项目环境影响评价现状调查操作规程》（草案）。</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2022</w:t>
      </w:r>
      <w:r>
        <w:rPr>
          <w:rFonts w:hint="eastAsia" w:ascii="仿宋_GB2312" w:hAnsi="宋体" w:eastAsia="仿宋_GB2312"/>
          <w:sz w:val="32"/>
          <w:szCs w:val="28"/>
          <w:lang w:val="en-US" w:eastAsia="zh-CN"/>
        </w:rPr>
        <w:t>年</w:t>
      </w:r>
      <w:r>
        <w:rPr>
          <w:rFonts w:hint="eastAsia" w:ascii="仿宋_GB2312" w:hAnsi="宋体" w:eastAsia="仿宋_GB2312"/>
          <w:sz w:val="32"/>
          <w:szCs w:val="28"/>
          <w:lang w:val="zh-CN"/>
        </w:rPr>
        <w:t>5月，编制组再次进行分组调研，并向相关单位征求技术意见。针对工业项目环境影响评价现状调查进行研究，并取得阶段性进展。根据反馈意见及实践成果，标准编制工作组多次召开会议，对标准草案进行反复修改和研究讨论，形成团体标准《工业项目环境影响评价现状调查操作规程》（征求意见稿）和（征求意见稿）编制说明。</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四、标准制定原则</w:t>
      </w:r>
    </w:p>
    <w:p>
      <w:pPr>
        <w:ind w:firstLine="643" w:firstLineChars="200"/>
        <w:rPr>
          <w:rFonts w:ascii="楷体" w:hAnsi="楷体" w:eastAsia="楷体"/>
          <w:b/>
          <w:sz w:val="32"/>
          <w:szCs w:val="32"/>
          <w:lang w:val="zh-CN"/>
        </w:rPr>
      </w:pPr>
      <w:r>
        <w:rPr>
          <w:rFonts w:hint="eastAsia" w:ascii="楷体" w:hAnsi="楷体" w:eastAsia="楷体"/>
          <w:b/>
          <w:sz w:val="32"/>
          <w:szCs w:val="32"/>
          <w:lang w:val="zh-CN"/>
        </w:rPr>
        <w:t>（一）实用性原则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是在充分收集相关资料和文献，分析工业项目环境影响评价现状调查操作特点，在现有国家、行业标准相关环境影响评价现状调查要求的基础上，结合多年实践而总结起草的。符合当前广西工业项目环境影响评价现状调查的要求，有利于行业的长远发展，具有较强的实用性和可操作性。</w:t>
      </w:r>
    </w:p>
    <w:p>
      <w:pPr>
        <w:ind w:firstLine="643" w:firstLineChars="200"/>
        <w:rPr>
          <w:rFonts w:ascii="楷体" w:hAnsi="楷体" w:eastAsia="楷体"/>
          <w:b/>
          <w:sz w:val="32"/>
          <w:szCs w:val="32"/>
          <w:lang w:val="zh-CN"/>
        </w:rPr>
      </w:pPr>
      <w:r>
        <w:rPr>
          <w:rFonts w:hint="eastAsia" w:ascii="楷体" w:hAnsi="楷体" w:eastAsia="楷体"/>
          <w:b/>
          <w:sz w:val="32"/>
          <w:szCs w:val="32"/>
          <w:lang w:val="zh-CN"/>
        </w:rPr>
        <w:t>（二）协调性原则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本文件编写过程中注意了与广西工业项目环境影响评价现状调查相关法律法规的协调问题，在内容上与现行法律法规、标准协调一致。</w:t>
      </w:r>
    </w:p>
    <w:p>
      <w:pPr>
        <w:ind w:firstLine="643" w:firstLineChars="200"/>
        <w:rPr>
          <w:rFonts w:ascii="楷体" w:hAnsi="楷体" w:eastAsia="楷体"/>
          <w:b/>
          <w:sz w:val="32"/>
          <w:szCs w:val="32"/>
          <w:lang w:val="zh-CN"/>
        </w:rPr>
      </w:pPr>
      <w:r>
        <w:rPr>
          <w:rFonts w:hint="eastAsia" w:ascii="楷体" w:hAnsi="楷体" w:eastAsia="楷体"/>
          <w:b/>
          <w:sz w:val="32"/>
          <w:szCs w:val="32"/>
          <w:lang w:val="zh-CN"/>
        </w:rPr>
        <w:t>（三）规范性原则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本文件严格按照GB/T 1.1—2020《标准化工作导则 第1部分：标准的结构和编写》的要求和规定编写本标准的内容，保证标准的编写质量。</w:t>
      </w:r>
    </w:p>
    <w:p>
      <w:pPr>
        <w:ind w:firstLine="643" w:firstLineChars="200"/>
        <w:rPr>
          <w:rFonts w:ascii="楷体" w:hAnsi="楷体" w:eastAsia="楷体"/>
          <w:b/>
          <w:sz w:val="32"/>
          <w:szCs w:val="32"/>
          <w:lang w:val="zh-CN"/>
        </w:rPr>
      </w:pPr>
      <w:r>
        <w:rPr>
          <w:rFonts w:hint="eastAsia" w:ascii="楷体" w:hAnsi="楷体" w:eastAsia="楷体"/>
          <w:b/>
          <w:sz w:val="32"/>
          <w:szCs w:val="32"/>
          <w:lang w:val="zh-CN"/>
        </w:rPr>
        <w:t>（四）前瞻性原则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根据当前现状调查前的准备、调查时的工作开展方式、调查效率低下的现状，同时考虑工业项目环境影响评价现状调查特点，在标准中体现了个别特色性、前瞻性和先进性条款，作为对工业项目环境影响评价现状调查操作的指导。</w:t>
      </w:r>
    </w:p>
    <w:p>
      <w:pPr>
        <w:pStyle w:val="14"/>
        <w:numPr>
          <w:ilvl w:val="0"/>
          <w:numId w:val="4"/>
        </w:numPr>
        <w:spacing w:before="156" w:beforeLines="50" w:after="156" w:afterLines="50" w:line="560" w:lineRule="exact"/>
        <w:ind w:firstLineChars="0"/>
        <w:rPr>
          <w:rFonts w:ascii="黑体" w:hAnsi="黑体" w:eastAsia="黑体" w:cs="黑体"/>
          <w:bCs/>
          <w:sz w:val="32"/>
          <w:szCs w:val="32"/>
        </w:rPr>
      </w:pPr>
      <w:r>
        <w:rPr>
          <w:rFonts w:hint="eastAsia" w:ascii="黑体" w:hAnsi="黑体" w:eastAsia="黑体" w:cs="黑体"/>
          <w:bCs/>
          <w:sz w:val="32"/>
          <w:szCs w:val="32"/>
        </w:rPr>
        <w:t>标准主要章节内容及确定依据</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团体标准《工业项目环境影响评价现状调查操作规程》主要内容包括术语和定义、人员要求、资料收集和现场调查。</w:t>
      </w:r>
    </w:p>
    <w:p>
      <w:pPr>
        <w:spacing w:line="560" w:lineRule="exact"/>
        <w:ind w:firstLine="643" w:firstLineChars="200"/>
        <w:rPr>
          <w:rFonts w:ascii="仿宋_GB2312" w:hAnsi="宋体" w:eastAsia="仿宋_GB2312"/>
          <w:sz w:val="32"/>
          <w:szCs w:val="28"/>
          <w:lang w:val="zh-CN"/>
        </w:rPr>
      </w:pPr>
      <w:r>
        <w:rPr>
          <w:rFonts w:hint="eastAsia" w:ascii="仿宋_GB2312" w:hAnsi="宋体" w:eastAsia="仿宋_GB2312"/>
          <w:b/>
          <w:sz w:val="32"/>
          <w:szCs w:val="28"/>
          <w:lang w:val="zh-CN"/>
        </w:rPr>
        <w:t>（一）</w:t>
      </w:r>
      <w:r>
        <w:rPr>
          <w:rFonts w:hint="eastAsia" w:ascii="楷体" w:hAnsi="楷体" w:eastAsia="楷体"/>
          <w:b/>
          <w:sz w:val="32"/>
          <w:szCs w:val="32"/>
          <w:lang w:val="zh-CN"/>
        </w:rPr>
        <w:t>术语和定义</w:t>
      </w:r>
    </w:p>
    <w:p>
      <w:pPr>
        <w:pStyle w:val="25"/>
        <w:numPr>
          <w:ilvl w:val="0"/>
          <w:numId w:val="0"/>
        </w:numPr>
        <w:spacing w:beforeLines="0" w:afterLines="0"/>
        <w:ind w:firstLine="643" w:firstLineChars="200"/>
        <w:rPr>
          <w:rFonts w:ascii="仿宋_GB2312" w:hAnsi="宋体" w:eastAsia="仿宋_GB2312"/>
          <w:b/>
          <w:bCs/>
          <w:kern w:val="2"/>
          <w:sz w:val="32"/>
          <w:szCs w:val="28"/>
          <w:lang w:val="zh-CN"/>
        </w:rPr>
      </w:pPr>
      <w:r>
        <w:rPr>
          <w:rFonts w:hint="eastAsia" w:ascii="仿宋_GB2312" w:hAnsi="宋体" w:eastAsia="仿宋_GB2312"/>
          <w:b/>
          <w:bCs/>
          <w:kern w:val="2"/>
          <w:sz w:val="32"/>
          <w:szCs w:val="28"/>
        </w:rPr>
        <w:t>1、</w:t>
      </w:r>
      <w:r>
        <w:rPr>
          <w:rFonts w:hint="eastAsia" w:ascii="仿宋_GB2312" w:hAnsi="宋体" w:eastAsia="仿宋_GB2312"/>
          <w:b/>
          <w:bCs/>
          <w:kern w:val="2"/>
          <w:sz w:val="32"/>
          <w:szCs w:val="28"/>
          <w:lang w:val="zh-CN"/>
        </w:rPr>
        <w:t>污染源</w:t>
      </w:r>
    </w:p>
    <w:p>
      <w:pPr>
        <w:pStyle w:val="25"/>
        <w:numPr>
          <w:ilvl w:val="0"/>
          <w:numId w:val="0"/>
        </w:numPr>
        <w:spacing w:beforeLines="0" w:afterLines="0"/>
        <w:ind w:firstLine="640" w:firstLineChars="200"/>
        <w:rPr>
          <w:rFonts w:ascii="仿宋_GB2312" w:hAnsi="宋体" w:eastAsia="仿宋_GB2312"/>
          <w:kern w:val="2"/>
          <w:sz w:val="32"/>
          <w:szCs w:val="28"/>
          <w:lang w:val="zh-CN"/>
        </w:rPr>
      </w:pPr>
      <w:r>
        <w:rPr>
          <w:rFonts w:ascii="仿宋_GB2312" w:hAnsi="宋体" w:eastAsia="仿宋_GB2312"/>
          <w:kern w:val="2"/>
          <w:sz w:val="32"/>
          <w:szCs w:val="28"/>
          <w:lang w:val="zh-CN"/>
        </w:rPr>
        <w:t>造成环境污染的污染物发生源，</w:t>
      </w:r>
      <w:r>
        <w:rPr>
          <w:rFonts w:hint="eastAsia" w:ascii="仿宋_GB2312" w:hAnsi="宋体" w:eastAsia="仿宋_GB2312"/>
          <w:kern w:val="2"/>
          <w:sz w:val="32"/>
          <w:szCs w:val="28"/>
          <w:lang w:val="zh-CN"/>
        </w:rPr>
        <w:t>通常</w:t>
      </w:r>
      <w:r>
        <w:rPr>
          <w:rFonts w:ascii="仿宋_GB2312" w:hAnsi="宋体" w:eastAsia="仿宋_GB2312"/>
          <w:kern w:val="2"/>
          <w:sz w:val="32"/>
          <w:szCs w:val="28"/>
          <w:lang w:val="zh-CN"/>
        </w:rPr>
        <w:t>指向环境排放有害物质或对环境产生有害影响的场所、设备或装置等。</w:t>
      </w:r>
      <w:r>
        <w:rPr>
          <w:rFonts w:hint="eastAsia" w:ascii="仿宋_GB2312" w:hAnsi="宋体" w:eastAsia="仿宋_GB2312"/>
          <w:kern w:val="2"/>
          <w:sz w:val="32"/>
          <w:szCs w:val="28"/>
        </w:rPr>
        <w:t>主要</w:t>
      </w:r>
      <w:r>
        <w:rPr>
          <w:rFonts w:hint="eastAsia" w:ascii="仿宋_GB2312" w:hAnsi="宋体" w:eastAsia="仿宋_GB2312"/>
          <w:kern w:val="2"/>
          <w:sz w:val="32"/>
          <w:szCs w:val="28"/>
          <w:lang w:val="zh-CN"/>
        </w:rPr>
        <w:t>依据HJ</w:t>
      </w:r>
      <w:r>
        <w:rPr>
          <w:rFonts w:hint="eastAsia" w:ascii="仿宋_GB2312" w:hAnsi="宋体" w:eastAsia="仿宋_GB2312"/>
          <w:kern w:val="2"/>
          <w:sz w:val="32"/>
          <w:szCs w:val="28"/>
        </w:rPr>
        <w:t xml:space="preserve"> </w:t>
      </w:r>
      <w:r>
        <w:rPr>
          <w:rFonts w:hint="eastAsia" w:ascii="仿宋_GB2312" w:hAnsi="宋体" w:eastAsia="仿宋_GB2312"/>
          <w:kern w:val="2"/>
          <w:sz w:val="32"/>
          <w:szCs w:val="28"/>
          <w:lang w:val="zh-CN"/>
        </w:rPr>
        <w:t>2.1-2016《建设项目环境影响评价技术导则</w:t>
      </w:r>
      <w:r>
        <w:rPr>
          <w:rFonts w:ascii="仿宋_GB2312" w:hAnsi="宋体" w:eastAsia="仿宋_GB2312"/>
          <w:kern w:val="2"/>
          <w:sz w:val="32"/>
          <w:szCs w:val="28"/>
          <w:lang w:val="zh-CN"/>
        </w:rPr>
        <w:t xml:space="preserve"> </w:t>
      </w:r>
      <w:r>
        <w:rPr>
          <w:rFonts w:hint="eastAsia" w:ascii="仿宋_GB2312" w:hAnsi="宋体" w:eastAsia="仿宋_GB2312"/>
          <w:kern w:val="2"/>
          <w:sz w:val="32"/>
          <w:szCs w:val="28"/>
          <w:lang w:val="zh-CN"/>
        </w:rPr>
        <w:t>总纲》</w:t>
      </w:r>
      <w:r>
        <w:rPr>
          <w:rFonts w:hint="eastAsia" w:ascii="仿宋_GB2312" w:hAnsi="宋体" w:eastAsia="仿宋_GB2312"/>
          <w:kern w:val="2"/>
          <w:sz w:val="32"/>
          <w:szCs w:val="28"/>
        </w:rPr>
        <w:t>2.4的术语和定义要求，见图1</w:t>
      </w:r>
      <w:r>
        <w:rPr>
          <w:rFonts w:hint="eastAsia" w:ascii="仿宋_GB2312" w:hAnsi="宋体" w:eastAsia="仿宋_GB2312"/>
          <w:kern w:val="2"/>
          <w:sz w:val="32"/>
          <w:szCs w:val="28"/>
          <w:lang w:val="zh-CN"/>
        </w:rPr>
        <w:t>。</w:t>
      </w:r>
    </w:p>
    <w:p>
      <w:pPr>
        <w:pStyle w:val="15"/>
        <w:ind w:firstLine="420"/>
      </w:pPr>
      <w:r>
        <w:drawing>
          <wp:inline distT="0" distB="0" distL="114300" distR="114300">
            <wp:extent cx="5681980" cy="742315"/>
            <wp:effectExtent l="0" t="0" r="1397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681980" cy="742315"/>
                    </a:xfrm>
                    <a:prstGeom prst="rect">
                      <a:avLst/>
                    </a:prstGeom>
                    <a:noFill/>
                    <a:ln>
                      <a:noFill/>
                    </a:ln>
                  </pic:spPr>
                </pic:pic>
              </a:graphicData>
            </a:graphic>
          </wp:inline>
        </w:drawing>
      </w:r>
    </w:p>
    <w:p>
      <w:pPr>
        <w:pStyle w:val="15"/>
        <w:ind w:firstLine="422"/>
        <w:jc w:val="center"/>
        <w:rPr>
          <w:lang w:val="zh-CN"/>
        </w:rPr>
      </w:pPr>
      <w:r>
        <w:rPr>
          <w:rFonts w:hint="eastAsia"/>
          <w:b/>
          <w:bCs/>
        </w:rPr>
        <w:t xml:space="preserve">图1  </w:t>
      </w:r>
      <w:r>
        <w:rPr>
          <w:rFonts w:hint="eastAsia"/>
          <w:b/>
          <w:bCs/>
          <w:lang w:val="zh-CN"/>
        </w:rPr>
        <w:t>HJ 2.1-2016《建设项目环境影响评价技术导则 总纲》</w:t>
      </w:r>
    </w:p>
    <w:p>
      <w:pPr>
        <w:pStyle w:val="25"/>
        <w:numPr>
          <w:ilvl w:val="0"/>
          <w:numId w:val="5"/>
        </w:numPr>
        <w:spacing w:beforeLines="0" w:afterLines="0"/>
        <w:ind w:firstLine="643" w:firstLineChars="200"/>
        <w:rPr>
          <w:rFonts w:ascii="仿宋_GB2312" w:hAnsi="宋体" w:eastAsia="仿宋_GB2312"/>
          <w:b/>
          <w:bCs/>
          <w:kern w:val="2"/>
          <w:sz w:val="32"/>
          <w:szCs w:val="28"/>
          <w:lang w:val="zh-CN"/>
        </w:rPr>
      </w:pPr>
      <w:r>
        <w:rPr>
          <w:rFonts w:hint="eastAsia" w:ascii="仿宋_GB2312" w:hAnsi="宋体" w:eastAsia="仿宋_GB2312"/>
          <w:b/>
          <w:bCs/>
          <w:kern w:val="2"/>
          <w:sz w:val="32"/>
          <w:szCs w:val="28"/>
          <w:lang w:val="zh-CN"/>
        </w:rPr>
        <w:t>环境敏感区</w:t>
      </w:r>
    </w:p>
    <w:p>
      <w:pPr>
        <w:pStyle w:val="25"/>
        <w:numPr>
          <w:ilvl w:val="2"/>
          <w:numId w:val="0"/>
        </w:numPr>
        <w:spacing w:beforeLines="0" w:afterLines="0"/>
        <w:ind w:left="420" w:leftChars="200" w:firstLine="640" w:firstLineChars="200"/>
        <w:rPr>
          <w:rFonts w:ascii="仿宋_GB2312" w:hAnsi="宋体" w:eastAsia="仿宋_GB2312"/>
          <w:kern w:val="2"/>
          <w:sz w:val="32"/>
          <w:szCs w:val="28"/>
          <w:lang w:val="zh-CN"/>
        </w:rPr>
      </w:pPr>
      <w:r>
        <w:rPr>
          <w:rFonts w:hint="eastAsia" w:ascii="仿宋_GB2312" w:hAnsi="宋体" w:eastAsia="仿宋_GB2312"/>
          <w:kern w:val="2"/>
          <w:sz w:val="32"/>
          <w:szCs w:val="28"/>
          <w:lang w:val="zh-CN"/>
        </w:rPr>
        <w:t>依法设立的各级各类保护区域和对规划实施产生的环境影响特别敏感的区域，主要包括生态保护红线范围内或者其外的下列区域：</w:t>
      </w:r>
      <w:r>
        <w:rPr>
          <w:rFonts w:ascii="仿宋_GB2312" w:hAnsi="宋体" w:eastAsia="仿宋_GB2312"/>
          <w:kern w:val="2"/>
          <w:sz w:val="32"/>
          <w:szCs w:val="28"/>
          <w:lang w:val="zh-CN"/>
        </w:rPr>
        <w:t>a</w:t>
      </w:r>
      <w:r>
        <w:rPr>
          <w:rFonts w:hint="eastAsia" w:ascii="仿宋_GB2312" w:hAnsi="宋体" w:eastAsia="仿宋_GB2312"/>
          <w:kern w:val="2"/>
          <w:sz w:val="32"/>
          <w:szCs w:val="28"/>
          <w:lang w:val="zh-CN"/>
        </w:rPr>
        <w:t>）自然保护区、风景名胜区、世界文化和自然遗产地、海洋特别保护区、饮用水水源保护区；b）永久基本农田、基本草原、森林公园、地质公园、重要湿地、天然林、野生动物重要栖息地、重点保护野生植物生长繁殖地、重要水生生物自然产卵场、索饵场、越冬场和洄游通道、天然渔场、水土流失重点预防区、沙化土地封禁保护区、封闭及半封闭海域；</w:t>
      </w:r>
      <w:r>
        <w:rPr>
          <w:rFonts w:ascii="仿宋_GB2312" w:hAnsi="宋体" w:eastAsia="仿宋_GB2312"/>
          <w:kern w:val="2"/>
          <w:sz w:val="32"/>
          <w:szCs w:val="28"/>
          <w:lang w:val="zh-CN"/>
        </w:rPr>
        <w:t>c</w:t>
      </w:r>
      <w:r>
        <w:rPr>
          <w:rFonts w:hint="eastAsia" w:ascii="仿宋_GB2312" w:hAnsi="宋体" w:eastAsia="仿宋_GB2312"/>
          <w:kern w:val="2"/>
          <w:sz w:val="32"/>
          <w:szCs w:val="28"/>
          <w:lang w:val="zh-CN"/>
        </w:rPr>
        <w:t>）以居住、医疗卫生、文化教育、科研、行政办公等为主要功能的区域，以及文物保护单位。</w:t>
      </w:r>
      <w:r>
        <w:rPr>
          <w:rFonts w:hint="eastAsia" w:ascii="仿宋_GB2312" w:hAnsi="宋体" w:eastAsia="仿宋_GB2312"/>
          <w:kern w:val="2"/>
          <w:sz w:val="32"/>
          <w:szCs w:val="28"/>
        </w:rPr>
        <w:t>主要</w:t>
      </w:r>
      <w:r>
        <w:rPr>
          <w:rFonts w:hint="eastAsia" w:ascii="仿宋_GB2312" w:hAnsi="宋体" w:eastAsia="仿宋_GB2312"/>
          <w:kern w:val="2"/>
          <w:sz w:val="32"/>
          <w:szCs w:val="28"/>
          <w:lang w:val="zh-CN"/>
        </w:rPr>
        <w:t>依据HJ 130—2019《规划环境影响评价技术导则 总纲》</w:t>
      </w:r>
      <w:r>
        <w:rPr>
          <w:rFonts w:hint="eastAsia" w:ascii="仿宋_GB2312" w:hAnsi="宋体" w:eastAsia="仿宋_GB2312"/>
          <w:kern w:val="2"/>
          <w:sz w:val="32"/>
          <w:szCs w:val="28"/>
        </w:rPr>
        <w:t>3.4的术语和定义要求，见图2</w:t>
      </w:r>
      <w:r>
        <w:rPr>
          <w:rFonts w:hint="eastAsia" w:ascii="仿宋_GB2312" w:hAnsi="宋体" w:eastAsia="仿宋_GB2312"/>
          <w:kern w:val="2"/>
          <w:sz w:val="32"/>
          <w:szCs w:val="28"/>
          <w:lang w:val="zh-CN"/>
        </w:rPr>
        <w:t>。</w:t>
      </w:r>
    </w:p>
    <w:p>
      <w:pPr>
        <w:pStyle w:val="15"/>
        <w:ind w:firstLine="420"/>
      </w:pPr>
      <w:r>
        <w:drawing>
          <wp:inline distT="0" distB="0" distL="114300" distR="114300">
            <wp:extent cx="5683250" cy="2322195"/>
            <wp:effectExtent l="0" t="0" r="1270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683250" cy="2322195"/>
                    </a:xfrm>
                    <a:prstGeom prst="rect">
                      <a:avLst/>
                    </a:prstGeom>
                    <a:noFill/>
                    <a:ln>
                      <a:noFill/>
                    </a:ln>
                  </pic:spPr>
                </pic:pic>
              </a:graphicData>
            </a:graphic>
          </wp:inline>
        </w:drawing>
      </w:r>
    </w:p>
    <w:p>
      <w:pPr>
        <w:pStyle w:val="15"/>
        <w:ind w:firstLine="422"/>
        <w:jc w:val="center"/>
        <w:rPr>
          <w:b/>
          <w:bCs/>
          <w:szCs w:val="22"/>
          <w:lang w:val="zh-CN"/>
        </w:rPr>
      </w:pPr>
      <w:r>
        <w:rPr>
          <w:rFonts w:hint="eastAsia"/>
          <w:b/>
          <w:bCs/>
          <w:szCs w:val="22"/>
        </w:rPr>
        <w:t xml:space="preserve">图2  </w:t>
      </w:r>
      <w:r>
        <w:rPr>
          <w:rFonts w:hint="eastAsia"/>
          <w:b/>
          <w:bCs/>
          <w:szCs w:val="22"/>
          <w:lang w:val="zh-CN"/>
        </w:rPr>
        <w:t>HJ 130—2019《规划环境影响评价技术导则 总纲》</w:t>
      </w:r>
    </w:p>
    <w:p>
      <w:pPr>
        <w:pStyle w:val="25"/>
        <w:numPr>
          <w:ilvl w:val="0"/>
          <w:numId w:val="5"/>
        </w:numPr>
        <w:spacing w:beforeLines="0" w:afterLines="0"/>
        <w:ind w:firstLine="643" w:firstLineChars="200"/>
        <w:rPr>
          <w:rFonts w:ascii="仿宋_GB2312" w:hAnsi="宋体" w:eastAsia="仿宋_GB2312"/>
          <w:b/>
          <w:bCs/>
          <w:kern w:val="2"/>
          <w:sz w:val="32"/>
          <w:szCs w:val="28"/>
          <w:lang w:val="zh-CN"/>
        </w:rPr>
      </w:pPr>
      <w:r>
        <w:rPr>
          <w:rFonts w:hint="eastAsia" w:ascii="仿宋_GB2312" w:hAnsi="宋体" w:eastAsia="仿宋_GB2312"/>
          <w:b/>
          <w:bCs/>
          <w:kern w:val="2"/>
          <w:sz w:val="32"/>
          <w:szCs w:val="28"/>
          <w:lang w:val="zh-CN"/>
        </w:rPr>
        <w:t>饮用水水源保护区</w:t>
      </w:r>
    </w:p>
    <w:p>
      <w:pPr>
        <w:pStyle w:val="25"/>
        <w:numPr>
          <w:ilvl w:val="2"/>
          <w:numId w:val="0"/>
        </w:numPr>
        <w:spacing w:beforeLines="0" w:afterLines="0"/>
        <w:ind w:left="420" w:leftChars="200" w:firstLine="640" w:firstLineChars="200"/>
        <w:rPr>
          <w:rFonts w:ascii="仿宋_GB2312" w:hAnsi="宋体" w:eastAsia="仿宋_GB2312"/>
          <w:kern w:val="2"/>
          <w:sz w:val="32"/>
          <w:szCs w:val="28"/>
          <w:lang w:val="zh-CN"/>
        </w:rPr>
      </w:pPr>
      <w:r>
        <w:rPr>
          <w:rFonts w:hint="eastAsia" w:ascii="仿宋_GB2312" w:hAnsi="宋体" w:eastAsia="仿宋_GB2312"/>
          <w:kern w:val="2"/>
          <w:sz w:val="32"/>
          <w:szCs w:val="28"/>
          <w:lang w:val="zh-CN"/>
        </w:rPr>
        <w:t>为防止饮用水水源地污染、保证水源水质而划定，并要求加以特殊保护的一定范围的水域和陆域。饮用水水源保护区分为一级保护区和二级保护区，必要时可在保护区外划分准保护区。</w:t>
      </w:r>
      <w:r>
        <w:rPr>
          <w:rFonts w:hint="eastAsia" w:ascii="仿宋_GB2312" w:hAnsi="宋体" w:eastAsia="仿宋_GB2312"/>
          <w:kern w:val="2"/>
          <w:sz w:val="32"/>
          <w:szCs w:val="28"/>
        </w:rPr>
        <w:t>主要</w:t>
      </w:r>
      <w:r>
        <w:rPr>
          <w:rFonts w:hint="eastAsia" w:ascii="仿宋_GB2312" w:hAnsi="宋体" w:eastAsia="仿宋_GB2312"/>
          <w:kern w:val="2"/>
          <w:sz w:val="32"/>
          <w:szCs w:val="28"/>
          <w:lang w:val="zh-CN"/>
        </w:rPr>
        <w:t>依据HJ 338-2018《饮用水水源保护区划分技术规范》</w:t>
      </w:r>
      <w:r>
        <w:rPr>
          <w:rFonts w:hint="eastAsia" w:ascii="仿宋_GB2312" w:hAnsi="宋体" w:eastAsia="仿宋_GB2312"/>
          <w:kern w:val="2"/>
          <w:sz w:val="32"/>
          <w:szCs w:val="28"/>
        </w:rPr>
        <w:t>3.1术语和定义要求，见图3</w:t>
      </w:r>
      <w:r>
        <w:rPr>
          <w:rFonts w:hint="eastAsia" w:ascii="仿宋_GB2312" w:hAnsi="宋体" w:eastAsia="仿宋_GB2312"/>
          <w:kern w:val="2"/>
          <w:sz w:val="32"/>
          <w:szCs w:val="28"/>
          <w:lang w:val="zh-CN"/>
        </w:rPr>
        <w:t>。</w:t>
      </w:r>
    </w:p>
    <w:p>
      <w:pPr>
        <w:pStyle w:val="15"/>
        <w:ind w:firstLine="420"/>
      </w:pPr>
      <w:r>
        <w:drawing>
          <wp:inline distT="0" distB="0" distL="114300" distR="114300">
            <wp:extent cx="5683885" cy="768985"/>
            <wp:effectExtent l="0" t="0" r="12065"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683885" cy="768985"/>
                    </a:xfrm>
                    <a:prstGeom prst="rect">
                      <a:avLst/>
                    </a:prstGeom>
                    <a:noFill/>
                    <a:ln>
                      <a:noFill/>
                    </a:ln>
                  </pic:spPr>
                </pic:pic>
              </a:graphicData>
            </a:graphic>
          </wp:inline>
        </w:drawing>
      </w:r>
    </w:p>
    <w:p>
      <w:pPr>
        <w:pStyle w:val="15"/>
        <w:ind w:firstLine="422"/>
        <w:jc w:val="center"/>
        <w:rPr>
          <w:b/>
          <w:bCs/>
          <w:szCs w:val="22"/>
          <w:lang w:val="zh-CN"/>
        </w:rPr>
      </w:pPr>
      <w:r>
        <w:rPr>
          <w:rFonts w:hint="eastAsia"/>
          <w:b/>
          <w:bCs/>
          <w:szCs w:val="22"/>
        </w:rPr>
        <w:t xml:space="preserve">图3  </w:t>
      </w:r>
      <w:r>
        <w:rPr>
          <w:rFonts w:hint="eastAsia"/>
          <w:b/>
          <w:bCs/>
          <w:szCs w:val="22"/>
          <w:lang w:val="zh-CN"/>
        </w:rPr>
        <w:t>HJ 338-2018《饮用水水源保护区划分技术规范》</w:t>
      </w:r>
    </w:p>
    <w:p>
      <w:pPr>
        <w:pStyle w:val="25"/>
        <w:numPr>
          <w:ilvl w:val="0"/>
          <w:numId w:val="0"/>
        </w:numPr>
        <w:spacing w:beforeLines="0" w:afterLines="0"/>
        <w:ind w:firstLine="643" w:firstLineChars="200"/>
        <w:rPr>
          <w:rFonts w:ascii="仿宋_GB2312" w:hAnsi="宋体" w:eastAsia="仿宋_GB2312"/>
          <w:b/>
          <w:bCs/>
          <w:kern w:val="2"/>
          <w:sz w:val="32"/>
          <w:szCs w:val="28"/>
          <w:lang w:val="zh-CN"/>
        </w:rPr>
      </w:pPr>
      <w:r>
        <w:rPr>
          <w:rFonts w:hint="eastAsia" w:ascii="仿宋_GB2312" w:hAnsi="宋体" w:eastAsia="仿宋_GB2312"/>
          <w:b/>
          <w:bCs/>
          <w:kern w:val="2"/>
          <w:sz w:val="32"/>
          <w:szCs w:val="28"/>
        </w:rPr>
        <w:t>4、</w:t>
      </w:r>
      <w:r>
        <w:rPr>
          <w:rFonts w:hint="eastAsia" w:ascii="仿宋_GB2312" w:hAnsi="宋体" w:eastAsia="仿宋_GB2312"/>
          <w:b/>
          <w:bCs/>
          <w:kern w:val="2"/>
          <w:sz w:val="32"/>
          <w:szCs w:val="28"/>
          <w:lang w:val="zh-CN"/>
        </w:rPr>
        <w:t>风景名胜区</w:t>
      </w:r>
    </w:p>
    <w:p>
      <w:pPr>
        <w:pStyle w:val="25"/>
        <w:numPr>
          <w:ilvl w:val="0"/>
          <w:numId w:val="0"/>
        </w:numPr>
        <w:spacing w:beforeLines="0" w:afterLines="0"/>
        <w:ind w:firstLine="640" w:firstLineChars="200"/>
        <w:rPr>
          <w:rFonts w:ascii="仿宋_GB2312" w:hAnsi="宋体" w:eastAsia="仿宋_GB2312"/>
          <w:kern w:val="2"/>
          <w:sz w:val="32"/>
          <w:szCs w:val="28"/>
          <w:lang w:val="zh-CN"/>
        </w:rPr>
      </w:pPr>
      <w:r>
        <w:rPr>
          <w:rFonts w:hint="eastAsia" w:ascii="仿宋_GB2312" w:hAnsi="宋体" w:eastAsia="仿宋_GB2312"/>
          <w:kern w:val="2"/>
          <w:sz w:val="32"/>
          <w:szCs w:val="28"/>
          <w:lang w:val="zh-CN"/>
        </w:rPr>
        <w:t>指具有观赏、文化或者科学价值，自然景观、人文景观比较集中，环境优美，可供人们游览或者进行科学、文化活动的区域。</w:t>
      </w:r>
      <w:r>
        <w:rPr>
          <w:rFonts w:hint="eastAsia" w:ascii="仿宋_GB2312" w:hAnsi="宋体" w:eastAsia="仿宋_GB2312"/>
          <w:kern w:val="2"/>
          <w:sz w:val="32"/>
          <w:szCs w:val="28"/>
        </w:rPr>
        <w:t>主要</w:t>
      </w:r>
      <w:r>
        <w:rPr>
          <w:rFonts w:hint="eastAsia" w:ascii="仿宋_GB2312" w:hAnsi="宋体" w:eastAsia="仿宋_GB2312"/>
          <w:kern w:val="2"/>
          <w:sz w:val="32"/>
          <w:szCs w:val="28"/>
          <w:lang w:val="zh-CN"/>
        </w:rPr>
        <w:t>依据《风景名胜区条例》</w:t>
      </w:r>
      <w:r>
        <w:rPr>
          <w:rFonts w:ascii="仿宋_GB2312" w:hAnsi="宋体" w:eastAsia="仿宋_GB2312"/>
          <w:kern w:val="2"/>
          <w:sz w:val="32"/>
          <w:szCs w:val="28"/>
          <w:lang w:val="zh-CN"/>
        </w:rPr>
        <w:t>（</w:t>
      </w:r>
      <w:r>
        <w:rPr>
          <w:rFonts w:hint="eastAsia" w:ascii="仿宋_GB2312" w:hAnsi="宋体" w:eastAsia="仿宋_GB2312"/>
          <w:kern w:val="2"/>
          <w:sz w:val="32"/>
          <w:szCs w:val="28"/>
          <w:lang w:val="zh-CN"/>
        </w:rPr>
        <w:t>中华人民共和国国务院令第4</w:t>
      </w:r>
      <w:r>
        <w:rPr>
          <w:rFonts w:ascii="仿宋_GB2312" w:hAnsi="宋体" w:eastAsia="仿宋_GB2312"/>
          <w:kern w:val="2"/>
          <w:sz w:val="32"/>
          <w:szCs w:val="28"/>
          <w:lang w:val="zh-CN"/>
        </w:rPr>
        <w:t>74</w:t>
      </w:r>
      <w:r>
        <w:rPr>
          <w:rFonts w:hint="eastAsia" w:ascii="仿宋_GB2312" w:hAnsi="宋体" w:eastAsia="仿宋_GB2312"/>
          <w:kern w:val="2"/>
          <w:sz w:val="32"/>
          <w:szCs w:val="28"/>
          <w:lang w:val="zh-CN"/>
        </w:rPr>
        <w:t>号</w:t>
      </w:r>
      <w:r>
        <w:rPr>
          <w:rFonts w:ascii="仿宋_GB2312" w:hAnsi="宋体" w:eastAsia="仿宋_GB2312"/>
          <w:kern w:val="2"/>
          <w:sz w:val="32"/>
          <w:szCs w:val="28"/>
          <w:lang w:val="zh-CN"/>
        </w:rPr>
        <w:t>）</w:t>
      </w:r>
      <w:r>
        <w:rPr>
          <w:rFonts w:hint="eastAsia" w:ascii="仿宋_GB2312" w:hAnsi="宋体" w:eastAsia="仿宋_GB2312"/>
          <w:kern w:val="2"/>
          <w:sz w:val="32"/>
          <w:szCs w:val="28"/>
        </w:rPr>
        <w:t>第一章第二条的要求确定，见图4</w:t>
      </w:r>
      <w:r>
        <w:rPr>
          <w:rFonts w:hint="eastAsia" w:ascii="仿宋_GB2312" w:hAnsi="宋体" w:eastAsia="仿宋_GB2312"/>
          <w:kern w:val="2"/>
          <w:sz w:val="32"/>
          <w:szCs w:val="28"/>
          <w:lang w:val="zh-CN"/>
        </w:rPr>
        <w:t>。</w:t>
      </w:r>
    </w:p>
    <w:p>
      <w:pPr>
        <w:pStyle w:val="15"/>
        <w:ind w:firstLine="420"/>
      </w:pPr>
      <w:r>
        <w:drawing>
          <wp:inline distT="0" distB="0" distL="114300" distR="114300">
            <wp:extent cx="5686425" cy="2154555"/>
            <wp:effectExtent l="0" t="0" r="9525"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686425" cy="2154555"/>
                    </a:xfrm>
                    <a:prstGeom prst="rect">
                      <a:avLst/>
                    </a:prstGeom>
                    <a:noFill/>
                    <a:ln>
                      <a:noFill/>
                    </a:ln>
                  </pic:spPr>
                </pic:pic>
              </a:graphicData>
            </a:graphic>
          </wp:inline>
        </w:drawing>
      </w:r>
    </w:p>
    <w:p>
      <w:pPr>
        <w:pStyle w:val="15"/>
        <w:ind w:firstLine="422"/>
        <w:jc w:val="center"/>
        <w:rPr>
          <w:b/>
          <w:bCs/>
          <w:szCs w:val="22"/>
          <w:lang w:val="zh-CN"/>
        </w:rPr>
      </w:pPr>
      <w:r>
        <w:rPr>
          <w:rFonts w:hint="eastAsia"/>
          <w:b/>
          <w:bCs/>
          <w:szCs w:val="22"/>
        </w:rPr>
        <w:t xml:space="preserve">图4 </w:t>
      </w:r>
      <w:r>
        <w:rPr>
          <w:rFonts w:hint="eastAsia"/>
          <w:b/>
          <w:bCs/>
          <w:szCs w:val="22"/>
          <w:lang w:val="zh-CN"/>
        </w:rPr>
        <w:t>《风景名胜区条例》</w:t>
      </w:r>
    </w:p>
    <w:p>
      <w:pPr>
        <w:pStyle w:val="25"/>
        <w:numPr>
          <w:ilvl w:val="0"/>
          <w:numId w:val="0"/>
        </w:numPr>
        <w:spacing w:beforeLines="0" w:afterLines="0"/>
        <w:ind w:firstLine="643" w:firstLineChars="200"/>
        <w:rPr>
          <w:rFonts w:ascii="仿宋_GB2312" w:hAnsi="宋体" w:eastAsia="仿宋_GB2312"/>
          <w:b/>
          <w:bCs/>
          <w:kern w:val="2"/>
          <w:sz w:val="32"/>
          <w:szCs w:val="28"/>
          <w:lang w:val="zh-CN"/>
        </w:rPr>
      </w:pPr>
      <w:r>
        <w:rPr>
          <w:rFonts w:hint="eastAsia" w:ascii="仿宋_GB2312" w:hAnsi="宋体" w:eastAsia="仿宋_GB2312"/>
          <w:b/>
          <w:bCs/>
          <w:kern w:val="2"/>
          <w:sz w:val="32"/>
          <w:szCs w:val="28"/>
        </w:rPr>
        <w:t>5、</w:t>
      </w:r>
      <w:r>
        <w:rPr>
          <w:rFonts w:hint="eastAsia" w:ascii="仿宋_GB2312" w:hAnsi="宋体" w:eastAsia="仿宋_GB2312"/>
          <w:b/>
          <w:bCs/>
          <w:kern w:val="2"/>
          <w:sz w:val="32"/>
          <w:szCs w:val="28"/>
          <w:lang w:val="zh-CN"/>
        </w:rPr>
        <w:t>自然保护区</w:t>
      </w:r>
    </w:p>
    <w:p>
      <w:pPr>
        <w:pStyle w:val="25"/>
        <w:numPr>
          <w:ilvl w:val="0"/>
          <w:numId w:val="0"/>
        </w:numPr>
        <w:spacing w:beforeLines="0" w:afterLines="0"/>
        <w:ind w:firstLine="640" w:firstLineChars="200"/>
        <w:rPr>
          <w:rFonts w:ascii="仿宋_GB2312" w:hAnsi="宋体" w:eastAsia="仿宋_GB2312"/>
          <w:kern w:val="2"/>
          <w:sz w:val="32"/>
          <w:szCs w:val="28"/>
          <w:lang w:val="zh-CN"/>
        </w:rPr>
      </w:pPr>
      <w:r>
        <w:rPr>
          <w:rFonts w:hint="eastAsia" w:ascii="仿宋_GB2312" w:hAnsi="宋体" w:eastAsia="仿宋_GB2312"/>
          <w:kern w:val="2"/>
          <w:sz w:val="32"/>
          <w:szCs w:val="28"/>
          <w:lang w:val="zh-CN"/>
        </w:rPr>
        <w:t>对有代表性的自然生态系统、珍稀濒危野生动植物物种的天然集中分布区、有特殊意义的自然遗迹等保护对象所在的陆地、陆地水体或者海域，依法划出一定面积予以特殊保护和管理的区域。</w:t>
      </w:r>
      <w:r>
        <w:rPr>
          <w:rFonts w:hint="eastAsia" w:ascii="仿宋_GB2312" w:hAnsi="宋体" w:eastAsia="仿宋_GB2312"/>
          <w:kern w:val="2"/>
          <w:sz w:val="32"/>
          <w:szCs w:val="28"/>
        </w:rPr>
        <w:t>主要</w:t>
      </w:r>
      <w:r>
        <w:rPr>
          <w:rFonts w:hint="eastAsia" w:ascii="仿宋_GB2312" w:hAnsi="宋体" w:eastAsia="仿宋_GB2312"/>
          <w:kern w:val="2"/>
          <w:sz w:val="32"/>
          <w:szCs w:val="28"/>
          <w:lang w:val="zh-CN"/>
        </w:rPr>
        <w:t>依据《中华人民共和国自然保护区条例》（中华人民共和国国务院令第167号）</w:t>
      </w:r>
      <w:r>
        <w:rPr>
          <w:rFonts w:hint="eastAsia" w:ascii="仿宋_GB2312" w:hAnsi="宋体" w:eastAsia="仿宋_GB2312"/>
          <w:kern w:val="2"/>
          <w:sz w:val="32"/>
          <w:szCs w:val="28"/>
        </w:rPr>
        <w:t>第一章第二条的要求确定，见图5</w:t>
      </w:r>
      <w:r>
        <w:rPr>
          <w:rFonts w:hint="eastAsia" w:ascii="仿宋_GB2312" w:hAnsi="宋体" w:eastAsia="仿宋_GB2312"/>
          <w:kern w:val="2"/>
          <w:sz w:val="32"/>
          <w:szCs w:val="28"/>
          <w:lang w:val="zh-CN"/>
        </w:rPr>
        <w:t>。</w:t>
      </w:r>
    </w:p>
    <w:p>
      <w:pPr>
        <w:pStyle w:val="15"/>
        <w:ind w:firstLine="420"/>
      </w:pPr>
      <w:r>
        <w:drawing>
          <wp:inline distT="0" distB="0" distL="114300" distR="114300">
            <wp:extent cx="5688330" cy="1325880"/>
            <wp:effectExtent l="0" t="0" r="762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688330" cy="1325880"/>
                    </a:xfrm>
                    <a:prstGeom prst="rect">
                      <a:avLst/>
                    </a:prstGeom>
                    <a:noFill/>
                    <a:ln>
                      <a:noFill/>
                    </a:ln>
                  </pic:spPr>
                </pic:pic>
              </a:graphicData>
            </a:graphic>
          </wp:inline>
        </w:drawing>
      </w:r>
    </w:p>
    <w:p>
      <w:pPr>
        <w:pStyle w:val="15"/>
        <w:ind w:firstLine="422"/>
        <w:jc w:val="center"/>
        <w:rPr>
          <w:b/>
          <w:bCs/>
          <w:szCs w:val="22"/>
          <w:lang w:val="zh-CN"/>
        </w:rPr>
      </w:pPr>
      <w:r>
        <w:rPr>
          <w:rFonts w:hint="eastAsia"/>
          <w:b/>
          <w:bCs/>
          <w:szCs w:val="22"/>
        </w:rPr>
        <w:t xml:space="preserve">图5  </w:t>
      </w:r>
      <w:r>
        <w:rPr>
          <w:rFonts w:hint="eastAsia"/>
          <w:b/>
          <w:bCs/>
          <w:szCs w:val="22"/>
          <w:lang w:val="zh-CN"/>
        </w:rPr>
        <w:t>《中华人民共和国自然保护区条例》</w:t>
      </w:r>
    </w:p>
    <w:p>
      <w:pPr>
        <w:pStyle w:val="25"/>
        <w:numPr>
          <w:ilvl w:val="0"/>
          <w:numId w:val="0"/>
        </w:numPr>
        <w:spacing w:beforeLines="0" w:afterLines="0"/>
        <w:ind w:firstLine="643" w:firstLineChars="200"/>
        <w:rPr>
          <w:rFonts w:ascii="仿宋_GB2312" w:hAnsi="宋体" w:eastAsia="仿宋_GB2312"/>
          <w:b/>
          <w:bCs/>
          <w:kern w:val="2"/>
          <w:sz w:val="32"/>
          <w:szCs w:val="28"/>
          <w:lang w:val="zh-CN"/>
        </w:rPr>
      </w:pPr>
      <w:r>
        <w:rPr>
          <w:rFonts w:hint="eastAsia" w:ascii="仿宋_GB2312" w:hAnsi="宋体" w:eastAsia="仿宋_GB2312"/>
          <w:b/>
          <w:bCs/>
          <w:kern w:val="2"/>
          <w:sz w:val="32"/>
          <w:szCs w:val="28"/>
        </w:rPr>
        <w:t>6、</w:t>
      </w:r>
      <w:r>
        <w:rPr>
          <w:rFonts w:hint="eastAsia" w:ascii="仿宋_GB2312" w:hAnsi="宋体" w:eastAsia="仿宋_GB2312"/>
          <w:b/>
          <w:bCs/>
          <w:kern w:val="2"/>
          <w:sz w:val="32"/>
          <w:szCs w:val="28"/>
          <w:lang w:val="zh-CN"/>
        </w:rPr>
        <w:t>生态保护红线</w:t>
      </w:r>
    </w:p>
    <w:p>
      <w:pPr>
        <w:pStyle w:val="25"/>
        <w:numPr>
          <w:ilvl w:val="0"/>
          <w:numId w:val="0"/>
        </w:numPr>
        <w:spacing w:beforeLines="0" w:afterLines="0"/>
        <w:ind w:firstLine="640" w:firstLineChars="200"/>
        <w:rPr>
          <w:rFonts w:ascii="仿宋_GB2312" w:hAnsi="宋体" w:eastAsia="仿宋_GB2312"/>
          <w:kern w:val="2"/>
          <w:sz w:val="32"/>
          <w:szCs w:val="28"/>
          <w:lang w:val="zh-CN"/>
        </w:rPr>
      </w:pPr>
      <w:r>
        <w:rPr>
          <w:rFonts w:hint="eastAsia" w:ascii="仿宋_GB2312" w:hAnsi="宋体" w:eastAsia="仿宋_GB2312"/>
          <w:kern w:val="2"/>
          <w:sz w:val="32"/>
          <w:szCs w:val="28"/>
          <w:lang w:val="zh-CN"/>
        </w:rPr>
        <w:t>在生态空间范围内具有特殊重要生态功能、必须强制性严格保护的区域，是保障和维护国家生态安全的底线和生命线，通常包括具有重要水源涵养、生物多样性维护、水土保持、防风固沙、海岸生态稳定等功能的生态功能重要区域，以及水土流失、土地沙化、石漠化、盐渍化等生态环境敏感脆弱区域。</w:t>
      </w:r>
      <w:r>
        <w:rPr>
          <w:rFonts w:hint="eastAsia" w:ascii="仿宋_GB2312" w:hAnsi="宋体" w:eastAsia="仿宋_GB2312"/>
          <w:kern w:val="2"/>
          <w:sz w:val="32"/>
          <w:szCs w:val="28"/>
        </w:rPr>
        <w:t>主要</w:t>
      </w:r>
      <w:r>
        <w:rPr>
          <w:rFonts w:hint="eastAsia" w:ascii="仿宋_GB2312" w:hAnsi="宋体" w:eastAsia="仿宋_GB2312"/>
          <w:kern w:val="2"/>
          <w:sz w:val="32"/>
          <w:szCs w:val="28"/>
          <w:lang w:val="zh-CN"/>
        </w:rPr>
        <w:t>依据HJ 130—2019《规划环境影响评价技术导则 总纲》</w:t>
      </w:r>
      <w:r>
        <w:rPr>
          <w:rFonts w:hint="eastAsia" w:ascii="仿宋_GB2312" w:hAnsi="宋体" w:eastAsia="仿宋_GB2312"/>
          <w:kern w:val="2"/>
          <w:sz w:val="32"/>
          <w:szCs w:val="28"/>
        </w:rPr>
        <w:t>3.3术语和定义要求，见图6</w:t>
      </w:r>
      <w:r>
        <w:rPr>
          <w:rFonts w:hint="eastAsia" w:ascii="仿宋_GB2312" w:hAnsi="宋体" w:eastAsia="仿宋_GB2312"/>
          <w:kern w:val="2"/>
          <w:sz w:val="32"/>
          <w:szCs w:val="28"/>
          <w:lang w:val="zh-CN"/>
        </w:rPr>
        <w:t>。</w:t>
      </w:r>
    </w:p>
    <w:p>
      <w:pPr>
        <w:pStyle w:val="15"/>
        <w:ind w:firstLine="420"/>
      </w:pPr>
      <w:r>
        <w:drawing>
          <wp:inline distT="0" distB="0" distL="114300" distR="114300">
            <wp:extent cx="5681980" cy="1178560"/>
            <wp:effectExtent l="0" t="0" r="13970" b="254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0"/>
                    <a:stretch>
                      <a:fillRect/>
                    </a:stretch>
                  </pic:blipFill>
                  <pic:spPr>
                    <a:xfrm>
                      <a:off x="0" y="0"/>
                      <a:ext cx="5681980" cy="1178560"/>
                    </a:xfrm>
                    <a:prstGeom prst="rect">
                      <a:avLst/>
                    </a:prstGeom>
                    <a:noFill/>
                    <a:ln>
                      <a:noFill/>
                    </a:ln>
                  </pic:spPr>
                </pic:pic>
              </a:graphicData>
            </a:graphic>
          </wp:inline>
        </w:drawing>
      </w:r>
    </w:p>
    <w:p>
      <w:pPr>
        <w:pStyle w:val="15"/>
        <w:ind w:firstLine="422"/>
        <w:jc w:val="center"/>
        <w:rPr>
          <w:b/>
          <w:bCs/>
          <w:szCs w:val="22"/>
          <w:lang w:val="zh-CN"/>
        </w:rPr>
      </w:pPr>
      <w:r>
        <w:rPr>
          <w:rFonts w:hint="eastAsia"/>
          <w:b/>
          <w:bCs/>
          <w:szCs w:val="22"/>
        </w:rPr>
        <w:t xml:space="preserve">图6  </w:t>
      </w:r>
      <w:r>
        <w:rPr>
          <w:rFonts w:hint="eastAsia"/>
          <w:b/>
          <w:bCs/>
          <w:szCs w:val="22"/>
          <w:lang w:val="zh-CN"/>
        </w:rPr>
        <w:t>HJ 130—2019《规划环境影响评价技术导则 总纲》</w:t>
      </w:r>
    </w:p>
    <w:p>
      <w:pPr>
        <w:pStyle w:val="36"/>
        <w:numPr>
          <w:ilvl w:val="0"/>
          <w:numId w:val="0"/>
        </w:numPr>
        <w:spacing w:line="560" w:lineRule="exact"/>
        <w:ind w:firstLine="643" w:firstLineChars="200"/>
        <w:rPr>
          <w:rFonts w:ascii="楷体" w:hAnsi="楷体" w:eastAsia="楷体"/>
          <w:b/>
          <w:sz w:val="32"/>
          <w:szCs w:val="32"/>
          <w:lang w:val="zh-CN"/>
        </w:rPr>
      </w:pPr>
      <w:r>
        <w:rPr>
          <w:rFonts w:hint="eastAsia" w:ascii="楷体" w:hAnsi="楷体" w:eastAsia="楷体"/>
          <w:b/>
          <w:sz w:val="32"/>
          <w:szCs w:val="32"/>
          <w:lang w:val="zh-CN"/>
        </w:rPr>
        <w:t>（二）人员要求</w:t>
      </w:r>
    </w:p>
    <w:p>
      <w:pPr>
        <w:pStyle w:val="15"/>
        <w:ind w:firstLine="640"/>
        <w:rPr>
          <w:rFonts w:ascii="仿宋_GB2312" w:hAnsi="宋体" w:eastAsia="仿宋_GB2312"/>
          <w:kern w:val="2"/>
          <w:sz w:val="32"/>
          <w:szCs w:val="28"/>
          <w:lang w:val="zh-CN"/>
        </w:rPr>
      </w:pPr>
      <w:r>
        <w:rPr>
          <w:rFonts w:hint="eastAsia" w:ascii="仿宋_GB2312" w:hAnsi="宋体" w:eastAsia="仿宋_GB2312"/>
          <w:kern w:val="2"/>
          <w:sz w:val="32"/>
          <w:szCs w:val="28"/>
          <w:lang w:val="zh-CN"/>
        </w:rPr>
        <w:t>为了更直观了解项目建设情况和周围重点关注的环境影响目标</w:t>
      </w:r>
      <w:r>
        <w:rPr>
          <w:rFonts w:hint="eastAsia" w:ascii="仿宋_GB2312" w:hAnsi="宋体" w:eastAsia="仿宋_GB2312"/>
          <w:kern w:val="2"/>
          <w:sz w:val="32"/>
          <w:szCs w:val="28"/>
        </w:rPr>
        <w:t>以及</w:t>
      </w:r>
      <w:r>
        <w:rPr>
          <w:rFonts w:hint="eastAsia" w:ascii="仿宋_GB2312" w:hAnsi="宋体" w:eastAsia="仿宋_GB2312"/>
          <w:kern w:val="2"/>
          <w:sz w:val="32"/>
          <w:szCs w:val="28"/>
          <w:lang w:val="zh-CN"/>
        </w:rPr>
        <w:t>后续环境影响评价报告书的编写</w:t>
      </w:r>
      <w:r>
        <w:rPr>
          <w:rFonts w:hint="eastAsia" w:ascii="仿宋_GB2312" w:hAnsi="宋体" w:eastAsia="仿宋_GB2312"/>
          <w:kern w:val="2"/>
          <w:sz w:val="32"/>
          <w:szCs w:val="28"/>
          <w:lang w:val="zh-CN"/>
        </w:rPr>
        <w:t>。环境影响评价现状调查人员主要包括环境影响评价项目负责人、项目工程概况与工程分析章节编制人员、项目环境现状调查与评价章节编制人员等。环境影响评价现状调查是环境影响评价工作的准备阶段，包括识别环境影响因素，筛选评价因子，明确评价重点，确定各专项评价的范围和工作等级</w:t>
      </w:r>
      <w:r>
        <w:rPr>
          <w:rFonts w:hint="eastAsia" w:ascii="仿宋_GB2312" w:hAnsi="宋体" w:eastAsia="仿宋_GB2312"/>
          <w:kern w:val="2"/>
          <w:sz w:val="32"/>
          <w:szCs w:val="28"/>
          <w:lang w:val="zh-CN" w:eastAsia="zh-CN"/>
        </w:rPr>
        <w:t>，</w:t>
      </w:r>
      <w:r>
        <w:rPr>
          <w:rFonts w:hint="eastAsia" w:ascii="仿宋_GB2312" w:hAnsi="宋体" w:eastAsia="仿宋_GB2312"/>
          <w:kern w:val="2"/>
          <w:sz w:val="32"/>
          <w:szCs w:val="28"/>
          <w:lang w:val="zh-CN"/>
        </w:rPr>
        <w:t>所以对人员进行要求以便后面环境影响评价工作更好的开展</w:t>
      </w:r>
      <w:r>
        <w:rPr>
          <w:rFonts w:hint="eastAsia" w:ascii="仿宋_GB2312" w:hAnsi="宋体" w:eastAsia="仿宋_GB2312"/>
          <w:kern w:val="2"/>
          <w:sz w:val="32"/>
          <w:szCs w:val="28"/>
          <w:lang w:val="zh-CN"/>
        </w:rPr>
        <w:t>。</w:t>
      </w:r>
    </w:p>
    <w:p>
      <w:pPr>
        <w:pStyle w:val="36"/>
        <w:numPr>
          <w:ilvl w:val="0"/>
          <w:numId w:val="0"/>
        </w:numPr>
        <w:spacing w:before="156" w:beforeLines="50" w:after="156" w:afterLines="50" w:line="560" w:lineRule="exact"/>
        <w:ind w:firstLine="643"/>
        <w:rPr>
          <w:rFonts w:ascii="楷体" w:hAnsi="楷体" w:eastAsia="楷体"/>
          <w:b/>
          <w:sz w:val="32"/>
          <w:szCs w:val="32"/>
          <w:lang w:val="zh-CN"/>
        </w:rPr>
      </w:pPr>
      <w:r>
        <w:rPr>
          <w:rFonts w:hint="eastAsia" w:ascii="楷体" w:hAnsi="楷体" w:eastAsia="楷体"/>
          <w:b/>
          <w:sz w:val="32"/>
          <w:szCs w:val="32"/>
          <w:lang w:val="zh-CN"/>
        </w:rPr>
        <w:t>（三）资料收集和现场调查</w:t>
      </w:r>
    </w:p>
    <w:p>
      <w:pPr>
        <w:pStyle w:val="15"/>
        <w:spacing w:line="560" w:lineRule="exact"/>
        <w:ind w:firstLine="640"/>
        <w:rPr>
          <w:rFonts w:ascii="仿宋_GB2312" w:hAnsi="宋体" w:eastAsia="仿宋_GB2312"/>
          <w:kern w:val="2"/>
          <w:sz w:val="32"/>
          <w:szCs w:val="28"/>
        </w:rPr>
      </w:pPr>
      <w:r>
        <w:rPr>
          <w:rFonts w:hint="eastAsia" w:ascii="仿宋_GB2312" w:hAnsi="宋体" w:eastAsia="仿宋_GB2312"/>
          <w:kern w:val="2"/>
          <w:sz w:val="32"/>
          <w:szCs w:val="28"/>
        </w:rPr>
        <w:t>环境现状调查方法目前常用的三种方</w:t>
      </w:r>
      <w:r>
        <w:rPr>
          <w:rFonts w:hint="eastAsia" w:ascii="仿宋_GB2312" w:hAnsi="宋体" w:eastAsia="仿宋_GB2312"/>
          <w:color w:val="auto"/>
          <w:kern w:val="2"/>
          <w:sz w:val="32"/>
          <w:szCs w:val="28"/>
          <w:highlight w:val="none"/>
        </w:rPr>
        <w:t>法为资料</w:t>
      </w:r>
      <w:r>
        <w:rPr>
          <w:rFonts w:hint="eastAsia" w:hAnsi="宋体" w:cs="宋体"/>
          <w:color w:val="auto"/>
          <w:kern w:val="2"/>
          <w:sz w:val="32"/>
          <w:szCs w:val="28"/>
          <w:highlight w:val="none"/>
        </w:rPr>
        <w:t>收集法</w:t>
      </w:r>
      <w:r>
        <w:rPr>
          <w:rFonts w:hint="eastAsia" w:ascii="仿宋_GB2312" w:hAnsi="宋体" w:eastAsia="仿宋_GB2312"/>
          <w:color w:val="auto"/>
          <w:kern w:val="2"/>
          <w:sz w:val="32"/>
          <w:szCs w:val="28"/>
          <w:highlight w:val="none"/>
        </w:rPr>
        <w:t>、</w:t>
      </w:r>
      <w:r>
        <w:rPr>
          <w:rFonts w:hint="eastAsia" w:ascii="仿宋_GB2312" w:hAnsi="宋体" w:eastAsia="仿宋_GB2312"/>
          <w:kern w:val="2"/>
          <w:sz w:val="32"/>
          <w:szCs w:val="28"/>
        </w:rPr>
        <w:t>现场调查法</w:t>
      </w:r>
      <w:r>
        <w:rPr>
          <w:rFonts w:hint="eastAsia" w:ascii="仿宋_GB2312" w:hAnsi="宋体" w:eastAsia="仿宋_GB2312"/>
          <w:kern w:val="2"/>
          <w:sz w:val="32"/>
          <w:szCs w:val="28"/>
          <w:lang w:eastAsia="zh-CN"/>
        </w:rPr>
        <w:t>、</w:t>
      </w:r>
      <w:r>
        <w:rPr>
          <w:rFonts w:hint="eastAsia" w:ascii="仿宋_GB2312" w:hAnsi="宋体" w:eastAsia="仿宋_GB2312"/>
          <w:kern w:val="2"/>
          <w:sz w:val="32"/>
          <w:szCs w:val="28"/>
        </w:rPr>
        <w:t>遥感和地理信息分析法，遥感和地理信息分析法更多适用于生态环境的调查，本标准界定为</w:t>
      </w:r>
      <w:r>
        <w:rPr>
          <w:rFonts w:hint="eastAsia" w:ascii="仿宋_GB2312" w:hAnsi="宋体" w:eastAsia="仿宋_GB2312"/>
          <w:kern w:val="2"/>
          <w:sz w:val="32"/>
          <w:szCs w:val="28"/>
          <w:lang w:val="zh-CN"/>
        </w:rPr>
        <w:t>工业类建设项目环境影响评价，</w:t>
      </w:r>
      <w:r>
        <w:rPr>
          <w:rFonts w:hint="eastAsia" w:ascii="仿宋_GB2312" w:hAnsi="宋体" w:eastAsia="仿宋_GB2312"/>
          <w:kern w:val="2"/>
          <w:sz w:val="32"/>
          <w:szCs w:val="28"/>
        </w:rPr>
        <w:t>所以只需保留前两种方法。</w:t>
      </w:r>
      <w:r>
        <w:rPr>
          <w:rFonts w:hint="eastAsia" w:ascii="仿宋_GB2312" w:hAnsi="宋体" w:eastAsia="仿宋_GB2312"/>
          <w:kern w:val="2"/>
          <w:sz w:val="32"/>
          <w:szCs w:val="28"/>
          <w:lang w:val="zh-CN"/>
        </w:rPr>
        <w:t>资料收集和现场调查主要参考广西博环环境咨询服务有限公司经实践总结的《工业类建设项目环境影响评价作业指南（试行版）》（</w:t>
      </w:r>
      <w:r>
        <w:rPr>
          <w:rFonts w:hint="eastAsia" w:ascii="仿宋_GB2312" w:hAnsi="宋体" w:eastAsia="仿宋_GB2312"/>
          <w:kern w:val="2"/>
          <w:sz w:val="32"/>
          <w:szCs w:val="28"/>
        </w:rPr>
        <w:t>图7</w:t>
      </w:r>
      <w:r>
        <w:rPr>
          <w:rFonts w:hint="eastAsia" w:ascii="仿宋_GB2312" w:hAnsi="宋体" w:eastAsia="仿宋_GB2312"/>
          <w:kern w:val="2"/>
          <w:sz w:val="32"/>
          <w:szCs w:val="28"/>
          <w:lang w:val="zh-CN"/>
        </w:rPr>
        <w:t>）进行以及编制单位进行环境影响评价的经验编写。</w:t>
      </w:r>
      <w:r>
        <w:rPr>
          <w:rFonts w:hint="eastAsia" w:ascii="仿宋_GB2312" w:hAnsi="宋体" w:eastAsia="仿宋_GB2312"/>
          <w:kern w:val="2"/>
          <w:sz w:val="32"/>
          <w:szCs w:val="28"/>
        </w:rPr>
        <w:t>资料收集主要</w:t>
      </w:r>
      <w:r>
        <w:rPr>
          <w:rFonts w:hint="eastAsia" w:ascii="仿宋_GB2312" w:hAnsi="宋体" w:eastAsia="仿宋_GB2312"/>
          <w:kern w:val="2"/>
          <w:sz w:val="32"/>
          <w:szCs w:val="28"/>
          <w:lang w:val="zh-CN"/>
        </w:rPr>
        <w:t>通过网络、相</w:t>
      </w:r>
      <w:r>
        <w:rPr>
          <w:rFonts w:hint="eastAsia" w:ascii="仿宋_GB2312" w:hAnsi="宋体" w:eastAsia="仿宋_GB2312"/>
          <w:kern w:val="2"/>
          <w:sz w:val="32"/>
          <w:szCs w:val="28"/>
          <w:highlight w:val="none"/>
          <w:lang w:val="zh-CN"/>
        </w:rPr>
        <w:t>关部门等收集</w:t>
      </w:r>
      <w:r>
        <w:rPr>
          <w:rFonts w:hint="eastAsia" w:hAnsi="宋体" w:cs="宋体"/>
          <w:kern w:val="2"/>
          <w:sz w:val="32"/>
          <w:szCs w:val="28"/>
          <w:highlight w:val="none"/>
          <w:lang w:val="zh-CN"/>
        </w:rPr>
        <w:t>，</w:t>
      </w:r>
      <w:r>
        <w:rPr>
          <w:rFonts w:hint="eastAsia" w:ascii="仿宋_GB2312" w:hAnsi="宋体" w:eastAsia="仿宋_GB2312"/>
          <w:kern w:val="2"/>
          <w:sz w:val="32"/>
          <w:szCs w:val="28"/>
          <w:highlight w:val="none"/>
          <w:lang w:val="zh-CN"/>
        </w:rPr>
        <w:t>该方法应用范围广，收效大，比较节省人力、物力和时间，且可能取得长时间的历史资料。需核实资料的有效性与</w:t>
      </w:r>
      <w:r>
        <w:rPr>
          <w:rFonts w:hint="eastAsia" w:ascii="仿宋_GB2312" w:hAnsi="宋体" w:eastAsia="仿宋_GB2312"/>
          <w:kern w:val="2"/>
          <w:sz w:val="32"/>
          <w:szCs w:val="28"/>
          <w:highlight w:val="none"/>
          <w:lang w:val="en-US" w:eastAsia="zh-CN"/>
        </w:rPr>
        <w:t>即时性</w:t>
      </w:r>
      <w:r>
        <w:rPr>
          <w:rFonts w:hint="eastAsia" w:ascii="仿宋_GB2312" w:hAnsi="宋体" w:eastAsia="仿宋_GB2312"/>
          <w:kern w:val="2"/>
          <w:sz w:val="32"/>
          <w:szCs w:val="28"/>
          <w:highlight w:val="none"/>
          <w:lang w:val="zh-CN"/>
        </w:rPr>
        <w:t>，但此方法只能获得二手资料，往往不够全面，不能满足现状调查</w:t>
      </w:r>
      <w:r>
        <w:rPr>
          <w:rFonts w:hint="eastAsia" w:ascii="仿宋_GB2312" w:hAnsi="宋体" w:eastAsia="仿宋_GB2312"/>
          <w:kern w:val="2"/>
          <w:sz w:val="32"/>
          <w:szCs w:val="28"/>
          <w:lang w:val="zh-CN"/>
        </w:rPr>
        <w:t>的需要，需要其他方法加以补充。</w:t>
      </w:r>
      <w:r>
        <w:rPr>
          <w:rFonts w:hint="eastAsia" w:ascii="仿宋_GB2312" w:hAnsi="宋体" w:eastAsia="仿宋_GB2312"/>
          <w:kern w:val="2"/>
          <w:sz w:val="32"/>
          <w:szCs w:val="28"/>
        </w:rPr>
        <w:t>而现场调查</w:t>
      </w:r>
      <w:r>
        <w:rPr>
          <w:rFonts w:hint="eastAsia" w:ascii="仿宋_GB2312" w:hAnsi="宋体" w:eastAsia="仿宋_GB2312"/>
          <w:kern w:val="2"/>
          <w:sz w:val="32"/>
          <w:szCs w:val="28"/>
          <w:lang w:val="zh-CN"/>
        </w:rPr>
        <w:t>可以针对使用者的需要，直接获取第一手数据和资料，</w:t>
      </w:r>
      <w:r>
        <w:rPr>
          <w:rFonts w:hint="eastAsia" w:ascii="仿宋_GB2312" w:hAnsi="宋体" w:eastAsia="仿宋_GB2312"/>
          <w:kern w:val="2"/>
          <w:sz w:val="32"/>
          <w:szCs w:val="28"/>
          <w:highlight w:val="none"/>
          <w:lang w:val="zh-CN"/>
        </w:rPr>
        <w:t>以弥补</w:t>
      </w:r>
      <w:r>
        <w:rPr>
          <w:rFonts w:hint="eastAsia" w:hAnsi="宋体" w:cs="宋体"/>
          <w:kern w:val="2"/>
          <w:sz w:val="32"/>
          <w:szCs w:val="28"/>
          <w:highlight w:val="none"/>
          <w:lang w:val="zh-CN"/>
        </w:rPr>
        <w:t>资料收集法</w:t>
      </w:r>
      <w:r>
        <w:rPr>
          <w:rFonts w:hint="eastAsia" w:ascii="仿宋_GB2312" w:hAnsi="宋体" w:eastAsia="仿宋_GB2312"/>
          <w:kern w:val="2"/>
          <w:sz w:val="32"/>
          <w:szCs w:val="28"/>
          <w:highlight w:val="none"/>
          <w:lang w:val="zh-CN"/>
        </w:rPr>
        <w:t>的</w:t>
      </w:r>
      <w:r>
        <w:rPr>
          <w:rFonts w:hint="eastAsia" w:ascii="仿宋_GB2312" w:hAnsi="宋体" w:eastAsia="仿宋_GB2312"/>
          <w:kern w:val="2"/>
          <w:sz w:val="32"/>
          <w:szCs w:val="28"/>
          <w:lang w:val="zh-CN"/>
        </w:rPr>
        <w:t>不足。但该方法工作量大，需占用较多的人力、物力和时间，有时还可能受季节、仪器设备条件的限制。</w:t>
      </w:r>
      <w:r>
        <w:rPr>
          <w:rFonts w:hint="eastAsia" w:ascii="仿宋_GB2312" w:hAnsi="宋体" w:eastAsia="仿宋_GB2312"/>
          <w:kern w:val="2"/>
          <w:sz w:val="32"/>
          <w:szCs w:val="28"/>
        </w:rPr>
        <w:t>所以进行环境影响评价现状调查时，应采用两种方法相结合，保证现状调查的客观性。</w:t>
      </w:r>
    </w:p>
    <w:p>
      <w:pPr>
        <w:pStyle w:val="36"/>
        <w:numPr>
          <w:ilvl w:val="0"/>
          <w:numId w:val="0"/>
        </w:numPr>
        <w:jc w:val="center"/>
        <w:rPr>
          <w:rFonts w:ascii="Times New Roman" w:eastAsiaTheme="minorEastAsia"/>
          <w:snapToGrid w:val="0"/>
          <w:color w:val="000000"/>
          <w:w w:val="0"/>
          <w:sz w:val="0"/>
          <w:szCs w:val="0"/>
          <w:u w:color="000000"/>
          <w:shd w:val="clear" w:color="000000" w:fill="000000"/>
          <w:lang w:val="zh-CN" w:bidi="zh-CN"/>
        </w:rPr>
      </w:pPr>
    </w:p>
    <w:p>
      <w:pPr>
        <w:pStyle w:val="15"/>
        <w:ind w:firstLine="420"/>
        <w:rPr>
          <w:lang w:bidi="zh-CN"/>
        </w:rPr>
      </w:pPr>
      <w:r>
        <w:rPr>
          <w:rFonts w:hint="eastAsia"/>
          <w:lang w:bidi="zh-CN"/>
        </w:rPr>
        <w:t xml:space="preserve">                                                                                                                                                                                                                                                                                                                                                                                                                                                                                                         </w:t>
      </w:r>
    </w:p>
    <w:p>
      <w:pPr>
        <w:pStyle w:val="15"/>
        <w:ind w:firstLine="640"/>
        <w:rPr>
          <w:lang w:val="zh-CN" w:bidi="zh-CN"/>
        </w:rPr>
      </w:pPr>
      <w:r>
        <w:rPr>
          <w:rFonts w:ascii="仿宋_GB2312" w:hAnsi="宋体" w:eastAsia="仿宋_GB2312"/>
          <w:kern w:val="2"/>
          <w:sz w:val="32"/>
          <w:szCs w:val="28"/>
        </w:rPr>
        <w:drawing>
          <wp:anchor distT="0" distB="0" distL="114300" distR="114300" simplePos="0" relativeHeight="251660288" behindDoc="0" locked="0" layoutInCell="1" allowOverlap="1">
            <wp:simplePos x="0" y="0"/>
            <wp:positionH relativeFrom="column">
              <wp:posOffset>3055620</wp:posOffset>
            </wp:positionH>
            <wp:positionV relativeFrom="paragraph">
              <wp:posOffset>66675</wp:posOffset>
            </wp:positionV>
            <wp:extent cx="2459355" cy="3910330"/>
            <wp:effectExtent l="9525" t="9525" r="26670" b="23495"/>
            <wp:wrapNone/>
            <wp:docPr id="7" name="图片 7" descr="C:\Users\ADMINI~1\AppData\Local\Temp\165362426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1\AppData\Local\Temp\1653624260(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59355" cy="3910330"/>
                    </a:xfrm>
                    <a:prstGeom prst="rect">
                      <a:avLst/>
                    </a:prstGeom>
                    <a:noFill/>
                    <a:ln>
                      <a:solidFill>
                        <a:schemeClr val="accent1"/>
                      </a:solidFill>
                    </a:ln>
                  </pic:spPr>
                </pic:pic>
              </a:graphicData>
            </a:graphic>
          </wp:anchor>
        </w:drawing>
      </w:r>
      <w:r>
        <w:rPr>
          <w:rFonts w:ascii="仿宋_GB2312" w:hAnsi="宋体" w:eastAsia="仿宋_GB2312"/>
          <w:kern w:val="2"/>
          <w:sz w:val="32"/>
          <w:szCs w:val="28"/>
        </w:rPr>
        <w:drawing>
          <wp:anchor distT="0" distB="0" distL="114300" distR="114300" simplePos="0" relativeHeight="251659264" behindDoc="0" locked="0" layoutInCell="1" allowOverlap="1">
            <wp:simplePos x="0" y="0"/>
            <wp:positionH relativeFrom="column">
              <wp:posOffset>215265</wp:posOffset>
            </wp:positionH>
            <wp:positionV relativeFrom="paragraph">
              <wp:posOffset>60960</wp:posOffset>
            </wp:positionV>
            <wp:extent cx="2788285" cy="3916045"/>
            <wp:effectExtent l="9525" t="9525" r="21590" b="17780"/>
            <wp:wrapNone/>
            <wp:docPr id="6" name="图片 6" descr="C:\Users\ADMINI~1\AppData\Local\Temp\16536242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1653624219(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788285" cy="3916045"/>
                    </a:xfrm>
                    <a:prstGeom prst="rect">
                      <a:avLst/>
                    </a:prstGeom>
                    <a:noFill/>
                    <a:ln>
                      <a:solidFill>
                        <a:schemeClr val="accent1"/>
                      </a:solidFill>
                    </a:ln>
                  </pic:spPr>
                </pic:pic>
              </a:graphicData>
            </a:graphic>
          </wp:anchor>
        </w:drawing>
      </w:r>
    </w:p>
    <w:p>
      <w:pPr>
        <w:pStyle w:val="15"/>
        <w:ind w:firstLine="420"/>
        <w:rPr>
          <w:lang w:val="zh-CN" w:bidi="zh-CN"/>
        </w:rPr>
      </w:pPr>
    </w:p>
    <w:p>
      <w:pPr>
        <w:pStyle w:val="15"/>
        <w:ind w:firstLine="420"/>
        <w:rPr>
          <w:lang w:val="zh-CN" w:bidi="zh-CN"/>
        </w:rPr>
      </w:pPr>
    </w:p>
    <w:p>
      <w:pPr>
        <w:pStyle w:val="15"/>
        <w:ind w:firstLine="420"/>
        <w:rPr>
          <w:lang w:val="zh-CN" w:bidi="zh-CN"/>
        </w:rPr>
      </w:pPr>
    </w:p>
    <w:p>
      <w:pPr>
        <w:pStyle w:val="15"/>
        <w:ind w:firstLine="420"/>
        <w:rPr>
          <w:lang w:val="zh-CN" w:bidi="zh-CN"/>
        </w:rPr>
      </w:pPr>
    </w:p>
    <w:p>
      <w:pPr>
        <w:pStyle w:val="36"/>
        <w:numPr>
          <w:ilvl w:val="0"/>
          <w:numId w:val="0"/>
        </w:numPr>
        <w:jc w:val="center"/>
        <w:rPr>
          <w:rFonts w:ascii="Times New Roman" w:eastAsiaTheme="minorEastAsia"/>
          <w:snapToGrid w:val="0"/>
          <w:color w:val="000000"/>
          <w:w w:val="0"/>
          <w:sz w:val="0"/>
          <w:szCs w:val="0"/>
          <w:u w:color="000000"/>
          <w:shd w:val="clear" w:color="000000" w:fill="000000"/>
          <w:lang w:val="zh-CN" w:bidi="zh-CN"/>
        </w:rPr>
      </w:pPr>
    </w:p>
    <w:p>
      <w:pPr>
        <w:pStyle w:val="36"/>
        <w:numPr>
          <w:ilvl w:val="0"/>
          <w:numId w:val="0"/>
        </w:numPr>
        <w:jc w:val="center"/>
        <w:rPr>
          <w:rFonts w:ascii="仿宋_GB2312" w:hAnsi="宋体" w:eastAsia="仿宋_GB2312"/>
          <w:kern w:val="2"/>
          <w:sz w:val="32"/>
          <w:szCs w:val="28"/>
        </w:rPr>
      </w:pPr>
      <w:r>
        <w:rPr>
          <w:rFonts w:ascii="Times New Roman" w:eastAsia="Times New Roman"/>
          <w:snapToGrid w:val="0"/>
          <w:color w:val="000000"/>
          <w:w w:val="0"/>
          <w:sz w:val="0"/>
          <w:szCs w:val="0"/>
          <w:u w:color="000000"/>
          <w:shd w:val="clear" w:color="000000" w:fill="000000"/>
          <w:lang w:val="zh-CN" w:bidi="zh-CN"/>
        </w:rPr>
        <w:t xml:space="preserve"> </w:t>
      </w:r>
    </w:p>
    <w:p>
      <w:pPr>
        <w:pStyle w:val="36"/>
        <w:numPr>
          <w:ilvl w:val="0"/>
          <w:numId w:val="0"/>
        </w:numPr>
        <w:jc w:val="center"/>
        <w:rPr>
          <w:rFonts w:ascii="仿宋_GB2312" w:hAnsi="宋体" w:eastAsia="仿宋_GB2312"/>
          <w:kern w:val="2"/>
          <w:sz w:val="32"/>
          <w:szCs w:val="28"/>
        </w:rPr>
      </w:pPr>
    </w:p>
    <w:p>
      <w:pPr>
        <w:pStyle w:val="36"/>
        <w:numPr>
          <w:ilvl w:val="0"/>
          <w:numId w:val="0"/>
        </w:numPr>
        <w:jc w:val="center"/>
        <w:rPr>
          <w:rFonts w:ascii="仿宋_GB2312" w:hAnsi="宋体" w:eastAsia="仿宋_GB2312"/>
          <w:kern w:val="2"/>
          <w:sz w:val="32"/>
          <w:szCs w:val="28"/>
        </w:rPr>
      </w:pPr>
    </w:p>
    <w:p>
      <w:pPr>
        <w:pStyle w:val="36"/>
        <w:numPr>
          <w:ilvl w:val="0"/>
          <w:numId w:val="0"/>
        </w:numPr>
        <w:jc w:val="center"/>
        <w:rPr>
          <w:rFonts w:ascii="仿宋_GB2312" w:hAnsi="宋体" w:eastAsia="仿宋_GB2312"/>
          <w:kern w:val="2"/>
          <w:sz w:val="32"/>
          <w:szCs w:val="28"/>
        </w:rPr>
      </w:pPr>
    </w:p>
    <w:p>
      <w:pPr>
        <w:pStyle w:val="36"/>
        <w:numPr>
          <w:ilvl w:val="0"/>
          <w:numId w:val="0"/>
        </w:numPr>
        <w:jc w:val="center"/>
        <w:rPr>
          <w:rFonts w:ascii="仿宋_GB2312" w:hAnsi="宋体" w:eastAsia="仿宋_GB2312"/>
          <w:kern w:val="2"/>
          <w:sz w:val="32"/>
          <w:szCs w:val="28"/>
        </w:rPr>
      </w:pPr>
    </w:p>
    <w:p>
      <w:pPr>
        <w:pStyle w:val="36"/>
        <w:numPr>
          <w:ilvl w:val="0"/>
          <w:numId w:val="0"/>
        </w:numPr>
        <w:jc w:val="center"/>
        <w:rPr>
          <w:rFonts w:ascii="仿宋_GB2312" w:hAnsi="宋体" w:eastAsia="仿宋_GB2312"/>
          <w:kern w:val="2"/>
          <w:sz w:val="32"/>
          <w:szCs w:val="28"/>
        </w:rPr>
      </w:pPr>
    </w:p>
    <w:p>
      <w:pPr>
        <w:pStyle w:val="36"/>
        <w:numPr>
          <w:ilvl w:val="0"/>
          <w:numId w:val="0"/>
        </w:numPr>
        <w:jc w:val="center"/>
        <w:rPr>
          <w:rFonts w:ascii="仿宋_GB2312" w:hAnsi="宋体" w:eastAsia="仿宋_GB2312"/>
          <w:kern w:val="2"/>
          <w:sz w:val="32"/>
          <w:szCs w:val="28"/>
        </w:rPr>
      </w:pPr>
    </w:p>
    <w:p>
      <w:pPr>
        <w:pStyle w:val="15"/>
        <w:ind w:firstLine="422"/>
        <w:jc w:val="center"/>
        <w:rPr>
          <w:rFonts w:ascii="仿宋_GB2312" w:hAnsi="宋体" w:eastAsia="仿宋_GB2312"/>
          <w:kern w:val="2"/>
          <w:sz w:val="32"/>
          <w:szCs w:val="28"/>
          <w:lang w:val="zh-CN"/>
        </w:rPr>
      </w:pPr>
      <w:r>
        <w:rPr>
          <w:rFonts w:hint="eastAsia"/>
          <w:b/>
          <w:bCs/>
          <w:szCs w:val="22"/>
        </w:rPr>
        <w:t xml:space="preserve">图7  </w:t>
      </w:r>
      <w:r>
        <w:rPr>
          <w:rFonts w:hint="eastAsia"/>
          <w:b/>
          <w:bCs/>
          <w:szCs w:val="22"/>
          <w:lang w:val="zh-CN"/>
        </w:rPr>
        <w:t>《工业类建设项目环境影响评价作业指南（试行版）》</w:t>
      </w:r>
    </w:p>
    <w:p>
      <w:pPr>
        <w:pStyle w:val="15"/>
        <w:numPr>
          <w:ilvl w:val="0"/>
          <w:numId w:val="6"/>
        </w:numPr>
        <w:spacing w:line="560" w:lineRule="exact"/>
        <w:ind w:firstLineChars="0"/>
        <w:rPr>
          <w:rFonts w:ascii="仿宋_GB2312" w:hAnsi="宋体" w:eastAsia="仿宋_GB2312"/>
          <w:kern w:val="2"/>
          <w:sz w:val="32"/>
          <w:szCs w:val="28"/>
          <w:lang w:val="zh-CN"/>
        </w:rPr>
      </w:pPr>
      <w:r>
        <w:rPr>
          <w:rFonts w:hint="eastAsia" w:ascii="仿宋_GB2312" w:hAnsi="宋体" w:eastAsia="仿宋_GB2312"/>
          <w:kern w:val="2"/>
          <w:sz w:val="32"/>
          <w:szCs w:val="28"/>
          <w:lang w:val="zh-CN"/>
        </w:rPr>
        <w:t>资料收集:</w:t>
      </w:r>
    </w:p>
    <w:p>
      <w:pPr>
        <w:pStyle w:val="15"/>
        <w:spacing w:line="560" w:lineRule="exact"/>
        <w:ind w:firstLine="640"/>
        <w:rPr>
          <w:rFonts w:ascii="仿宋_GB2312" w:hAnsi="宋体" w:eastAsia="仿宋_GB2312"/>
          <w:kern w:val="2"/>
          <w:sz w:val="32"/>
          <w:szCs w:val="28"/>
        </w:rPr>
      </w:pPr>
      <w:r>
        <w:rPr>
          <w:rFonts w:hint="eastAsia" w:ascii="仿宋_GB2312" w:hAnsi="宋体" w:eastAsia="仿宋_GB2312"/>
          <w:kern w:val="2"/>
          <w:sz w:val="32"/>
          <w:szCs w:val="28"/>
        </w:rPr>
        <w:t>根据《中华人民共和国环境影响评价法》、《环境影响评价公众参与暂行办法》等，建设单位在与环境影响评价单位签订咨询服务合同后需在7个工作日内出具委托书委托环境影响评价单位开展相关工作。项目备案证明/核准文件、项目可行性研究报告是环境影响评价单位开展项目环境影响评价工作的主要依据，具体评价内容不得超过项目备案证明/核准文件中建设内容。收集的内容主要根据HJ 2.1-2016《建设项目环境影响评价技术导则  总纲》、HJ 2.2-2018《环境影响评价技术导则  大气环境（修订版）》、HJ 2.3—2018环境影响评价技术导则  地表水环境《》、HJ 610—2016《环境影响评价技术导则  地下水环境》、HJ 964—2018《环境影响评价技术导则  土壤环境（试行）》等环境质量现状调查内容的要求，项目需收集环保部门、规划部门、园区管委等部门资料。</w:t>
      </w:r>
    </w:p>
    <w:p>
      <w:pPr>
        <w:pStyle w:val="15"/>
        <w:spacing w:line="560" w:lineRule="exact"/>
        <w:ind w:firstLine="640"/>
        <w:rPr>
          <w:rFonts w:ascii="仿宋_GB2312" w:hAnsi="宋体" w:eastAsia="仿宋_GB2312"/>
          <w:kern w:val="2"/>
          <w:sz w:val="32"/>
          <w:szCs w:val="28"/>
          <w:lang w:val="zh-CN"/>
        </w:rPr>
      </w:pPr>
      <w:r>
        <w:rPr>
          <w:rFonts w:hint="eastAsia" w:ascii="仿宋_GB2312" w:hAnsi="宋体" w:eastAsia="仿宋_GB2312"/>
          <w:kern w:val="2"/>
          <w:sz w:val="32"/>
          <w:szCs w:val="28"/>
          <w:lang w:val="zh-CN"/>
        </w:rPr>
        <w:t>收集包括资料清单</w:t>
      </w:r>
      <w:r>
        <w:rPr>
          <w:rFonts w:hint="eastAsia" w:ascii="仿宋_GB2312" w:hAnsi="宋体" w:eastAsia="仿宋_GB2312"/>
          <w:kern w:val="2"/>
          <w:sz w:val="32"/>
          <w:szCs w:val="28"/>
        </w:rPr>
        <w:t>的</w:t>
      </w:r>
      <w:r>
        <w:rPr>
          <w:rFonts w:hint="eastAsia" w:ascii="仿宋_GB2312" w:hAnsi="宋体" w:eastAsia="仿宋_GB2312"/>
          <w:kern w:val="2"/>
          <w:sz w:val="32"/>
          <w:szCs w:val="28"/>
          <w:lang w:val="zh-CN"/>
        </w:rPr>
        <w:t>内容：</w:t>
      </w:r>
    </w:p>
    <w:p>
      <w:pPr>
        <w:pStyle w:val="15"/>
        <w:spacing w:line="560" w:lineRule="exact"/>
        <w:ind w:firstLine="562"/>
        <w:jc w:val="center"/>
        <w:rPr>
          <w:rFonts w:ascii="仿宋_GB2312" w:hAnsi="宋体" w:eastAsia="仿宋_GB2312"/>
          <w:b/>
          <w:bCs/>
          <w:kern w:val="2"/>
          <w:sz w:val="28"/>
          <w:szCs w:val="28"/>
        </w:rPr>
      </w:pPr>
      <w:r>
        <w:rPr>
          <w:rFonts w:hint="eastAsia" w:ascii="仿宋_GB2312" w:hAnsi="宋体" w:eastAsia="仿宋_GB2312"/>
          <w:b/>
          <w:bCs/>
          <w:kern w:val="2"/>
          <w:sz w:val="28"/>
          <w:szCs w:val="28"/>
        </w:rPr>
        <w:t>表1  资料清单核对表</w:t>
      </w:r>
    </w:p>
    <w:tbl>
      <w:tblPr>
        <w:tblStyle w:val="9"/>
        <w:tblpPr w:leftFromText="180" w:rightFromText="180" w:vertAnchor="text" w:horzAnchor="page" w:tblpX="1686" w:tblpY="545"/>
        <w:tblOverlap w:val="never"/>
        <w:tblW w:w="873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1702"/>
        <w:gridCol w:w="2409"/>
        <w:gridCol w:w="1843"/>
        <w:gridCol w:w="16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5229" w:type="dxa"/>
            <w:gridSpan w:val="3"/>
            <w:tcBorders>
              <w:top w:val="single" w:color="auto" w:sz="12" w:space="0"/>
              <w:left w:val="single" w:color="auto" w:sz="12"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项目</w:t>
            </w:r>
          </w:p>
        </w:tc>
        <w:tc>
          <w:tcPr>
            <w:tcW w:w="1843" w:type="dxa"/>
            <w:tcBorders>
              <w:top w:val="single" w:color="auto" w:sz="12"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电子版/纸质版</w:t>
            </w:r>
          </w:p>
        </w:tc>
        <w:tc>
          <w:tcPr>
            <w:tcW w:w="1667" w:type="dxa"/>
            <w:tcBorders>
              <w:top w:val="single" w:color="auto" w:sz="12"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r>
              <w:rPr>
                <w:rFonts w:hint="eastAsia" w:ascii="宋体" w:cs="宋体" w:hAnsiTheme="minorHAnsi" w:eastAsiaTheme="minorEastAsia"/>
                <w:kern w:val="0"/>
                <w:szCs w:val="20"/>
                <w:lang w:bidi="ar"/>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118" w:type="dxa"/>
            <w:vMerge w:val="restart"/>
            <w:tcBorders>
              <w:top w:val="single" w:color="auto" w:sz="4" w:space="0"/>
              <w:left w:val="single" w:color="auto" w:sz="12"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业主单位提供的资料</w:t>
            </w: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委托书</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项目可行性研究报告或项目建议书（文本和附图附件电子版）</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项目立项相关文件</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17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公司其它相同规模生产线</w:t>
            </w:r>
          </w:p>
        </w:tc>
        <w:tc>
          <w:tcPr>
            <w:tcW w:w="240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环评报告</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240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竣工验收报告</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240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污染源监测报告</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17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现有生产线</w:t>
            </w:r>
          </w:p>
        </w:tc>
        <w:tc>
          <w:tcPr>
            <w:tcW w:w="240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环评报告及批文</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240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排污许可证（正副本）</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240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竣工验收报告及批文（技改项目）</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240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监督性监测与在线监测数据</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240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清洁生产审核报告</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240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现有环保制度文件、环境应急预案等</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涉及排放有毒有害或难降解污染物的企业，需提供原材料成分检验单、废渣有毒浸出实验相关检测资料</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水文地质勘察报告、气象资料等</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1118" w:type="dxa"/>
            <w:vMerge w:val="restart"/>
            <w:tcBorders>
              <w:top w:val="single" w:color="auto" w:sz="4" w:space="0"/>
              <w:left w:val="single" w:color="auto" w:sz="12"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收集环保部门的资料</w:t>
            </w: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评价范围饮用水</w:t>
            </w:r>
            <w:r>
              <w:rPr>
                <w:rFonts w:hint="eastAsia" w:ascii="Calibri" w:hAnsi="Calibri" w:cs="宋体" w:eastAsiaTheme="minorEastAsia"/>
                <w:szCs w:val="21"/>
                <w:lang w:bidi="ar"/>
              </w:rPr>
              <w:t>水源</w:t>
            </w:r>
            <w:r>
              <w:rPr>
                <w:rFonts w:hint="eastAsia" w:ascii="宋体" w:cs="宋体" w:hAnsiTheme="minorHAnsi" w:eastAsiaTheme="minorEastAsia"/>
                <w:kern w:val="0"/>
                <w:szCs w:val="20"/>
                <w:lang w:bidi="ar"/>
              </w:rPr>
              <w:t>保护区、风景名胜区、自然保护区、生态保护红线等的文本和相关图件</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环境功能区划（水、气、声、生态）</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当地环保规划等指导性生态环保政策文件</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宋体" w:cs="宋体" w:hAnsiTheme="minorHAnsi" w:eastAsiaTheme="minorEastAsia"/>
                <w:color w:val="5B9BD5"/>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评价区域污染源的排污数据</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Theme="minorHAnsi" w:hAnsiTheme="minorHAnsi" w:eastAsiaTheme="minorEastAsia" w:cstheme="minorBidi"/>
                <w:kern w:val="0"/>
                <w:sz w:val="24"/>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Theme="minorHAnsi" w:hAnsiTheme="minorHAnsi" w:eastAsiaTheme="minorEastAsia" w:cstheme="minorBidi"/>
                <w:color w:val="5B9BD5"/>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现有项目是否有环保投诉及环保问题（技改/改扩建项目）</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Theme="minorHAnsi" w:hAnsiTheme="minorHAnsi" w:eastAsiaTheme="minorEastAsia" w:cstheme="minorBidi"/>
                <w:kern w:val="0"/>
                <w:sz w:val="24"/>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Theme="minorHAnsi" w:hAnsiTheme="minorHAnsi" w:eastAsiaTheme="minorEastAsia" w:cstheme="minorBidi"/>
                <w:color w:val="5B9BD5"/>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园区规划环评报告及审查意见（在园区的项目）等</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Theme="minorHAnsi" w:hAnsiTheme="minorHAnsi" w:eastAsiaTheme="minorEastAsia" w:cstheme="minorBidi"/>
                <w:kern w:val="0"/>
                <w:sz w:val="24"/>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Theme="minorHAnsi" w:hAnsiTheme="minorHAnsi" w:eastAsiaTheme="minorEastAsia" w:cstheme="minorBidi"/>
                <w:color w:val="5B9BD5"/>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118" w:type="dxa"/>
            <w:vMerge w:val="restart"/>
            <w:tcBorders>
              <w:top w:val="single" w:color="auto" w:sz="4" w:space="0"/>
              <w:left w:val="single" w:color="auto" w:sz="12"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收集规划部门的资料</w:t>
            </w: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总体规划文本和相关图件</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Theme="minorHAnsi" w:hAnsiTheme="minorHAnsi" w:eastAsiaTheme="minorEastAsia" w:cstheme="minorBidi"/>
                <w:kern w:val="0"/>
                <w:sz w:val="24"/>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Theme="minorHAnsi" w:hAnsiTheme="minorHAnsi" w:eastAsiaTheme="minorEastAsia" w:cstheme="minorBidi"/>
                <w:color w:val="5B9BD5"/>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项目选址意见书</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Theme="minorHAnsi" w:hAnsiTheme="minorHAnsi" w:eastAsiaTheme="minorEastAsia" w:cstheme="minorBidi"/>
                <w:kern w:val="0"/>
                <w:sz w:val="24"/>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Theme="minorHAnsi" w:hAnsiTheme="minorHAnsi" w:eastAsiaTheme="minorEastAsia" w:cstheme="minorBidi"/>
                <w:color w:val="5B9BD5"/>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18" w:type="dxa"/>
            <w:vMerge w:val="restart"/>
            <w:tcBorders>
              <w:top w:val="single" w:color="auto" w:sz="4" w:space="0"/>
              <w:left w:val="single" w:color="auto" w:sz="12"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收集园区管委会的资料</w:t>
            </w: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园区规划文本和相关图件</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Theme="minorHAnsi" w:hAnsiTheme="minorHAnsi" w:eastAsiaTheme="minorEastAsia" w:cstheme="minorBidi"/>
                <w:kern w:val="0"/>
                <w:sz w:val="24"/>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Theme="minorHAnsi" w:hAnsiTheme="minorHAnsi" w:eastAsiaTheme="minorEastAsia" w:cstheme="minorBidi"/>
                <w:color w:val="5B9BD5"/>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入驻企业情况（主要企业名称、产品、规模，园区主要企业分布图）</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Theme="minorHAnsi" w:hAnsiTheme="minorHAnsi" w:eastAsiaTheme="minorEastAsia" w:cstheme="minorBidi"/>
                <w:kern w:val="0"/>
                <w:sz w:val="24"/>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Theme="minorHAnsi" w:hAnsiTheme="minorHAnsi" w:eastAsiaTheme="minorEastAsia" w:cstheme="minorBidi"/>
                <w:color w:val="5B9BD5"/>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园区环保基础设施建设情况（污水处理厂环评及批复等）</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Theme="minorHAnsi" w:hAnsiTheme="minorHAnsi" w:eastAsiaTheme="minorEastAsia" w:cstheme="minorBidi"/>
                <w:kern w:val="0"/>
                <w:sz w:val="24"/>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Theme="minorHAnsi" w:hAnsiTheme="minorHAnsi" w:eastAsiaTheme="minorEastAsia" w:cstheme="minorBidi"/>
                <w:color w:val="5B9BD5"/>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118"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园区管委会同意项目入园的相关证明函件（根据具体项目需要）</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Theme="minorHAnsi" w:hAnsiTheme="minorHAnsi" w:eastAsiaTheme="minorEastAsia" w:cstheme="minorBidi"/>
                <w:kern w:val="0"/>
                <w:sz w:val="24"/>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Theme="minorHAnsi" w:hAnsiTheme="minorHAnsi" w:eastAsiaTheme="minorEastAsia" w:cstheme="minorBidi"/>
                <w:color w:val="5B9BD5"/>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118" w:type="dxa"/>
            <w:vMerge w:val="restart"/>
            <w:tcBorders>
              <w:top w:val="single" w:color="auto" w:sz="4" w:space="0"/>
              <w:left w:val="single" w:color="auto" w:sz="12" w:space="0"/>
              <w:bottom w:val="single" w:color="auto" w:sz="12"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收集根据项目的特点需要提供的其它材料</w:t>
            </w: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相关政府部门出具的同意项目建设的函（涉及环境敏感的项目）</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Theme="minorHAnsi" w:hAnsiTheme="minorHAnsi" w:eastAsiaTheme="minorEastAsia" w:cstheme="minorBidi"/>
                <w:kern w:val="0"/>
                <w:sz w:val="24"/>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Theme="minorHAnsi" w:hAnsiTheme="minorHAnsi" w:eastAsiaTheme="minorEastAsia" w:cstheme="minorBidi"/>
                <w:color w:val="5B9BD5"/>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118" w:type="dxa"/>
            <w:vMerge w:val="continue"/>
            <w:tcBorders>
              <w:top w:val="single" w:color="auto" w:sz="4" w:space="0"/>
              <w:left w:val="single" w:color="auto" w:sz="12" w:space="0"/>
              <w:bottom w:val="single" w:color="auto" w:sz="12"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产业政策主管部门的确认文件（产业政策模糊的项目）</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Theme="minorHAnsi" w:hAnsiTheme="minorHAnsi" w:eastAsiaTheme="minorEastAsia" w:cstheme="minorBidi"/>
                <w:kern w:val="0"/>
                <w:sz w:val="24"/>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Theme="minorHAnsi" w:hAnsiTheme="minorHAnsi" w:eastAsiaTheme="minorEastAsia" w:cstheme="minorBidi"/>
                <w:color w:val="5B9BD5"/>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118" w:type="dxa"/>
            <w:vMerge w:val="continue"/>
            <w:tcBorders>
              <w:top w:val="single" w:color="auto" w:sz="4" w:space="0"/>
              <w:left w:val="single" w:color="auto" w:sz="12" w:space="0"/>
              <w:bottom w:val="single" w:color="auto" w:sz="12"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污水接收证明</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Theme="minorHAnsi" w:hAnsiTheme="minorHAnsi" w:eastAsiaTheme="minorEastAsia" w:cstheme="minorBidi"/>
                <w:kern w:val="0"/>
                <w:sz w:val="24"/>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Theme="minorHAnsi" w:hAnsiTheme="minorHAnsi" w:eastAsiaTheme="minorEastAsia" w:cstheme="minorBidi"/>
                <w:color w:val="5B9BD5"/>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18" w:type="dxa"/>
            <w:vMerge w:val="continue"/>
            <w:tcBorders>
              <w:top w:val="single" w:color="auto" w:sz="4" w:space="0"/>
              <w:left w:val="single" w:color="auto" w:sz="12" w:space="0"/>
              <w:bottom w:val="single" w:color="auto" w:sz="12"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公用管网协议</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rPr>
                <w:rFonts w:asciiTheme="minorHAnsi" w:hAnsiTheme="minorHAnsi" w:eastAsiaTheme="minorEastAsia" w:cstheme="minorBidi"/>
                <w:kern w:val="0"/>
                <w:sz w:val="24"/>
              </w:rPr>
            </w:pPr>
          </w:p>
        </w:tc>
        <w:tc>
          <w:tcPr>
            <w:tcW w:w="1667" w:type="dxa"/>
            <w:tcBorders>
              <w:top w:val="single" w:color="auto" w:sz="4" w:space="0"/>
              <w:left w:val="single" w:color="auto" w:sz="4" w:space="0"/>
              <w:bottom w:val="single" w:color="auto" w:sz="4" w:space="0"/>
              <w:right w:val="single" w:color="auto" w:sz="12" w:space="0"/>
            </w:tcBorders>
            <w:shd w:val="clear" w:color="auto" w:fill="auto"/>
            <w:vAlign w:val="center"/>
          </w:tcPr>
          <w:p>
            <w:pPr>
              <w:adjustRightInd w:val="0"/>
              <w:jc w:val="center"/>
              <w:rPr>
                <w:rFonts w:asciiTheme="minorHAnsi" w:hAnsiTheme="minorHAnsi" w:eastAsiaTheme="minorEastAsia" w:cstheme="minorBidi"/>
                <w:color w:val="5B9BD5"/>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118" w:type="dxa"/>
            <w:vMerge w:val="continue"/>
            <w:tcBorders>
              <w:top w:val="single" w:color="auto" w:sz="4" w:space="0"/>
              <w:left w:val="single" w:color="auto" w:sz="12" w:space="0"/>
              <w:bottom w:val="single" w:color="auto" w:sz="12" w:space="0"/>
              <w:right w:val="single" w:color="auto" w:sz="4" w:space="0"/>
            </w:tcBorders>
            <w:shd w:val="clear" w:color="auto" w:fill="auto"/>
            <w:vAlign w:val="center"/>
          </w:tcPr>
          <w:p>
            <w:pPr>
              <w:rPr>
                <w:rFonts w:ascii="Calibri" w:hAnsi="Calibri" w:eastAsiaTheme="minorEastAsia" w:cstheme="minorBidi"/>
                <w:sz w:val="20"/>
                <w:szCs w:val="20"/>
              </w:rPr>
            </w:pPr>
          </w:p>
        </w:tc>
        <w:tc>
          <w:tcPr>
            <w:tcW w:w="4111"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adjustRightInd w:val="0"/>
              <w:jc w:val="center"/>
              <w:rPr>
                <w:rFonts w:ascii="宋体" w:cs="宋体" w:hAnsiTheme="minorHAnsi" w:eastAsiaTheme="minorEastAsia"/>
                <w:kern w:val="0"/>
                <w:szCs w:val="20"/>
              </w:rPr>
            </w:pPr>
            <w:r>
              <w:rPr>
                <w:rFonts w:hint="eastAsia" w:ascii="宋体" w:cs="宋体" w:hAnsiTheme="minorHAnsi" w:eastAsiaTheme="minorEastAsia"/>
                <w:kern w:val="0"/>
                <w:szCs w:val="20"/>
                <w:lang w:bidi="ar"/>
              </w:rPr>
              <w:t>供热协议</w:t>
            </w:r>
          </w:p>
        </w:tc>
        <w:tc>
          <w:tcPr>
            <w:tcW w:w="1843" w:type="dxa"/>
            <w:tcBorders>
              <w:top w:val="single" w:color="auto" w:sz="4" w:space="0"/>
              <w:left w:val="single" w:color="auto" w:sz="4" w:space="0"/>
              <w:bottom w:val="single" w:color="auto" w:sz="12" w:space="0"/>
              <w:right w:val="single" w:color="auto" w:sz="4" w:space="0"/>
            </w:tcBorders>
            <w:shd w:val="clear" w:color="auto" w:fill="auto"/>
            <w:vAlign w:val="center"/>
          </w:tcPr>
          <w:p>
            <w:pPr>
              <w:adjustRightInd w:val="0"/>
              <w:jc w:val="center"/>
              <w:rPr>
                <w:rFonts w:asciiTheme="minorHAnsi" w:hAnsiTheme="minorHAnsi" w:eastAsiaTheme="minorEastAsia" w:cstheme="minorBidi"/>
                <w:kern w:val="0"/>
                <w:sz w:val="24"/>
              </w:rPr>
            </w:pPr>
          </w:p>
        </w:tc>
        <w:tc>
          <w:tcPr>
            <w:tcW w:w="1667" w:type="dxa"/>
            <w:tcBorders>
              <w:top w:val="single" w:color="auto" w:sz="4" w:space="0"/>
              <w:left w:val="single" w:color="auto" w:sz="4" w:space="0"/>
              <w:bottom w:val="single" w:color="auto" w:sz="12" w:space="0"/>
              <w:right w:val="single" w:color="auto" w:sz="12" w:space="0"/>
            </w:tcBorders>
            <w:shd w:val="clear" w:color="auto" w:fill="auto"/>
            <w:vAlign w:val="center"/>
          </w:tcPr>
          <w:p>
            <w:pPr>
              <w:adjustRightInd w:val="0"/>
              <w:jc w:val="center"/>
              <w:rPr>
                <w:rFonts w:asciiTheme="minorHAnsi" w:hAnsiTheme="minorHAnsi" w:eastAsiaTheme="minorEastAsia" w:cstheme="minorBidi"/>
                <w:color w:val="5B9BD5"/>
                <w:kern w:val="0"/>
                <w:sz w:val="24"/>
              </w:rPr>
            </w:pPr>
          </w:p>
        </w:tc>
      </w:tr>
    </w:tbl>
    <w:p>
      <w:pPr>
        <w:pStyle w:val="15"/>
        <w:numPr>
          <w:ilvl w:val="0"/>
          <w:numId w:val="6"/>
        </w:numPr>
        <w:spacing w:line="560" w:lineRule="exact"/>
        <w:ind w:firstLineChars="0"/>
        <w:rPr>
          <w:rFonts w:ascii="仿宋_GB2312" w:hAnsi="宋体" w:eastAsia="仿宋_GB2312"/>
          <w:kern w:val="2"/>
          <w:sz w:val="32"/>
          <w:szCs w:val="28"/>
          <w:lang w:val="zh-CN"/>
        </w:rPr>
      </w:pPr>
      <w:r>
        <w:rPr>
          <w:rFonts w:hint="eastAsia" w:ascii="仿宋_GB2312" w:hAnsi="宋体" w:eastAsia="仿宋_GB2312"/>
          <w:kern w:val="2"/>
          <w:sz w:val="32"/>
          <w:szCs w:val="28"/>
          <w:lang w:val="zh-CN"/>
        </w:rPr>
        <w:t>现场调查</w:t>
      </w:r>
    </w:p>
    <w:p>
      <w:pPr>
        <w:pStyle w:val="15"/>
        <w:ind w:firstLine="640"/>
        <w:rPr>
          <w:rFonts w:hint="eastAsia" w:ascii="仿宋_GB2312" w:hAnsi="宋体" w:eastAsia="仿宋_GB2312"/>
          <w:kern w:val="2"/>
          <w:sz w:val="32"/>
          <w:szCs w:val="28"/>
        </w:rPr>
      </w:pPr>
      <w:r>
        <w:rPr>
          <w:rFonts w:hint="eastAsia" w:ascii="仿宋_GB2312" w:hAnsi="宋体" w:eastAsia="仿宋_GB2312"/>
          <w:kern w:val="2"/>
          <w:sz w:val="32"/>
          <w:szCs w:val="28"/>
        </w:rPr>
        <w:t>包括项目场地调查、依托基础设施调查、评价范围环境保护目标及环境状况调查、评价范围的污染源调查。现场调查可直接获取第一手材料，可</w:t>
      </w:r>
      <w:r>
        <w:rPr>
          <w:rFonts w:hint="eastAsia" w:ascii="仿宋_GB2312" w:hAnsi="宋体" w:eastAsia="仿宋_GB2312"/>
          <w:kern w:val="2"/>
          <w:sz w:val="32"/>
          <w:szCs w:val="28"/>
          <w:highlight w:val="none"/>
        </w:rPr>
        <w:t>弥补</w:t>
      </w:r>
      <w:r>
        <w:rPr>
          <w:rFonts w:hint="eastAsia" w:hAnsi="宋体" w:cs="宋体"/>
          <w:kern w:val="2"/>
          <w:sz w:val="32"/>
          <w:szCs w:val="28"/>
          <w:highlight w:val="none"/>
        </w:rPr>
        <w:t>资料收集法</w:t>
      </w:r>
      <w:r>
        <w:rPr>
          <w:rFonts w:hint="eastAsia" w:ascii="仿宋_GB2312" w:hAnsi="宋体" w:eastAsia="仿宋_GB2312"/>
          <w:kern w:val="2"/>
          <w:sz w:val="32"/>
          <w:szCs w:val="28"/>
          <w:highlight w:val="none"/>
        </w:rPr>
        <w:t>的</w:t>
      </w:r>
      <w:r>
        <w:rPr>
          <w:rFonts w:hint="eastAsia" w:ascii="仿宋_GB2312" w:hAnsi="宋体" w:eastAsia="仿宋_GB2312"/>
          <w:kern w:val="2"/>
          <w:sz w:val="32"/>
          <w:szCs w:val="28"/>
        </w:rPr>
        <w:t>不足。</w:t>
      </w:r>
    </w:p>
    <w:p>
      <w:pPr>
        <w:pStyle w:val="15"/>
        <w:ind w:firstLine="640"/>
        <w:rPr>
          <w:rFonts w:ascii="仿宋_GB2312" w:hAnsi="宋体" w:eastAsia="仿宋_GB2312"/>
          <w:color w:val="FF0000"/>
          <w:kern w:val="2"/>
          <w:sz w:val="32"/>
          <w:szCs w:val="28"/>
        </w:rPr>
      </w:pPr>
      <w:r>
        <w:rPr>
          <w:rFonts w:hint="eastAsia" w:ascii="仿宋_GB2312" w:hAnsi="宋体" w:eastAsia="仿宋_GB2312"/>
          <w:kern w:val="2"/>
          <w:sz w:val="32"/>
          <w:szCs w:val="28"/>
        </w:rPr>
        <w:t>调查的内容主要根据HJ 2.1-2016《建设项目环境影响评价技术导则  总纲》、HJ 2.2-2018《环境影响评价技术导则  大气环境（修订版）》、HJ 2.3—2018环境影响评价技术导则  地表水环境《》、HJ 610—2016《环境影响评价技术导则  地下水环境》、HJ 964—2018《环境影响评价技术导则  土壤环境（试</w:t>
      </w:r>
      <w:r>
        <w:rPr>
          <w:rFonts w:hint="eastAsia" w:ascii="仿宋_GB2312" w:hAnsi="宋体" w:eastAsia="仿宋_GB2312"/>
          <w:kern w:val="2"/>
          <w:sz w:val="32"/>
          <w:szCs w:val="28"/>
          <w:highlight w:val="none"/>
        </w:rPr>
        <w:t>行）》等环境质量现状调查内容的要求，对不同的工业项目进行</w:t>
      </w:r>
      <w:r>
        <w:rPr>
          <w:rFonts w:hint="eastAsia" w:hAnsi="宋体" w:cs="宋体"/>
          <w:kern w:val="2"/>
          <w:sz w:val="32"/>
          <w:szCs w:val="28"/>
          <w:highlight w:val="none"/>
        </w:rPr>
        <w:t>现场</w:t>
      </w:r>
      <w:r>
        <w:rPr>
          <w:rFonts w:hint="eastAsia" w:ascii="仿宋_GB2312" w:hAnsi="宋体" w:eastAsia="仿宋_GB2312"/>
          <w:kern w:val="2"/>
          <w:sz w:val="32"/>
          <w:szCs w:val="28"/>
          <w:highlight w:val="none"/>
        </w:rPr>
        <w:t>调</w:t>
      </w:r>
      <w:r>
        <w:rPr>
          <w:rFonts w:hint="eastAsia" w:ascii="仿宋_GB2312" w:hAnsi="宋体" w:eastAsia="仿宋_GB2312"/>
          <w:kern w:val="2"/>
          <w:sz w:val="32"/>
          <w:szCs w:val="28"/>
        </w:rPr>
        <w:t>查，评价范围内的在建和未建项目的污染源调查，可使用已批准的环境影响报告书中的资料；现有项目和改、扩建项目的现状污染源调查，可利用已有有效数据或进行实测；对于分期实施的工程项目，可利用前期工程最近5年内的验收监测资料、年度例行监测资料或进行实测。目</w:t>
      </w:r>
      <w:r>
        <w:rPr>
          <w:rFonts w:hint="eastAsia" w:ascii="仿宋_GB2312" w:hAnsi="宋体" w:eastAsia="仿宋_GB2312"/>
          <w:color w:val="auto"/>
          <w:kern w:val="2"/>
          <w:sz w:val="32"/>
          <w:szCs w:val="28"/>
          <w:highlight w:val="none"/>
          <w:shd w:val="clear" w:color="auto" w:fill="auto"/>
        </w:rPr>
        <w:t>前区内</w:t>
      </w:r>
      <w:r>
        <w:rPr>
          <w:rFonts w:hint="eastAsia" w:hAnsi="宋体" w:cs="宋体"/>
          <w:color w:val="auto"/>
          <w:kern w:val="2"/>
          <w:sz w:val="32"/>
          <w:szCs w:val="28"/>
          <w:highlight w:val="none"/>
          <w:shd w:val="clear" w:color="auto" w:fill="auto"/>
        </w:rPr>
        <w:t>环境影响评价</w:t>
      </w:r>
      <w:r>
        <w:rPr>
          <w:rFonts w:hint="eastAsia" w:ascii="仿宋_GB2312" w:hAnsi="宋体" w:eastAsia="仿宋_GB2312"/>
          <w:kern w:val="2"/>
          <w:sz w:val="32"/>
          <w:szCs w:val="28"/>
        </w:rPr>
        <w:t>企业均是采用此模式，符合广西的调查实际。</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六、国内外同类标准制修订情况及与法律法规、强制性标准关系</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经查阅，国内暂未制定有与工业项目环境影响评价现状调查操作相关的国家标准、行业标准和地方标准。</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本标准的内容与现行的法律、法规及强制性标准无冲突，标准的编写符合GB/T 1.1-2020的要求。</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七、重大分歧意见发处理经过和依据</w:t>
      </w:r>
    </w:p>
    <w:p>
      <w:pPr>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本标准研制过程中无重大分歧意见。</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八、自我承诺</w:t>
      </w:r>
    </w:p>
    <w:p>
      <w:pPr>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本标准内容与各项指标不低于国家强制性标准、推荐性国家标准和行业标准。</w:t>
      </w:r>
    </w:p>
    <w:p>
      <w:pPr>
        <w:rPr>
          <w:rFonts w:ascii="仿宋_GB2312" w:hAnsi="宋体" w:eastAsia="仿宋_GB2312"/>
          <w:sz w:val="28"/>
          <w:szCs w:val="32"/>
          <w:lang w:val="zh-CN"/>
        </w:rPr>
      </w:pPr>
    </w:p>
    <w:p>
      <w:pPr>
        <w:jc w:val="right"/>
        <w:rPr>
          <w:rFonts w:ascii="仿宋_GB2312" w:hAnsi="宋体" w:eastAsia="仿宋_GB2312"/>
          <w:sz w:val="28"/>
          <w:szCs w:val="32"/>
          <w:lang w:val="zh-CN"/>
        </w:rPr>
      </w:pPr>
    </w:p>
    <w:p>
      <w:pPr>
        <w:jc w:val="right"/>
        <w:rPr>
          <w:rFonts w:ascii="仿宋_GB2312" w:hAnsi="宋体" w:eastAsia="仿宋_GB2312"/>
          <w:sz w:val="32"/>
          <w:szCs w:val="28"/>
          <w:lang w:val="zh-CN"/>
        </w:rPr>
      </w:pPr>
      <w:r>
        <w:rPr>
          <w:rFonts w:hint="eastAsia" w:ascii="仿宋_GB2312" w:hAnsi="宋体" w:eastAsia="仿宋_GB2312"/>
          <w:sz w:val="32"/>
          <w:szCs w:val="28"/>
          <w:lang w:val="zh-CN"/>
        </w:rPr>
        <w:t>团体标准《工业项目环境影响评价现状调查操作规程》</w:t>
      </w:r>
    </w:p>
    <w:p>
      <w:pPr>
        <w:wordWrap w:val="0"/>
        <w:ind w:firstLine="3520" w:firstLineChars="1100"/>
        <w:jc w:val="right"/>
        <w:rPr>
          <w:rFonts w:ascii="仿宋_GB2312" w:hAnsi="宋体" w:eastAsia="仿宋_GB2312"/>
          <w:sz w:val="32"/>
          <w:szCs w:val="28"/>
          <w:lang w:val="zh-CN"/>
        </w:rPr>
      </w:pPr>
      <w:r>
        <w:rPr>
          <w:rFonts w:hint="eastAsia" w:ascii="仿宋_GB2312" w:hAnsi="宋体" w:eastAsia="仿宋_GB2312"/>
          <w:sz w:val="32"/>
          <w:szCs w:val="28"/>
          <w:lang w:val="zh-CN"/>
        </w:rPr>
        <w:t xml:space="preserve">标准编制小组          </w:t>
      </w:r>
    </w:p>
    <w:p>
      <w:pPr>
        <w:wordWrap w:val="0"/>
        <w:ind w:firstLine="640" w:firstLineChars="200"/>
        <w:jc w:val="right"/>
        <w:rPr>
          <w:rFonts w:ascii="仿宋_GB2312" w:hAnsi="宋体" w:eastAsia="仿宋_GB2312"/>
          <w:sz w:val="32"/>
          <w:szCs w:val="28"/>
          <w:lang w:val="zh-CN"/>
        </w:rPr>
      </w:pPr>
      <w:r>
        <w:rPr>
          <w:rFonts w:hint="eastAsia" w:ascii="仿宋_GB2312" w:hAnsi="宋体" w:eastAsia="仿宋_GB2312"/>
          <w:sz w:val="32"/>
          <w:szCs w:val="28"/>
          <w:lang w:val="zh-CN"/>
        </w:rPr>
        <w:t xml:space="preserve">2022年5月23日        </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12968"/>
    </w:sdtPr>
    <w:sdtContent>
      <w:p>
        <w:pPr>
          <w:pStyle w:val="5"/>
          <w:jc w:val="cente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11</w:t>
        </w:r>
        <w:r>
          <w:rPr>
            <w:rFonts w:ascii="宋体" w:hAnsi="宋体"/>
            <w:sz w:val="32"/>
            <w:szCs w:val="32"/>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CBC123"/>
    <w:multiLevelType w:val="singleLevel"/>
    <w:tmpl w:val="D3CBC123"/>
    <w:lvl w:ilvl="0" w:tentative="0">
      <w:start w:val="2"/>
      <w:numFmt w:val="decimal"/>
      <w:suff w:val="nothing"/>
      <w:lvlText w:val="%1、"/>
      <w:lvlJc w:val="left"/>
    </w:lvl>
  </w:abstractNum>
  <w:abstractNum w:abstractNumId="1">
    <w:nsid w:val="F7EC27CF"/>
    <w:multiLevelType w:val="singleLevel"/>
    <w:tmpl w:val="F7EC27CF"/>
    <w:lvl w:ilvl="0" w:tentative="0">
      <w:start w:val="4"/>
      <w:numFmt w:val="chineseCounting"/>
      <w:suff w:val="nothing"/>
      <w:lvlText w:val="（%1）"/>
      <w:lvlJc w:val="left"/>
      <w:rPr>
        <w:rFonts w:hint="eastAsia"/>
      </w:rPr>
    </w:lvl>
  </w:abstractNum>
  <w:abstractNum w:abstractNumId="2">
    <w:nsid w:val="1FC91163"/>
    <w:multiLevelType w:val="multilevel"/>
    <w:tmpl w:val="1FC91163"/>
    <w:lvl w:ilvl="0" w:tentative="0">
      <w:start w:val="1"/>
      <w:numFmt w:val="decimal"/>
      <w:pStyle w:val="3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2"/>
      <w:suff w:val="nothing"/>
      <w:lvlText w:val="%1.%2.%3　"/>
      <w:lvlJc w:val="left"/>
      <w:pPr>
        <w:ind w:left="4361" w:firstLine="0"/>
      </w:pPr>
      <w:rPr>
        <w:rFonts w:hint="eastAsia" w:ascii="黑体" w:hAnsi="Times New Roman" w:eastAsia="黑体"/>
        <w:b w:val="0"/>
        <w:i w:val="0"/>
        <w:sz w:val="21"/>
      </w:rPr>
    </w:lvl>
    <w:lvl w:ilvl="3" w:tentative="0">
      <w:start w:val="1"/>
      <w:numFmt w:val="decimal"/>
      <w:pStyle w:val="33"/>
      <w:suff w:val="nothing"/>
      <w:lvlText w:val="%1.%2.%3.%4　"/>
      <w:lvlJc w:val="left"/>
      <w:pPr>
        <w:ind w:left="0" w:firstLine="0"/>
      </w:pPr>
      <w:rPr>
        <w:rFonts w:hint="eastAsia" w:ascii="黑体" w:hAnsi="Times New Roman" w:eastAsia="黑体"/>
        <w:b w:val="0"/>
        <w:i w:val="0"/>
        <w:sz w:val="21"/>
      </w:rPr>
    </w:lvl>
    <w:lvl w:ilvl="4" w:tentative="0">
      <w:start w:val="1"/>
      <w:numFmt w:val="decimal"/>
      <w:pStyle w:val="34"/>
      <w:suff w:val="nothing"/>
      <w:lvlText w:val="%1.%2.%3.%4.%5　"/>
      <w:lvlJc w:val="left"/>
      <w:pPr>
        <w:ind w:left="840" w:firstLine="0"/>
      </w:pPr>
      <w:rPr>
        <w:rFonts w:hint="eastAsia" w:ascii="黑体" w:hAnsi="Times New Roman" w:eastAsia="黑体"/>
        <w:b w:val="0"/>
        <w:i w:val="0"/>
        <w:sz w:val="21"/>
      </w:rPr>
    </w:lvl>
    <w:lvl w:ilvl="5" w:tentative="0">
      <w:start w:val="1"/>
      <w:numFmt w:val="decimal"/>
      <w:pStyle w:val="35"/>
      <w:suff w:val="nothing"/>
      <w:lvlText w:val="%1.%2.%3.%4.%5.%6　"/>
      <w:lvlJc w:val="left"/>
      <w:pPr>
        <w:ind w:left="-420" w:firstLine="0"/>
      </w:pPr>
      <w:rPr>
        <w:rFonts w:hint="eastAsia" w:ascii="黑体" w:hAnsi="Times New Roman" w:eastAsia="黑体"/>
        <w:b w:val="0"/>
        <w:i w:val="0"/>
        <w:sz w:val="21"/>
      </w:rPr>
    </w:lvl>
    <w:lvl w:ilvl="6" w:tentative="0">
      <w:start w:val="1"/>
      <w:numFmt w:val="decimal"/>
      <w:suff w:val="nothing"/>
      <w:lvlText w:val="%1%2.%3.%4.%5.%6.%7　"/>
      <w:lvlJc w:val="left"/>
      <w:pPr>
        <w:ind w:left="-420" w:firstLine="0"/>
      </w:pPr>
      <w:rPr>
        <w:rFonts w:hint="eastAsia" w:ascii="黑体" w:hAnsi="Times New Roman" w:eastAsia="黑体"/>
        <w:b w:val="0"/>
        <w:i w:val="0"/>
        <w:sz w:val="21"/>
      </w:rPr>
    </w:lvl>
    <w:lvl w:ilvl="7" w:tentative="0">
      <w:start w:val="1"/>
      <w:numFmt w:val="decimal"/>
      <w:lvlText w:val="%1.%2.%3.%4.%5.%6.%7.%8"/>
      <w:lvlJc w:val="left"/>
      <w:pPr>
        <w:tabs>
          <w:tab w:val="left" w:pos="3931"/>
        </w:tabs>
        <w:ind w:left="3549" w:hanging="1418"/>
      </w:pPr>
      <w:rPr>
        <w:rFonts w:hint="eastAsia"/>
      </w:rPr>
    </w:lvl>
    <w:lvl w:ilvl="8" w:tentative="0">
      <w:start w:val="1"/>
      <w:numFmt w:val="decimal"/>
      <w:lvlText w:val="%1.%2.%3.%4.%5.%6.%7.%8.%9"/>
      <w:lvlJc w:val="left"/>
      <w:pPr>
        <w:tabs>
          <w:tab w:val="left" w:pos="4357"/>
        </w:tabs>
        <w:ind w:left="4257" w:hanging="1700"/>
      </w:pPr>
      <w:rPr>
        <w:rFonts w:hint="eastAsia"/>
      </w:rPr>
    </w:lvl>
  </w:abstractNum>
  <w:abstractNum w:abstractNumId="3">
    <w:nsid w:val="38066CF6"/>
    <w:multiLevelType w:val="multilevel"/>
    <w:tmpl w:val="38066CF6"/>
    <w:lvl w:ilvl="0" w:tentative="0">
      <w:start w:val="5"/>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489D71F3"/>
    <w:multiLevelType w:val="multilevel"/>
    <w:tmpl w:val="489D71F3"/>
    <w:lvl w:ilvl="0" w:tentative="0">
      <w:start w:val="1"/>
      <w:numFmt w:val="decimal"/>
      <w:lvlText w:val="%1."/>
      <w:lvlJc w:val="left"/>
      <w:pPr>
        <w:ind w:left="960" w:hanging="33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6CEA2025"/>
    <w:multiLevelType w:val="multilevel"/>
    <w:tmpl w:val="6CEA2025"/>
    <w:lvl w:ilvl="0" w:tentative="0">
      <w:start w:val="1"/>
      <w:numFmt w:val="none"/>
      <w:pStyle w:val="26"/>
      <w:suff w:val="nothing"/>
      <w:lvlText w:val="%1"/>
      <w:lvlJc w:val="left"/>
      <w:pPr>
        <w:ind w:left="0" w:firstLine="0"/>
      </w:pPr>
      <w:rPr>
        <w:rFonts w:hint="eastAsia"/>
      </w:rPr>
    </w:lvl>
    <w:lvl w:ilvl="1" w:tentative="0">
      <w:start w:val="1"/>
      <w:numFmt w:val="decimal"/>
      <w:pStyle w:val="24"/>
      <w:suff w:val="nothing"/>
      <w:lvlText w:val="%1%2　"/>
      <w:lvlJc w:val="left"/>
      <w:pPr>
        <w:ind w:left="0" w:firstLine="0"/>
      </w:pPr>
      <w:rPr>
        <w:rFonts w:hint="eastAsia" w:ascii="黑体" w:eastAsia="黑体"/>
        <w:b w:val="0"/>
        <w:i w:val="0"/>
        <w:sz w:val="21"/>
      </w:rPr>
    </w:lvl>
    <w:lvl w:ilvl="2" w:tentative="0">
      <w:start w:val="1"/>
      <w:numFmt w:val="decimal"/>
      <w:pStyle w:val="25"/>
      <w:suff w:val="nothing"/>
      <w:lvlText w:val="%1%2.%3　"/>
      <w:lvlJc w:val="left"/>
      <w:pPr>
        <w:ind w:left="426"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0"/>
      <w:suff w:val="nothing"/>
      <w:lvlText w:val="%1%2.%3.%4　"/>
      <w:lvlJc w:val="left"/>
      <w:pPr>
        <w:ind w:left="0" w:firstLine="0"/>
      </w:pPr>
      <w:rPr>
        <w:rFonts w:hint="eastAsia" w:ascii="黑体" w:eastAsia="黑体"/>
        <w:b w:val="0"/>
        <w:i w:val="0"/>
        <w:sz w:val="21"/>
      </w:rPr>
    </w:lvl>
    <w:lvl w:ilvl="4" w:tentative="0">
      <w:start w:val="1"/>
      <w:numFmt w:val="decimal"/>
      <w:pStyle w:val="21"/>
      <w:suff w:val="nothing"/>
      <w:lvlText w:val="%1%2.%3.%4.%5　"/>
      <w:lvlJc w:val="left"/>
      <w:pPr>
        <w:ind w:left="0" w:firstLine="0"/>
      </w:pPr>
      <w:rPr>
        <w:rFonts w:hint="eastAsia" w:ascii="黑体" w:eastAsia="黑体"/>
        <w:b w:val="0"/>
        <w:i w:val="0"/>
        <w:sz w:val="21"/>
      </w:rPr>
    </w:lvl>
    <w:lvl w:ilvl="5" w:tentative="0">
      <w:start w:val="1"/>
      <w:numFmt w:val="decimal"/>
      <w:pStyle w:val="22"/>
      <w:suff w:val="nothing"/>
      <w:lvlText w:val="%1%2.%3.%4.%5.%6　"/>
      <w:lvlJc w:val="left"/>
      <w:pPr>
        <w:ind w:left="0" w:firstLine="0"/>
      </w:pPr>
      <w:rPr>
        <w:rFonts w:hint="eastAsia" w:ascii="黑体" w:eastAsia="黑体"/>
        <w:b w:val="0"/>
        <w:i w:val="0"/>
        <w:sz w:val="21"/>
      </w:rPr>
    </w:lvl>
    <w:lvl w:ilvl="6" w:tentative="0">
      <w:start w:val="1"/>
      <w:numFmt w:val="decimal"/>
      <w:pStyle w:val="2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2"/>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yMjE3Y2QyNjgzNTYyODZkNGI0OTZhOGQ4ZTE1NmUifQ=="/>
  </w:docVars>
  <w:rsids>
    <w:rsidRoot w:val="52F40A7A"/>
    <w:rsid w:val="00002030"/>
    <w:rsid w:val="00004C4A"/>
    <w:rsid w:val="00010E6E"/>
    <w:rsid w:val="0001346F"/>
    <w:rsid w:val="00014463"/>
    <w:rsid w:val="000172E1"/>
    <w:rsid w:val="00022A5F"/>
    <w:rsid w:val="000255B1"/>
    <w:rsid w:val="00031C67"/>
    <w:rsid w:val="00045D6D"/>
    <w:rsid w:val="00057AD3"/>
    <w:rsid w:val="00072AE1"/>
    <w:rsid w:val="00075056"/>
    <w:rsid w:val="00081845"/>
    <w:rsid w:val="0008582A"/>
    <w:rsid w:val="00086206"/>
    <w:rsid w:val="00094586"/>
    <w:rsid w:val="00095094"/>
    <w:rsid w:val="000A029B"/>
    <w:rsid w:val="000A1420"/>
    <w:rsid w:val="000A63E7"/>
    <w:rsid w:val="000B12F7"/>
    <w:rsid w:val="000B1597"/>
    <w:rsid w:val="000B15F9"/>
    <w:rsid w:val="000C1B17"/>
    <w:rsid w:val="000C7763"/>
    <w:rsid w:val="000C7B94"/>
    <w:rsid w:val="000D0936"/>
    <w:rsid w:val="000D2085"/>
    <w:rsid w:val="000D4AA2"/>
    <w:rsid w:val="000D5D37"/>
    <w:rsid w:val="000D7675"/>
    <w:rsid w:val="000E10DA"/>
    <w:rsid w:val="000E6662"/>
    <w:rsid w:val="000E68F4"/>
    <w:rsid w:val="000E6DEA"/>
    <w:rsid w:val="000F124B"/>
    <w:rsid w:val="000F3C96"/>
    <w:rsid w:val="000F5CC1"/>
    <w:rsid w:val="000F77A5"/>
    <w:rsid w:val="0010044B"/>
    <w:rsid w:val="00106E48"/>
    <w:rsid w:val="001074C4"/>
    <w:rsid w:val="00113C15"/>
    <w:rsid w:val="00113EE6"/>
    <w:rsid w:val="0011771D"/>
    <w:rsid w:val="00122F32"/>
    <w:rsid w:val="00123812"/>
    <w:rsid w:val="001240E5"/>
    <w:rsid w:val="00127C38"/>
    <w:rsid w:val="001446D1"/>
    <w:rsid w:val="00144CFD"/>
    <w:rsid w:val="00145F74"/>
    <w:rsid w:val="00146E1F"/>
    <w:rsid w:val="00151C6D"/>
    <w:rsid w:val="0015242D"/>
    <w:rsid w:val="00152E1B"/>
    <w:rsid w:val="00155C98"/>
    <w:rsid w:val="00165BCC"/>
    <w:rsid w:val="001670A9"/>
    <w:rsid w:val="00171BE7"/>
    <w:rsid w:val="0017654D"/>
    <w:rsid w:val="00184228"/>
    <w:rsid w:val="00193030"/>
    <w:rsid w:val="001A09C7"/>
    <w:rsid w:val="001A129A"/>
    <w:rsid w:val="001A2C3B"/>
    <w:rsid w:val="001A5698"/>
    <w:rsid w:val="001A60A2"/>
    <w:rsid w:val="001A7A69"/>
    <w:rsid w:val="001B03C8"/>
    <w:rsid w:val="001B08A5"/>
    <w:rsid w:val="001C2136"/>
    <w:rsid w:val="001C4BEF"/>
    <w:rsid w:val="001D0A9B"/>
    <w:rsid w:val="001D6DFB"/>
    <w:rsid w:val="001E0A61"/>
    <w:rsid w:val="001E1351"/>
    <w:rsid w:val="001E2028"/>
    <w:rsid w:val="001E5046"/>
    <w:rsid w:val="0020008A"/>
    <w:rsid w:val="002008BD"/>
    <w:rsid w:val="002052DF"/>
    <w:rsid w:val="00205A58"/>
    <w:rsid w:val="00216307"/>
    <w:rsid w:val="00224C22"/>
    <w:rsid w:val="00225B5F"/>
    <w:rsid w:val="0022611B"/>
    <w:rsid w:val="002324AB"/>
    <w:rsid w:val="002362C7"/>
    <w:rsid w:val="00240DD0"/>
    <w:rsid w:val="00244076"/>
    <w:rsid w:val="00244D6E"/>
    <w:rsid w:val="002454B4"/>
    <w:rsid w:val="00255B2D"/>
    <w:rsid w:val="0025708A"/>
    <w:rsid w:val="002601C1"/>
    <w:rsid w:val="00265259"/>
    <w:rsid w:val="00274817"/>
    <w:rsid w:val="002770E7"/>
    <w:rsid w:val="0028089D"/>
    <w:rsid w:val="00290444"/>
    <w:rsid w:val="002967FA"/>
    <w:rsid w:val="002A1E5E"/>
    <w:rsid w:val="002A58A4"/>
    <w:rsid w:val="002A66FB"/>
    <w:rsid w:val="002A7EEE"/>
    <w:rsid w:val="002B656B"/>
    <w:rsid w:val="002C0A09"/>
    <w:rsid w:val="002C18A8"/>
    <w:rsid w:val="002D25BE"/>
    <w:rsid w:val="002D6E7D"/>
    <w:rsid w:val="002D7CF5"/>
    <w:rsid w:val="002F1363"/>
    <w:rsid w:val="00305AE4"/>
    <w:rsid w:val="0030658C"/>
    <w:rsid w:val="00306B56"/>
    <w:rsid w:val="00310580"/>
    <w:rsid w:val="00314A68"/>
    <w:rsid w:val="00320404"/>
    <w:rsid w:val="00326233"/>
    <w:rsid w:val="00332A60"/>
    <w:rsid w:val="00332CD2"/>
    <w:rsid w:val="00333538"/>
    <w:rsid w:val="0033374E"/>
    <w:rsid w:val="0033381E"/>
    <w:rsid w:val="00333E2F"/>
    <w:rsid w:val="00340AA6"/>
    <w:rsid w:val="003438F5"/>
    <w:rsid w:val="00347525"/>
    <w:rsid w:val="0035100C"/>
    <w:rsid w:val="00353594"/>
    <w:rsid w:val="00361165"/>
    <w:rsid w:val="00371733"/>
    <w:rsid w:val="00382CF3"/>
    <w:rsid w:val="00384E7B"/>
    <w:rsid w:val="003855F8"/>
    <w:rsid w:val="00386773"/>
    <w:rsid w:val="00386EFB"/>
    <w:rsid w:val="0039067E"/>
    <w:rsid w:val="003D35F5"/>
    <w:rsid w:val="003D593D"/>
    <w:rsid w:val="003E3F3F"/>
    <w:rsid w:val="003E3F52"/>
    <w:rsid w:val="003E42C1"/>
    <w:rsid w:val="003F7245"/>
    <w:rsid w:val="003F76C4"/>
    <w:rsid w:val="00403C1F"/>
    <w:rsid w:val="004057CB"/>
    <w:rsid w:val="004071AD"/>
    <w:rsid w:val="00416771"/>
    <w:rsid w:val="0042060E"/>
    <w:rsid w:val="00423B26"/>
    <w:rsid w:val="00425C4A"/>
    <w:rsid w:val="00427AB0"/>
    <w:rsid w:val="00430FDB"/>
    <w:rsid w:val="004364E4"/>
    <w:rsid w:val="00442340"/>
    <w:rsid w:val="004427FE"/>
    <w:rsid w:val="004456FA"/>
    <w:rsid w:val="004464EA"/>
    <w:rsid w:val="00446864"/>
    <w:rsid w:val="004476EC"/>
    <w:rsid w:val="004516CE"/>
    <w:rsid w:val="00457D76"/>
    <w:rsid w:val="00460252"/>
    <w:rsid w:val="004714EA"/>
    <w:rsid w:val="00472AF8"/>
    <w:rsid w:val="00483264"/>
    <w:rsid w:val="00487AD3"/>
    <w:rsid w:val="00487CD5"/>
    <w:rsid w:val="00495B49"/>
    <w:rsid w:val="004A085B"/>
    <w:rsid w:val="004A67D6"/>
    <w:rsid w:val="004B3E07"/>
    <w:rsid w:val="004B471B"/>
    <w:rsid w:val="004C0F0C"/>
    <w:rsid w:val="004C10DE"/>
    <w:rsid w:val="004C3D65"/>
    <w:rsid w:val="004C6640"/>
    <w:rsid w:val="004D0734"/>
    <w:rsid w:val="004E174F"/>
    <w:rsid w:val="004E2A80"/>
    <w:rsid w:val="004F01D8"/>
    <w:rsid w:val="004F632C"/>
    <w:rsid w:val="004F6860"/>
    <w:rsid w:val="00503315"/>
    <w:rsid w:val="00505174"/>
    <w:rsid w:val="00506E71"/>
    <w:rsid w:val="005334DC"/>
    <w:rsid w:val="00534C7A"/>
    <w:rsid w:val="00534E76"/>
    <w:rsid w:val="00535C4E"/>
    <w:rsid w:val="00543432"/>
    <w:rsid w:val="00552387"/>
    <w:rsid w:val="0055581B"/>
    <w:rsid w:val="00555B17"/>
    <w:rsid w:val="00556950"/>
    <w:rsid w:val="0055791F"/>
    <w:rsid w:val="00563A69"/>
    <w:rsid w:val="00564DEE"/>
    <w:rsid w:val="0057073F"/>
    <w:rsid w:val="00575CAC"/>
    <w:rsid w:val="0058057F"/>
    <w:rsid w:val="0058633E"/>
    <w:rsid w:val="00587573"/>
    <w:rsid w:val="00596018"/>
    <w:rsid w:val="00597BD1"/>
    <w:rsid w:val="005A03D0"/>
    <w:rsid w:val="005A56FC"/>
    <w:rsid w:val="005B1C23"/>
    <w:rsid w:val="005B7E9A"/>
    <w:rsid w:val="005C01D0"/>
    <w:rsid w:val="005C349E"/>
    <w:rsid w:val="005D3D9A"/>
    <w:rsid w:val="005D5660"/>
    <w:rsid w:val="005D5714"/>
    <w:rsid w:val="005D7D76"/>
    <w:rsid w:val="005E18D3"/>
    <w:rsid w:val="005F02EE"/>
    <w:rsid w:val="00603C54"/>
    <w:rsid w:val="00605579"/>
    <w:rsid w:val="00606685"/>
    <w:rsid w:val="0062207D"/>
    <w:rsid w:val="00624D31"/>
    <w:rsid w:val="006255F6"/>
    <w:rsid w:val="006255FF"/>
    <w:rsid w:val="0062579B"/>
    <w:rsid w:val="00630EE0"/>
    <w:rsid w:val="0063304D"/>
    <w:rsid w:val="00634F18"/>
    <w:rsid w:val="0063510B"/>
    <w:rsid w:val="00637E8E"/>
    <w:rsid w:val="00643931"/>
    <w:rsid w:val="00645B65"/>
    <w:rsid w:val="00657118"/>
    <w:rsid w:val="006651FC"/>
    <w:rsid w:val="00676728"/>
    <w:rsid w:val="0069781A"/>
    <w:rsid w:val="006A4180"/>
    <w:rsid w:val="006A558C"/>
    <w:rsid w:val="006A6C6E"/>
    <w:rsid w:val="006B5247"/>
    <w:rsid w:val="006C2AAC"/>
    <w:rsid w:val="006C2D86"/>
    <w:rsid w:val="006C5D24"/>
    <w:rsid w:val="006C6978"/>
    <w:rsid w:val="006D0ABD"/>
    <w:rsid w:val="006D2529"/>
    <w:rsid w:val="006D4CAF"/>
    <w:rsid w:val="006E0EAE"/>
    <w:rsid w:val="006E3F49"/>
    <w:rsid w:val="006E47BC"/>
    <w:rsid w:val="006E7B72"/>
    <w:rsid w:val="006E7C98"/>
    <w:rsid w:val="006F33AE"/>
    <w:rsid w:val="006F36AF"/>
    <w:rsid w:val="006F579F"/>
    <w:rsid w:val="007211EB"/>
    <w:rsid w:val="00725661"/>
    <w:rsid w:val="0072647B"/>
    <w:rsid w:val="00734925"/>
    <w:rsid w:val="007464D8"/>
    <w:rsid w:val="007473CE"/>
    <w:rsid w:val="007553B5"/>
    <w:rsid w:val="00756B7A"/>
    <w:rsid w:val="007723F1"/>
    <w:rsid w:val="0077269F"/>
    <w:rsid w:val="00773D4E"/>
    <w:rsid w:val="0077484C"/>
    <w:rsid w:val="00782FF7"/>
    <w:rsid w:val="00795E8F"/>
    <w:rsid w:val="007A486B"/>
    <w:rsid w:val="007B7084"/>
    <w:rsid w:val="007B7D2B"/>
    <w:rsid w:val="007C05E2"/>
    <w:rsid w:val="007C14D0"/>
    <w:rsid w:val="007C4BD4"/>
    <w:rsid w:val="007F37EE"/>
    <w:rsid w:val="007F5AD7"/>
    <w:rsid w:val="007F6F3A"/>
    <w:rsid w:val="007F7C5A"/>
    <w:rsid w:val="0080432C"/>
    <w:rsid w:val="008064A0"/>
    <w:rsid w:val="00812F89"/>
    <w:rsid w:val="00816C6C"/>
    <w:rsid w:val="00817D5D"/>
    <w:rsid w:val="00817EEE"/>
    <w:rsid w:val="00822C95"/>
    <w:rsid w:val="00823C38"/>
    <w:rsid w:val="008252D1"/>
    <w:rsid w:val="00827B75"/>
    <w:rsid w:val="00830741"/>
    <w:rsid w:val="008451F4"/>
    <w:rsid w:val="00846662"/>
    <w:rsid w:val="00846B43"/>
    <w:rsid w:val="00847950"/>
    <w:rsid w:val="008507CD"/>
    <w:rsid w:val="00851E7E"/>
    <w:rsid w:val="008540BE"/>
    <w:rsid w:val="00854E95"/>
    <w:rsid w:val="00862D03"/>
    <w:rsid w:val="008668A8"/>
    <w:rsid w:val="00866934"/>
    <w:rsid w:val="0087147C"/>
    <w:rsid w:val="00877AC9"/>
    <w:rsid w:val="008816F1"/>
    <w:rsid w:val="00892C1C"/>
    <w:rsid w:val="008A137F"/>
    <w:rsid w:val="008A3597"/>
    <w:rsid w:val="008A5EFE"/>
    <w:rsid w:val="008B26B0"/>
    <w:rsid w:val="008B5643"/>
    <w:rsid w:val="008B680D"/>
    <w:rsid w:val="008B6C66"/>
    <w:rsid w:val="008B75DD"/>
    <w:rsid w:val="008C441E"/>
    <w:rsid w:val="008C65ED"/>
    <w:rsid w:val="008C6BD8"/>
    <w:rsid w:val="008D1373"/>
    <w:rsid w:val="008D4E14"/>
    <w:rsid w:val="008E0F1F"/>
    <w:rsid w:val="008E2021"/>
    <w:rsid w:val="008E5194"/>
    <w:rsid w:val="008F2DF4"/>
    <w:rsid w:val="008F2F90"/>
    <w:rsid w:val="00904023"/>
    <w:rsid w:val="00905603"/>
    <w:rsid w:val="00907694"/>
    <w:rsid w:val="009111EA"/>
    <w:rsid w:val="00923F57"/>
    <w:rsid w:val="009309AA"/>
    <w:rsid w:val="009309DD"/>
    <w:rsid w:val="00943B34"/>
    <w:rsid w:val="00946400"/>
    <w:rsid w:val="00965A51"/>
    <w:rsid w:val="00965D68"/>
    <w:rsid w:val="009671CA"/>
    <w:rsid w:val="00972FC5"/>
    <w:rsid w:val="00975E26"/>
    <w:rsid w:val="00981956"/>
    <w:rsid w:val="00982BD5"/>
    <w:rsid w:val="00983918"/>
    <w:rsid w:val="009918CC"/>
    <w:rsid w:val="00996984"/>
    <w:rsid w:val="00996C24"/>
    <w:rsid w:val="009B05F8"/>
    <w:rsid w:val="009B0913"/>
    <w:rsid w:val="009B3475"/>
    <w:rsid w:val="009B5DAD"/>
    <w:rsid w:val="009B62A8"/>
    <w:rsid w:val="009C3127"/>
    <w:rsid w:val="009C3228"/>
    <w:rsid w:val="009C725B"/>
    <w:rsid w:val="009D23FA"/>
    <w:rsid w:val="009D266B"/>
    <w:rsid w:val="009E02E5"/>
    <w:rsid w:val="009E21D2"/>
    <w:rsid w:val="009E36D8"/>
    <w:rsid w:val="00A01F1F"/>
    <w:rsid w:val="00A029C0"/>
    <w:rsid w:val="00A06C3F"/>
    <w:rsid w:val="00A15EF5"/>
    <w:rsid w:val="00A173F3"/>
    <w:rsid w:val="00A302C7"/>
    <w:rsid w:val="00A305F2"/>
    <w:rsid w:val="00A32B67"/>
    <w:rsid w:val="00A33BC3"/>
    <w:rsid w:val="00A3695A"/>
    <w:rsid w:val="00A56182"/>
    <w:rsid w:val="00A614F7"/>
    <w:rsid w:val="00A72BE0"/>
    <w:rsid w:val="00A72F2B"/>
    <w:rsid w:val="00A746B4"/>
    <w:rsid w:val="00A74EE5"/>
    <w:rsid w:val="00A775A4"/>
    <w:rsid w:val="00A77E2E"/>
    <w:rsid w:val="00A819DE"/>
    <w:rsid w:val="00A84E40"/>
    <w:rsid w:val="00A912E4"/>
    <w:rsid w:val="00A92404"/>
    <w:rsid w:val="00A93605"/>
    <w:rsid w:val="00A96B83"/>
    <w:rsid w:val="00A9764A"/>
    <w:rsid w:val="00AA376B"/>
    <w:rsid w:val="00AB06B2"/>
    <w:rsid w:val="00AB2DA5"/>
    <w:rsid w:val="00AD6406"/>
    <w:rsid w:val="00AE0409"/>
    <w:rsid w:val="00AE0CC7"/>
    <w:rsid w:val="00AE6884"/>
    <w:rsid w:val="00AE7C04"/>
    <w:rsid w:val="00AF13DA"/>
    <w:rsid w:val="00B001F4"/>
    <w:rsid w:val="00B0296E"/>
    <w:rsid w:val="00B03ACD"/>
    <w:rsid w:val="00B0444C"/>
    <w:rsid w:val="00B123DB"/>
    <w:rsid w:val="00B160C4"/>
    <w:rsid w:val="00B16697"/>
    <w:rsid w:val="00B268CE"/>
    <w:rsid w:val="00B27F04"/>
    <w:rsid w:val="00B3000B"/>
    <w:rsid w:val="00B35D37"/>
    <w:rsid w:val="00B419CA"/>
    <w:rsid w:val="00B43123"/>
    <w:rsid w:val="00B43337"/>
    <w:rsid w:val="00B43B12"/>
    <w:rsid w:val="00B50F53"/>
    <w:rsid w:val="00B53FB2"/>
    <w:rsid w:val="00B540BC"/>
    <w:rsid w:val="00B54EC2"/>
    <w:rsid w:val="00B604A5"/>
    <w:rsid w:val="00B613A1"/>
    <w:rsid w:val="00B6365B"/>
    <w:rsid w:val="00B636A3"/>
    <w:rsid w:val="00B749A6"/>
    <w:rsid w:val="00B80E71"/>
    <w:rsid w:val="00B925F3"/>
    <w:rsid w:val="00B97929"/>
    <w:rsid w:val="00BB0CDF"/>
    <w:rsid w:val="00BB6FF5"/>
    <w:rsid w:val="00BC171F"/>
    <w:rsid w:val="00BC3E6C"/>
    <w:rsid w:val="00BC4455"/>
    <w:rsid w:val="00BD10BC"/>
    <w:rsid w:val="00BD62CB"/>
    <w:rsid w:val="00BD7550"/>
    <w:rsid w:val="00BE5140"/>
    <w:rsid w:val="00BF4862"/>
    <w:rsid w:val="00BF5764"/>
    <w:rsid w:val="00C13F3F"/>
    <w:rsid w:val="00C2083A"/>
    <w:rsid w:val="00C2250B"/>
    <w:rsid w:val="00C2476C"/>
    <w:rsid w:val="00C31177"/>
    <w:rsid w:val="00C3291B"/>
    <w:rsid w:val="00C3316E"/>
    <w:rsid w:val="00C4029B"/>
    <w:rsid w:val="00C42251"/>
    <w:rsid w:val="00C468FA"/>
    <w:rsid w:val="00C512F4"/>
    <w:rsid w:val="00C53498"/>
    <w:rsid w:val="00C53C8B"/>
    <w:rsid w:val="00C576EA"/>
    <w:rsid w:val="00C62141"/>
    <w:rsid w:val="00C62B66"/>
    <w:rsid w:val="00C71A2A"/>
    <w:rsid w:val="00C729D5"/>
    <w:rsid w:val="00C74827"/>
    <w:rsid w:val="00C77D35"/>
    <w:rsid w:val="00C86E93"/>
    <w:rsid w:val="00C93DB8"/>
    <w:rsid w:val="00CA33FB"/>
    <w:rsid w:val="00CC2F39"/>
    <w:rsid w:val="00CC315E"/>
    <w:rsid w:val="00CC35A5"/>
    <w:rsid w:val="00CD419D"/>
    <w:rsid w:val="00CD6DD2"/>
    <w:rsid w:val="00CE0644"/>
    <w:rsid w:val="00CE0EE1"/>
    <w:rsid w:val="00CE4E86"/>
    <w:rsid w:val="00CF3ECE"/>
    <w:rsid w:val="00D007BE"/>
    <w:rsid w:val="00D0154F"/>
    <w:rsid w:val="00D0439E"/>
    <w:rsid w:val="00D127DD"/>
    <w:rsid w:val="00D129C1"/>
    <w:rsid w:val="00D31E19"/>
    <w:rsid w:val="00D32A48"/>
    <w:rsid w:val="00D35563"/>
    <w:rsid w:val="00D41F6E"/>
    <w:rsid w:val="00D45485"/>
    <w:rsid w:val="00D52670"/>
    <w:rsid w:val="00D52D3A"/>
    <w:rsid w:val="00D55438"/>
    <w:rsid w:val="00D570E4"/>
    <w:rsid w:val="00D603FD"/>
    <w:rsid w:val="00D61555"/>
    <w:rsid w:val="00D64185"/>
    <w:rsid w:val="00D6448D"/>
    <w:rsid w:val="00D6621F"/>
    <w:rsid w:val="00D732B5"/>
    <w:rsid w:val="00D74029"/>
    <w:rsid w:val="00D77F0F"/>
    <w:rsid w:val="00D91693"/>
    <w:rsid w:val="00D94810"/>
    <w:rsid w:val="00DA0E02"/>
    <w:rsid w:val="00DA36F2"/>
    <w:rsid w:val="00DA4621"/>
    <w:rsid w:val="00DB1A23"/>
    <w:rsid w:val="00DB22BB"/>
    <w:rsid w:val="00DB4D89"/>
    <w:rsid w:val="00DC0876"/>
    <w:rsid w:val="00DC325A"/>
    <w:rsid w:val="00DC3702"/>
    <w:rsid w:val="00DE3986"/>
    <w:rsid w:val="00DF3ABD"/>
    <w:rsid w:val="00DF5055"/>
    <w:rsid w:val="00DF5A2F"/>
    <w:rsid w:val="00DF671D"/>
    <w:rsid w:val="00E01EB8"/>
    <w:rsid w:val="00E0763C"/>
    <w:rsid w:val="00E077CA"/>
    <w:rsid w:val="00E114CE"/>
    <w:rsid w:val="00E142AB"/>
    <w:rsid w:val="00E153B5"/>
    <w:rsid w:val="00E165A6"/>
    <w:rsid w:val="00E16B9C"/>
    <w:rsid w:val="00E2048F"/>
    <w:rsid w:val="00E21857"/>
    <w:rsid w:val="00E22B90"/>
    <w:rsid w:val="00E2587A"/>
    <w:rsid w:val="00E31730"/>
    <w:rsid w:val="00E34012"/>
    <w:rsid w:val="00E34597"/>
    <w:rsid w:val="00E352F7"/>
    <w:rsid w:val="00E55B1A"/>
    <w:rsid w:val="00E57F20"/>
    <w:rsid w:val="00E612A6"/>
    <w:rsid w:val="00E75003"/>
    <w:rsid w:val="00E77A73"/>
    <w:rsid w:val="00E801DC"/>
    <w:rsid w:val="00E82889"/>
    <w:rsid w:val="00E85B5D"/>
    <w:rsid w:val="00E86802"/>
    <w:rsid w:val="00E87E16"/>
    <w:rsid w:val="00E921D6"/>
    <w:rsid w:val="00E93D18"/>
    <w:rsid w:val="00EB013C"/>
    <w:rsid w:val="00EB360A"/>
    <w:rsid w:val="00EB5476"/>
    <w:rsid w:val="00EB7532"/>
    <w:rsid w:val="00EC22A2"/>
    <w:rsid w:val="00EC5B56"/>
    <w:rsid w:val="00ED0847"/>
    <w:rsid w:val="00ED1D5B"/>
    <w:rsid w:val="00EE78B6"/>
    <w:rsid w:val="00EE7D57"/>
    <w:rsid w:val="00EF0C63"/>
    <w:rsid w:val="00F0301A"/>
    <w:rsid w:val="00F042E7"/>
    <w:rsid w:val="00F115C7"/>
    <w:rsid w:val="00F13400"/>
    <w:rsid w:val="00F3374D"/>
    <w:rsid w:val="00F67515"/>
    <w:rsid w:val="00F67BB0"/>
    <w:rsid w:val="00F718EB"/>
    <w:rsid w:val="00F732E3"/>
    <w:rsid w:val="00F73D6A"/>
    <w:rsid w:val="00F755BF"/>
    <w:rsid w:val="00F77801"/>
    <w:rsid w:val="00F77D16"/>
    <w:rsid w:val="00F900BE"/>
    <w:rsid w:val="00F9435B"/>
    <w:rsid w:val="00F9563C"/>
    <w:rsid w:val="00FA2720"/>
    <w:rsid w:val="00FA459A"/>
    <w:rsid w:val="00FA5B42"/>
    <w:rsid w:val="00FA77B1"/>
    <w:rsid w:val="00FB047A"/>
    <w:rsid w:val="00FB0E82"/>
    <w:rsid w:val="00FB641E"/>
    <w:rsid w:val="00FC599D"/>
    <w:rsid w:val="00FC68A8"/>
    <w:rsid w:val="00FC7641"/>
    <w:rsid w:val="00FD19C3"/>
    <w:rsid w:val="00FD3708"/>
    <w:rsid w:val="00FD482A"/>
    <w:rsid w:val="00FE253C"/>
    <w:rsid w:val="00FF3472"/>
    <w:rsid w:val="00FF6348"/>
    <w:rsid w:val="00FF683B"/>
    <w:rsid w:val="012073A2"/>
    <w:rsid w:val="01973053"/>
    <w:rsid w:val="027E74CA"/>
    <w:rsid w:val="034B5463"/>
    <w:rsid w:val="04DB3C44"/>
    <w:rsid w:val="0CF43C8A"/>
    <w:rsid w:val="0D4967B3"/>
    <w:rsid w:val="0DA87EC0"/>
    <w:rsid w:val="0F447B05"/>
    <w:rsid w:val="0FEC3E14"/>
    <w:rsid w:val="12443FB1"/>
    <w:rsid w:val="12A53D1F"/>
    <w:rsid w:val="134C146A"/>
    <w:rsid w:val="14070EF0"/>
    <w:rsid w:val="14377FD0"/>
    <w:rsid w:val="14856F74"/>
    <w:rsid w:val="149E00E3"/>
    <w:rsid w:val="15595271"/>
    <w:rsid w:val="15C0748F"/>
    <w:rsid w:val="16174E54"/>
    <w:rsid w:val="16BE53A8"/>
    <w:rsid w:val="17A35DDF"/>
    <w:rsid w:val="17DC50C4"/>
    <w:rsid w:val="18787EC5"/>
    <w:rsid w:val="19E84073"/>
    <w:rsid w:val="1AEF3D03"/>
    <w:rsid w:val="1B7E0E69"/>
    <w:rsid w:val="1C136E65"/>
    <w:rsid w:val="1C595D46"/>
    <w:rsid w:val="1CC031EA"/>
    <w:rsid w:val="1D840CAA"/>
    <w:rsid w:val="1EFA407E"/>
    <w:rsid w:val="1F126151"/>
    <w:rsid w:val="1F55103C"/>
    <w:rsid w:val="20BC7F0E"/>
    <w:rsid w:val="20F30EE6"/>
    <w:rsid w:val="21604DF6"/>
    <w:rsid w:val="21B878C1"/>
    <w:rsid w:val="22723962"/>
    <w:rsid w:val="241C4DDC"/>
    <w:rsid w:val="24CD0EEF"/>
    <w:rsid w:val="24D067A5"/>
    <w:rsid w:val="27640417"/>
    <w:rsid w:val="27E312C1"/>
    <w:rsid w:val="28332B62"/>
    <w:rsid w:val="29204D61"/>
    <w:rsid w:val="29F563F0"/>
    <w:rsid w:val="2B97780B"/>
    <w:rsid w:val="2CCB46E5"/>
    <w:rsid w:val="2E2A5CB9"/>
    <w:rsid w:val="2E6073FD"/>
    <w:rsid w:val="2F24002C"/>
    <w:rsid w:val="31AE15C3"/>
    <w:rsid w:val="31FF6CE2"/>
    <w:rsid w:val="35BB3EF4"/>
    <w:rsid w:val="369C4E13"/>
    <w:rsid w:val="37B64ACC"/>
    <w:rsid w:val="386B0FD9"/>
    <w:rsid w:val="3933479C"/>
    <w:rsid w:val="396D1326"/>
    <w:rsid w:val="3B97665A"/>
    <w:rsid w:val="3C960956"/>
    <w:rsid w:val="3E046715"/>
    <w:rsid w:val="3EE2552D"/>
    <w:rsid w:val="46ED03C2"/>
    <w:rsid w:val="484F252F"/>
    <w:rsid w:val="48F11E7D"/>
    <w:rsid w:val="4A8A1CA2"/>
    <w:rsid w:val="4B011028"/>
    <w:rsid w:val="4C661C38"/>
    <w:rsid w:val="4C9A5EA5"/>
    <w:rsid w:val="4E6A6C31"/>
    <w:rsid w:val="4EE2079C"/>
    <w:rsid w:val="4F4E509D"/>
    <w:rsid w:val="50D543D0"/>
    <w:rsid w:val="51885345"/>
    <w:rsid w:val="52F40A7A"/>
    <w:rsid w:val="53A625DF"/>
    <w:rsid w:val="53AB37CE"/>
    <w:rsid w:val="54A32904"/>
    <w:rsid w:val="555F515E"/>
    <w:rsid w:val="56D27189"/>
    <w:rsid w:val="579529A0"/>
    <w:rsid w:val="5B20154B"/>
    <w:rsid w:val="5CD54512"/>
    <w:rsid w:val="5DB11630"/>
    <w:rsid w:val="5EB85928"/>
    <w:rsid w:val="5EF90A63"/>
    <w:rsid w:val="5F7F05A5"/>
    <w:rsid w:val="60090E87"/>
    <w:rsid w:val="616855EF"/>
    <w:rsid w:val="62E269BE"/>
    <w:rsid w:val="63273FE2"/>
    <w:rsid w:val="633C4553"/>
    <w:rsid w:val="635E1DC8"/>
    <w:rsid w:val="63F8153B"/>
    <w:rsid w:val="66BF71C4"/>
    <w:rsid w:val="68A1291D"/>
    <w:rsid w:val="68B76BCA"/>
    <w:rsid w:val="68D12C7B"/>
    <w:rsid w:val="693646B5"/>
    <w:rsid w:val="69604790"/>
    <w:rsid w:val="6F100594"/>
    <w:rsid w:val="6FB05B67"/>
    <w:rsid w:val="70241AA7"/>
    <w:rsid w:val="7221670E"/>
    <w:rsid w:val="73222030"/>
    <w:rsid w:val="74B64137"/>
    <w:rsid w:val="76552FDB"/>
    <w:rsid w:val="77A46809"/>
    <w:rsid w:val="793E45B1"/>
    <w:rsid w:val="79FC6B53"/>
    <w:rsid w:val="7A5B26E7"/>
    <w:rsid w:val="7A610B9B"/>
    <w:rsid w:val="7AFA5663"/>
    <w:rsid w:val="7CB17AC6"/>
    <w:rsid w:val="7DAB739D"/>
    <w:rsid w:val="7E5118B3"/>
    <w:rsid w:val="7EBB4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9"/>
    <w:qFormat/>
    <w:uiPriority w:val="0"/>
    <w:rPr>
      <w:sz w:val="18"/>
      <w:szCs w:val="18"/>
    </w:rPr>
  </w:style>
  <w:style w:type="paragraph" w:styleId="5">
    <w:name w:val="footer"/>
    <w:basedOn w:val="1"/>
    <w:link w:val="18"/>
    <w:qFormat/>
    <w:uiPriority w:val="99"/>
    <w:pPr>
      <w:tabs>
        <w:tab w:val="center" w:pos="4153"/>
        <w:tab w:val="right" w:pos="8306"/>
      </w:tabs>
      <w:snapToGrid w:val="0"/>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38"/>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9">
    <w:name w:val="Table Grid"/>
    <w:basedOn w:val="8"/>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yperlink"/>
    <w:basedOn w:val="10"/>
    <w:unhideWhenUsed/>
    <w:qFormat/>
    <w:uiPriority w:val="99"/>
    <w:rPr>
      <w:color w:val="0000FF"/>
      <w:u w:val="single"/>
    </w:rPr>
  </w:style>
  <w:style w:type="character" w:styleId="13">
    <w:name w:val="annotation reference"/>
    <w:basedOn w:val="10"/>
    <w:qFormat/>
    <w:uiPriority w:val="0"/>
    <w:rPr>
      <w:sz w:val="21"/>
      <w:szCs w:val="21"/>
    </w:rPr>
  </w:style>
  <w:style w:type="paragraph" w:styleId="14">
    <w:name w:val="List Paragraph"/>
    <w:basedOn w:val="1"/>
    <w:qFormat/>
    <w:uiPriority w:val="0"/>
    <w:pPr>
      <w:ind w:firstLine="420" w:firstLineChars="200"/>
    </w:pPr>
    <w:rPr>
      <w:szCs w:val="22"/>
    </w:rPr>
  </w:style>
  <w:style w:type="paragraph" w:customStyle="1" w:styleId="15">
    <w:name w:val="标准文件_段"/>
    <w:link w:val="1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6">
    <w:name w:val="标准文件_段 Char"/>
    <w:link w:val="15"/>
    <w:qFormat/>
    <w:uiPriority w:val="0"/>
    <w:rPr>
      <w:rFonts w:ascii="宋体"/>
      <w:sz w:val="21"/>
    </w:rPr>
  </w:style>
  <w:style w:type="character" w:customStyle="1" w:styleId="17">
    <w:name w:val="页眉 字符"/>
    <w:basedOn w:val="10"/>
    <w:link w:val="6"/>
    <w:qFormat/>
    <w:uiPriority w:val="0"/>
    <w:rPr>
      <w:rFonts w:ascii="Times New Roman" w:hAnsi="Times New Roman"/>
      <w:kern w:val="2"/>
      <w:sz w:val="18"/>
      <w:szCs w:val="18"/>
    </w:rPr>
  </w:style>
  <w:style w:type="character" w:customStyle="1" w:styleId="18">
    <w:name w:val="页脚 字符"/>
    <w:basedOn w:val="10"/>
    <w:link w:val="5"/>
    <w:qFormat/>
    <w:uiPriority w:val="99"/>
    <w:rPr>
      <w:rFonts w:ascii="Times New Roman" w:hAnsi="Times New Roman"/>
      <w:kern w:val="2"/>
      <w:sz w:val="18"/>
      <w:szCs w:val="18"/>
    </w:rPr>
  </w:style>
  <w:style w:type="character" w:customStyle="1" w:styleId="19">
    <w:name w:val="批注框文本 字符"/>
    <w:basedOn w:val="10"/>
    <w:link w:val="4"/>
    <w:qFormat/>
    <w:uiPriority w:val="0"/>
    <w:rPr>
      <w:rFonts w:ascii="Times New Roman" w:hAnsi="Times New Roman"/>
      <w:kern w:val="2"/>
      <w:sz w:val="18"/>
      <w:szCs w:val="18"/>
    </w:rPr>
  </w:style>
  <w:style w:type="paragraph" w:customStyle="1" w:styleId="20">
    <w:name w:val="标准文件_二级条标题"/>
    <w:next w:val="15"/>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21">
    <w:name w:val="标准文件_三级条标题"/>
    <w:basedOn w:val="20"/>
    <w:next w:val="15"/>
    <w:qFormat/>
    <w:uiPriority w:val="0"/>
    <w:pPr>
      <w:widowControl/>
      <w:numPr>
        <w:ilvl w:val="4"/>
      </w:numPr>
      <w:outlineLvl w:val="3"/>
    </w:pPr>
  </w:style>
  <w:style w:type="paragraph" w:customStyle="1" w:styleId="22">
    <w:name w:val="标准文件_四级条标题"/>
    <w:next w:val="15"/>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23">
    <w:name w:val="标准文件_五级条标题"/>
    <w:next w:val="15"/>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24">
    <w:name w:val="标准文件_章标题"/>
    <w:next w:val="15"/>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5">
    <w:name w:val="标准文件_一级条标题"/>
    <w:basedOn w:val="24"/>
    <w:next w:val="15"/>
    <w:qFormat/>
    <w:uiPriority w:val="0"/>
    <w:pPr>
      <w:numPr>
        <w:ilvl w:val="2"/>
      </w:numPr>
      <w:spacing w:beforeLines="50" w:afterLines="50"/>
      <w:ind w:left="0"/>
      <w:outlineLvl w:val="1"/>
    </w:pPr>
  </w:style>
  <w:style w:type="paragraph" w:customStyle="1" w:styleId="26">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7">
    <w:name w:val="标准文件_二级无标题"/>
    <w:basedOn w:val="20"/>
    <w:qFormat/>
    <w:uiPriority w:val="0"/>
    <w:pPr>
      <w:spacing w:beforeLines="0" w:afterLines="0"/>
      <w:outlineLvl w:val="9"/>
    </w:pPr>
    <w:rPr>
      <w:rFonts w:ascii="宋体" w:eastAsia="宋体"/>
    </w:rPr>
  </w:style>
  <w:style w:type="character" w:customStyle="1" w:styleId="28">
    <w:name w:val="段 Char"/>
    <w:link w:val="29"/>
    <w:qFormat/>
    <w:uiPriority w:val="0"/>
    <w:rPr>
      <w:rFonts w:ascii="宋体"/>
      <w:sz w:val="21"/>
    </w:rPr>
  </w:style>
  <w:style w:type="paragraph" w:customStyle="1" w:styleId="29">
    <w:name w:val="段"/>
    <w:link w:val="28"/>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30">
    <w:name w:val="一级条标题"/>
    <w:next w:val="29"/>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1">
    <w:name w:val="章标题"/>
    <w:next w:val="29"/>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32">
    <w:name w:val="二级条标题"/>
    <w:basedOn w:val="30"/>
    <w:next w:val="29"/>
    <w:qFormat/>
    <w:uiPriority w:val="0"/>
    <w:pPr>
      <w:numPr>
        <w:ilvl w:val="2"/>
      </w:numPr>
      <w:spacing w:before="50" w:after="50"/>
      <w:outlineLvl w:val="3"/>
    </w:pPr>
  </w:style>
  <w:style w:type="paragraph" w:customStyle="1" w:styleId="33">
    <w:name w:val="三级条标题"/>
    <w:basedOn w:val="32"/>
    <w:next w:val="29"/>
    <w:qFormat/>
    <w:uiPriority w:val="0"/>
    <w:pPr>
      <w:numPr>
        <w:ilvl w:val="3"/>
      </w:numPr>
      <w:outlineLvl w:val="4"/>
    </w:pPr>
  </w:style>
  <w:style w:type="paragraph" w:customStyle="1" w:styleId="34">
    <w:name w:val="四级条标题"/>
    <w:basedOn w:val="33"/>
    <w:next w:val="29"/>
    <w:qFormat/>
    <w:uiPriority w:val="0"/>
    <w:pPr>
      <w:numPr>
        <w:ilvl w:val="4"/>
      </w:numPr>
      <w:outlineLvl w:val="5"/>
    </w:pPr>
  </w:style>
  <w:style w:type="paragraph" w:customStyle="1" w:styleId="35">
    <w:name w:val="五级条标题"/>
    <w:basedOn w:val="34"/>
    <w:next w:val="29"/>
    <w:qFormat/>
    <w:uiPriority w:val="0"/>
    <w:pPr>
      <w:numPr>
        <w:ilvl w:val="5"/>
      </w:numPr>
      <w:outlineLvl w:val="6"/>
    </w:pPr>
  </w:style>
  <w:style w:type="paragraph" w:customStyle="1" w:styleId="36">
    <w:name w:val="标准文件_术语条一"/>
    <w:basedOn w:val="1"/>
    <w:next w:val="15"/>
    <w:qFormat/>
    <w:uiPriority w:val="0"/>
    <w:pPr>
      <w:widowControl/>
      <w:numPr>
        <w:ilvl w:val="2"/>
        <w:numId w:val="3"/>
      </w:numPr>
    </w:pPr>
    <w:rPr>
      <w:rFonts w:ascii="宋体"/>
      <w:kern w:val="0"/>
      <w:szCs w:val="20"/>
    </w:rPr>
  </w:style>
  <w:style w:type="paragraph" w:customStyle="1" w:styleId="3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38">
    <w:name w:val="HTML 预设格式 字符"/>
    <w:basedOn w:val="10"/>
    <w:link w:val="7"/>
    <w:qFormat/>
    <w:uiPriority w:val="99"/>
    <w:rPr>
      <w:rFonts w:ascii="宋体" w:hAnsi="宋体" w:cs="宋体"/>
      <w:sz w:val="24"/>
      <w:szCs w:val="24"/>
    </w:rPr>
  </w:style>
  <w:style w:type="paragraph" w:styleId="39">
    <w:name w:val="No Spacing"/>
    <w:qFormat/>
    <w:uiPriority w:val="1"/>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1A5B6-0500-43C8-9826-2C8722BF60F3}">
  <ds:schemaRefs/>
</ds:datastoreItem>
</file>

<file path=docProps/app.xml><?xml version="1.0" encoding="utf-8"?>
<Properties xmlns="http://schemas.openxmlformats.org/officeDocument/2006/extended-properties" xmlns:vt="http://schemas.openxmlformats.org/officeDocument/2006/docPropsVTypes">
  <Template>Normal</Template>
  <Company>中国微软</Company>
  <Pages>15</Pages>
  <Words>6430</Words>
  <Characters>6722</Characters>
  <Lines>53</Lines>
  <Paragraphs>15</Paragraphs>
  <TotalTime>44</TotalTime>
  <ScaleCrop>false</ScaleCrop>
  <LinksUpToDate>false</LinksUpToDate>
  <CharactersWithSpaces>7304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2020-12-08T06:37:00Z</dcterms:created>
  <dc:creator>Administrator</dc:creator>
  <cp:lastModifiedBy>Crazy——林仔</cp:lastModifiedBy>
  <dcterms:modified xsi:type="dcterms:W3CDTF">2022-06-06T02:31:53Z</dcterms:modified>
  <cp:revision>435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1CA301F200DA4286829C608D26A58C09</vt:lpwstr>
  </property>
</Properties>
</file>