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0" w:firstLineChars="0"/>
      </w:pPr>
      <w:r>
        <w:rPr>
          <w:rFonts w:hint="eastAsia"/>
        </w:rPr>
        <w:t>团体标准《镉污染耕地伴矿景天和百香果套作技术规程》（征求意见稿）编制说明</w:t>
      </w:r>
    </w:p>
    <w:p>
      <w:pPr>
        <w:pStyle w:val="10"/>
        <w:numPr>
          <w:ilvl w:val="0"/>
          <w:numId w:val="0"/>
        </w:numPr>
        <w:spacing w:before="156" w:after="156"/>
        <w:ind w:left="640"/>
      </w:pPr>
      <w:r>
        <w:rPr>
          <w:rFonts w:hint="eastAsia"/>
        </w:rPr>
        <w:t>一、项目来源</w:t>
      </w:r>
    </w:p>
    <w:p>
      <w:pPr>
        <w:ind w:firstLine="640"/>
      </w:pPr>
      <w:r>
        <w:rPr>
          <w:rFonts w:hint="eastAsia"/>
        </w:rPr>
        <w:t>根据广西标准化协会《关于下达202</w:t>
      </w:r>
      <w:r>
        <w:t>2</w:t>
      </w:r>
      <w:r>
        <w:rPr>
          <w:rFonts w:hint="eastAsia"/>
        </w:rPr>
        <w:t>年第</w:t>
      </w:r>
      <w:r>
        <w:rPr>
          <w:rFonts w:hint="eastAsia"/>
          <w:lang w:val="en-US" w:eastAsia="zh-CN"/>
        </w:rPr>
        <w:t>十四</w:t>
      </w:r>
      <w:r>
        <w:rPr>
          <w:rFonts w:hint="eastAsia"/>
        </w:rPr>
        <w:t>批团体标准制定项目计划的通知》（桂标协〔202</w:t>
      </w:r>
      <w:r>
        <w:t>2</w:t>
      </w:r>
      <w:r>
        <w:rPr>
          <w:rFonts w:hint="eastAsia"/>
        </w:rPr>
        <w:t>〕</w:t>
      </w:r>
      <w:r>
        <w:rPr>
          <w:rFonts w:hint="eastAsia"/>
          <w:lang w:val="en-US" w:eastAsia="zh-CN"/>
        </w:rPr>
        <w:t>39</w:t>
      </w:r>
      <w:r>
        <w:rPr>
          <w:rFonts w:hint="eastAsia"/>
        </w:rPr>
        <w:t>号）文件精神，由桂林理工大学提出，桂林理工大学、广西师范大学、中山大学、中国科学院南京土壤研究所、广东省农业科学院农业质量标准与监测技术研究所、航天凯天环保科技股份有限公司</w:t>
      </w:r>
      <w:r>
        <w:rPr>
          <w:rFonts w:hint="eastAsia"/>
          <w:szCs w:val="32"/>
        </w:rPr>
        <w:t>共同起草的团体标准《</w:t>
      </w:r>
      <w:r>
        <w:rPr>
          <w:rFonts w:hint="eastAsia"/>
        </w:rPr>
        <w:t>镉污染耕地伴矿景天和百香果套作技术规程》</w:t>
      </w:r>
      <w:r>
        <w:rPr>
          <w:rFonts w:hint="eastAsia"/>
          <w:lang w:val="en-US" w:eastAsia="zh-CN"/>
        </w:rPr>
        <w:t>获批立项（项目编号：2022-1402）</w:t>
      </w:r>
      <w:r>
        <w:rPr>
          <w:rFonts w:hint="eastAsia"/>
        </w:rPr>
        <w:t>。</w:t>
      </w:r>
    </w:p>
    <w:p>
      <w:pPr>
        <w:pStyle w:val="10"/>
        <w:numPr>
          <w:ilvl w:val="0"/>
          <w:numId w:val="0"/>
        </w:numPr>
        <w:spacing w:before="156" w:after="156"/>
        <w:ind w:left="640"/>
      </w:pPr>
      <w:r>
        <w:rPr>
          <w:rFonts w:hint="eastAsia"/>
        </w:rPr>
        <w:t>二、项目背景及目的意义</w:t>
      </w:r>
    </w:p>
    <w:p>
      <w:pPr>
        <w:ind w:firstLine="640"/>
        <w:rPr>
          <w:rFonts w:hint="eastAsia"/>
        </w:rPr>
      </w:pPr>
      <w:r>
        <w:rPr>
          <w:rFonts w:hint="eastAsia"/>
        </w:rPr>
        <w:t>《中共中央国务院关于全面加强生态环境保护坚决打好污染防治攻坚战的意见》指出生态环境质量总体改善，主要污染物排放总量大幅减少，环境风险得到有效管控，生态环境保护水平同全面建成小康社会目标相适应。受污染耕地安全利用率达到90％左右，污染地块安全利用率达到90％以上。《广西生态环境保护“十四五”规划》（桂政办发〔2021〕145号）文件提出，深入打好土壤污染防治攻坚战，坚持源头防控、分类管理、严格准入、管控修复、协同治理，确保土壤和地下水环境安全；持续开展农村人居环境整治，打造美丽乡村，留住鸟语花香、田园风光。</w:t>
      </w:r>
    </w:p>
    <w:p>
      <w:pPr>
        <w:ind w:firstLine="640"/>
        <w:rPr>
          <w:rFonts w:hint="eastAsia"/>
        </w:rPr>
      </w:pPr>
      <w:r>
        <w:rPr>
          <w:rFonts w:hint="eastAsia"/>
        </w:rPr>
        <w:t>镉是土壤中最普遍的污染物之一。全国土壤污染状况调查公报显示，我国土壤镉的点位超标率达7%，是所有无机污染物中最高的。因为镉与其他重金属相比，具有较高的移动性和生物有效性，易通过食物链威胁人体健康，所以该元素也被认为是土壤中危害性最大的污染物之一。摄入过量的镉会损伤肾脏和神经系统，并导致骨质疏松和免疫力下降，因此，土壤镉污染的治理已成为关系公众健康的重要环境问题。广西矿产资源丰富，有色金属矿产开采、选矿和冶炼加剧了土壤重金属污染。同时，喀斯特地貌发育普遍，地表径流扩大了重金属污染土壤的范围。广西作为全国14个重金属污染防治重点省区之一，农田土壤重金属污染问题突出。据广西环境科学研究院统计，全区镉超标土壤面积高达30%以上，远远高于全国平均水平，依据以上信息保守评估，广西镉污染农田面积高达3289万亩。因此，在科技部、环保部、农业部和财政部等多部门支持下，广西已在多地区开展了镉污染农田土壤修复示范工程。在这些工程实践中，基于超积累植物伴矿景天的植物修复技术已成功地应用于镉污染耕地修复领域，并取得了较好的修复效果。但是，单纯种植伴矿景天无法为当地人民带来可持续性的农耕经济收益且关于该植物修复技术的规范化和标准化仍十分缺乏。</w:t>
      </w:r>
    </w:p>
    <w:p>
      <w:pPr>
        <w:ind w:firstLine="640"/>
        <w:rPr>
          <w:rFonts w:hint="eastAsia"/>
        </w:rPr>
      </w:pPr>
      <w:r>
        <w:rPr>
          <w:rFonts w:hint="eastAsia"/>
        </w:rPr>
        <w:t>以超积累植物为主体的植物提取技术，因其原位彻底、绿色无二次污染、不破坏土壤结构等优点，在国内外得到了迅速发展。该技术在大面积重金属污染耕地修复上具有广泛的应用潜力。近年来，国内外就超积累植物的筛选与鉴定、重金属超积累生理机制、以及修复技术的应用和修复效率调控等方面已有诸多报道。目前，我国在超积累植物资源筛选、修复技术应用等方面取得了长足发展，一定程度上引领了世界的发展。应用于镉污染田间修复的典型镉超积累植物主要集中在景天科植物东南景天和伴矿景天，它们都具有生物量较大、适应性较强和能多次收割的优点，经研究估算，如要实现土壤镉含量低于0.3 mg/kg的安全限值，对于严重镉污染土壤（总镉含量大于10 mg/kg），可能需要几十到上百年的景天种植修复时间；对于重度镉污染土壤（总镉含量约为2-4 mg/kg），可能也需要十到二十年的景天种植修复时间；但对于中轻度镉污染土壤（总镉含量约为0.3-1mg/kg），则仅需要2-3年的景天种植修复时间，因此，想要通过短期种植镉超积累植物伴矿景天达到理想的镉污染土壤修复效果并不容易，每种技术都有它的适用范围，针对性选取中轻度镉污染程度的耕地土壤开展植物提取技术标准化工程应用非常必要。</w:t>
      </w:r>
    </w:p>
    <w:p>
      <w:pPr>
        <w:ind w:firstLine="640"/>
        <w:rPr>
          <w:rFonts w:hint="eastAsia"/>
        </w:rPr>
      </w:pPr>
      <w:r>
        <w:rPr>
          <w:rFonts w:hint="eastAsia"/>
        </w:rPr>
        <w:t>目前植物提取技术是其中最具发展潜力的一项技术：主要通过种植超积累植物将农田土壤中的重金属高效吸收、转运和储存至植株地上部，再经过刈割方式收获地上部植株，安全焚烧后回收/处置重金属灰渣，从而降低土壤中重金属的总量，达到根治土壤重金属污染的目的。该技术具有原位净化土壤重金属的能力，因此在重金属污染农田土壤修复领域备受青睐。然而，大面积种植无农耕经济收益的超积累植物不仅降低当地农民对农业生产的积极性，还可能引发其他负面情绪，导致修复工程进展缓慢、效果不佳等问题。因此，如何利用超积累植物修复耕地，同时恢复污染荒地的农业生产活动是该技术在工程实践中应用推广的关键。在广西境内探索并构建实现“高效修复与安全生产”的植物修复技术双赢模式至关重要。</w:t>
      </w:r>
    </w:p>
    <w:p>
      <w:pPr>
        <w:ind w:firstLine="640"/>
      </w:pPr>
      <w:r>
        <w:rPr>
          <w:rFonts w:hint="eastAsia"/>
        </w:rPr>
        <w:t>通过制定团体标准《镉污染耕地伴矿景天和百香果套作技术规程》与实施，利用超积累植物修复耕地，同时恢复污染荒地的农业生产活动。将对农产品安全、农业可持续发展和农民增收都会产生重要的影响，具有良好的环境效益和社会效益，对全区乃至全国的农村环境保护工作都具有重要意义。</w:t>
      </w:r>
    </w:p>
    <w:p>
      <w:pPr>
        <w:pStyle w:val="10"/>
        <w:numPr>
          <w:ilvl w:val="0"/>
          <w:numId w:val="0"/>
        </w:numPr>
        <w:spacing w:before="156" w:after="156"/>
        <w:ind w:left="640"/>
      </w:pPr>
      <w:r>
        <w:rPr>
          <w:rFonts w:hint="eastAsia"/>
        </w:rPr>
        <w:t>三、项目编制过程</w:t>
      </w:r>
    </w:p>
    <w:p>
      <w:pPr>
        <w:spacing w:before="156" w:beforeLines="50" w:after="156" w:afterLines="50"/>
        <w:ind w:firstLine="643"/>
        <w:rPr>
          <w:b/>
          <w:bCs/>
          <w:color w:val="auto"/>
        </w:rPr>
      </w:pPr>
      <w:r>
        <w:rPr>
          <w:rFonts w:hint="eastAsia"/>
          <w:b/>
          <w:bCs/>
          <w:color w:val="auto"/>
        </w:rPr>
        <w:t>（一）成立标准编制工作组</w:t>
      </w:r>
    </w:p>
    <w:p>
      <w:pPr>
        <w:ind w:firstLine="640"/>
        <w:rPr>
          <w:rFonts w:ascii="仿宋_GB2312" w:hAnsi="宋体"/>
          <w:color w:val="auto"/>
          <w:szCs w:val="28"/>
          <w:lang w:val="zh-CN"/>
        </w:rPr>
      </w:pPr>
      <w:r>
        <w:rPr>
          <w:rFonts w:hint="eastAsia" w:ascii="仿宋_GB2312" w:hAnsi="宋体"/>
          <w:color w:val="auto"/>
          <w:szCs w:val="28"/>
          <w:lang w:val="zh-CN"/>
        </w:rPr>
        <w:t>团体标准《</w:t>
      </w:r>
      <w:r>
        <w:rPr>
          <w:rFonts w:hint="eastAsia"/>
          <w:color w:val="auto"/>
          <w:szCs w:val="32"/>
          <w:lang w:eastAsia="zh-CN"/>
        </w:rPr>
        <w:t>镉污染耕地伴矿景天和百香果套作技术规程</w:t>
      </w:r>
      <w:r>
        <w:rPr>
          <w:rFonts w:hint="eastAsia" w:ascii="仿宋_GB2312" w:hAnsi="宋体"/>
          <w:color w:val="auto"/>
          <w:szCs w:val="28"/>
          <w:lang w:val="zh-CN"/>
        </w:rPr>
        <w:t>》项目任务下达后，桂林理工大学成立了标准编制工作组，制定了标准编写方案，明确任务职责，确定工作技术路线，开展标准研制工作，具体标准编制工作由中山大学、中国科学院南京土壤研究所、广东省农业科学院农业质量标准与监测技术研究所、航天凯天环保科技股份有限公司等单位相关人员配合。</w:t>
      </w:r>
    </w:p>
    <w:p>
      <w:pPr>
        <w:spacing w:before="156" w:beforeLines="50" w:after="156" w:afterLines="50"/>
        <w:ind w:firstLine="643"/>
        <w:rPr>
          <w:b/>
          <w:bCs/>
          <w:color w:val="auto"/>
        </w:rPr>
      </w:pPr>
      <w:r>
        <w:rPr>
          <w:rFonts w:hint="eastAsia"/>
          <w:b/>
          <w:bCs/>
          <w:color w:val="auto"/>
        </w:rPr>
        <w:t>（二）收集整理文献资料</w:t>
      </w:r>
    </w:p>
    <w:p>
      <w:pPr>
        <w:ind w:firstLine="640"/>
        <w:rPr>
          <w:color w:val="auto"/>
        </w:rPr>
      </w:pPr>
      <w:r>
        <w:rPr>
          <w:rFonts w:hint="eastAsia"/>
          <w:color w:val="auto"/>
        </w:rPr>
        <w:t>标准编制工作组收集了国内有关有关土壤修复、百香果种植的相关技术文献资料。主要有：</w:t>
      </w:r>
    </w:p>
    <w:p>
      <w:pPr>
        <w:ind w:firstLine="640"/>
        <w:rPr>
          <w:rFonts w:hint="eastAsia" w:ascii="仿宋_GB2312" w:hAnsi="宋体"/>
          <w:color w:val="auto"/>
          <w:szCs w:val="28"/>
          <w:lang w:val="zh-CN"/>
        </w:rPr>
      </w:pPr>
      <w:r>
        <w:rPr>
          <w:rFonts w:hint="eastAsia" w:ascii="仿宋_GB2312" w:hAnsi="宋体"/>
          <w:color w:val="auto"/>
          <w:szCs w:val="28"/>
          <w:lang w:val="zh-CN"/>
        </w:rPr>
        <w:t>GB 15618-2018《土壤环境质量 农用地土壤污染风险管控标准（试行）》</w:t>
      </w:r>
    </w:p>
    <w:p>
      <w:pPr>
        <w:rPr>
          <w:rFonts w:hint="eastAsia" w:ascii="仿宋_GB2312" w:hAnsi="宋体"/>
          <w:color w:val="auto"/>
          <w:szCs w:val="28"/>
          <w:lang w:val="zh-CN"/>
        </w:rPr>
      </w:pPr>
      <w:r>
        <w:rPr>
          <w:rFonts w:hint="eastAsia" w:ascii="仿宋_GB2312" w:hAnsi="宋体"/>
          <w:color w:val="auto"/>
          <w:szCs w:val="28"/>
          <w:lang w:val="zh-CN"/>
        </w:rPr>
        <w:t>HG/T 5553-2019《土壤修复用过氧化氢》</w:t>
      </w:r>
    </w:p>
    <w:p>
      <w:pPr>
        <w:rPr>
          <w:rFonts w:hint="eastAsia" w:ascii="仿宋_GB2312" w:hAnsi="宋体"/>
          <w:color w:val="auto"/>
          <w:szCs w:val="28"/>
          <w:lang w:val="zh-CN"/>
        </w:rPr>
      </w:pPr>
      <w:r>
        <w:rPr>
          <w:rFonts w:hint="eastAsia" w:ascii="仿宋_GB2312" w:hAnsi="宋体"/>
          <w:color w:val="auto"/>
          <w:szCs w:val="28"/>
          <w:lang w:val="zh-CN"/>
        </w:rPr>
        <w:t>HJ25.4-2014《污染场地土壤修复技术导则 》</w:t>
      </w:r>
    </w:p>
    <w:p>
      <w:pPr>
        <w:rPr>
          <w:rFonts w:hint="eastAsia" w:ascii="仿宋_GB2312" w:hAnsi="宋体"/>
          <w:color w:val="auto"/>
          <w:szCs w:val="28"/>
          <w:lang w:val="zh-CN"/>
        </w:rPr>
      </w:pPr>
      <w:r>
        <w:rPr>
          <w:rFonts w:hint="eastAsia" w:ascii="仿宋_GB2312" w:hAnsi="宋体"/>
          <w:color w:val="auto"/>
          <w:szCs w:val="28"/>
          <w:lang w:val="zh-CN"/>
        </w:rPr>
        <w:t>DB13/T 2206-2020《农用地土壤重金属污染修复技术规程》</w:t>
      </w:r>
    </w:p>
    <w:p>
      <w:pPr>
        <w:rPr>
          <w:rFonts w:hint="eastAsia" w:ascii="仿宋_GB2312" w:hAnsi="宋体"/>
          <w:color w:val="auto"/>
          <w:szCs w:val="28"/>
          <w:lang w:val="en-US" w:eastAsia="zh-CN"/>
        </w:rPr>
      </w:pPr>
      <w:r>
        <w:rPr>
          <w:rFonts w:hint="eastAsia" w:ascii="仿宋_GB2312" w:hAnsi="宋体"/>
          <w:color w:val="auto"/>
          <w:szCs w:val="28"/>
          <w:lang w:val="en-US" w:eastAsia="zh-CN"/>
        </w:rPr>
        <w:t>DB45/T 2094—2019《黄金百香果栽培技术规程》</w:t>
      </w:r>
    </w:p>
    <w:p>
      <w:pPr>
        <w:rPr>
          <w:rFonts w:hint="eastAsia" w:ascii="仿宋_GB2312" w:hAnsi="宋体"/>
          <w:color w:val="auto"/>
          <w:szCs w:val="28"/>
          <w:lang w:val="zh-CN" w:eastAsia="zh-CN"/>
        </w:rPr>
      </w:pPr>
      <w:r>
        <w:rPr>
          <w:rFonts w:hint="eastAsia" w:ascii="仿宋_GB2312" w:hAnsi="宋体"/>
          <w:color w:val="auto"/>
          <w:szCs w:val="28"/>
          <w:lang w:val="zh-CN" w:eastAsia="zh-CN"/>
        </w:rPr>
        <w:t>DB45/T 2098-2019《百香果标准果园建设规范》</w:t>
      </w:r>
    </w:p>
    <w:p>
      <w:pPr>
        <w:rPr>
          <w:rFonts w:hint="eastAsia" w:ascii="仿宋_GB2312" w:hAnsi="宋体"/>
          <w:color w:val="auto"/>
          <w:szCs w:val="28"/>
          <w:lang w:val="zh-CN"/>
        </w:rPr>
      </w:pPr>
      <w:r>
        <w:rPr>
          <w:rFonts w:hint="eastAsia" w:ascii="仿宋_GB2312" w:hAnsi="宋体"/>
          <w:color w:val="auto"/>
          <w:szCs w:val="28"/>
          <w:lang w:val="zh-CN"/>
        </w:rPr>
        <w:t>DB45/T 2145-2020《农田土壤重金属污染修复技术规范》</w:t>
      </w:r>
    </w:p>
    <w:p>
      <w:pPr>
        <w:pStyle w:val="2"/>
        <w:rPr>
          <w:rFonts w:hint="default" w:ascii="仿宋_GB2312" w:hAnsi="宋体"/>
          <w:color w:val="auto"/>
          <w:szCs w:val="28"/>
          <w:lang w:val="en-US" w:eastAsia="zh-CN"/>
        </w:rPr>
      </w:pPr>
      <w:r>
        <w:rPr>
          <w:rFonts w:hint="eastAsia" w:ascii="仿宋_GB2312" w:hAnsi="宋体"/>
          <w:color w:val="auto"/>
          <w:szCs w:val="28"/>
          <w:lang w:val="zh-CN"/>
        </w:rPr>
        <w:t>DB45/T 2</w:t>
      </w:r>
      <w:r>
        <w:rPr>
          <w:rFonts w:hint="eastAsia" w:ascii="仿宋_GB2312" w:hAnsi="宋体"/>
          <w:color w:val="auto"/>
          <w:szCs w:val="28"/>
          <w:lang w:val="en-US" w:eastAsia="zh-CN"/>
        </w:rPr>
        <w:t>306</w:t>
      </w:r>
      <w:r>
        <w:rPr>
          <w:rFonts w:hint="eastAsia" w:ascii="仿宋_GB2312" w:hAnsi="宋体"/>
          <w:color w:val="auto"/>
          <w:szCs w:val="28"/>
          <w:lang w:val="zh-CN"/>
        </w:rPr>
        <w:t>-202</w:t>
      </w:r>
      <w:r>
        <w:rPr>
          <w:rFonts w:hint="eastAsia" w:ascii="仿宋_GB2312" w:hAnsi="宋体"/>
          <w:color w:val="auto"/>
          <w:szCs w:val="28"/>
          <w:lang w:val="en-US" w:eastAsia="zh-CN"/>
        </w:rPr>
        <w:t>1《百香果无病毒健康种苗栽培技术规程》</w:t>
      </w:r>
    </w:p>
    <w:p>
      <w:pPr>
        <w:spacing w:before="156" w:beforeLines="50" w:after="156" w:afterLines="50"/>
        <w:ind w:firstLine="643"/>
        <w:rPr>
          <w:b/>
          <w:bCs/>
          <w:color w:val="auto"/>
        </w:rPr>
      </w:pPr>
      <w:r>
        <w:rPr>
          <w:rFonts w:hint="eastAsia"/>
          <w:b/>
          <w:bCs/>
          <w:color w:val="auto"/>
        </w:rPr>
        <w:t>（三）研讨确定标准主体内容</w:t>
      </w:r>
    </w:p>
    <w:p>
      <w:pPr>
        <w:pStyle w:val="13"/>
        <w:numPr>
          <w:ilvl w:val="0"/>
          <w:numId w:val="0"/>
        </w:numPr>
        <w:spacing w:before="156" w:after="156"/>
        <w:ind w:firstLine="640" w:firstLineChars="200"/>
        <w:rPr>
          <w:rFonts w:ascii="仿宋_GB2312" w:hAnsi="宋体" w:eastAsia="仿宋_GB2312" w:cs="Times New Roman"/>
          <w:b w:val="0"/>
          <w:color w:val="auto"/>
          <w:szCs w:val="28"/>
          <w:lang w:val="zh-CN"/>
        </w:rPr>
      </w:pPr>
      <w:r>
        <w:rPr>
          <w:rFonts w:hint="eastAsia" w:ascii="仿宋_GB2312" w:hAnsi="宋体" w:eastAsia="仿宋_GB2312" w:cs="Times New Roman"/>
          <w:b w:val="0"/>
          <w:color w:val="auto"/>
          <w:szCs w:val="28"/>
          <w:lang w:val="zh-CN"/>
        </w:rPr>
        <w:t>标准编制工作组在对收集的资料进行整理研究后，标准编制工作组召开了标准编制会议，对标准的整体框架进行了研究，并对标准的关键性问题进行了初步探讨。经过研究，标准的主体内容包括术语和定义、土壤调查、土壤调查、百香果种植管理、伴矿景天种植管理、植株检测及处理等。</w:t>
      </w:r>
    </w:p>
    <w:p>
      <w:pPr>
        <w:spacing w:before="156" w:beforeLines="50" w:after="156" w:afterLines="50"/>
        <w:ind w:firstLine="643"/>
        <w:rPr>
          <w:b/>
          <w:bCs/>
          <w:color w:val="auto"/>
        </w:rPr>
      </w:pPr>
      <w:r>
        <w:rPr>
          <w:rFonts w:hint="eastAsia"/>
          <w:b/>
          <w:bCs/>
          <w:color w:val="auto"/>
        </w:rPr>
        <w:t>（四）形成文本草案、征求意见稿</w:t>
      </w:r>
    </w:p>
    <w:p>
      <w:pPr>
        <w:ind w:firstLine="640"/>
        <w:rPr>
          <w:color w:val="auto"/>
        </w:rPr>
      </w:pPr>
      <w:r>
        <w:rPr>
          <w:rFonts w:hint="eastAsia"/>
          <w:color w:val="auto"/>
        </w:rPr>
        <w:t>202</w:t>
      </w:r>
      <w:r>
        <w:rPr>
          <w:color w:val="auto"/>
        </w:rPr>
        <w:t>2</w:t>
      </w:r>
      <w:r>
        <w:rPr>
          <w:rFonts w:hint="eastAsia"/>
          <w:color w:val="auto"/>
        </w:rPr>
        <w:t>年</w:t>
      </w:r>
      <w:r>
        <w:rPr>
          <w:color w:val="auto"/>
        </w:rPr>
        <w:t>4</w:t>
      </w:r>
      <w:r>
        <w:rPr>
          <w:rFonts w:hint="eastAsia"/>
          <w:color w:val="auto"/>
        </w:rPr>
        <w:t>月，标准起草工作小组进行了广泛实地调研工作，查阅了大量的国内外文献资料，对镉污染耕地伴矿景天和百香果套作技术进行系统总结。经编制组反复讨论，形成了标准的基本构架，对主要内容进行了讨论并对项目的工作进行了部署和安排。在前期工作的基础之上，通过理清逻辑脉络，整合已有的参考资料中有关</w:t>
      </w:r>
      <w:r>
        <w:rPr>
          <w:rFonts w:hint="eastAsia"/>
          <w:color w:val="auto"/>
          <w:szCs w:val="32"/>
          <w:lang w:eastAsia="zh-CN"/>
        </w:rPr>
        <w:t>镉污染耕地伴矿景天和百香果套作技术</w:t>
      </w:r>
      <w:r>
        <w:rPr>
          <w:rFonts w:hint="eastAsia"/>
          <w:color w:val="auto"/>
        </w:rPr>
        <w:t>，并结合实际要求的基础上，按照简化、统一等原则编制完成团体标准《</w:t>
      </w:r>
      <w:r>
        <w:rPr>
          <w:rFonts w:hint="eastAsia"/>
          <w:color w:val="auto"/>
          <w:szCs w:val="32"/>
          <w:lang w:eastAsia="zh-CN"/>
        </w:rPr>
        <w:t>镉污染耕地伴矿景天和百香果套作技术规程</w:t>
      </w:r>
      <w:r>
        <w:rPr>
          <w:rFonts w:hint="eastAsia"/>
          <w:color w:val="auto"/>
        </w:rPr>
        <w:t>》（草案）。</w:t>
      </w:r>
    </w:p>
    <w:p>
      <w:pPr>
        <w:ind w:firstLine="640"/>
        <w:rPr>
          <w:color w:val="auto"/>
        </w:rPr>
      </w:pPr>
      <w:r>
        <w:rPr>
          <w:rFonts w:hint="eastAsia"/>
          <w:color w:val="auto"/>
        </w:rPr>
        <w:t>202</w:t>
      </w:r>
      <w:r>
        <w:rPr>
          <w:color w:val="auto"/>
        </w:rPr>
        <w:t>2</w:t>
      </w:r>
      <w:r>
        <w:rPr>
          <w:rFonts w:hint="eastAsia"/>
          <w:color w:val="auto"/>
        </w:rPr>
        <w:t>年</w:t>
      </w:r>
      <w:r>
        <w:rPr>
          <w:color w:val="auto"/>
        </w:rPr>
        <w:t>5</w:t>
      </w:r>
      <w:r>
        <w:rPr>
          <w:rFonts w:hint="eastAsia"/>
          <w:color w:val="auto"/>
        </w:rPr>
        <w:t>月，向区内涉及领域的部门及相关专家征求团体标准《</w:t>
      </w:r>
      <w:r>
        <w:rPr>
          <w:rFonts w:hint="eastAsia"/>
          <w:color w:val="auto"/>
          <w:szCs w:val="32"/>
          <w:lang w:eastAsia="zh-CN"/>
        </w:rPr>
        <w:t>镉污染耕地伴矿景天和百香果套作技术规程</w:t>
      </w:r>
      <w:r>
        <w:rPr>
          <w:rFonts w:hint="eastAsia"/>
          <w:color w:val="auto"/>
        </w:rPr>
        <w:t>》（草案）意见。</w:t>
      </w:r>
    </w:p>
    <w:p>
      <w:pPr>
        <w:spacing w:line="600" w:lineRule="exact"/>
        <w:ind w:firstLine="640"/>
        <w:rPr>
          <w:color w:val="auto"/>
        </w:rPr>
      </w:pPr>
      <w:r>
        <w:rPr>
          <w:rFonts w:hint="eastAsia"/>
          <w:color w:val="auto"/>
        </w:rPr>
        <w:t>202</w:t>
      </w:r>
      <w:r>
        <w:rPr>
          <w:color w:val="auto"/>
        </w:rPr>
        <w:t>2</w:t>
      </w:r>
      <w:r>
        <w:rPr>
          <w:rFonts w:hint="eastAsia"/>
          <w:color w:val="auto"/>
        </w:rPr>
        <w:t>年</w:t>
      </w:r>
      <w:r>
        <w:rPr>
          <w:rFonts w:hint="eastAsia"/>
          <w:color w:val="auto"/>
          <w:lang w:val="en-US" w:eastAsia="zh-CN"/>
        </w:rPr>
        <w:t>6</w:t>
      </w:r>
      <w:r>
        <w:rPr>
          <w:rFonts w:hint="eastAsia"/>
          <w:color w:val="auto"/>
        </w:rPr>
        <w:t>月，标准组深入广西各地区有代表性的</w:t>
      </w:r>
      <w:r>
        <w:rPr>
          <w:rFonts w:hint="eastAsia"/>
          <w:color w:val="auto"/>
          <w:szCs w:val="32"/>
          <w:lang w:eastAsia="zh-CN"/>
        </w:rPr>
        <w:t>镉污染耕地伴矿景天和百香果套作</w:t>
      </w:r>
      <w:r>
        <w:rPr>
          <w:rFonts w:hint="eastAsia"/>
          <w:color w:val="auto"/>
          <w:szCs w:val="32"/>
          <w:lang w:val="en-US" w:eastAsia="zh-CN"/>
        </w:rPr>
        <w:t>生产基地</w:t>
      </w:r>
      <w:r>
        <w:rPr>
          <w:rFonts w:hint="eastAsia"/>
          <w:color w:val="auto"/>
        </w:rPr>
        <w:t>实地调研，并实地征求团体标准《</w:t>
      </w:r>
      <w:r>
        <w:rPr>
          <w:rFonts w:hint="eastAsia"/>
          <w:color w:val="auto"/>
          <w:szCs w:val="32"/>
          <w:lang w:eastAsia="zh-CN"/>
        </w:rPr>
        <w:t>镉污染耕地伴矿景天和百香果套作技术规程</w:t>
      </w:r>
      <w:r>
        <w:rPr>
          <w:rFonts w:hint="eastAsia"/>
          <w:color w:val="auto"/>
        </w:rPr>
        <w:t>》（草案）意见。</w:t>
      </w:r>
      <w:r>
        <w:rPr>
          <w:rFonts w:hint="eastAsia" w:ascii="仿宋_GB2312" w:hAnsi="宋体"/>
          <w:color w:val="auto"/>
          <w:szCs w:val="28"/>
        </w:rPr>
        <w:t>通过收集反馈了大量意见，标准编制工作组多次召开会议，对标准草案进行了反复修改和研究讨论。最终形成了团体标准《</w:t>
      </w:r>
      <w:r>
        <w:rPr>
          <w:rFonts w:hint="eastAsia"/>
          <w:color w:val="auto"/>
          <w:szCs w:val="32"/>
          <w:lang w:eastAsia="zh-CN"/>
        </w:rPr>
        <w:t>镉污染耕地伴矿景天和百香果套作技术规程</w:t>
      </w:r>
      <w:r>
        <w:rPr>
          <w:rFonts w:hint="eastAsia" w:ascii="仿宋_GB2312" w:hAnsi="宋体"/>
          <w:color w:val="auto"/>
          <w:szCs w:val="28"/>
        </w:rPr>
        <w:t>》（征求意见稿）和（征求意见稿）编制说明。</w:t>
      </w:r>
    </w:p>
    <w:p>
      <w:pPr>
        <w:pStyle w:val="10"/>
        <w:numPr>
          <w:ilvl w:val="0"/>
          <w:numId w:val="0"/>
        </w:numPr>
        <w:spacing w:before="156" w:after="156"/>
        <w:ind w:left="640"/>
        <w:rPr>
          <w:color w:val="auto"/>
        </w:rPr>
      </w:pPr>
      <w:bookmarkStart w:id="0" w:name="_Toc526940083"/>
      <w:r>
        <w:rPr>
          <w:rFonts w:hint="eastAsia"/>
          <w:color w:val="auto"/>
        </w:rPr>
        <w:t>四、标准制定原则</w:t>
      </w:r>
      <w:bookmarkEnd w:id="0"/>
    </w:p>
    <w:p>
      <w:pPr>
        <w:spacing w:before="156" w:beforeLines="50" w:after="156" w:afterLines="50"/>
        <w:ind w:firstLine="643"/>
        <w:rPr>
          <w:b/>
          <w:bCs/>
          <w:color w:val="auto"/>
        </w:rPr>
      </w:pPr>
      <w:r>
        <w:rPr>
          <w:rFonts w:hint="eastAsia"/>
          <w:b/>
          <w:bCs/>
          <w:color w:val="auto"/>
        </w:rPr>
        <w:t>（一）实用性原则</w:t>
      </w:r>
    </w:p>
    <w:p>
      <w:pPr>
        <w:ind w:firstLine="640"/>
        <w:rPr>
          <w:b/>
          <w:bCs/>
          <w:color w:val="auto"/>
        </w:rPr>
      </w:pPr>
      <w:r>
        <w:rPr>
          <w:rFonts w:hint="eastAsia"/>
          <w:color w:val="auto"/>
        </w:rPr>
        <w:t>本文件中有关</w:t>
      </w:r>
      <w:r>
        <w:rPr>
          <w:rFonts w:hint="eastAsia"/>
          <w:color w:val="auto"/>
          <w:szCs w:val="32"/>
          <w:lang w:eastAsia="zh-CN"/>
        </w:rPr>
        <w:t>镉污染耕地伴矿景天和百香果套作技术</w:t>
      </w:r>
      <w:r>
        <w:rPr>
          <w:rFonts w:hint="eastAsia"/>
          <w:color w:val="auto"/>
        </w:rPr>
        <w:t>内容及要求的规定，是在充分收集相关资料和文献，分析</w:t>
      </w:r>
      <w:r>
        <w:rPr>
          <w:rFonts w:hint="eastAsia"/>
          <w:color w:val="auto"/>
          <w:szCs w:val="32"/>
          <w:lang w:eastAsia="zh-CN"/>
        </w:rPr>
        <w:t>镉污染耕地伴矿景天和百香果套作技术</w:t>
      </w:r>
      <w:r>
        <w:rPr>
          <w:rFonts w:hint="eastAsia"/>
          <w:color w:val="auto"/>
        </w:rPr>
        <w:t>现状，调研</w:t>
      </w:r>
      <w:r>
        <w:rPr>
          <w:rFonts w:hint="eastAsia"/>
          <w:color w:val="auto"/>
          <w:szCs w:val="32"/>
          <w:lang w:eastAsia="zh-CN"/>
        </w:rPr>
        <w:t>镉污染耕地伴矿景天和百香果套作</w:t>
      </w:r>
      <w:r>
        <w:rPr>
          <w:rFonts w:hint="eastAsia"/>
          <w:color w:val="auto"/>
        </w:rPr>
        <w:t>情况的基础上，进行制定。符合当前</w:t>
      </w:r>
      <w:r>
        <w:rPr>
          <w:rFonts w:hint="eastAsia"/>
          <w:color w:val="auto"/>
          <w:szCs w:val="32"/>
          <w:lang w:eastAsia="zh-CN"/>
        </w:rPr>
        <w:t>镉污染耕地伴矿景天和百香果套作技术</w:t>
      </w:r>
      <w:r>
        <w:rPr>
          <w:rFonts w:hint="eastAsia"/>
          <w:color w:val="auto"/>
        </w:rPr>
        <w:t>发展水平，具有较强的实用性和可操作性</w:t>
      </w:r>
      <w:r>
        <w:rPr>
          <w:rFonts w:hint="eastAsia"/>
          <w:color w:val="auto"/>
          <w:lang w:eastAsia="zh-CN"/>
        </w:rPr>
        <w:t>。</w:t>
      </w:r>
      <w:r>
        <w:rPr>
          <w:color w:val="auto"/>
        </w:rPr>
        <w:tab/>
      </w:r>
      <w:r>
        <w:rPr>
          <w:rFonts w:hint="eastAsia"/>
          <w:b/>
          <w:bCs/>
          <w:color w:val="auto"/>
        </w:rPr>
        <w:t>（二）协调性原则</w:t>
      </w:r>
    </w:p>
    <w:p>
      <w:pPr>
        <w:ind w:firstLine="640"/>
        <w:rPr>
          <w:color w:val="auto"/>
        </w:rPr>
      </w:pPr>
      <w:r>
        <w:rPr>
          <w:rFonts w:hint="eastAsia"/>
          <w:color w:val="auto"/>
        </w:rPr>
        <w:t>本在标准编写过程中注意了与</w:t>
      </w:r>
      <w:r>
        <w:rPr>
          <w:rFonts w:hint="eastAsia"/>
          <w:color w:val="auto"/>
          <w:szCs w:val="32"/>
          <w:lang w:eastAsia="zh-CN"/>
        </w:rPr>
        <w:t>镉污染耕地伴矿景天和百香果套作技术</w:t>
      </w:r>
      <w:r>
        <w:rPr>
          <w:rFonts w:hint="eastAsia"/>
          <w:color w:val="auto"/>
        </w:rPr>
        <w:t>相关法律法规、标准的协调问题，在内容上与现行法律法规、标准协调一致。</w:t>
      </w:r>
    </w:p>
    <w:p>
      <w:pPr>
        <w:spacing w:before="156" w:beforeLines="50" w:after="156" w:afterLines="50"/>
        <w:ind w:firstLine="643"/>
        <w:rPr>
          <w:b/>
          <w:bCs/>
          <w:color w:val="auto"/>
        </w:rPr>
      </w:pPr>
      <w:r>
        <w:rPr>
          <w:rFonts w:hint="eastAsia"/>
          <w:b/>
          <w:bCs/>
          <w:color w:val="auto"/>
        </w:rPr>
        <w:t>（三）规范性原则</w:t>
      </w:r>
    </w:p>
    <w:p>
      <w:pPr>
        <w:ind w:firstLine="640"/>
        <w:rPr>
          <w:color w:val="auto"/>
        </w:rPr>
      </w:pPr>
      <w:r>
        <w:rPr>
          <w:rFonts w:hint="eastAsia"/>
          <w:color w:val="auto"/>
        </w:rPr>
        <w:t>本文件严格按照GB/T 1.1—2020《标准化工作导则  第1部分：标准化文件的结构和起草规则》的要求和规定编写本文件的内容，保证标准的编写质量。</w:t>
      </w:r>
    </w:p>
    <w:p>
      <w:pPr>
        <w:spacing w:before="156" w:beforeLines="50" w:after="156" w:afterLines="50"/>
        <w:ind w:firstLine="643"/>
        <w:rPr>
          <w:b/>
          <w:bCs/>
          <w:color w:val="auto"/>
        </w:rPr>
      </w:pPr>
      <w:r>
        <w:rPr>
          <w:rFonts w:hint="eastAsia"/>
          <w:b/>
          <w:bCs/>
          <w:color w:val="auto"/>
        </w:rPr>
        <w:t>（四）前瞻性原则</w:t>
      </w:r>
    </w:p>
    <w:p>
      <w:pPr>
        <w:ind w:firstLine="640"/>
        <w:rPr>
          <w:color w:val="auto"/>
        </w:rPr>
      </w:pPr>
      <w:r>
        <w:rPr>
          <w:rFonts w:hint="eastAsia"/>
          <w:color w:val="auto"/>
        </w:rPr>
        <w:t>本文件在兼顾当前我国</w:t>
      </w:r>
      <w:r>
        <w:rPr>
          <w:rFonts w:hint="eastAsia"/>
          <w:color w:val="auto"/>
          <w:szCs w:val="32"/>
          <w:lang w:eastAsia="zh-CN"/>
        </w:rPr>
        <w:t>镉污染耕地伴矿景天和百香果套作技术</w:t>
      </w:r>
      <w:r>
        <w:rPr>
          <w:rFonts w:hint="eastAsia"/>
          <w:color w:val="auto"/>
        </w:rPr>
        <w:t>的现实情况的同时，还考虑到了其</w:t>
      </w:r>
      <w:r>
        <w:rPr>
          <w:rFonts w:hint="eastAsia"/>
          <w:color w:val="auto"/>
          <w:szCs w:val="32"/>
          <w:lang w:val="en-US" w:eastAsia="zh-CN"/>
        </w:rPr>
        <w:t>土壤修复</w:t>
      </w:r>
      <w:r>
        <w:rPr>
          <w:rFonts w:hint="eastAsia"/>
          <w:color w:val="auto"/>
        </w:rPr>
        <w:t>行业快速发展的趋势和需要，在标准中体现了个别特色性、前瞻性和先进性条款，作为对</w:t>
      </w:r>
      <w:r>
        <w:rPr>
          <w:rFonts w:hint="eastAsia"/>
          <w:color w:val="auto"/>
          <w:szCs w:val="32"/>
          <w:lang w:eastAsia="zh-CN"/>
        </w:rPr>
        <w:t>镉污染耕地伴矿景天和百香果套作技术</w:t>
      </w:r>
      <w:r>
        <w:rPr>
          <w:rFonts w:hint="eastAsia"/>
          <w:color w:val="auto"/>
        </w:rPr>
        <w:t>发展的引导。</w:t>
      </w:r>
    </w:p>
    <w:p>
      <w:pPr>
        <w:pStyle w:val="10"/>
        <w:numPr>
          <w:ilvl w:val="0"/>
          <w:numId w:val="0"/>
        </w:numPr>
        <w:spacing w:before="156" w:after="156"/>
        <w:ind w:left="640"/>
        <w:rPr>
          <w:color w:val="auto"/>
        </w:rPr>
      </w:pPr>
      <w:r>
        <w:rPr>
          <w:rFonts w:hint="eastAsia"/>
          <w:color w:val="auto"/>
        </w:rPr>
        <w:t>五、标准主要章节内容及确定依据</w:t>
      </w:r>
    </w:p>
    <w:p>
      <w:pPr>
        <w:ind w:firstLine="640"/>
        <w:rPr>
          <w:rFonts w:hint="eastAsia"/>
          <w:b/>
          <w:bCs/>
          <w:color w:val="auto"/>
        </w:rPr>
      </w:pPr>
      <w:r>
        <w:rPr>
          <w:rFonts w:hint="eastAsia"/>
          <w:color w:val="auto"/>
        </w:rPr>
        <w:t>团体标准《</w:t>
      </w:r>
      <w:r>
        <w:rPr>
          <w:rFonts w:hint="eastAsia"/>
          <w:color w:val="auto"/>
          <w:szCs w:val="32"/>
          <w:lang w:eastAsia="zh-CN"/>
        </w:rPr>
        <w:t>镉污染耕地伴矿景天和百香果套作技术规程</w:t>
      </w:r>
      <w:r>
        <w:rPr>
          <w:rFonts w:hint="eastAsia"/>
          <w:color w:val="auto"/>
        </w:rPr>
        <w:t>》主要内容包括术语和定义、土壤调查、百香果种植管理、伴矿景天种植管理、植株检测及处理。</w:t>
      </w:r>
      <w:r>
        <w:rPr>
          <w:rFonts w:hint="eastAsia"/>
          <w:b/>
          <w:bCs/>
          <w:color w:val="auto"/>
        </w:rPr>
        <w:t>伴矿景天+百香果套种下，伴矿景天的生物量均高于其他两种</w:t>
      </w:r>
      <w:r>
        <w:rPr>
          <w:rFonts w:hint="eastAsia"/>
          <w:b/>
          <w:bCs/>
          <w:color w:val="auto"/>
          <w:lang w:val="en-US" w:eastAsia="zh-CN"/>
        </w:rPr>
        <w:t>单独</w:t>
      </w:r>
      <w:r>
        <w:rPr>
          <w:rFonts w:hint="eastAsia"/>
          <w:b/>
          <w:bCs/>
          <w:color w:val="auto"/>
        </w:rPr>
        <w:t>种植模式</w:t>
      </w:r>
      <w:r>
        <w:rPr>
          <w:rFonts w:hint="eastAsia"/>
          <w:b/>
          <w:bCs/>
          <w:color w:val="auto"/>
          <w:lang w:eastAsia="zh-CN"/>
        </w:rPr>
        <w:t>（</w:t>
      </w:r>
      <w:r>
        <w:rPr>
          <w:rFonts w:hint="eastAsia"/>
          <w:b/>
          <w:bCs/>
          <w:color w:val="auto"/>
          <w:lang w:val="en-US" w:eastAsia="zh-CN"/>
        </w:rPr>
        <w:t>图1</w:t>
      </w:r>
      <w:r>
        <w:rPr>
          <w:rFonts w:hint="eastAsia"/>
          <w:b/>
          <w:bCs/>
          <w:color w:val="auto"/>
          <w:lang w:eastAsia="zh-CN"/>
        </w:rPr>
        <w:t>）</w:t>
      </w:r>
      <w:r>
        <w:rPr>
          <w:rFonts w:hint="eastAsia"/>
          <w:b/>
          <w:bCs/>
          <w:color w:val="auto"/>
        </w:rPr>
        <w:t>，说明百香果和伴矿景天的套种有利于植物的生长。采用百香果+伴矿景天套作技术，可使土壤镉年去除率达到25%左右，百香果达标生产，年产量达到800～1000kg/亩，年收益达到1.5～2万元/亩。实现中轻度污染农田“边生产边修复”。</w:t>
      </w:r>
    </w:p>
    <w:p>
      <w:pPr>
        <w:pStyle w:val="2"/>
      </w:pPr>
      <w:r>
        <w:drawing>
          <wp:inline distT="0" distB="0" distL="114300" distR="114300">
            <wp:extent cx="5028565" cy="1158240"/>
            <wp:effectExtent l="0" t="0" r="635" b="381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2"/>
                    <a:stretch>
                      <a:fillRect/>
                    </a:stretch>
                  </pic:blipFill>
                  <pic:spPr>
                    <a:xfrm>
                      <a:off x="0" y="0"/>
                      <a:ext cx="5028565" cy="1158240"/>
                    </a:xfrm>
                    <a:prstGeom prst="rect">
                      <a:avLst/>
                    </a:prstGeom>
                    <a:noFill/>
                    <a:ln>
                      <a:noFill/>
                    </a:ln>
                  </pic:spPr>
                </pic:pic>
              </a:graphicData>
            </a:graphic>
          </wp:inline>
        </w:drawing>
      </w:r>
    </w:p>
    <w:p>
      <w:pPr>
        <w:pStyle w:val="3"/>
        <w:numPr>
          <w:ilvl w:val="0"/>
          <w:numId w:val="0"/>
        </w:numPr>
        <w:jc w:val="center"/>
        <w:rPr>
          <w:rFonts w:hint="eastAsia"/>
          <w:lang w:val="en-US" w:eastAsia="zh-CN"/>
        </w:rPr>
      </w:pPr>
      <w:r>
        <w:drawing>
          <wp:anchor distT="0" distB="0" distL="114300" distR="114300" simplePos="0" relativeHeight="251661312" behindDoc="0" locked="0" layoutInCell="1" allowOverlap="1">
            <wp:simplePos x="0" y="0"/>
            <wp:positionH relativeFrom="column">
              <wp:posOffset>424815</wp:posOffset>
            </wp:positionH>
            <wp:positionV relativeFrom="paragraph">
              <wp:posOffset>135890</wp:posOffset>
            </wp:positionV>
            <wp:extent cx="5120005" cy="3366770"/>
            <wp:effectExtent l="9525" t="9525" r="13970" b="14605"/>
            <wp:wrapTopAndBottom/>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a:stretch>
                      <a:fillRect/>
                    </a:stretch>
                  </pic:blipFill>
                  <pic:spPr>
                    <a:xfrm>
                      <a:off x="0" y="0"/>
                      <a:ext cx="5120005" cy="3366770"/>
                    </a:xfrm>
                    <a:prstGeom prst="rect">
                      <a:avLst/>
                    </a:prstGeom>
                    <a:noFill/>
                    <a:ln>
                      <a:solidFill>
                        <a:schemeClr val="tx1"/>
                      </a:solidFill>
                    </a:ln>
                  </pic:spPr>
                </pic:pic>
              </a:graphicData>
            </a:graphic>
          </wp:anchor>
        </w:drawing>
      </w:r>
      <w:r>
        <w:rPr>
          <w:rFonts w:hint="eastAsia"/>
          <w:lang w:val="en-US" w:eastAsia="zh-CN"/>
        </w:rPr>
        <w:t>图1不同种植模式植物年均Cd移除率及土壤降Cd率</w:t>
      </w:r>
    </w:p>
    <w:p>
      <w:pPr>
        <w:numPr>
          <w:ilvl w:val="0"/>
          <w:numId w:val="3"/>
        </w:numPr>
        <w:ind w:firstLine="640"/>
        <w:rPr>
          <w:rFonts w:hint="eastAsia"/>
          <w:b/>
          <w:bCs/>
          <w:color w:val="auto"/>
        </w:rPr>
      </w:pPr>
      <w:r>
        <w:rPr>
          <w:rFonts w:hint="eastAsia"/>
          <w:b/>
          <w:bCs/>
          <w:color w:val="auto"/>
        </w:rPr>
        <w:t>术语和定义</w:t>
      </w:r>
    </w:p>
    <w:p>
      <w:pPr>
        <w:pStyle w:val="2"/>
        <w:numPr>
          <w:ilvl w:val="0"/>
          <w:numId w:val="4"/>
        </w:numPr>
        <w:rPr>
          <w:rFonts w:hint="eastAsia"/>
          <w:b/>
          <w:bCs/>
          <w:lang w:val="en-US" w:eastAsia="zh-CN"/>
        </w:rPr>
      </w:pPr>
      <w:r>
        <w:rPr>
          <w:rFonts w:hint="eastAsia"/>
          <w:b/>
          <w:bCs/>
          <w:lang w:val="en-US" w:eastAsia="zh-CN"/>
        </w:rPr>
        <w:t>伴矿景天</w:t>
      </w:r>
    </w:p>
    <w:p>
      <w:pPr>
        <w:ind w:firstLine="640"/>
        <w:rPr>
          <w:rFonts w:hint="default"/>
          <w:b/>
          <w:bCs/>
          <w:lang w:val="en-US" w:eastAsia="zh-CN"/>
        </w:rPr>
      </w:pPr>
      <w:r>
        <w:rPr>
          <w:rFonts w:hint="eastAsia"/>
          <w:lang w:val="en-US" w:eastAsia="zh-CN"/>
        </w:rPr>
        <w:t>主要依据《吴龙华，周守标，毕德，等.中国景天科植物一新种-伴矿景天[J].土壤，2006(5):632-633.》对于“伴矿景天”的定义进行研讨确定。</w:t>
      </w:r>
    </w:p>
    <w:p>
      <w:pPr>
        <w:pStyle w:val="3"/>
        <w:numPr>
          <w:ilvl w:val="0"/>
          <w:numId w:val="0"/>
        </w:numPr>
        <w:jc w:val="center"/>
        <w:rPr>
          <w:rFonts w:hint="default"/>
          <w:b/>
          <w:bCs/>
          <w:lang w:val="en-US" w:eastAsia="zh-CN"/>
        </w:rPr>
      </w:pPr>
      <w:r>
        <w:drawing>
          <wp:anchor distT="0" distB="0" distL="114300" distR="114300" simplePos="0" relativeHeight="251659264" behindDoc="0" locked="0" layoutInCell="1" allowOverlap="1">
            <wp:simplePos x="0" y="0"/>
            <wp:positionH relativeFrom="column">
              <wp:posOffset>675005</wp:posOffset>
            </wp:positionH>
            <wp:positionV relativeFrom="paragraph">
              <wp:posOffset>14605</wp:posOffset>
            </wp:positionV>
            <wp:extent cx="4810125" cy="2507615"/>
            <wp:effectExtent l="9525" t="9525" r="19050" b="1651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4810125" cy="2507615"/>
                    </a:xfrm>
                    <a:prstGeom prst="rect">
                      <a:avLst/>
                    </a:prstGeom>
                    <a:noFill/>
                    <a:ln>
                      <a:solidFill>
                        <a:schemeClr val="tx1"/>
                      </a:solidFill>
                    </a:ln>
                  </pic:spPr>
                </pic:pic>
              </a:graphicData>
            </a:graphic>
          </wp:anchor>
        </w:drawing>
      </w:r>
      <w:r>
        <w:t xml:space="preserve">图 </w:t>
      </w:r>
      <w:r>
        <w:rPr>
          <w:rFonts w:hint="eastAsia"/>
          <w:lang w:val="en-US" w:eastAsia="zh-CN"/>
        </w:rPr>
        <w:t>2吴龙华，周守标，毕德，等.中国景天科植物一新种-伴矿景天[J].土壤，2006(5):632-633</w:t>
      </w:r>
    </w:p>
    <w:p>
      <w:pPr>
        <w:pStyle w:val="2"/>
        <w:numPr>
          <w:ilvl w:val="0"/>
          <w:numId w:val="4"/>
        </w:numPr>
        <w:rPr>
          <w:rFonts w:hint="default"/>
          <w:b/>
          <w:bCs/>
          <w:lang w:val="en-US" w:eastAsia="zh-CN"/>
        </w:rPr>
      </w:pPr>
      <w:r>
        <w:rPr>
          <w:rFonts w:hint="eastAsia"/>
          <w:b/>
          <w:bCs/>
          <w:lang w:val="en-US" w:eastAsia="zh-CN"/>
        </w:rPr>
        <w:t>镉污染耕地</w:t>
      </w:r>
    </w:p>
    <w:p>
      <w:pPr>
        <w:ind w:firstLine="640"/>
        <w:rPr>
          <w:rFonts w:hint="eastAsia"/>
          <w:lang w:val="en-US" w:eastAsia="zh-CN"/>
        </w:rPr>
      </w:pPr>
      <w:r>
        <w:rPr>
          <w:rFonts w:hint="eastAsia"/>
          <w:lang w:val="en-US" w:eastAsia="zh-CN"/>
        </w:rPr>
        <w:t>主要依据DB32/T 4231—2022《受污染耕地安全利用与治理修复技术指南》中国科技产业化促进会发布的T/CSPSTC 34—2019《南方镉污染稻田调理剂技术规程》的定义进行研讨确定。</w:t>
      </w:r>
    </w:p>
    <w:p>
      <w:pPr>
        <w:pStyle w:val="2"/>
        <w:jc w:val="center"/>
      </w:pPr>
      <w:r>
        <w:drawing>
          <wp:inline distT="0" distB="0" distL="114300" distR="114300">
            <wp:extent cx="4766310" cy="974090"/>
            <wp:effectExtent l="9525" t="9525" r="24765" b="260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4766310" cy="974090"/>
                    </a:xfrm>
                    <a:prstGeom prst="rect">
                      <a:avLst/>
                    </a:prstGeom>
                    <a:noFill/>
                    <a:ln>
                      <a:solidFill>
                        <a:schemeClr val="tx1"/>
                      </a:solidFill>
                    </a:ln>
                  </pic:spPr>
                </pic:pic>
              </a:graphicData>
            </a:graphic>
          </wp:inline>
        </w:drawing>
      </w:r>
    </w:p>
    <w:p>
      <w:pPr>
        <w:pStyle w:val="3"/>
        <w:jc w:val="center"/>
      </w:pPr>
      <w:r>
        <w:t xml:space="preserve">图 </w:t>
      </w:r>
      <w:r>
        <w:rPr>
          <w:rFonts w:hint="eastAsia"/>
          <w:lang w:val="en-US" w:eastAsia="zh-CN"/>
        </w:rPr>
        <w:t>3DB32/T 4231—2022《受污染耕地安全利用与治理修复技术指南》</w:t>
      </w:r>
    </w:p>
    <w:p>
      <w:pPr>
        <w:pStyle w:val="3"/>
        <w:jc w:val="center"/>
      </w:pPr>
      <w:r>
        <w:drawing>
          <wp:anchor distT="0" distB="0" distL="114300" distR="114300" simplePos="0" relativeHeight="251660288" behindDoc="0" locked="0" layoutInCell="1" allowOverlap="1">
            <wp:simplePos x="0" y="0"/>
            <wp:positionH relativeFrom="column">
              <wp:posOffset>739775</wp:posOffset>
            </wp:positionH>
            <wp:positionV relativeFrom="paragraph">
              <wp:posOffset>274320</wp:posOffset>
            </wp:positionV>
            <wp:extent cx="4707255" cy="557530"/>
            <wp:effectExtent l="9525" t="9525" r="26670" b="2349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6"/>
                    <a:stretch>
                      <a:fillRect/>
                    </a:stretch>
                  </pic:blipFill>
                  <pic:spPr>
                    <a:xfrm>
                      <a:off x="0" y="0"/>
                      <a:ext cx="4707255" cy="557530"/>
                    </a:xfrm>
                    <a:prstGeom prst="rect">
                      <a:avLst/>
                    </a:prstGeom>
                    <a:noFill/>
                    <a:ln>
                      <a:solidFill>
                        <a:schemeClr val="tx1"/>
                      </a:solidFill>
                    </a:ln>
                  </pic:spPr>
                </pic:pic>
              </a:graphicData>
            </a:graphic>
          </wp:anchor>
        </w:drawing>
      </w:r>
      <w:r>
        <w:t xml:space="preserve">图 </w:t>
      </w:r>
      <w:r>
        <w:rPr>
          <w:rFonts w:hint="eastAsia"/>
          <w:lang w:val="en-US" w:eastAsia="zh-CN"/>
        </w:rPr>
        <w:t>4T/CSPSTC 34—2019《南方镉污染稻田调理剂技术规程》</w:t>
      </w:r>
    </w:p>
    <w:p>
      <w:pPr>
        <w:numPr>
          <w:ilvl w:val="0"/>
          <w:numId w:val="3"/>
        </w:numPr>
        <w:ind w:left="0" w:leftChars="0" w:firstLine="643" w:firstLineChars="200"/>
        <w:rPr>
          <w:rFonts w:hint="eastAsia"/>
          <w:b/>
          <w:bCs/>
          <w:color w:val="auto"/>
        </w:rPr>
      </w:pPr>
      <w:r>
        <w:rPr>
          <w:rFonts w:hint="eastAsia"/>
          <w:b/>
          <w:bCs/>
          <w:color w:val="auto"/>
        </w:rPr>
        <w:t>土壤调查</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firstLine="640" w:firstLineChars="200"/>
        <w:textAlignment w:val="baseline"/>
        <w:rPr>
          <w:rFonts w:hint="eastAsia"/>
          <w:lang w:val="en-US" w:eastAsia="zh-CN"/>
        </w:rPr>
      </w:pPr>
      <w:r>
        <w:rPr>
          <w:rFonts w:hint="eastAsia"/>
          <w:lang w:val="en-US" w:eastAsia="zh-CN"/>
        </w:rPr>
        <w:t>给出了</w:t>
      </w:r>
      <w:r>
        <w:rPr>
          <w:rFonts w:hint="eastAsia"/>
        </w:rPr>
        <w:t>农用地土壤污染风险筛选值</w:t>
      </w:r>
      <w:r>
        <w:rPr>
          <w:rFonts w:hint="eastAsia"/>
          <w:lang w:val="en-US" w:eastAsia="zh-CN"/>
        </w:rPr>
        <w:t>和</w:t>
      </w:r>
      <w:r>
        <w:rPr>
          <w:rFonts w:hint="eastAsia"/>
        </w:rPr>
        <w:t>土壤污染风险管制值</w:t>
      </w:r>
      <w:r>
        <w:rPr>
          <w:rFonts w:hint="eastAsia"/>
          <w:lang w:eastAsia="zh-CN"/>
        </w:rPr>
        <w:t>，</w:t>
      </w:r>
      <w:r>
        <w:rPr>
          <w:rFonts w:hint="eastAsia"/>
          <w:lang w:val="en-US" w:eastAsia="zh-CN"/>
        </w:rPr>
        <w:t>主要依据</w:t>
      </w:r>
      <w:r>
        <w:rPr>
          <w:rFonts w:hint="eastAsia"/>
        </w:rPr>
        <w:t>GB 15618</w:t>
      </w:r>
      <w:r>
        <w:rPr>
          <w:rFonts w:hint="eastAsia"/>
          <w:lang w:eastAsia="zh-CN"/>
        </w:rPr>
        <w:t>《</w:t>
      </w:r>
      <w:r>
        <w:rPr>
          <w:rFonts w:hint="eastAsia"/>
          <w:lang w:val="en-US" w:eastAsia="zh-CN"/>
        </w:rPr>
        <w:t>土壤环境质量  农用地土壤污染风险管控标准</w:t>
      </w:r>
      <w:r>
        <w:rPr>
          <w:rFonts w:hint="eastAsia"/>
          <w:lang w:eastAsia="zh-CN"/>
        </w:rPr>
        <w:t>》</w:t>
      </w:r>
      <w:r>
        <w:rPr>
          <w:rFonts w:hint="eastAsia"/>
          <w:lang w:val="en-US" w:eastAsia="zh-CN"/>
        </w:rPr>
        <w:t>规定</w:t>
      </w:r>
      <w:r>
        <w:rPr>
          <w:rFonts w:hint="eastAsia"/>
        </w:rPr>
        <w:t>农用地土壤污染风险筛选值</w:t>
      </w:r>
      <w:r>
        <w:rPr>
          <w:rFonts w:hint="eastAsia"/>
          <w:lang w:val="en-US" w:eastAsia="zh-CN"/>
        </w:rPr>
        <w:t>和</w:t>
      </w:r>
      <w:r>
        <w:rPr>
          <w:rFonts w:hint="eastAsia"/>
        </w:rPr>
        <w:t>管制值</w:t>
      </w:r>
      <w:r>
        <w:rPr>
          <w:rFonts w:hint="eastAsia"/>
          <w:lang w:val="en-US" w:eastAsia="zh-CN"/>
        </w:rPr>
        <w:t>进行确定。</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firstLine="640" w:firstLineChars="200"/>
        <w:jc w:val="center"/>
        <w:textAlignment w:val="baseline"/>
      </w:pPr>
      <w:r>
        <w:drawing>
          <wp:inline distT="0" distB="0" distL="114300" distR="114300">
            <wp:extent cx="4824095" cy="3110230"/>
            <wp:effectExtent l="9525" t="9525" r="24130" b="2349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7"/>
                    <a:stretch>
                      <a:fillRect/>
                    </a:stretch>
                  </pic:blipFill>
                  <pic:spPr>
                    <a:xfrm>
                      <a:off x="0" y="0"/>
                      <a:ext cx="4824095" cy="3110230"/>
                    </a:xfrm>
                    <a:prstGeom prst="rect">
                      <a:avLst/>
                    </a:prstGeom>
                    <a:noFill/>
                    <a:ln>
                      <a:solidFill>
                        <a:schemeClr val="tx1"/>
                      </a:solidFill>
                    </a:ln>
                  </pic:spPr>
                </pic:pic>
              </a:graphicData>
            </a:graphic>
          </wp:inline>
        </w:drawing>
      </w:r>
    </w:p>
    <w:p>
      <w:pPr>
        <w:pStyle w:val="3"/>
        <w:keepNext w:val="0"/>
        <w:keepLines w:val="0"/>
        <w:pageBreakBefore w:val="0"/>
        <w:widowControl w:val="0"/>
        <w:numPr>
          <w:ilvl w:val="0"/>
          <w:numId w:val="0"/>
        </w:numPr>
        <w:kinsoku/>
        <w:wordWrap/>
        <w:overflowPunct/>
        <w:topLinePunct w:val="0"/>
        <w:autoSpaceDE/>
        <w:autoSpaceDN/>
        <w:bidi w:val="0"/>
        <w:adjustRightInd/>
        <w:snapToGrid/>
        <w:ind w:leftChars="200" w:firstLine="400" w:firstLineChars="200"/>
        <w:jc w:val="center"/>
        <w:textAlignment w:val="baseline"/>
      </w:pPr>
      <w:r>
        <w:t xml:space="preserve">图 </w:t>
      </w:r>
      <w:r>
        <w:rPr>
          <w:rFonts w:hint="eastAsia"/>
          <w:lang w:val="en-US" w:eastAsia="zh-CN"/>
        </w:rPr>
        <w:t>5</w:t>
      </w:r>
      <w:r>
        <w:rPr>
          <w:rFonts w:hint="eastAsia"/>
        </w:rPr>
        <w:t>GB 15618</w:t>
      </w:r>
      <w:r>
        <w:rPr>
          <w:rFonts w:hint="eastAsia"/>
          <w:lang w:eastAsia="zh-CN"/>
        </w:rPr>
        <w:t>《</w:t>
      </w:r>
      <w:r>
        <w:rPr>
          <w:rFonts w:hint="eastAsia"/>
          <w:lang w:val="en-US" w:eastAsia="zh-CN"/>
        </w:rPr>
        <w:t>土壤环境质量  农用地土壤污染风险管控标准</w:t>
      </w:r>
      <w:r>
        <w:rPr>
          <w:rFonts w:hint="eastAsia"/>
          <w:lang w:eastAsia="zh-CN"/>
        </w:rPr>
        <w:t>》</w:t>
      </w:r>
      <w:r>
        <w:rPr>
          <w:rFonts w:hint="eastAsia"/>
        </w:rPr>
        <w:t>风险筛选值</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firstLine="640" w:firstLineChars="200"/>
        <w:jc w:val="center"/>
        <w:textAlignment w:val="baseline"/>
      </w:pPr>
      <w:r>
        <w:drawing>
          <wp:inline distT="0" distB="0" distL="114300" distR="114300">
            <wp:extent cx="4970145" cy="1968500"/>
            <wp:effectExtent l="9525" t="9525" r="11430" b="2222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8"/>
                    <a:stretch>
                      <a:fillRect/>
                    </a:stretch>
                  </pic:blipFill>
                  <pic:spPr>
                    <a:xfrm>
                      <a:off x="0" y="0"/>
                      <a:ext cx="4970145" cy="1968500"/>
                    </a:xfrm>
                    <a:prstGeom prst="rect">
                      <a:avLst/>
                    </a:prstGeom>
                    <a:noFill/>
                    <a:ln>
                      <a:solidFill>
                        <a:schemeClr val="tx1"/>
                      </a:solidFill>
                    </a:ln>
                  </pic:spPr>
                </pic:pic>
              </a:graphicData>
            </a:graphic>
          </wp:inline>
        </w:drawing>
      </w:r>
    </w:p>
    <w:p>
      <w:pPr>
        <w:pStyle w:val="3"/>
        <w:keepNext w:val="0"/>
        <w:keepLines w:val="0"/>
        <w:pageBreakBefore w:val="0"/>
        <w:widowControl w:val="0"/>
        <w:numPr>
          <w:ilvl w:val="0"/>
          <w:numId w:val="0"/>
        </w:numPr>
        <w:kinsoku/>
        <w:wordWrap/>
        <w:overflowPunct/>
        <w:topLinePunct w:val="0"/>
        <w:autoSpaceDE/>
        <w:autoSpaceDN/>
        <w:bidi w:val="0"/>
        <w:adjustRightInd/>
        <w:snapToGrid/>
        <w:ind w:leftChars="200" w:firstLine="400" w:firstLineChars="200"/>
        <w:jc w:val="center"/>
        <w:textAlignment w:val="baseline"/>
        <w:rPr>
          <w:rFonts w:hint="default"/>
          <w:lang w:val="en-US" w:eastAsia="zh-CN"/>
        </w:rPr>
      </w:pPr>
      <w:r>
        <w:t xml:space="preserve">图 </w:t>
      </w:r>
      <w:r>
        <w:rPr>
          <w:rFonts w:hint="eastAsia"/>
          <w:lang w:val="en-US" w:eastAsia="zh-CN"/>
        </w:rPr>
        <w:t>6</w:t>
      </w:r>
      <w:r>
        <w:rPr>
          <w:rFonts w:hint="eastAsia"/>
        </w:rPr>
        <w:t>GB 15618</w:t>
      </w:r>
      <w:r>
        <w:rPr>
          <w:rFonts w:hint="eastAsia"/>
          <w:lang w:eastAsia="zh-CN"/>
        </w:rPr>
        <w:t>《</w:t>
      </w:r>
      <w:r>
        <w:rPr>
          <w:rFonts w:hint="eastAsia"/>
          <w:lang w:val="en-US" w:eastAsia="zh-CN"/>
        </w:rPr>
        <w:t>土壤环境质量  农用地土壤污染风险管控标准》</w:t>
      </w:r>
      <w:r>
        <w:rPr>
          <w:rFonts w:hint="eastAsia"/>
        </w:rPr>
        <w:t>管制值</w:t>
      </w:r>
    </w:p>
    <w:p>
      <w:pPr>
        <w:numPr>
          <w:ilvl w:val="0"/>
          <w:numId w:val="3"/>
        </w:numPr>
        <w:ind w:left="0" w:leftChars="0" w:firstLine="643" w:firstLineChars="200"/>
        <w:rPr>
          <w:rFonts w:hint="eastAsia"/>
          <w:b/>
          <w:bCs/>
          <w:color w:val="auto"/>
        </w:rPr>
      </w:pPr>
      <w:r>
        <w:rPr>
          <w:rFonts w:hint="eastAsia"/>
          <w:b/>
          <w:bCs/>
          <w:color w:val="auto"/>
          <w:lang w:val="en-US" w:eastAsia="zh-CN"/>
        </w:rPr>
        <w:t>百香果</w:t>
      </w:r>
      <w:r>
        <w:rPr>
          <w:rFonts w:hint="eastAsia"/>
          <w:b/>
          <w:bCs/>
          <w:color w:val="auto"/>
        </w:rPr>
        <w:t>种植管理</w:t>
      </w:r>
    </w:p>
    <w:p>
      <w:pPr>
        <w:pStyle w:val="2"/>
        <w:numPr>
          <w:ilvl w:val="0"/>
          <w:numId w:val="5"/>
        </w:numPr>
        <w:rPr>
          <w:rFonts w:hint="eastAsia"/>
          <w:b/>
          <w:bCs/>
          <w:lang w:val="en-US" w:eastAsia="zh-CN"/>
        </w:rPr>
      </w:pPr>
      <w:r>
        <w:rPr>
          <w:rFonts w:hint="eastAsia"/>
          <w:b/>
          <w:bCs/>
          <w:lang w:val="en-US" w:eastAsia="zh-CN"/>
        </w:rPr>
        <w:t>品种选择、苗木要求</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baseline"/>
        <w:rPr>
          <w:rFonts w:hint="default"/>
          <w:lang w:val="en-US" w:eastAsia="zh-CN"/>
        </w:rPr>
      </w:pPr>
      <w:r>
        <w:rPr>
          <w:rFonts w:hint="eastAsia"/>
          <w:lang w:val="en-US" w:eastAsia="zh-CN"/>
        </w:rPr>
        <w:t>主要依据DB45/T 2306—2021《百香果无病毒健康种苗栽培技术规程》的要求进行确定。</w:t>
      </w:r>
    </w:p>
    <w:p>
      <w:pPr>
        <w:pStyle w:val="2"/>
        <w:numPr>
          <w:ilvl w:val="0"/>
          <w:numId w:val="5"/>
        </w:numPr>
        <w:rPr>
          <w:rFonts w:hint="default"/>
          <w:b/>
          <w:bCs/>
          <w:lang w:val="en-US" w:eastAsia="zh-CN"/>
        </w:rPr>
      </w:pPr>
      <w:r>
        <w:rPr>
          <w:rFonts w:hint="eastAsia"/>
          <w:b/>
          <w:bCs/>
          <w:lang w:val="en-US" w:eastAsia="zh-CN"/>
        </w:rPr>
        <w:t>种植密度</w:t>
      </w:r>
    </w:p>
    <w:p>
      <w:pPr>
        <w:keepNext w:val="0"/>
        <w:keepLines w:val="0"/>
        <w:widowControl/>
        <w:suppressLineNumbers w:val="0"/>
        <w:jc w:val="left"/>
        <w:rPr>
          <w:rFonts w:hint="default"/>
          <w:lang w:val="en-US" w:eastAsia="zh-CN"/>
        </w:rPr>
      </w:pPr>
      <w:r>
        <w:rPr>
          <w:rFonts w:hint="eastAsia"/>
          <w:lang w:val="en-US" w:eastAsia="zh-CN"/>
        </w:rPr>
        <w:t>与DB45/T 2306—2021《百香果无病毒健康种苗栽培技术规程》“株距1.5m～2.0m，行距3m，每667m</w:t>
      </w:r>
      <w:r>
        <w:rPr>
          <w:rFonts w:hint="eastAsia"/>
          <w:vertAlign w:val="superscript"/>
          <w:lang w:val="en-US" w:eastAsia="zh-CN"/>
        </w:rPr>
        <w:t>2</w:t>
      </w:r>
      <w:r>
        <w:rPr>
          <w:rFonts w:hint="eastAsia"/>
          <w:lang w:val="en-US" w:eastAsia="zh-CN"/>
        </w:rPr>
        <w:t>种植110株或150株”和DB45/T 1811—2018《富硒百香果生产技术规程》“株行距2 m×3 m，每 667 m</w:t>
      </w:r>
      <w:r>
        <w:rPr>
          <w:rFonts w:hint="eastAsia"/>
          <w:vertAlign w:val="superscript"/>
          <w:lang w:val="en-US" w:eastAsia="zh-CN"/>
        </w:rPr>
        <w:t>2</w:t>
      </w:r>
      <w:r>
        <w:rPr>
          <w:rFonts w:hint="eastAsia"/>
          <w:lang w:val="en-US" w:eastAsia="zh-CN"/>
        </w:rPr>
        <w:t>栽植110株为宜。”不同，制定本标准目的是为了进行土壤修复，去除镉污染，所以在尽量密植伴矿景天的前提下确定百香果种植密度。</w:t>
      </w:r>
    </w:p>
    <w:p>
      <w:pPr>
        <w:pStyle w:val="2"/>
        <w:numPr>
          <w:ilvl w:val="0"/>
          <w:numId w:val="5"/>
        </w:numPr>
        <w:rPr>
          <w:rFonts w:hint="default"/>
          <w:b/>
          <w:bCs/>
          <w:lang w:val="en-US" w:eastAsia="zh-CN"/>
        </w:rPr>
      </w:pPr>
      <w:r>
        <w:rPr>
          <w:rFonts w:hint="eastAsia"/>
          <w:b/>
          <w:bCs/>
          <w:lang w:val="en-US" w:eastAsia="zh-CN"/>
        </w:rPr>
        <w:t>种植时间、整地、种植方法、田间管理、整形修建、花果管理、病虫害防治</w:t>
      </w:r>
    </w:p>
    <w:p>
      <w:pPr>
        <w:keepNext w:val="0"/>
        <w:keepLines w:val="0"/>
        <w:widowControl/>
        <w:suppressLineNumbers w:val="0"/>
        <w:jc w:val="left"/>
        <w:rPr>
          <w:rFonts w:hint="default"/>
          <w:lang w:val="en-US" w:eastAsia="zh-CN"/>
        </w:rPr>
      </w:pPr>
      <w:r>
        <w:rPr>
          <w:rFonts w:hint="eastAsia"/>
          <w:lang w:val="en-US" w:eastAsia="zh-CN"/>
        </w:rPr>
        <w:t>主要依据</w:t>
      </w:r>
      <w:r>
        <w:rPr>
          <w:rFonts w:hint="default"/>
          <w:lang w:val="en-US" w:eastAsia="zh-CN"/>
        </w:rPr>
        <w:t>DB45/T 2306—2021《百香果无病毒健康种苗栽培技术规程》</w:t>
      </w:r>
      <w:r>
        <w:rPr>
          <w:rFonts w:hint="eastAsia"/>
          <w:lang w:val="en-US" w:eastAsia="zh-CN"/>
        </w:rPr>
        <w:t>的要求进行确定。</w:t>
      </w:r>
    </w:p>
    <w:p>
      <w:pPr>
        <w:numPr>
          <w:ilvl w:val="0"/>
          <w:numId w:val="3"/>
        </w:numPr>
        <w:ind w:left="0" w:leftChars="0" w:firstLine="643" w:firstLineChars="200"/>
        <w:rPr>
          <w:rFonts w:hint="eastAsia"/>
          <w:b/>
          <w:bCs/>
          <w:color w:val="auto"/>
        </w:rPr>
      </w:pPr>
      <w:r>
        <w:rPr>
          <w:rFonts w:hint="eastAsia"/>
          <w:b/>
          <w:bCs/>
          <w:color w:val="auto"/>
          <w:lang w:val="en-US" w:eastAsia="zh-CN"/>
        </w:rPr>
        <w:t>伴矿景天种植管理</w:t>
      </w:r>
    </w:p>
    <w:p>
      <w:pPr>
        <w:keepNext w:val="0"/>
        <w:keepLines w:val="0"/>
        <w:widowControl/>
        <w:suppressLineNumbers w:val="0"/>
        <w:jc w:val="left"/>
        <w:rPr>
          <w:rFonts w:hint="default" w:eastAsia="仿宋_GB2312"/>
          <w:lang w:val="en-US" w:eastAsia="zh-CN"/>
        </w:rPr>
      </w:pPr>
      <w:r>
        <w:rPr>
          <w:rFonts w:hint="eastAsia"/>
          <w:lang w:val="en-US" w:eastAsia="zh-CN"/>
        </w:rPr>
        <w:t>主要依据</w:t>
      </w:r>
      <w:r>
        <w:rPr>
          <w:rFonts w:hint="eastAsia"/>
        </w:rPr>
        <w:t>DB45/T 1823—2018《景天科多肉植物叶片扦插技术规程》</w:t>
      </w:r>
      <w:r>
        <w:rPr>
          <w:rFonts w:hint="eastAsia"/>
          <w:lang w:val="en-US" w:eastAsia="zh-CN"/>
        </w:rPr>
        <w:t>和T/GXAS 219—2021《强化伴矿景天修复镉污染耕地技术规程》的要求进行确定。</w:t>
      </w:r>
    </w:p>
    <w:p>
      <w:pPr>
        <w:keepNext w:val="0"/>
        <w:keepLines w:val="0"/>
        <w:widowControl/>
        <w:suppressLineNumbers w:val="0"/>
        <w:jc w:val="left"/>
        <w:rPr>
          <w:rFonts w:hint="eastAsia"/>
          <w:b/>
          <w:bCs/>
          <w:i w:val="0"/>
          <w:iCs w:val="0"/>
          <w:lang w:val="en-US" w:eastAsia="zh-CN"/>
        </w:rPr>
      </w:pPr>
      <w:r>
        <w:rPr>
          <w:rFonts w:hint="eastAsia"/>
          <w:b/>
          <w:bCs/>
          <w:i w:val="0"/>
          <w:iCs w:val="0"/>
          <w:lang w:val="en-US" w:eastAsia="zh-CN"/>
        </w:rPr>
        <w:t>1、种植密度</w:t>
      </w:r>
    </w:p>
    <w:p>
      <w:pPr>
        <w:keepNext w:val="0"/>
        <w:keepLines w:val="0"/>
        <w:widowControl/>
        <w:suppressLineNumbers w:val="0"/>
        <w:jc w:val="left"/>
        <w:rPr>
          <w:rFonts w:hint="eastAsia"/>
          <w:lang w:val="en-US" w:eastAsia="zh-CN"/>
        </w:rPr>
      </w:pPr>
      <w:r>
        <w:rPr>
          <w:rFonts w:hint="eastAsia"/>
          <w:lang w:val="en-US" w:eastAsia="zh-CN"/>
        </w:rPr>
        <w:t>的设置主要依据试验验证进行确定，共设伴矿景天-百香果套种（景天种植密度30×30cm）、伴矿景天-百香果套种（景天种植密度25×25cm）、伴矿景天-百香果套种（景天种植密度15×15cm）。</w:t>
      </w:r>
    </w:p>
    <w:p>
      <w:pPr>
        <w:keepNext w:val="0"/>
        <w:keepLines w:val="0"/>
        <w:widowControl/>
        <w:suppressLineNumbers w:val="0"/>
        <w:jc w:val="left"/>
        <w:rPr>
          <w:rFonts w:hint="eastAsia"/>
          <w:b/>
          <w:bCs/>
          <w:lang w:val="en-US" w:eastAsia="zh-CN"/>
        </w:rPr>
      </w:pPr>
      <w:r>
        <w:rPr>
          <w:rFonts w:hint="eastAsia"/>
          <w:b/>
          <w:bCs/>
          <w:lang w:val="en-US" w:eastAsia="zh-CN"/>
        </w:rPr>
        <w:t>（1）套种密度对伴矿景天Cd移除量的影响</w:t>
      </w:r>
    </w:p>
    <w:p>
      <w:pPr>
        <w:keepNext w:val="0"/>
        <w:keepLines w:val="0"/>
        <w:widowControl/>
        <w:suppressLineNumbers w:val="0"/>
        <w:jc w:val="left"/>
        <w:rPr>
          <w:rFonts w:hint="eastAsia"/>
          <w:lang w:val="en-US" w:eastAsia="zh-CN"/>
        </w:rPr>
      </w:pPr>
      <w:r>
        <w:rPr>
          <w:rFonts w:hint="eastAsia"/>
          <w:lang w:val="en-US" w:eastAsia="zh-CN"/>
        </w:rPr>
        <w:t>经计算，在密度设置为30×30cm、25×25cm和15×15cm时，伴矿景天的年均Cd移除量分别为14.98、20.18、44.7 mg/kg，见图6。由图可以看出，伴矿景天的Cd年均移除量均随着密度的增大呈现上升趋势。在密度设置为15×15cm时，Cd的年均移除量均达到最大值44.7 mg/kg。相比于密度30×30cm和25×25cm 条件下，Cd 的年均移除量分别提高了198.4%、121.5%和 266.5%、110.6%，其移除量与之相比差异显著。</w:t>
      </w:r>
    </w:p>
    <w:p>
      <w:pPr>
        <w:pStyle w:val="2"/>
      </w:pPr>
      <w:r>
        <w:drawing>
          <wp:inline distT="0" distB="0" distL="114300" distR="114300">
            <wp:extent cx="4791075" cy="3714750"/>
            <wp:effectExtent l="0" t="0" r="9525"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9"/>
                    <a:stretch>
                      <a:fillRect/>
                    </a:stretch>
                  </pic:blipFill>
                  <pic:spPr>
                    <a:xfrm>
                      <a:off x="0" y="0"/>
                      <a:ext cx="4791075" cy="3714750"/>
                    </a:xfrm>
                    <a:prstGeom prst="rect">
                      <a:avLst/>
                    </a:prstGeom>
                    <a:noFill/>
                    <a:ln>
                      <a:noFill/>
                    </a:ln>
                  </pic:spPr>
                </pic:pic>
              </a:graphicData>
            </a:graphic>
          </wp:inline>
        </w:drawing>
      </w:r>
    </w:p>
    <w:p>
      <w:pPr>
        <w:pStyle w:val="3"/>
        <w:keepNext w:val="0"/>
        <w:keepLines w:val="0"/>
        <w:pageBreakBefore w:val="0"/>
        <w:widowControl w:val="0"/>
        <w:numPr>
          <w:ilvl w:val="0"/>
          <w:numId w:val="0"/>
        </w:numPr>
        <w:kinsoku/>
        <w:wordWrap/>
        <w:overflowPunct/>
        <w:topLinePunct w:val="0"/>
        <w:autoSpaceDE/>
        <w:autoSpaceDN/>
        <w:bidi w:val="0"/>
        <w:adjustRightInd/>
        <w:snapToGrid/>
        <w:ind w:leftChars="200" w:firstLine="400" w:firstLineChars="200"/>
        <w:jc w:val="center"/>
        <w:textAlignment w:val="baseline"/>
        <w:rPr>
          <w:rFonts w:hint="default"/>
          <w:lang w:val="en-US" w:eastAsia="zh-CN"/>
        </w:rPr>
      </w:pPr>
      <w:r>
        <w:t>图</w:t>
      </w:r>
      <w:r>
        <w:rPr>
          <w:rFonts w:hint="eastAsia"/>
          <w:lang w:val="en-US" w:eastAsia="zh-CN"/>
        </w:rPr>
        <w:t>7套种密度对伴矿景天Cd移除量的影响</w:t>
      </w:r>
    </w:p>
    <w:p>
      <w:pPr>
        <w:keepNext w:val="0"/>
        <w:keepLines w:val="0"/>
        <w:widowControl/>
        <w:suppressLineNumbers w:val="0"/>
        <w:jc w:val="left"/>
        <w:rPr>
          <w:rFonts w:hint="eastAsia"/>
          <w:b/>
          <w:bCs/>
          <w:lang w:val="en-US" w:eastAsia="zh-CN"/>
        </w:rPr>
      </w:pPr>
      <w:r>
        <w:rPr>
          <w:rFonts w:hint="eastAsia"/>
          <w:b/>
          <w:bCs/>
          <w:lang w:val="en-US" w:eastAsia="zh-CN"/>
        </w:rPr>
        <w:t xml:space="preserve">（2）套种密度对土壤 </w:t>
      </w:r>
      <w:r>
        <w:rPr>
          <w:rFonts w:hint="default"/>
          <w:b/>
          <w:bCs/>
          <w:lang w:val="en-US" w:eastAsia="zh-CN"/>
        </w:rPr>
        <w:t>Cd</w:t>
      </w:r>
      <w:r>
        <w:rPr>
          <w:rFonts w:hint="eastAsia"/>
          <w:b/>
          <w:bCs/>
          <w:lang w:val="en-US" w:eastAsia="zh-CN"/>
        </w:rPr>
        <w:t>含量及修复效果的影响</w:t>
      </w:r>
    </w:p>
    <w:p>
      <w:pPr>
        <w:keepNext w:val="0"/>
        <w:keepLines w:val="0"/>
        <w:widowControl/>
        <w:suppressLineNumbers w:val="0"/>
        <w:jc w:val="left"/>
        <w:rPr>
          <w:rFonts w:hint="eastAsia"/>
          <w:lang w:eastAsia="zh-CN"/>
        </w:rPr>
      </w:pPr>
      <w:r>
        <w:rPr>
          <w:rFonts w:hint="eastAsia"/>
        </w:rPr>
        <w:t>由图</w:t>
      </w:r>
      <w:r>
        <w:rPr>
          <w:rFonts w:hint="eastAsia"/>
          <w:lang w:val="en-US" w:eastAsia="zh-CN"/>
        </w:rPr>
        <w:t>7</w:t>
      </w:r>
      <w:r>
        <w:rPr>
          <w:rFonts w:hint="eastAsia"/>
        </w:rPr>
        <w:t>可以看到，土壤中的Cd含量经伴矿景天2茬修复后均呈现下降趋势。在景天种植密度为30×30</w:t>
      </w:r>
      <w:r>
        <w:rPr>
          <w:rFonts w:hint="eastAsia"/>
          <w:lang w:val="en-US" w:eastAsia="zh-CN"/>
        </w:rPr>
        <w:t>cm</w:t>
      </w:r>
      <w:r>
        <w:rPr>
          <w:rFonts w:hint="eastAsia"/>
        </w:rPr>
        <w:t>、25×25</w:t>
      </w:r>
      <w:r>
        <w:rPr>
          <w:rFonts w:hint="eastAsia"/>
          <w:lang w:val="en-US" w:eastAsia="zh-CN"/>
        </w:rPr>
        <w:t>cm</w:t>
      </w:r>
      <w:r>
        <w:rPr>
          <w:rFonts w:hint="eastAsia"/>
        </w:rPr>
        <w:t>、15×15cm 的条件下，土壤中的Cd含量分别由种植前的1.05 mg/kg 下降到种植后的 0.96、0.92、0.77 mg/kg。在 30×30 和 25×25 的密度设置下，土壤中Cd下降量分别为0.09、0.13 mg/kg。在密度为 15×15cm 的设置 下，土壤中的Cd含量最低，较种植前降低了0.28。与前两 个密度设置相比，其土壤中的 Cd下降量分别提高了211%、115.4%</w:t>
      </w:r>
      <w:r>
        <w:rPr>
          <w:rFonts w:hint="eastAsia"/>
          <w:lang w:eastAsia="zh-CN"/>
        </w:rPr>
        <w:t>。</w:t>
      </w:r>
    </w:p>
    <w:p>
      <w:pPr>
        <w:pStyle w:val="2"/>
      </w:pPr>
      <w:r>
        <w:drawing>
          <wp:inline distT="0" distB="0" distL="114300" distR="114300">
            <wp:extent cx="4714875" cy="3752850"/>
            <wp:effectExtent l="0" t="0" r="9525" b="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20"/>
                    <a:stretch>
                      <a:fillRect/>
                    </a:stretch>
                  </pic:blipFill>
                  <pic:spPr>
                    <a:xfrm>
                      <a:off x="0" y="0"/>
                      <a:ext cx="4714875" cy="3752850"/>
                    </a:xfrm>
                    <a:prstGeom prst="rect">
                      <a:avLst/>
                    </a:prstGeom>
                    <a:noFill/>
                    <a:ln>
                      <a:noFill/>
                    </a:ln>
                  </pic:spPr>
                </pic:pic>
              </a:graphicData>
            </a:graphic>
          </wp:inline>
        </w:drawing>
      </w:r>
    </w:p>
    <w:p>
      <w:pPr>
        <w:pStyle w:val="3"/>
        <w:keepNext w:val="0"/>
        <w:keepLines w:val="0"/>
        <w:pageBreakBefore w:val="0"/>
        <w:widowControl w:val="0"/>
        <w:numPr>
          <w:ilvl w:val="0"/>
          <w:numId w:val="0"/>
        </w:numPr>
        <w:kinsoku/>
        <w:wordWrap/>
        <w:overflowPunct/>
        <w:topLinePunct w:val="0"/>
        <w:autoSpaceDE/>
        <w:autoSpaceDN/>
        <w:bidi w:val="0"/>
        <w:adjustRightInd/>
        <w:snapToGrid/>
        <w:ind w:leftChars="200" w:firstLine="400" w:firstLineChars="200"/>
        <w:jc w:val="center"/>
        <w:textAlignment w:val="baseline"/>
        <w:rPr>
          <w:rFonts w:hint="eastAsia"/>
          <w:lang w:val="en-US" w:eastAsia="zh-CN"/>
        </w:rPr>
      </w:pPr>
      <w:r>
        <w:rPr>
          <w:rFonts w:hint="eastAsia"/>
          <w:lang w:val="en-US" w:eastAsia="zh-CN"/>
        </w:rPr>
        <w:t>图8不同套种密度下修复前后土壤Cd含量变化</w:t>
      </w:r>
    </w:p>
    <w:p>
      <w:pPr>
        <w:keepNext w:val="0"/>
        <w:keepLines w:val="0"/>
        <w:widowControl/>
        <w:numPr>
          <w:ilvl w:val="0"/>
          <w:numId w:val="0"/>
        </w:numPr>
        <w:suppressLineNumbers w:val="0"/>
        <w:ind w:leftChars="200"/>
        <w:jc w:val="left"/>
        <w:rPr>
          <w:rFonts w:hint="eastAsia"/>
          <w:b/>
          <w:bCs/>
          <w:lang w:val="en-US" w:eastAsia="zh-CN"/>
        </w:rPr>
      </w:pPr>
      <w:r>
        <w:rPr>
          <w:rFonts w:hint="eastAsia"/>
          <w:b/>
          <w:bCs/>
          <w:lang w:val="en-US" w:eastAsia="zh-CN"/>
        </w:rPr>
        <w:t>（3）套种密度对百香果可食部分Cd含量的影响</w:t>
      </w:r>
    </w:p>
    <w:p>
      <w:pPr>
        <w:keepNext w:val="0"/>
        <w:keepLines w:val="0"/>
        <w:widowControl/>
        <w:suppressLineNumbers w:val="0"/>
        <w:jc w:val="left"/>
        <w:rPr>
          <w:rFonts w:hint="eastAsia"/>
          <w:lang w:val="en-US" w:eastAsia="zh-CN"/>
        </w:rPr>
      </w:pPr>
      <w:r>
        <w:rPr>
          <w:rFonts w:hint="eastAsia"/>
          <w:lang w:val="en-US" w:eastAsia="zh-CN"/>
        </w:rPr>
        <w:t>由图8可以看出，百香果可食部分中的Cd含量随着植物修复时间的延长不断降低。在密度设置分别为30×30cm、25×25cm、15×15cm时，Cd含量分别从11月（第一批）的 0.046 、0.045、0.043 mg/kg 下降到次年3月（第二批）的 0.038、 0.035、0.031 mg/kg，分别降低了 0.008、0.01、0.012 mg/kg。在密度为15×15cm 的条件下，百香果的可食部分重金属含量下降最明显。更有利于水果的生长，降低重金属进入作物体内的风险。</w:t>
      </w:r>
    </w:p>
    <w:p>
      <w:pPr>
        <w:pStyle w:val="2"/>
        <w:rPr>
          <w:rFonts w:hint="eastAsia"/>
          <w:lang w:val="en-US" w:eastAsia="zh-CN"/>
        </w:rPr>
      </w:pPr>
      <w:r>
        <w:drawing>
          <wp:inline distT="0" distB="0" distL="114300" distR="114300">
            <wp:extent cx="4924425" cy="3676650"/>
            <wp:effectExtent l="0" t="0" r="9525" b="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21"/>
                    <a:stretch>
                      <a:fillRect/>
                    </a:stretch>
                  </pic:blipFill>
                  <pic:spPr>
                    <a:xfrm>
                      <a:off x="0" y="0"/>
                      <a:ext cx="4924425" cy="3676650"/>
                    </a:xfrm>
                    <a:prstGeom prst="rect">
                      <a:avLst/>
                    </a:prstGeom>
                    <a:noFill/>
                    <a:ln>
                      <a:noFill/>
                    </a:ln>
                  </pic:spPr>
                </pic:pic>
              </a:graphicData>
            </a:graphic>
          </wp:inline>
        </w:drawing>
      </w:r>
    </w:p>
    <w:p>
      <w:pPr>
        <w:pStyle w:val="3"/>
        <w:keepNext w:val="0"/>
        <w:keepLines w:val="0"/>
        <w:pageBreakBefore w:val="0"/>
        <w:widowControl w:val="0"/>
        <w:numPr>
          <w:ilvl w:val="0"/>
          <w:numId w:val="0"/>
        </w:numPr>
        <w:kinsoku/>
        <w:wordWrap/>
        <w:overflowPunct/>
        <w:topLinePunct w:val="0"/>
        <w:autoSpaceDE/>
        <w:autoSpaceDN/>
        <w:bidi w:val="0"/>
        <w:adjustRightInd/>
        <w:snapToGrid/>
        <w:ind w:leftChars="200" w:firstLine="400" w:firstLineChars="200"/>
        <w:jc w:val="center"/>
        <w:textAlignment w:val="baseline"/>
        <w:rPr>
          <w:rFonts w:hint="eastAsia"/>
          <w:lang w:val="en-US" w:eastAsia="zh-CN"/>
        </w:rPr>
      </w:pPr>
      <w:r>
        <w:rPr>
          <w:rFonts w:hint="eastAsia"/>
          <w:lang w:val="en-US" w:eastAsia="zh-CN"/>
        </w:rPr>
        <w:t>图9不同套种密度下土壤 Cd、Zn 含量下降率</w:t>
      </w:r>
    </w:p>
    <w:p>
      <w:pPr>
        <w:keepNext w:val="0"/>
        <w:keepLines w:val="0"/>
        <w:widowControl/>
        <w:suppressLineNumbers w:val="0"/>
        <w:jc w:val="left"/>
        <w:rPr>
          <w:rFonts w:hint="eastAsia"/>
          <w:lang w:val="en-US" w:eastAsia="zh-CN"/>
        </w:rPr>
      </w:pPr>
      <w:r>
        <w:rPr>
          <w:rFonts w:hint="eastAsia"/>
          <w:lang w:val="en-US" w:eastAsia="zh-CN"/>
        </w:rPr>
        <w:t>结论：利用伴矿景天与百香果套种并增大了伴矿景天的修复效果，同时，增大伴矿景天的种植密度，能够更有效地确保百香果的达标生产，使其果实中的重金属低于国家食品安全限定标准。在密度设置15×15cm时，伴矿景天的修复效率达到最高，百香果可食部分中的Cd含量达到最低，分别为0.031 mg/kg。因此，在超积累植物与农作物套种体系下，适当的提高种植密度，是修复重金属污染农田实际应用的一项有效措施。可以更好的强化套种效率，缩短修复所需年限。</w:t>
      </w:r>
    </w:p>
    <w:p>
      <w:pPr>
        <w:keepNext w:val="0"/>
        <w:keepLines w:val="0"/>
        <w:widowControl/>
        <w:suppressLineNumbers w:val="0"/>
        <w:jc w:val="left"/>
        <w:rPr>
          <w:rFonts w:hint="eastAsia"/>
          <w:b/>
          <w:bCs/>
          <w:i w:val="0"/>
          <w:iCs w:val="0"/>
          <w:lang w:val="en-US" w:eastAsia="zh-CN"/>
        </w:rPr>
      </w:pPr>
      <w:r>
        <w:rPr>
          <w:rFonts w:hint="eastAsia"/>
          <w:b/>
          <w:bCs/>
          <w:i w:val="0"/>
          <w:iCs w:val="0"/>
          <w:lang w:val="en-US" w:eastAsia="zh-CN"/>
        </w:rPr>
        <w:t>2、施肥管理</w:t>
      </w:r>
    </w:p>
    <w:p>
      <w:pPr>
        <w:keepNext w:val="0"/>
        <w:keepLines w:val="0"/>
        <w:widowControl/>
        <w:suppressLineNumbers w:val="0"/>
        <w:jc w:val="left"/>
        <w:rPr>
          <w:rFonts w:hint="eastAsia" w:ascii="仿宋_GB2312" w:hAnsi="宋体" w:eastAsia="仿宋_GB2312"/>
          <w:sz w:val="28"/>
          <w:szCs w:val="28"/>
        </w:rPr>
      </w:pPr>
      <w:r>
        <w:rPr>
          <w:rFonts w:hint="eastAsia"/>
          <w:lang w:val="en-US" w:eastAsia="zh-CN"/>
        </w:rPr>
        <w:t>桂林理工大学研究利用不同强化剂强化植物修复镉污染耕地土壤中的安全高效性、经济可行性和土壤酸碱性选择通过穴施或喷施的可生物降解有机酸（柠檬酸、苹果酸）、离子型肥料（硫酸亚铁、硫酸锌）于伴矿景天根际土壤或地上部，通过穴施硫肥、微生物菌粉（巨大芽孢杆菌、胶质芽孢杆菌）于伴矿景天根际土壤。根据研究结果（表1）确定强化剂使用方法。</w:t>
      </w:r>
    </w:p>
    <w:p>
      <w:pPr>
        <w:pStyle w:val="17"/>
        <w:tabs>
          <w:tab w:val="center" w:pos="4201"/>
          <w:tab w:val="right" w:leader="dot" w:pos="9298"/>
        </w:tabs>
        <w:ind w:firstLine="0" w:firstLineChars="0"/>
        <w:jc w:val="center"/>
        <w:rPr>
          <w:rFonts w:hint="eastAsia" w:ascii="仿宋_GB2312" w:hAnsi="宋体" w:eastAsia="仿宋_GB2312"/>
          <w:sz w:val="24"/>
          <w:szCs w:val="24"/>
        </w:rPr>
      </w:pPr>
      <w:r>
        <w:rPr>
          <w:rFonts w:hint="eastAsia" w:ascii="仿宋_GB2312" w:hAnsi="宋体" w:eastAsia="仿宋_GB2312"/>
          <w:sz w:val="24"/>
          <w:szCs w:val="24"/>
        </w:rPr>
        <w:t>表1。强化伴矿景天修复镉污染</w:t>
      </w:r>
      <w:r>
        <w:rPr>
          <w:rFonts w:hint="eastAsia" w:ascii="仿宋_GB2312" w:hAnsi="宋体" w:eastAsia="仿宋_GB2312"/>
          <w:sz w:val="24"/>
          <w:szCs w:val="24"/>
          <w:lang w:eastAsia="zh-CN"/>
        </w:rPr>
        <w:t>耕地</w:t>
      </w:r>
      <w:r>
        <w:rPr>
          <w:rFonts w:hint="eastAsia" w:ascii="仿宋_GB2312" w:hAnsi="宋体" w:eastAsia="仿宋_GB2312"/>
          <w:sz w:val="24"/>
          <w:szCs w:val="24"/>
        </w:rPr>
        <w:t>技术</w:t>
      </w:r>
    </w:p>
    <w:tbl>
      <w:tblPr>
        <w:tblStyle w:val="6"/>
        <w:tblW w:w="5000" w:type="pct"/>
        <w:tblInd w:w="0" w:type="dxa"/>
        <w:tblLayout w:type="autofit"/>
        <w:tblCellMar>
          <w:top w:w="0" w:type="dxa"/>
          <w:left w:w="108" w:type="dxa"/>
          <w:bottom w:w="0" w:type="dxa"/>
          <w:right w:w="108" w:type="dxa"/>
        </w:tblCellMar>
      </w:tblPr>
      <w:tblGrid>
        <w:gridCol w:w="1331"/>
        <w:gridCol w:w="610"/>
        <w:gridCol w:w="811"/>
        <w:gridCol w:w="666"/>
        <w:gridCol w:w="611"/>
        <w:gridCol w:w="893"/>
        <w:gridCol w:w="666"/>
        <w:gridCol w:w="697"/>
        <w:gridCol w:w="671"/>
        <w:gridCol w:w="893"/>
        <w:gridCol w:w="666"/>
        <w:gridCol w:w="631"/>
      </w:tblGrid>
      <w:tr>
        <w:tblPrEx>
          <w:tblCellMar>
            <w:top w:w="0" w:type="dxa"/>
            <w:left w:w="108" w:type="dxa"/>
            <w:bottom w:w="0" w:type="dxa"/>
            <w:right w:w="108" w:type="dxa"/>
          </w:tblCellMar>
        </w:tblPrEx>
        <w:trPr>
          <w:trHeight w:val="290" w:hRule="atLeast"/>
        </w:trPr>
        <w:tc>
          <w:tcPr>
            <w:tcW w:w="451" w:type="pct"/>
            <w:vMerge w:val="restar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试验地点</w:t>
            </w:r>
          </w:p>
        </w:tc>
        <w:tc>
          <w:tcPr>
            <w:tcW w:w="1630" w:type="pct"/>
            <w:gridSpan w:val="4"/>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强化剂</w:t>
            </w:r>
          </w:p>
        </w:tc>
        <w:tc>
          <w:tcPr>
            <w:tcW w:w="1687" w:type="pct"/>
            <w:gridSpan w:val="4"/>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伴矿景天（地上部）</w:t>
            </w:r>
          </w:p>
        </w:tc>
        <w:tc>
          <w:tcPr>
            <w:tcW w:w="1231" w:type="pct"/>
            <w:gridSpan w:val="3"/>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土壤</w:t>
            </w:r>
          </w:p>
        </w:tc>
      </w:tr>
      <w:tr>
        <w:tblPrEx>
          <w:tblCellMar>
            <w:top w:w="0" w:type="dxa"/>
            <w:left w:w="108" w:type="dxa"/>
            <w:bottom w:w="0" w:type="dxa"/>
            <w:right w:w="108" w:type="dxa"/>
          </w:tblCellMar>
        </w:tblPrEx>
        <w:trPr>
          <w:trHeight w:val="570" w:hRule="atLeast"/>
        </w:trPr>
        <w:tc>
          <w:tcPr>
            <w:tcW w:w="451" w:type="pct"/>
            <w:vMerge w:val="continue"/>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种类</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浓度</w:t>
            </w:r>
            <w:r>
              <w:rPr>
                <w:rFonts w:hint="default" w:ascii="Times New Roman" w:hAnsi="Times New Roman" w:eastAsia="等线" w:cs="Times New Roman"/>
                <w:color w:val="auto"/>
                <w:kern w:val="0"/>
                <w:sz w:val="21"/>
                <w:szCs w:val="21"/>
                <w:lang w:val="en-US" w:eastAsia="zh-CN" w:bidi="ar"/>
              </w:rPr>
              <w:t>(g/L)</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施加量</w:t>
            </w:r>
            <w:r>
              <w:rPr>
                <w:rFonts w:hint="default" w:ascii="Times New Roman" w:hAnsi="Times New Roman" w:eastAsia="等线" w:cs="Times New Roman"/>
                <w:color w:val="auto"/>
                <w:kern w:val="0"/>
                <w:sz w:val="21"/>
                <w:szCs w:val="21"/>
                <w:lang w:val="en-US" w:eastAsia="zh-CN" w:bidi="ar"/>
              </w:rPr>
              <w:t>(mL)</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施加方式</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含量</w:t>
            </w:r>
            <w:r>
              <w:rPr>
                <w:rFonts w:hint="default" w:ascii="Times New Roman" w:hAnsi="Times New Roman" w:eastAsia="等线" w:cs="Times New Roman"/>
                <w:color w:val="auto"/>
                <w:kern w:val="0"/>
                <w:sz w:val="21"/>
                <w:szCs w:val="21"/>
                <w:lang w:val="en-US" w:eastAsia="zh-CN" w:bidi="ar"/>
              </w:rPr>
              <w:t>(mg/kg)</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干重</w:t>
            </w:r>
            <w:r>
              <w:rPr>
                <w:rFonts w:hint="default" w:ascii="Times New Roman" w:hAnsi="Times New Roman" w:eastAsia="等线" w:cs="Times New Roman"/>
                <w:color w:val="auto"/>
                <w:kern w:val="0"/>
                <w:sz w:val="21"/>
                <w:szCs w:val="21"/>
                <w:lang w:val="en-US" w:eastAsia="zh-CN" w:bidi="ar"/>
              </w:rPr>
              <w:t>(kg/</w:t>
            </w:r>
            <w:r>
              <w:rPr>
                <w:rFonts w:hint="eastAsia" w:ascii="宋体" w:hAnsi="宋体" w:eastAsia="宋体" w:cs="宋体"/>
                <w:color w:val="auto"/>
                <w:kern w:val="0"/>
                <w:sz w:val="21"/>
                <w:szCs w:val="21"/>
                <w:lang w:val="en-US" w:eastAsia="zh-CN" w:bidi="ar"/>
              </w:rPr>
              <w:t>亩</w:t>
            </w:r>
            <w:r>
              <w:rPr>
                <w:rFonts w:hint="default" w:ascii="Times New Roman" w:hAnsi="Times New Roman" w:eastAsia="等线" w:cs="Times New Roman"/>
                <w:color w:val="auto"/>
                <w:kern w:val="0"/>
                <w:sz w:val="21"/>
                <w:szCs w:val="21"/>
                <w:lang w:val="en-US" w:eastAsia="zh-CN" w:bidi="ar"/>
              </w:rPr>
              <w:t>)</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提取量</w:t>
            </w:r>
            <w:r>
              <w:rPr>
                <w:rFonts w:hint="default" w:ascii="Times New Roman" w:hAnsi="Times New Roman" w:eastAsia="等线" w:cs="Times New Roman"/>
                <w:color w:val="auto"/>
                <w:kern w:val="0"/>
                <w:sz w:val="21"/>
                <w:szCs w:val="21"/>
                <w:lang w:val="en-US" w:eastAsia="zh-CN" w:bidi="ar"/>
              </w:rPr>
              <w:t>(g/</w:t>
            </w:r>
            <w:r>
              <w:rPr>
                <w:rFonts w:hint="eastAsia" w:ascii="宋体" w:hAnsi="宋体" w:eastAsia="宋体" w:cs="宋体"/>
                <w:color w:val="auto"/>
                <w:kern w:val="0"/>
                <w:sz w:val="21"/>
                <w:szCs w:val="21"/>
                <w:lang w:val="en-US" w:eastAsia="zh-CN" w:bidi="ar"/>
              </w:rPr>
              <w:t>亩</w:t>
            </w:r>
            <w:r>
              <w:rPr>
                <w:rFonts w:hint="default" w:ascii="Times New Roman" w:hAnsi="Times New Roman" w:eastAsia="等线" w:cs="Times New Roman"/>
                <w:color w:val="auto"/>
                <w:kern w:val="0"/>
                <w:sz w:val="21"/>
                <w:szCs w:val="21"/>
                <w:lang w:val="en-US" w:eastAsia="zh-CN" w:bidi="ar"/>
              </w:rPr>
              <w:t>)</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提取率（</w:t>
            </w:r>
            <w:r>
              <w:rPr>
                <w:rFonts w:hint="default" w:ascii="Times New Roman" w:hAnsi="Times New Roman" w:eastAsia="等线" w:cs="Times New Roman"/>
                <w:color w:val="auto"/>
                <w:kern w:val="0"/>
                <w:sz w:val="21"/>
                <w:szCs w:val="21"/>
                <w:lang w:val="en-US" w:eastAsia="zh-CN" w:bidi="ar"/>
              </w:rPr>
              <w:t>%)</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含量</w:t>
            </w:r>
            <w:r>
              <w:rPr>
                <w:rFonts w:hint="default" w:ascii="Times New Roman" w:hAnsi="Times New Roman" w:eastAsia="等线" w:cs="Times New Roman"/>
                <w:color w:val="auto"/>
                <w:kern w:val="0"/>
                <w:sz w:val="21"/>
                <w:szCs w:val="21"/>
                <w:lang w:val="en-US" w:eastAsia="zh-CN" w:bidi="ar"/>
              </w:rPr>
              <w:t>(mg/kg)</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削减量</w:t>
            </w:r>
            <w:r>
              <w:rPr>
                <w:rFonts w:hint="default" w:ascii="Times New Roman" w:hAnsi="Times New Roman" w:eastAsia="等线" w:cs="Times New Roman"/>
                <w:color w:val="auto"/>
                <w:kern w:val="0"/>
                <w:sz w:val="21"/>
                <w:szCs w:val="21"/>
                <w:lang w:val="en-US" w:eastAsia="zh-CN" w:bidi="ar"/>
              </w:rPr>
              <w:t>(g/</w:t>
            </w:r>
            <w:r>
              <w:rPr>
                <w:rFonts w:hint="eastAsia" w:ascii="宋体" w:hAnsi="宋体" w:eastAsia="宋体" w:cs="宋体"/>
                <w:color w:val="auto"/>
                <w:kern w:val="0"/>
                <w:sz w:val="21"/>
                <w:szCs w:val="21"/>
                <w:lang w:val="en-US" w:eastAsia="zh-CN" w:bidi="ar"/>
              </w:rPr>
              <w:t>亩</w:t>
            </w:r>
            <w:r>
              <w:rPr>
                <w:rFonts w:hint="default" w:ascii="Times New Roman" w:hAnsi="Times New Roman" w:eastAsia="等线" w:cs="Times New Roman"/>
                <w:color w:val="auto"/>
                <w:kern w:val="0"/>
                <w:sz w:val="21"/>
                <w:szCs w:val="21"/>
                <w:lang w:val="en-US" w:eastAsia="zh-CN" w:bidi="ar"/>
              </w:rPr>
              <w:t>)</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削减率</w:t>
            </w:r>
            <w:r>
              <w:rPr>
                <w:rFonts w:hint="default" w:ascii="Times New Roman" w:hAnsi="Times New Roman" w:eastAsia="等线" w:cs="Times New Roman"/>
                <w:color w:val="auto"/>
                <w:kern w:val="0"/>
                <w:sz w:val="21"/>
                <w:szCs w:val="21"/>
                <w:lang w:val="en-US" w:eastAsia="zh-CN" w:bidi="ar"/>
              </w:rPr>
              <w:t>(%)</w:t>
            </w:r>
          </w:p>
        </w:tc>
      </w:tr>
      <w:tr>
        <w:tblPrEx>
          <w:tblCellMar>
            <w:top w:w="0" w:type="dxa"/>
            <w:left w:w="108" w:type="dxa"/>
            <w:bottom w:w="0" w:type="dxa"/>
            <w:right w:w="108" w:type="dxa"/>
          </w:tblCellMar>
        </w:tblPrEx>
        <w:trPr>
          <w:trHeight w:val="290" w:hRule="atLeast"/>
        </w:trPr>
        <w:tc>
          <w:tcPr>
            <w:tcW w:w="451"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阳朔基地</w:t>
            </w:r>
            <w:r>
              <w:rPr>
                <w:rFonts w:hint="default" w:ascii="Times New Roman" w:hAnsi="Times New Roman" w:eastAsia="等线"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修复前土壤</w:t>
            </w: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含量为</w:t>
            </w:r>
            <w:r>
              <w:rPr>
                <w:rFonts w:hint="default" w:ascii="Times New Roman" w:hAnsi="Times New Roman" w:eastAsia="等线" w:cs="Times New Roman"/>
                <w:color w:val="auto"/>
                <w:kern w:val="0"/>
                <w:sz w:val="21"/>
                <w:szCs w:val="21"/>
                <w:lang w:val="en-US" w:eastAsia="zh-CN" w:bidi="ar"/>
              </w:rPr>
              <w:t>0.65mg/kg</w:t>
            </w:r>
            <w:r>
              <w:rPr>
                <w:rFonts w:hint="eastAsia" w:ascii="宋体" w:hAnsi="宋体" w:eastAsia="宋体" w:cs="宋体"/>
                <w:color w:val="auto"/>
                <w:kern w:val="0"/>
                <w:sz w:val="21"/>
                <w:szCs w:val="21"/>
                <w:lang w:val="en-US" w:eastAsia="zh-CN" w:bidi="ar"/>
              </w:rPr>
              <w:t>，土壤</w:t>
            </w:r>
            <w:r>
              <w:rPr>
                <w:rFonts w:hint="default" w:ascii="Times New Roman" w:hAnsi="Times New Roman" w:eastAsia="等线" w:cs="Times New Roman"/>
                <w:color w:val="auto"/>
                <w:kern w:val="0"/>
                <w:sz w:val="21"/>
                <w:szCs w:val="21"/>
                <w:lang w:val="en-US" w:eastAsia="zh-CN" w:bidi="ar"/>
              </w:rPr>
              <w:t>pH</w:t>
            </w:r>
            <w:r>
              <w:rPr>
                <w:rFonts w:hint="eastAsia" w:ascii="宋体" w:hAnsi="宋体" w:eastAsia="宋体" w:cs="宋体"/>
                <w:color w:val="auto"/>
                <w:kern w:val="0"/>
                <w:sz w:val="21"/>
                <w:szCs w:val="21"/>
                <w:lang w:val="en-US" w:eastAsia="zh-CN" w:bidi="ar"/>
              </w:rPr>
              <w:t>值为</w:t>
            </w:r>
            <w:r>
              <w:rPr>
                <w:rFonts w:hint="default" w:ascii="Times New Roman" w:hAnsi="Times New Roman" w:eastAsia="等线" w:cs="Times New Roman"/>
                <w:color w:val="auto"/>
                <w:kern w:val="0"/>
                <w:sz w:val="21"/>
                <w:szCs w:val="21"/>
                <w:lang w:val="en-US" w:eastAsia="zh-CN" w:bidi="ar"/>
              </w:rPr>
              <w:t>6.94)</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47.02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227</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10.7</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14</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0.55</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12.0</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硫酸亚铁</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淋施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81.8</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185</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15.1</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19</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0.49</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19.2</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75.97</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286</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21.7</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28</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0.39</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31.2</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40</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109</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319</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34.8</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45</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0.21</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52.8</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68</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56.35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303</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17.1</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22</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0.43</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26.4</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34</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101.33</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271</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27.5</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35</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0.26</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46.8</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60</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54.31</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255</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13.9</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18</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0.44</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25.2</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32</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硫酸锌</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66.87</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290</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19.4</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0.33</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38.4</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49</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93.68</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296</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27.7</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36</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0.23</w:t>
            </w:r>
          </w:p>
        </w:tc>
        <w:tc>
          <w:tcPr>
            <w:tcW w:w="424"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50.4</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6</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54.87</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270</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14.8</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19</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0.44</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25.2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32</w:t>
            </w:r>
          </w:p>
        </w:tc>
      </w:tr>
      <w:tr>
        <w:tblPrEx>
          <w:tblCellMar>
            <w:top w:w="0" w:type="dxa"/>
            <w:left w:w="108" w:type="dxa"/>
            <w:bottom w:w="0" w:type="dxa"/>
            <w:right w:w="108" w:type="dxa"/>
          </w:tblCellMar>
        </w:tblPrEx>
        <w:trPr>
          <w:trHeight w:val="290" w:hRule="atLeast"/>
        </w:trPr>
        <w:tc>
          <w:tcPr>
            <w:tcW w:w="451"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韶关基地</w:t>
            </w:r>
            <w:r>
              <w:rPr>
                <w:rFonts w:hint="default" w:ascii="Times New Roman" w:hAnsi="Times New Roman" w:eastAsia="等线"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修复前土壤</w:t>
            </w:r>
            <w:r>
              <w:rPr>
                <w:rFonts w:hint="default" w:ascii="Times New Roman" w:hAnsi="Times New Roman" w:eastAsia="等线" w:cs="Times New Roman"/>
                <w:color w:val="auto"/>
                <w:kern w:val="0"/>
                <w:sz w:val="21"/>
                <w:szCs w:val="21"/>
                <w:lang w:val="en-US" w:eastAsia="zh-CN" w:bidi="ar"/>
              </w:rPr>
              <w:t>Cd</w:t>
            </w:r>
            <w:r>
              <w:rPr>
                <w:rFonts w:hint="eastAsia" w:ascii="宋体" w:hAnsi="宋体" w:eastAsia="宋体" w:cs="宋体"/>
                <w:color w:val="auto"/>
                <w:kern w:val="0"/>
                <w:sz w:val="21"/>
                <w:szCs w:val="21"/>
                <w:lang w:val="en-US" w:eastAsia="zh-CN" w:bidi="ar"/>
              </w:rPr>
              <w:t>含量为</w:t>
            </w:r>
            <w:r>
              <w:rPr>
                <w:rFonts w:hint="default" w:ascii="Times New Roman" w:hAnsi="Times New Roman" w:eastAsia="等线" w:cs="Times New Roman"/>
                <w:color w:val="auto"/>
                <w:kern w:val="0"/>
                <w:sz w:val="21"/>
                <w:szCs w:val="21"/>
                <w:lang w:val="en-US" w:eastAsia="zh-CN" w:bidi="ar"/>
              </w:rPr>
              <w:t>0.92mg/kg</w:t>
            </w:r>
            <w:r>
              <w:rPr>
                <w:rFonts w:hint="eastAsia" w:ascii="宋体" w:hAnsi="宋体" w:eastAsia="宋体" w:cs="宋体"/>
                <w:color w:val="auto"/>
                <w:kern w:val="0"/>
                <w:sz w:val="21"/>
                <w:szCs w:val="21"/>
                <w:lang w:val="en-US" w:eastAsia="zh-CN" w:bidi="ar"/>
              </w:rPr>
              <w:t>，土壤</w:t>
            </w:r>
            <w:r>
              <w:rPr>
                <w:rFonts w:hint="default" w:ascii="Times New Roman" w:hAnsi="Times New Roman" w:eastAsia="等线" w:cs="Times New Roman"/>
                <w:color w:val="auto"/>
                <w:kern w:val="0"/>
                <w:sz w:val="21"/>
                <w:szCs w:val="21"/>
                <w:lang w:val="en-US" w:eastAsia="zh-CN" w:bidi="ar"/>
              </w:rPr>
              <w:t>pH</w:t>
            </w:r>
            <w:r>
              <w:rPr>
                <w:rFonts w:hint="eastAsia" w:ascii="宋体" w:hAnsi="宋体" w:eastAsia="宋体" w:cs="宋体"/>
                <w:color w:val="auto"/>
                <w:kern w:val="0"/>
                <w:sz w:val="21"/>
                <w:szCs w:val="21"/>
                <w:lang w:val="en-US" w:eastAsia="zh-CN" w:bidi="ar"/>
              </w:rPr>
              <w:t>值为</w:t>
            </w:r>
            <w:r>
              <w:rPr>
                <w:rFonts w:hint="default" w:ascii="Times New Roman" w:hAnsi="Times New Roman" w:eastAsia="等线" w:cs="Times New Roman"/>
                <w:color w:val="auto"/>
                <w:kern w:val="0"/>
                <w:sz w:val="21"/>
                <w:szCs w:val="21"/>
                <w:lang w:val="en-US" w:eastAsia="zh-CN" w:bidi="ar"/>
              </w:rPr>
              <w:t>5.28)</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无</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76.92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230</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17.7</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16</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0.62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36.0</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33</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硫酸亚铁</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200</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淋施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126.5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242</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30.6</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28</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0.41</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61.2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93.72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257</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24.0</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0.56</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43.2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39</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硫酸锌</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0.75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98.12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274</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26.9</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24</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0.51</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49.2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132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270</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35.6</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0.43</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58.8</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53</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苹果酸</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0.625</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淋施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87.93</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269</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23.6</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21</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0.58</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40.8</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37</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102.8</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252</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25.9</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0.50</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50.4</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46</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0.625</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113.64</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237</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27.0</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24</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48.0</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43</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93.3</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257</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23.9</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0.56</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43.2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39</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柠檬酸</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0.9</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淋施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94.07</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263</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24.7</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0.44</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57.6</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52</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3.6</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77.33</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265</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20.5</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19</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0.51</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49.2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0.9</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喷施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98.83</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307</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30.3</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0.45</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56.4</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51</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3.6</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82.06</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247</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21.8</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0.55</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44.4</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40</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巨大芽孢杆菌</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0.15g</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淋施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108.2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272</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29.5</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48.0</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43</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0.3g</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88.26</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294</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25.9</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0.49</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51.6</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47</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0.6g</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86.74</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276</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23.9</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22</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0.58</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40.8</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37</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胶质芽孢杆菌</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0.375g</w:t>
            </w:r>
          </w:p>
        </w:tc>
        <w:tc>
          <w:tcPr>
            <w:tcW w:w="403"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200</w:t>
            </w:r>
          </w:p>
        </w:tc>
        <w:tc>
          <w:tcPr>
            <w:tcW w:w="372" w:type="pct"/>
            <w:vMerge w:val="restart"/>
            <w:tcBorders>
              <w:top w:val="nil"/>
              <w:left w:val="single" w:color="auto" w:sz="8" w:space="0"/>
              <w:bottom w:val="single" w:color="000000"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eastAsia" w:ascii="宋体" w:hAnsi="宋体" w:eastAsia="宋体" w:cs="宋体"/>
                <w:color w:val="auto"/>
                <w:kern w:val="0"/>
                <w:sz w:val="21"/>
                <w:szCs w:val="21"/>
                <w:lang w:val="en-US" w:eastAsia="zh-CN" w:bidi="ar"/>
              </w:rPr>
              <w:t>淋施</w:t>
            </w: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74.44</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285</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21.2</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19</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0.51</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49.2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45</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0.75g</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110.2</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256</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28.2</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26</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0.46</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55.2</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50</w:t>
            </w:r>
          </w:p>
        </w:tc>
      </w:tr>
      <w:tr>
        <w:tblPrEx>
          <w:tblCellMar>
            <w:top w:w="0" w:type="dxa"/>
            <w:left w:w="108" w:type="dxa"/>
            <w:bottom w:w="0" w:type="dxa"/>
            <w:right w:w="108" w:type="dxa"/>
          </w:tblCellMar>
        </w:tblPrEx>
        <w:trPr>
          <w:trHeight w:val="290" w:hRule="atLeast"/>
        </w:trPr>
        <w:tc>
          <w:tcPr>
            <w:tcW w:w="451"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1.5g</w:t>
            </w:r>
          </w:p>
        </w:tc>
        <w:tc>
          <w:tcPr>
            <w:tcW w:w="403"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372" w:type="pct"/>
            <w:vMerge w:val="continue"/>
            <w:tcBorders>
              <w:top w:val="nil"/>
              <w:left w:val="single" w:color="auto" w:sz="8" w:space="0"/>
              <w:bottom w:val="single" w:color="000000" w:sz="8" w:space="0"/>
              <w:right w:val="single" w:color="auto" w:sz="8"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等线" w:hAnsi="等线" w:eastAsia="等线" w:cs="Times New Roman"/>
                <w:color w:val="auto"/>
                <w:kern w:val="2"/>
                <w:sz w:val="21"/>
                <w:szCs w:val="22"/>
              </w:rPr>
            </w:pPr>
          </w:p>
        </w:tc>
        <w:tc>
          <w:tcPr>
            <w:tcW w:w="4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95.15</w:t>
            </w:r>
          </w:p>
        </w:tc>
        <w:tc>
          <w:tcPr>
            <w:tcW w:w="403"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311</w:t>
            </w:r>
          </w:p>
        </w:tc>
        <w:tc>
          <w:tcPr>
            <w:tcW w:w="419"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29.6</w:t>
            </w:r>
          </w:p>
        </w:tc>
        <w:tc>
          <w:tcPr>
            <w:tcW w:w="382" w:type="pct"/>
            <w:tcBorders>
              <w:top w:val="nil"/>
              <w:left w:val="nil"/>
              <w:bottom w:val="single" w:color="auto" w:sz="8" w:space="0"/>
              <w:right w:val="single" w:color="auto" w:sz="8"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lang w:val="en-US"/>
              </w:rPr>
            </w:pPr>
            <w:r>
              <w:rPr>
                <w:rFonts w:hint="default" w:ascii="Times New Roman" w:hAnsi="Times New Roman" w:eastAsia="等线" w:cs="Times New Roman"/>
                <w:color w:val="auto"/>
                <w:kern w:val="0"/>
                <w:sz w:val="21"/>
                <w:szCs w:val="21"/>
                <w:lang w:val="en-US" w:eastAsia="zh-CN" w:bidi="ar"/>
              </w:rPr>
              <w:t>27</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0.39</w:t>
            </w:r>
          </w:p>
        </w:tc>
        <w:tc>
          <w:tcPr>
            <w:tcW w:w="424"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63.6</w:t>
            </w:r>
          </w:p>
        </w:tc>
        <w:tc>
          <w:tcPr>
            <w:tcW w:w="382" w:type="pct"/>
            <w:tcBorders>
              <w:top w:val="nil"/>
              <w:left w:val="nil"/>
              <w:bottom w:val="single" w:color="auto" w:sz="8" w:space="0"/>
              <w:right w:val="single" w:color="auto" w:sz="8"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等线" w:cs="Times New Roman"/>
                <w:color w:val="auto"/>
                <w:kern w:val="0"/>
                <w:sz w:val="22"/>
                <w:szCs w:val="22"/>
                <w:lang w:val="en-US"/>
              </w:rPr>
            </w:pPr>
            <w:r>
              <w:rPr>
                <w:rFonts w:hint="default" w:ascii="Times New Roman" w:hAnsi="Times New Roman" w:eastAsia="等线" w:cs="Times New Roman"/>
                <w:color w:val="auto"/>
                <w:kern w:val="0"/>
                <w:sz w:val="22"/>
                <w:szCs w:val="22"/>
                <w:lang w:val="en-US" w:eastAsia="zh-CN" w:bidi="ar"/>
              </w:rPr>
              <w:t>58</w:t>
            </w:r>
          </w:p>
        </w:tc>
      </w:tr>
    </w:tbl>
    <w:p>
      <w:pPr>
        <w:pStyle w:val="17"/>
        <w:tabs>
          <w:tab w:val="center" w:pos="4201"/>
          <w:tab w:val="right" w:leader="dot" w:pos="9298"/>
        </w:tabs>
        <w:ind w:firstLine="0" w:firstLineChars="0"/>
        <w:jc w:val="center"/>
        <w:rPr>
          <w:rFonts w:hint="eastAsia" w:ascii="仿宋_GB2312" w:hAnsi="宋体" w:eastAsia="仿宋_GB2312"/>
          <w:sz w:val="24"/>
          <w:szCs w:val="24"/>
        </w:rPr>
      </w:pPr>
    </w:p>
    <w:p>
      <w:pPr>
        <w:keepNext w:val="0"/>
        <w:keepLines w:val="0"/>
        <w:widowControl/>
        <w:suppressLineNumbers w:val="0"/>
        <w:jc w:val="left"/>
        <w:rPr>
          <w:rFonts w:hint="eastAsia"/>
          <w:lang w:val="en-US" w:eastAsia="zh-CN"/>
        </w:rPr>
      </w:pPr>
      <w:r>
        <w:rPr>
          <w:rFonts w:hint="eastAsia"/>
          <w:lang w:val="en-US" w:eastAsia="zh-CN"/>
        </w:rPr>
        <w:t>在不同酸碱性土壤穴/喷施强化剂，可有效提供伴矿景天修复效率。在偏中碱性土壤穴/喷施硫酸亚铁、硫酸锌可使土壤Cd削减率达25%～68%，平均较CK提高200%；植物Cd提取率达18%～45%，平均较CK提高93%。在偏酸性土壤穴/喷施加硫酸亚铁、硫酸锌、苹果酸、柠檬酸、巨大/胶质芽孢杆菌可使土壤Cd削减率达37%～58%，平均较CK提高39%；植物Cd提取率达19%～32%，平均较CK提高50%。</w:t>
      </w:r>
    </w:p>
    <w:p>
      <w:pPr>
        <w:keepNext w:val="0"/>
        <w:keepLines w:val="0"/>
        <w:widowControl/>
        <w:suppressLineNumbers w:val="0"/>
        <w:jc w:val="left"/>
        <w:rPr>
          <w:rFonts w:hint="eastAsia"/>
          <w:lang w:val="en-US" w:eastAsia="zh-CN"/>
        </w:rPr>
      </w:pPr>
      <w:r>
        <w:rPr>
          <w:rFonts w:hint="eastAsia"/>
          <w:lang w:val="en-US" w:eastAsia="zh-CN"/>
        </w:rPr>
        <w:t>通过试验示范研究总结出强化剂施用方法：</w:t>
      </w: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92"/>
        <w:gridCol w:w="1355"/>
        <w:gridCol w:w="1353"/>
        <w:gridCol w:w="2300"/>
        <w:gridCol w:w="2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tcBorders>
              <w:top w:val="single" w:color="auto" w:sz="8" w:space="0"/>
              <w:left w:val="single" w:color="auto" w:sz="8"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土壤</w:t>
            </w:r>
            <w:r>
              <w:rPr>
                <w:color w:val="auto"/>
                <w:lang w:val="en-US"/>
              </w:rPr>
              <w:t>pH</w:t>
            </w:r>
          </w:p>
        </w:tc>
        <w:tc>
          <w:tcPr>
            <w:tcW w:w="757"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强化剂种类</w:t>
            </w:r>
          </w:p>
        </w:tc>
        <w:tc>
          <w:tcPr>
            <w:tcW w:w="756"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施用浓度</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用量</w:t>
            </w:r>
          </w:p>
        </w:tc>
        <w:tc>
          <w:tcPr>
            <w:tcW w:w="1592" w:type="pct"/>
            <w:tcBorders>
              <w:top w:val="single" w:color="auto" w:sz="8" w:space="0"/>
              <w:left w:val="single" w:color="auto" w:sz="4" w:space="0"/>
              <w:bottom w:val="single" w:color="auto" w:sz="8" w:space="0"/>
              <w:right w:val="single" w:color="auto" w:sz="8"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施用方法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restart"/>
            <w:tcBorders>
              <w:top w:val="single" w:color="auto" w:sz="8" w:space="0"/>
              <w:left w:val="single" w:color="auto" w:sz="8"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5.5</w:t>
            </w:r>
            <w:r>
              <w:rPr>
                <w:rFonts w:hAnsi="宋体"/>
                <w:color w:val="auto"/>
              </w:rPr>
              <w:t>～</w:t>
            </w:r>
            <w:r>
              <w:rPr>
                <w:color w:val="auto"/>
                <w:lang w:val="en-US"/>
              </w:rPr>
              <w:t>6.5</w:t>
            </w:r>
          </w:p>
        </w:tc>
        <w:tc>
          <w:tcPr>
            <w:tcW w:w="757" w:type="pct"/>
            <w:vMerge w:val="restar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柠檬酸</w:t>
            </w:r>
          </w:p>
        </w:tc>
        <w:tc>
          <w:tcPr>
            <w:tcW w:w="756" w:type="pct"/>
            <w:vMerge w:val="restar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w:t>
            </w:r>
            <w:r>
              <w:rPr>
                <w:color w:val="auto"/>
                <w:vertAlign w:val="superscript"/>
                <w:lang w:val="en-US"/>
              </w:rPr>
              <w:t xml:space="preserve"> </w:t>
            </w:r>
            <w:r>
              <w:rPr>
                <w:color w:val="auto"/>
                <w:lang w:val="en-US"/>
              </w:rPr>
              <w:t>g/L</w:t>
            </w:r>
            <w:r>
              <w:rPr>
                <w:color w:val="auto"/>
              </w:rPr>
              <w:t>～</w:t>
            </w:r>
            <w:r>
              <w:rPr>
                <w:color w:val="auto"/>
                <w:lang w:val="en-US"/>
              </w:rPr>
              <w:t>4</w:t>
            </w:r>
            <w:r>
              <w:rPr>
                <w:color w:val="auto"/>
                <w:vertAlign w:val="superscript"/>
                <w:lang w:val="en-US"/>
              </w:rPr>
              <w:t xml:space="preserve"> </w:t>
            </w:r>
            <w:r>
              <w:rPr>
                <w:color w:val="auto"/>
                <w:lang w:val="en-US"/>
              </w:rPr>
              <w:t>g/L</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1500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2200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淋施</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vMerge w:val="continue"/>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6" w:type="pct"/>
            <w:vMerge w:val="continue"/>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750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1100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喷施</w:t>
            </w:r>
            <w:r>
              <w:rPr>
                <w:color w:val="auto"/>
                <w:lang w:val="en-US"/>
              </w:rPr>
              <w:t>2</w:t>
            </w:r>
            <w:r>
              <w:rPr>
                <w:color w:val="auto"/>
              </w:rPr>
              <w:t>次，每隔</w:t>
            </w:r>
            <w:r>
              <w:rPr>
                <w:color w:val="auto"/>
                <w:lang w:val="en-US"/>
              </w:rPr>
              <w:t>7</w:t>
            </w:r>
            <w:r>
              <w:rPr>
                <w:color w:val="auto"/>
                <w:vertAlign w:val="superscript"/>
                <w:lang w:val="en-US"/>
              </w:rPr>
              <w:t xml:space="preserve"> </w:t>
            </w:r>
            <w:r>
              <w:rPr>
                <w:color w:val="auto"/>
                <w:lang w:val="en-US"/>
              </w:rPr>
              <w:t>d</w:t>
            </w:r>
            <w:r>
              <w:rPr>
                <w:color w:val="auto"/>
              </w:rPr>
              <w:t>喷</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vMerge w:val="restar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苹果酸</w:t>
            </w:r>
          </w:p>
        </w:tc>
        <w:tc>
          <w:tcPr>
            <w:tcW w:w="756" w:type="pct"/>
            <w:vMerge w:val="restar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0.5</w:t>
            </w:r>
            <w:r>
              <w:rPr>
                <w:color w:val="auto"/>
                <w:vertAlign w:val="superscript"/>
                <w:lang w:val="en-US"/>
              </w:rPr>
              <w:t xml:space="preserve"> </w:t>
            </w:r>
            <w:r>
              <w:rPr>
                <w:color w:val="auto"/>
                <w:lang w:val="en-US"/>
              </w:rPr>
              <w:t>g/L</w:t>
            </w:r>
            <w:r>
              <w:rPr>
                <w:color w:val="auto"/>
              </w:rPr>
              <w:t>～</w:t>
            </w:r>
            <w:r>
              <w:rPr>
                <w:color w:val="auto"/>
                <w:lang w:val="en-US"/>
              </w:rPr>
              <w:t>3</w:t>
            </w:r>
            <w:r>
              <w:rPr>
                <w:color w:val="auto"/>
                <w:vertAlign w:val="superscript"/>
                <w:lang w:val="en-US"/>
              </w:rPr>
              <w:t xml:space="preserve"> </w:t>
            </w:r>
            <w:r>
              <w:rPr>
                <w:color w:val="auto"/>
                <w:lang w:val="en-US"/>
              </w:rPr>
              <w:t>g/L</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1500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2200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淋施</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vMerge w:val="continue"/>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6" w:type="pct"/>
            <w:vMerge w:val="continue"/>
            <w:tcBorders>
              <w:top w:val="single" w:color="auto" w:sz="8" w:space="0"/>
              <w:left w:val="single" w:color="auto" w:sz="4"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750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1100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喷施</w:t>
            </w:r>
            <w:r>
              <w:rPr>
                <w:color w:val="auto"/>
                <w:lang w:val="en-US"/>
              </w:rPr>
              <w:t>2</w:t>
            </w:r>
            <w:r>
              <w:rPr>
                <w:color w:val="auto"/>
              </w:rPr>
              <w:t>次，每隔</w:t>
            </w:r>
            <w:r>
              <w:rPr>
                <w:color w:val="auto"/>
                <w:lang w:val="en-US"/>
              </w:rPr>
              <w:t>7</w:t>
            </w:r>
            <w:r>
              <w:rPr>
                <w:color w:val="auto"/>
                <w:vertAlign w:val="superscript"/>
                <w:lang w:val="en-US"/>
              </w:rPr>
              <w:t xml:space="preserve"> </w:t>
            </w:r>
            <w:r>
              <w:rPr>
                <w:color w:val="auto"/>
                <w:lang w:val="en-US"/>
              </w:rPr>
              <w:t>d</w:t>
            </w:r>
            <w:r>
              <w:rPr>
                <w:color w:val="auto"/>
              </w:rPr>
              <w:t>喷</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vMerge w:val="restart"/>
            <w:tcBorders>
              <w:top w:val="single" w:color="auto" w:sz="4"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硫酸亚铁</w:t>
            </w:r>
          </w:p>
        </w:tc>
        <w:tc>
          <w:tcPr>
            <w:tcW w:w="756" w:type="pct"/>
            <w:vMerge w:val="restart"/>
            <w:tcBorders>
              <w:top w:val="single" w:color="auto" w:sz="4"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w:t>
            </w:r>
            <w:r>
              <w:rPr>
                <w:color w:val="auto"/>
                <w:vertAlign w:val="superscript"/>
                <w:lang w:val="en-US"/>
              </w:rPr>
              <w:t xml:space="preserve"> </w:t>
            </w:r>
            <w:r>
              <w:rPr>
                <w:color w:val="auto"/>
                <w:lang w:val="en-US"/>
              </w:rPr>
              <w:t>g/L</w:t>
            </w:r>
            <w:r>
              <w:rPr>
                <w:color w:val="auto"/>
              </w:rPr>
              <w:t>～</w:t>
            </w:r>
            <w:r>
              <w:rPr>
                <w:color w:val="auto"/>
                <w:lang w:val="en-US"/>
              </w:rPr>
              <w:t>3</w:t>
            </w:r>
            <w:r>
              <w:rPr>
                <w:color w:val="auto"/>
                <w:vertAlign w:val="superscript"/>
                <w:lang w:val="en-US"/>
              </w:rPr>
              <w:t xml:space="preserve"> </w:t>
            </w:r>
            <w:r>
              <w:rPr>
                <w:color w:val="auto"/>
                <w:lang w:val="en-US"/>
              </w:rPr>
              <w:t>g/L</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1500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2200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淋施</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vMerge w:val="continue"/>
            <w:tcBorders>
              <w:top w:val="single" w:color="auto" w:sz="4" w:space="0"/>
              <w:left w:val="single" w:color="auto" w:sz="4"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6" w:type="pct"/>
            <w:vMerge w:val="continue"/>
            <w:tcBorders>
              <w:top w:val="single" w:color="auto" w:sz="4" w:space="0"/>
              <w:left w:val="single" w:color="auto" w:sz="4"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750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1100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喷施</w:t>
            </w:r>
            <w:r>
              <w:rPr>
                <w:color w:val="auto"/>
                <w:lang w:val="en-US"/>
              </w:rPr>
              <w:t>2</w:t>
            </w:r>
            <w:r>
              <w:rPr>
                <w:color w:val="auto"/>
              </w:rPr>
              <w:t>次，每隔</w:t>
            </w:r>
            <w:r>
              <w:rPr>
                <w:color w:val="auto"/>
                <w:lang w:val="en-US"/>
              </w:rPr>
              <w:t>7</w:t>
            </w:r>
            <w:r>
              <w:rPr>
                <w:color w:val="auto"/>
                <w:vertAlign w:val="superscript"/>
                <w:lang w:val="en-US"/>
              </w:rPr>
              <w:t xml:space="preserve"> </w:t>
            </w:r>
            <w:r>
              <w:rPr>
                <w:color w:val="auto"/>
                <w:lang w:val="en-US"/>
              </w:rPr>
              <w:t>d</w:t>
            </w:r>
            <w:r>
              <w:rPr>
                <w:color w:val="auto"/>
              </w:rPr>
              <w:t>喷</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tcBorders>
              <w:top w:val="single" w:color="auto" w:sz="4" w:space="0"/>
              <w:left w:val="single" w:color="auto" w:sz="4" w:space="0"/>
              <w:bottom w:val="single" w:color="auto" w:sz="4"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硫酸锌</w:t>
            </w:r>
          </w:p>
        </w:tc>
        <w:tc>
          <w:tcPr>
            <w:tcW w:w="756" w:type="pct"/>
            <w:tcBorders>
              <w:top w:val="single" w:color="auto" w:sz="4" w:space="0"/>
              <w:left w:val="single" w:color="auto" w:sz="4" w:space="0"/>
              <w:bottom w:val="single" w:color="auto" w:sz="4"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1g/L</w:t>
            </w:r>
            <w:r>
              <w:rPr>
                <w:color w:val="auto"/>
              </w:rPr>
              <w:t>～</w:t>
            </w:r>
            <w:r>
              <w:rPr>
                <w:color w:val="auto"/>
                <w:lang w:val="en-US"/>
              </w:rPr>
              <w:t>3</w:t>
            </w:r>
            <w:r>
              <w:rPr>
                <w:color w:val="auto"/>
                <w:vertAlign w:val="superscript"/>
                <w:lang w:val="en-US"/>
              </w:rPr>
              <w:t xml:space="preserve"> </w:t>
            </w:r>
            <w:r>
              <w:rPr>
                <w:color w:val="auto"/>
                <w:lang w:val="en-US"/>
              </w:rPr>
              <w:t>g/L</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750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1100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喷施</w:t>
            </w:r>
            <w:r>
              <w:rPr>
                <w:color w:val="auto"/>
                <w:lang w:val="en-US"/>
              </w:rPr>
              <w:t>2</w:t>
            </w:r>
            <w:r>
              <w:rPr>
                <w:color w:val="auto"/>
              </w:rPr>
              <w:t>次，每隔</w:t>
            </w:r>
            <w:r>
              <w:rPr>
                <w:color w:val="auto"/>
                <w:lang w:val="en-US"/>
              </w:rPr>
              <w:t>7</w:t>
            </w:r>
            <w:r>
              <w:rPr>
                <w:color w:val="auto"/>
                <w:vertAlign w:val="superscript"/>
                <w:lang w:val="en-US"/>
              </w:rPr>
              <w:t xml:space="preserve"> </w:t>
            </w:r>
            <w:r>
              <w:rPr>
                <w:color w:val="auto"/>
                <w:lang w:val="en-US"/>
              </w:rPr>
              <w:t>d</w:t>
            </w:r>
            <w:r>
              <w:rPr>
                <w:color w:val="auto"/>
              </w:rPr>
              <w:t>喷</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tcBorders>
              <w:top w:val="single" w:color="auto" w:sz="4" w:space="0"/>
              <w:left w:val="single" w:color="auto" w:sz="4" w:space="0"/>
              <w:bottom w:val="single" w:color="auto" w:sz="8" w:space="0"/>
              <w:right w:val="single" w:color="auto" w:sz="4"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巨大芽孢杆菌</w:t>
            </w:r>
          </w:p>
        </w:tc>
        <w:tc>
          <w:tcPr>
            <w:tcW w:w="756" w:type="pct"/>
            <w:tcBorders>
              <w:top w:val="single" w:color="auto" w:sz="4"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100</w:t>
            </w:r>
            <w:r>
              <w:rPr>
                <w:color w:val="auto"/>
              </w:rPr>
              <w:t>亿</w:t>
            </w:r>
            <w:r>
              <w:rPr>
                <w:color w:val="auto"/>
                <w:lang w:val="en-US"/>
              </w:rPr>
              <w:t>/g</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2</w:t>
            </w:r>
            <w:r>
              <w:rPr>
                <w:color w:val="auto"/>
                <w:vertAlign w:val="superscript"/>
                <w:lang w:val="en-US"/>
              </w:rPr>
              <w:t xml:space="preserve"> </w:t>
            </w:r>
            <w:r>
              <w:rPr>
                <w:color w:val="auto"/>
                <w:lang w:val="en-US"/>
              </w:rPr>
              <w:t>kg/667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rFonts w:hAnsi="宋体"/>
                <w:color w:val="auto"/>
                <w:lang w:val="en-US"/>
              </w:rPr>
              <w:t>6</w:t>
            </w:r>
            <w:r>
              <w:rPr>
                <w:color w:val="auto"/>
                <w:vertAlign w:val="superscript"/>
                <w:lang w:val="en-US"/>
              </w:rPr>
              <w:t xml:space="preserve"> </w:t>
            </w:r>
            <w:r>
              <w:rPr>
                <w:color w:val="auto"/>
                <w:lang w:val="en-US"/>
              </w:rPr>
              <w:t>kg/667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溶于</w:t>
            </w:r>
            <w:r>
              <w:rPr>
                <w:color w:val="auto"/>
                <w:lang w:val="en-US"/>
              </w:rPr>
              <w:t>1500</w:t>
            </w:r>
            <w:r>
              <w:rPr>
                <w:color w:val="auto"/>
                <w:vertAlign w:val="superscript"/>
                <w:lang w:val="en-US"/>
              </w:rPr>
              <w:t xml:space="preserve"> </w:t>
            </w:r>
            <w:r>
              <w:rPr>
                <w:color w:val="auto"/>
                <w:lang w:val="en-US"/>
              </w:rPr>
              <w:t>L</w:t>
            </w:r>
            <w:r>
              <w:rPr>
                <w:rFonts w:hAnsi="宋体"/>
                <w:color w:val="auto"/>
              </w:rPr>
              <w:t>～</w:t>
            </w:r>
            <w:r>
              <w:rPr>
                <w:color w:val="auto"/>
                <w:lang w:val="en-US"/>
              </w:rPr>
              <w:t>2200</w:t>
            </w:r>
            <w:r>
              <w:rPr>
                <w:color w:val="auto"/>
                <w:vertAlign w:val="superscript"/>
                <w:lang w:val="en-US"/>
              </w:rPr>
              <w:t xml:space="preserve"> </w:t>
            </w:r>
            <w:r>
              <w:rPr>
                <w:color w:val="auto"/>
                <w:lang w:val="en-US"/>
              </w:rPr>
              <w:t>L</w:t>
            </w:r>
            <w:r>
              <w:rPr>
                <w:color w:val="auto"/>
              </w:rPr>
              <w:t>水中，淋施</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tcBorders>
              <w:top w:val="single" w:color="auto" w:sz="4" w:space="0"/>
              <w:left w:val="single" w:color="auto" w:sz="4" w:space="0"/>
              <w:bottom w:val="single" w:color="auto" w:sz="8" w:space="0"/>
              <w:right w:val="single" w:color="auto" w:sz="4"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胶质芽孢杆菌</w:t>
            </w:r>
          </w:p>
        </w:tc>
        <w:tc>
          <w:tcPr>
            <w:tcW w:w="756" w:type="pct"/>
            <w:tcBorders>
              <w:top w:val="single" w:color="auto" w:sz="4"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100</w:t>
            </w:r>
            <w:r>
              <w:rPr>
                <w:color w:val="auto"/>
              </w:rPr>
              <w:t>亿</w:t>
            </w:r>
            <w:r>
              <w:rPr>
                <w:color w:val="auto"/>
                <w:lang w:val="en-US"/>
              </w:rPr>
              <w:t>/g</w:t>
            </w:r>
          </w:p>
        </w:tc>
        <w:tc>
          <w:tcPr>
            <w:tcW w:w="1285" w:type="pct"/>
            <w:tcBorders>
              <w:top w:val="single" w:color="auto" w:sz="8"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5</w:t>
            </w:r>
            <w:r>
              <w:rPr>
                <w:color w:val="auto"/>
                <w:vertAlign w:val="superscript"/>
                <w:lang w:val="en-US"/>
              </w:rPr>
              <w:t xml:space="preserve"> </w:t>
            </w:r>
            <w:r>
              <w:rPr>
                <w:color w:val="auto"/>
                <w:lang w:val="en-US"/>
              </w:rPr>
              <w:t>kg/667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rFonts w:hAnsi="宋体"/>
                <w:color w:val="auto"/>
                <w:lang w:val="en-US"/>
              </w:rPr>
              <w:t>15</w:t>
            </w:r>
            <w:r>
              <w:rPr>
                <w:color w:val="auto"/>
                <w:vertAlign w:val="superscript"/>
                <w:lang w:val="en-US"/>
              </w:rPr>
              <w:t xml:space="preserve"> </w:t>
            </w:r>
            <w:r>
              <w:rPr>
                <w:color w:val="auto"/>
                <w:lang w:val="en-US"/>
              </w:rPr>
              <w:t>kg/667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溶于</w:t>
            </w:r>
            <w:r>
              <w:rPr>
                <w:color w:val="auto"/>
                <w:lang w:val="en-US"/>
              </w:rPr>
              <w:t>1500</w:t>
            </w:r>
            <w:r>
              <w:rPr>
                <w:color w:val="auto"/>
                <w:vertAlign w:val="superscript"/>
                <w:lang w:val="en-US"/>
              </w:rPr>
              <w:t xml:space="preserve"> </w:t>
            </w:r>
            <w:r>
              <w:rPr>
                <w:color w:val="auto"/>
                <w:lang w:val="en-US"/>
              </w:rPr>
              <w:t>L</w:t>
            </w:r>
            <w:r>
              <w:rPr>
                <w:rFonts w:hAnsi="宋体"/>
                <w:color w:val="auto"/>
              </w:rPr>
              <w:t>～</w:t>
            </w:r>
            <w:r>
              <w:rPr>
                <w:color w:val="auto"/>
                <w:lang w:val="en-US"/>
              </w:rPr>
              <w:t>2200</w:t>
            </w:r>
            <w:r>
              <w:rPr>
                <w:color w:val="auto"/>
                <w:vertAlign w:val="superscript"/>
                <w:lang w:val="en-US"/>
              </w:rPr>
              <w:t xml:space="preserve"> </w:t>
            </w:r>
            <w:r>
              <w:rPr>
                <w:color w:val="auto"/>
                <w:lang w:val="en-US"/>
              </w:rPr>
              <w:t>L</w:t>
            </w:r>
            <w:r>
              <w:rPr>
                <w:color w:val="auto"/>
              </w:rPr>
              <w:t>水中，淋施</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vMerge w:val="restart"/>
            <w:tcBorders>
              <w:top w:val="single" w:color="auto" w:sz="8" w:space="0"/>
              <w:left w:val="single" w:color="auto" w:sz="8"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6.5</w:t>
            </w:r>
            <w:r>
              <w:rPr>
                <w:rFonts w:hAnsi="宋体"/>
                <w:color w:val="auto"/>
              </w:rPr>
              <w:t>～</w:t>
            </w:r>
            <w:r>
              <w:rPr>
                <w:color w:val="auto"/>
                <w:lang w:val="en-US"/>
              </w:rPr>
              <w:t>8.5</w:t>
            </w:r>
          </w:p>
        </w:tc>
        <w:tc>
          <w:tcPr>
            <w:tcW w:w="757" w:type="pct"/>
            <w:vMerge w:val="restart"/>
            <w:tcBorders>
              <w:top w:val="single" w:color="auto" w:sz="8" w:space="0"/>
              <w:left w:val="single" w:color="auto" w:sz="4" w:space="0"/>
              <w:bottom w:val="single" w:color="auto" w:sz="4"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硫酸亚铁</w:t>
            </w:r>
          </w:p>
        </w:tc>
        <w:tc>
          <w:tcPr>
            <w:tcW w:w="756" w:type="pct"/>
            <w:vMerge w:val="restart"/>
            <w:tcBorders>
              <w:top w:val="single" w:color="auto" w:sz="8" w:space="0"/>
              <w:left w:val="single" w:color="auto" w:sz="4" w:space="0"/>
              <w:bottom w:val="single" w:color="auto" w:sz="4"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2</w:t>
            </w:r>
            <w:r>
              <w:rPr>
                <w:color w:val="auto"/>
                <w:vertAlign w:val="superscript"/>
                <w:lang w:val="en-US"/>
              </w:rPr>
              <w:t xml:space="preserve"> </w:t>
            </w:r>
            <w:r>
              <w:rPr>
                <w:color w:val="auto"/>
                <w:lang w:val="en-US"/>
              </w:rPr>
              <w:t>g/L</w:t>
            </w:r>
            <w:r>
              <w:rPr>
                <w:color w:val="auto"/>
              </w:rPr>
              <w:t>～</w:t>
            </w:r>
            <w:r>
              <w:rPr>
                <w:color w:val="auto"/>
                <w:lang w:val="en-US"/>
              </w:rPr>
              <w:t>6</w:t>
            </w:r>
            <w:r>
              <w:rPr>
                <w:color w:val="auto"/>
                <w:vertAlign w:val="superscript"/>
                <w:lang w:val="en-US"/>
              </w:rPr>
              <w:t xml:space="preserve"> </w:t>
            </w:r>
            <w:r>
              <w:rPr>
                <w:color w:val="auto"/>
                <w:lang w:val="en-US"/>
              </w:rPr>
              <w:t>g/L</w:t>
            </w:r>
          </w:p>
        </w:tc>
        <w:tc>
          <w:tcPr>
            <w:tcW w:w="1285" w:type="pct"/>
            <w:tcBorders>
              <w:top w:val="single" w:color="auto" w:sz="8" w:space="0"/>
              <w:left w:val="single" w:color="auto" w:sz="4" w:space="0"/>
              <w:bottom w:val="single" w:color="auto" w:sz="4"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1500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2200</w:t>
            </w:r>
            <w:r>
              <w:rPr>
                <w:color w:val="auto"/>
                <w:vertAlign w:val="super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8" w:space="0"/>
              <w:left w:val="single" w:color="auto" w:sz="4" w:space="0"/>
              <w:bottom w:val="single" w:color="auto" w:sz="4"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淋施</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vMerge w:val="continue"/>
            <w:tcBorders>
              <w:top w:val="single" w:color="auto" w:sz="8"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6" w:type="pct"/>
            <w:vMerge w:val="continue"/>
            <w:tcBorders>
              <w:top w:val="single" w:color="auto" w:sz="8"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1285" w:type="pct"/>
            <w:tcBorders>
              <w:top w:val="single" w:color="auto" w:sz="4" w:space="0"/>
              <w:left w:val="single" w:color="auto" w:sz="4" w:space="0"/>
              <w:bottom w:val="single" w:color="auto" w:sz="4"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750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1100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4" w:space="0"/>
              <w:left w:val="single" w:color="auto" w:sz="4" w:space="0"/>
              <w:bottom w:val="single" w:color="auto" w:sz="4"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喷施</w:t>
            </w:r>
            <w:r>
              <w:rPr>
                <w:color w:val="auto"/>
                <w:lang w:val="en-US"/>
              </w:rPr>
              <w:t>2</w:t>
            </w:r>
            <w:r>
              <w:rPr>
                <w:color w:val="auto"/>
              </w:rPr>
              <w:t>次，每隔</w:t>
            </w:r>
            <w:r>
              <w:rPr>
                <w:color w:val="auto"/>
                <w:lang w:val="en-US"/>
              </w:rPr>
              <w:t>7</w:t>
            </w:r>
            <w:r>
              <w:rPr>
                <w:color w:val="auto"/>
                <w:vertAlign w:val="superscript"/>
                <w:lang w:val="en-US"/>
              </w:rPr>
              <w:t xml:space="preserve"> </w:t>
            </w:r>
            <w:r>
              <w:rPr>
                <w:color w:val="auto"/>
                <w:lang w:val="en-US"/>
              </w:rPr>
              <w:t>d</w:t>
            </w:r>
            <w:r>
              <w:rPr>
                <w:color w:val="auto"/>
              </w:rPr>
              <w:t>喷</w:t>
            </w:r>
            <w:r>
              <w:rPr>
                <w:color w:val="auto"/>
                <w:lang w:val="en-US"/>
              </w:rPr>
              <w:t>1</w:t>
            </w:r>
            <w:r>
              <w:rPr>
                <w:color w:val="auto"/>
              </w:rPr>
              <w:t>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vMerge w:val="continue"/>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ind w:left="0" w:right="0" w:firstLine="0" w:firstLineChars="0"/>
              <w:textAlignment w:val="auto"/>
              <w:rPr>
                <w:rFonts w:hint="default" w:ascii="Calibri" w:hAnsi="Calibri" w:cs="Calibri"/>
                <w:color w:val="auto"/>
                <w:sz w:val="20"/>
                <w:szCs w:val="20"/>
              </w:rPr>
            </w:pPr>
          </w:p>
        </w:tc>
        <w:tc>
          <w:tcPr>
            <w:tcW w:w="757" w:type="pct"/>
            <w:tcBorders>
              <w:top w:val="single" w:color="auto" w:sz="4" w:space="0"/>
              <w:left w:val="single" w:color="auto" w:sz="4" w:space="0"/>
              <w:bottom w:val="single" w:color="auto" w:sz="8" w:space="0"/>
              <w:right w:val="single" w:color="auto" w:sz="4"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硫酸锌</w:t>
            </w:r>
          </w:p>
        </w:tc>
        <w:tc>
          <w:tcPr>
            <w:tcW w:w="756" w:type="pct"/>
            <w:tcBorders>
              <w:top w:val="single" w:color="auto" w:sz="4"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2</w:t>
            </w:r>
            <w:r>
              <w:rPr>
                <w:color w:val="auto"/>
                <w:vertAlign w:val="superscript"/>
                <w:lang w:val="en-US"/>
              </w:rPr>
              <w:t xml:space="preserve"> </w:t>
            </w:r>
            <w:r>
              <w:rPr>
                <w:color w:val="auto"/>
                <w:lang w:val="en-US"/>
              </w:rPr>
              <w:t>g/L</w:t>
            </w:r>
            <w:r>
              <w:rPr>
                <w:color w:val="auto"/>
              </w:rPr>
              <w:t>～</w:t>
            </w:r>
            <w:r>
              <w:rPr>
                <w:color w:val="auto"/>
                <w:lang w:val="en-US"/>
              </w:rPr>
              <w:t>6</w:t>
            </w:r>
            <w:r>
              <w:rPr>
                <w:color w:val="auto"/>
                <w:vertAlign w:val="superscript"/>
                <w:lang w:val="en-US"/>
              </w:rPr>
              <w:t xml:space="preserve"> </w:t>
            </w:r>
            <w:r>
              <w:rPr>
                <w:color w:val="auto"/>
                <w:lang w:val="en-US"/>
              </w:rPr>
              <w:t>g/L</w:t>
            </w:r>
          </w:p>
        </w:tc>
        <w:tc>
          <w:tcPr>
            <w:tcW w:w="1285" w:type="pct"/>
            <w:tcBorders>
              <w:top w:val="single" w:color="auto" w:sz="4" w:space="0"/>
              <w:left w:val="single" w:color="auto" w:sz="4" w:space="0"/>
              <w:bottom w:val="single" w:color="auto" w:sz="8" w:space="0"/>
              <w:right w:val="single" w:color="auto" w:sz="4" w:space="0"/>
            </w:tcBorders>
            <w:noWrap w:val="0"/>
            <w:vAlign w:val="center"/>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lang w:val="en-US"/>
              </w:rPr>
              <w:t>750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r>
              <w:rPr>
                <w:rFonts w:hAnsi="宋体"/>
                <w:color w:val="auto"/>
              </w:rPr>
              <w:t>～</w:t>
            </w:r>
            <w:r>
              <w:rPr>
                <w:color w:val="auto"/>
                <w:lang w:val="en-US"/>
              </w:rPr>
              <w:t>1100</w:t>
            </w:r>
            <w:r>
              <w:rPr>
                <w:color w:val="auto"/>
                <w:vertAlign w:val="subscript"/>
                <w:lang w:val="en-US"/>
              </w:rPr>
              <w:t xml:space="preserve"> </w:t>
            </w:r>
            <w:r>
              <w:rPr>
                <w:color w:val="auto"/>
                <w:lang w:val="en-US"/>
              </w:rPr>
              <w:t>L/667</w:t>
            </w:r>
            <w:r>
              <w:rPr>
                <w:color w:val="auto"/>
                <w:vertAlign w:val="subscript"/>
                <w:lang w:val="en-US"/>
              </w:rPr>
              <w:t xml:space="preserve"> </w:t>
            </w:r>
            <w:r>
              <w:rPr>
                <w:color w:val="auto"/>
                <w:lang w:val="en-US"/>
              </w:rPr>
              <w:t>m</w:t>
            </w:r>
            <w:r>
              <w:rPr>
                <w:color w:val="auto"/>
                <w:vertAlign w:val="superscript"/>
                <w:lang w:val="en-US"/>
              </w:rPr>
              <w:t>2</w:t>
            </w:r>
          </w:p>
        </w:tc>
        <w:tc>
          <w:tcPr>
            <w:tcW w:w="1592" w:type="pct"/>
            <w:tcBorders>
              <w:top w:val="single" w:color="auto" w:sz="4" w:space="0"/>
              <w:left w:val="single" w:color="auto" w:sz="4" w:space="0"/>
              <w:bottom w:val="single" w:color="auto" w:sz="8" w:space="0"/>
              <w:right w:val="single" w:color="auto" w:sz="8" w:space="0"/>
            </w:tcBorders>
            <w:noWrap w:val="0"/>
            <w:vAlign w:val="top"/>
          </w:tcPr>
          <w:p>
            <w:pPr>
              <w:pStyle w:val="18"/>
              <w:keepNext w:val="0"/>
              <w:keepLines w:val="0"/>
              <w:pageBreakBefore w:val="0"/>
              <w:widowControl/>
              <w:kinsoku/>
              <w:wordWrap/>
              <w:overflowPunct/>
              <w:topLinePunct w:val="0"/>
              <w:bidi w:val="0"/>
              <w:adjustRightInd/>
              <w:snapToGrid/>
              <w:ind w:firstLine="0" w:firstLineChars="0"/>
              <w:textAlignment w:val="auto"/>
              <w:rPr>
                <w:color w:val="auto"/>
                <w:lang w:val="en-US"/>
              </w:rPr>
            </w:pPr>
            <w:r>
              <w:rPr>
                <w:color w:val="auto"/>
              </w:rPr>
              <w:t>喷施</w:t>
            </w:r>
            <w:r>
              <w:rPr>
                <w:color w:val="auto"/>
                <w:lang w:val="en-US"/>
              </w:rPr>
              <w:t>2</w:t>
            </w:r>
            <w:r>
              <w:rPr>
                <w:color w:val="auto"/>
              </w:rPr>
              <w:t>次，每隔</w:t>
            </w:r>
            <w:r>
              <w:rPr>
                <w:color w:val="auto"/>
                <w:lang w:val="en-US"/>
              </w:rPr>
              <w:t>7</w:t>
            </w:r>
            <w:r>
              <w:rPr>
                <w:color w:val="auto"/>
                <w:vertAlign w:val="superscript"/>
                <w:lang w:val="en-US"/>
              </w:rPr>
              <w:t xml:space="preserve"> </w:t>
            </w:r>
            <w:r>
              <w:rPr>
                <w:color w:val="auto"/>
                <w:lang w:val="en-US"/>
              </w:rPr>
              <w:t>d</w:t>
            </w:r>
            <w:r>
              <w:rPr>
                <w:color w:val="auto"/>
              </w:rPr>
              <w:t>喷</w:t>
            </w:r>
            <w:r>
              <w:rPr>
                <w:color w:val="auto"/>
                <w:lang w:val="en-US"/>
              </w:rPr>
              <w:t>1</w:t>
            </w:r>
            <w:r>
              <w:rPr>
                <w:color w:val="auto"/>
              </w:rPr>
              <w:t>次。</w:t>
            </w:r>
          </w:p>
        </w:tc>
      </w:tr>
    </w:tbl>
    <w:p>
      <w:pPr>
        <w:keepNext w:val="0"/>
        <w:keepLines w:val="0"/>
        <w:widowControl/>
        <w:suppressLineNumbers w:val="0"/>
        <w:jc w:val="left"/>
        <w:rPr>
          <w:rFonts w:hint="default"/>
          <w:b/>
          <w:bCs/>
          <w:i w:val="0"/>
          <w:iCs w:val="0"/>
          <w:lang w:val="en-US" w:eastAsia="zh-CN"/>
        </w:rPr>
      </w:pPr>
      <w:r>
        <w:rPr>
          <w:rFonts w:hint="eastAsia"/>
          <w:b/>
          <w:bCs/>
          <w:i w:val="0"/>
          <w:iCs w:val="0"/>
          <w:lang w:val="en-US" w:eastAsia="zh-CN"/>
        </w:rPr>
        <w:t>3、植株检测及处理</w:t>
      </w:r>
    </w:p>
    <w:p>
      <w:pPr>
        <w:spacing w:before="156" w:beforeLines="50"/>
        <w:ind w:firstLine="640" w:firstLineChars="200"/>
        <w:jc w:val="left"/>
        <w:rPr>
          <w:rFonts w:ascii="仿宋_GB2312" w:hAnsi="宋体" w:eastAsia="仿宋_GB2312"/>
          <w:sz w:val="28"/>
          <w:szCs w:val="28"/>
        </w:rPr>
      </w:pPr>
      <w:r>
        <w:rPr>
          <w:rFonts w:hint="eastAsia"/>
          <w:lang w:val="en-US" w:eastAsia="zh-CN"/>
        </w:rPr>
        <w:t>植株收获后按照NY/T 398的规定对油菜进行抽样，按照GB 5009.15的规定执行进行镉含量检测。百香果的镉含量应符合GB 2762的规定。对不符合规定的油菜，以及伴矿景天交有资质的单位做无害化处置。</w:t>
      </w:r>
      <w:bookmarkStart w:id="1" w:name="_Toc57224883"/>
      <w:r>
        <w:rPr>
          <w:rFonts w:hint="eastAsia"/>
          <w:lang w:val="en-US" w:eastAsia="zh-CN"/>
        </w:rPr>
        <w:t>示范区百香果镉含量检查结果见表2</w:t>
      </w:r>
      <w:r>
        <w:rPr>
          <w:rFonts w:hint="eastAsia" w:ascii="仿宋_GB2312" w:hAnsi="宋体" w:eastAsia="仿宋_GB2312"/>
          <w:sz w:val="28"/>
          <w:szCs w:val="28"/>
        </w:rPr>
        <w:t>。</w:t>
      </w:r>
    </w:p>
    <w:p>
      <w:pPr>
        <w:spacing w:before="156" w:beforeLines="50"/>
        <w:jc w:val="center"/>
        <w:rPr>
          <w:rFonts w:hint="eastAsia" w:ascii="仿宋_GB2312" w:hAnsi="宋体" w:eastAsia="仿宋_GB2312"/>
          <w:sz w:val="24"/>
        </w:rPr>
      </w:pPr>
      <w:r>
        <w:rPr>
          <w:rFonts w:hint="eastAsia" w:ascii="仿宋_GB2312" w:hAnsi="宋体" w:eastAsia="仿宋_GB2312"/>
          <w:sz w:val="24"/>
        </w:rPr>
        <w:t>表</w:t>
      </w:r>
      <w:r>
        <w:rPr>
          <w:rFonts w:hint="eastAsia" w:ascii="仿宋_GB2312" w:hAnsi="宋体"/>
          <w:sz w:val="24"/>
          <w:lang w:val="en-US" w:eastAsia="zh-CN"/>
        </w:rPr>
        <w:t>2</w:t>
      </w:r>
      <w:r>
        <w:rPr>
          <w:rFonts w:hint="eastAsia" w:ascii="仿宋_GB2312" w:hAnsi="宋体" w:eastAsia="仿宋_GB2312"/>
          <w:sz w:val="24"/>
        </w:rPr>
        <w:t>.示范区农产品菜籽油及油饼镉含量检测结果</w:t>
      </w:r>
      <w:bookmarkEnd w:id="1"/>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949"/>
        <w:gridCol w:w="1249"/>
        <w:gridCol w:w="949"/>
        <w:gridCol w:w="1249"/>
        <w:gridCol w:w="1649"/>
        <w:gridCol w:w="950"/>
        <w:gridCol w:w="2151"/>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949" w:type="dxa"/>
            <w:tcBorders>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检测项目</w:t>
            </w:r>
          </w:p>
        </w:tc>
        <w:tc>
          <w:tcPr>
            <w:tcW w:w="12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单位</w:t>
            </w:r>
          </w:p>
        </w:tc>
        <w:tc>
          <w:tcPr>
            <w:tcW w:w="9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标准要求</w:t>
            </w:r>
          </w:p>
        </w:tc>
        <w:tc>
          <w:tcPr>
            <w:tcW w:w="12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检出限</w:t>
            </w:r>
          </w:p>
        </w:tc>
        <w:tc>
          <w:tcPr>
            <w:tcW w:w="16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检测结果</w:t>
            </w:r>
          </w:p>
        </w:tc>
        <w:tc>
          <w:tcPr>
            <w:tcW w:w="950"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结论</w:t>
            </w:r>
          </w:p>
        </w:tc>
        <w:tc>
          <w:tcPr>
            <w:tcW w:w="2151" w:type="dxa"/>
            <w:tcBorders>
              <w:lef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bookmarkStart w:id="2" w:name="_GoBack"/>
            <w:bookmarkEnd w:id="2"/>
            <w:r>
              <w:rPr>
                <w:rFonts w:hint="eastAsia" w:ascii="仿宋_GB2312" w:hAnsi="宋体" w:eastAsia="仿宋_GB2312"/>
                <w:sz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949" w:type="dxa"/>
            <w:tcBorders>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菜籽油</w:t>
            </w:r>
          </w:p>
        </w:tc>
        <w:tc>
          <w:tcPr>
            <w:tcW w:w="12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mg/kg</w:t>
            </w:r>
          </w:p>
        </w:tc>
        <w:tc>
          <w:tcPr>
            <w:tcW w:w="9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w:t>
            </w:r>
          </w:p>
        </w:tc>
        <w:tc>
          <w:tcPr>
            <w:tcW w:w="12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0.001 mg/kg</w:t>
            </w:r>
          </w:p>
        </w:tc>
        <w:tc>
          <w:tcPr>
            <w:tcW w:w="16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N. D.</w:t>
            </w:r>
          </w:p>
        </w:tc>
        <w:tc>
          <w:tcPr>
            <w:tcW w:w="950"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合格</w:t>
            </w:r>
          </w:p>
        </w:tc>
        <w:tc>
          <w:tcPr>
            <w:tcW w:w="2151" w:type="dxa"/>
            <w:tcBorders>
              <w:lef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GB5009.15-2014</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949" w:type="dxa"/>
            <w:tcBorders>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饼粕</w:t>
            </w:r>
          </w:p>
        </w:tc>
        <w:tc>
          <w:tcPr>
            <w:tcW w:w="12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mg/kg</w:t>
            </w:r>
          </w:p>
        </w:tc>
        <w:tc>
          <w:tcPr>
            <w:tcW w:w="9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≤0.5</w:t>
            </w:r>
          </w:p>
        </w:tc>
        <w:tc>
          <w:tcPr>
            <w:tcW w:w="12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0.001 mg/kg</w:t>
            </w:r>
          </w:p>
        </w:tc>
        <w:tc>
          <w:tcPr>
            <w:tcW w:w="1649"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0.06-0.16</w:t>
            </w:r>
          </w:p>
        </w:tc>
        <w:tc>
          <w:tcPr>
            <w:tcW w:w="950" w:type="dxa"/>
            <w:tcBorders>
              <w:left w:val="single" w:color="auto" w:sz="4" w:space="0"/>
              <w:right w:val="single" w:color="auto" w:sz="4" w:space="0"/>
            </w:tcBorders>
            <w:noWrap w:val="0"/>
            <w:vAlign w:val="center"/>
          </w:tcPr>
          <w:p>
            <w:pPr>
              <w:keepNext w:val="0"/>
              <w:keepLines w:val="0"/>
              <w:suppressLineNumbers w:val="0"/>
              <w:spacing w:before="156" w:beforeLines="50" w:beforeAutospacing="0" w:after="0" w:afterAutospacing="0"/>
              <w:ind w:left="0" w:leftChars="0" w:right="0" w:firstLine="0" w:firstLineChars="0"/>
              <w:jc w:val="both"/>
              <w:rPr>
                <w:rFonts w:hint="eastAsia" w:ascii="仿宋_GB2312" w:hAnsi="宋体" w:eastAsia="仿宋_GB2312"/>
                <w:sz w:val="24"/>
              </w:rPr>
            </w:pPr>
            <w:r>
              <w:rPr>
                <w:rFonts w:hint="eastAsia" w:ascii="仿宋_GB2312" w:hAnsi="宋体" w:eastAsia="仿宋_GB2312"/>
                <w:sz w:val="24"/>
              </w:rPr>
              <w:t>合格</w:t>
            </w:r>
          </w:p>
        </w:tc>
        <w:tc>
          <w:tcPr>
            <w:tcW w:w="2151" w:type="dxa"/>
            <w:tcBorders>
              <w:left w:val="single" w:color="auto" w:sz="4" w:space="0"/>
            </w:tcBorders>
            <w:noWrap w:val="0"/>
            <w:vAlign w:val="center"/>
          </w:tcPr>
          <w:p>
            <w:pPr>
              <w:keepNext w:val="0"/>
              <w:keepLines w:val="0"/>
              <w:suppressLineNumbers w:val="0"/>
              <w:spacing w:before="156" w:beforeLines="50" w:beforeAutospacing="0" w:after="0" w:afterAutospacing="0"/>
              <w:ind w:left="0" w:right="0"/>
              <w:jc w:val="center"/>
              <w:rPr>
                <w:rFonts w:hint="eastAsia" w:ascii="仿宋_GB2312" w:hAnsi="宋体" w:eastAsia="仿宋_GB2312"/>
                <w:sz w:val="24"/>
              </w:rPr>
            </w:pPr>
            <w:r>
              <w:rPr>
                <w:rFonts w:hint="eastAsia" w:ascii="仿宋_GB2312" w:hAnsi="宋体" w:eastAsia="仿宋_GB2312"/>
                <w:sz w:val="24"/>
              </w:rPr>
              <w:t>GB5009.15-2014</w:t>
            </w:r>
          </w:p>
        </w:tc>
      </w:tr>
    </w:tbl>
    <w:p>
      <w:pPr>
        <w:spacing w:before="156" w:beforeLines="50"/>
        <w:jc w:val="left"/>
        <w:rPr>
          <w:rFonts w:ascii="仿宋_GB2312" w:hAnsi="宋体" w:eastAsia="仿宋_GB2312"/>
          <w:szCs w:val="21"/>
        </w:rPr>
      </w:pPr>
      <w:r>
        <w:rPr>
          <w:rFonts w:hint="eastAsia" w:ascii="仿宋_GB2312" w:hAnsi="宋体" w:eastAsia="仿宋_GB2312"/>
          <w:szCs w:val="21"/>
        </w:rPr>
        <w:t>注：N. D. =未检出（＜检出限）</w:t>
      </w:r>
    </w:p>
    <w:p>
      <w:pPr>
        <w:spacing w:before="312" w:beforeLines="100" w:after="312" w:afterLines="100" w:line="520" w:lineRule="exact"/>
        <w:ind w:firstLine="640"/>
        <w:rPr>
          <w:rFonts w:ascii="黑体" w:hAnsi="黑体" w:eastAsia="黑体" w:cs="仿宋_GB2312"/>
          <w:color w:val="auto"/>
          <w:szCs w:val="32"/>
        </w:rPr>
      </w:pPr>
      <w:r>
        <w:rPr>
          <w:rFonts w:hint="eastAsia" w:ascii="黑体" w:hAnsi="黑体" w:eastAsia="黑体" w:cs="仿宋_GB2312"/>
          <w:color w:val="auto"/>
          <w:szCs w:val="32"/>
        </w:rPr>
        <w:t>六、国内外同类标准制修订情况及与法律法规、强制性标准关系</w:t>
      </w:r>
    </w:p>
    <w:p>
      <w:pPr>
        <w:autoSpaceDE w:val="0"/>
        <w:autoSpaceDN w:val="0"/>
        <w:adjustRightInd w:val="0"/>
        <w:spacing w:before="312" w:beforeLines="100" w:after="312" w:afterLines="100" w:line="520" w:lineRule="exact"/>
        <w:ind w:firstLine="640"/>
        <w:rPr>
          <w:color w:val="auto"/>
        </w:rPr>
      </w:pPr>
      <w:r>
        <w:rPr>
          <w:rFonts w:hint="eastAsia"/>
          <w:color w:val="auto"/>
        </w:rPr>
        <w:t>经查阅，与土壤修复、百香果种植相关的国标、行标以及地方标准有GB 15618-2018《土壤环境质量 农用地土壤污染风险管控标准（试行）》、HG/T 5553-2019《土壤修复用过氧化氢》、HJ 25.4-2014《污染场地土壤修复技术导则 》、DB 13/T 2206-2020《农用地土壤重金属污染修复技术规程》、DB 45/T 2145-2020《农田土壤重金属污染修复技术规范》，DB45/T 2098-2019《百香果标准果园建设规范》</w:t>
      </w:r>
      <w:r>
        <w:rPr>
          <w:rFonts w:hint="eastAsia"/>
          <w:color w:val="auto"/>
          <w:lang w:eastAsia="zh-CN"/>
        </w:rPr>
        <w:t>，</w:t>
      </w:r>
      <w:r>
        <w:rPr>
          <w:rFonts w:hint="eastAsia"/>
          <w:color w:val="auto"/>
        </w:rPr>
        <w:t>以上标准仅对土壤污染修复的总体要求进行指导和百香果果园建设要求，内容宽泛，针对性技术指导不强，且均未涉及伴矿景天和百香果套作修复与安全利用镉污染耕地种植技术的具体内容进行要求。广西未制定有《镉污染耕地伴矿景天和百香果套作技术规程》。</w:t>
      </w:r>
    </w:p>
    <w:p>
      <w:pPr>
        <w:autoSpaceDE w:val="0"/>
        <w:autoSpaceDN w:val="0"/>
        <w:adjustRightInd w:val="0"/>
        <w:spacing w:before="312" w:beforeLines="100" w:after="312" w:afterLines="100" w:line="520" w:lineRule="exact"/>
        <w:ind w:firstLine="640"/>
        <w:rPr>
          <w:rFonts w:ascii="黑体" w:hAnsi="黑体" w:eastAsia="黑体" w:cs="仿宋_GB2312"/>
          <w:color w:val="auto"/>
          <w:szCs w:val="32"/>
        </w:rPr>
      </w:pPr>
      <w:r>
        <w:rPr>
          <w:rFonts w:hint="eastAsia" w:ascii="黑体" w:hAnsi="黑体" w:eastAsia="黑体" w:cs="仿宋_GB2312"/>
          <w:color w:val="auto"/>
          <w:szCs w:val="32"/>
        </w:rPr>
        <w:t>七、重大分歧意见的处理经过和依据</w:t>
      </w:r>
    </w:p>
    <w:p>
      <w:pPr>
        <w:ind w:firstLine="640"/>
        <w:rPr>
          <w:color w:val="auto"/>
        </w:rPr>
      </w:pPr>
      <w:r>
        <w:rPr>
          <w:rFonts w:hint="eastAsia"/>
          <w:color w:val="auto"/>
        </w:rPr>
        <w:t>本文件研制过程中无重大分歧意见。</w:t>
      </w:r>
    </w:p>
    <w:p>
      <w:pPr>
        <w:autoSpaceDE w:val="0"/>
        <w:autoSpaceDN w:val="0"/>
        <w:adjustRightInd w:val="0"/>
        <w:spacing w:before="156" w:beforeLines="50" w:after="156" w:afterLines="50" w:line="520" w:lineRule="exact"/>
        <w:ind w:firstLine="640"/>
        <w:rPr>
          <w:rFonts w:ascii="黑体" w:hAnsi="黑体" w:eastAsia="黑体" w:cs="仿宋_GB2312"/>
          <w:color w:val="auto"/>
          <w:szCs w:val="32"/>
        </w:rPr>
      </w:pPr>
      <w:r>
        <w:rPr>
          <w:rFonts w:hint="eastAsia" w:ascii="黑体" w:hAnsi="黑体" w:eastAsia="黑体" w:cs="仿宋_GB2312"/>
          <w:color w:val="auto"/>
          <w:szCs w:val="32"/>
        </w:rPr>
        <w:t>八、自我声明</w:t>
      </w:r>
    </w:p>
    <w:p>
      <w:pPr>
        <w:ind w:firstLine="640"/>
        <w:rPr>
          <w:color w:val="auto"/>
        </w:rPr>
      </w:pPr>
      <w:r>
        <w:rPr>
          <w:rFonts w:hint="eastAsia"/>
          <w:color w:val="auto"/>
        </w:rPr>
        <w:t>本标准内容与各项指标不低于国家强制性标准、推荐性国家标准和行业标准。</w:t>
      </w:r>
    </w:p>
    <w:p>
      <w:pPr>
        <w:ind w:firstLine="0" w:firstLineChars="0"/>
        <w:jc w:val="center"/>
        <w:rPr>
          <w:color w:val="0000FF"/>
        </w:rPr>
      </w:pPr>
    </w:p>
    <w:p>
      <w:pPr>
        <w:pStyle w:val="2"/>
        <w:ind w:firstLine="640"/>
        <w:rPr>
          <w:rFonts w:hint="eastAsia"/>
          <w:color w:val="0000FF"/>
        </w:rPr>
      </w:pPr>
    </w:p>
    <w:p>
      <w:pPr>
        <w:ind w:firstLine="0" w:firstLineChars="0"/>
        <w:jc w:val="center"/>
        <w:rPr>
          <w:color w:val="auto"/>
        </w:rPr>
      </w:pPr>
      <w:r>
        <w:rPr>
          <w:rFonts w:hint="eastAsia"/>
          <w:color w:val="0000FF"/>
        </w:rPr>
        <w:t xml:space="preserve"> </w:t>
      </w:r>
      <w:r>
        <w:rPr>
          <w:color w:val="0000FF"/>
        </w:rPr>
        <w:t xml:space="preserve">    </w:t>
      </w:r>
      <w:r>
        <w:rPr>
          <w:color w:val="auto"/>
        </w:rPr>
        <w:t xml:space="preserve">          </w:t>
      </w:r>
      <w:r>
        <w:rPr>
          <w:rFonts w:hint="eastAsia"/>
          <w:color w:val="auto"/>
        </w:rPr>
        <w:t>团体标准</w:t>
      </w:r>
    </w:p>
    <w:p>
      <w:pPr>
        <w:ind w:firstLine="0" w:firstLineChars="0"/>
        <w:jc w:val="right"/>
        <w:rPr>
          <w:color w:val="auto"/>
        </w:rPr>
      </w:pPr>
      <w:r>
        <w:rPr>
          <w:rFonts w:hint="eastAsia"/>
          <w:color w:val="auto"/>
        </w:rPr>
        <w:t>《</w:t>
      </w:r>
      <w:r>
        <w:rPr>
          <w:rFonts w:hint="eastAsia"/>
          <w:color w:val="auto"/>
          <w:lang w:eastAsia="zh-CN"/>
        </w:rPr>
        <w:t>镉污染耕地伴矿景天和百香果套作技术规程</w:t>
      </w:r>
      <w:r>
        <w:rPr>
          <w:rFonts w:hint="eastAsia"/>
          <w:color w:val="auto"/>
        </w:rPr>
        <w:t>》</w:t>
      </w:r>
    </w:p>
    <w:p>
      <w:pPr>
        <w:ind w:right="1280" w:firstLine="4800" w:firstLineChars="1500"/>
        <w:rPr>
          <w:color w:val="auto"/>
        </w:rPr>
      </w:pPr>
      <w:r>
        <w:rPr>
          <w:rFonts w:hint="eastAsia"/>
          <w:color w:val="auto"/>
        </w:rPr>
        <w:t>标准编制工作组</w:t>
      </w:r>
    </w:p>
    <w:p>
      <w:pPr>
        <w:ind w:right="1600" w:firstLine="198" w:firstLineChars="62"/>
        <w:jc w:val="right"/>
        <w:rPr>
          <w:rFonts w:hint="eastAsia"/>
          <w:color w:val="auto"/>
        </w:rPr>
      </w:pPr>
      <w:r>
        <w:rPr>
          <w:rFonts w:hint="eastAsia"/>
          <w:color w:val="auto"/>
        </w:rPr>
        <w:t>2022年</w:t>
      </w:r>
      <w:r>
        <w:rPr>
          <w:rFonts w:hint="eastAsia"/>
          <w:color w:val="auto"/>
          <w:lang w:val="en-US" w:eastAsia="zh-CN"/>
        </w:rPr>
        <w:t>6</w:t>
      </w:r>
      <w:r>
        <w:rPr>
          <w:rFonts w:hint="eastAsia"/>
          <w:color w:val="auto"/>
        </w:rPr>
        <w:t>月</w:t>
      </w:r>
      <w:r>
        <w:rPr>
          <w:rFonts w:hint="eastAsia"/>
          <w:color w:val="auto"/>
          <w:lang w:val="en-US" w:eastAsia="zh-CN"/>
        </w:rPr>
        <w:t>14</w:t>
      </w:r>
      <w:r>
        <w:rPr>
          <w:rFonts w:hint="eastAsia"/>
          <w:color w:val="auto"/>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416" w:bottom="1440" w:left="156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E559FB"/>
    <w:multiLevelType w:val="singleLevel"/>
    <w:tmpl w:val="E8E559FB"/>
    <w:lvl w:ilvl="0" w:tentative="0">
      <w:start w:val="1"/>
      <w:numFmt w:val="decimal"/>
      <w:suff w:val="nothing"/>
      <w:lvlText w:val="%1、"/>
      <w:lvlJc w:val="left"/>
    </w:lvl>
  </w:abstractNum>
  <w:abstractNum w:abstractNumId="1">
    <w:nsid w:val="01CC19E9"/>
    <w:multiLevelType w:val="multilevel"/>
    <w:tmpl w:val="01CC19E9"/>
    <w:lvl w:ilvl="0" w:tentative="0">
      <w:start w:val="1"/>
      <w:numFmt w:val="chineseCountingThousand"/>
      <w:pStyle w:val="10"/>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0E8124AF"/>
    <w:multiLevelType w:val="multilevel"/>
    <w:tmpl w:val="0E8124AF"/>
    <w:lvl w:ilvl="0" w:tentative="0">
      <w:start w:val="1"/>
      <w:numFmt w:val="chineseCountingThousand"/>
      <w:pStyle w:val="13"/>
      <w:lvlText w:val="(%1)"/>
      <w:lvlJc w:val="left"/>
      <w:pPr>
        <w:ind w:left="1063" w:hanging="420"/>
      </w:p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3">
    <w:nsid w:val="279FF09E"/>
    <w:multiLevelType w:val="singleLevel"/>
    <w:tmpl w:val="279FF09E"/>
    <w:lvl w:ilvl="0" w:tentative="0">
      <w:start w:val="1"/>
      <w:numFmt w:val="chineseCounting"/>
      <w:suff w:val="nothing"/>
      <w:lvlText w:val="（%1）"/>
      <w:lvlJc w:val="left"/>
      <w:rPr>
        <w:rFonts w:hint="eastAsia"/>
      </w:rPr>
    </w:lvl>
  </w:abstractNum>
  <w:abstractNum w:abstractNumId="4">
    <w:nsid w:val="30766F72"/>
    <w:multiLevelType w:val="singleLevel"/>
    <w:tmpl w:val="30766F72"/>
    <w:lvl w:ilvl="0" w:tentative="0">
      <w:start w:val="1"/>
      <w:numFmt w:val="decimal"/>
      <w:suff w:val="nothing"/>
      <w:lvlText w:val="%1、"/>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yMjE3Y2QyNjgzNTYyODZkNGI0OTZhOGQ4ZTE1NmUifQ=="/>
  </w:docVars>
  <w:rsids>
    <w:rsidRoot w:val="00750772"/>
    <w:rsid w:val="00063A2D"/>
    <w:rsid w:val="000675DA"/>
    <w:rsid w:val="0008135B"/>
    <w:rsid w:val="00154C89"/>
    <w:rsid w:val="001976D2"/>
    <w:rsid w:val="001F6FFD"/>
    <w:rsid w:val="00276D68"/>
    <w:rsid w:val="00341113"/>
    <w:rsid w:val="00387DC4"/>
    <w:rsid w:val="003F6392"/>
    <w:rsid w:val="004A5FAC"/>
    <w:rsid w:val="004F46FD"/>
    <w:rsid w:val="005555C8"/>
    <w:rsid w:val="00562DED"/>
    <w:rsid w:val="005E5CB4"/>
    <w:rsid w:val="007003AA"/>
    <w:rsid w:val="007056FD"/>
    <w:rsid w:val="00725143"/>
    <w:rsid w:val="00750772"/>
    <w:rsid w:val="00783149"/>
    <w:rsid w:val="007F2153"/>
    <w:rsid w:val="007F6B84"/>
    <w:rsid w:val="00902CF6"/>
    <w:rsid w:val="00944D37"/>
    <w:rsid w:val="009C7FA6"/>
    <w:rsid w:val="009F3F6F"/>
    <w:rsid w:val="00A46296"/>
    <w:rsid w:val="00AE23B1"/>
    <w:rsid w:val="00B01935"/>
    <w:rsid w:val="00B43BAE"/>
    <w:rsid w:val="00B82032"/>
    <w:rsid w:val="00C175C2"/>
    <w:rsid w:val="00CD2F91"/>
    <w:rsid w:val="00CF202E"/>
    <w:rsid w:val="00E00C1C"/>
    <w:rsid w:val="00EA61D4"/>
    <w:rsid w:val="00EC1DF1"/>
    <w:rsid w:val="00F44FC0"/>
    <w:rsid w:val="00F93D2F"/>
    <w:rsid w:val="00F97B1D"/>
    <w:rsid w:val="00FB4886"/>
    <w:rsid w:val="13F50D5A"/>
    <w:rsid w:val="1EB4009E"/>
    <w:rsid w:val="1F6027B7"/>
    <w:rsid w:val="2C021E62"/>
    <w:rsid w:val="3A323EA1"/>
    <w:rsid w:val="4A7B0A5C"/>
    <w:rsid w:val="4D56332E"/>
    <w:rsid w:val="4E672900"/>
    <w:rsid w:val="70896A76"/>
    <w:rsid w:val="76593BC4"/>
    <w:rsid w:val="7C931AE5"/>
    <w:rsid w:val="7E0E2D2B"/>
    <w:rsid w:val="7FB72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rFonts w:ascii="Calibri" w:hAnsi="Calibri"/>
      <w:szCs w:val="32"/>
    </w:rPr>
  </w:style>
  <w:style w:type="paragraph" w:styleId="3">
    <w:name w:val="caption"/>
    <w:basedOn w:val="1"/>
    <w:next w:val="1"/>
    <w:semiHidden/>
    <w:unhideWhenUsed/>
    <w:qFormat/>
    <w:uiPriority w:val="35"/>
    <w:rPr>
      <w:rFonts w:ascii="Arial" w:hAnsi="Arial" w:eastAsia="黑体"/>
      <w:sz w:val="20"/>
    </w:rPr>
  </w:style>
  <w:style w:type="paragraph" w:styleId="4">
    <w:name w:val="footer"/>
    <w:basedOn w:val="1"/>
    <w:link w:val="16"/>
    <w:unhideWhenUsed/>
    <w:qFormat/>
    <w:uiPriority w:val="99"/>
    <w:pPr>
      <w:tabs>
        <w:tab w:val="center" w:pos="4153"/>
        <w:tab w:val="right" w:pos="8306"/>
      </w:tabs>
      <w:snapToGrid w:val="0"/>
      <w:spacing w:line="240" w:lineRule="atLeas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7">
    <w:name w:val="Table Grid"/>
    <w:basedOn w:val="6"/>
    <w:qFormat/>
    <w:uiPriority w:val="0"/>
    <w:rPr>
      <w:rFonts w:ascii="宋体" w:hAnsi="Calibri"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9">
    <w:name w:val="名称（公司文件）"/>
    <w:basedOn w:val="1"/>
    <w:link w:val="11"/>
    <w:qFormat/>
    <w:uiPriority w:val="0"/>
    <w:pPr>
      <w:spacing w:line="600" w:lineRule="exact"/>
      <w:jc w:val="center"/>
    </w:pPr>
    <w:rPr>
      <w:rFonts w:ascii="仿宋" w:hAnsi="仿宋" w:eastAsia="方正仿宋简体"/>
      <w:color w:val="000000"/>
      <w:sz w:val="44"/>
      <w:szCs w:val="32"/>
    </w:rPr>
  </w:style>
  <w:style w:type="paragraph" w:customStyle="1" w:styleId="10">
    <w:name w:val="一级标题（公司）"/>
    <w:basedOn w:val="1"/>
    <w:link w:val="12"/>
    <w:qFormat/>
    <w:uiPriority w:val="0"/>
    <w:pPr>
      <w:numPr>
        <w:ilvl w:val="0"/>
        <w:numId w:val="1"/>
      </w:numPr>
      <w:autoSpaceDE w:val="0"/>
      <w:autoSpaceDN w:val="0"/>
      <w:adjustRightInd w:val="0"/>
      <w:spacing w:before="50" w:beforeLines="50" w:after="50" w:afterLines="50"/>
      <w:ind w:left="0" w:firstLine="200"/>
    </w:pPr>
    <w:rPr>
      <w:rFonts w:ascii="黑体" w:hAnsi="黑体" w:eastAsia="黑体" w:cs="仿宋_GB2312"/>
      <w:szCs w:val="32"/>
    </w:rPr>
  </w:style>
  <w:style w:type="character" w:customStyle="1" w:styleId="11">
    <w:name w:val="名称（公司文件） 字符"/>
    <w:basedOn w:val="8"/>
    <w:link w:val="9"/>
    <w:qFormat/>
    <w:uiPriority w:val="0"/>
    <w:rPr>
      <w:rFonts w:ascii="仿宋" w:hAnsi="仿宋" w:eastAsia="方正仿宋简体" w:cs="Times New Roman"/>
      <w:color w:val="000000"/>
      <w:sz w:val="44"/>
      <w:szCs w:val="32"/>
    </w:rPr>
  </w:style>
  <w:style w:type="character" w:customStyle="1" w:styleId="12">
    <w:name w:val="一级标题（公司） 字符"/>
    <w:basedOn w:val="8"/>
    <w:link w:val="10"/>
    <w:qFormat/>
    <w:uiPriority w:val="0"/>
    <w:rPr>
      <w:rFonts w:ascii="黑体" w:hAnsi="黑体" w:eastAsia="黑体" w:cs="仿宋_GB2312"/>
      <w:sz w:val="32"/>
      <w:szCs w:val="32"/>
    </w:rPr>
  </w:style>
  <w:style w:type="paragraph" w:customStyle="1" w:styleId="13">
    <w:name w:val="二级标题（公司）"/>
    <w:basedOn w:val="10"/>
    <w:link w:val="14"/>
    <w:qFormat/>
    <w:uiPriority w:val="0"/>
    <w:pPr>
      <w:numPr>
        <w:numId w:val="2"/>
      </w:numPr>
      <w:ind w:left="0" w:firstLine="200"/>
    </w:pPr>
    <w:rPr>
      <w:rFonts w:ascii="仿宋" w:hAnsi="仿宋" w:eastAsia="楷体"/>
      <w:b/>
    </w:rPr>
  </w:style>
  <w:style w:type="character" w:customStyle="1" w:styleId="14">
    <w:name w:val="二级标题（公司） 字符"/>
    <w:basedOn w:val="8"/>
    <w:link w:val="13"/>
    <w:qFormat/>
    <w:uiPriority w:val="0"/>
    <w:rPr>
      <w:rFonts w:ascii="仿宋" w:hAnsi="仿宋" w:eastAsia="楷体" w:cs="仿宋_GB2312"/>
      <w:b/>
      <w:sz w:val="32"/>
      <w:szCs w:val="32"/>
    </w:rPr>
  </w:style>
  <w:style w:type="character" w:customStyle="1" w:styleId="15">
    <w:name w:val="页眉 字符"/>
    <w:basedOn w:val="8"/>
    <w:link w:val="5"/>
    <w:qFormat/>
    <w:uiPriority w:val="99"/>
    <w:rPr>
      <w:rFonts w:ascii="Times New Roman" w:hAnsi="Times New Roman" w:eastAsia="仿宋_GB2312" w:cs="Times New Roman"/>
      <w:kern w:val="2"/>
      <w:sz w:val="18"/>
      <w:szCs w:val="18"/>
    </w:rPr>
  </w:style>
  <w:style w:type="character" w:customStyle="1" w:styleId="16">
    <w:name w:val="页脚 字符"/>
    <w:basedOn w:val="8"/>
    <w:link w:val="4"/>
    <w:qFormat/>
    <w:uiPriority w:val="99"/>
    <w:rPr>
      <w:rFonts w:ascii="Times New Roman" w:hAnsi="Times New Roman" w:eastAsia="仿宋_GB2312" w:cs="Times New Roman"/>
      <w:kern w:val="2"/>
      <w:sz w:val="18"/>
      <w:szCs w:val="18"/>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标准文件_表格"/>
    <w:basedOn w:val="1"/>
    <w:qFormat/>
    <w:uiPriority w:val="0"/>
    <w:pPr>
      <w:keepNext w:val="0"/>
      <w:keepLines w:val="0"/>
      <w:widowControl/>
      <w:suppressLineNumbers w:val="0"/>
      <w:autoSpaceDE w:val="0"/>
      <w:autoSpaceDN w:val="0"/>
      <w:adjustRightInd/>
      <w:spacing w:before="0" w:beforeAutospacing="0" w:after="0" w:afterAutospacing="0" w:line="240" w:lineRule="auto"/>
      <w:ind w:left="0" w:right="0"/>
      <w:jc w:val="center"/>
    </w:pPr>
    <w:rPr>
      <w:rFonts w:hint="eastAsia" w:ascii="宋体" w:hAnsi="Times New Roman" w:eastAsia="宋体" w:cs="Times New Roman"/>
      <w:kern w:val="0"/>
      <w:sz w:val="18"/>
      <w:szCs w:val="2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6814</Words>
  <Characters>8472</Characters>
  <Lines>25</Lines>
  <Paragraphs>7</Paragraphs>
  <TotalTime>10</TotalTime>
  <ScaleCrop>false</ScaleCrop>
  <LinksUpToDate>false</LinksUpToDate>
  <CharactersWithSpaces>8652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2022-04-25T09:35:00Z</dcterms:created>
  <dc:creator>Lee Qilin</dc:creator>
  <cp:lastModifiedBy>Crazy——林仔</cp:lastModifiedBy>
  <cp:lastPrinted>2022-03-29T01:18:00Z</cp:lastPrinted>
  <dcterms:modified xsi:type="dcterms:W3CDTF">2022-06-18T03:23:43Z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3DA4D7061F9E442A828AD34D73B8713B</vt:lpwstr>
  </property>
</Properties>
</file>