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2"/>
        <w:ind w:firstLine="0" w:firstLineChars="0"/>
      </w:pPr>
      <w:r>
        <w:rPr>
          <w:rFonts w:hint="eastAsia"/>
        </w:rPr>
        <w:t>团体标准《</w:t>
      </w:r>
      <w:bookmarkStart w:id="0" w:name="_Hlk101799679"/>
      <w:r>
        <w:rPr>
          <w:rFonts w:hint="eastAsia"/>
        </w:rPr>
        <w:t>金属矿山低浓度尾水人工湿地净化生态处理技术规程</w:t>
      </w:r>
      <w:bookmarkEnd w:id="0"/>
      <w:r>
        <w:rPr>
          <w:rFonts w:hint="eastAsia"/>
        </w:rPr>
        <w:t>》（征求意见稿）编制说明</w:t>
      </w:r>
    </w:p>
    <w:p>
      <w:pPr>
        <w:pStyle w:val="13"/>
        <w:numPr>
          <w:ilvl w:val="0"/>
          <w:numId w:val="0"/>
        </w:numPr>
        <w:spacing w:before="156" w:after="156"/>
        <w:ind w:left="640"/>
      </w:pPr>
      <w:r>
        <w:rPr>
          <w:rFonts w:hint="eastAsia"/>
        </w:rPr>
        <w:t>一、项目来源</w:t>
      </w:r>
    </w:p>
    <w:p>
      <w:pPr>
        <w:ind w:firstLine="640"/>
      </w:pPr>
      <w:r>
        <w:rPr>
          <w:rFonts w:hint="eastAsia"/>
        </w:rPr>
        <w:t>根据广西标准化协会《关于下达202</w:t>
      </w:r>
      <w:r>
        <w:t>2</w:t>
      </w:r>
      <w:r>
        <w:rPr>
          <w:rFonts w:hint="eastAsia"/>
        </w:rPr>
        <w:t>年第十三批团体标准制定项目计划的通知》（桂标协〔202</w:t>
      </w:r>
      <w:r>
        <w:t>2</w:t>
      </w:r>
      <w:r>
        <w:rPr>
          <w:rFonts w:hint="eastAsia"/>
        </w:rPr>
        <w:t>〕</w:t>
      </w:r>
      <w:r>
        <w:t>36</w:t>
      </w:r>
      <w:r>
        <w:rPr>
          <w:rFonts w:hint="eastAsia"/>
        </w:rPr>
        <w:t>号）文件精神，由桂林理工大学提出，桂林理工大学、中山大学、广西师范大学、中国有色桂林矿产地质研究院有限公司、桂林嘉华环境科技有限公司、广西鼎联环保科技有限公司、桂林市环境保护科学研究所、桂林市荣嘉环保科技有限公司</w:t>
      </w:r>
      <w:r>
        <w:rPr>
          <w:rFonts w:hint="eastAsia"/>
          <w:szCs w:val="32"/>
        </w:rPr>
        <w:t>共同起草的团体标准《金属矿山低浓度尾水人工湿地净化生态处理技术规程</w:t>
      </w:r>
      <w:r>
        <w:rPr>
          <w:rFonts w:hint="eastAsia"/>
        </w:rPr>
        <w:t>》</w:t>
      </w:r>
      <w:bookmarkStart w:id="28" w:name="_GoBack"/>
      <w:bookmarkEnd w:id="28"/>
      <w:r>
        <w:rPr>
          <w:rFonts w:hint="eastAsia"/>
        </w:rPr>
        <w:t>。</w:t>
      </w:r>
    </w:p>
    <w:p>
      <w:pPr>
        <w:pStyle w:val="13"/>
        <w:numPr>
          <w:ilvl w:val="0"/>
          <w:numId w:val="0"/>
        </w:numPr>
        <w:spacing w:before="156" w:after="156"/>
        <w:ind w:left="640"/>
      </w:pPr>
      <w:r>
        <w:rPr>
          <w:rFonts w:hint="eastAsia"/>
        </w:rPr>
        <w:t>二、项目背景及目的意义</w:t>
      </w:r>
    </w:p>
    <w:p>
      <w:pPr>
        <w:ind w:firstLine="640"/>
        <w:rPr>
          <w:rFonts w:hint="eastAsia"/>
        </w:rPr>
      </w:pPr>
      <w:r>
        <w:rPr>
          <w:rFonts w:hint="eastAsia"/>
        </w:rPr>
        <w:t>随着工农业生产的快速发展，废水的大量排放，中国的水污染状况日益严重。对水体造成污染的物质种类繁多，其中重金属对水体的污染及其危害已经引起广泛关注。近年来由于工业废水的大量排放，使得水体重金属污染问题日益严重。据华经市场研究中心发布的《2018-2022年污水处理市场深度解析及市场前景容量评估报告》显示，我国每年产生400 亿吨左右的工业废水，其中重金属废水约占60%。广西矿产资源丰富</w:t>
      </w:r>
      <w:r>
        <w:rPr>
          <w:rFonts w:hint="eastAsia"/>
          <w:lang w:eastAsia="zh-CN"/>
        </w:rPr>
        <w:t>，</w:t>
      </w:r>
      <w:r>
        <w:rPr>
          <w:rFonts w:hint="eastAsia"/>
        </w:rPr>
        <w:t>素有“有色金属之乡”的美誉</w:t>
      </w:r>
      <w:r>
        <w:rPr>
          <w:rFonts w:hint="eastAsia"/>
          <w:lang w:eastAsia="zh-CN"/>
        </w:rPr>
        <w:t>，</w:t>
      </w:r>
      <w:r>
        <w:rPr>
          <w:rFonts w:hint="eastAsia"/>
        </w:rPr>
        <w:t>分布着大量的锰矿、铅锌矿及其它有色金属矿。广西矿产资源的开发对广西经济发展起着举足轻重的作用，但由于管理不善和不适当地开发矿产资源等原因，导致重金属对矿区周围的土壤、水体及植被等造成严重污染。尾矿库防渗设计问题或管理问题是导致重金属污染的根源。如选矿后大量的废弃物堆放在尾矿库内，经降水淋溶向地表、地下渗透及周边的土壤、水体和植被中迁移转化，引发重金属污染问题。</w:t>
      </w:r>
    </w:p>
    <w:p>
      <w:pPr>
        <w:ind w:firstLine="640"/>
        <w:rPr>
          <w:rFonts w:hint="eastAsia"/>
        </w:rPr>
      </w:pPr>
      <w:r>
        <w:rPr>
          <w:rFonts w:hint="eastAsia"/>
        </w:rPr>
        <w:t>废水中的重金属主要有汞、铬、镉、锌、镍、铜、钴、锰、钛、钒和铋等，由于重金属容易积累在排污口下游的底泥中，不能被微生物降解，重金属在土壤和水体中积累，被农作物吸收，通过食物链进入人体，从而严重威胁人类的身体健康。重金属废水来源广泛，种类多，而且很难从环境中消失，如何去除水体中的重金属是环境保护的重要组成部分。中国重金属废水治理技术在政策的驱动下不断进步。迄今，已研发了多种重金属废水处理方法，主要有化学沉淀法、铁氧体法、离子交换法、膜分离、浮选法、电化学方法和吸附法等。尽管处理水体重金属的方法有多种，但人工湿地（Constructed Wetland）在含重金属废水处理中具有明显的优势。</w:t>
      </w:r>
    </w:p>
    <w:p>
      <w:pPr>
        <w:ind w:firstLine="640"/>
      </w:pPr>
      <w:r>
        <w:rPr>
          <w:rFonts w:hint="eastAsia"/>
        </w:rPr>
        <w:t>人工湿地由基质、水体、水生植物、好氧或厌氧微生物种群、水生动物等五部分组成，各组成成分分别起着不同的作用，据研究。废水中的重金属得到有效净化的主要机理是共沉淀、化学吸附和植物吸收，因而人工湿地中的填料、植物、微生物在重金属废水处理中具有举足轻重的地位。人工湿地净化生态处理技术是一项利用人工构建的湿地系统去除水体中的污染物的生态技术，该技术具备高效率、低成本、低能耗和生态服务功能等优点。大量研究表明，人工湿地能有效去除水体中氮、磷、COD、BOD和重金属等多种污染物。因此，利用人工湿地系统修复大面积、低浓度的水体重金属污染可能是一条廉价而有效的途径。</w:t>
      </w:r>
    </w:p>
    <w:p>
      <w:pPr>
        <w:pStyle w:val="13"/>
        <w:numPr>
          <w:ilvl w:val="0"/>
          <w:numId w:val="0"/>
        </w:numPr>
        <w:spacing w:before="156" w:after="156"/>
        <w:ind w:left="640"/>
      </w:pPr>
      <w:r>
        <w:rPr>
          <w:rFonts w:hint="eastAsia"/>
        </w:rPr>
        <w:t>三、项目编制过程</w:t>
      </w:r>
    </w:p>
    <w:p>
      <w:pPr>
        <w:spacing w:before="156" w:beforeLines="50" w:after="156" w:afterLines="50"/>
        <w:ind w:firstLine="643"/>
        <w:rPr>
          <w:b/>
          <w:bCs/>
        </w:rPr>
      </w:pPr>
      <w:r>
        <w:rPr>
          <w:rFonts w:hint="eastAsia"/>
          <w:b/>
          <w:bCs/>
        </w:rPr>
        <w:t>（一）成立标准编制工作组</w:t>
      </w:r>
    </w:p>
    <w:p>
      <w:pPr>
        <w:ind w:firstLine="640"/>
        <w:rPr>
          <w:rFonts w:ascii="仿宋_GB2312" w:hAnsi="宋体"/>
          <w:szCs w:val="28"/>
          <w:lang w:val="zh-CN"/>
        </w:rPr>
      </w:pPr>
      <w:r>
        <w:rPr>
          <w:rFonts w:hint="eastAsia" w:ascii="仿宋_GB2312" w:hAnsi="宋体"/>
          <w:szCs w:val="28"/>
          <w:lang w:val="zh-CN"/>
        </w:rPr>
        <w:t>团体标准《</w:t>
      </w:r>
      <w:bookmarkStart w:id="1" w:name="_Hlk101800222"/>
      <w:r>
        <w:rPr>
          <w:rFonts w:hint="eastAsia"/>
          <w:szCs w:val="32"/>
        </w:rPr>
        <w:t>金属矿山低浓度尾水人工湿地净化生态处理技术规程</w:t>
      </w:r>
      <w:bookmarkEnd w:id="1"/>
      <w:r>
        <w:rPr>
          <w:rFonts w:hint="eastAsia" w:ascii="仿宋_GB2312" w:hAnsi="宋体"/>
          <w:szCs w:val="28"/>
          <w:lang w:val="zh-CN"/>
        </w:rPr>
        <w:t>》项目任务下达后，成立了标准编制工作组，制定了标准编写方案，明确任务职责，确定工作技术路线，开展标准研制工作，具体标准编制工作由</w:t>
      </w:r>
      <w:r>
        <w:rPr>
          <w:rFonts w:hint="eastAsia"/>
        </w:rPr>
        <w:t>桂林理工大学、中山大学、广西师范大学、中国有色桂林矿产地质研究院有限公司、桂林嘉华环境科技有限公司、广西鼎联环保科技有限公司、桂林市环境保护科学研究所、桂林市荣嘉环保科技有限公司</w:t>
      </w:r>
      <w:r>
        <w:rPr>
          <w:rFonts w:hint="eastAsia" w:ascii="仿宋_GB2312" w:hAnsi="宋体"/>
          <w:szCs w:val="28"/>
          <w:lang w:val="zh-CN"/>
        </w:rPr>
        <w:t>等单位相关人员配合。</w:t>
      </w:r>
    </w:p>
    <w:p>
      <w:pPr>
        <w:spacing w:before="156" w:beforeLines="50" w:after="156" w:afterLines="50"/>
        <w:ind w:firstLine="643"/>
        <w:rPr>
          <w:b/>
          <w:bCs/>
        </w:rPr>
      </w:pPr>
      <w:r>
        <w:rPr>
          <w:rFonts w:hint="eastAsia"/>
          <w:b/>
          <w:bCs/>
        </w:rPr>
        <w:t>（二）收集整理文献资料</w:t>
      </w:r>
    </w:p>
    <w:p>
      <w:pPr>
        <w:ind w:firstLine="640"/>
      </w:pPr>
      <w:r>
        <w:rPr>
          <w:rFonts w:hint="eastAsia"/>
        </w:rPr>
        <w:t>标准编制工作组收集了国内有关马尾松人工林近自然化改造的相关技术文献资料。主要有：</w:t>
      </w:r>
    </w:p>
    <w:p>
      <w:pPr>
        <w:ind w:firstLine="640"/>
        <w:rPr>
          <w:rFonts w:hint="eastAsia"/>
        </w:rPr>
      </w:pPr>
      <w:r>
        <w:rPr>
          <w:rFonts w:hint="eastAsia"/>
        </w:rPr>
        <w:t>HJ 2005-2010人工湿地污水处理工程技术规范</w:t>
      </w:r>
    </w:p>
    <w:p>
      <w:pPr>
        <w:ind w:firstLine="640"/>
        <w:rPr>
          <w:rFonts w:hint="eastAsia"/>
        </w:rPr>
      </w:pPr>
      <w:r>
        <w:rPr>
          <w:rFonts w:hint="eastAsia"/>
        </w:rPr>
        <w:t>RISN-TG006-2009 人工湿地污水处理技术导则</w:t>
      </w:r>
    </w:p>
    <w:p>
      <w:pPr>
        <w:ind w:firstLine="640"/>
        <w:rPr>
          <w:rFonts w:hint="eastAsia"/>
        </w:rPr>
      </w:pPr>
      <w:r>
        <w:rPr>
          <w:rFonts w:hint="eastAsia"/>
        </w:rPr>
        <w:t>DB11/T 1376-2016 农村生活污水人工湿地处理工程技术规范</w:t>
      </w:r>
    </w:p>
    <w:p>
      <w:pPr>
        <w:ind w:firstLine="640"/>
        <w:rPr>
          <w:rFonts w:hint="eastAsia"/>
        </w:rPr>
      </w:pPr>
      <w:r>
        <w:rPr>
          <w:rFonts w:hint="eastAsia"/>
        </w:rPr>
        <w:t>DB13/T 5184-2020 人工湿地水质净化工程技术规范</w:t>
      </w:r>
    </w:p>
    <w:p>
      <w:pPr>
        <w:ind w:firstLine="640"/>
        <w:rPr>
          <w:rFonts w:hint="eastAsia"/>
        </w:rPr>
      </w:pPr>
      <w:r>
        <w:rPr>
          <w:rFonts w:hint="eastAsia"/>
        </w:rPr>
        <w:t>DB32/T 3405-2018 生态修复型人工湿地中植物配置技术规程</w:t>
      </w:r>
    </w:p>
    <w:p>
      <w:pPr>
        <w:ind w:firstLine="640"/>
        <w:rPr>
          <w:rFonts w:hint="eastAsia"/>
        </w:rPr>
      </w:pPr>
      <w:r>
        <w:rPr>
          <w:rFonts w:hint="eastAsia"/>
        </w:rPr>
        <w:t>DB37/T 3394-2018 人工湿地水质净化工程技术指南</w:t>
      </w:r>
    </w:p>
    <w:p>
      <w:pPr>
        <w:ind w:firstLine="640"/>
        <w:rPr>
          <w:rFonts w:hint="eastAsia"/>
        </w:rPr>
      </w:pPr>
      <w:r>
        <w:rPr>
          <w:rFonts w:hint="eastAsia"/>
        </w:rPr>
        <w:t>DB41/T 1947-2020 污水处理厂尾水人工湿地工程技术规范</w:t>
      </w:r>
    </w:p>
    <w:p>
      <w:pPr>
        <w:ind w:firstLine="640"/>
        <w:rPr>
          <w:rFonts w:hint="eastAsia"/>
        </w:rPr>
      </w:pPr>
      <w:r>
        <w:rPr>
          <w:rFonts w:hint="eastAsia"/>
        </w:rPr>
        <w:t>DB63/T 1350-2015  河湟谷地人工湿地污水处理技术规范</w:t>
      </w:r>
    </w:p>
    <w:p>
      <w:pPr>
        <w:spacing w:before="156" w:beforeLines="50" w:after="156" w:afterLines="50"/>
        <w:ind w:firstLine="643"/>
        <w:rPr>
          <w:b/>
          <w:bCs/>
        </w:rPr>
      </w:pPr>
      <w:r>
        <w:rPr>
          <w:rFonts w:hint="eastAsia"/>
          <w:b/>
          <w:bCs/>
        </w:rPr>
        <w:t>（三）研讨确定标准主体内容</w:t>
      </w:r>
    </w:p>
    <w:p>
      <w:pPr>
        <w:pStyle w:val="16"/>
        <w:numPr>
          <w:ilvl w:val="0"/>
          <w:numId w:val="0"/>
        </w:numPr>
        <w:spacing w:before="156" w:after="156"/>
        <w:ind w:firstLine="640" w:firstLineChars="200"/>
        <w:rPr>
          <w:rFonts w:ascii="仿宋_GB2312" w:hAnsi="宋体" w:eastAsia="仿宋_GB2312" w:cs="Times New Roman"/>
          <w:b w:val="0"/>
          <w:szCs w:val="28"/>
          <w:lang w:val="zh-CN"/>
        </w:rPr>
      </w:pPr>
      <w:r>
        <w:rPr>
          <w:rFonts w:hint="eastAsia" w:ascii="仿宋_GB2312" w:hAnsi="宋体" w:eastAsia="仿宋_GB2312" w:cs="Times New Roman"/>
          <w:b w:val="0"/>
          <w:szCs w:val="28"/>
          <w:lang w:val="zh-CN"/>
        </w:rPr>
        <w:t>标准编制工作组在对收集的资料进行整理研究后，标准编制工作组召开了标准编制会议，对标准的整体框架进行了研究，并对标准的关键性问题进行了初步探讨。经过研究，标准的主体内容包括术语和定义</w:t>
      </w:r>
      <w:r>
        <w:rPr>
          <w:rFonts w:hint="eastAsia" w:ascii="仿宋_GB2312" w:hAnsi="宋体" w:eastAsia="仿宋_GB2312" w:cs="Times New Roman"/>
          <w:b w:val="0"/>
          <w:color w:val="auto"/>
          <w:szCs w:val="28"/>
          <w:lang w:val="zh-CN"/>
        </w:rPr>
        <w:t>、</w:t>
      </w:r>
      <w:r>
        <w:rPr>
          <w:rFonts w:hint="eastAsia" w:ascii="仿宋_GB2312" w:hAnsi="宋体" w:eastAsia="仿宋_GB2312" w:cs="Times New Roman"/>
          <w:b w:val="0"/>
          <w:color w:val="auto"/>
          <w:szCs w:val="28"/>
          <w:lang w:val="en-US" w:eastAsia="zh-CN"/>
        </w:rPr>
        <w:t>选址、设计水量和设计水质、净化技术、施工与验收</w:t>
      </w:r>
      <w:r>
        <w:rPr>
          <w:rFonts w:hint="eastAsia" w:ascii="仿宋_GB2312" w:hAnsi="宋体" w:eastAsia="仿宋_GB2312" w:cs="Times New Roman"/>
          <w:b w:val="0"/>
          <w:color w:val="auto"/>
          <w:szCs w:val="28"/>
          <w:lang w:val="zh-CN"/>
        </w:rPr>
        <w:t>。</w:t>
      </w:r>
    </w:p>
    <w:p>
      <w:pPr>
        <w:spacing w:before="156" w:beforeLines="50" w:after="156" w:afterLines="50"/>
        <w:ind w:firstLine="643"/>
        <w:rPr>
          <w:b/>
          <w:bCs/>
        </w:rPr>
      </w:pPr>
      <w:r>
        <w:rPr>
          <w:rFonts w:hint="eastAsia"/>
          <w:b/>
          <w:bCs/>
        </w:rPr>
        <w:t>（四）形成文本草案、征求意见稿</w:t>
      </w:r>
    </w:p>
    <w:p>
      <w:pPr>
        <w:ind w:firstLine="640"/>
      </w:pPr>
      <w:r>
        <w:rPr>
          <w:rFonts w:hint="eastAsia"/>
        </w:rPr>
        <w:t>202</w:t>
      </w:r>
      <w:r>
        <w:t>2</w:t>
      </w:r>
      <w:r>
        <w:rPr>
          <w:rFonts w:hint="eastAsia"/>
        </w:rPr>
        <w:t>年</w:t>
      </w:r>
      <w:r>
        <w:t>4</w:t>
      </w:r>
      <w:r>
        <w:rPr>
          <w:rFonts w:hint="eastAsia"/>
        </w:rPr>
        <w:t>月，标准起草工作小组进行了广泛实地调研工作，查阅了大量的国内外文献资料，对</w:t>
      </w:r>
      <w:r>
        <w:rPr>
          <w:rFonts w:hint="eastAsia"/>
          <w:szCs w:val="32"/>
        </w:rPr>
        <w:t>金属矿山低浓度尾水人工湿地净化生态处理技术</w:t>
      </w:r>
      <w:r>
        <w:rPr>
          <w:rFonts w:hint="eastAsia"/>
        </w:rPr>
        <w:t>进行系统总结。经编制组反复讨论，形成了标准的基本构架，对主要内容进行了讨论并对项目的工作进行了部署和安排。在前期工作的基础之上，通过理清逻辑脉络，整合已有的参考资料中有关</w:t>
      </w:r>
      <w:r>
        <w:rPr>
          <w:rFonts w:hint="eastAsia"/>
          <w:szCs w:val="32"/>
        </w:rPr>
        <w:t>金属矿山低浓度尾水人工湿地净化生态处理技术</w:t>
      </w:r>
      <w:r>
        <w:rPr>
          <w:rFonts w:hint="eastAsia"/>
        </w:rPr>
        <w:t>，并结合实际要求的基础上，按照简化、统一等原则编制完成团体标准《</w:t>
      </w:r>
      <w:r>
        <w:rPr>
          <w:rFonts w:hint="eastAsia"/>
          <w:szCs w:val="32"/>
        </w:rPr>
        <w:t>金属矿山低浓度尾水人工湿地净化生态处理技术规程</w:t>
      </w:r>
      <w:r>
        <w:rPr>
          <w:rFonts w:hint="eastAsia"/>
        </w:rPr>
        <w:t>》（草案）。</w:t>
      </w:r>
    </w:p>
    <w:p>
      <w:pPr>
        <w:ind w:firstLine="640"/>
      </w:pPr>
      <w:r>
        <w:rPr>
          <w:rFonts w:hint="eastAsia"/>
        </w:rPr>
        <w:t>202</w:t>
      </w:r>
      <w:r>
        <w:t>2</w:t>
      </w:r>
      <w:r>
        <w:rPr>
          <w:rFonts w:hint="eastAsia"/>
        </w:rPr>
        <w:t>年</w:t>
      </w:r>
      <w:r>
        <w:t>5</w:t>
      </w:r>
      <w:r>
        <w:rPr>
          <w:rFonts w:hint="eastAsia"/>
        </w:rPr>
        <w:t>月，向区内涉及领域的部门及相关专家征求团体标准《</w:t>
      </w:r>
      <w:r>
        <w:rPr>
          <w:rFonts w:hint="eastAsia"/>
          <w:szCs w:val="32"/>
        </w:rPr>
        <w:t>金属矿山低浓度尾水人工湿地净化生态处理技术规程</w:t>
      </w:r>
      <w:r>
        <w:rPr>
          <w:rFonts w:hint="eastAsia"/>
        </w:rPr>
        <w:t>》（草案）意见。</w:t>
      </w:r>
    </w:p>
    <w:p>
      <w:pPr>
        <w:spacing w:line="600" w:lineRule="exact"/>
        <w:ind w:firstLine="640"/>
        <w:rPr>
          <w:rFonts w:hint="eastAsia" w:ascii="Times New Roman" w:hAnsi="Times New Roman" w:eastAsia="仿宋_GB2312" w:cs="Times New Roman"/>
          <w:szCs w:val="24"/>
        </w:rPr>
      </w:pPr>
      <w:r>
        <w:rPr>
          <w:rFonts w:hint="eastAsia"/>
        </w:rPr>
        <w:t>202</w:t>
      </w:r>
      <w:r>
        <w:t>2</w:t>
      </w:r>
      <w:r>
        <w:rPr>
          <w:rFonts w:hint="eastAsia"/>
        </w:rPr>
        <w:t>年</w:t>
      </w:r>
      <w:r>
        <w:rPr>
          <w:rFonts w:hint="eastAsia"/>
          <w:lang w:val="en-US" w:eastAsia="zh-CN"/>
        </w:rPr>
        <w:t>6</w:t>
      </w:r>
      <w:r>
        <w:rPr>
          <w:rFonts w:hint="eastAsia"/>
        </w:rPr>
        <w:t>月，标准组深入广西各地区有代表性的金属矿区实地调研，并实地征求团体标准《</w:t>
      </w:r>
      <w:r>
        <w:rPr>
          <w:rFonts w:hint="eastAsia"/>
          <w:szCs w:val="32"/>
        </w:rPr>
        <w:t>金属矿山低浓度尾水人工湿地净化生态处理技术规程</w:t>
      </w:r>
      <w:r>
        <w:rPr>
          <w:rFonts w:hint="eastAsia"/>
        </w:rPr>
        <w:t>》（草案）意见。</w:t>
      </w:r>
      <w:r>
        <w:rPr>
          <w:rFonts w:hint="eastAsia" w:ascii="仿宋_GB2312" w:hAnsi="宋体"/>
          <w:szCs w:val="28"/>
        </w:rPr>
        <w:t>通过收集反馈了大量意见，标准编制工作组多次召开会议，对标准草案进行了反复修改和研究讨论。最终形成了团体标准《</w:t>
      </w:r>
      <w:r>
        <w:rPr>
          <w:rFonts w:hint="eastAsia"/>
          <w:szCs w:val="32"/>
        </w:rPr>
        <w:t>金属矿山低浓度尾水人工湿地净化生态处理技术规程</w:t>
      </w:r>
      <w:r>
        <w:rPr>
          <w:rFonts w:hint="eastAsia" w:ascii="仿宋_GB2312" w:hAnsi="宋体"/>
          <w:szCs w:val="28"/>
        </w:rPr>
        <w:t>》（征求意见稿）和（征求意见稿）编制说明</w:t>
      </w:r>
      <w:bookmarkStart w:id="2" w:name="_Toc526940083"/>
      <w:r>
        <w:rPr>
          <w:rFonts w:hint="eastAsia" w:ascii="Times New Roman" w:hAnsi="Times New Roman" w:eastAsia="仿宋_GB2312" w:cs="Times New Roman"/>
          <w:szCs w:val="24"/>
        </w:rPr>
        <w:t>。</w:t>
      </w:r>
    </w:p>
    <w:p>
      <w:pPr>
        <w:pStyle w:val="13"/>
        <w:numPr>
          <w:ilvl w:val="0"/>
          <w:numId w:val="0"/>
        </w:numPr>
        <w:spacing w:before="156" w:after="156"/>
        <w:ind w:left="640"/>
      </w:pPr>
      <w:r>
        <w:rPr>
          <w:rFonts w:hint="eastAsia"/>
        </w:rPr>
        <w:t>四、标准制定原则</w:t>
      </w:r>
      <w:bookmarkEnd w:id="2"/>
    </w:p>
    <w:p>
      <w:pPr>
        <w:spacing w:before="156" w:beforeLines="50" w:after="156" w:afterLines="50"/>
        <w:ind w:firstLine="643"/>
        <w:rPr>
          <w:b/>
          <w:bCs/>
        </w:rPr>
      </w:pPr>
      <w:r>
        <w:rPr>
          <w:rFonts w:hint="eastAsia"/>
          <w:b/>
          <w:bCs/>
        </w:rPr>
        <w:t>（一）实用性原则</w:t>
      </w:r>
    </w:p>
    <w:p>
      <w:pPr>
        <w:ind w:firstLine="640"/>
      </w:pPr>
      <w:r>
        <w:rPr>
          <w:rFonts w:hint="eastAsia"/>
        </w:rPr>
        <w:t>本文件中有关</w:t>
      </w:r>
      <w:r>
        <w:rPr>
          <w:rFonts w:hint="eastAsia"/>
          <w:szCs w:val="32"/>
        </w:rPr>
        <w:t>金属矿山低浓度尾水人工湿地净化生态处理技术</w:t>
      </w:r>
      <w:r>
        <w:rPr>
          <w:rFonts w:hint="eastAsia"/>
        </w:rPr>
        <w:t>内容及要求的规定，是在充分收集相关资料和文献，分析</w:t>
      </w:r>
      <w:r>
        <w:rPr>
          <w:rFonts w:hint="eastAsia"/>
          <w:szCs w:val="32"/>
        </w:rPr>
        <w:t>金属矿山低浓度尾水人工湿地净化生态处理技术</w:t>
      </w:r>
      <w:r>
        <w:rPr>
          <w:rFonts w:hint="eastAsia"/>
        </w:rPr>
        <w:t>现状，调研</w:t>
      </w:r>
      <w:r>
        <w:rPr>
          <w:rFonts w:hint="eastAsia"/>
          <w:szCs w:val="32"/>
        </w:rPr>
        <w:t>金属矿山低浓度尾水人工湿地净化生态处理</w:t>
      </w:r>
      <w:r>
        <w:rPr>
          <w:rFonts w:hint="eastAsia"/>
        </w:rPr>
        <w:t>情况的基础上，进行制定。符合当前</w:t>
      </w:r>
      <w:r>
        <w:rPr>
          <w:rFonts w:hint="eastAsia"/>
          <w:szCs w:val="32"/>
        </w:rPr>
        <w:t>金属矿山低浓度尾水人工湿地净化生态处理技术</w:t>
      </w:r>
      <w:r>
        <w:rPr>
          <w:rFonts w:hint="eastAsia"/>
        </w:rPr>
        <w:t>发展水平，具有较强的实用性和可操作性。</w:t>
      </w:r>
      <w:r>
        <w:tab/>
      </w:r>
    </w:p>
    <w:p>
      <w:pPr>
        <w:spacing w:before="156" w:beforeLines="50" w:after="156" w:afterLines="50"/>
        <w:ind w:firstLine="643"/>
        <w:rPr>
          <w:b/>
          <w:bCs/>
        </w:rPr>
      </w:pPr>
      <w:r>
        <w:rPr>
          <w:rFonts w:hint="eastAsia"/>
          <w:b/>
          <w:bCs/>
        </w:rPr>
        <w:t>（二）协调性原则</w:t>
      </w:r>
    </w:p>
    <w:p>
      <w:pPr>
        <w:ind w:firstLine="640"/>
      </w:pPr>
      <w:r>
        <w:rPr>
          <w:rFonts w:hint="eastAsia"/>
        </w:rPr>
        <w:t>本在标准编写过程中注意了与</w:t>
      </w:r>
      <w:r>
        <w:rPr>
          <w:rFonts w:hint="eastAsia"/>
          <w:szCs w:val="32"/>
        </w:rPr>
        <w:t>金属矿山低浓度尾水人工湿地净化生态处理技术</w:t>
      </w:r>
      <w:r>
        <w:rPr>
          <w:rFonts w:hint="eastAsia"/>
        </w:rPr>
        <w:t>相关法律法规、标准的协调问题，在内容上与现行法律法规、标准协调一致。</w:t>
      </w:r>
    </w:p>
    <w:p>
      <w:pPr>
        <w:spacing w:before="156" w:beforeLines="50" w:after="156" w:afterLines="50"/>
        <w:ind w:firstLine="643"/>
        <w:rPr>
          <w:b/>
          <w:bCs/>
        </w:rPr>
      </w:pPr>
      <w:r>
        <w:rPr>
          <w:rFonts w:hint="eastAsia"/>
          <w:b/>
          <w:bCs/>
        </w:rPr>
        <w:t>（三）规范性原则</w:t>
      </w:r>
    </w:p>
    <w:p>
      <w:pPr>
        <w:ind w:firstLine="640"/>
      </w:pPr>
      <w:r>
        <w:rPr>
          <w:rFonts w:hint="eastAsia"/>
        </w:rPr>
        <w:t>本文件严格按照GB/T 1.1—2020《标准化工作导则  第1部分：标准化文件的结构和起草规则》的要求和规定编写本文件的内容，保证标准的编写质量。</w:t>
      </w:r>
    </w:p>
    <w:p>
      <w:pPr>
        <w:spacing w:before="156" w:beforeLines="50" w:after="156" w:afterLines="50"/>
        <w:ind w:firstLine="643"/>
        <w:rPr>
          <w:b/>
          <w:bCs/>
        </w:rPr>
      </w:pPr>
      <w:r>
        <w:rPr>
          <w:rFonts w:hint="eastAsia"/>
          <w:b/>
          <w:bCs/>
        </w:rPr>
        <w:t>（四）前瞻性原则</w:t>
      </w:r>
    </w:p>
    <w:p>
      <w:pPr>
        <w:ind w:firstLine="640"/>
      </w:pPr>
      <w:r>
        <w:rPr>
          <w:rFonts w:hint="eastAsia"/>
        </w:rPr>
        <w:t>本文件在兼顾当前我国</w:t>
      </w:r>
      <w:r>
        <w:rPr>
          <w:rFonts w:hint="eastAsia"/>
          <w:szCs w:val="32"/>
        </w:rPr>
        <w:t>金属矿山低浓度尾水人工湿地净化生态处理技术</w:t>
      </w:r>
      <w:r>
        <w:rPr>
          <w:rFonts w:hint="eastAsia"/>
        </w:rPr>
        <w:t>的现实情况的同时，还考虑到了其</w:t>
      </w:r>
      <w:r>
        <w:rPr>
          <w:rFonts w:hint="eastAsia"/>
          <w:szCs w:val="32"/>
        </w:rPr>
        <w:t>人工湿地净化生态处理</w:t>
      </w:r>
      <w:r>
        <w:rPr>
          <w:rFonts w:hint="eastAsia"/>
        </w:rPr>
        <w:t>行业快速发展的趋势和需要，在标准中体现了净化措施的个别特色性、前瞻性和先进性条款，作为对</w:t>
      </w:r>
      <w:r>
        <w:rPr>
          <w:rFonts w:hint="eastAsia"/>
          <w:szCs w:val="32"/>
        </w:rPr>
        <w:t>金属矿山低浓度尾水人工湿地净化生态处理技术</w:t>
      </w:r>
      <w:r>
        <w:rPr>
          <w:rFonts w:hint="eastAsia"/>
        </w:rPr>
        <w:t>发展的引导。</w:t>
      </w:r>
    </w:p>
    <w:p>
      <w:pPr>
        <w:pStyle w:val="13"/>
        <w:numPr>
          <w:ilvl w:val="0"/>
          <w:numId w:val="0"/>
        </w:numPr>
        <w:spacing w:before="156" w:after="156"/>
        <w:ind w:left="640"/>
      </w:pPr>
      <w:r>
        <w:rPr>
          <w:rFonts w:hint="eastAsia"/>
        </w:rPr>
        <w:t>五、标准主要章节内容及确定依据</w:t>
      </w:r>
    </w:p>
    <w:p>
      <w:pPr>
        <w:ind w:firstLine="640"/>
        <w:rPr>
          <w:b w:val="0"/>
          <w:bCs w:val="0"/>
        </w:rPr>
      </w:pPr>
      <w:r>
        <w:rPr>
          <w:rFonts w:hint="eastAsia"/>
          <w:b w:val="0"/>
          <w:bCs w:val="0"/>
        </w:rPr>
        <w:t>团体标准《</w:t>
      </w:r>
      <w:r>
        <w:rPr>
          <w:rFonts w:hint="eastAsia"/>
          <w:b w:val="0"/>
          <w:bCs w:val="0"/>
          <w:szCs w:val="32"/>
        </w:rPr>
        <w:t>金属矿山低浓度尾水人工湿地净化生态处理技术规程</w:t>
      </w:r>
      <w:r>
        <w:rPr>
          <w:rFonts w:hint="eastAsia"/>
          <w:b w:val="0"/>
          <w:bCs w:val="0"/>
        </w:rPr>
        <w:t>》主要内容包括术语和定义</w:t>
      </w:r>
      <w:r>
        <w:rPr>
          <w:rFonts w:hint="eastAsia" w:ascii="仿宋_GB2312" w:hAnsi="宋体" w:eastAsia="仿宋_GB2312" w:cs="Times New Roman"/>
          <w:b w:val="0"/>
          <w:bCs w:val="0"/>
          <w:color w:val="auto"/>
          <w:szCs w:val="28"/>
          <w:lang w:val="zh-CN"/>
        </w:rPr>
        <w:t>、</w:t>
      </w:r>
      <w:r>
        <w:rPr>
          <w:rFonts w:hint="eastAsia" w:ascii="仿宋_GB2312" w:hAnsi="宋体" w:eastAsia="仿宋_GB2312" w:cs="Times New Roman"/>
          <w:b w:val="0"/>
          <w:bCs w:val="0"/>
          <w:color w:val="auto"/>
          <w:szCs w:val="28"/>
          <w:lang w:val="en-US" w:eastAsia="zh-CN"/>
        </w:rPr>
        <w:t>选址、设计水量和设计水质、净化技术、施工与验收</w:t>
      </w:r>
      <w:r>
        <w:rPr>
          <w:rFonts w:hint="eastAsia"/>
          <w:b w:val="0"/>
          <w:bCs w:val="0"/>
        </w:rPr>
        <w:t>。</w:t>
      </w:r>
    </w:p>
    <w:p>
      <w:pPr>
        <w:numPr>
          <w:ilvl w:val="0"/>
          <w:numId w:val="3"/>
        </w:numPr>
        <w:ind w:firstLine="640"/>
        <w:rPr>
          <w:rFonts w:hint="eastAsia" w:ascii="仿宋_GB2312" w:hAnsi="宋体" w:eastAsia="仿宋_GB2312" w:cs="Times New Roman"/>
          <w:b/>
          <w:bCs/>
          <w:color w:val="auto"/>
          <w:szCs w:val="28"/>
          <w:lang w:val="en-US" w:eastAsia="zh-CN"/>
        </w:rPr>
      </w:pPr>
      <w:r>
        <w:rPr>
          <w:rFonts w:hint="eastAsia"/>
          <w:b/>
          <w:bCs/>
          <w:lang w:val="en-US" w:eastAsia="zh-CN"/>
        </w:rPr>
        <w:t>术语和定义</w:t>
      </w:r>
    </w:p>
    <w:p>
      <w:pPr>
        <w:ind w:firstLine="640"/>
        <w:rPr>
          <w:rFonts w:hint="default"/>
          <w:b w:val="0"/>
          <w:bCs w:val="0"/>
          <w:szCs w:val="32"/>
          <w:lang w:val="en-US" w:eastAsia="zh-CN"/>
        </w:rPr>
      </w:pPr>
      <w:r>
        <w:rPr>
          <w:rFonts w:hint="eastAsia"/>
          <w:b w:val="0"/>
          <w:bCs w:val="0"/>
          <w:szCs w:val="32"/>
        </w:rPr>
        <w:drawing>
          <wp:anchor distT="0" distB="0" distL="114300" distR="114300" simplePos="0" relativeHeight="251659264" behindDoc="0" locked="0" layoutInCell="1" allowOverlap="1">
            <wp:simplePos x="0" y="0"/>
            <wp:positionH relativeFrom="column">
              <wp:posOffset>271145</wp:posOffset>
            </wp:positionH>
            <wp:positionV relativeFrom="paragraph">
              <wp:posOffset>916305</wp:posOffset>
            </wp:positionV>
            <wp:extent cx="5670550" cy="1827530"/>
            <wp:effectExtent l="0" t="0" r="6350" b="127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2"/>
                    <a:stretch>
                      <a:fillRect/>
                    </a:stretch>
                  </pic:blipFill>
                  <pic:spPr>
                    <a:xfrm>
                      <a:off x="0" y="0"/>
                      <a:ext cx="5670550" cy="1827530"/>
                    </a:xfrm>
                    <a:prstGeom prst="rect">
                      <a:avLst/>
                    </a:prstGeom>
                    <a:noFill/>
                    <a:ln>
                      <a:noFill/>
                    </a:ln>
                  </pic:spPr>
                </pic:pic>
              </a:graphicData>
            </a:graphic>
          </wp:anchor>
        </w:drawing>
      </w:r>
      <w:r>
        <w:rPr>
          <w:rFonts w:hint="eastAsia"/>
          <w:b w:val="0"/>
          <w:bCs w:val="0"/>
          <w:szCs w:val="32"/>
          <w:lang w:val="en-US" w:eastAsia="zh-CN"/>
        </w:rPr>
        <w:t>主要依据</w:t>
      </w:r>
      <w:r>
        <w:rPr>
          <w:rFonts w:hint="eastAsia"/>
          <w:b w:val="0"/>
          <w:bCs w:val="0"/>
        </w:rPr>
        <w:t>HJ 2005—2010</w:t>
      </w:r>
      <w:r>
        <w:rPr>
          <w:rFonts w:hint="eastAsia"/>
          <w:b w:val="0"/>
          <w:bCs w:val="0"/>
          <w:lang w:eastAsia="zh-CN"/>
        </w:rPr>
        <w:t>《</w:t>
      </w:r>
      <w:r>
        <w:rPr>
          <w:rFonts w:hint="eastAsia"/>
          <w:b w:val="0"/>
          <w:bCs w:val="0"/>
        </w:rPr>
        <w:t>人工湿地污水处理工程技术规范</w:t>
      </w:r>
      <w:r>
        <w:rPr>
          <w:rFonts w:hint="eastAsia"/>
          <w:b w:val="0"/>
          <w:bCs w:val="0"/>
          <w:lang w:eastAsia="zh-CN"/>
        </w:rPr>
        <w:t>》</w:t>
      </w:r>
      <w:r>
        <w:rPr>
          <w:rFonts w:hint="eastAsia"/>
          <w:b w:val="0"/>
          <w:bCs w:val="0"/>
          <w:lang w:val="en-US" w:eastAsia="zh-CN"/>
        </w:rPr>
        <w:t>的术语和定义进行确定。</w:t>
      </w:r>
    </w:p>
    <w:p>
      <w:pPr>
        <w:pStyle w:val="5"/>
        <w:numPr>
          <w:ilvl w:val="0"/>
          <w:numId w:val="0"/>
        </w:numPr>
        <w:ind w:leftChars="200"/>
        <w:jc w:val="center"/>
        <w:rPr>
          <w:rFonts w:hint="default" w:ascii="仿宋_GB2312" w:hAnsi="宋体" w:eastAsia="仿宋_GB2312" w:cs="Times New Roman"/>
          <w:b w:val="0"/>
          <w:bCs w:val="0"/>
          <w:color w:val="auto"/>
          <w:szCs w:val="28"/>
          <w:lang w:val="en-US" w:eastAsia="zh-CN"/>
        </w:rPr>
      </w:pPr>
      <w:r>
        <w:rPr>
          <w:b w:val="0"/>
          <w:bCs w:val="0"/>
        </w:rPr>
        <w:t xml:space="preserve">图 </w:t>
      </w:r>
      <w:r>
        <w:rPr>
          <w:b w:val="0"/>
          <w:bCs w:val="0"/>
        </w:rPr>
        <w:fldChar w:fldCharType="begin"/>
      </w:r>
      <w:r>
        <w:rPr>
          <w:b w:val="0"/>
          <w:bCs w:val="0"/>
        </w:rPr>
        <w:instrText xml:space="preserve"> SEQ 图 \* ARABIC </w:instrText>
      </w:r>
      <w:r>
        <w:rPr>
          <w:b w:val="0"/>
          <w:bCs w:val="0"/>
        </w:rPr>
        <w:fldChar w:fldCharType="separate"/>
      </w:r>
      <w:r>
        <w:rPr>
          <w:b w:val="0"/>
          <w:bCs w:val="0"/>
        </w:rPr>
        <w:t>1</w:t>
      </w:r>
      <w:r>
        <w:rPr>
          <w:b w:val="0"/>
          <w:bCs w:val="0"/>
        </w:rPr>
        <w:fldChar w:fldCharType="end"/>
      </w:r>
      <w:r>
        <w:rPr>
          <w:rFonts w:hint="eastAsia"/>
          <w:b w:val="0"/>
          <w:bCs w:val="0"/>
        </w:rPr>
        <w:t>HJ 2005—2010</w:t>
      </w:r>
      <w:r>
        <w:rPr>
          <w:rFonts w:hint="eastAsia"/>
          <w:b w:val="0"/>
          <w:bCs w:val="0"/>
          <w:lang w:eastAsia="zh-CN"/>
        </w:rPr>
        <w:t>《</w:t>
      </w:r>
      <w:r>
        <w:rPr>
          <w:rFonts w:hint="eastAsia"/>
          <w:b w:val="0"/>
          <w:bCs w:val="0"/>
        </w:rPr>
        <w:t>人工湿地污水处理工程技术规范</w:t>
      </w:r>
      <w:r>
        <w:rPr>
          <w:rFonts w:hint="eastAsia"/>
          <w:b w:val="0"/>
          <w:bCs w:val="0"/>
          <w:lang w:eastAsia="zh-CN"/>
        </w:rPr>
        <w:t>》</w:t>
      </w:r>
      <w:r>
        <w:rPr>
          <w:rFonts w:hint="eastAsia"/>
          <w:b w:val="0"/>
          <w:bCs w:val="0"/>
          <w:lang w:val="en-US" w:eastAsia="zh-CN"/>
        </w:rPr>
        <w:t>术语和定义</w:t>
      </w:r>
    </w:p>
    <w:p>
      <w:pPr>
        <w:pStyle w:val="2"/>
        <w:numPr>
          <w:ilvl w:val="0"/>
          <w:numId w:val="3"/>
        </w:numPr>
        <w:ind w:left="0" w:leftChars="0" w:firstLine="643" w:firstLineChars="200"/>
        <w:rPr>
          <w:rFonts w:hint="eastAsia" w:ascii="仿宋_GB2312" w:hAnsi="宋体" w:eastAsia="仿宋_GB2312" w:cs="Times New Roman"/>
          <w:b/>
          <w:bCs/>
          <w:color w:val="auto"/>
          <w:szCs w:val="28"/>
          <w:lang w:val="en-US" w:eastAsia="zh-CN"/>
        </w:rPr>
      </w:pPr>
      <w:r>
        <w:rPr>
          <w:rFonts w:hint="eastAsia" w:ascii="仿宋_GB2312" w:hAnsi="宋体" w:eastAsia="仿宋_GB2312" w:cs="Times New Roman"/>
          <w:b/>
          <w:bCs/>
          <w:color w:val="auto"/>
          <w:szCs w:val="28"/>
          <w:lang w:val="en-US" w:eastAsia="zh-CN"/>
        </w:rPr>
        <w:t>选址</w:t>
      </w:r>
    </w:p>
    <w:p>
      <w:pPr>
        <w:ind w:firstLine="640"/>
        <w:rPr>
          <w:rFonts w:hint="eastAsia"/>
          <w:b w:val="0"/>
          <w:bCs w:val="0"/>
          <w:lang w:val="en-US" w:eastAsia="zh-CN"/>
        </w:rPr>
      </w:pPr>
      <w:r>
        <w:rPr>
          <w:rFonts w:hint="eastAsia"/>
          <w:b w:val="0"/>
          <w:bCs w:val="0"/>
          <w:lang w:val="en-US" w:eastAsia="zh-CN"/>
        </w:rPr>
        <w:t>应综合考虑水文水利、再生水回用、地形地貌、土地权属、土地利用现状及对地下水水质与土壤的影响等因素。应不受洪水、潮水或内涝的影响，且不影响行洪安全。宜选择自然坡度0％～3％的洼地或池塘，以及未利用土地。</w:t>
      </w:r>
    </w:p>
    <w:p>
      <w:pPr>
        <w:ind w:firstLine="640"/>
        <w:rPr>
          <w:rFonts w:hint="eastAsia" w:ascii="仿宋_GB2312" w:hAnsi="宋体" w:eastAsia="仿宋_GB2312" w:cs="Times New Roman"/>
          <w:b w:val="0"/>
          <w:bCs w:val="0"/>
          <w:color w:val="auto"/>
          <w:szCs w:val="28"/>
          <w:lang w:val="en-US" w:eastAsia="zh-CN"/>
        </w:rPr>
      </w:pPr>
      <w:r>
        <w:rPr>
          <w:rFonts w:hint="eastAsia"/>
          <w:b w:val="0"/>
          <w:bCs w:val="0"/>
          <w:lang w:val="en-US" w:eastAsia="zh-CN"/>
        </w:rPr>
        <w:t>选址的要求主要从以下方面进行考虑：避免占用耕地，充分利用荒地或绿地；合理处理好与周边环境的关系，避免臭气、蝇虫等影响居民生活。人工湿地的选址，还应考虑当地地质、气象、水文特征等因素，并进行工程地质、水文地质等方面勘察，避免人工湿地的裂损、淹没、倒灌、排水不畅等情况发生</w:t>
      </w:r>
      <w:r>
        <w:rPr>
          <w:rFonts w:hint="eastAsia" w:ascii="仿宋_GB2312" w:hAnsi="宋体" w:eastAsia="仿宋_GB2312" w:cs="Times New Roman"/>
          <w:b w:val="0"/>
          <w:bCs w:val="0"/>
          <w:color w:val="auto"/>
          <w:szCs w:val="28"/>
          <w:lang w:val="en-US" w:eastAsia="zh-CN"/>
        </w:rPr>
        <w:t>。</w:t>
      </w:r>
      <w:r>
        <w:rPr>
          <w:rFonts w:hint="eastAsia"/>
          <w:b w:val="0"/>
          <w:bCs w:val="0"/>
          <w:lang w:val="en-US" w:eastAsia="zh-CN"/>
        </w:rPr>
        <w:t>处理设施地点应便于施工、维护和管理等；选择地势稍低处，便于河水通过自流流入水处理设施，同时还要满足处理达标水能自流排出水处理设施。</w:t>
      </w:r>
    </w:p>
    <w:p>
      <w:pPr>
        <w:pStyle w:val="2"/>
        <w:numPr>
          <w:ilvl w:val="0"/>
          <w:numId w:val="3"/>
        </w:numPr>
        <w:ind w:left="0" w:leftChars="0" w:firstLine="643" w:firstLineChars="200"/>
        <w:rPr>
          <w:rFonts w:hint="eastAsia" w:ascii="仿宋_GB2312" w:hAnsi="宋体" w:eastAsia="仿宋_GB2312" w:cs="Times New Roman"/>
          <w:b/>
          <w:bCs/>
          <w:color w:val="auto"/>
          <w:szCs w:val="28"/>
          <w:lang w:val="en-US" w:eastAsia="zh-CN"/>
        </w:rPr>
      </w:pPr>
      <w:r>
        <w:rPr>
          <w:rFonts w:hint="eastAsia" w:ascii="仿宋_GB2312" w:hAnsi="宋体" w:eastAsia="仿宋_GB2312" w:cs="Times New Roman"/>
          <w:b/>
          <w:bCs/>
          <w:color w:val="auto"/>
          <w:szCs w:val="28"/>
          <w:lang w:val="en-US" w:eastAsia="zh-CN"/>
        </w:rPr>
        <w:t>设计水量和设计水质</w:t>
      </w:r>
    </w:p>
    <w:p>
      <w:pPr>
        <w:numPr>
          <w:ilvl w:val="0"/>
          <w:numId w:val="4"/>
        </w:numPr>
        <w:ind w:firstLine="640"/>
        <w:rPr>
          <w:rFonts w:hint="eastAsia"/>
          <w:b w:val="0"/>
          <w:bCs w:val="0"/>
          <w:lang w:val="en-US" w:eastAsia="zh-CN"/>
        </w:rPr>
      </w:pPr>
      <w:r>
        <w:rPr>
          <w:rFonts w:hint="eastAsia"/>
          <w:b w:val="0"/>
          <w:bCs w:val="0"/>
          <w:lang w:val="en-US" w:eastAsia="zh-CN"/>
        </w:rPr>
        <w:t>设计水量</w:t>
      </w:r>
    </w:p>
    <w:p>
      <w:pPr>
        <w:ind w:firstLine="640"/>
        <w:rPr>
          <w:rFonts w:hint="default"/>
          <w:b w:val="0"/>
          <w:bCs w:val="0"/>
          <w:lang w:val="en-US" w:eastAsia="zh-CN"/>
        </w:rPr>
      </w:pPr>
      <w:r>
        <w:rPr>
          <w:rFonts w:hint="eastAsia"/>
          <w:b w:val="0"/>
          <w:bCs w:val="0"/>
          <w:lang w:val="en-US" w:eastAsia="zh-CN"/>
        </w:rPr>
        <w:t>设计水量主要依据HJ 2005—2010《人工湿地污水处理工程技术规范》的表述进行界定：设计水量的确定应符合GB 50014中的有关规定。</w:t>
      </w:r>
    </w:p>
    <w:p>
      <w:pPr>
        <w:numPr>
          <w:ilvl w:val="0"/>
          <w:numId w:val="4"/>
        </w:numPr>
        <w:ind w:left="0" w:leftChars="0" w:firstLine="640" w:firstLineChars="200"/>
        <w:rPr>
          <w:rFonts w:hint="eastAsia"/>
          <w:b w:val="0"/>
          <w:bCs w:val="0"/>
          <w:lang w:val="en-US" w:eastAsia="zh-CN"/>
        </w:rPr>
      </w:pPr>
      <w:r>
        <w:rPr>
          <w:rFonts w:hint="eastAsia"/>
          <w:b w:val="0"/>
          <w:bCs w:val="0"/>
          <w:lang w:val="en-US" w:eastAsia="zh-CN"/>
        </w:rPr>
        <w:t>设计水质</w:t>
      </w:r>
    </w:p>
    <w:p>
      <w:pPr>
        <w:ind w:firstLine="640"/>
        <w:rPr>
          <w:rFonts w:ascii="Times New Roman" w:hAnsi="Times New Roman" w:cs="Times New Roman"/>
          <w:b w:val="0"/>
          <w:bCs w:val="0"/>
          <w:kern w:val="44"/>
        </w:rPr>
      </w:pPr>
      <w:r>
        <w:rPr>
          <w:rFonts w:hint="eastAsia"/>
          <w:b w:val="0"/>
          <w:bCs w:val="0"/>
          <w:lang w:val="en-US" w:eastAsia="zh-CN"/>
        </w:rPr>
        <w:t>主要结合金属矿山低浓度尾水特点，</w:t>
      </w:r>
      <w:r>
        <w:rPr>
          <w:rFonts w:ascii="Times New Roman" w:hAnsi="Times New Roman" w:cs="Times New Roman"/>
          <w:b w:val="0"/>
          <w:bCs w:val="0"/>
          <w:kern w:val="44"/>
        </w:rPr>
        <w:t>废水中的重金属主要有汞、铬、镉、锌、镍、铜、钴、锰、钛、钒和铋等</w:t>
      </w:r>
      <w:r>
        <w:rPr>
          <w:rFonts w:hint="eastAsia" w:cs="Times New Roman"/>
          <w:b w:val="0"/>
          <w:bCs w:val="0"/>
          <w:kern w:val="44"/>
          <w:lang w:eastAsia="zh-CN"/>
        </w:rPr>
        <w:t>，</w:t>
      </w:r>
      <w:r>
        <w:rPr>
          <w:rFonts w:hint="eastAsia" w:cs="Times New Roman"/>
          <w:b w:val="0"/>
          <w:bCs w:val="0"/>
          <w:kern w:val="44"/>
          <w:lang w:val="en-US" w:eastAsia="zh-CN"/>
        </w:rPr>
        <w:t>以</w:t>
      </w:r>
      <w:r>
        <w:rPr>
          <w:rFonts w:ascii="Times New Roman" w:hAnsi="Times New Roman" w:cs="Times New Roman"/>
          <w:b w:val="0"/>
          <w:bCs w:val="0"/>
          <w:kern w:val="44"/>
        </w:rPr>
        <w:t>思的河</w:t>
      </w:r>
      <w:r>
        <w:rPr>
          <w:rFonts w:hint="eastAsia" w:cs="Times New Roman"/>
          <w:b w:val="0"/>
          <w:bCs w:val="0"/>
          <w:kern w:val="44"/>
          <w:lang w:val="en-US" w:eastAsia="zh-CN"/>
        </w:rPr>
        <w:t>为例，思的河</w:t>
      </w:r>
      <w:r>
        <w:rPr>
          <w:rFonts w:ascii="Times New Roman" w:hAnsi="Times New Roman" w:cs="Times New Roman"/>
          <w:b w:val="0"/>
          <w:bCs w:val="0"/>
          <w:kern w:val="44"/>
        </w:rPr>
        <w:t>属于漓江的二级支流，主要污染源为上游的阳朔县铅锌矿。根据2014-2015年桂林理工大学</w:t>
      </w:r>
      <w:r>
        <w:rPr>
          <w:rFonts w:hint="eastAsia" w:ascii="Times New Roman" w:hAnsi="Times New Roman" w:cs="Times New Roman"/>
          <w:b w:val="0"/>
          <w:bCs w:val="0"/>
          <w:kern w:val="44"/>
        </w:rPr>
        <w:t>取</w:t>
      </w:r>
      <w:r>
        <w:rPr>
          <w:rFonts w:ascii="Times New Roman" w:hAnsi="Times New Roman" w:cs="Times New Roman"/>
          <w:b w:val="0"/>
          <w:bCs w:val="0"/>
          <w:kern w:val="44"/>
        </w:rPr>
        <w:t>附近的河水进行调查（表3-1</w:t>
      </w:r>
      <w:r>
        <w:rPr>
          <w:rFonts w:hint="eastAsia" w:ascii="Times New Roman" w:hAnsi="Times New Roman" w:cs="Times New Roman"/>
          <w:b w:val="0"/>
          <w:bCs w:val="0"/>
          <w:kern w:val="44"/>
        </w:rPr>
        <w:t>、3-2</w:t>
      </w:r>
      <w:r>
        <w:rPr>
          <w:rFonts w:ascii="Times New Roman" w:hAnsi="Times New Roman" w:cs="Times New Roman"/>
          <w:b w:val="0"/>
          <w:bCs w:val="0"/>
          <w:kern w:val="44"/>
        </w:rPr>
        <w:t>），结果表明</w:t>
      </w:r>
      <w:r>
        <w:rPr>
          <w:rFonts w:hint="eastAsia" w:ascii="Times New Roman" w:hAnsi="Times New Roman" w:cs="Times New Roman"/>
          <w:b w:val="0"/>
          <w:bCs w:val="0"/>
          <w:kern w:val="44"/>
        </w:rPr>
        <w:t>，</w:t>
      </w:r>
      <w:r>
        <w:rPr>
          <w:rFonts w:ascii="Times New Roman" w:hAnsi="Times New Roman" w:cs="Times New Roman"/>
          <w:b w:val="0"/>
          <w:bCs w:val="0"/>
          <w:kern w:val="44"/>
        </w:rPr>
        <w:t>溪沟水中Pb浓度为0.27-14.4 µg·L-1，Cd浓度为0.01-15.1 µg·L-1，Cr6+浓度为0.11-10.9 µg·L-1，Zn浓度为46-2325 µg·L-1。各样点Pb和Cr6+含量均达到国家《地表水环境质量标准》（GB3838-2002）Ⅲ类标准和《农田灌溉水水质标准》（GB5084-2005）水作标准，没有出现超标样品。部分样点Cd和Zn含量超过《农田灌溉水质标准》（GB5084-2005）水作标准，存在安全隐患。14%的河水Cd、Zn</w:t>
      </w:r>
      <w:r>
        <w:rPr>
          <w:rFonts w:hint="eastAsia" w:ascii="Times New Roman" w:hAnsi="Times New Roman" w:cs="Times New Roman"/>
          <w:b w:val="0"/>
          <w:bCs w:val="0"/>
          <w:kern w:val="44"/>
        </w:rPr>
        <w:t>监测数据</w:t>
      </w:r>
      <w:r>
        <w:rPr>
          <w:rFonts w:ascii="Times New Roman" w:hAnsi="Times New Roman" w:cs="Times New Roman"/>
          <w:b w:val="0"/>
          <w:bCs w:val="0"/>
          <w:kern w:val="44"/>
        </w:rPr>
        <w:t>超标</w:t>
      </w:r>
      <w:r>
        <w:rPr>
          <w:rFonts w:hint="eastAsia" w:ascii="Times New Roman" w:hAnsi="Times New Roman" w:cs="Times New Roman"/>
          <w:b w:val="0"/>
          <w:bCs w:val="0"/>
          <w:kern w:val="44"/>
        </w:rPr>
        <w:t>，</w:t>
      </w:r>
      <w:r>
        <w:rPr>
          <w:rFonts w:ascii="Times New Roman" w:hAnsi="Times New Roman" w:cs="Times New Roman"/>
          <w:b w:val="0"/>
          <w:bCs w:val="0"/>
          <w:kern w:val="44"/>
        </w:rPr>
        <w:t>表明思的河河水中过量的重金属对当地居民产生一定程度的健康风险。</w:t>
      </w:r>
      <w:r>
        <w:rPr>
          <w:rFonts w:hint="eastAsia" w:ascii="Times New Roman" w:hAnsi="Times New Roman" w:cs="Times New Roman"/>
          <w:b w:val="0"/>
          <w:bCs w:val="0"/>
          <w:kern w:val="44"/>
        </w:rPr>
        <w:t>底泥中的总Cr、</w:t>
      </w:r>
      <w:r>
        <w:rPr>
          <w:rFonts w:ascii="Times New Roman" w:hAnsi="Times New Roman" w:cs="Times New Roman"/>
          <w:b w:val="0"/>
          <w:bCs w:val="0"/>
          <w:kern w:val="44"/>
        </w:rPr>
        <w:t>Pb平均</w:t>
      </w:r>
      <w:r>
        <w:rPr>
          <w:rFonts w:hint="eastAsia" w:ascii="Times New Roman" w:hAnsi="Times New Roman" w:cs="Times New Roman"/>
          <w:b w:val="0"/>
          <w:bCs w:val="0"/>
          <w:kern w:val="44"/>
        </w:rPr>
        <w:t>含量</w:t>
      </w:r>
      <w:r>
        <w:rPr>
          <w:rFonts w:ascii="Times New Roman" w:hAnsi="Times New Roman" w:cs="Times New Roman"/>
          <w:b w:val="0"/>
          <w:bCs w:val="0"/>
          <w:kern w:val="44"/>
        </w:rPr>
        <w:t>分别为</w:t>
      </w:r>
      <w:r>
        <w:rPr>
          <w:rFonts w:hint="eastAsia" w:ascii="Times New Roman" w:hAnsi="Times New Roman" w:cs="Times New Roman"/>
          <w:b w:val="0"/>
          <w:bCs w:val="0"/>
          <w:kern w:val="44"/>
        </w:rPr>
        <w:t>30.5 mg/kg、235 mg/kg，在《土壤环境质量标准》（GB15618-1995）二级标准内。部分点底泥中的</w:t>
      </w:r>
      <w:r>
        <w:rPr>
          <w:rFonts w:ascii="Times New Roman" w:hAnsi="Times New Roman" w:cs="Times New Roman"/>
          <w:b w:val="0"/>
          <w:bCs w:val="0"/>
          <w:kern w:val="44"/>
        </w:rPr>
        <w:t>Cd和Zn含量超过</w:t>
      </w:r>
      <w:r>
        <w:rPr>
          <w:rFonts w:hint="eastAsia" w:ascii="Times New Roman" w:hAnsi="Times New Roman" w:cs="Times New Roman"/>
          <w:b w:val="0"/>
          <w:bCs w:val="0"/>
          <w:kern w:val="44"/>
        </w:rPr>
        <w:t>《土壤环境质量标准》（GB15618-1995）二级标准。</w:t>
      </w:r>
    </w:p>
    <w:p>
      <w:pPr>
        <w:pStyle w:val="23"/>
        <w:spacing w:before="156" w:beforeLines="50" w:line="360" w:lineRule="auto"/>
        <w:rPr>
          <w:rFonts w:eastAsia="宋体"/>
          <w:b w:val="0"/>
          <w:bCs w:val="0"/>
          <w:kern w:val="2"/>
          <w:sz w:val="21"/>
          <w:szCs w:val="21"/>
        </w:rPr>
      </w:pPr>
      <w:bookmarkStart w:id="3" w:name="_Ref368434654"/>
      <w:bookmarkStart w:id="4" w:name="_Toc368958009"/>
      <w:r>
        <w:rPr>
          <w:rFonts w:eastAsia="宋体"/>
          <w:b w:val="0"/>
          <w:bCs w:val="0"/>
          <w:kern w:val="2"/>
          <w:sz w:val="21"/>
          <w:szCs w:val="21"/>
        </w:rPr>
        <w:t>表</w:t>
      </w:r>
      <w:bookmarkEnd w:id="3"/>
      <w:r>
        <w:rPr>
          <w:rFonts w:eastAsia="宋体"/>
          <w:b w:val="0"/>
          <w:bCs w:val="0"/>
          <w:kern w:val="2"/>
          <w:sz w:val="21"/>
          <w:szCs w:val="21"/>
        </w:rPr>
        <w:t>1 思的河水重金属含量</w:t>
      </w:r>
      <w:bookmarkEnd w:id="4"/>
    </w:p>
    <w:tbl>
      <w:tblPr>
        <w:tblStyle w:val="8"/>
        <w:tblW w:w="4736" w:type="pct"/>
        <w:jc w:val="center"/>
        <w:tblLayout w:type="autofit"/>
        <w:tblCellMar>
          <w:top w:w="0" w:type="dxa"/>
          <w:left w:w="108" w:type="dxa"/>
          <w:bottom w:w="0" w:type="dxa"/>
          <w:right w:w="108" w:type="dxa"/>
        </w:tblCellMar>
      </w:tblPr>
      <w:tblGrid>
        <w:gridCol w:w="1136"/>
        <w:gridCol w:w="1672"/>
        <w:gridCol w:w="1116"/>
        <w:gridCol w:w="1563"/>
        <w:gridCol w:w="932"/>
        <w:gridCol w:w="2244"/>
      </w:tblGrid>
      <w:tr>
        <w:tblPrEx>
          <w:tblCellMar>
            <w:top w:w="0" w:type="dxa"/>
            <w:left w:w="108" w:type="dxa"/>
            <w:bottom w:w="0" w:type="dxa"/>
            <w:right w:w="108" w:type="dxa"/>
          </w:tblCellMar>
        </w:tblPrEx>
        <w:trPr>
          <w:jc w:val="center"/>
        </w:trPr>
        <w:tc>
          <w:tcPr>
            <w:tcW w:w="656" w:type="pct"/>
            <w:vMerge w:val="restar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eastAsia="黑体"/>
                <w:b w:val="0"/>
                <w:bCs w:val="0"/>
                <w:kern w:val="0"/>
                <w:sz w:val="24"/>
                <w:szCs w:val="18"/>
              </w:rPr>
            </w:pPr>
            <w:r>
              <w:rPr>
                <w:rFonts w:hint="default"/>
                <w:b w:val="0"/>
                <w:bCs w:val="0"/>
                <w:sz w:val="24"/>
                <w:szCs w:val="18"/>
              </w:rPr>
              <w:t>重金属</w:t>
            </w:r>
          </w:p>
        </w:tc>
        <w:tc>
          <w:tcPr>
            <w:tcW w:w="2511" w:type="pct"/>
            <w:gridSpan w:val="3"/>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含量(</w:t>
            </w:r>
            <w:r>
              <w:rPr>
                <w:rFonts w:hint="default"/>
                <w:b w:val="0"/>
                <w:bCs w:val="0"/>
                <w:sz w:val="24"/>
                <w:szCs w:val="18"/>
              </w:rPr>
              <w:t>μg·L</w:t>
            </w:r>
            <w:r>
              <w:rPr>
                <w:rFonts w:hint="default"/>
                <w:b w:val="0"/>
                <w:bCs w:val="0"/>
                <w:sz w:val="24"/>
                <w:szCs w:val="18"/>
                <w:vertAlign w:val="superscript"/>
              </w:rPr>
              <w:t>-1</w:t>
            </w:r>
            <w:r>
              <w:rPr>
                <w:rFonts w:hint="default"/>
                <w:b w:val="0"/>
                <w:bCs w:val="0"/>
                <w:sz w:val="24"/>
                <w:szCs w:val="18"/>
              </w:rPr>
              <w:t>）</w:t>
            </w:r>
            <w:r>
              <w:rPr>
                <w:rFonts w:hint="default"/>
                <w:b w:val="0"/>
                <w:bCs w:val="0"/>
                <w:kern w:val="0"/>
                <w:sz w:val="24"/>
                <w:szCs w:val="18"/>
              </w:rPr>
              <w:t>(n=9)</w:t>
            </w:r>
          </w:p>
        </w:tc>
        <w:tc>
          <w:tcPr>
            <w:tcW w:w="538" w:type="pct"/>
            <w:vMerge w:val="restart"/>
            <w:tcBorders>
              <w:top w:val="single" w:color="auto" w:sz="4" w:space="0"/>
              <w:bottom w:val="single" w:color="auto" w:sz="4" w:space="0"/>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12" w:lineRule="exact"/>
              <w:ind w:left="-118" w:leftChars="-37" w:right="-90" w:rightChars="-28" w:firstLine="0" w:firstLineChars="0"/>
              <w:jc w:val="center"/>
              <w:textAlignment w:val="auto"/>
              <w:rPr>
                <w:rFonts w:hint="default"/>
                <w:b w:val="0"/>
                <w:bCs w:val="0"/>
                <w:kern w:val="0"/>
                <w:sz w:val="24"/>
                <w:szCs w:val="18"/>
              </w:rPr>
            </w:pPr>
            <w:r>
              <w:rPr>
                <w:rFonts w:hint="default"/>
                <w:b w:val="0"/>
                <w:bCs w:val="0"/>
                <w:kern w:val="0"/>
                <w:sz w:val="24"/>
                <w:szCs w:val="18"/>
              </w:rPr>
              <w:t>超标率（%）</w:t>
            </w:r>
          </w:p>
        </w:tc>
        <w:tc>
          <w:tcPr>
            <w:tcW w:w="1296" w:type="pct"/>
            <w:vMerge w:val="restart"/>
            <w:tcBorders>
              <w:top w:val="single" w:color="auto" w:sz="4" w:space="0"/>
              <w:bottom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napToGrid w:val="0"/>
                <w:kern w:val="0"/>
                <w:sz w:val="24"/>
                <w:szCs w:val="18"/>
              </w:rPr>
            </w:pPr>
            <w:r>
              <w:rPr>
                <w:rFonts w:hint="default"/>
                <w:b w:val="0"/>
                <w:bCs w:val="0"/>
                <w:snapToGrid w:val="0"/>
                <w:kern w:val="0"/>
                <w:sz w:val="24"/>
                <w:szCs w:val="18"/>
              </w:rPr>
              <w:t>农田灌溉水质 标准（水作）</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w:t>
            </w:r>
            <w:r>
              <w:rPr>
                <w:rFonts w:hint="default"/>
                <w:b w:val="0"/>
                <w:bCs w:val="0"/>
                <w:sz w:val="24"/>
                <w:szCs w:val="18"/>
              </w:rPr>
              <w:t>μg·L</w:t>
            </w:r>
            <w:r>
              <w:rPr>
                <w:rFonts w:hint="default"/>
                <w:b w:val="0"/>
                <w:bCs w:val="0"/>
                <w:sz w:val="24"/>
                <w:szCs w:val="18"/>
                <w:vertAlign w:val="superscript"/>
              </w:rPr>
              <w:t>-1</w:t>
            </w:r>
            <w:r>
              <w:rPr>
                <w:rFonts w:hint="default"/>
                <w:b w:val="0"/>
                <w:bCs w:val="0"/>
                <w:sz w:val="24"/>
                <w:szCs w:val="18"/>
              </w:rPr>
              <w:t>）</w:t>
            </w:r>
          </w:p>
        </w:tc>
      </w:tr>
      <w:tr>
        <w:tblPrEx>
          <w:tblCellMar>
            <w:top w:w="0" w:type="dxa"/>
            <w:left w:w="108" w:type="dxa"/>
            <w:bottom w:w="0" w:type="dxa"/>
            <w:right w:w="108" w:type="dxa"/>
          </w:tblCellMar>
        </w:tblPrEx>
        <w:trPr>
          <w:jc w:val="center"/>
        </w:trPr>
        <w:tc>
          <w:tcPr>
            <w:tcW w:w="656" w:type="pct"/>
            <w:vMerge w:val="continue"/>
            <w:tcBorders>
              <w:top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eastAsia="黑体"/>
                <w:b w:val="0"/>
                <w:bCs w:val="0"/>
                <w:kern w:val="0"/>
                <w:sz w:val="24"/>
                <w:szCs w:val="18"/>
              </w:rPr>
            </w:pPr>
          </w:p>
        </w:tc>
        <w:tc>
          <w:tcPr>
            <w:tcW w:w="965"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67" w:leftChars="-21" w:right="-86" w:rightChars="-27" w:firstLine="0" w:firstLineChars="0"/>
              <w:jc w:val="center"/>
              <w:textAlignment w:val="auto"/>
              <w:rPr>
                <w:rFonts w:hint="default"/>
                <w:b w:val="0"/>
                <w:bCs w:val="0"/>
                <w:kern w:val="0"/>
                <w:sz w:val="24"/>
                <w:szCs w:val="18"/>
              </w:rPr>
            </w:pPr>
            <w:r>
              <w:rPr>
                <w:rFonts w:hint="default"/>
                <w:b w:val="0"/>
                <w:bCs w:val="0"/>
                <w:kern w:val="0"/>
                <w:sz w:val="24"/>
                <w:szCs w:val="18"/>
              </w:rPr>
              <w:t>范围</w:t>
            </w:r>
          </w:p>
        </w:tc>
        <w:tc>
          <w:tcPr>
            <w:tcW w:w="644"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141" w:leftChars="-44" w:right="-83" w:rightChars="-26" w:firstLine="0" w:firstLineChars="0"/>
              <w:jc w:val="center"/>
              <w:textAlignment w:val="auto"/>
              <w:rPr>
                <w:rFonts w:hint="default"/>
                <w:b w:val="0"/>
                <w:bCs w:val="0"/>
                <w:kern w:val="0"/>
                <w:sz w:val="24"/>
                <w:szCs w:val="18"/>
              </w:rPr>
            </w:pPr>
            <w:r>
              <w:rPr>
                <w:rFonts w:hint="default"/>
                <w:b w:val="0"/>
                <w:bCs w:val="0"/>
                <w:kern w:val="0"/>
                <w:sz w:val="24"/>
                <w:szCs w:val="18"/>
              </w:rPr>
              <w:t>中值</w:t>
            </w:r>
          </w:p>
        </w:tc>
        <w:tc>
          <w:tcPr>
            <w:tcW w:w="902"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144" w:leftChars="-45" w:right="-163" w:rightChars="-51" w:firstLine="0" w:firstLineChars="0"/>
              <w:jc w:val="center"/>
              <w:textAlignment w:val="auto"/>
              <w:rPr>
                <w:rFonts w:hint="default"/>
                <w:b w:val="0"/>
                <w:bCs w:val="0"/>
                <w:kern w:val="0"/>
                <w:sz w:val="24"/>
                <w:szCs w:val="18"/>
              </w:rPr>
            </w:pPr>
            <w:r>
              <w:rPr>
                <w:rFonts w:hint="default"/>
                <w:b w:val="0"/>
                <w:bCs w:val="0"/>
                <w:kern w:val="0"/>
                <w:sz w:val="24"/>
                <w:szCs w:val="18"/>
              </w:rPr>
              <w:t>算术均值</w:t>
            </w:r>
          </w:p>
        </w:tc>
        <w:tc>
          <w:tcPr>
            <w:tcW w:w="538" w:type="pct"/>
            <w:vMerge w:val="continue"/>
            <w:tcBorders>
              <w:top w:val="single" w:color="auto" w:sz="4" w:space="0"/>
              <w:bottom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p>
        </w:tc>
        <w:tc>
          <w:tcPr>
            <w:tcW w:w="1296" w:type="pct"/>
            <w:vMerge w:val="continue"/>
            <w:tcBorders>
              <w:top w:val="single" w:color="auto" w:sz="4" w:space="0"/>
              <w:bottom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p>
        </w:tc>
      </w:tr>
      <w:tr>
        <w:tblPrEx>
          <w:tblCellMar>
            <w:top w:w="0" w:type="dxa"/>
            <w:left w:w="108" w:type="dxa"/>
            <w:bottom w:w="0" w:type="dxa"/>
            <w:right w:w="108" w:type="dxa"/>
          </w:tblCellMar>
        </w:tblPrEx>
        <w:trPr>
          <w:jc w:val="center"/>
        </w:trPr>
        <w:tc>
          <w:tcPr>
            <w:tcW w:w="656" w:type="pct"/>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Cr</w:t>
            </w:r>
            <w:r>
              <w:rPr>
                <w:rFonts w:hint="default"/>
                <w:b w:val="0"/>
                <w:bCs w:val="0"/>
                <w:kern w:val="0"/>
                <w:sz w:val="24"/>
                <w:szCs w:val="18"/>
                <w:vertAlign w:val="superscript"/>
              </w:rPr>
              <w:t>6+</w:t>
            </w:r>
          </w:p>
        </w:tc>
        <w:tc>
          <w:tcPr>
            <w:tcW w:w="965" w:type="pct"/>
            <w:tcBorders>
              <w:top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67" w:leftChars="-21" w:right="-86" w:rightChars="-27" w:firstLine="0" w:firstLineChars="0"/>
              <w:jc w:val="center"/>
              <w:textAlignment w:val="auto"/>
              <w:rPr>
                <w:rFonts w:hint="default"/>
                <w:b w:val="0"/>
                <w:bCs w:val="0"/>
                <w:kern w:val="0"/>
                <w:sz w:val="24"/>
                <w:szCs w:val="18"/>
              </w:rPr>
            </w:pPr>
            <w:r>
              <w:rPr>
                <w:rFonts w:hint="default"/>
                <w:b w:val="0"/>
                <w:bCs w:val="0"/>
                <w:sz w:val="24"/>
                <w:szCs w:val="18"/>
              </w:rPr>
              <w:t>0.11-10.9</w:t>
            </w:r>
          </w:p>
        </w:tc>
        <w:tc>
          <w:tcPr>
            <w:tcW w:w="644" w:type="pct"/>
            <w:tcBorders>
              <w:top w:val="single" w:color="auto" w:sz="4" w:space="0"/>
            </w:tcBorders>
            <w:noWrap/>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z w:val="24"/>
                <w:szCs w:val="18"/>
              </w:rPr>
            </w:pPr>
            <w:r>
              <w:rPr>
                <w:rFonts w:hint="default"/>
                <w:b w:val="0"/>
                <w:bCs w:val="0"/>
                <w:sz w:val="24"/>
                <w:szCs w:val="18"/>
              </w:rPr>
              <w:t>1.75</w:t>
            </w:r>
          </w:p>
        </w:tc>
        <w:tc>
          <w:tcPr>
            <w:tcW w:w="902" w:type="pct"/>
            <w:tcBorders>
              <w:top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144" w:leftChars="-45" w:right="-163" w:rightChars="-51" w:firstLine="0" w:firstLineChars="0"/>
              <w:jc w:val="center"/>
              <w:textAlignment w:val="auto"/>
              <w:rPr>
                <w:rFonts w:hint="default"/>
                <w:b w:val="0"/>
                <w:bCs w:val="0"/>
                <w:kern w:val="0"/>
                <w:sz w:val="24"/>
                <w:szCs w:val="18"/>
              </w:rPr>
            </w:pPr>
            <w:r>
              <w:rPr>
                <w:rFonts w:hint="default"/>
                <w:b w:val="0"/>
                <w:bCs w:val="0"/>
                <w:kern w:val="0"/>
                <w:sz w:val="24"/>
                <w:szCs w:val="18"/>
              </w:rPr>
              <w:t>2.43</w:t>
            </w:r>
          </w:p>
        </w:tc>
        <w:tc>
          <w:tcPr>
            <w:tcW w:w="538" w:type="pct"/>
            <w:tcBorders>
              <w:top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0</w:t>
            </w:r>
          </w:p>
        </w:tc>
        <w:tc>
          <w:tcPr>
            <w:tcW w:w="1296" w:type="pct"/>
            <w:tcBorders>
              <w:top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100</w:t>
            </w:r>
          </w:p>
        </w:tc>
      </w:tr>
      <w:tr>
        <w:tblPrEx>
          <w:tblCellMar>
            <w:top w:w="0" w:type="dxa"/>
            <w:left w:w="108" w:type="dxa"/>
            <w:bottom w:w="0" w:type="dxa"/>
            <w:right w:w="108" w:type="dxa"/>
          </w:tblCellMar>
        </w:tblPrEx>
        <w:trPr>
          <w:jc w:val="center"/>
        </w:trPr>
        <w:tc>
          <w:tcPr>
            <w:tcW w:w="656" w:type="pct"/>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Pb</w:t>
            </w:r>
          </w:p>
        </w:tc>
        <w:tc>
          <w:tcPr>
            <w:tcW w:w="965" w:type="pct"/>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67" w:leftChars="-21" w:right="-86" w:rightChars="-27" w:firstLine="0" w:firstLineChars="0"/>
              <w:jc w:val="center"/>
              <w:textAlignment w:val="auto"/>
              <w:rPr>
                <w:rFonts w:hint="default"/>
                <w:b w:val="0"/>
                <w:bCs w:val="0"/>
                <w:kern w:val="0"/>
                <w:sz w:val="24"/>
                <w:szCs w:val="18"/>
              </w:rPr>
            </w:pPr>
            <w:r>
              <w:rPr>
                <w:rFonts w:hint="default"/>
                <w:b w:val="0"/>
                <w:bCs w:val="0"/>
                <w:sz w:val="24"/>
                <w:szCs w:val="18"/>
              </w:rPr>
              <w:t>0.27-14.4</w:t>
            </w:r>
          </w:p>
        </w:tc>
        <w:tc>
          <w:tcPr>
            <w:tcW w:w="644" w:type="pct"/>
            <w:noWrap/>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z w:val="24"/>
                <w:szCs w:val="18"/>
              </w:rPr>
            </w:pPr>
            <w:r>
              <w:rPr>
                <w:rFonts w:hint="default"/>
                <w:b w:val="0"/>
                <w:bCs w:val="0"/>
                <w:sz w:val="24"/>
                <w:szCs w:val="18"/>
              </w:rPr>
              <w:t>3.32</w:t>
            </w:r>
          </w:p>
        </w:tc>
        <w:tc>
          <w:tcPr>
            <w:tcW w:w="902" w:type="pct"/>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144" w:leftChars="-45" w:right="-163" w:rightChars="-51" w:firstLine="0" w:firstLineChars="0"/>
              <w:jc w:val="center"/>
              <w:textAlignment w:val="auto"/>
              <w:rPr>
                <w:rFonts w:hint="default"/>
                <w:b w:val="0"/>
                <w:bCs w:val="0"/>
                <w:kern w:val="0"/>
                <w:sz w:val="24"/>
                <w:szCs w:val="18"/>
              </w:rPr>
            </w:pPr>
            <w:r>
              <w:rPr>
                <w:rFonts w:hint="default"/>
                <w:b w:val="0"/>
                <w:bCs w:val="0"/>
                <w:kern w:val="0"/>
                <w:sz w:val="24"/>
                <w:szCs w:val="18"/>
              </w:rPr>
              <w:t>5.28</w:t>
            </w:r>
          </w:p>
        </w:tc>
        <w:tc>
          <w:tcPr>
            <w:tcW w:w="538" w:type="pct"/>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0</w:t>
            </w:r>
          </w:p>
        </w:tc>
        <w:tc>
          <w:tcPr>
            <w:tcW w:w="1296" w:type="pct"/>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200</w:t>
            </w:r>
          </w:p>
        </w:tc>
      </w:tr>
      <w:tr>
        <w:tblPrEx>
          <w:tblCellMar>
            <w:top w:w="0" w:type="dxa"/>
            <w:left w:w="108" w:type="dxa"/>
            <w:bottom w:w="0" w:type="dxa"/>
            <w:right w:w="108" w:type="dxa"/>
          </w:tblCellMar>
        </w:tblPrEx>
        <w:trPr>
          <w:jc w:val="center"/>
        </w:trPr>
        <w:tc>
          <w:tcPr>
            <w:tcW w:w="656" w:type="pct"/>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Cd</w:t>
            </w:r>
          </w:p>
        </w:tc>
        <w:tc>
          <w:tcPr>
            <w:tcW w:w="965" w:type="pct"/>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67" w:leftChars="-21" w:right="-86" w:rightChars="-27" w:firstLine="0" w:firstLineChars="0"/>
              <w:jc w:val="center"/>
              <w:textAlignment w:val="auto"/>
              <w:rPr>
                <w:rFonts w:hint="default"/>
                <w:b w:val="0"/>
                <w:bCs w:val="0"/>
                <w:kern w:val="0"/>
                <w:sz w:val="24"/>
                <w:szCs w:val="18"/>
              </w:rPr>
            </w:pPr>
            <w:r>
              <w:rPr>
                <w:rFonts w:hint="default"/>
                <w:b w:val="0"/>
                <w:bCs w:val="0"/>
                <w:sz w:val="24"/>
                <w:szCs w:val="18"/>
              </w:rPr>
              <w:t>0.01-15.1</w:t>
            </w:r>
          </w:p>
        </w:tc>
        <w:tc>
          <w:tcPr>
            <w:tcW w:w="644" w:type="pct"/>
            <w:noWrap/>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z w:val="24"/>
                <w:szCs w:val="18"/>
              </w:rPr>
            </w:pPr>
            <w:r>
              <w:rPr>
                <w:rFonts w:hint="default"/>
                <w:b w:val="0"/>
                <w:bCs w:val="0"/>
                <w:sz w:val="24"/>
                <w:szCs w:val="18"/>
              </w:rPr>
              <w:t>1.58</w:t>
            </w:r>
          </w:p>
        </w:tc>
        <w:tc>
          <w:tcPr>
            <w:tcW w:w="902" w:type="pct"/>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144" w:leftChars="-45" w:right="-163" w:rightChars="-51" w:firstLine="0" w:firstLineChars="0"/>
              <w:jc w:val="center"/>
              <w:textAlignment w:val="auto"/>
              <w:rPr>
                <w:rFonts w:hint="default"/>
                <w:b w:val="0"/>
                <w:bCs w:val="0"/>
                <w:kern w:val="0"/>
                <w:sz w:val="24"/>
                <w:szCs w:val="18"/>
              </w:rPr>
            </w:pPr>
            <w:r>
              <w:rPr>
                <w:rFonts w:hint="default"/>
                <w:b w:val="0"/>
                <w:bCs w:val="0"/>
                <w:kern w:val="0"/>
                <w:sz w:val="24"/>
                <w:szCs w:val="18"/>
              </w:rPr>
              <w:t>2.54</w:t>
            </w:r>
          </w:p>
        </w:tc>
        <w:tc>
          <w:tcPr>
            <w:tcW w:w="538" w:type="pct"/>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14.1</w:t>
            </w:r>
          </w:p>
        </w:tc>
        <w:tc>
          <w:tcPr>
            <w:tcW w:w="1296" w:type="pct"/>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10</w:t>
            </w:r>
          </w:p>
        </w:tc>
      </w:tr>
      <w:tr>
        <w:tblPrEx>
          <w:tblCellMar>
            <w:top w:w="0" w:type="dxa"/>
            <w:left w:w="108" w:type="dxa"/>
            <w:bottom w:w="0" w:type="dxa"/>
            <w:right w:w="108" w:type="dxa"/>
          </w:tblCellMar>
        </w:tblPrEx>
        <w:trPr>
          <w:jc w:val="center"/>
        </w:trPr>
        <w:tc>
          <w:tcPr>
            <w:tcW w:w="656" w:type="pct"/>
            <w:tcBorders>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Zn</w:t>
            </w:r>
          </w:p>
        </w:tc>
        <w:tc>
          <w:tcPr>
            <w:tcW w:w="965" w:type="pct"/>
            <w:tcBorders>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sz w:val="24"/>
                <w:szCs w:val="18"/>
              </w:rPr>
              <w:t>46-2325</w:t>
            </w:r>
          </w:p>
        </w:tc>
        <w:tc>
          <w:tcPr>
            <w:tcW w:w="644" w:type="pct"/>
            <w:tcBorders>
              <w:bottom w:val="single" w:color="auto" w:sz="4" w:space="0"/>
            </w:tcBorders>
            <w:noWrap/>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z w:val="24"/>
                <w:szCs w:val="18"/>
              </w:rPr>
            </w:pPr>
            <w:r>
              <w:rPr>
                <w:rFonts w:hint="default"/>
                <w:b w:val="0"/>
                <w:bCs w:val="0"/>
                <w:sz w:val="24"/>
                <w:szCs w:val="18"/>
              </w:rPr>
              <w:t>325</w:t>
            </w:r>
          </w:p>
        </w:tc>
        <w:tc>
          <w:tcPr>
            <w:tcW w:w="902" w:type="pct"/>
            <w:tcBorders>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144" w:leftChars="-45" w:right="-163" w:rightChars="-51" w:firstLine="0" w:firstLineChars="0"/>
              <w:jc w:val="center"/>
              <w:textAlignment w:val="auto"/>
              <w:rPr>
                <w:rFonts w:hint="default"/>
                <w:b w:val="0"/>
                <w:bCs w:val="0"/>
                <w:kern w:val="0"/>
                <w:sz w:val="24"/>
                <w:szCs w:val="18"/>
              </w:rPr>
            </w:pPr>
            <w:r>
              <w:rPr>
                <w:rFonts w:hint="default"/>
                <w:b w:val="0"/>
                <w:bCs w:val="0"/>
                <w:kern w:val="0"/>
                <w:sz w:val="24"/>
                <w:szCs w:val="18"/>
              </w:rPr>
              <w:t>544</w:t>
            </w:r>
          </w:p>
        </w:tc>
        <w:tc>
          <w:tcPr>
            <w:tcW w:w="538" w:type="pct"/>
            <w:tcBorders>
              <w:bottom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14.1</w:t>
            </w:r>
          </w:p>
        </w:tc>
        <w:tc>
          <w:tcPr>
            <w:tcW w:w="1296" w:type="pct"/>
            <w:tcBorders>
              <w:bottom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kern w:val="0"/>
                <w:sz w:val="24"/>
                <w:szCs w:val="18"/>
              </w:rPr>
            </w:pPr>
            <w:r>
              <w:rPr>
                <w:rFonts w:hint="default"/>
                <w:b w:val="0"/>
                <w:bCs w:val="0"/>
                <w:kern w:val="0"/>
                <w:sz w:val="24"/>
                <w:szCs w:val="18"/>
              </w:rPr>
              <w:t>2000</w:t>
            </w:r>
          </w:p>
        </w:tc>
      </w:tr>
    </w:tbl>
    <w:p>
      <w:pPr>
        <w:ind w:firstLine="640" w:firstLineChars="200"/>
        <w:rPr>
          <w:rFonts w:hint="eastAsia"/>
          <w:b w:val="0"/>
          <w:bCs w:val="0"/>
          <w:szCs w:val="21"/>
        </w:rPr>
      </w:pPr>
      <w:r>
        <w:rPr>
          <w:b w:val="0"/>
          <w:bCs w:val="0"/>
          <w:szCs w:val="21"/>
        </w:rPr>
        <w:t>注：低于检出限的数据按检出限的50%给出。</w:t>
      </w:r>
    </w:p>
    <w:p>
      <w:pPr>
        <w:pStyle w:val="23"/>
        <w:spacing w:before="156" w:beforeLines="50" w:line="360" w:lineRule="auto"/>
        <w:rPr>
          <w:rFonts w:eastAsia="宋体"/>
          <w:b w:val="0"/>
          <w:bCs w:val="0"/>
          <w:kern w:val="2"/>
          <w:sz w:val="21"/>
          <w:szCs w:val="21"/>
        </w:rPr>
      </w:pPr>
      <w:r>
        <w:rPr>
          <w:rFonts w:eastAsia="宋体"/>
          <w:b w:val="0"/>
          <w:bCs w:val="0"/>
          <w:kern w:val="2"/>
          <w:sz w:val="21"/>
          <w:szCs w:val="21"/>
        </w:rPr>
        <w:t>表</w:t>
      </w:r>
      <w:r>
        <w:rPr>
          <w:rFonts w:hint="eastAsia" w:eastAsia="宋体"/>
          <w:b w:val="0"/>
          <w:bCs w:val="0"/>
          <w:kern w:val="2"/>
          <w:sz w:val="21"/>
          <w:szCs w:val="21"/>
          <w:lang w:eastAsia="zh-CN"/>
        </w:rPr>
        <w:t>2</w:t>
      </w:r>
      <w:r>
        <w:rPr>
          <w:rFonts w:eastAsia="宋体"/>
          <w:b w:val="0"/>
          <w:bCs w:val="0"/>
          <w:kern w:val="2"/>
          <w:sz w:val="21"/>
          <w:szCs w:val="21"/>
        </w:rPr>
        <w:t xml:space="preserve"> 思的河</w:t>
      </w:r>
      <w:r>
        <w:rPr>
          <w:rFonts w:hint="eastAsia" w:eastAsia="宋体"/>
          <w:b w:val="0"/>
          <w:bCs w:val="0"/>
          <w:kern w:val="2"/>
          <w:sz w:val="21"/>
          <w:szCs w:val="21"/>
          <w:lang w:eastAsia="zh-CN"/>
        </w:rPr>
        <w:t>底泥</w:t>
      </w:r>
      <w:r>
        <w:rPr>
          <w:rFonts w:eastAsia="宋体"/>
          <w:b w:val="0"/>
          <w:bCs w:val="0"/>
          <w:kern w:val="2"/>
          <w:sz w:val="21"/>
          <w:szCs w:val="21"/>
        </w:rPr>
        <w:t>重金属含量</w:t>
      </w:r>
    </w:p>
    <w:tbl>
      <w:tblPr>
        <w:tblStyle w:val="8"/>
        <w:tblW w:w="4731"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4590"/>
        <w:gridCol w:w="1015"/>
        <w:gridCol w:w="1017"/>
        <w:gridCol w:w="1017"/>
        <w:gridCol w:w="101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90" w:hRule="atLeast"/>
          <w:jc w:val="center"/>
        </w:trPr>
        <w:tc>
          <w:tcPr>
            <w:tcW w:w="2545" w:type="pct"/>
            <w:tcBorders>
              <w:top w:val="single" w:color="auto" w:sz="12"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z w:val="24"/>
                <w:szCs w:val="18"/>
              </w:rPr>
            </w:pPr>
            <w:r>
              <w:rPr>
                <w:rFonts w:hint="default"/>
                <w:b w:val="0"/>
                <w:bCs w:val="0"/>
                <w:sz w:val="24"/>
                <w:szCs w:val="18"/>
              </w:rPr>
              <w:t>重金属</w:t>
            </w:r>
          </w:p>
        </w:tc>
        <w:tc>
          <w:tcPr>
            <w:tcW w:w="613" w:type="pct"/>
            <w:tcBorders>
              <w:top w:val="single" w:color="auto" w:sz="12"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z w:val="24"/>
                <w:szCs w:val="18"/>
              </w:rPr>
            </w:pPr>
            <w:r>
              <w:rPr>
                <w:rFonts w:hint="eastAsia"/>
                <w:b w:val="0"/>
                <w:bCs w:val="0"/>
                <w:sz w:val="24"/>
                <w:szCs w:val="18"/>
              </w:rPr>
              <w:t>总</w:t>
            </w:r>
            <w:r>
              <w:rPr>
                <w:rFonts w:hint="default"/>
                <w:b w:val="0"/>
                <w:bCs w:val="0"/>
                <w:sz w:val="24"/>
                <w:szCs w:val="18"/>
              </w:rPr>
              <w:t>Cr</w:t>
            </w:r>
          </w:p>
        </w:tc>
        <w:tc>
          <w:tcPr>
            <w:tcW w:w="614" w:type="pct"/>
            <w:tcBorders>
              <w:top w:val="single" w:color="auto" w:sz="12"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z w:val="24"/>
                <w:szCs w:val="18"/>
              </w:rPr>
            </w:pPr>
            <w:r>
              <w:rPr>
                <w:rFonts w:hint="default"/>
                <w:b w:val="0"/>
                <w:bCs w:val="0"/>
                <w:sz w:val="24"/>
                <w:szCs w:val="18"/>
              </w:rPr>
              <w:t>Pb</w:t>
            </w:r>
          </w:p>
        </w:tc>
        <w:tc>
          <w:tcPr>
            <w:tcW w:w="614" w:type="pct"/>
            <w:tcBorders>
              <w:top w:val="single" w:color="auto" w:sz="12" w:space="0"/>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z w:val="24"/>
                <w:szCs w:val="18"/>
              </w:rPr>
            </w:pPr>
            <w:r>
              <w:rPr>
                <w:rFonts w:hint="default"/>
                <w:b w:val="0"/>
                <w:bCs w:val="0"/>
                <w:sz w:val="24"/>
                <w:szCs w:val="18"/>
              </w:rPr>
              <w:t>Cd</w:t>
            </w:r>
          </w:p>
        </w:tc>
        <w:tc>
          <w:tcPr>
            <w:tcW w:w="613" w:type="pct"/>
            <w:tcBorders>
              <w:top w:val="single" w:color="auto" w:sz="12" w:space="0"/>
              <w:bottom w:val="single" w:color="auto" w:sz="4" w:space="0"/>
              <w:right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z w:val="24"/>
                <w:szCs w:val="18"/>
              </w:rPr>
            </w:pPr>
            <w:r>
              <w:rPr>
                <w:rFonts w:hint="default"/>
                <w:b w:val="0"/>
                <w:bCs w:val="0"/>
                <w:sz w:val="24"/>
                <w:szCs w:val="18"/>
              </w:rPr>
              <w:t>Zn</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545"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含量(mg/kg)</w:t>
            </w:r>
          </w:p>
        </w:tc>
        <w:tc>
          <w:tcPr>
            <w:tcW w:w="613"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30.5</w:t>
            </w:r>
          </w:p>
        </w:tc>
        <w:tc>
          <w:tcPr>
            <w:tcW w:w="614"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235</w:t>
            </w:r>
          </w:p>
        </w:tc>
        <w:tc>
          <w:tcPr>
            <w:tcW w:w="614"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0.46</w:t>
            </w:r>
          </w:p>
        </w:tc>
        <w:tc>
          <w:tcPr>
            <w:tcW w:w="613"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325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545"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《土壤环境质量标准》（GB15618-1995）</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二级标准(mg/kg)</w:t>
            </w:r>
          </w:p>
        </w:tc>
        <w:tc>
          <w:tcPr>
            <w:tcW w:w="613"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200</w:t>
            </w:r>
          </w:p>
        </w:tc>
        <w:tc>
          <w:tcPr>
            <w:tcW w:w="614"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300</w:t>
            </w:r>
          </w:p>
        </w:tc>
        <w:tc>
          <w:tcPr>
            <w:tcW w:w="614"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0.30</w:t>
            </w:r>
          </w:p>
        </w:tc>
        <w:tc>
          <w:tcPr>
            <w:tcW w:w="613" w:type="pct"/>
            <w:tcBorders>
              <w:top w:val="single" w:color="auto" w:sz="4" w:space="0"/>
              <w:bottom w:val="single" w:color="auto" w:sz="4"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default"/>
                <w:b w:val="0"/>
                <w:bCs w:val="0"/>
                <w:sz w:val="24"/>
                <w:szCs w:val="18"/>
              </w:rPr>
            </w:pPr>
            <w:r>
              <w:rPr>
                <w:rFonts w:hint="eastAsia"/>
                <w:b w:val="0"/>
                <w:bCs w:val="0"/>
                <w:sz w:val="24"/>
                <w:szCs w:val="18"/>
              </w:rPr>
              <w:t>250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2545" w:type="pct"/>
            <w:tcBorders>
              <w:top w:val="single" w:color="auto" w:sz="4" w:space="0"/>
              <w:bottom w:val="single" w:color="auto" w:sz="12"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超标情况</w:t>
            </w:r>
          </w:p>
        </w:tc>
        <w:tc>
          <w:tcPr>
            <w:tcW w:w="613" w:type="pct"/>
            <w:tcBorders>
              <w:top w:val="single" w:color="auto" w:sz="4" w:space="0"/>
              <w:bottom w:val="single" w:color="auto" w:sz="12"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w:t>
            </w:r>
          </w:p>
        </w:tc>
        <w:tc>
          <w:tcPr>
            <w:tcW w:w="614" w:type="pct"/>
            <w:tcBorders>
              <w:top w:val="single" w:color="auto" w:sz="4" w:space="0"/>
              <w:bottom w:val="single" w:color="auto" w:sz="12"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w:t>
            </w:r>
          </w:p>
        </w:tc>
        <w:tc>
          <w:tcPr>
            <w:tcW w:w="614" w:type="pct"/>
            <w:tcBorders>
              <w:top w:val="single" w:color="auto" w:sz="4" w:space="0"/>
              <w:bottom w:val="single" w:color="auto" w:sz="12"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超标</w:t>
            </w:r>
          </w:p>
        </w:tc>
        <w:tc>
          <w:tcPr>
            <w:tcW w:w="613" w:type="pct"/>
            <w:tcBorders>
              <w:top w:val="single" w:color="auto" w:sz="4" w:space="0"/>
              <w:bottom w:val="single" w:color="auto" w:sz="12" w:space="0"/>
            </w:tcBorders>
            <w:noWrap/>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12" w:lineRule="exact"/>
              <w:ind w:left="0" w:right="0" w:firstLine="0" w:firstLineChars="0"/>
              <w:jc w:val="center"/>
              <w:textAlignment w:val="auto"/>
              <w:rPr>
                <w:rFonts w:hint="eastAsia"/>
                <w:b w:val="0"/>
                <w:bCs w:val="0"/>
                <w:sz w:val="24"/>
                <w:szCs w:val="18"/>
              </w:rPr>
            </w:pPr>
            <w:r>
              <w:rPr>
                <w:rFonts w:hint="eastAsia"/>
                <w:b w:val="0"/>
                <w:bCs w:val="0"/>
                <w:sz w:val="24"/>
                <w:szCs w:val="18"/>
              </w:rPr>
              <w:t>超标</w:t>
            </w:r>
          </w:p>
        </w:tc>
      </w:tr>
    </w:tbl>
    <w:p>
      <w:pPr>
        <w:ind w:firstLine="640" w:firstLineChars="200"/>
        <w:rPr>
          <w:rFonts w:hint="eastAsia" w:cs="Times New Roman"/>
          <w:b w:val="0"/>
          <w:bCs w:val="0"/>
          <w:kern w:val="44"/>
          <w:lang w:eastAsia="zh-CN"/>
        </w:rPr>
      </w:pPr>
      <w:r>
        <w:rPr>
          <w:b w:val="0"/>
          <w:bCs w:val="0"/>
          <w:szCs w:val="21"/>
        </w:rPr>
        <w:t>注：低于检出限的数据按检出限的50%给出。</w:t>
      </w:r>
    </w:p>
    <w:p>
      <w:pPr>
        <w:ind w:firstLine="640"/>
        <w:rPr>
          <w:rFonts w:hint="default"/>
          <w:b w:val="0"/>
          <w:bCs w:val="0"/>
          <w:lang w:val="en-US" w:eastAsia="zh-CN"/>
        </w:rPr>
      </w:pPr>
      <w:r>
        <w:rPr>
          <w:rFonts w:hint="eastAsia" w:cs="Times New Roman"/>
          <w:b w:val="0"/>
          <w:bCs w:val="0"/>
          <w:kern w:val="44"/>
          <w:lang w:val="en-US" w:eastAsia="zh-CN"/>
        </w:rPr>
        <w:t>所以</w:t>
      </w:r>
      <w:r>
        <w:rPr>
          <w:rFonts w:hint="eastAsia"/>
          <w:b w:val="0"/>
          <w:bCs w:val="0"/>
          <w:lang w:val="en-US" w:eastAsia="zh-CN"/>
        </w:rPr>
        <w:t>将污染物项目在HJ 2005—2010《人工湿地污水处理工程技术规范》的要求修改为化学需氧量（CODCr）、五日生化需氧量（BOD</w:t>
      </w:r>
      <w:r>
        <w:rPr>
          <w:rFonts w:hint="eastAsia"/>
          <w:b w:val="0"/>
          <w:bCs w:val="0"/>
          <w:vertAlign w:val="subscript"/>
          <w:lang w:val="en-US" w:eastAsia="zh-CN"/>
        </w:rPr>
        <w:t>5</w:t>
      </w:r>
      <w:r>
        <w:rPr>
          <w:rFonts w:hint="eastAsia"/>
          <w:b w:val="0"/>
          <w:bCs w:val="0"/>
          <w:lang w:val="en-US" w:eastAsia="zh-CN"/>
        </w:rPr>
        <w:t>）、氨氮（NH</w:t>
      </w:r>
      <w:r>
        <w:rPr>
          <w:rFonts w:hint="eastAsia"/>
          <w:b w:val="0"/>
          <w:bCs w:val="0"/>
          <w:vertAlign w:val="subscript"/>
          <w:lang w:val="en-US" w:eastAsia="zh-CN"/>
        </w:rPr>
        <w:t>3+</w:t>
      </w:r>
      <w:r>
        <w:rPr>
          <w:rFonts w:hint="eastAsia"/>
          <w:b w:val="0"/>
          <w:bCs w:val="0"/>
          <w:lang w:val="en-US" w:eastAsia="zh-CN"/>
        </w:rPr>
        <w:t>N）、总磷（TP）、总氮（TN）、Cr6+、Cd、Pb、Zn。人工湿地类型主要依据HJ 2005—2010《人工湿地污水处理工程技术规范》的要求进行确定。</w:t>
      </w:r>
    </w:p>
    <w:p>
      <w:pPr>
        <w:pStyle w:val="2"/>
        <w:numPr>
          <w:ilvl w:val="0"/>
          <w:numId w:val="3"/>
        </w:numPr>
        <w:ind w:left="0" w:leftChars="0" w:firstLine="643" w:firstLineChars="200"/>
        <w:rPr>
          <w:rFonts w:hint="eastAsia" w:ascii="仿宋_GB2312" w:hAnsi="宋体" w:eastAsia="仿宋_GB2312" w:cs="Times New Roman"/>
          <w:b/>
          <w:bCs/>
          <w:color w:val="auto"/>
          <w:szCs w:val="28"/>
          <w:lang w:val="en-US" w:eastAsia="zh-CN"/>
        </w:rPr>
      </w:pPr>
      <w:r>
        <w:rPr>
          <w:rFonts w:hint="eastAsia" w:ascii="仿宋_GB2312" w:hAnsi="宋体" w:eastAsia="仿宋_GB2312" w:cs="Times New Roman"/>
          <w:b/>
          <w:bCs/>
          <w:color w:val="auto"/>
          <w:szCs w:val="28"/>
          <w:lang w:val="en-US" w:eastAsia="zh-CN"/>
        </w:rPr>
        <w:t>净化技术</w:t>
      </w:r>
    </w:p>
    <w:p>
      <w:pPr>
        <w:numPr>
          <w:ilvl w:val="0"/>
          <w:numId w:val="5"/>
        </w:numPr>
        <w:ind w:firstLine="640"/>
        <w:rPr>
          <w:rFonts w:hint="eastAsia" w:ascii="仿宋_GB2312" w:hAnsi="宋体" w:cs="Times New Roman"/>
          <w:b/>
          <w:bCs/>
          <w:color w:val="auto"/>
          <w:szCs w:val="28"/>
          <w:lang w:val="en-US" w:eastAsia="zh-CN"/>
        </w:rPr>
      </w:pPr>
      <w:r>
        <w:rPr>
          <w:rFonts w:hint="eastAsia" w:ascii="仿宋_GB2312" w:hAnsi="宋体" w:cs="Times New Roman"/>
          <w:b/>
          <w:bCs/>
          <w:color w:val="auto"/>
          <w:szCs w:val="28"/>
          <w:lang w:val="en-US" w:eastAsia="zh-CN"/>
        </w:rPr>
        <w:t>工艺选择</w:t>
      </w:r>
    </w:p>
    <w:p>
      <w:pPr>
        <w:ind w:firstLine="640"/>
        <w:rPr>
          <w:rFonts w:hint="default"/>
          <w:b w:val="0"/>
          <w:bCs w:val="0"/>
          <w:lang w:val="en-US" w:eastAsia="zh-CN"/>
        </w:rPr>
      </w:pPr>
      <w:r>
        <w:rPr>
          <w:rFonts w:hint="default"/>
          <w:b w:val="0"/>
          <w:bCs w:val="0"/>
          <w:lang w:val="en-US" w:eastAsia="zh-CN"/>
        </w:rPr>
        <w:t>可根据选址面积、处理水量及原水水质采用表面流人工生态湿地、水平潜流人工生态湿地、垂直潜流人工生态湿地中的一种或几种并联、串联、混合的方式</w:t>
      </w:r>
      <w:r>
        <w:rPr>
          <w:rFonts w:hint="eastAsia"/>
          <w:b w:val="0"/>
          <w:bCs w:val="0"/>
          <w:lang w:val="en-US" w:eastAsia="zh-CN"/>
        </w:rPr>
        <w:t>。</w:t>
      </w:r>
    </w:p>
    <w:p>
      <w:pPr>
        <w:pStyle w:val="2"/>
        <w:rPr>
          <w:rFonts w:hint="default" w:ascii="仿宋_GB2312" w:hAnsi="宋体" w:cs="Times New Roman"/>
          <w:b/>
          <w:bCs/>
          <w:color w:val="auto"/>
          <w:szCs w:val="28"/>
          <w:lang w:val="en-US" w:eastAsia="zh-CN"/>
        </w:rPr>
      </w:pPr>
      <w:r>
        <w:rPr>
          <w:rFonts w:hint="eastAsia" w:ascii="仿宋_GB2312" w:hAnsi="宋体" w:cs="Times New Roman"/>
          <w:b/>
          <w:bCs/>
          <w:color w:val="auto"/>
          <w:szCs w:val="28"/>
          <w:lang w:val="en-US" w:eastAsia="zh-CN"/>
        </w:rPr>
        <w:t>2、工艺流程</w:t>
      </w:r>
    </w:p>
    <w:p>
      <w:pPr>
        <w:ind w:firstLine="640"/>
        <w:rPr>
          <w:rFonts w:hint="default"/>
          <w:b w:val="0"/>
          <w:bCs w:val="0"/>
          <w:lang w:val="en-US" w:eastAsia="zh-CN"/>
        </w:rPr>
      </w:pPr>
      <w:r>
        <w:rPr>
          <w:rFonts w:hint="eastAsia"/>
          <w:b w:val="0"/>
          <w:bCs w:val="0"/>
          <w:lang w:val="en-US" w:eastAsia="zh-CN"/>
        </w:rPr>
        <w:t>主要依据实际处理流程进行确定，按金属矿山尾水经过预处理后排入人工湿地系统，经人工湿地系统消解后进行排水。</w:t>
      </w:r>
    </w:p>
    <w:p>
      <w:pPr>
        <w:pStyle w:val="2"/>
        <w:keepNext w:val="0"/>
        <w:keepLines w:val="0"/>
        <w:pageBreakBefore w:val="0"/>
        <w:widowControl w:val="0"/>
        <w:numPr>
          <w:ilvl w:val="0"/>
          <w:numId w:val="5"/>
        </w:numPr>
        <w:kinsoku/>
        <w:wordWrap/>
        <w:overflowPunct/>
        <w:topLinePunct w:val="0"/>
        <w:autoSpaceDE/>
        <w:autoSpaceDN/>
        <w:bidi w:val="0"/>
        <w:adjustRightInd/>
        <w:snapToGrid/>
        <w:spacing w:after="0"/>
        <w:ind w:left="0" w:leftChars="0" w:firstLine="643" w:firstLineChars="200"/>
        <w:textAlignment w:val="baseline"/>
        <w:rPr>
          <w:rFonts w:hint="eastAsia" w:ascii="仿宋_GB2312" w:hAnsi="宋体" w:cs="Times New Roman"/>
          <w:b/>
          <w:bCs/>
          <w:color w:val="auto"/>
          <w:szCs w:val="28"/>
          <w:lang w:val="en-US" w:eastAsia="zh-CN"/>
        </w:rPr>
      </w:pPr>
      <w:r>
        <w:rPr>
          <w:rFonts w:hint="eastAsia" w:ascii="仿宋_GB2312" w:hAnsi="宋体" w:cs="Times New Roman"/>
          <w:b/>
          <w:bCs/>
          <w:color w:val="auto"/>
          <w:szCs w:val="28"/>
          <w:lang w:val="en-US" w:eastAsia="zh-CN"/>
        </w:rPr>
        <w:t>预处理</w:t>
      </w:r>
    </w:p>
    <w:p>
      <w:pPr>
        <w:ind w:firstLine="640"/>
        <w:rPr>
          <w:rFonts w:hint="default"/>
          <w:b w:val="0"/>
          <w:bCs w:val="0"/>
          <w:lang w:val="en-US" w:eastAsia="zh-CN"/>
        </w:rPr>
      </w:pPr>
      <w:r>
        <w:rPr>
          <w:rFonts w:hint="eastAsia"/>
          <w:b w:val="0"/>
          <w:bCs w:val="0"/>
          <w:lang w:val="en-US" w:eastAsia="zh-CN"/>
        </w:rPr>
        <w:t>JT/T 1147.2—2017《公路服务区污水处理设施技术要求 第 ２ 部分：人工湿地处理系统》预处理要求结合金属矿山低浓度尾水处理要求在人工湿地前设置的处理工艺，如格栅、沉砂、初沉、均质、水质酸化、稳定塘、厌氧、好氧等。主要是为满足人工湿地进水水质要求及减轻湿地污染负荷所以需要设置预处理工序。</w:t>
      </w:r>
    </w:p>
    <w:p>
      <w:pPr>
        <w:pStyle w:val="2"/>
        <w:keepNext w:val="0"/>
        <w:keepLines w:val="0"/>
        <w:pageBreakBefore w:val="0"/>
        <w:widowControl w:val="0"/>
        <w:numPr>
          <w:ilvl w:val="0"/>
          <w:numId w:val="5"/>
        </w:numPr>
        <w:kinsoku/>
        <w:wordWrap/>
        <w:overflowPunct/>
        <w:topLinePunct w:val="0"/>
        <w:autoSpaceDE/>
        <w:autoSpaceDN/>
        <w:bidi w:val="0"/>
        <w:adjustRightInd/>
        <w:snapToGrid/>
        <w:spacing w:after="0"/>
        <w:ind w:left="0" w:leftChars="0" w:firstLine="643" w:firstLineChars="200"/>
        <w:rPr>
          <w:rFonts w:hint="default" w:ascii="仿宋_GB2312" w:hAnsi="宋体" w:cs="Times New Roman"/>
          <w:b/>
          <w:bCs/>
          <w:color w:val="auto"/>
          <w:szCs w:val="28"/>
          <w:lang w:val="en-US" w:eastAsia="zh-CN"/>
        </w:rPr>
      </w:pPr>
      <w:r>
        <w:rPr>
          <w:rFonts w:hint="eastAsia" w:ascii="仿宋_GB2312" w:hAnsi="宋体" w:cs="Times New Roman"/>
          <w:b/>
          <w:bCs/>
          <w:color w:val="auto"/>
          <w:szCs w:val="28"/>
          <w:lang w:val="en-US" w:eastAsia="zh-CN"/>
        </w:rPr>
        <w:t>人工湿地系统</w:t>
      </w:r>
    </w:p>
    <w:p>
      <w:pPr>
        <w:keepNext w:val="0"/>
        <w:keepLines w:val="0"/>
        <w:pageBreakBefore w:val="0"/>
        <w:widowControl w:val="0"/>
        <w:kinsoku/>
        <w:wordWrap/>
        <w:overflowPunct/>
        <w:topLinePunct w:val="0"/>
        <w:autoSpaceDE/>
        <w:autoSpaceDN/>
        <w:bidi w:val="0"/>
        <w:adjustRightInd/>
        <w:snapToGrid/>
        <w:ind w:firstLine="640"/>
        <w:rPr>
          <w:rFonts w:hint="eastAsia"/>
          <w:b w:val="0"/>
          <w:bCs w:val="0"/>
          <w:lang w:val="en-US" w:eastAsia="zh-CN"/>
        </w:rPr>
      </w:pPr>
      <w:r>
        <w:rPr>
          <w:rFonts w:hint="eastAsia"/>
          <w:b w:val="0"/>
          <w:bCs w:val="0"/>
          <w:lang w:val="en-US" w:eastAsia="zh-CN"/>
        </w:rPr>
        <w:t>（1）基质选择</w:t>
      </w:r>
    </w:p>
    <w:p>
      <w:pPr>
        <w:pStyle w:val="2"/>
        <w:pageBreakBefore w:val="0"/>
        <w:widowControl w:val="0"/>
        <w:kinsoku/>
        <w:wordWrap/>
        <w:overflowPunct/>
        <w:topLinePunct w:val="0"/>
        <w:autoSpaceDE/>
        <w:autoSpaceDN/>
        <w:bidi w:val="0"/>
        <w:adjustRightInd/>
        <w:snapToGrid/>
        <w:spacing w:after="0"/>
        <w:rPr>
          <w:rFonts w:hint="default"/>
          <w:lang w:val="en-US" w:eastAsia="zh-CN"/>
        </w:rPr>
      </w:pPr>
      <w:r>
        <w:rPr>
          <w:rFonts w:hint="eastAsia"/>
          <w:b w:val="0"/>
          <w:bCs w:val="0"/>
          <w:lang w:val="en-US" w:eastAsia="zh-CN"/>
        </w:rPr>
        <w:t>主要依据HJ 2005—2010《人工湿地污水处理工程技术规范》的要求提出人工湿地基质的选择应根据基质的机械强度、比表面积、稳定性、孔隙率及表面粗糙度等因素确定。同时结合运行实际提出宜选择</w:t>
      </w:r>
      <w:r>
        <w:rPr>
          <w:rFonts w:hint="eastAsia"/>
          <w:lang w:val="en-US" w:eastAsia="zh-CN"/>
        </w:rPr>
        <w:t>土壤、砾石、沸石、页岩、陶瓷、石灰石等。</w:t>
      </w:r>
    </w:p>
    <w:p>
      <w:pPr>
        <w:pStyle w:val="2"/>
        <w:pageBreakBefore w:val="0"/>
        <w:widowControl w:val="0"/>
        <w:kinsoku/>
        <w:wordWrap/>
        <w:overflowPunct/>
        <w:topLinePunct w:val="0"/>
        <w:autoSpaceDE/>
        <w:autoSpaceDN/>
        <w:bidi w:val="0"/>
        <w:adjustRightInd/>
        <w:snapToGrid/>
        <w:spacing w:after="0"/>
        <w:rPr>
          <w:rFonts w:hint="eastAsia"/>
          <w:lang w:val="en-US" w:eastAsia="zh-CN"/>
        </w:rPr>
      </w:pPr>
      <w:r>
        <w:rPr>
          <w:rFonts w:hint="eastAsia"/>
          <w:lang w:val="en-US" w:eastAsia="zh-CN"/>
        </w:rPr>
        <w:t>（2）植物选择</w:t>
      </w:r>
    </w:p>
    <w:p>
      <w:pPr>
        <w:pStyle w:val="2"/>
        <w:pageBreakBefore w:val="0"/>
        <w:widowControl w:val="0"/>
        <w:kinsoku/>
        <w:wordWrap/>
        <w:overflowPunct/>
        <w:topLinePunct w:val="0"/>
        <w:autoSpaceDE/>
        <w:autoSpaceDN/>
        <w:bidi w:val="0"/>
        <w:adjustRightInd/>
        <w:snapToGrid/>
        <w:spacing w:after="0"/>
        <w:rPr>
          <w:rFonts w:hint="eastAsia"/>
          <w:b w:val="0"/>
          <w:bCs w:val="0"/>
          <w:sz w:val="24"/>
        </w:rPr>
      </w:pPr>
      <w:r>
        <w:rPr>
          <w:rFonts w:hint="eastAsia"/>
          <w:lang w:val="en-US" w:eastAsia="zh-CN"/>
        </w:rPr>
        <w:t>针对金属</w:t>
      </w:r>
      <w:r>
        <w:rPr>
          <w:rFonts w:hint="eastAsia"/>
          <w:b w:val="0"/>
          <w:bCs w:val="0"/>
          <w:lang w:val="en-US" w:eastAsia="zh-CN"/>
        </w:rPr>
        <w:t>矿山低浓度尾水处理的重金属废水微污染的特征，李氏禾、芦苇、香蒲、凤眼莲、美人蕉和灯心草等植物上对Cr、Cu、Fe、Mn、Pb、Al、Zn、Cd有较高的去除效果，见表3。选取几种当地常见的重金属富集植物（香蒲、菖蒲、风车草和芦苇）进行室内水培实验，观察其生长状况、监测重金属富集量和生物量等指标，以期选择最优湿地种植植物。因相关研究表明李氏禾是一种湿生铬超富集植物，对铬有很强地耐受和富集能力，并在当地很常见，因此为避免跟前人做重复工作量，在此不进行室内水培实验，直接选作室内湿地模拟植物之一。</w:t>
      </w:r>
    </w:p>
    <w:p>
      <w:pPr>
        <w:pStyle w:val="23"/>
        <w:spacing w:before="156" w:beforeLines="50" w:line="360" w:lineRule="auto"/>
        <w:rPr>
          <w:rFonts w:eastAsia="宋体"/>
          <w:b w:val="0"/>
          <w:bCs w:val="0"/>
          <w:kern w:val="2"/>
          <w:sz w:val="21"/>
          <w:szCs w:val="21"/>
        </w:rPr>
      </w:pPr>
      <w:r>
        <w:rPr>
          <w:rFonts w:eastAsia="宋体"/>
          <w:b w:val="0"/>
          <w:bCs w:val="0"/>
          <w:kern w:val="2"/>
          <w:sz w:val="21"/>
          <w:szCs w:val="21"/>
        </w:rPr>
        <w:t>表</w:t>
      </w:r>
      <w:r>
        <w:rPr>
          <w:rFonts w:hint="eastAsia" w:eastAsia="宋体"/>
          <w:b w:val="0"/>
          <w:bCs w:val="0"/>
          <w:kern w:val="2"/>
          <w:sz w:val="21"/>
          <w:szCs w:val="21"/>
          <w:lang w:val="en-US" w:eastAsia="zh-CN"/>
        </w:rPr>
        <w:t>3</w:t>
      </w:r>
      <w:r>
        <w:rPr>
          <w:rFonts w:eastAsia="宋体"/>
          <w:b w:val="0"/>
          <w:bCs w:val="0"/>
          <w:kern w:val="2"/>
          <w:sz w:val="21"/>
          <w:szCs w:val="21"/>
        </w:rPr>
        <w:t>人工湿地中不同植物对重金属的吸收量</w:t>
      </w:r>
    </w:p>
    <w:tbl>
      <w:tblPr>
        <w:tblStyle w:val="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植物种属</w:t>
            </w:r>
          </w:p>
        </w:tc>
        <w:tc>
          <w:tcPr>
            <w:tcW w:w="7102" w:type="dxa"/>
            <w:gridSpan w:val="5"/>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吸收重金属量（g/m</w:t>
            </w:r>
            <w:r>
              <w:rPr>
                <w:rFonts w:hint="default"/>
                <w:b w:val="0"/>
                <w:bCs w:val="0"/>
                <w:sz w:val="24"/>
                <w:szCs w:val="18"/>
                <w:vertAlign w:val="superscript"/>
              </w:rPr>
              <w:t>2</w:t>
            </w:r>
            <w:r>
              <w:rPr>
                <w:rFonts w:hint="default"/>
                <w:b w:val="0"/>
                <w:bCs w:val="0"/>
                <w:sz w:val="24"/>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Fe</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Cu</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Zn</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Ni</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Mn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麃草属</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2.62</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16.13</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168.00</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5.75</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4032.00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苔草属</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10.24</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15.23</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171.36</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6.69</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2638.4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鸢尾属</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3.22</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14.14</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120.0</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4.34</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947.36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香蒲属</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1.58</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6.77</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62.92</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2.68</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1121.78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甜茅属</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2.70</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11.65</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151.84</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4.14</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1218.88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芦苇</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4.12</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18.82</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165.76</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6.85</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743.88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菖蒲属</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1.55</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6.56</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60.8</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1.73</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612.8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黑三棱属</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4.61</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7.17</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97.28</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2.91</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773.12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勿忘草属</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3.26</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3.90</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33.28</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1.02</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640.0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薄荷属</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5.21</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14.28</w:t>
            </w:r>
          </w:p>
        </w:tc>
        <w:tc>
          <w:tcPr>
            <w:tcW w:w="142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131.04</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3.41</w:t>
            </w:r>
          </w:p>
        </w:tc>
        <w:tc>
          <w:tcPr>
            <w:tcW w:w="142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b w:val="0"/>
                <w:bCs w:val="0"/>
                <w:sz w:val="24"/>
                <w:szCs w:val="18"/>
              </w:rPr>
            </w:pPr>
            <w:r>
              <w:rPr>
                <w:rFonts w:hint="default"/>
                <w:b w:val="0"/>
                <w:bCs w:val="0"/>
                <w:sz w:val="24"/>
                <w:szCs w:val="18"/>
              </w:rPr>
              <w:t>640.1</w:t>
            </w:r>
          </w:p>
        </w:tc>
      </w:tr>
    </w:tbl>
    <w:p>
      <w:pPr>
        <w:pStyle w:val="2"/>
        <w:pageBreakBefore w:val="0"/>
        <w:widowControl w:val="0"/>
        <w:kinsoku/>
        <w:wordWrap/>
        <w:overflowPunct/>
        <w:topLinePunct w:val="0"/>
        <w:autoSpaceDE/>
        <w:autoSpaceDN/>
        <w:bidi w:val="0"/>
        <w:adjustRightInd/>
        <w:snapToGrid/>
        <w:spacing w:after="0"/>
        <w:rPr>
          <w:rFonts w:hint="eastAsia"/>
          <w:lang w:val="en-US" w:eastAsia="zh-CN"/>
        </w:rPr>
      </w:pPr>
      <w:bookmarkStart w:id="5" w:name="_Toc487707619"/>
      <w:r>
        <w:rPr>
          <w:rFonts w:hint="eastAsia" w:ascii="Times New Roman" w:hAnsi="Times New Roman"/>
          <w:b w:val="0"/>
          <w:bCs w:val="0"/>
          <w:sz w:val="32"/>
          <w:szCs w:val="32"/>
          <w:lang w:val="en-US" w:eastAsia="zh-CN"/>
        </w:rPr>
        <w:t>2</w:t>
      </w:r>
      <w:r>
        <w:rPr>
          <w:rFonts w:ascii="Times New Roman" w:hAnsi="Times New Roman"/>
          <w:b w:val="0"/>
          <w:bCs w:val="0"/>
          <w:sz w:val="32"/>
          <w:szCs w:val="32"/>
        </w:rPr>
        <w:t xml:space="preserve">.1 </w:t>
      </w:r>
      <w:r>
        <w:rPr>
          <w:rFonts w:ascii="Times New Roman" w:hAnsi="Times New Roman"/>
          <w:b w:val="0"/>
          <w:bCs w:val="0"/>
          <w:sz w:val="32"/>
          <w:szCs w:val="32"/>
          <w:lang w:eastAsia="zh-CN"/>
        </w:rPr>
        <w:t>材料</w:t>
      </w:r>
      <w:r>
        <w:rPr>
          <w:rFonts w:hint="eastAsia"/>
          <w:lang w:val="en-US" w:eastAsia="zh-CN"/>
        </w:rPr>
        <w:t>和方法</w:t>
      </w:r>
      <w:bookmarkEnd w:id="5"/>
    </w:p>
    <w:p>
      <w:pPr>
        <w:pStyle w:val="2"/>
        <w:pageBreakBefore w:val="0"/>
        <w:widowControl w:val="0"/>
        <w:kinsoku/>
        <w:wordWrap/>
        <w:overflowPunct/>
        <w:topLinePunct w:val="0"/>
        <w:autoSpaceDE/>
        <w:autoSpaceDN/>
        <w:bidi w:val="0"/>
        <w:adjustRightInd/>
        <w:snapToGrid/>
        <w:spacing w:after="0"/>
        <w:rPr>
          <w:rFonts w:hint="eastAsia"/>
          <w:lang w:val="en-US" w:eastAsia="zh-CN"/>
        </w:rPr>
      </w:pPr>
      <w:bookmarkStart w:id="6" w:name="_Toc448698470"/>
      <w:bookmarkStart w:id="7" w:name="_Toc448698445"/>
      <w:bookmarkStart w:id="8" w:name="_Toc487707620"/>
      <w:bookmarkStart w:id="9" w:name="_Toc382600439"/>
      <w:r>
        <w:rPr>
          <w:rFonts w:hint="eastAsia"/>
          <w:lang w:val="en-US" w:eastAsia="zh-CN"/>
        </w:rPr>
        <w:t xml:space="preserve">2.1.1 </w:t>
      </w:r>
      <w:bookmarkEnd w:id="6"/>
      <w:bookmarkEnd w:id="7"/>
      <w:r>
        <w:rPr>
          <w:rFonts w:hint="eastAsia"/>
          <w:lang w:val="en-US" w:eastAsia="zh-CN"/>
        </w:rPr>
        <w:t>模拟废水</w:t>
      </w:r>
      <w:bookmarkEnd w:id="8"/>
    </w:p>
    <w:p>
      <w:pPr>
        <w:pStyle w:val="2"/>
        <w:pageBreakBefore w:val="0"/>
        <w:widowControl w:val="0"/>
        <w:kinsoku/>
        <w:wordWrap/>
        <w:overflowPunct/>
        <w:topLinePunct w:val="0"/>
        <w:autoSpaceDE/>
        <w:autoSpaceDN/>
        <w:bidi w:val="0"/>
        <w:adjustRightInd/>
        <w:snapToGrid/>
        <w:spacing w:after="0"/>
        <w:rPr>
          <w:rFonts w:hint="eastAsia"/>
          <w:b w:val="0"/>
          <w:bCs w:val="0"/>
          <w:lang w:val="en-US" w:eastAsia="zh-CN"/>
        </w:rPr>
      </w:pPr>
      <w:r>
        <w:rPr>
          <w:rFonts w:hint="eastAsia"/>
          <w:lang w:val="en-US" w:eastAsia="zh-CN"/>
        </w:rPr>
        <w:t>配制含重金属元素的植物培养液。用去离子水溶解氯化镉，硝酸铅，硝酸锌、硝</w:t>
      </w:r>
      <w:r>
        <w:rPr>
          <w:rFonts w:hint="eastAsia"/>
          <w:b w:val="0"/>
          <w:bCs w:val="0"/>
          <w:lang w:val="en-US" w:eastAsia="zh-CN"/>
        </w:rPr>
        <w:t>酸铜并加入到Hoagland-Amon培养液中，处理为Zn、Pb、Cd、Cu重金属离子含量为Zn 2.0 mg/L、Pb1.0 mg/L、Cd 0.1 mg/L、Cu 0.5 mg/L，pH=6.0的重金属营养液。</w:t>
      </w:r>
    </w:p>
    <w:p>
      <w:pPr>
        <w:pStyle w:val="2"/>
        <w:pageBreakBefore w:val="0"/>
        <w:widowControl w:val="0"/>
        <w:kinsoku/>
        <w:wordWrap/>
        <w:overflowPunct/>
        <w:topLinePunct w:val="0"/>
        <w:autoSpaceDE/>
        <w:autoSpaceDN/>
        <w:bidi w:val="0"/>
        <w:adjustRightInd/>
        <w:snapToGrid/>
        <w:spacing w:after="0"/>
        <w:rPr>
          <w:rFonts w:hint="eastAsia"/>
          <w:lang w:val="en-US" w:eastAsia="zh-CN"/>
        </w:rPr>
      </w:pPr>
      <w:bookmarkStart w:id="10" w:name="_Toc487707621"/>
      <w:r>
        <w:rPr>
          <w:rFonts w:hint="eastAsia"/>
          <w:b w:val="0"/>
          <w:bCs w:val="0"/>
          <w:sz w:val="32"/>
          <w:szCs w:val="32"/>
          <w:lang w:val="en-US" w:eastAsia="zh-CN"/>
        </w:rPr>
        <w:t>2</w:t>
      </w:r>
      <w:r>
        <w:rPr>
          <w:b w:val="0"/>
          <w:bCs w:val="0"/>
          <w:sz w:val="32"/>
          <w:szCs w:val="32"/>
        </w:rPr>
        <w:t>.1.</w:t>
      </w:r>
      <w:r>
        <w:rPr>
          <w:b w:val="0"/>
          <w:bCs w:val="0"/>
          <w:sz w:val="32"/>
          <w:szCs w:val="32"/>
          <w:lang w:eastAsia="zh-CN"/>
        </w:rPr>
        <w:t>2 实验方</w:t>
      </w:r>
      <w:r>
        <w:rPr>
          <w:rFonts w:hint="eastAsia"/>
          <w:lang w:val="en-US" w:eastAsia="zh-CN"/>
        </w:rPr>
        <w:t>法</w:t>
      </w:r>
      <w:bookmarkEnd w:id="10"/>
    </w:p>
    <w:p>
      <w:pPr>
        <w:pStyle w:val="2"/>
        <w:pageBreakBefore w:val="0"/>
        <w:widowControl w:val="0"/>
        <w:kinsoku/>
        <w:wordWrap/>
        <w:overflowPunct/>
        <w:topLinePunct w:val="0"/>
        <w:autoSpaceDE/>
        <w:autoSpaceDN/>
        <w:bidi w:val="0"/>
        <w:adjustRightInd/>
        <w:snapToGrid/>
        <w:spacing w:after="0"/>
        <w:rPr>
          <w:rFonts w:hint="eastAsia"/>
          <w:lang w:val="en-US" w:eastAsia="zh-CN"/>
        </w:rPr>
      </w:pPr>
      <w:r>
        <w:rPr>
          <w:rFonts w:hint="eastAsia"/>
          <w:lang w:val="en-US" w:eastAsia="zh-CN"/>
        </w:rPr>
        <w:t>① 依次用自来水、去离子水将野外采集的四种水生植物的根部洗净，用Hoagland</w:t>
      </w:r>
      <w:r>
        <w:rPr>
          <w:rFonts w:hint="eastAsia"/>
          <w:b w:val="0"/>
          <w:bCs w:val="0"/>
          <w:lang w:val="en-US" w:eastAsia="zh-CN"/>
        </w:rPr>
        <w:t>-Amon培养液培养一周后，挑选长势相同的植物，再进</w:t>
      </w:r>
      <w:r>
        <w:rPr>
          <w:rFonts w:hint="eastAsia"/>
          <w:lang w:val="en-US" w:eastAsia="zh-CN"/>
        </w:rPr>
        <w:t>行实验。</w:t>
      </w:r>
    </w:p>
    <w:p>
      <w:pPr>
        <w:pStyle w:val="2"/>
        <w:pageBreakBefore w:val="0"/>
        <w:widowControl w:val="0"/>
        <w:kinsoku/>
        <w:wordWrap/>
        <w:overflowPunct/>
        <w:topLinePunct w:val="0"/>
        <w:autoSpaceDE/>
        <w:autoSpaceDN/>
        <w:bidi w:val="0"/>
        <w:adjustRightInd/>
        <w:snapToGrid/>
        <w:spacing w:after="0"/>
        <w:rPr>
          <w:rFonts w:hint="eastAsia"/>
          <w:lang w:val="en-US" w:eastAsia="zh-CN"/>
        </w:rPr>
      </w:pPr>
      <w:r>
        <w:rPr>
          <w:rFonts w:hint="eastAsia"/>
          <w:lang w:val="en-US" w:eastAsia="zh-CN"/>
        </w:rPr>
        <w:t>② 将洗净的四种水生植物分别编号并放入相应编号的500 mL广口瓶中，每个广口瓶中盛有250 mL不同的培养液，广口瓶进行遮光处理，每天观察植物的生长状况，并及时补充培养液，实验过程中每隔一天更换一次培养液。</w:t>
      </w:r>
    </w:p>
    <w:p>
      <w:pPr>
        <w:pStyle w:val="2"/>
        <w:pageBreakBefore w:val="0"/>
        <w:widowControl w:val="0"/>
        <w:kinsoku/>
        <w:wordWrap/>
        <w:overflowPunct/>
        <w:topLinePunct w:val="0"/>
        <w:autoSpaceDE/>
        <w:autoSpaceDN/>
        <w:bidi w:val="0"/>
        <w:adjustRightInd/>
        <w:snapToGrid/>
        <w:spacing w:after="0"/>
        <w:rPr>
          <w:rFonts w:hint="eastAsia"/>
          <w:lang w:val="en-US" w:eastAsia="zh-CN"/>
        </w:rPr>
      </w:pPr>
      <w:r>
        <w:rPr>
          <w:rFonts w:hint="eastAsia"/>
          <w:lang w:val="en-US" w:eastAsia="zh-CN"/>
        </w:rPr>
        <w:t>③ 培养四周后，对植物的生物量进行测定。将用含重金属培养液培养的植物从培养液中取出，用不锈钢刀将根部及地上部分茎、叶分离，用自来水冲洗20 min，之后用去离子水冲洗5次，并用滤纸吸干水分，放入干燥箱内杀青（105℃，0.5 h），然后烘干(80℃，72 h)，称量。</w:t>
      </w:r>
    </w:p>
    <w:p>
      <w:pPr>
        <w:pStyle w:val="2"/>
        <w:pageBreakBefore w:val="0"/>
        <w:widowControl w:val="0"/>
        <w:kinsoku/>
        <w:wordWrap/>
        <w:overflowPunct/>
        <w:topLinePunct w:val="0"/>
        <w:autoSpaceDE/>
        <w:autoSpaceDN/>
        <w:bidi w:val="0"/>
        <w:adjustRightInd/>
        <w:snapToGrid/>
        <w:spacing w:after="0"/>
        <w:rPr>
          <w:rFonts w:hint="eastAsia"/>
          <w:b w:val="0"/>
          <w:bCs w:val="0"/>
          <w:sz w:val="32"/>
          <w:szCs w:val="32"/>
          <w:lang w:val="en-US" w:eastAsia="zh-CN"/>
        </w:rPr>
      </w:pPr>
      <w:r>
        <w:rPr>
          <w:rFonts w:hint="eastAsia"/>
          <w:lang w:val="en-US" w:eastAsia="zh-CN"/>
        </w:rPr>
        <w:fldChar w:fldCharType="begin"/>
      </w:r>
      <w:r>
        <w:rPr>
          <w:rFonts w:hint="eastAsia"/>
          <w:lang w:val="en-US" w:eastAsia="zh-CN"/>
        </w:rPr>
        <w:instrText xml:space="preserve"> = 4 \* GB3 </w:instrText>
      </w:r>
      <w:r>
        <w:rPr>
          <w:rFonts w:hint="eastAsia"/>
          <w:lang w:val="en-US" w:eastAsia="zh-CN"/>
        </w:rPr>
        <w:fldChar w:fldCharType="separate"/>
      </w:r>
      <w:r>
        <w:rPr>
          <w:rFonts w:hint="eastAsia"/>
          <w:lang w:val="en-US" w:eastAsia="zh-CN"/>
        </w:rPr>
        <w:t>④</w:t>
      </w:r>
      <w:r>
        <w:rPr>
          <w:rFonts w:hint="eastAsia"/>
          <w:lang w:val="en-US" w:eastAsia="zh-CN"/>
        </w:rPr>
        <w:fldChar w:fldCharType="end"/>
      </w:r>
      <w:r>
        <w:rPr>
          <w:rFonts w:hint="eastAsia"/>
          <w:lang w:val="en-US" w:eastAsia="zh-CN"/>
        </w:rPr>
        <w:t xml:space="preserve"> 重金属测定。将烘干的植物样品磨碎后，采用电热板消解，利用电感耦</w:t>
      </w:r>
      <w:r>
        <w:rPr>
          <w:rFonts w:hint="eastAsia"/>
          <w:b w:val="0"/>
          <w:bCs w:val="0"/>
          <w:sz w:val="32"/>
          <w:szCs w:val="32"/>
          <w:lang w:val="en-US" w:eastAsia="zh-CN"/>
        </w:rPr>
        <w:t>合等离子发射光谱仪，测定其中的Zn、Pb、Cd、Cu重金属离子含量（下文的重金属测定均为此方法）。</w:t>
      </w:r>
    </w:p>
    <w:p>
      <w:pPr>
        <w:pStyle w:val="4"/>
        <w:pageBreakBefore w:val="0"/>
        <w:widowControl w:val="0"/>
        <w:kinsoku/>
        <w:wordWrap/>
        <w:overflowPunct/>
        <w:topLinePunct w:val="0"/>
        <w:autoSpaceDE/>
        <w:autoSpaceDN/>
        <w:bidi w:val="0"/>
        <w:adjustRightInd/>
        <w:snapToGrid/>
        <w:spacing w:before="0" w:after="0" w:line="360" w:lineRule="auto"/>
        <w:rPr>
          <w:rFonts w:hint="eastAsia"/>
          <w:b w:val="0"/>
          <w:bCs w:val="0"/>
          <w:sz w:val="32"/>
          <w:szCs w:val="32"/>
          <w:lang w:val="en-US" w:eastAsia="zh-CN"/>
        </w:rPr>
      </w:pPr>
      <w:bookmarkStart w:id="11" w:name="_Toc448698471"/>
      <w:bookmarkStart w:id="12" w:name="_Toc487707622"/>
      <w:bookmarkStart w:id="13" w:name="_Toc448698446"/>
      <w:r>
        <w:rPr>
          <w:rFonts w:hint="eastAsia"/>
          <w:b w:val="0"/>
          <w:bCs w:val="0"/>
          <w:sz w:val="32"/>
          <w:szCs w:val="32"/>
          <w:lang w:val="en-US" w:eastAsia="zh-CN"/>
        </w:rPr>
        <w:t>2.2 实验结果</w:t>
      </w:r>
      <w:bookmarkEnd w:id="9"/>
      <w:bookmarkEnd w:id="11"/>
      <w:bookmarkEnd w:id="12"/>
      <w:bookmarkEnd w:id="13"/>
    </w:p>
    <w:p>
      <w:pPr>
        <w:pStyle w:val="4"/>
        <w:pageBreakBefore w:val="0"/>
        <w:widowControl w:val="0"/>
        <w:kinsoku/>
        <w:wordWrap/>
        <w:overflowPunct/>
        <w:topLinePunct w:val="0"/>
        <w:autoSpaceDE/>
        <w:autoSpaceDN/>
        <w:bidi w:val="0"/>
        <w:adjustRightInd/>
        <w:snapToGrid/>
        <w:spacing w:before="0" w:after="0" w:line="360" w:lineRule="auto"/>
        <w:rPr>
          <w:b w:val="0"/>
          <w:bCs w:val="0"/>
          <w:sz w:val="32"/>
          <w:szCs w:val="32"/>
        </w:rPr>
      </w:pPr>
      <w:bookmarkStart w:id="14" w:name="_Toc448698472"/>
      <w:bookmarkStart w:id="15" w:name="_Toc382600440"/>
      <w:bookmarkStart w:id="16" w:name="_Toc487707623"/>
      <w:r>
        <w:rPr>
          <w:rFonts w:hint="eastAsia"/>
          <w:b w:val="0"/>
          <w:bCs w:val="0"/>
          <w:sz w:val="32"/>
          <w:szCs w:val="32"/>
          <w:lang w:val="en-US" w:eastAsia="zh-CN"/>
        </w:rPr>
        <w:t>2</w:t>
      </w:r>
      <w:r>
        <w:rPr>
          <w:b w:val="0"/>
          <w:bCs w:val="0"/>
          <w:sz w:val="32"/>
          <w:szCs w:val="32"/>
        </w:rPr>
        <w:t xml:space="preserve">.2.1 </w:t>
      </w:r>
      <w:bookmarkEnd w:id="14"/>
      <w:bookmarkEnd w:id="15"/>
      <w:r>
        <w:rPr>
          <w:b w:val="0"/>
          <w:bCs w:val="0"/>
          <w:sz w:val="32"/>
          <w:szCs w:val="32"/>
        </w:rPr>
        <w:t>四种植物水培生长情况</w:t>
      </w:r>
      <w:bookmarkEnd w:id="16"/>
    </w:p>
    <w:p>
      <w:pPr>
        <w:pStyle w:val="2"/>
        <w:pageBreakBefore w:val="0"/>
        <w:widowControl w:val="0"/>
        <w:kinsoku/>
        <w:wordWrap/>
        <w:overflowPunct/>
        <w:topLinePunct w:val="0"/>
        <w:autoSpaceDE/>
        <w:autoSpaceDN/>
        <w:bidi w:val="0"/>
        <w:adjustRightInd/>
        <w:snapToGrid/>
        <w:spacing w:after="0"/>
        <w:rPr>
          <w:rFonts w:hint="eastAsia"/>
          <w:lang w:val="en-US" w:eastAsia="zh-CN"/>
        </w:rPr>
      </w:pPr>
      <w:bookmarkStart w:id="17" w:name="_Toc382600441"/>
      <w:r>
        <w:rPr>
          <w:rFonts w:hint="eastAsia"/>
          <w:lang w:val="en-US" w:eastAsia="zh-CN"/>
        </w:rPr>
        <w:t>将四种植物放在对应的培养液中培养，每两天更换一次培养液。每周将水培筛选组与空白对照组比较，观察四种植物的生长状况，四种植物水培生长状况见表4。</w:t>
      </w:r>
    </w:p>
    <w:p>
      <w:pPr>
        <w:pStyle w:val="2"/>
        <w:rPr>
          <w:rFonts w:hint="eastAsia"/>
          <w:lang w:val="en-US" w:eastAsia="zh-CN"/>
        </w:rPr>
      </w:pPr>
      <w:r>
        <w:rPr>
          <w:rFonts w:hint="eastAsia"/>
          <w:lang w:val="en-US" w:eastAsia="zh-CN"/>
        </w:rPr>
        <w:t>香蒲筛选组与对照组老叶在第三周都出现枯死现象，说明香蒲老叶的枯死与重金属的加入无关，可能原因是香蒲须根较少，移栽成活率较低。在老叶枯死的同时，香蒲可以萌发出新芽并正常的生长，未出现中毒的现象。菖蒲、风车草筛选组与对照组在四周的培养中无显著的变化，说明两者对一定浓度的混合重金属溶液有较好的耐受性。芦苇筛选组在三周时老叶出现枯萎现象，空白对照组生长正常，老叶的枯萎与混合重金属的加入有关。因此，菖蒲、风车草易于移植，并且对混合重金属表现出了较好的耐受性。</w:t>
      </w:r>
    </w:p>
    <w:p>
      <w:pPr>
        <w:pStyle w:val="23"/>
        <w:spacing w:before="156" w:beforeLines="50" w:line="360" w:lineRule="auto"/>
        <w:rPr>
          <w:rFonts w:hint="eastAsia" w:eastAsia="宋体"/>
          <w:kern w:val="2"/>
          <w:sz w:val="21"/>
          <w:szCs w:val="21"/>
          <w:lang w:val="en-US" w:eastAsia="zh-CN"/>
        </w:rPr>
      </w:pPr>
      <w:r>
        <w:rPr>
          <w:rFonts w:hint="eastAsia" w:eastAsia="宋体"/>
          <w:kern w:val="2"/>
          <w:sz w:val="21"/>
          <w:szCs w:val="21"/>
          <w:lang w:val="en-US" w:eastAsia="zh-CN"/>
        </w:rPr>
        <w:t>表4植物水培生长情况</w:t>
      </w:r>
    </w:p>
    <w:tbl>
      <w:tblPr>
        <w:tblStyle w:val="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8"/>
        <w:gridCol w:w="1978"/>
        <w:gridCol w:w="2145"/>
        <w:gridCol w:w="2426"/>
        <w:gridCol w:w="21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dxa"/>
            <w:shd w:val="clear" w:color="auto" w:fill="auto"/>
            <w:noWrap w:val="0"/>
            <w:vAlign w:val="center"/>
          </w:tcPr>
          <w:p>
            <w:pPr>
              <w:keepNext w:val="0"/>
              <w:keepLines w:val="0"/>
              <w:pageBreakBefore w:val="0"/>
              <w:widowControl w:val="0"/>
              <w:suppressLineNumbers w:val="0"/>
              <w:tabs>
                <w:tab w:val="center" w:pos="821"/>
              </w:tabs>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default"/>
                <w:kern w:val="0"/>
                <w:sz w:val="24"/>
                <w:szCs w:val="18"/>
              </w:rPr>
            </w:pPr>
            <w:r>
              <w:rPr>
                <w:rFonts w:hint="default"/>
                <w:kern w:val="0"/>
                <w:sz w:val="24"/>
                <w:szCs w:val="18"/>
              </w:rPr>
              <w:t>品种</w:t>
            </w:r>
          </w:p>
        </w:tc>
        <w:tc>
          <w:tcPr>
            <w:tcW w:w="1978"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default"/>
                <w:kern w:val="0"/>
                <w:sz w:val="24"/>
                <w:szCs w:val="18"/>
              </w:rPr>
            </w:pPr>
            <w:r>
              <w:rPr>
                <w:rFonts w:hint="default"/>
                <w:kern w:val="0"/>
                <w:sz w:val="24"/>
                <w:szCs w:val="18"/>
              </w:rPr>
              <w:t>第一周</w:t>
            </w:r>
          </w:p>
        </w:tc>
        <w:tc>
          <w:tcPr>
            <w:tcW w:w="214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default"/>
                <w:kern w:val="0"/>
                <w:sz w:val="24"/>
                <w:szCs w:val="18"/>
              </w:rPr>
            </w:pPr>
            <w:r>
              <w:rPr>
                <w:rFonts w:hint="default"/>
                <w:kern w:val="0"/>
                <w:sz w:val="24"/>
                <w:szCs w:val="18"/>
              </w:rPr>
              <w:t>第二周</w:t>
            </w:r>
          </w:p>
        </w:tc>
        <w:tc>
          <w:tcPr>
            <w:tcW w:w="2426"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default"/>
                <w:kern w:val="0"/>
                <w:sz w:val="24"/>
                <w:szCs w:val="18"/>
              </w:rPr>
            </w:pPr>
            <w:r>
              <w:rPr>
                <w:rFonts w:hint="default"/>
                <w:kern w:val="0"/>
                <w:sz w:val="24"/>
                <w:szCs w:val="18"/>
              </w:rPr>
              <w:t>第三周</w:t>
            </w:r>
          </w:p>
        </w:tc>
        <w:tc>
          <w:tcPr>
            <w:tcW w:w="2199"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default"/>
                <w:kern w:val="0"/>
                <w:sz w:val="24"/>
                <w:szCs w:val="18"/>
              </w:rPr>
            </w:pPr>
            <w:r>
              <w:rPr>
                <w:rFonts w:hint="default"/>
                <w:kern w:val="0"/>
                <w:sz w:val="24"/>
                <w:szCs w:val="18"/>
              </w:rPr>
              <w:t>第四周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default"/>
                <w:sz w:val="24"/>
                <w:szCs w:val="21"/>
              </w:rPr>
            </w:pPr>
            <w:r>
              <w:rPr>
                <w:rFonts w:hint="default"/>
                <w:sz w:val="24"/>
                <w:szCs w:val="21"/>
              </w:rPr>
              <w:t>香蒲</w:t>
            </w:r>
          </w:p>
        </w:tc>
        <w:tc>
          <w:tcPr>
            <w:tcW w:w="1978"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筛选组与对照组根部都有须根长出，老根部分死亡</w:t>
            </w:r>
          </w:p>
        </w:tc>
        <w:tc>
          <w:tcPr>
            <w:tcW w:w="214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筛选组与对照组老叶一半枯黄，有新芽长出</w:t>
            </w:r>
          </w:p>
        </w:tc>
        <w:tc>
          <w:tcPr>
            <w:tcW w:w="2426"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筛选组与对照组老叶全部枯死，新芽长成新苗</w:t>
            </w:r>
          </w:p>
        </w:tc>
        <w:tc>
          <w:tcPr>
            <w:tcW w:w="2199"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筛选组与对照组老叶根部开始死亡，新苗根部根须正常生长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default"/>
                <w:sz w:val="24"/>
                <w:szCs w:val="21"/>
              </w:rPr>
            </w:pPr>
            <w:r>
              <w:rPr>
                <w:rFonts w:hint="default"/>
                <w:sz w:val="24"/>
                <w:szCs w:val="21"/>
              </w:rPr>
              <w:t>菖蒲</w:t>
            </w:r>
          </w:p>
        </w:tc>
        <w:tc>
          <w:tcPr>
            <w:tcW w:w="1978"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筛选组与对照组生长缓慢，无明显变化</w:t>
            </w:r>
          </w:p>
        </w:tc>
        <w:tc>
          <w:tcPr>
            <w:tcW w:w="214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筛选组与对照组根部都有须根长出，叶片无明显变化</w:t>
            </w:r>
          </w:p>
        </w:tc>
        <w:tc>
          <w:tcPr>
            <w:tcW w:w="2426"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筛选组与对照组无明显差别，两组根部都有侧芽长出，叶片底部有虫卵出现。</w:t>
            </w:r>
          </w:p>
        </w:tc>
        <w:tc>
          <w:tcPr>
            <w:tcW w:w="2199"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筛选组与对照组老叶无明显差别，两组根部侧芽生长正常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default"/>
                <w:sz w:val="24"/>
                <w:szCs w:val="21"/>
              </w:rPr>
            </w:pPr>
            <w:r>
              <w:rPr>
                <w:rFonts w:hint="default"/>
                <w:sz w:val="24"/>
                <w:szCs w:val="21"/>
              </w:rPr>
              <w:t>芦苇</w:t>
            </w:r>
          </w:p>
        </w:tc>
        <w:tc>
          <w:tcPr>
            <w:tcW w:w="1978"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筛选组与对照组根部都有须根长出，筛选组叶尖有发黄现象</w:t>
            </w:r>
          </w:p>
        </w:tc>
        <w:tc>
          <w:tcPr>
            <w:tcW w:w="214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筛选组叶尖有发黄现象减退，筛选组与对照组都有新叶长出</w:t>
            </w:r>
          </w:p>
        </w:tc>
        <w:tc>
          <w:tcPr>
            <w:tcW w:w="2426"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筛选组老叶叶尖有枯萎的现象，新叶也明显变化，对照组生长良好</w:t>
            </w:r>
          </w:p>
        </w:tc>
        <w:tc>
          <w:tcPr>
            <w:tcW w:w="2199"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筛选组老叶叶尖有枯萎的现象加重，新叶生长缓慢，对照组生长良好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default"/>
                <w:sz w:val="24"/>
                <w:szCs w:val="21"/>
              </w:rPr>
            </w:pPr>
            <w:r>
              <w:rPr>
                <w:rFonts w:hint="default"/>
                <w:sz w:val="24"/>
                <w:szCs w:val="21"/>
              </w:rPr>
              <w:t>风车草</w:t>
            </w:r>
          </w:p>
        </w:tc>
        <w:tc>
          <w:tcPr>
            <w:tcW w:w="1978"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筛选组与对照组根部都有须根长出，根部有新芽长出</w:t>
            </w:r>
          </w:p>
        </w:tc>
        <w:tc>
          <w:tcPr>
            <w:tcW w:w="214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筛选组与对照组新芽生长正常，老叶无异常，新芽长成新苗</w:t>
            </w:r>
          </w:p>
        </w:tc>
        <w:tc>
          <w:tcPr>
            <w:tcW w:w="2426"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筛选组与对照组无明显差别，新苗正常生长</w:t>
            </w:r>
          </w:p>
        </w:tc>
        <w:tc>
          <w:tcPr>
            <w:tcW w:w="2199"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textAlignment w:val="auto"/>
              <w:rPr>
                <w:rFonts w:hint="default"/>
                <w:kern w:val="0"/>
                <w:sz w:val="24"/>
                <w:szCs w:val="18"/>
              </w:rPr>
            </w:pPr>
            <w:r>
              <w:rPr>
                <w:rFonts w:hint="default"/>
                <w:kern w:val="0"/>
                <w:sz w:val="24"/>
                <w:szCs w:val="18"/>
              </w:rPr>
              <w:t>筛选组与对照组无明显差别，新苗长高。</w:t>
            </w:r>
          </w:p>
        </w:tc>
      </w:tr>
      <w:bookmarkEnd w:id="17"/>
    </w:tbl>
    <w:p>
      <w:pPr>
        <w:pStyle w:val="4"/>
        <w:spacing w:before="0" w:after="156" w:afterLines="50" w:line="360" w:lineRule="auto"/>
        <w:rPr>
          <w:b w:val="0"/>
          <w:bCs w:val="0"/>
          <w:sz w:val="32"/>
          <w:szCs w:val="32"/>
        </w:rPr>
      </w:pPr>
      <w:bookmarkStart w:id="18" w:name="_Toc382600450"/>
      <w:bookmarkStart w:id="19" w:name="_Toc448698473"/>
      <w:bookmarkStart w:id="20" w:name="_Toc487707624"/>
      <w:r>
        <w:rPr>
          <w:rFonts w:hint="eastAsia"/>
          <w:b w:val="0"/>
          <w:bCs w:val="0"/>
          <w:sz w:val="32"/>
          <w:szCs w:val="32"/>
          <w:lang w:val="en-US" w:eastAsia="zh-CN"/>
        </w:rPr>
        <w:t>2</w:t>
      </w:r>
      <w:r>
        <w:rPr>
          <w:b w:val="0"/>
          <w:bCs w:val="0"/>
          <w:sz w:val="32"/>
          <w:szCs w:val="32"/>
        </w:rPr>
        <w:t xml:space="preserve">.2.2 </w:t>
      </w:r>
      <w:bookmarkEnd w:id="18"/>
      <w:bookmarkEnd w:id="19"/>
      <w:r>
        <w:rPr>
          <w:b w:val="0"/>
          <w:bCs w:val="0"/>
          <w:sz w:val="32"/>
          <w:szCs w:val="32"/>
        </w:rPr>
        <w:t>四种植物体内重金属富集特征</w:t>
      </w:r>
      <w:bookmarkEnd w:id="20"/>
    </w:p>
    <w:p>
      <w:pPr>
        <w:spacing w:line="360" w:lineRule="auto"/>
        <w:ind w:firstLine="640" w:firstLineChars="200"/>
        <w:rPr>
          <w:rFonts w:hint="eastAsia"/>
          <w:sz w:val="24"/>
        </w:rPr>
      </w:pPr>
      <w:bookmarkStart w:id="21" w:name="_Toc448698474"/>
      <w:bookmarkStart w:id="22" w:name="_Toc382600455"/>
      <w:r>
        <w:rPr>
          <w:sz w:val="32"/>
          <w:szCs w:val="32"/>
        </w:rPr>
        <w:t>将四种植物(水培筛选每组3株)从不同处理中的培养液中取出，用不锈钢刀将根部及地上部茎、叶分离，经过清洗，杀青，烘干，称量，研磨，消解后测得生物量及四种不同植物的各个器官的重金属含量见表</w:t>
      </w:r>
      <w:r>
        <w:rPr>
          <w:rFonts w:hint="eastAsia"/>
          <w:sz w:val="32"/>
          <w:szCs w:val="32"/>
          <w:lang w:val="en-US" w:eastAsia="zh-CN"/>
        </w:rPr>
        <w:t>5</w:t>
      </w:r>
      <w:r>
        <w:rPr>
          <w:sz w:val="32"/>
          <w:szCs w:val="32"/>
        </w:rPr>
        <w:t>，并且计算出各种植物对四种重金属元素的富集以及迁移系数</w:t>
      </w:r>
      <w:r>
        <w:rPr>
          <w:rFonts w:hint="eastAsia"/>
          <w:sz w:val="32"/>
          <w:szCs w:val="32"/>
          <w:lang w:eastAsia="zh-CN"/>
        </w:rPr>
        <w:t>，</w:t>
      </w:r>
      <w:r>
        <w:rPr>
          <w:rFonts w:hint="eastAsia"/>
          <w:sz w:val="32"/>
          <w:szCs w:val="32"/>
          <w:lang w:val="en-US" w:eastAsia="zh-CN"/>
        </w:rPr>
        <w:t>见图2、图3</w:t>
      </w:r>
      <w:r>
        <w:rPr>
          <w:sz w:val="32"/>
          <w:szCs w:val="32"/>
        </w:rPr>
        <w:t>。</w:t>
      </w:r>
    </w:p>
    <w:p>
      <w:pPr>
        <w:pStyle w:val="23"/>
        <w:spacing w:before="156" w:beforeLines="50" w:line="360" w:lineRule="auto"/>
        <w:rPr>
          <w:rFonts w:hint="eastAsia" w:eastAsia="宋体"/>
          <w:kern w:val="2"/>
          <w:sz w:val="21"/>
          <w:szCs w:val="21"/>
          <w:lang w:val="en-US" w:eastAsia="zh-CN"/>
        </w:rPr>
      </w:pPr>
      <w:r>
        <w:rPr>
          <w:rFonts w:hint="eastAsia" w:eastAsia="宋体"/>
          <w:kern w:val="2"/>
          <w:sz w:val="21"/>
          <w:szCs w:val="21"/>
          <w:lang w:val="en-US" w:eastAsia="zh-CN"/>
        </w:rPr>
        <w:t>表5 四种植物生物量及器官重金属含量</w:t>
      </w:r>
    </w:p>
    <w:tbl>
      <w:tblPr>
        <w:tblStyle w:val="8"/>
        <w:tblW w:w="9286" w:type="dxa"/>
        <w:jc w:val="center"/>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25"/>
        <w:gridCol w:w="1732"/>
        <w:gridCol w:w="1554"/>
        <w:gridCol w:w="1541"/>
        <w:gridCol w:w="1567"/>
        <w:gridCol w:w="1567"/>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tcBorders>
              <w:top w:val="single" w:color="auto" w:sz="8" w:space="0"/>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kern w:val="0"/>
                <w:sz w:val="24"/>
                <w:szCs w:val="18"/>
              </w:rPr>
              <w:t>植物器官</w:t>
            </w:r>
          </w:p>
        </w:tc>
        <w:tc>
          <w:tcPr>
            <w:tcW w:w="1732" w:type="dxa"/>
            <w:tcBorders>
              <w:top w:val="single" w:color="auto" w:sz="8" w:space="0"/>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kern w:val="0"/>
                <w:sz w:val="24"/>
                <w:szCs w:val="18"/>
              </w:rPr>
              <w:t>生物量（g）</w:t>
            </w:r>
          </w:p>
        </w:tc>
        <w:tc>
          <w:tcPr>
            <w:tcW w:w="1554" w:type="dxa"/>
            <w:tcBorders>
              <w:top w:val="single" w:color="auto" w:sz="8" w:space="0"/>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Zn(</w:t>
            </w:r>
            <w:r>
              <w:rPr>
                <w:rFonts w:hint="default"/>
                <w:kern w:val="0"/>
                <w:sz w:val="24"/>
                <w:szCs w:val="18"/>
              </w:rPr>
              <w:t>mg</w:t>
            </w:r>
            <w:r>
              <w:rPr>
                <w:rFonts w:hint="default"/>
                <w:sz w:val="24"/>
                <w:szCs w:val="18"/>
              </w:rPr>
              <w:t>/</w:t>
            </w:r>
            <w:r>
              <w:rPr>
                <w:rFonts w:hint="default"/>
                <w:kern w:val="0"/>
                <w:sz w:val="24"/>
                <w:szCs w:val="18"/>
              </w:rPr>
              <w:t>kg</w:t>
            </w:r>
            <w:r>
              <w:rPr>
                <w:rFonts w:hint="default"/>
                <w:sz w:val="24"/>
                <w:szCs w:val="18"/>
                <w:vertAlign w:val="superscript"/>
              </w:rPr>
              <w:t xml:space="preserve"> </w:t>
            </w:r>
            <w:r>
              <w:rPr>
                <w:rFonts w:hint="default"/>
                <w:sz w:val="24"/>
                <w:szCs w:val="18"/>
              </w:rPr>
              <w:t>)</w:t>
            </w:r>
          </w:p>
        </w:tc>
        <w:tc>
          <w:tcPr>
            <w:tcW w:w="1541" w:type="dxa"/>
            <w:tcBorders>
              <w:top w:val="single" w:color="auto" w:sz="8" w:space="0"/>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Pb(</w:t>
            </w:r>
            <w:r>
              <w:rPr>
                <w:rFonts w:hint="default"/>
                <w:kern w:val="0"/>
                <w:sz w:val="24"/>
                <w:szCs w:val="18"/>
              </w:rPr>
              <w:t>mg</w:t>
            </w:r>
            <w:r>
              <w:rPr>
                <w:rFonts w:hint="default"/>
                <w:sz w:val="24"/>
                <w:szCs w:val="18"/>
              </w:rPr>
              <w:t>/</w:t>
            </w:r>
            <w:r>
              <w:rPr>
                <w:rFonts w:hint="default"/>
                <w:kern w:val="0"/>
                <w:sz w:val="24"/>
                <w:szCs w:val="18"/>
              </w:rPr>
              <w:t>kg</w:t>
            </w:r>
            <w:r>
              <w:rPr>
                <w:rFonts w:hint="default"/>
                <w:sz w:val="24"/>
                <w:szCs w:val="18"/>
              </w:rPr>
              <w:t>)</w:t>
            </w:r>
          </w:p>
        </w:tc>
        <w:tc>
          <w:tcPr>
            <w:tcW w:w="1567" w:type="dxa"/>
            <w:tcBorders>
              <w:top w:val="single" w:color="auto" w:sz="8" w:space="0"/>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Cd(</w:t>
            </w:r>
            <w:r>
              <w:rPr>
                <w:rFonts w:hint="default"/>
                <w:kern w:val="0"/>
                <w:sz w:val="24"/>
                <w:szCs w:val="18"/>
              </w:rPr>
              <w:t>mg</w:t>
            </w:r>
            <w:r>
              <w:rPr>
                <w:rFonts w:hint="default"/>
                <w:sz w:val="24"/>
                <w:szCs w:val="18"/>
              </w:rPr>
              <w:t>/</w:t>
            </w:r>
            <w:r>
              <w:rPr>
                <w:rFonts w:hint="default"/>
                <w:kern w:val="0"/>
                <w:sz w:val="24"/>
                <w:szCs w:val="18"/>
              </w:rPr>
              <w:t>kg</w:t>
            </w:r>
            <w:r>
              <w:rPr>
                <w:rFonts w:hint="default"/>
                <w:sz w:val="24"/>
                <w:szCs w:val="18"/>
              </w:rPr>
              <w:t>)</w:t>
            </w:r>
          </w:p>
        </w:tc>
        <w:tc>
          <w:tcPr>
            <w:tcW w:w="1567" w:type="dxa"/>
            <w:tcBorders>
              <w:top w:val="single" w:color="auto" w:sz="8" w:space="0"/>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Cu(</w:t>
            </w:r>
            <w:r>
              <w:rPr>
                <w:rFonts w:hint="default"/>
                <w:kern w:val="0"/>
                <w:sz w:val="24"/>
                <w:szCs w:val="18"/>
              </w:rPr>
              <w:t>mg</w:t>
            </w:r>
            <w:r>
              <w:rPr>
                <w:rFonts w:hint="default"/>
                <w:sz w:val="24"/>
                <w:szCs w:val="18"/>
              </w:rPr>
              <w:t>/</w:t>
            </w:r>
            <w:r>
              <w:rPr>
                <w:rFonts w:hint="default"/>
                <w:kern w:val="0"/>
                <w:sz w:val="24"/>
                <w:szCs w:val="18"/>
              </w:rPr>
              <w:t>kg</w:t>
            </w:r>
            <w:r>
              <w:rPr>
                <w:rFonts w:hint="default"/>
                <w:sz w:val="24"/>
                <w:szCs w:val="18"/>
              </w:rPr>
              <w:t>)</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tcBorders>
              <w:top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bCs/>
                <w:sz w:val="24"/>
                <w:szCs w:val="18"/>
              </w:rPr>
              <w:t>香蒲叶</w:t>
            </w:r>
          </w:p>
        </w:tc>
        <w:tc>
          <w:tcPr>
            <w:tcW w:w="1732" w:type="dxa"/>
            <w:tcBorders>
              <w:top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1.30</w:t>
            </w:r>
          </w:p>
        </w:tc>
        <w:tc>
          <w:tcPr>
            <w:tcW w:w="1554" w:type="dxa"/>
            <w:tcBorders>
              <w:top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sz w:val="24"/>
                <w:szCs w:val="18"/>
              </w:rPr>
              <w:t>28.65</w:t>
            </w:r>
          </w:p>
        </w:tc>
        <w:tc>
          <w:tcPr>
            <w:tcW w:w="1541" w:type="dxa"/>
            <w:tcBorders>
              <w:top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10.68</w:t>
            </w:r>
          </w:p>
        </w:tc>
        <w:tc>
          <w:tcPr>
            <w:tcW w:w="1567" w:type="dxa"/>
            <w:tcBorders>
              <w:top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1.33</w:t>
            </w:r>
          </w:p>
        </w:tc>
        <w:tc>
          <w:tcPr>
            <w:tcW w:w="1567" w:type="dxa"/>
            <w:tcBorders>
              <w:top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5.20</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bCs/>
                <w:sz w:val="24"/>
                <w:szCs w:val="18"/>
              </w:rPr>
              <w:t>香蒲根</w:t>
            </w:r>
          </w:p>
        </w:tc>
        <w:tc>
          <w:tcPr>
            <w:tcW w:w="1732"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0.92</w:t>
            </w:r>
          </w:p>
        </w:tc>
        <w:tc>
          <w:tcPr>
            <w:tcW w:w="1554"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378.78</w:t>
            </w:r>
          </w:p>
        </w:tc>
        <w:tc>
          <w:tcPr>
            <w:tcW w:w="1541"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572.47</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28.34</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154.58</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菖蒲叶</w:t>
            </w:r>
          </w:p>
        </w:tc>
        <w:tc>
          <w:tcPr>
            <w:tcW w:w="1732"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1.06</w:t>
            </w:r>
          </w:p>
        </w:tc>
        <w:tc>
          <w:tcPr>
            <w:tcW w:w="1554"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116.20</w:t>
            </w:r>
          </w:p>
        </w:tc>
        <w:tc>
          <w:tcPr>
            <w:tcW w:w="1541"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25.82</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4.02</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16.98</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菖蒲根</w:t>
            </w:r>
          </w:p>
        </w:tc>
        <w:tc>
          <w:tcPr>
            <w:tcW w:w="1732"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1.02</w:t>
            </w:r>
          </w:p>
        </w:tc>
        <w:tc>
          <w:tcPr>
            <w:tcW w:w="1554"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sz w:val="24"/>
                <w:szCs w:val="18"/>
              </w:rPr>
              <w:t>177.14</w:t>
            </w:r>
          </w:p>
        </w:tc>
        <w:tc>
          <w:tcPr>
            <w:tcW w:w="1541"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299.97</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17.58</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87.57</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kern w:val="0"/>
                <w:sz w:val="24"/>
                <w:szCs w:val="18"/>
              </w:rPr>
              <w:t>芦苇叶</w:t>
            </w:r>
          </w:p>
        </w:tc>
        <w:tc>
          <w:tcPr>
            <w:tcW w:w="1732"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0.86</w:t>
            </w:r>
          </w:p>
        </w:tc>
        <w:tc>
          <w:tcPr>
            <w:tcW w:w="1554"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44.76</w:t>
            </w:r>
          </w:p>
        </w:tc>
        <w:tc>
          <w:tcPr>
            <w:tcW w:w="1541"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10.78</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5.87</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5.48</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kern w:val="0"/>
                <w:sz w:val="24"/>
                <w:szCs w:val="18"/>
              </w:rPr>
              <w:t>芦苇茎</w:t>
            </w:r>
          </w:p>
        </w:tc>
        <w:tc>
          <w:tcPr>
            <w:tcW w:w="1732"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1.13</w:t>
            </w:r>
          </w:p>
        </w:tc>
        <w:tc>
          <w:tcPr>
            <w:tcW w:w="1554"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57.82</w:t>
            </w:r>
          </w:p>
        </w:tc>
        <w:tc>
          <w:tcPr>
            <w:tcW w:w="1541"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7.90</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6.32</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5.53</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kern w:val="0"/>
                <w:sz w:val="24"/>
                <w:szCs w:val="18"/>
              </w:rPr>
              <w:t>芦苇根</w:t>
            </w:r>
          </w:p>
        </w:tc>
        <w:tc>
          <w:tcPr>
            <w:tcW w:w="1732"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0.97</w:t>
            </w:r>
          </w:p>
        </w:tc>
        <w:tc>
          <w:tcPr>
            <w:tcW w:w="1554"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90.23</w:t>
            </w:r>
          </w:p>
        </w:tc>
        <w:tc>
          <w:tcPr>
            <w:tcW w:w="1541"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52.89</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28.73</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18.78</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kern w:val="0"/>
                <w:sz w:val="24"/>
                <w:szCs w:val="18"/>
              </w:rPr>
              <w:t>风车草叶</w:t>
            </w:r>
          </w:p>
        </w:tc>
        <w:tc>
          <w:tcPr>
            <w:tcW w:w="1732"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0.85</w:t>
            </w:r>
          </w:p>
        </w:tc>
        <w:tc>
          <w:tcPr>
            <w:tcW w:w="1554"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236.79</w:t>
            </w:r>
          </w:p>
        </w:tc>
        <w:tc>
          <w:tcPr>
            <w:tcW w:w="1541"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29.26</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7.70</w:t>
            </w:r>
          </w:p>
        </w:tc>
        <w:tc>
          <w:tcPr>
            <w:tcW w:w="1567" w:type="dxa"/>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15.39</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tcBorders>
              <w:bottom w:val="nil"/>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kern w:val="0"/>
                <w:sz w:val="24"/>
                <w:szCs w:val="18"/>
              </w:rPr>
              <w:t>风车草茎</w:t>
            </w:r>
          </w:p>
        </w:tc>
        <w:tc>
          <w:tcPr>
            <w:tcW w:w="1732" w:type="dxa"/>
            <w:tcBorders>
              <w:bottom w:val="nil"/>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0.67</w:t>
            </w:r>
          </w:p>
        </w:tc>
        <w:tc>
          <w:tcPr>
            <w:tcW w:w="1554" w:type="dxa"/>
            <w:tcBorders>
              <w:bottom w:val="nil"/>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145.07</w:t>
            </w:r>
          </w:p>
        </w:tc>
        <w:tc>
          <w:tcPr>
            <w:tcW w:w="1541" w:type="dxa"/>
            <w:tcBorders>
              <w:bottom w:val="nil"/>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44.95</w:t>
            </w:r>
          </w:p>
        </w:tc>
        <w:tc>
          <w:tcPr>
            <w:tcW w:w="1567" w:type="dxa"/>
            <w:tcBorders>
              <w:bottom w:val="nil"/>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5.37</w:t>
            </w:r>
          </w:p>
        </w:tc>
        <w:tc>
          <w:tcPr>
            <w:tcW w:w="1567" w:type="dxa"/>
            <w:tcBorders>
              <w:bottom w:val="nil"/>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11.43</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325" w:type="dxa"/>
            <w:tcBorders>
              <w:top w:val="nil"/>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kern w:val="0"/>
                <w:sz w:val="24"/>
                <w:szCs w:val="18"/>
              </w:rPr>
            </w:pPr>
            <w:r>
              <w:rPr>
                <w:rFonts w:hint="default"/>
                <w:kern w:val="0"/>
                <w:sz w:val="24"/>
                <w:szCs w:val="18"/>
              </w:rPr>
              <w:t>风车草根</w:t>
            </w:r>
          </w:p>
        </w:tc>
        <w:tc>
          <w:tcPr>
            <w:tcW w:w="1732" w:type="dxa"/>
            <w:tcBorders>
              <w:top w:val="nil"/>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0.80</w:t>
            </w:r>
          </w:p>
        </w:tc>
        <w:tc>
          <w:tcPr>
            <w:tcW w:w="1554" w:type="dxa"/>
            <w:tcBorders>
              <w:top w:val="nil"/>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451.09</w:t>
            </w:r>
          </w:p>
        </w:tc>
        <w:tc>
          <w:tcPr>
            <w:tcW w:w="1541" w:type="dxa"/>
            <w:tcBorders>
              <w:top w:val="nil"/>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1249.36</w:t>
            </w:r>
          </w:p>
        </w:tc>
        <w:tc>
          <w:tcPr>
            <w:tcW w:w="1567" w:type="dxa"/>
            <w:tcBorders>
              <w:top w:val="nil"/>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43.15</w:t>
            </w:r>
          </w:p>
        </w:tc>
        <w:tc>
          <w:tcPr>
            <w:tcW w:w="1567" w:type="dxa"/>
            <w:tcBorders>
              <w:top w:val="nil"/>
              <w:bottom w:val="single" w:color="auto" w:sz="8"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sz w:val="24"/>
                <w:szCs w:val="18"/>
              </w:rPr>
            </w:pPr>
            <w:r>
              <w:rPr>
                <w:rFonts w:hint="default"/>
                <w:sz w:val="24"/>
                <w:szCs w:val="18"/>
              </w:rPr>
              <w:t>326.49</w:t>
            </w:r>
          </w:p>
        </w:tc>
      </w:tr>
    </w:tbl>
    <w:p>
      <w:pPr>
        <w:spacing w:before="156" w:beforeLines="50" w:line="360" w:lineRule="auto"/>
        <w:ind w:firstLine="640" w:firstLineChars="200"/>
        <w:rPr>
          <w:sz w:val="32"/>
          <w:szCs w:val="32"/>
        </w:rPr>
      </w:pPr>
      <w:r>
        <w:rPr>
          <w:sz w:val="32"/>
          <w:szCs w:val="32"/>
        </w:rPr>
        <w:t>四种植物各器官富集重金属的能力为：根＞叶、茎（表4.3），其中，风车草中的根部Zn、Pb、Cu的含量最高，其Pb的含量高达1249.36 mg/kg，芦苇和菖蒲的根部Cd的含量较高。</w:t>
      </w:r>
    </w:p>
    <w:p>
      <w:pPr>
        <w:ind w:firstLine="480" w:firstLineChars="200"/>
        <w:jc w:val="center"/>
        <w:rPr>
          <w:kern w:val="0"/>
          <w:sz w:val="24"/>
        </w:rPr>
      </w:pPr>
      <w:r>
        <w:rPr>
          <w:kern w:val="0"/>
          <w:sz w:val="24"/>
        </w:rPr>
        <w:drawing>
          <wp:anchor distT="0" distB="0" distL="114300" distR="114300" simplePos="0" relativeHeight="251660288" behindDoc="0" locked="0" layoutInCell="1" allowOverlap="1">
            <wp:simplePos x="0" y="0"/>
            <wp:positionH relativeFrom="column">
              <wp:posOffset>941070</wp:posOffset>
            </wp:positionH>
            <wp:positionV relativeFrom="paragraph">
              <wp:posOffset>250190</wp:posOffset>
            </wp:positionV>
            <wp:extent cx="4516755" cy="3037840"/>
            <wp:effectExtent l="0" t="0" r="17145" b="10160"/>
            <wp:wrapTopAndBottom/>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3"/>
                    <a:srcRect t="914" b="4340"/>
                    <a:stretch>
                      <a:fillRect/>
                    </a:stretch>
                  </pic:blipFill>
                  <pic:spPr>
                    <a:xfrm>
                      <a:off x="0" y="0"/>
                      <a:ext cx="4516755" cy="3037840"/>
                    </a:xfrm>
                    <a:prstGeom prst="rect">
                      <a:avLst/>
                    </a:prstGeom>
                    <a:noFill/>
                    <a:ln>
                      <a:noFill/>
                    </a:ln>
                  </pic:spPr>
                </pic:pic>
              </a:graphicData>
            </a:graphic>
          </wp:anchor>
        </w:drawing>
      </w:r>
    </w:p>
    <w:p>
      <w:pPr>
        <w:pStyle w:val="5"/>
        <w:jc w:val="center"/>
      </w:pPr>
      <w:r>
        <w:t xml:space="preserve">图 </w:t>
      </w:r>
      <w:r>
        <w:fldChar w:fldCharType="begin"/>
      </w:r>
      <w:r>
        <w:instrText xml:space="preserve"> SEQ 图 \* ARABIC </w:instrText>
      </w:r>
      <w:r>
        <w:fldChar w:fldCharType="separate"/>
      </w:r>
      <w:r>
        <w:t>2</w:t>
      </w:r>
      <w:r>
        <w:fldChar w:fldCharType="end"/>
      </w:r>
      <w:r>
        <w:rPr>
          <w:szCs w:val="21"/>
        </w:rPr>
        <w:t>四种植物对重金属的富集特征</w:t>
      </w:r>
    </w:p>
    <w:p>
      <w:pPr>
        <w:ind w:firstLine="480" w:firstLineChars="200"/>
        <w:jc w:val="center"/>
        <w:rPr>
          <w:kern w:val="0"/>
          <w:sz w:val="24"/>
        </w:rPr>
      </w:pPr>
    </w:p>
    <w:p>
      <w:pPr>
        <w:pStyle w:val="5"/>
        <w:jc w:val="center"/>
      </w:pPr>
      <w:r>
        <w:rPr>
          <w:kern w:val="0"/>
          <w:sz w:val="24"/>
        </w:rPr>
        <w:drawing>
          <wp:anchor distT="0" distB="0" distL="114300" distR="114300" simplePos="0" relativeHeight="251661312" behindDoc="0" locked="0" layoutInCell="1" allowOverlap="1">
            <wp:simplePos x="0" y="0"/>
            <wp:positionH relativeFrom="column">
              <wp:posOffset>756920</wp:posOffset>
            </wp:positionH>
            <wp:positionV relativeFrom="paragraph">
              <wp:posOffset>30480</wp:posOffset>
            </wp:positionV>
            <wp:extent cx="4284345" cy="2934970"/>
            <wp:effectExtent l="0" t="0" r="1905" b="17780"/>
            <wp:wrapTopAndBottom/>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4"/>
                    <a:srcRect t="2493" b="1324"/>
                    <a:stretch>
                      <a:fillRect/>
                    </a:stretch>
                  </pic:blipFill>
                  <pic:spPr>
                    <a:xfrm>
                      <a:off x="0" y="0"/>
                      <a:ext cx="4284345" cy="2934970"/>
                    </a:xfrm>
                    <a:prstGeom prst="rect">
                      <a:avLst/>
                    </a:prstGeom>
                    <a:noFill/>
                    <a:ln>
                      <a:noFill/>
                    </a:ln>
                  </pic:spPr>
                </pic:pic>
              </a:graphicData>
            </a:graphic>
          </wp:anchor>
        </w:drawing>
      </w:r>
      <w:r>
        <w:t xml:space="preserve">图 </w:t>
      </w:r>
      <w:r>
        <w:fldChar w:fldCharType="begin"/>
      </w:r>
      <w:r>
        <w:instrText xml:space="preserve"> SEQ 图 \* ARABIC </w:instrText>
      </w:r>
      <w:r>
        <w:fldChar w:fldCharType="separate"/>
      </w:r>
      <w:r>
        <w:t>3</w:t>
      </w:r>
      <w:r>
        <w:fldChar w:fldCharType="end"/>
      </w:r>
      <w:r>
        <w:rPr>
          <w:szCs w:val="21"/>
        </w:rPr>
        <w:t>四种植物对重金属的转移特征</w:t>
      </w:r>
    </w:p>
    <w:p>
      <w:pPr>
        <w:spacing w:before="156" w:beforeLines="50" w:line="360" w:lineRule="auto"/>
        <w:ind w:firstLine="640" w:firstLineChars="200"/>
        <w:rPr>
          <w:sz w:val="32"/>
          <w:szCs w:val="32"/>
        </w:rPr>
      </w:pPr>
      <w:r>
        <w:rPr>
          <w:sz w:val="32"/>
          <w:szCs w:val="32"/>
        </w:rPr>
        <w:t>在低浓度下混合重金属的培养下，风车草对Zn、Pb、Cu的富集效果最好（图4.1），其对Pb的富集系数高达456.78；菖蒲对Cd的富集系数最高，为217.42，风车草排在第二。四种重金属在菖蒲、芦苇中的迁移能力强于风车草和香蒲（图4.2），而重金属Zn的迁移能力在这几种植物中都要高于其他三种重金属元素。</w:t>
      </w:r>
    </w:p>
    <w:bookmarkEnd w:id="21"/>
    <w:bookmarkEnd w:id="22"/>
    <w:p>
      <w:pPr>
        <w:pStyle w:val="3"/>
        <w:spacing w:before="156" w:beforeLines="50" w:after="156" w:afterLines="50" w:line="360" w:lineRule="auto"/>
        <w:rPr>
          <w:rFonts w:ascii="Times New Roman" w:hAnsi="Times New Roman"/>
          <w:b w:val="0"/>
          <w:bCs w:val="0"/>
          <w:sz w:val="32"/>
          <w:szCs w:val="32"/>
        </w:rPr>
      </w:pPr>
      <w:bookmarkStart w:id="23" w:name="_Toc382600462"/>
      <w:bookmarkStart w:id="24" w:name="_Toc487707625"/>
      <w:bookmarkStart w:id="25" w:name="_Toc448698476"/>
      <w:r>
        <w:rPr>
          <w:rFonts w:hint="eastAsia" w:ascii="Times New Roman" w:hAnsi="Times New Roman"/>
          <w:b w:val="0"/>
          <w:bCs w:val="0"/>
          <w:sz w:val="32"/>
          <w:szCs w:val="32"/>
          <w:lang w:val="en-US" w:eastAsia="zh-CN"/>
        </w:rPr>
        <w:t>2</w:t>
      </w:r>
      <w:r>
        <w:rPr>
          <w:rFonts w:ascii="Times New Roman" w:hAnsi="Times New Roman"/>
          <w:b w:val="0"/>
          <w:bCs w:val="0"/>
          <w:sz w:val="32"/>
          <w:szCs w:val="32"/>
        </w:rPr>
        <w:t>.3 小结</w:t>
      </w:r>
      <w:bookmarkEnd w:id="23"/>
      <w:bookmarkEnd w:id="24"/>
      <w:bookmarkEnd w:id="25"/>
    </w:p>
    <w:p>
      <w:pPr>
        <w:spacing w:before="156" w:beforeLines="50" w:line="360" w:lineRule="auto"/>
        <w:ind w:firstLine="640" w:firstLineChars="200"/>
        <w:rPr>
          <w:sz w:val="32"/>
          <w:szCs w:val="32"/>
        </w:rPr>
      </w:pPr>
      <w:r>
        <w:rPr>
          <w:sz w:val="32"/>
          <w:szCs w:val="32"/>
        </w:rPr>
        <w:t>香蒲、菖蒲、芦苇和风车草对四种重金属元素的富集与迁移有着各自的特点，但是风车草和菖蒲相比于其他两种植物有更好的重金属富集能力和迁移能力。另相关研究表明李氏禾是一种湿生铬超富集植物，对铬有很强地耐受和富集能力，并在当地很常见，避免跟前人重复的工作量，不作水培实验，直接选作室内湿地模拟植物之一，因此最终确定的湿地净化植物为：风车草、菖蒲和李氏禾。</w:t>
      </w:r>
    </w:p>
    <w:p>
      <w:pPr>
        <w:pStyle w:val="2"/>
        <w:rPr>
          <w:rFonts w:hint="default"/>
          <w:lang w:val="en-US" w:eastAsia="zh-CN"/>
        </w:rPr>
      </w:pPr>
      <w:r>
        <w:rPr>
          <w:rFonts w:hint="eastAsia"/>
          <w:lang w:val="en-US" w:eastAsia="zh-CN"/>
        </w:rPr>
        <w:t>所以在选择</w:t>
      </w:r>
      <w:r>
        <w:rPr>
          <w:sz w:val="32"/>
          <w:szCs w:val="32"/>
        </w:rPr>
        <w:t>风车草、菖蒲和李氏禾</w:t>
      </w:r>
      <w:r>
        <w:rPr>
          <w:rFonts w:hint="eastAsia"/>
          <w:sz w:val="32"/>
          <w:szCs w:val="32"/>
          <w:lang w:val="en-US" w:eastAsia="zh-CN"/>
        </w:rPr>
        <w:t>的基础上，结合</w:t>
      </w:r>
      <w:r>
        <w:rPr>
          <w:rFonts w:hint="eastAsia"/>
          <w:lang w:val="en-US" w:eastAsia="zh-CN"/>
        </w:rPr>
        <w:t>HJ 2005—2010《人工湿地污水处理工程技术规范》的要求上界定为：表面流人工湿地可选菖蒲、灯芯草、浮萍、睡莲等植物，潜流人工湿地可选择芦苇、水芹、风车草、香蒲等植物。</w:t>
      </w:r>
    </w:p>
    <w:p>
      <w:pPr>
        <w:pStyle w:val="2"/>
        <w:numPr>
          <w:ilvl w:val="0"/>
          <w:numId w:val="6"/>
        </w:numPr>
        <w:rPr>
          <w:rFonts w:hint="eastAsia"/>
          <w:lang w:val="en-US" w:eastAsia="zh-CN"/>
        </w:rPr>
      </w:pPr>
      <w:r>
        <w:rPr>
          <w:rFonts w:hint="eastAsia"/>
          <w:lang w:val="en-US" w:eastAsia="zh-CN"/>
        </w:rPr>
        <w:t>防渗层、突发事故应急措施</w:t>
      </w:r>
    </w:p>
    <w:p>
      <w:pPr>
        <w:pStyle w:val="2"/>
        <w:rPr>
          <w:rFonts w:hint="eastAsia"/>
          <w:lang w:val="en-US" w:eastAsia="zh-CN"/>
        </w:rPr>
      </w:pPr>
      <w:r>
        <w:rPr>
          <w:rFonts w:hint="eastAsia"/>
          <w:lang w:val="en-US" w:eastAsia="zh-CN"/>
        </w:rPr>
        <w:t>主要依据HJ 2005—2010《人工湿地污水处理工程技术规范》的要求。</w:t>
      </w:r>
    </w:p>
    <w:p>
      <w:pPr>
        <w:pStyle w:val="2"/>
        <w:keepNext w:val="0"/>
        <w:keepLines w:val="0"/>
        <w:pageBreakBefore w:val="0"/>
        <w:widowControl w:val="0"/>
        <w:kinsoku/>
        <w:wordWrap/>
        <w:overflowPunct/>
        <w:topLinePunct w:val="0"/>
        <w:autoSpaceDE/>
        <w:autoSpaceDN/>
        <w:bidi w:val="0"/>
        <w:adjustRightInd/>
        <w:snapToGrid/>
        <w:ind w:firstLine="0" w:firstLineChars="0"/>
        <w:jc w:val="center"/>
        <w:textAlignment w:val="baseline"/>
      </w:pPr>
      <w:r>
        <w:drawing>
          <wp:inline distT="0" distB="0" distL="114300" distR="114300">
            <wp:extent cx="5062220" cy="675640"/>
            <wp:effectExtent l="9525" t="9525" r="14605" b="196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5"/>
                    <a:stretch>
                      <a:fillRect/>
                    </a:stretch>
                  </pic:blipFill>
                  <pic:spPr>
                    <a:xfrm>
                      <a:off x="0" y="0"/>
                      <a:ext cx="5062220" cy="675640"/>
                    </a:xfrm>
                    <a:prstGeom prst="rect">
                      <a:avLst/>
                    </a:prstGeom>
                    <a:noFill/>
                    <a:ln>
                      <a:solidFill>
                        <a:schemeClr val="tx1"/>
                      </a:solid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0" w:firstLineChars="0"/>
        <w:jc w:val="center"/>
        <w:textAlignment w:val="baseline"/>
        <w:rPr>
          <w:rFonts w:hint="default"/>
          <w:lang w:val="en-US" w:eastAsia="zh-CN"/>
        </w:rPr>
      </w:pPr>
      <w:r>
        <w:drawing>
          <wp:inline distT="0" distB="0" distL="114300" distR="114300">
            <wp:extent cx="5065395" cy="911225"/>
            <wp:effectExtent l="9525" t="9525" r="11430" b="1270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6"/>
                    <a:stretch>
                      <a:fillRect/>
                    </a:stretch>
                  </pic:blipFill>
                  <pic:spPr>
                    <a:xfrm>
                      <a:off x="0" y="0"/>
                      <a:ext cx="5065395" cy="911225"/>
                    </a:xfrm>
                    <a:prstGeom prst="rect">
                      <a:avLst/>
                    </a:prstGeom>
                    <a:noFill/>
                    <a:ln>
                      <a:solidFill>
                        <a:schemeClr val="tx1"/>
                      </a:solidFill>
                    </a:ln>
                  </pic:spPr>
                </pic:pic>
              </a:graphicData>
            </a:graphic>
          </wp:inline>
        </w:drawing>
      </w:r>
    </w:p>
    <w:p>
      <w:pPr>
        <w:pStyle w:val="2"/>
        <w:ind w:firstLine="640"/>
        <w:rPr>
          <w:b/>
          <w:bCs/>
        </w:rPr>
      </w:pPr>
      <w:r>
        <w:rPr>
          <w:rFonts w:hint="eastAsia" w:ascii="仿宋_GB2312" w:hAnsi="宋体" w:cs="Times New Roman"/>
          <w:b/>
          <w:bCs/>
          <w:color w:val="auto"/>
          <w:szCs w:val="28"/>
          <w:lang w:val="en-US" w:eastAsia="zh-CN"/>
        </w:rPr>
        <w:t>（五）</w:t>
      </w:r>
      <w:r>
        <w:rPr>
          <w:rFonts w:hint="eastAsia" w:ascii="仿宋_GB2312" w:hAnsi="宋体" w:eastAsia="仿宋_GB2312" w:cs="Times New Roman"/>
          <w:b/>
          <w:bCs/>
          <w:color w:val="auto"/>
          <w:szCs w:val="28"/>
          <w:lang w:val="en-US" w:eastAsia="zh-CN"/>
        </w:rPr>
        <w:t>施工与验收</w:t>
      </w:r>
    </w:p>
    <w:p>
      <w:pPr>
        <w:pStyle w:val="2"/>
        <w:ind w:firstLine="640"/>
      </w:pPr>
      <w:r>
        <w:rPr>
          <w:rFonts w:hint="eastAsia"/>
          <w:lang w:val="en-US" w:eastAsia="zh-CN"/>
        </w:rPr>
        <w:t>主要依据HJ 2005—2010《人工湿地污水处理工程技术规范》的要求进行确定，结合项目实际提出坡度宜为0.5°～1°，可以防止湿‎地内部发生‎回水，进水产生滞‎留阻塞等问‎题。</w:t>
      </w:r>
    </w:p>
    <w:p>
      <w:pPr>
        <w:pStyle w:val="2"/>
        <w:ind w:firstLine="640"/>
        <w:rPr>
          <w:rFonts w:hint="default" w:ascii="仿宋_GB2312" w:hAnsi="宋体" w:eastAsia="仿宋_GB2312" w:cs="Times New Roman"/>
          <w:b/>
          <w:bCs/>
          <w:color w:val="auto"/>
          <w:szCs w:val="28"/>
          <w:lang w:val="en-US" w:eastAsia="zh-CN"/>
        </w:rPr>
      </w:pPr>
      <w:r>
        <w:rPr>
          <w:rFonts w:hint="eastAsia" w:ascii="仿宋_GB2312" w:hAnsi="宋体" w:cs="Times New Roman"/>
          <w:b/>
          <w:bCs/>
          <w:color w:val="auto"/>
          <w:szCs w:val="28"/>
          <w:lang w:val="en-US" w:eastAsia="zh-CN"/>
        </w:rPr>
        <w:t>（六）</w:t>
      </w:r>
      <w:r>
        <w:rPr>
          <w:rFonts w:hint="eastAsia" w:ascii="仿宋_GB2312" w:hAnsi="宋体" w:eastAsia="仿宋_GB2312" w:cs="Times New Roman"/>
          <w:b/>
          <w:bCs/>
          <w:color w:val="auto"/>
          <w:szCs w:val="28"/>
          <w:lang w:val="en-US" w:eastAsia="zh-CN"/>
        </w:rPr>
        <w:t>项目运行情况</w:t>
      </w:r>
    </w:p>
    <w:p>
      <w:pPr>
        <w:pStyle w:val="2"/>
        <w:ind w:firstLine="640"/>
        <w:jc w:val="left"/>
        <w:rPr>
          <w:rFonts w:hint="eastAsia"/>
          <w:lang w:eastAsia="zh-CN"/>
        </w:rPr>
      </w:pPr>
      <w:r>
        <w:rPr>
          <w:rFonts w:hint="eastAsia"/>
        </w:rPr>
        <w:t>在桂林市阳朔县铅锌矿下游的思的村建设人工湿地示范基地，主要治理含Pb、Zn、Cd等离子的重金属微污染废水。示范工程面积</w:t>
      </w:r>
      <w:r>
        <w:rPr>
          <w:rFonts w:hint="eastAsia"/>
          <w:lang w:val="en-US" w:eastAsia="zh-CN"/>
        </w:rPr>
        <w:t>100m</w:t>
      </w:r>
      <w:r>
        <w:rPr>
          <w:rFonts w:hint="eastAsia"/>
          <w:vertAlign w:val="superscript"/>
          <w:lang w:val="en-US" w:eastAsia="zh-CN"/>
        </w:rPr>
        <w:t>3</w:t>
      </w:r>
      <w:r>
        <w:rPr>
          <w:rFonts w:hint="eastAsia"/>
        </w:rPr>
        <w:t>，日处理100m</w:t>
      </w:r>
      <w:r>
        <w:rPr>
          <w:rFonts w:hint="eastAsia"/>
          <w:vertAlign w:val="superscript"/>
        </w:rPr>
        <w:t>3</w:t>
      </w:r>
      <w:r>
        <w:rPr>
          <w:rFonts w:hint="eastAsia"/>
        </w:rPr>
        <w:t>，基质以土壤为主，以及河沙，石灰石级配碎石。在池底和池壁铺10 cm的细沙保护高密度聚乙烯膜</w:t>
      </w:r>
      <w:r>
        <w:rPr>
          <w:rFonts w:hint="eastAsia"/>
          <w:lang w:eastAsia="zh-CN"/>
        </w:rPr>
        <w:t>（</w:t>
      </w:r>
      <w:r>
        <w:rPr>
          <w:rFonts w:hint="eastAsia"/>
        </w:rPr>
        <w:t>HDPE膜</w:t>
      </w:r>
      <w:r>
        <w:rPr>
          <w:rFonts w:hint="eastAsia"/>
          <w:lang w:eastAsia="zh-CN"/>
        </w:rPr>
        <w:t>）</w:t>
      </w:r>
      <w:r>
        <w:rPr>
          <w:rFonts w:hint="eastAsia"/>
        </w:rPr>
        <w:t>，中间铺设40 cm的石灰石级配碎石，上层铺设20 cm的细沙和土壤的混合料</w:t>
      </w:r>
      <w:r>
        <w:rPr>
          <w:rFonts w:hint="eastAsia"/>
          <w:lang w:eastAsia="zh-CN"/>
        </w:rPr>
        <w:t>。</w:t>
      </w:r>
    </w:p>
    <w:p>
      <w:pPr>
        <w:pStyle w:val="2"/>
        <w:ind w:firstLine="640"/>
        <w:jc w:val="center"/>
      </w:pPr>
    </w:p>
    <w:p>
      <w:pPr>
        <w:pStyle w:val="2"/>
        <w:ind w:firstLine="640"/>
        <w:jc w:val="center"/>
      </w:pPr>
      <w:r>
        <w:drawing>
          <wp:inline distT="0" distB="0" distL="114300" distR="114300">
            <wp:extent cx="4580255" cy="3171825"/>
            <wp:effectExtent l="0" t="0" r="10795" b="952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7"/>
                    <a:stretch>
                      <a:fillRect/>
                    </a:stretch>
                  </pic:blipFill>
                  <pic:spPr>
                    <a:xfrm>
                      <a:off x="0" y="0"/>
                      <a:ext cx="4580255" cy="3171825"/>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ind w:firstLine="0" w:firstLineChars="0"/>
        <w:jc w:val="center"/>
        <w:textAlignment w:val="baseline"/>
        <w:rPr>
          <w:rFonts w:hint="eastAsia"/>
        </w:rPr>
      </w:pPr>
      <w:r>
        <w:drawing>
          <wp:inline distT="0" distB="0" distL="114300" distR="114300">
            <wp:extent cx="4540885" cy="3104515"/>
            <wp:effectExtent l="0" t="0" r="12065" b="635"/>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18"/>
                    <a:stretch>
                      <a:fillRect/>
                    </a:stretch>
                  </pic:blipFill>
                  <pic:spPr>
                    <a:xfrm>
                      <a:off x="0" y="0"/>
                      <a:ext cx="4540885" cy="3104515"/>
                    </a:xfrm>
                    <a:prstGeom prst="rect">
                      <a:avLst/>
                    </a:prstGeom>
                    <a:noFill/>
                    <a:ln>
                      <a:noFill/>
                    </a:ln>
                  </pic:spPr>
                </pic:pic>
              </a:graphicData>
            </a:graphic>
          </wp:inline>
        </w:drawing>
      </w:r>
    </w:p>
    <w:p>
      <w:pPr>
        <w:pStyle w:val="2"/>
        <w:ind w:firstLine="640"/>
        <w:jc w:val="left"/>
        <w:rPr>
          <w:rFonts w:hint="eastAsia"/>
          <w:b/>
          <w:bCs/>
          <w:lang w:eastAsia="zh-CN"/>
        </w:rPr>
      </w:pPr>
      <w:bookmarkStart w:id="26" w:name="_Toc487707662"/>
      <w:r>
        <w:rPr>
          <w:rFonts w:hint="eastAsia"/>
          <w:b/>
          <w:bCs/>
          <w:lang w:val="en-US" w:eastAsia="zh-CN"/>
        </w:rPr>
        <w:t>1、</w:t>
      </w:r>
      <w:r>
        <w:rPr>
          <w:rFonts w:hint="eastAsia"/>
          <w:b/>
          <w:bCs/>
          <w:lang w:eastAsia="zh-CN"/>
        </w:rPr>
        <w:t>基地运行效果</w:t>
      </w:r>
      <w:bookmarkEnd w:id="26"/>
    </w:p>
    <w:p>
      <w:pPr>
        <w:pStyle w:val="2"/>
        <w:ind w:firstLine="640"/>
        <w:jc w:val="left"/>
        <w:rPr>
          <w:rFonts w:hint="eastAsia"/>
          <w:lang w:eastAsia="zh-CN"/>
        </w:rPr>
      </w:pPr>
      <w:r>
        <w:rPr>
          <w:rFonts w:hint="eastAsia"/>
          <w:lang w:eastAsia="zh-CN"/>
        </w:rPr>
        <w:t>示范基地于2016年9中旬建成，于9月20日开始进水，进水水质为思的河河水，开始进水流量为50 m</w:t>
      </w:r>
      <w:r>
        <w:rPr>
          <w:rFonts w:hint="eastAsia"/>
          <w:vertAlign w:val="superscript"/>
          <w:lang w:eastAsia="zh-CN"/>
        </w:rPr>
        <w:t>3</w:t>
      </w:r>
      <w:r>
        <w:rPr>
          <w:rFonts w:hint="eastAsia"/>
          <w:lang w:eastAsia="zh-CN"/>
        </w:rPr>
        <w:t>/d，当湿地连续稳定运行两个月后，自11月底进水水量调至100m</w:t>
      </w:r>
      <w:r>
        <w:rPr>
          <w:rFonts w:hint="eastAsia"/>
          <w:vertAlign w:val="superscript"/>
          <w:lang w:eastAsia="zh-CN"/>
        </w:rPr>
        <w:t>3</w:t>
      </w:r>
      <w:r>
        <w:rPr>
          <w:rFonts w:hint="eastAsia"/>
          <w:lang w:eastAsia="zh-CN"/>
        </w:rPr>
        <w:t>/d。</w:t>
      </w:r>
    </w:p>
    <w:p>
      <w:pPr>
        <w:pStyle w:val="23"/>
        <w:spacing w:before="156" w:beforeLines="50" w:line="360" w:lineRule="auto"/>
        <w:rPr>
          <w:rFonts w:hint="eastAsia" w:eastAsia="宋体"/>
          <w:kern w:val="2"/>
          <w:sz w:val="21"/>
          <w:szCs w:val="21"/>
          <w:lang w:val="en-US" w:eastAsia="zh-CN"/>
        </w:rPr>
      </w:pPr>
      <w:r>
        <w:rPr>
          <w:rFonts w:hint="eastAsia" w:eastAsia="宋体"/>
          <w:kern w:val="2"/>
          <w:sz w:val="21"/>
          <w:szCs w:val="21"/>
          <w:lang w:val="en-US" w:eastAsia="zh-CN"/>
        </w:rPr>
        <w:t>表6湿地基地运行结果</w:t>
      </w:r>
    </w:p>
    <w:tbl>
      <w:tblPr>
        <w:tblStyle w:val="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11"/>
        <w:gridCol w:w="698"/>
        <w:gridCol w:w="701"/>
        <w:gridCol w:w="701"/>
        <w:gridCol w:w="711"/>
        <w:gridCol w:w="701"/>
        <w:gridCol w:w="701"/>
        <w:gridCol w:w="711"/>
        <w:gridCol w:w="701"/>
        <w:gridCol w:w="701"/>
        <w:gridCol w:w="712"/>
        <w:gridCol w:w="702"/>
        <w:gridCol w:w="6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vMerge w:val="restar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时间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textAlignment w:val="auto"/>
              <w:rPr>
                <w:rFonts w:hint="default"/>
                <w:sz w:val="22"/>
                <w:szCs w:val="16"/>
              </w:rPr>
            </w:pPr>
            <w:r>
              <w:rPr>
                <w:rFonts w:hint="default"/>
                <w:sz w:val="22"/>
                <w:szCs w:val="16"/>
              </w:rPr>
              <w:t>（月/日）</w:t>
            </w:r>
          </w:p>
        </w:tc>
        <w:tc>
          <w:tcPr>
            <w:tcW w:w="1153" w:type="pct"/>
            <w:gridSpan w:val="3"/>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Zn</w:t>
            </w:r>
          </w:p>
        </w:tc>
        <w:tc>
          <w:tcPr>
            <w:tcW w:w="1155" w:type="pct"/>
            <w:gridSpan w:val="3"/>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Pb</w:t>
            </w:r>
          </w:p>
        </w:tc>
        <w:tc>
          <w:tcPr>
            <w:tcW w:w="1155" w:type="pct"/>
            <w:gridSpan w:val="3"/>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Cd</w:t>
            </w:r>
          </w:p>
        </w:tc>
        <w:tc>
          <w:tcPr>
            <w:tcW w:w="1151" w:type="pct"/>
            <w:gridSpan w:val="3"/>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Cr</w:t>
            </w:r>
            <w:r>
              <w:rPr>
                <w:rFonts w:hint="default"/>
                <w:sz w:val="22"/>
                <w:szCs w:val="16"/>
                <w:vertAlign w:val="superscript"/>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vMerge w:val="continue"/>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textAlignment w:val="auto"/>
              <w:rPr>
                <w:rFonts w:hint="default"/>
                <w:sz w:val="22"/>
                <w:szCs w:val="16"/>
              </w:rPr>
            </w:pP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进水浓度</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出水浓度</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去除率</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进水浓度</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出水浓度</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去除率</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进水浓度</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出水浓度</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去除率</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进水浓度</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出水浓度</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去除率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vMerge w:val="continue"/>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textAlignment w:val="auto"/>
              <w:rPr>
                <w:rFonts w:hint="default"/>
                <w:sz w:val="22"/>
                <w:szCs w:val="16"/>
              </w:rPr>
            </w:pPr>
          </w:p>
        </w:tc>
        <w:tc>
          <w:tcPr>
            <w:tcW w:w="768" w:type="pct"/>
            <w:gridSpan w:val="2"/>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µg·L</w:t>
            </w:r>
            <w:r>
              <w:rPr>
                <w:rFonts w:hint="default"/>
                <w:sz w:val="22"/>
                <w:szCs w:val="16"/>
                <w:vertAlign w:val="superscript"/>
              </w:rPr>
              <w:t>-1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w:t>
            </w:r>
          </w:p>
        </w:tc>
        <w:tc>
          <w:tcPr>
            <w:tcW w:w="770" w:type="pct"/>
            <w:gridSpan w:val="2"/>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µg·L</w:t>
            </w:r>
            <w:r>
              <w:rPr>
                <w:rFonts w:hint="default"/>
                <w:sz w:val="22"/>
                <w:szCs w:val="16"/>
                <w:vertAlign w:val="superscript"/>
              </w:rPr>
              <w:t>-1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w:t>
            </w:r>
          </w:p>
        </w:tc>
        <w:tc>
          <w:tcPr>
            <w:tcW w:w="770" w:type="pct"/>
            <w:gridSpan w:val="2"/>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µg·L</w:t>
            </w:r>
            <w:r>
              <w:rPr>
                <w:rFonts w:hint="default"/>
                <w:sz w:val="22"/>
                <w:szCs w:val="16"/>
                <w:vertAlign w:val="superscript"/>
              </w:rPr>
              <w:t>-1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w:t>
            </w:r>
          </w:p>
        </w:tc>
        <w:tc>
          <w:tcPr>
            <w:tcW w:w="770" w:type="pct"/>
            <w:gridSpan w:val="2"/>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µg·L</w:t>
            </w:r>
            <w:r>
              <w:rPr>
                <w:rFonts w:hint="default"/>
                <w:sz w:val="22"/>
                <w:szCs w:val="16"/>
                <w:vertAlign w:val="superscript"/>
              </w:rPr>
              <w:t>-1</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9.21</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416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3.46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2.98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2.49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0.78</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9.25</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435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37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91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2.98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3.01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2.18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0.62</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9.29</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464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34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4.67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0.52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4.31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1.97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0.53</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10.3</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574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5.21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0.67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2.19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0.11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95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2.04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0.66</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10.7</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476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35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4.76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3.14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0.09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1.86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0.69</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10.11</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601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3.21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2.96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0.09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5.01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1.14</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10.15</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4.36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3.43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0.12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2.36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0.96</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59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10.19</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734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5.28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91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0.09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5.12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2.17</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58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10.23</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100</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4.52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3.75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0.17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95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6.17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1.83</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10.26</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826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91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4.67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91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5.61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0.16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2.39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0.71</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10.29</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976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4.89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0.51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4.76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0.19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6.04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1.48</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11.2</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901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5.01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0.67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6.11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0.11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5.39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1.95</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11.5</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1047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100</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4.67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6.47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0.18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6.18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2.16</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11.9</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921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76.7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5.21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0.55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6.77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5.87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2.37</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11.12</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1532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5.13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0.56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8.12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8.46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2.02</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11.15</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2010</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94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5.46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0.53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10.15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12.02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5.39</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55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11.18</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897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91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5.37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0.64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9.87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8.97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5.06</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44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11.21</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1792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6.09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9.76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9.76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5.16</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47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11.24</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2103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168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5.63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0.68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10.12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11.86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5.02</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58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11.27</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1520</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143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91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6.14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0.94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85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8.76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5.87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2.15</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11.30</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2009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144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6.27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0.71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10.41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5.49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2.16</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12.3</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2213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186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7.38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0.81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8.73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6.58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2.16</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12.7</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1916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171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91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6.41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7.83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8.09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2.48</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12.1</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1437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10.09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12.34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9.18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5.01</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45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12.13</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2379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142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94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7.01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85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10.21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95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5.06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2.31</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54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12.16</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1726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130</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7.06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0.64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91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8.95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10.17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5.11</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50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12.19</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2409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192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8.47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0.66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14.26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5.14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1.29</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12.23</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1479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154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7.41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0.71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15.79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0.56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11.36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5.13</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55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12.26</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2326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162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15.01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1.65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10.34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2.35</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12.30</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2741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171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94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7.18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0.77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7.99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5.24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1.37</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1.3</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1674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10.24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0.85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8.69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6.97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2.29</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1.5</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2107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155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7.61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12.67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2.42</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1.8</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1576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7.12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85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11.05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0.51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95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11.89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5.08</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57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1.11</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2571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169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10.11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7.65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8.19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2.43</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1.15</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2004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167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1.34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89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10.01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0.26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10.67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5.16</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52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1.18</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1236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8.97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11.99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9.11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5.05</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45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1.21</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2320</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180</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92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13.04</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91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0.32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8.79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2.37</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73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1.25</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1760</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93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9.18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1.08</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15.81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0.43</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97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12.01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5.43</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55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1.28</w:t>
            </w:r>
          </w:p>
        </w:tc>
        <w:tc>
          <w:tcPr>
            <w:tcW w:w="383"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2011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207</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90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9.76</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1.15</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88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10.12</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0.41</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96 </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7.29</w:t>
            </w:r>
          </w:p>
        </w:tc>
        <w:tc>
          <w:tcPr>
            <w:tcW w:w="385"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2.31</w:t>
            </w:r>
          </w:p>
        </w:tc>
        <w:tc>
          <w:tcPr>
            <w:tcW w:w="381"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center"/>
              <w:textAlignment w:val="auto"/>
              <w:rPr>
                <w:rFonts w:hint="default"/>
                <w:sz w:val="22"/>
                <w:szCs w:val="16"/>
              </w:rPr>
            </w:pPr>
            <w:r>
              <w:rPr>
                <w:rFonts w:hint="default"/>
                <w:sz w:val="22"/>
                <w:szCs w:val="16"/>
              </w:rPr>
              <w:t xml:space="preserve">68 </w:t>
            </w:r>
          </w:p>
        </w:tc>
      </w:tr>
    </w:tbl>
    <w:p>
      <w:pPr>
        <w:keepNext w:val="0"/>
        <w:keepLines w:val="0"/>
        <w:pageBreakBefore w:val="0"/>
        <w:widowControl w:val="0"/>
        <w:kinsoku/>
        <w:wordWrap/>
        <w:overflowPunct/>
        <w:topLinePunct w:val="0"/>
        <w:autoSpaceDE w:val="0"/>
        <w:autoSpaceDN w:val="0"/>
        <w:bidi w:val="0"/>
        <w:adjustRightInd w:val="0"/>
        <w:snapToGrid/>
        <w:spacing w:line="520" w:lineRule="exact"/>
        <w:ind w:firstLine="640"/>
        <w:textAlignment w:val="auto"/>
        <w:rPr>
          <w:rFonts w:hint="eastAsia"/>
          <w:lang w:eastAsia="zh-CN"/>
        </w:rPr>
      </w:pPr>
      <w:r>
        <w:rPr>
          <w:rFonts w:hint="eastAsia"/>
          <w:lang w:eastAsia="zh-CN"/>
        </w:rPr>
        <w:t>由表9-1可知，思的河河水中重金属离子的浓度受季节影响，平水期（9月至11月）水中的重金属离子浓度低于枯水期（12月至次年1月）水中的重金属浓度。野外湿地工程经过连续运行，结果表明湿地模型对重金属Zn、Pb、Cd、Cr</w:t>
      </w:r>
      <w:r>
        <w:rPr>
          <w:rFonts w:hint="eastAsia"/>
          <w:vertAlign w:val="superscript"/>
          <w:lang w:eastAsia="zh-CN"/>
        </w:rPr>
        <w:t>6+</w:t>
      </w:r>
      <w:r>
        <w:rPr>
          <w:rFonts w:hint="eastAsia"/>
          <w:lang w:eastAsia="zh-CN"/>
        </w:rPr>
        <w:t>均具有较好的处理效果，且能保持稳定运行，其中对Cd的处理效果最好，其次为Zn、Pb和Cr</w:t>
      </w:r>
      <w:r>
        <w:rPr>
          <w:rFonts w:hint="eastAsia"/>
          <w:vertAlign w:val="superscript"/>
          <w:lang w:eastAsia="zh-CN"/>
        </w:rPr>
        <w:t>6+</w:t>
      </w:r>
      <w:r>
        <w:rPr>
          <w:rFonts w:hint="eastAsia"/>
          <w:lang w:eastAsia="zh-CN"/>
        </w:rPr>
        <w:t>。Zn、Pb、Cd三种重金属的去除率维持在85%以上；Cr</w:t>
      </w:r>
      <w:r>
        <w:rPr>
          <w:rFonts w:hint="eastAsia"/>
          <w:vertAlign w:val="superscript"/>
          <w:lang w:eastAsia="zh-CN"/>
        </w:rPr>
        <w:t>6+</w:t>
      </w:r>
      <w:r>
        <w:rPr>
          <w:rFonts w:hint="eastAsia"/>
          <w:lang w:eastAsia="zh-CN"/>
        </w:rPr>
        <w:t>的去除率（44</w:t>
      </w:r>
      <w:r>
        <w:rPr>
          <w:rFonts w:hint="eastAsia"/>
          <w:lang w:val="en-US" w:eastAsia="zh-CN"/>
        </w:rPr>
        <w:t>.</w:t>
      </w:r>
      <w:r>
        <w:rPr>
          <w:rFonts w:hint="eastAsia"/>
          <w:lang w:eastAsia="zh-CN"/>
        </w:rPr>
        <w:t>77%）存在较大波动，这与Cr</w:t>
      </w:r>
      <w:r>
        <w:rPr>
          <w:rFonts w:hint="eastAsia"/>
          <w:vertAlign w:val="superscript"/>
          <w:lang w:eastAsia="zh-CN"/>
        </w:rPr>
        <w:t>6+</w:t>
      </w:r>
      <w:r>
        <w:rPr>
          <w:rFonts w:hint="eastAsia"/>
          <w:lang w:eastAsia="zh-CN"/>
        </w:rPr>
        <w:t>的检出限有关（检出限为0.004mg/L,低于检出限按0.002 mg/L给出数据）。但经过湿地模型处理之后，四种重金属的出水浓度均低于GB</w:t>
      </w:r>
      <w:r>
        <w:rPr>
          <w:rFonts w:hint="eastAsia"/>
          <w:lang w:val="en-US" w:eastAsia="zh-CN"/>
        </w:rPr>
        <w:t xml:space="preserve"> </w:t>
      </w:r>
      <w:r>
        <w:rPr>
          <w:rFonts w:hint="eastAsia"/>
          <w:lang w:eastAsia="zh-CN"/>
        </w:rPr>
        <w:t>5084-2005《农田灌溉水质标准》水作标准限值，达到目标要求。</w:t>
      </w:r>
    </w:p>
    <w:p>
      <w:pPr>
        <w:keepNext w:val="0"/>
        <w:keepLines w:val="0"/>
        <w:pageBreakBefore w:val="0"/>
        <w:widowControl w:val="0"/>
        <w:kinsoku/>
        <w:wordWrap/>
        <w:overflowPunct/>
        <w:topLinePunct w:val="0"/>
        <w:autoSpaceDE w:val="0"/>
        <w:autoSpaceDN w:val="0"/>
        <w:bidi w:val="0"/>
        <w:adjustRightInd w:val="0"/>
        <w:snapToGrid/>
        <w:spacing w:line="520" w:lineRule="exact"/>
        <w:ind w:firstLine="640"/>
        <w:textAlignment w:val="auto"/>
        <w:rPr>
          <w:rFonts w:hint="eastAsia"/>
          <w:lang w:eastAsia="zh-CN"/>
        </w:rPr>
      </w:pPr>
      <w:r>
        <w:rPr>
          <w:rFonts w:hint="eastAsia"/>
          <w:lang w:eastAsia="zh-CN"/>
        </w:rPr>
        <w:t>第三方检测结果：2017年2月，委托有监测资质的广西中品质环境监测有限公司对出水进行检测，监测结果见表</w:t>
      </w:r>
      <w:r>
        <w:rPr>
          <w:rFonts w:hint="eastAsia"/>
          <w:lang w:val="en-US" w:eastAsia="zh-CN"/>
        </w:rPr>
        <w:t>7</w:t>
      </w:r>
      <w:r>
        <w:rPr>
          <w:rFonts w:hint="eastAsia"/>
          <w:lang w:eastAsia="zh-CN"/>
        </w:rPr>
        <w:t>。</w:t>
      </w:r>
    </w:p>
    <w:p>
      <w:pPr>
        <w:pStyle w:val="23"/>
        <w:spacing w:before="156" w:beforeLines="50" w:line="360" w:lineRule="auto"/>
        <w:rPr>
          <w:rFonts w:hint="eastAsia" w:eastAsia="宋体"/>
          <w:kern w:val="2"/>
          <w:sz w:val="21"/>
          <w:szCs w:val="21"/>
          <w:lang w:val="en-US" w:eastAsia="zh-CN"/>
        </w:rPr>
      </w:pPr>
      <w:r>
        <w:rPr>
          <w:rFonts w:hint="eastAsia" w:eastAsia="宋体"/>
          <w:kern w:val="2"/>
          <w:sz w:val="21"/>
          <w:szCs w:val="21"/>
          <w:lang w:val="en-US" w:eastAsia="zh-CN"/>
        </w:rPr>
        <w:t>表7 监测结果</w:t>
      </w:r>
    </w:p>
    <w:tbl>
      <w:tblPr>
        <w:tblStyle w:val="8"/>
        <w:tblW w:w="49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24"/>
        <w:gridCol w:w="1825"/>
        <w:gridCol w:w="1825"/>
        <w:gridCol w:w="1825"/>
        <w:gridCol w:w="18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监测项目</w:t>
            </w:r>
          </w:p>
        </w:tc>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vertAlign w:val="superscript"/>
              </w:rPr>
            </w:pPr>
            <w:r>
              <w:rPr>
                <w:rFonts w:hint="default"/>
                <w:sz w:val="24"/>
                <w:szCs w:val="18"/>
              </w:rPr>
              <w:t>Cr</w:t>
            </w:r>
            <w:r>
              <w:rPr>
                <w:rFonts w:hint="default"/>
                <w:sz w:val="24"/>
                <w:szCs w:val="18"/>
                <w:vertAlign w:val="superscript"/>
              </w:rPr>
              <w:t>6+</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w:t>
            </w:r>
            <w:r>
              <w:rPr>
                <w:rFonts w:hint="default"/>
                <w:sz w:val="24"/>
                <w:szCs w:val="18"/>
              </w:rPr>
              <w:t>mg/L</w:t>
            </w:r>
            <w:r>
              <w:rPr>
                <w:rFonts w:hint="eastAsia"/>
                <w:sz w:val="24"/>
                <w:szCs w:val="18"/>
              </w:rPr>
              <w:t>）</w:t>
            </w:r>
          </w:p>
        </w:tc>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default"/>
                <w:sz w:val="24"/>
                <w:szCs w:val="18"/>
              </w:rPr>
              <w:t>Cd</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w:t>
            </w:r>
            <w:r>
              <w:rPr>
                <w:rFonts w:hint="default"/>
                <w:sz w:val="24"/>
                <w:szCs w:val="18"/>
              </w:rPr>
              <w:t>mg/L</w:t>
            </w:r>
            <w:r>
              <w:rPr>
                <w:rFonts w:hint="eastAsia"/>
                <w:sz w:val="24"/>
                <w:szCs w:val="18"/>
              </w:rPr>
              <w:t>）</w:t>
            </w:r>
          </w:p>
        </w:tc>
        <w:tc>
          <w:tcPr>
            <w:tcW w:w="1000" w:type="pct"/>
            <w:tcBorders>
              <w:right w:val="single" w:color="auto" w:sz="2"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default"/>
                <w:sz w:val="24"/>
                <w:szCs w:val="18"/>
              </w:rPr>
              <w:t>Pb</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w:t>
            </w:r>
            <w:r>
              <w:rPr>
                <w:rFonts w:hint="default"/>
                <w:sz w:val="24"/>
                <w:szCs w:val="18"/>
              </w:rPr>
              <w:t>mg/L</w:t>
            </w:r>
            <w:r>
              <w:rPr>
                <w:rFonts w:hint="eastAsia"/>
                <w:sz w:val="24"/>
                <w:szCs w:val="18"/>
              </w:rPr>
              <w:t>）</w:t>
            </w:r>
          </w:p>
        </w:tc>
        <w:tc>
          <w:tcPr>
            <w:tcW w:w="1000" w:type="pct"/>
            <w:tcBorders>
              <w:left w:val="single" w:color="auto" w:sz="2"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default"/>
                <w:sz w:val="24"/>
                <w:szCs w:val="18"/>
              </w:rPr>
              <w:t>Zn</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w:t>
            </w:r>
            <w:r>
              <w:rPr>
                <w:rFonts w:hint="default"/>
                <w:sz w:val="24"/>
                <w:szCs w:val="18"/>
              </w:rPr>
              <w:t>mg/L</w:t>
            </w:r>
            <w:r>
              <w:rPr>
                <w:rFonts w:hint="eastAsia"/>
                <w:sz w:val="24"/>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进水</w:t>
            </w:r>
          </w:p>
        </w:tc>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0.013</w:t>
            </w:r>
          </w:p>
        </w:tc>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default"/>
                <w:sz w:val="24"/>
                <w:szCs w:val="18"/>
              </w:rPr>
            </w:pPr>
            <w:r>
              <w:rPr>
                <w:rFonts w:hint="eastAsia"/>
                <w:sz w:val="24"/>
                <w:szCs w:val="18"/>
              </w:rPr>
              <w:t>0.01596</w:t>
            </w:r>
          </w:p>
        </w:tc>
        <w:tc>
          <w:tcPr>
            <w:tcW w:w="1000" w:type="pct"/>
            <w:tcBorders>
              <w:right w:val="single" w:color="auto" w:sz="2"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0.01677</w:t>
            </w:r>
          </w:p>
        </w:tc>
        <w:tc>
          <w:tcPr>
            <w:tcW w:w="1000" w:type="pct"/>
            <w:tcBorders>
              <w:left w:val="single" w:color="auto" w:sz="2"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2.318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出水</w:t>
            </w:r>
          </w:p>
        </w:tc>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0.005</w:t>
            </w:r>
          </w:p>
        </w:tc>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0.00047</w:t>
            </w:r>
          </w:p>
        </w:tc>
        <w:tc>
          <w:tcPr>
            <w:tcW w:w="1000" w:type="pct"/>
            <w:tcBorders>
              <w:right w:val="single" w:color="auto" w:sz="2"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0.00036</w:t>
            </w:r>
          </w:p>
        </w:tc>
        <w:tc>
          <w:tcPr>
            <w:tcW w:w="1000" w:type="pct"/>
            <w:tcBorders>
              <w:left w:val="single" w:color="auto" w:sz="2"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0.188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标准值*</w:t>
            </w:r>
          </w:p>
        </w:tc>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0.1</w:t>
            </w:r>
          </w:p>
        </w:tc>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0.005</w:t>
            </w:r>
          </w:p>
        </w:tc>
        <w:tc>
          <w:tcPr>
            <w:tcW w:w="1000" w:type="pct"/>
            <w:tcBorders>
              <w:right w:val="single" w:color="auto" w:sz="2"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0.1</w:t>
            </w:r>
          </w:p>
        </w:tc>
        <w:tc>
          <w:tcPr>
            <w:tcW w:w="1000" w:type="pct"/>
            <w:tcBorders>
              <w:left w:val="single" w:color="auto" w:sz="2"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达标情况</w:t>
            </w:r>
          </w:p>
        </w:tc>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达标</w:t>
            </w:r>
          </w:p>
        </w:tc>
        <w:tc>
          <w:tcPr>
            <w:tcW w:w="1000" w:type="pct"/>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达标</w:t>
            </w:r>
          </w:p>
        </w:tc>
        <w:tc>
          <w:tcPr>
            <w:tcW w:w="1000" w:type="pct"/>
            <w:tcBorders>
              <w:right w:val="single" w:color="auto" w:sz="2"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达标</w:t>
            </w:r>
          </w:p>
        </w:tc>
        <w:tc>
          <w:tcPr>
            <w:tcW w:w="1000" w:type="pct"/>
            <w:tcBorders>
              <w:left w:val="single" w:color="auto" w:sz="2" w:space="0"/>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firstLine="0" w:firstLineChars="0"/>
              <w:jc w:val="center"/>
              <w:textAlignment w:val="auto"/>
              <w:rPr>
                <w:rFonts w:hint="eastAsia"/>
                <w:sz w:val="24"/>
                <w:szCs w:val="18"/>
              </w:rPr>
            </w:pPr>
            <w:r>
              <w:rPr>
                <w:rFonts w:hint="eastAsia"/>
                <w:sz w:val="24"/>
                <w:szCs w:val="18"/>
              </w:rPr>
              <w:t>达标</w:t>
            </w:r>
          </w:p>
        </w:tc>
      </w:tr>
    </w:tbl>
    <w:p>
      <w:pPr>
        <w:ind w:firstLine="442" w:firstLineChars="200"/>
        <w:rPr>
          <w:rFonts w:hint="eastAsia"/>
          <w:b/>
          <w:bCs/>
          <w:sz w:val="22"/>
          <w:szCs w:val="16"/>
        </w:rPr>
      </w:pPr>
      <w:r>
        <w:rPr>
          <w:rFonts w:hint="eastAsia"/>
          <w:b/>
          <w:bCs/>
          <w:sz w:val="22"/>
          <w:szCs w:val="16"/>
        </w:rPr>
        <w:t>注：采用</w:t>
      </w:r>
      <w:r>
        <w:rPr>
          <w:b/>
          <w:bCs/>
          <w:sz w:val="22"/>
          <w:szCs w:val="16"/>
        </w:rPr>
        <w:t>《农田灌溉水质标准》（GB</w:t>
      </w:r>
      <w:r>
        <w:rPr>
          <w:rFonts w:hint="eastAsia"/>
          <w:b/>
          <w:bCs/>
          <w:sz w:val="22"/>
          <w:szCs w:val="16"/>
          <w:lang w:val="en-US" w:eastAsia="zh-CN"/>
        </w:rPr>
        <w:t xml:space="preserve"> </w:t>
      </w:r>
      <w:r>
        <w:rPr>
          <w:b/>
          <w:bCs/>
          <w:sz w:val="22"/>
          <w:szCs w:val="16"/>
        </w:rPr>
        <w:t>5084-2005）水作标准限值</w:t>
      </w:r>
    </w:p>
    <w:p>
      <w:pPr>
        <w:keepNext w:val="0"/>
        <w:keepLines w:val="0"/>
        <w:pageBreakBefore w:val="0"/>
        <w:widowControl w:val="0"/>
        <w:kinsoku/>
        <w:wordWrap/>
        <w:overflowPunct/>
        <w:topLinePunct w:val="0"/>
        <w:autoSpaceDE w:val="0"/>
        <w:autoSpaceDN w:val="0"/>
        <w:bidi w:val="0"/>
        <w:adjustRightInd w:val="0"/>
        <w:snapToGrid/>
        <w:spacing w:line="520" w:lineRule="exact"/>
        <w:ind w:firstLine="640"/>
        <w:textAlignment w:val="auto"/>
        <w:rPr>
          <w:rFonts w:hint="eastAsia"/>
          <w:b/>
          <w:bCs/>
          <w:lang w:eastAsia="zh-CN"/>
        </w:rPr>
      </w:pPr>
      <w:bookmarkStart w:id="27" w:name="_Toc487707663"/>
      <w:r>
        <w:rPr>
          <w:rFonts w:hint="eastAsia"/>
          <w:b/>
          <w:bCs/>
          <w:lang w:val="en-US" w:eastAsia="zh-CN"/>
        </w:rPr>
        <w:t>2、</w:t>
      </w:r>
      <w:r>
        <w:rPr>
          <w:rFonts w:hint="eastAsia"/>
          <w:b/>
          <w:bCs/>
          <w:lang w:eastAsia="zh-CN"/>
        </w:rPr>
        <w:t>运行条件及控制参数</w:t>
      </w:r>
      <w:bookmarkEnd w:id="27"/>
    </w:p>
    <w:p>
      <w:pPr>
        <w:keepNext w:val="0"/>
        <w:keepLines w:val="0"/>
        <w:pageBreakBefore w:val="0"/>
        <w:widowControl w:val="0"/>
        <w:kinsoku/>
        <w:wordWrap/>
        <w:overflowPunct/>
        <w:topLinePunct w:val="0"/>
        <w:autoSpaceDE w:val="0"/>
        <w:autoSpaceDN w:val="0"/>
        <w:bidi w:val="0"/>
        <w:adjustRightInd w:val="0"/>
        <w:snapToGrid/>
        <w:spacing w:line="520" w:lineRule="exact"/>
        <w:ind w:firstLine="640"/>
        <w:textAlignment w:val="auto"/>
        <w:rPr>
          <w:rFonts w:hint="eastAsia"/>
        </w:rPr>
      </w:pPr>
      <w:r>
        <w:rPr>
          <w:rFonts w:hint="eastAsia"/>
        </w:rPr>
        <w:t>根据实验室试验和工程示范运行结果，对矿区重金属微污染水源湿地系统净化工艺进行总结：</w:t>
      </w:r>
    </w:p>
    <w:p>
      <w:pPr>
        <w:keepNext w:val="0"/>
        <w:keepLines w:val="0"/>
        <w:pageBreakBefore w:val="0"/>
        <w:widowControl w:val="0"/>
        <w:kinsoku/>
        <w:wordWrap/>
        <w:overflowPunct/>
        <w:topLinePunct w:val="0"/>
        <w:autoSpaceDE w:val="0"/>
        <w:autoSpaceDN w:val="0"/>
        <w:bidi w:val="0"/>
        <w:adjustRightInd w:val="0"/>
        <w:snapToGrid/>
        <w:spacing w:line="520" w:lineRule="exact"/>
        <w:ind w:firstLine="640"/>
        <w:textAlignment w:val="auto"/>
        <w:rPr>
          <w:rFonts w:hint="eastAsia"/>
        </w:rPr>
      </w:pPr>
      <w:r>
        <w:rPr>
          <w:rFonts w:hint="eastAsia"/>
        </w:rPr>
        <w:t>运行条件：（1）Cr</w:t>
      </w:r>
      <w:r>
        <w:rPr>
          <w:rFonts w:hint="eastAsia"/>
          <w:vertAlign w:val="superscript"/>
        </w:rPr>
        <w:t>6+</w:t>
      </w:r>
      <w:r>
        <w:rPr>
          <w:rFonts w:hint="eastAsia"/>
        </w:rPr>
        <w:t>≤7.5 mg/L，Zn</w:t>
      </w:r>
      <w:r>
        <w:rPr>
          <w:rFonts w:hint="eastAsia"/>
          <w:vertAlign w:val="superscript"/>
        </w:rPr>
        <w:t>2 +</w:t>
      </w:r>
      <w:r>
        <w:rPr>
          <w:rFonts w:hint="eastAsia"/>
        </w:rPr>
        <w:t>≤4 mg/L、Pb</w:t>
      </w:r>
      <w:r>
        <w:rPr>
          <w:rFonts w:hint="eastAsia"/>
          <w:vertAlign w:val="superscript"/>
        </w:rPr>
        <w:t>2 +</w:t>
      </w:r>
      <w:r>
        <w:rPr>
          <w:rFonts w:hint="eastAsia"/>
        </w:rPr>
        <w:t>≤1mg/L、 Cd</w:t>
      </w:r>
      <w:r>
        <w:rPr>
          <w:rFonts w:hint="eastAsia"/>
          <w:vertAlign w:val="superscript"/>
        </w:rPr>
        <w:t xml:space="preserve">2+ </w:t>
      </w:r>
      <w:r>
        <w:rPr>
          <w:rFonts w:hint="eastAsia"/>
        </w:rPr>
        <w:t>≤0.05mg/L的矿区微污染水源；（2）采用风车草、李氏禾、菖蒲作为植物，河沙与红壤作为填料基质的人工湿地工艺</w:t>
      </w:r>
    </w:p>
    <w:p>
      <w:pPr>
        <w:keepNext w:val="0"/>
        <w:keepLines w:val="0"/>
        <w:pageBreakBefore w:val="0"/>
        <w:widowControl w:val="0"/>
        <w:kinsoku/>
        <w:wordWrap/>
        <w:overflowPunct/>
        <w:topLinePunct w:val="0"/>
        <w:autoSpaceDE w:val="0"/>
        <w:autoSpaceDN w:val="0"/>
        <w:bidi w:val="0"/>
        <w:adjustRightInd w:val="0"/>
        <w:snapToGrid/>
        <w:spacing w:line="520" w:lineRule="exact"/>
        <w:ind w:firstLine="640"/>
        <w:textAlignment w:val="auto"/>
      </w:pPr>
      <w:r>
        <w:rPr>
          <w:rFonts w:hint="eastAsia"/>
        </w:rPr>
        <w:t>控制参数：在进水负荷3.13cm/d、气温≥10℃的运行参数条件下，出水的水质可以达到GB</w:t>
      </w:r>
      <w:r>
        <w:rPr>
          <w:rFonts w:hint="eastAsia"/>
          <w:lang w:val="en-US" w:eastAsia="zh-CN"/>
        </w:rPr>
        <w:t xml:space="preserve"> </w:t>
      </w:r>
      <w:r>
        <w:rPr>
          <w:rFonts w:hint="eastAsia"/>
        </w:rPr>
        <w:t>5084-2005《农田灌溉水质标准》水作标准限值以下。</w:t>
      </w:r>
    </w:p>
    <w:p>
      <w:pPr>
        <w:spacing w:before="312" w:beforeLines="100" w:after="312" w:afterLines="100" w:line="520" w:lineRule="exact"/>
        <w:ind w:firstLine="640"/>
        <w:rPr>
          <w:rFonts w:ascii="黑体" w:hAnsi="黑体" w:eastAsia="黑体" w:cs="仿宋_GB2312"/>
          <w:szCs w:val="32"/>
        </w:rPr>
      </w:pPr>
      <w:r>
        <w:rPr>
          <w:rFonts w:hint="eastAsia" w:ascii="黑体" w:hAnsi="黑体" w:eastAsia="黑体" w:cs="仿宋_GB2312"/>
          <w:szCs w:val="32"/>
        </w:rPr>
        <w:t>六、国内外同类标准制修订情况及与法律法规、强制性标准关系</w:t>
      </w:r>
    </w:p>
    <w:p>
      <w:pPr>
        <w:autoSpaceDE w:val="0"/>
        <w:autoSpaceDN w:val="0"/>
        <w:adjustRightInd w:val="0"/>
        <w:spacing w:before="312" w:beforeLines="100" w:after="312" w:afterLines="100" w:line="520" w:lineRule="exact"/>
        <w:ind w:firstLine="640"/>
      </w:pPr>
      <w:r>
        <w:rPr>
          <w:rFonts w:hint="eastAsia"/>
        </w:rPr>
        <w:t>经查阅，与人工湿地净化生态处理技术相关的国家标准、行业标准以及地方标准有HJ 2005-2010《人工湿地污水处理工程技术规范 》</w:t>
      </w:r>
      <w:r>
        <w:rPr>
          <w:rFonts w:hint="eastAsia"/>
          <w:lang w:eastAsia="zh-CN"/>
        </w:rPr>
        <w:t>、</w:t>
      </w:r>
      <w:r>
        <w:rPr>
          <w:rFonts w:hint="eastAsia"/>
        </w:rPr>
        <w:t>RISN-TG006-2009 《人工湿地污水处理技术导则》《DB11/T 1376-2016 农村生活污水人工湿地处理工程技术规范》《DB13/T 5184-2020 人工湿地水质净化工程技术规范》《DB32/T 3405-2018 生态修复型人工湿地中植物配置技术规程》《DB37/T 3394-2018 人工湿地水质净化工程技术指南》《DB41/T 1947-2020 污水处理厂尾水人工湿地工程技术规范》《DB63/T 1350-2015  河湟谷地人工湿地污水处理技术规范》。以上标准主要针对城市和农村污水处理，与本标准针对金属矿山低浓度尾水处理有技术上的差别，可供参考。</w:t>
      </w:r>
    </w:p>
    <w:p>
      <w:pPr>
        <w:autoSpaceDE w:val="0"/>
        <w:autoSpaceDN w:val="0"/>
        <w:adjustRightInd w:val="0"/>
        <w:spacing w:before="312" w:beforeLines="100" w:after="312" w:afterLines="100" w:line="520" w:lineRule="exact"/>
        <w:ind w:firstLine="640"/>
        <w:rPr>
          <w:rFonts w:ascii="黑体" w:hAnsi="黑体" w:eastAsia="黑体" w:cs="仿宋_GB2312"/>
          <w:szCs w:val="32"/>
        </w:rPr>
      </w:pPr>
      <w:r>
        <w:rPr>
          <w:rFonts w:hint="eastAsia" w:ascii="黑体" w:hAnsi="黑体" w:eastAsia="黑体" w:cs="仿宋_GB2312"/>
          <w:szCs w:val="32"/>
        </w:rPr>
        <w:t>七、重大分歧意见的处理经过和依据</w:t>
      </w:r>
    </w:p>
    <w:p>
      <w:pPr>
        <w:ind w:firstLine="640"/>
      </w:pPr>
      <w:r>
        <w:rPr>
          <w:rFonts w:hint="eastAsia"/>
        </w:rPr>
        <w:t>本文件研制过程中无重大分歧意见。</w:t>
      </w:r>
    </w:p>
    <w:p>
      <w:pPr>
        <w:autoSpaceDE w:val="0"/>
        <w:autoSpaceDN w:val="0"/>
        <w:adjustRightInd w:val="0"/>
        <w:spacing w:before="156" w:beforeLines="50" w:after="156" w:afterLines="50" w:line="520" w:lineRule="exact"/>
        <w:ind w:firstLine="640"/>
        <w:rPr>
          <w:rFonts w:ascii="黑体" w:hAnsi="黑体" w:eastAsia="黑体" w:cs="仿宋_GB2312"/>
          <w:szCs w:val="32"/>
        </w:rPr>
      </w:pPr>
      <w:r>
        <w:rPr>
          <w:rFonts w:hint="eastAsia" w:ascii="黑体" w:hAnsi="黑体" w:eastAsia="黑体" w:cs="仿宋_GB2312"/>
          <w:szCs w:val="32"/>
        </w:rPr>
        <w:t>八、自我声明</w:t>
      </w:r>
    </w:p>
    <w:p>
      <w:pPr>
        <w:ind w:firstLine="640"/>
      </w:pPr>
      <w:r>
        <w:rPr>
          <w:rFonts w:hint="eastAsia"/>
        </w:rPr>
        <w:t>本标准内容与各项指标不低于国家强制性标准、推荐性国家标准和行业标准。</w:t>
      </w:r>
    </w:p>
    <w:p>
      <w:pPr>
        <w:ind w:firstLine="0" w:firstLineChars="0"/>
        <w:jc w:val="center"/>
      </w:pPr>
    </w:p>
    <w:p>
      <w:pPr>
        <w:pStyle w:val="2"/>
        <w:ind w:firstLine="640"/>
        <w:rPr>
          <w:rFonts w:hint="eastAsia"/>
        </w:rPr>
      </w:pPr>
    </w:p>
    <w:p>
      <w:pPr>
        <w:ind w:firstLine="0" w:firstLineChars="0"/>
        <w:jc w:val="center"/>
      </w:pPr>
      <w:r>
        <w:rPr>
          <w:rFonts w:hint="eastAsia"/>
        </w:rPr>
        <w:t xml:space="preserve"> </w:t>
      </w:r>
      <w:r>
        <w:t xml:space="preserve">              </w:t>
      </w:r>
      <w:r>
        <w:rPr>
          <w:rFonts w:hint="eastAsia"/>
        </w:rPr>
        <w:t>团体标准</w:t>
      </w:r>
    </w:p>
    <w:p>
      <w:pPr>
        <w:ind w:firstLine="0" w:firstLineChars="0"/>
        <w:jc w:val="right"/>
      </w:pPr>
      <w:r>
        <w:rPr>
          <w:rFonts w:hint="eastAsia"/>
        </w:rPr>
        <w:t>《金属矿山低浓度尾水人工湿地净化生态处理技术规程》</w:t>
      </w:r>
    </w:p>
    <w:p>
      <w:pPr>
        <w:ind w:right="1280" w:firstLine="4800" w:firstLineChars="1500"/>
      </w:pPr>
      <w:r>
        <w:rPr>
          <w:rFonts w:hint="eastAsia"/>
        </w:rPr>
        <w:t>标准编制工作组</w:t>
      </w:r>
    </w:p>
    <w:p>
      <w:pPr>
        <w:ind w:right="1600" w:firstLine="198" w:firstLineChars="62"/>
        <w:jc w:val="right"/>
        <w:rPr>
          <w:rFonts w:hint="eastAsia"/>
        </w:rPr>
      </w:pPr>
      <w:r>
        <w:rPr>
          <w:rFonts w:hint="eastAsia"/>
        </w:rPr>
        <w:t>2022年</w:t>
      </w:r>
      <w:r>
        <w:rPr>
          <w:rFonts w:hint="eastAsia"/>
          <w:lang w:val="en-US" w:eastAsia="zh-CN"/>
        </w:rPr>
        <w:t>6</w:t>
      </w:r>
      <w:r>
        <w:rPr>
          <w:rFonts w:hint="eastAsia"/>
        </w:rPr>
        <w:t>月</w:t>
      </w:r>
      <w:r>
        <w:rPr>
          <w:rFonts w:hint="eastAsia"/>
          <w:lang w:val="en-US" w:eastAsia="zh-CN"/>
        </w:rPr>
        <w:t>21</w:t>
      </w:r>
      <w:r>
        <w:rPr>
          <w:rFonts w:hint="eastAsia"/>
        </w:rPr>
        <w:t>日</w:t>
      </w:r>
    </w:p>
    <w:sectPr>
      <w:headerReference r:id="rId7" w:type="first"/>
      <w:footerReference r:id="rId10" w:type="first"/>
      <w:headerReference r:id="rId5" w:type="default"/>
      <w:footerReference r:id="rId8" w:type="default"/>
      <w:headerReference r:id="rId6" w:type="even"/>
      <w:footerReference r:id="rId9" w:type="even"/>
      <w:pgSz w:w="11906" w:h="16838"/>
      <w:pgMar w:top="1440" w:right="1416" w:bottom="1440" w:left="156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方正仿宋简体">
    <w:altName w:val="微软雅黑"/>
    <w:panose1 w:val="02010601030101010101"/>
    <w:charset w:val="86"/>
    <w:family w:val="auto"/>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1"/>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3741A2B"/>
    <w:multiLevelType w:val="singleLevel"/>
    <w:tmpl w:val="93741A2B"/>
    <w:lvl w:ilvl="0" w:tentative="0">
      <w:start w:val="1"/>
      <w:numFmt w:val="chineseCounting"/>
      <w:suff w:val="nothing"/>
      <w:lvlText w:val="（%1）"/>
      <w:lvlJc w:val="left"/>
      <w:rPr>
        <w:rFonts w:hint="eastAsia"/>
      </w:rPr>
    </w:lvl>
  </w:abstractNum>
  <w:abstractNum w:abstractNumId="1">
    <w:nsid w:val="A6F733B4"/>
    <w:multiLevelType w:val="singleLevel"/>
    <w:tmpl w:val="A6F733B4"/>
    <w:lvl w:ilvl="0" w:tentative="0">
      <w:start w:val="3"/>
      <w:numFmt w:val="decimal"/>
      <w:suff w:val="nothing"/>
      <w:lvlText w:val="（%1）"/>
      <w:lvlJc w:val="left"/>
    </w:lvl>
  </w:abstractNum>
  <w:abstractNum w:abstractNumId="2">
    <w:nsid w:val="01CC19E9"/>
    <w:multiLevelType w:val="multilevel"/>
    <w:tmpl w:val="01CC19E9"/>
    <w:lvl w:ilvl="0" w:tentative="0">
      <w:start w:val="1"/>
      <w:numFmt w:val="chineseCountingThousand"/>
      <w:pStyle w:val="13"/>
      <w:lvlText w:val="%1、"/>
      <w:lvlJc w:val="left"/>
      <w:pPr>
        <w:ind w:left="1060" w:hanging="420"/>
      </w:p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abstractNum w:abstractNumId="3">
    <w:nsid w:val="0E8124AF"/>
    <w:multiLevelType w:val="multilevel"/>
    <w:tmpl w:val="0E8124AF"/>
    <w:lvl w:ilvl="0" w:tentative="0">
      <w:start w:val="1"/>
      <w:numFmt w:val="chineseCountingThousand"/>
      <w:pStyle w:val="16"/>
      <w:lvlText w:val="(%1)"/>
      <w:lvlJc w:val="left"/>
      <w:pPr>
        <w:ind w:left="1063" w:hanging="420"/>
      </w:pPr>
    </w:lvl>
    <w:lvl w:ilvl="1" w:tentative="0">
      <w:start w:val="1"/>
      <w:numFmt w:val="lowerLetter"/>
      <w:lvlText w:val="%2)"/>
      <w:lvlJc w:val="left"/>
      <w:pPr>
        <w:ind w:left="1483" w:hanging="420"/>
      </w:pPr>
    </w:lvl>
    <w:lvl w:ilvl="2" w:tentative="0">
      <w:start w:val="1"/>
      <w:numFmt w:val="lowerRoman"/>
      <w:lvlText w:val="%3."/>
      <w:lvlJc w:val="right"/>
      <w:pPr>
        <w:ind w:left="1903" w:hanging="420"/>
      </w:pPr>
    </w:lvl>
    <w:lvl w:ilvl="3" w:tentative="0">
      <w:start w:val="1"/>
      <w:numFmt w:val="decimal"/>
      <w:lvlText w:val="%4."/>
      <w:lvlJc w:val="left"/>
      <w:pPr>
        <w:ind w:left="2323" w:hanging="420"/>
      </w:pPr>
    </w:lvl>
    <w:lvl w:ilvl="4" w:tentative="0">
      <w:start w:val="1"/>
      <w:numFmt w:val="lowerLetter"/>
      <w:lvlText w:val="%5)"/>
      <w:lvlJc w:val="left"/>
      <w:pPr>
        <w:ind w:left="2743" w:hanging="420"/>
      </w:pPr>
    </w:lvl>
    <w:lvl w:ilvl="5" w:tentative="0">
      <w:start w:val="1"/>
      <w:numFmt w:val="lowerRoman"/>
      <w:lvlText w:val="%6."/>
      <w:lvlJc w:val="right"/>
      <w:pPr>
        <w:ind w:left="3163" w:hanging="420"/>
      </w:pPr>
    </w:lvl>
    <w:lvl w:ilvl="6" w:tentative="0">
      <w:start w:val="1"/>
      <w:numFmt w:val="decimal"/>
      <w:lvlText w:val="%7."/>
      <w:lvlJc w:val="left"/>
      <w:pPr>
        <w:ind w:left="3583" w:hanging="420"/>
      </w:pPr>
    </w:lvl>
    <w:lvl w:ilvl="7" w:tentative="0">
      <w:start w:val="1"/>
      <w:numFmt w:val="lowerLetter"/>
      <w:lvlText w:val="%8)"/>
      <w:lvlJc w:val="left"/>
      <w:pPr>
        <w:ind w:left="4003" w:hanging="420"/>
      </w:pPr>
    </w:lvl>
    <w:lvl w:ilvl="8" w:tentative="0">
      <w:start w:val="1"/>
      <w:numFmt w:val="lowerRoman"/>
      <w:lvlText w:val="%9."/>
      <w:lvlJc w:val="right"/>
      <w:pPr>
        <w:ind w:left="4423" w:hanging="420"/>
      </w:pPr>
    </w:lvl>
  </w:abstractNum>
  <w:abstractNum w:abstractNumId="4">
    <w:nsid w:val="14272DBA"/>
    <w:multiLevelType w:val="singleLevel"/>
    <w:tmpl w:val="14272DBA"/>
    <w:lvl w:ilvl="0" w:tentative="0">
      <w:start w:val="1"/>
      <w:numFmt w:val="decimal"/>
      <w:suff w:val="nothing"/>
      <w:lvlText w:val="%1、"/>
      <w:lvlJc w:val="left"/>
    </w:lvl>
  </w:abstractNum>
  <w:abstractNum w:abstractNumId="5">
    <w:nsid w:val="35F8E3A2"/>
    <w:multiLevelType w:val="singleLevel"/>
    <w:tmpl w:val="35F8E3A2"/>
    <w:lvl w:ilvl="0" w:tentative="0">
      <w:start w:val="1"/>
      <w:numFmt w:val="decimal"/>
      <w:suff w:val="nothing"/>
      <w:lvlText w:val="%1、"/>
      <w:lvlJc w:val="left"/>
    </w:lvl>
  </w:abstractNum>
  <w:num w:numId="1">
    <w:abstractNumId w:val="2"/>
  </w:num>
  <w:num w:numId="2">
    <w:abstractNumId w:val="3"/>
  </w:num>
  <w:num w:numId="3">
    <w:abstractNumId w:val="0"/>
  </w:num>
  <w:num w:numId="4">
    <w:abstractNumId w:val="4"/>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UyMjE3Y2QyNjgzNTYyODZkNGI0OTZhOGQ4ZTE1NmUifQ=="/>
  </w:docVars>
  <w:rsids>
    <w:rsidRoot w:val="00750772"/>
    <w:rsid w:val="00063A2D"/>
    <w:rsid w:val="000675DA"/>
    <w:rsid w:val="0008135B"/>
    <w:rsid w:val="00154C89"/>
    <w:rsid w:val="001976D2"/>
    <w:rsid w:val="001F6FFD"/>
    <w:rsid w:val="00276D68"/>
    <w:rsid w:val="00341113"/>
    <w:rsid w:val="00387DC4"/>
    <w:rsid w:val="003F6392"/>
    <w:rsid w:val="004A5FAC"/>
    <w:rsid w:val="004F46FD"/>
    <w:rsid w:val="005555C8"/>
    <w:rsid w:val="00562DED"/>
    <w:rsid w:val="005E5CB4"/>
    <w:rsid w:val="007003AA"/>
    <w:rsid w:val="007056FD"/>
    <w:rsid w:val="00725143"/>
    <w:rsid w:val="00750772"/>
    <w:rsid w:val="00783149"/>
    <w:rsid w:val="007F2153"/>
    <w:rsid w:val="007F6B84"/>
    <w:rsid w:val="00902CF6"/>
    <w:rsid w:val="00944D37"/>
    <w:rsid w:val="009C7FA6"/>
    <w:rsid w:val="009F3F6F"/>
    <w:rsid w:val="00A46296"/>
    <w:rsid w:val="00AE23B1"/>
    <w:rsid w:val="00B01935"/>
    <w:rsid w:val="00B43BAE"/>
    <w:rsid w:val="00B82032"/>
    <w:rsid w:val="00C175C2"/>
    <w:rsid w:val="00CD2F91"/>
    <w:rsid w:val="00CF202E"/>
    <w:rsid w:val="00E00C1C"/>
    <w:rsid w:val="00EA61D4"/>
    <w:rsid w:val="00EC1DF1"/>
    <w:rsid w:val="00F44FC0"/>
    <w:rsid w:val="00F93D2F"/>
    <w:rsid w:val="00F97B1D"/>
    <w:rsid w:val="00FB4886"/>
    <w:rsid w:val="1EB4009E"/>
    <w:rsid w:val="1F6027B7"/>
    <w:rsid w:val="22D631BD"/>
    <w:rsid w:val="28E505DC"/>
    <w:rsid w:val="2C021E62"/>
    <w:rsid w:val="4A7B0A5C"/>
    <w:rsid w:val="5CB94EAA"/>
    <w:rsid w:val="70896A76"/>
    <w:rsid w:val="76593BC4"/>
    <w:rsid w:val="7E0E2D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14:defaultImageDpi w14:val="32767"/>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560" w:lineRule="exact"/>
      <w:ind w:firstLine="200" w:firstLineChars="200"/>
    </w:pPr>
    <w:rPr>
      <w:rFonts w:ascii="Times New Roman" w:hAnsi="Times New Roman" w:eastAsia="仿宋_GB2312" w:cs="Times New Roman"/>
      <w:kern w:val="2"/>
      <w:sz w:val="32"/>
      <w:szCs w:val="24"/>
      <w:lang w:val="en-US" w:eastAsia="zh-CN" w:bidi="ar-SA"/>
    </w:rPr>
  </w:style>
  <w:style w:type="paragraph" w:styleId="3">
    <w:name w:val="heading 2"/>
    <w:basedOn w:val="1"/>
    <w:next w:val="1"/>
    <w:qFormat/>
    <w:uiPriority w:val="9"/>
    <w:pPr>
      <w:keepNext/>
      <w:keepLines/>
      <w:spacing w:before="260" w:after="260" w:line="416" w:lineRule="auto"/>
      <w:outlineLvl w:val="1"/>
    </w:pPr>
    <w:rPr>
      <w:rFonts w:ascii="Cambria" w:hAnsi="Cambria"/>
      <w:b/>
      <w:bCs/>
      <w:sz w:val="32"/>
      <w:szCs w:val="32"/>
    </w:rPr>
  </w:style>
  <w:style w:type="paragraph" w:styleId="4">
    <w:name w:val="heading 3"/>
    <w:basedOn w:val="1"/>
    <w:next w:val="1"/>
    <w:qFormat/>
    <w:uiPriority w:val="9"/>
    <w:pPr>
      <w:keepNext/>
      <w:keepLines/>
      <w:spacing w:before="260" w:after="260" w:line="416" w:lineRule="auto"/>
      <w:outlineLvl w:val="2"/>
    </w:pPr>
    <w:rPr>
      <w:b/>
      <w:bCs/>
      <w:sz w:val="24"/>
      <w:szCs w:val="32"/>
    </w:rPr>
  </w:style>
  <w:style w:type="character" w:default="1" w:styleId="10">
    <w:name w:val="Default Paragraph Font"/>
    <w:semiHidden/>
    <w:unhideWhenUsed/>
    <w:qFormat/>
    <w:uiPriority w:val="1"/>
  </w:style>
  <w:style w:type="table" w:default="1" w:styleId="8">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customStyle="1" w:styleId="2">
    <w:name w:val="BodyText2"/>
    <w:basedOn w:val="1"/>
    <w:qFormat/>
    <w:uiPriority w:val="0"/>
    <w:pPr>
      <w:spacing w:after="120" w:line="480" w:lineRule="auto"/>
      <w:textAlignment w:val="baseline"/>
    </w:pPr>
    <w:rPr>
      <w:rFonts w:ascii="Calibri" w:hAnsi="Calibri"/>
      <w:szCs w:val="32"/>
    </w:rPr>
  </w:style>
  <w:style w:type="paragraph" w:styleId="5">
    <w:name w:val="caption"/>
    <w:basedOn w:val="1"/>
    <w:next w:val="1"/>
    <w:semiHidden/>
    <w:unhideWhenUsed/>
    <w:qFormat/>
    <w:uiPriority w:val="35"/>
    <w:rPr>
      <w:rFonts w:ascii="Arial" w:hAnsi="Arial" w:eastAsia="黑体"/>
      <w:sz w:val="20"/>
    </w:rPr>
  </w:style>
  <w:style w:type="paragraph" w:styleId="6">
    <w:name w:val="footer"/>
    <w:basedOn w:val="1"/>
    <w:link w:val="19"/>
    <w:unhideWhenUsed/>
    <w:qFormat/>
    <w:uiPriority w:val="99"/>
    <w:pPr>
      <w:tabs>
        <w:tab w:val="center" w:pos="4153"/>
        <w:tab w:val="right" w:pos="8306"/>
      </w:tabs>
      <w:snapToGrid w:val="0"/>
      <w:spacing w:line="240" w:lineRule="atLeast"/>
    </w:pPr>
    <w:rPr>
      <w:sz w:val="18"/>
      <w:szCs w:val="18"/>
    </w:rPr>
  </w:style>
  <w:style w:type="paragraph" w:styleId="7">
    <w:name w:val="header"/>
    <w:basedOn w:val="1"/>
    <w:link w:val="18"/>
    <w:unhideWhenUsed/>
    <w:qFormat/>
    <w:uiPriority w:val="99"/>
    <w:pPr>
      <w:pBdr>
        <w:bottom w:val="single" w:color="auto" w:sz="6" w:space="1"/>
      </w:pBdr>
      <w:tabs>
        <w:tab w:val="center" w:pos="4153"/>
        <w:tab w:val="right" w:pos="8306"/>
      </w:tabs>
      <w:snapToGrid w:val="0"/>
      <w:spacing w:line="240" w:lineRule="atLeast"/>
      <w:jc w:val="center"/>
    </w:pPr>
    <w:rPr>
      <w:sz w:val="18"/>
      <w:szCs w:val="18"/>
    </w:rPr>
  </w:style>
  <w:style w:type="table" w:styleId="9">
    <w:name w:val="Table Grid"/>
    <w:basedOn w:val="8"/>
    <w:qFormat/>
    <w:uiPriority w:val="0"/>
    <w:rPr>
      <w:rFonts w:ascii="宋体" w:hAnsi="Calibri" w:eastAsia="宋体" w:cs="Times New Roman"/>
      <w:sz w:val="18"/>
      <w:szCs w:val="18"/>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1">
    <w:name w:val="Emphasis"/>
    <w:basedOn w:val="10"/>
    <w:qFormat/>
    <w:uiPriority w:val="20"/>
    <w:rPr>
      <w:i/>
    </w:rPr>
  </w:style>
  <w:style w:type="paragraph" w:customStyle="1" w:styleId="12">
    <w:name w:val="名称（公司文件）"/>
    <w:basedOn w:val="1"/>
    <w:link w:val="14"/>
    <w:qFormat/>
    <w:uiPriority w:val="0"/>
    <w:pPr>
      <w:spacing w:line="600" w:lineRule="exact"/>
      <w:jc w:val="center"/>
    </w:pPr>
    <w:rPr>
      <w:rFonts w:ascii="仿宋" w:hAnsi="仿宋" w:eastAsia="方正仿宋简体"/>
      <w:color w:val="000000"/>
      <w:sz w:val="44"/>
      <w:szCs w:val="32"/>
    </w:rPr>
  </w:style>
  <w:style w:type="paragraph" w:customStyle="1" w:styleId="13">
    <w:name w:val="一级标题（公司）"/>
    <w:basedOn w:val="1"/>
    <w:link w:val="15"/>
    <w:qFormat/>
    <w:uiPriority w:val="0"/>
    <w:pPr>
      <w:numPr>
        <w:ilvl w:val="0"/>
        <w:numId w:val="1"/>
      </w:numPr>
      <w:autoSpaceDE w:val="0"/>
      <w:autoSpaceDN w:val="0"/>
      <w:adjustRightInd w:val="0"/>
      <w:spacing w:before="50" w:beforeLines="50" w:after="50" w:afterLines="50"/>
      <w:ind w:left="0" w:firstLine="200"/>
    </w:pPr>
    <w:rPr>
      <w:rFonts w:ascii="黑体" w:hAnsi="黑体" w:eastAsia="黑体" w:cs="仿宋_GB2312"/>
      <w:szCs w:val="32"/>
    </w:rPr>
  </w:style>
  <w:style w:type="character" w:customStyle="1" w:styleId="14">
    <w:name w:val="名称（公司文件） 字符"/>
    <w:basedOn w:val="10"/>
    <w:link w:val="12"/>
    <w:qFormat/>
    <w:uiPriority w:val="0"/>
    <w:rPr>
      <w:rFonts w:ascii="仿宋" w:hAnsi="仿宋" w:eastAsia="方正仿宋简体" w:cs="Times New Roman"/>
      <w:color w:val="000000"/>
      <w:sz w:val="44"/>
      <w:szCs w:val="32"/>
    </w:rPr>
  </w:style>
  <w:style w:type="character" w:customStyle="1" w:styleId="15">
    <w:name w:val="一级标题（公司） 字符"/>
    <w:basedOn w:val="10"/>
    <w:link w:val="13"/>
    <w:qFormat/>
    <w:uiPriority w:val="0"/>
    <w:rPr>
      <w:rFonts w:ascii="黑体" w:hAnsi="黑体" w:eastAsia="黑体" w:cs="仿宋_GB2312"/>
      <w:sz w:val="32"/>
      <w:szCs w:val="32"/>
    </w:rPr>
  </w:style>
  <w:style w:type="paragraph" w:customStyle="1" w:styleId="16">
    <w:name w:val="二级标题（公司）"/>
    <w:basedOn w:val="13"/>
    <w:link w:val="17"/>
    <w:qFormat/>
    <w:uiPriority w:val="0"/>
    <w:pPr>
      <w:numPr>
        <w:numId w:val="2"/>
      </w:numPr>
      <w:ind w:left="0" w:firstLine="200"/>
    </w:pPr>
    <w:rPr>
      <w:rFonts w:ascii="仿宋" w:hAnsi="仿宋" w:eastAsia="楷体"/>
      <w:b/>
    </w:rPr>
  </w:style>
  <w:style w:type="character" w:customStyle="1" w:styleId="17">
    <w:name w:val="二级标题（公司） 字符"/>
    <w:basedOn w:val="10"/>
    <w:link w:val="16"/>
    <w:qFormat/>
    <w:uiPriority w:val="0"/>
    <w:rPr>
      <w:rFonts w:ascii="仿宋" w:hAnsi="仿宋" w:eastAsia="楷体" w:cs="仿宋_GB2312"/>
      <w:b/>
      <w:sz w:val="32"/>
      <w:szCs w:val="32"/>
    </w:rPr>
  </w:style>
  <w:style w:type="character" w:customStyle="1" w:styleId="18">
    <w:name w:val="页眉 字符"/>
    <w:basedOn w:val="10"/>
    <w:link w:val="7"/>
    <w:qFormat/>
    <w:uiPriority w:val="99"/>
    <w:rPr>
      <w:rFonts w:ascii="Times New Roman" w:hAnsi="Times New Roman" w:eastAsia="仿宋_GB2312" w:cs="Times New Roman"/>
      <w:kern w:val="2"/>
      <w:sz w:val="18"/>
      <w:szCs w:val="18"/>
    </w:rPr>
  </w:style>
  <w:style w:type="character" w:customStyle="1" w:styleId="19">
    <w:name w:val="页脚 字符"/>
    <w:basedOn w:val="10"/>
    <w:link w:val="6"/>
    <w:qFormat/>
    <w:uiPriority w:val="99"/>
    <w:rPr>
      <w:rFonts w:ascii="Times New Roman" w:hAnsi="Times New Roman" w:eastAsia="仿宋_GB2312" w:cs="Times New Roman"/>
      <w:kern w:val="2"/>
      <w:sz w:val="18"/>
      <w:szCs w:val="18"/>
    </w:rPr>
  </w:style>
  <w:style w:type="paragraph" w:customStyle="1" w:styleId="20">
    <w:name w:val="标准文件_段"/>
    <w:basedOn w:val="1"/>
    <w:link w:val="21"/>
    <w:uiPriority w:val="0"/>
    <w:pPr>
      <w:keepNext w:val="0"/>
      <w:keepLines w:val="0"/>
      <w:widowControl/>
      <w:suppressLineNumbers w:val="0"/>
      <w:autoSpaceDE w:val="0"/>
      <w:autoSpaceDN w:val="0"/>
      <w:adjustRightInd/>
      <w:spacing w:before="0" w:beforeAutospacing="0" w:after="0" w:afterAutospacing="0" w:line="240" w:lineRule="auto"/>
      <w:ind w:left="0" w:right="0" w:firstLine="200" w:firstLineChars="200"/>
      <w:jc w:val="both"/>
    </w:pPr>
    <w:rPr>
      <w:rFonts w:hint="eastAsia" w:ascii="宋体" w:hAnsi="Times New Roman" w:eastAsia="宋体" w:cs="Times New Roman"/>
      <w:kern w:val="0"/>
      <w:sz w:val="21"/>
      <w:szCs w:val="20"/>
      <w:lang w:val="en-US" w:eastAsia="zh-CN" w:bidi="ar"/>
    </w:rPr>
  </w:style>
  <w:style w:type="character" w:customStyle="1" w:styleId="21">
    <w:name w:val="标准文件_段 Char"/>
    <w:basedOn w:val="10"/>
    <w:link w:val="20"/>
    <w:qFormat/>
    <w:uiPriority w:val="0"/>
    <w:rPr>
      <w:rFonts w:hint="eastAsia" w:ascii="宋体" w:hAnsi="Times New Roman" w:eastAsia="宋体" w:cs="宋体"/>
      <w:sz w:val="21"/>
    </w:rPr>
  </w:style>
  <w:style w:type="paragraph" w:customStyle="1" w:styleId="22">
    <w:name w:val="标准文件_表格"/>
    <w:basedOn w:val="1"/>
    <w:uiPriority w:val="0"/>
    <w:pPr>
      <w:keepNext w:val="0"/>
      <w:keepLines w:val="0"/>
      <w:widowControl/>
      <w:suppressLineNumbers w:val="0"/>
      <w:autoSpaceDE w:val="0"/>
      <w:autoSpaceDN w:val="0"/>
      <w:adjustRightInd/>
      <w:spacing w:before="0" w:beforeAutospacing="0" w:after="0" w:afterAutospacing="0" w:line="240" w:lineRule="auto"/>
      <w:ind w:left="0" w:right="0"/>
      <w:jc w:val="center"/>
    </w:pPr>
    <w:rPr>
      <w:rFonts w:hint="eastAsia" w:ascii="宋体" w:hAnsi="Times New Roman" w:eastAsia="宋体" w:cs="Times New Roman"/>
      <w:kern w:val="0"/>
      <w:sz w:val="18"/>
      <w:szCs w:val="20"/>
      <w:lang w:val="en-US" w:eastAsia="zh-CN" w:bidi="ar"/>
    </w:rPr>
  </w:style>
  <w:style w:type="paragraph" w:customStyle="1" w:styleId="23">
    <w:name w:val="表标题"/>
    <w:basedOn w:val="1"/>
    <w:qFormat/>
    <w:uiPriority w:val="0"/>
    <w:pPr>
      <w:spacing w:beforeLines="100" w:line="500" w:lineRule="exact"/>
      <w:jc w:val="center"/>
    </w:pPr>
    <w:rPr>
      <w:rFonts w:eastAsia="黑体"/>
      <w:kern w:val="0"/>
      <w:sz w:val="28"/>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21</Pages>
  <Words>8385</Words>
  <Characters>11032</Characters>
  <Lines>25</Lines>
  <Paragraphs>7</Paragraphs>
  <TotalTime>4</TotalTime>
  <ScaleCrop>false</ScaleCrop>
  <LinksUpToDate>false</LinksUpToDate>
  <CharactersWithSpaces>11307</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2022-04-25T09:35:00Z</dcterms:created>
  <dc:creator>Lee Qilin</dc:creator>
  <cp:lastModifiedBy>Crazy——林仔</cp:lastModifiedBy>
  <cp:lastPrinted>2022-03-29T01:18:00Z</cp:lastPrinted>
  <dcterms:modified xsi:type="dcterms:W3CDTF">2022-06-21T09:18:02Z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3DA4D7061F9E442A828AD34D73B8713B</vt:lpwstr>
  </property>
</Properties>
</file>