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hint="eastAsia" w:ascii="黑体" w:hAnsi="黑体" w:eastAsia="黑体" w:cs="黑体"/>
          <w:b w:val="0"/>
          <w:color w:val="auto"/>
          <w:sz w:val="36"/>
          <w:szCs w:val="36"/>
        </w:rPr>
      </w:pP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团体标准《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  <w:lang w:eastAsia="zh-CN"/>
        </w:rPr>
        <w:t>八角中二氧化硫残留量的快速筛查法 比色法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》（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  <w:lang w:eastAsia="zh-CN"/>
        </w:rPr>
        <w:t>征求意见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稿）编制说明</w:t>
      </w:r>
    </w:p>
    <w:p>
      <w:pPr>
        <w:jc w:val="center"/>
        <w:rPr>
          <w:rFonts w:ascii="黑体" w:hAnsi="黑体" w:eastAsia="黑体" w:cs="黑体"/>
          <w:bCs/>
          <w:color w:val="auto"/>
          <w:sz w:val="36"/>
          <w:szCs w:val="36"/>
        </w:rPr>
      </w:pP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项目来源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根据《关于下达202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年第二十六批团体标准制修订项目计划的通知》（桂标协﹝202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﹞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71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号）文件精神，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由广西食品安全协会提出，品创科技有限公司、广西壮族自治区产品质量检验研究院、品创检测（广西）有限公司、广西食品安全协会、广西标准化协会共同起草制定团体标准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共同起草的团体标准《八角中二氧化硫残留量的快速筛查法 比色法》。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项目背景及目的意义</w:t>
      </w:r>
    </w:p>
    <w:p>
      <w:pPr>
        <w:pStyle w:val="22"/>
        <w:ind w:firstLine="560" w:firstLineChars="200"/>
        <w:rPr>
          <w:rFonts w:ascii="仿宋_GB2312" w:hAnsi="宋体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宋体" w:eastAsia="仿宋_GB2312"/>
          <w:color w:val="auto"/>
          <w:sz w:val="28"/>
          <w:szCs w:val="28"/>
          <w:lang w:val="zh-CN"/>
        </w:rPr>
        <w:t>八角，又称茴香、八角茴香、大料和大茴香，是中国菜和东南亚地区烹饪的调味料之一，又属于药品，备受广大人们</w:t>
      </w:r>
      <w:r>
        <w:rPr>
          <w:rFonts w:ascii="仿宋_GB2312" w:hAnsi="宋体" w:eastAsia="仿宋_GB2312" w:cs="Times New Roman"/>
          <w:color w:val="auto"/>
          <w:sz w:val="28"/>
          <w:szCs w:val="28"/>
          <w:lang w:val="zh-CN"/>
        </w:rPr>
        <w:t>的喜爱。</w:t>
      </w:r>
      <w:r>
        <w:rPr>
          <w:rFonts w:hint="eastAsia" w:ascii="仿宋_GB2312" w:hAnsi="宋体" w:eastAsia="仿宋_GB2312" w:cs="Times New Roman"/>
          <w:color w:val="auto"/>
          <w:sz w:val="28"/>
          <w:szCs w:val="28"/>
          <w:lang w:val="zh-CN"/>
        </w:rPr>
        <w:t>八角作为著名的调味香料，主产于广西壮族自治区（以下简称广西）西部和南部，是广西重要经济林产品，官方数据显示， 广西八角种植面积超过40万公顷， 总产量10万吨， 占全球85%左右。八角不但能调味还能入药，具有健胃、行气的功效，能刺激胃肠神经血管，促进消化液分泌，增加胃肠蠕动，有助于缓解痉挛、脘腹疼痛，还具有抑菌防腐作用。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广西作为全国八角主要产区，近年来却发现部分八角经销商及相当一部分农户，采用硫磺熏蒸的方式以达到防腐、防霉的作用，而硫黄熏蒸产生的二氧化硫( SO</w:t>
      </w:r>
      <w:r>
        <w:rPr>
          <w:rFonts w:ascii="仿宋_GB2312" w:hAnsi="宋体" w:eastAsia="仿宋_GB2312"/>
          <w:color w:val="auto"/>
          <w:sz w:val="28"/>
          <w:szCs w:val="28"/>
          <w:vertAlign w:val="subscript"/>
          <w:lang w:val="zh-CN"/>
        </w:rPr>
        <w:t>2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 xml:space="preserve"> ) 过量残留在八角中，对人体健康有危害，经常食用含 SO</w:t>
      </w:r>
      <w:r>
        <w:rPr>
          <w:rFonts w:ascii="仿宋_GB2312" w:hAnsi="宋体" w:eastAsia="仿宋_GB2312"/>
          <w:color w:val="auto"/>
          <w:sz w:val="28"/>
          <w:szCs w:val="28"/>
          <w:vertAlign w:val="subscript"/>
          <w:lang w:val="zh-CN"/>
        </w:rPr>
        <w:t>2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 xml:space="preserve"> 的食品会危害到消化系统。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hAnsi="宋体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国家卫生健康委员会公布的《关于弯曲乳杆菌等24种“三新食品”的公告（2019年第2号）》（下称《公告》）其附件显示，香辛料及粉（仅限八角）被纳入硫磺的使用范围，且最大使用量为0.15g/kg。</w:t>
      </w:r>
      <w:r>
        <w:rPr>
          <w:rFonts w:hint="eastAsia" w:ascii="仿宋_GB2312" w:hAnsi="宋体" w:eastAsia="仿宋_GB2312" w:cs="Times New Roman"/>
          <w:color w:val="auto"/>
          <w:sz w:val="28"/>
          <w:szCs w:val="28"/>
          <w:lang w:val="zh-CN"/>
        </w:rPr>
        <w:t>据报道，广西所产的八角竟然有超过</w:t>
      </w:r>
      <w:r>
        <w:rPr>
          <w:rFonts w:hint="eastAsia" w:ascii="仿宋_GB2312" w:hAnsi="宋体" w:eastAsia="仿宋_GB2312" w:cs="Times New Roman"/>
          <w:color w:val="auto"/>
          <w:sz w:val="28"/>
          <w:szCs w:val="28"/>
          <w:lang w:val="zh-CN" w:eastAsia="zh-CN"/>
        </w:rPr>
        <w:t>八</w:t>
      </w:r>
      <w:r>
        <w:rPr>
          <w:rFonts w:hint="eastAsia" w:ascii="仿宋_GB2312" w:hAnsi="宋体" w:eastAsia="仿宋_GB2312" w:cs="Times New Roman"/>
          <w:color w:val="auto"/>
          <w:sz w:val="28"/>
          <w:szCs w:val="28"/>
          <w:lang w:val="zh-CN"/>
        </w:rPr>
        <w:t>成是用硫磺熏制过的，硫磺在常温条件下为淡黄色固体，在熏蒸过程中能与空气中的氧反应生成二氧化硫，对食品起到脱色和漂白作用硫磺 、亚硫酸盐、低亚硫酸盐、焦亚硫酸盐等，越来越广泛地应用于食品添加与加工过程它们都可以生成二氧化硫，而二氧化硫是其真正的“有效成分”。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随着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人们对食品安全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问题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越来越关注，检测方法也在持续更新，安全、快捷、 有效的方法越来越广泛的应用在二氧化硫的检测中。目前比较普及的还是传统的比色法和滴定法。对于一些检测要求高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，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传统检测方法不能检出的食品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，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色谱法应用比较普遍，此方法具有适用范围广、检测灵敏度高的优点。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因此，制定标准《八角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中二氧化硫残留量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的</w:t>
      </w:r>
      <w:r>
        <w:rPr>
          <w:rFonts w:ascii="仿宋_GB2312" w:hAnsi="宋体" w:eastAsia="仿宋_GB2312"/>
          <w:color w:val="auto"/>
          <w:sz w:val="28"/>
          <w:szCs w:val="28"/>
          <w:lang w:val="zh-CN"/>
        </w:rPr>
        <w:t>快速筛查法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 xml:space="preserve"> 比色法》显得尤为重要。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正因如此，越来越多的企业和机构采购前需要对八角中的二氧化硫含量的检测，以保证其八角品质的要求。但长期以来，由于没有制定快捷简便的八角中二氧化硫含量的检测标准，二氧化硫含量检测的方法较为复杂。不利于八角质量安全检验监测体系的建设和完善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因此，通过本标准的制定与实施，以标准为着力点，规范检测八角中二氧化硫含量的试剂和材料、仪器和设备、试样制备、分析步骤、结果计算等内容，以标准化与规范化更好地指导八角中二氧化硫含量测定工作，有助于完善我国食药品种二氧化硫含量检测体系。本标准使用超声波可以快速提取八角中二氧化硫，并且采用无汞试剂,对环境污染小,初步确定应可用于八角中二氧化硫的测定。对提高二氧化硫含量检测效率，实现二氧化硫含量测定的科学化、规范化、统一化，对促进当前八角产业发展具有积极意义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标准编制过程</w:t>
      </w:r>
    </w:p>
    <w:p>
      <w:pPr>
        <w:pStyle w:val="4"/>
        <w:spacing w:beforeAutospacing="0" w:afterAutospacing="0"/>
        <w:rPr>
          <w:rFonts w:hint="default" w:ascii="黑体" w:hAnsi="黑体" w:eastAsia="黑体" w:cs="黑体"/>
          <w:bCs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（一）成立标准编制工作组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团体标准《八角中二氧化硫残留量的快速筛查法 比色法》项目任务下达后，成立了标准编制工作组，制定了标准编写方案，明确任务职责，确定工作技术路线，开展标准研制工作，具体标准编制工作由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广西壮族自治区产品质量检验研究院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相关人员配合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完成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4"/>
        <w:spacing w:beforeAutospacing="0" w:afterAutospacing="0"/>
        <w:rPr>
          <w:rFonts w:hint="default" w:ascii="仿宋_GB2312" w:hAnsi="仿宋_GB2312" w:eastAsia="仿宋_GB2312" w:cs="仿宋_GB2312"/>
          <w:b w:val="0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（二）收集整理文献资料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标准编制工作组收集了国内与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比色法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测定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二氧化硫含量的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相关标准，具体列出如下：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>GB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>5009.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34—2016</w:t>
      </w: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 xml:space="preserve">食品安全国家标准 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食品中二氧化硫的测定</w:t>
      </w:r>
    </w:p>
    <w:p>
      <w:pPr>
        <w:pStyle w:val="4"/>
        <w:spacing w:beforeAutospacing="0" w:afterAutospacing="0"/>
        <w:ind w:firstLine="560" w:firstLineChars="200"/>
        <w:rPr>
          <w:rFonts w:hint="eastAsia" w:ascii="仿宋_GB2312" w:hAnsi="宋体" w:eastAsia="仿宋_GB2312" w:cs="Times New Roman"/>
          <w:b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宋体" w:eastAsia="仿宋_GB2312" w:cs="Times New Roman"/>
          <w:b w:val="0"/>
          <w:color w:val="auto"/>
          <w:kern w:val="2"/>
          <w:sz w:val="28"/>
          <w:szCs w:val="28"/>
          <w:lang w:val="en-US" w:eastAsia="zh-CN" w:bidi="ar-SA"/>
        </w:rPr>
        <w:t>DB 13/T 5189.2—2020天然植物提取物中危害成分检测</w:t>
      </w:r>
      <w:r>
        <w:rPr>
          <w:rFonts w:hint="eastAsia" w:ascii="仿宋_GB2312" w:hAnsi="宋体" w:eastAsia="仿宋_GB2312" w:cs="Times New Roman"/>
          <w:b w:val="0"/>
          <w:color w:val="auto"/>
          <w:kern w:val="2"/>
          <w:sz w:val="28"/>
          <w:szCs w:val="28"/>
          <w:lang w:val="en-US" w:eastAsia="zh-CN" w:bidi="ar-SA"/>
        </w:rPr>
        <w:t>第2部分：二氧化硫的测定</w:t>
      </w:r>
    </w:p>
    <w:p>
      <w:pPr>
        <w:pStyle w:val="4"/>
        <w:spacing w:beforeAutospacing="0" w:afterAutospacing="0"/>
        <w:rPr>
          <w:rFonts w:hint="default" w:ascii="仿宋_GB2312" w:hAnsi="仿宋_GB2312" w:eastAsia="仿宋_GB2312" w:cs="仿宋_GB2312"/>
          <w:b w:val="0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（三）研讨确定标准主体内容</w:t>
      </w:r>
    </w:p>
    <w:p>
      <w:pPr>
        <w:ind w:firstLine="560" w:firstLineChars="200"/>
        <w:rPr>
          <w:rFonts w:ascii="仿宋_GB2312" w:hAnsi="宋体" w:eastAsia="仿宋_GB2312"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标准编制工作组在对收集的资料进行整理研究之后，标准编制工作组召开了标准编制会议，对标准的整体框架结构进行了研究，并对标准的关键性内容进行了初步探讨。经过研究，标准的主体内容确定为术语和定义、原理、试剂和材料、仪器和设备、分析步骤、计算及结果表示、精密度。</w:t>
      </w:r>
    </w:p>
    <w:p>
      <w:pPr>
        <w:pStyle w:val="4"/>
        <w:spacing w:beforeAutospacing="0" w:afterAutospacing="0"/>
        <w:rPr>
          <w:rFonts w:hint="eastAsia" w:ascii="仿宋_GB2312" w:hAnsi="仿宋_GB2312" w:eastAsia="仿宋_GB2312" w:cs="仿宋_GB2312"/>
          <w:b w:val="0"/>
          <w:color w:val="auto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调研、形成文本草案、征求意见稿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bookmarkStart w:id="1" w:name="_GoBack"/>
      <w:bookmarkEnd w:id="1"/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月，标准起草工作小组进行了广泛实地调研工作，查阅了大量的国内外文献资料，对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八角中二氧化硫检测技术</w:t>
      </w:r>
      <w:r>
        <w:rPr>
          <w:rFonts w:hint="eastAsia" w:ascii="仿宋_GB2312" w:hAnsi="宋体" w:eastAsia="仿宋_GB2312"/>
          <w:sz w:val="28"/>
          <w:szCs w:val="28"/>
        </w:rPr>
        <w:t>的前人研究成果进行系统总结。形成了标准的基本构架，对主要内容进行了讨论并对项目的工作进行了部署和安排。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月，在前期工作的基础之上，通过理清逻辑脉络，整合已有的参考资料中有关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比色法测定八角中二氧化硫</w:t>
      </w:r>
      <w:r>
        <w:rPr>
          <w:rFonts w:hint="eastAsia" w:ascii="仿宋_GB2312" w:hAnsi="宋体" w:eastAsia="仿宋_GB2312"/>
          <w:sz w:val="28"/>
          <w:szCs w:val="28"/>
        </w:rPr>
        <w:t>的技术要求，并结合广西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八角市场</w:t>
      </w:r>
      <w:r>
        <w:rPr>
          <w:rFonts w:hint="eastAsia" w:ascii="仿宋_GB2312" w:hAnsi="宋体" w:eastAsia="仿宋_GB2312"/>
          <w:sz w:val="28"/>
          <w:szCs w:val="28"/>
        </w:rPr>
        <w:t>实际要求的基础上，按照简化、统一等原则编制完成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团体标准</w:t>
      </w:r>
      <w:r>
        <w:rPr>
          <w:rFonts w:hint="eastAsia" w:ascii="仿宋_GB2312" w:hAnsi="宋体" w:eastAsia="仿宋_GB2312"/>
          <w:sz w:val="28"/>
          <w:szCs w:val="28"/>
        </w:rPr>
        <w:t>《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八角中二氧化硫残留量的快速筛查法 比色法</w:t>
      </w:r>
      <w:r>
        <w:rPr>
          <w:rFonts w:hint="eastAsia" w:ascii="仿宋_GB2312" w:hAnsi="宋体" w:eastAsia="仿宋_GB2312"/>
          <w:sz w:val="28"/>
          <w:szCs w:val="28"/>
        </w:rPr>
        <w:t>》（草案）。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月，标准起草工作组再次深入区内涉及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八角生产加工</w:t>
      </w:r>
      <w:r>
        <w:rPr>
          <w:rFonts w:hint="eastAsia" w:ascii="仿宋_GB2312" w:hAnsi="宋体" w:eastAsia="仿宋_GB2312"/>
          <w:sz w:val="28"/>
          <w:szCs w:val="28"/>
        </w:rPr>
        <w:t>的企业针对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八角中二氧化硫检测</w:t>
      </w:r>
      <w:r>
        <w:rPr>
          <w:rFonts w:hint="eastAsia" w:ascii="仿宋_GB2312" w:hAnsi="宋体" w:eastAsia="仿宋_GB2312"/>
          <w:sz w:val="28"/>
          <w:szCs w:val="28"/>
        </w:rPr>
        <w:t>情况进行分组实地调研学习。通过实地调研，掌握各地方关于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比色法测定二氧化硫</w:t>
      </w:r>
      <w:r>
        <w:rPr>
          <w:rFonts w:hint="eastAsia" w:ascii="仿宋_GB2312" w:hAnsi="宋体" w:eastAsia="仿宋_GB2312"/>
          <w:sz w:val="28"/>
          <w:szCs w:val="28"/>
        </w:rPr>
        <w:t>的具体技术要求。并实际征求意见，通过收集反馈了大量意见，标准编制工作组多次召开会议，对标准草案进行了反复修改和研究讨论。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修改完成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团体标准</w:t>
      </w:r>
      <w:r>
        <w:rPr>
          <w:rFonts w:hint="eastAsia" w:ascii="仿宋_GB2312" w:hAnsi="宋体" w:eastAsia="仿宋_GB2312"/>
          <w:sz w:val="28"/>
          <w:szCs w:val="28"/>
        </w:rPr>
        <w:t>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鲜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八角中二氧化硫残留量的快速筛查法 比色法</w:t>
      </w:r>
      <w:r>
        <w:rPr>
          <w:rFonts w:hint="eastAsia" w:ascii="仿宋_GB2312" w:hAnsi="宋体" w:eastAsia="仿宋_GB2312"/>
          <w:sz w:val="28"/>
          <w:szCs w:val="28"/>
        </w:rPr>
        <w:t>》（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草案</w:t>
      </w:r>
      <w:r>
        <w:rPr>
          <w:rFonts w:hint="eastAsia" w:ascii="仿宋_GB2312" w:hAnsi="宋体" w:eastAsia="仿宋_GB2312"/>
          <w:sz w:val="28"/>
          <w:szCs w:val="28"/>
        </w:rPr>
        <w:t>）。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5月</w:t>
      </w:r>
      <w:r>
        <w:rPr>
          <w:rFonts w:hint="eastAsia" w:ascii="仿宋_GB2312" w:hAnsi="宋体" w:eastAsia="仿宋_GB2312"/>
          <w:sz w:val="28"/>
          <w:szCs w:val="28"/>
        </w:rPr>
        <w:t>，标准编写小组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通过对标准的试行检测，</w:t>
      </w:r>
      <w:r>
        <w:rPr>
          <w:rFonts w:hint="eastAsia" w:ascii="仿宋_GB2312" w:hAnsi="宋体" w:eastAsia="仿宋_GB2312"/>
          <w:sz w:val="28"/>
          <w:szCs w:val="28"/>
        </w:rPr>
        <w:t>进一步讨论完善标准草案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形成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团体标准</w:t>
      </w:r>
      <w:r>
        <w:rPr>
          <w:rFonts w:hint="eastAsia" w:ascii="仿宋_GB2312" w:hAnsi="宋体" w:eastAsia="仿宋_GB2312"/>
          <w:sz w:val="28"/>
          <w:szCs w:val="28"/>
        </w:rPr>
        <w:t>《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八角中二氧化硫残留量的快速筛查法 比色法</w:t>
      </w:r>
      <w:r>
        <w:rPr>
          <w:rFonts w:hint="eastAsia" w:ascii="仿宋_GB2312" w:hAnsi="宋体" w:eastAsia="仿宋_GB2312"/>
          <w:sz w:val="28"/>
          <w:szCs w:val="28"/>
        </w:rPr>
        <w:t>》（征求意见稿）和（征求意见稿）编制说明。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仿宋_GB2312"/>
          <w:color w:val="auto"/>
          <w:sz w:val="32"/>
          <w:szCs w:val="32"/>
        </w:rPr>
      </w:pPr>
      <w:bookmarkStart w:id="0" w:name="_Toc526940083"/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标准制定原则</w:t>
      </w:r>
      <w:bookmarkEnd w:id="0"/>
    </w:p>
    <w:p>
      <w:pPr>
        <w:pStyle w:val="4"/>
        <w:spacing w:beforeAutospacing="0" w:afterAutospacing="0"/>
        <w:rPr>
          <w:rFonts w:hint="default" w:ascii="仿宋_GB2312" w:eastAsia="仿宋_GB2312"/>
          <w:b w:val="0"/>
          <w:color w:val="auto"/>
          <w:sz w:val="28"/>
          <w:szCs w:val="28"/>
        </w:rPr>
      </w:pPr>
      <w:r>
        <w:rPr>
          <w:rFonts w:ascii="仿宋_GB2312" w:eastAsia="仿宋_GB2312"/>
          <w:color w:val="auto"/>
          <w:sz w:val="28"/>
          <w:szCs w:val="28"/>
        </w:rPr>
        <w:t>1、实用性原则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本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文件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是在充分收集相关资料和文献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调研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市场情况，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分析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八角中二氧化硫含量的快速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测定技术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当前现状，在现有国家、行业标准相关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比色法测定二氧化硫技术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要求的基础上，结合多年经验而总结起草的。符合当前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八角中二氧化硫含量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检测的要求，有利于行业的长远发展，对推动我区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产业健康发展具有较强的实用性和可操作性。</w:t>
      </w:r>
    </w:p>
    <w:p>
      <w:pPr>
        <w:pStyle w:val="4"/>
        <w:spacing w:beforeAutospacing="0" w:afterAutospacing="0"/>
        <w:rPr>
          <w:rFonts w:hint="default" w:ascii="仿宋_GB2312" w:eastAsia="仿宋_GB2312"/>
          <w:b w:val="0"/>
          <w:color w:val="auto"/>
          <w:sz w:val="28"/>
          <w:szCs w:val="28"/>
        </w:rPr>
      </w:pPr>
      <w:r>
        <w:rPr>
          <w:rFonts w:ascii="仿宋_GB2312" w:eastAsia="仿宋_GB2312"/>
          <w:color w:val="auto"/>
          <w:sz w:val="28"/>
          <w:szCs w:val="28"/>
        </w:rPr>
        <w:t>2、协调性原则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本文件编写过程中注意了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双波长比色法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测定薯类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支链直链淀粉含量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的技术要求与相关法律法规的协调问题，在内容上与现行法律法规、标准协调一致。</w:t>
      </w:r>
    </w:p>
    <w:p>
      <w:pPr>
        <w:pStyle w:val="4"/>
        <w:spacing w:beforeAutospacing="0" w:afterAutospacing="0"/>
        <w:rPr>
          <w:rFonts w:hint="default" w:ascii="仿宋_GB2312" w:eastAsia="仿宋_GB2312"/>
          <w:b w:val="0"/>
          <w:color w:val="auto"/>
          <w:sz w:val="28"/>
          <w:szCs w:val="28"/>
        </w:rPr>
      </w:pPr>
      <w:r>
        <w:rPr>
          <w:rFonts w:ascii="仿宋_GB2312" w:eastAsia="仿宋_GB2312"/>
          <w:color w:val="auto"/>
          <w:sz w:val="28"/>
          <w:szCs w:val="28"/>
        </w:rPr>
        <w:t>3、规范性原则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本文件严格按照GB/T 1.1—2020《标准化工作导则 第1部分：标准的结构和编写》的要求和规定编写本标准的内容，保证标准的编写质量。</w:t>
      </w:r>
    </w:p>
    <w:p>
      <w:pPr>
        <w:pStyle w:val="4"/>
        <w:spacing w:beforeAutospacing="0" w:afterAutospacing="0"/>
        <w:rPr>
          <w:rFonts w:hint="default" w:ascii="仿宋_GB2312" w:eastAsia="仿宋_GB2312"/>
          <w:b w:val="0"/>
          <w:color w:val="auto"/>
          <w:sz w:val="28"/>
          <w:szCs w:val="28"/>
        </w:rPr>
      </w:pPr>
      <w:r>
        <w:rPr>
          <w:rFonts w:ascii="仿宋_GB2312" w:eastAsia="仿宋_GB2312"/>
          <w:color w:val="auto"/>
          <w:sz w:val="28"/>
          <w:szCs w:val="28"/>
        </w:rPr>
        <w:t>4、前瞻性原则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文件</w:t>
      </w:r>
      <w:r>
        <w:rPr>
          <w:rFonts w:hint="eastAsia" w:ascii="仿宋_GB2312" w:hAnsi="宋体" w:eastAsia="仿宋_GB2312"/>
          <w:sz w:val="28"/>
          <w:szCs w:val="28"/>
        </w:rPr>
        <w:t>在兼顾当前区内各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八角生产和加工</w:t>
      </w:r>
      <w:r>
        <w:rPr>
          <w:rFonts w:hint="eastAsia" w:ascii="仿宋_GB2312" w:hAnsi="宋体" w:eastAsia="仿宋_GB2312"/>
          <w:sz w:val="28"/>
          <w:szCs w:val="28"/>
        </w:rPr>
        <w:t>技术现实情况的同时，还考虑到了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广西八角市场健康</w:t>
      </w:r>
      <w:r>
        <w:rPr>
          <w:rFonts w:hint="eastAsia" w:ascii="仿宋_GB2312" w:hAnsi="宋体" w:eastAsia="仿宋_GB2312"/>
          <w:sz w:val="28"/>
          <w:szCs w:val="28"/>
        </w:rPr>
        <w:t>快速发展的趋势和需要，在标准中体现了个别特色性、前瞻性和先进性条款，作为对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八角中二氧化硫快速筛查技术</w:t>
      </w:r>
      <w:r>
        <w:rPr>
          <w:rFonts w:hint="eastAsia" w:ascii="仿宋_GB2312" w:hAnsi="宋体" w:eastAsia="仿宋_GB2312"/>
          <w:sz w:val="28"/>
          <w:szCs w:val="28"/>
        </w:rPr>
        <w:t>发展的指导。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标准主要章节内容及确定依据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广西壮族自治区产品质量检验研究院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就不同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产地的八角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进行检测，期间进行了上百个样品的检测，数据量十分丰富，在不断的试验过程中试验方法得到不断完善，最终形成准确度高、可操作性强的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八角中二氧化硫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检测方法。</w:t>
      </w: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rFonts w:hint="default" w:ascii="仿宋_GB2312" w:hAnsi="宋体" w:eastAsia="仿宋_GB2312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eastAsia="zh-CN"/>
        </w:rPr>
        <w:t>测定方法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（1）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试样制备 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将抽取的样品，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混合均匀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用粉碎机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粉碎，装入洁净容器内。密封作为试样，标明标记。在制样的操作过程中，应防止样品受到二氧化硫的污染。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（2）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 蒸馏 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称取试样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5g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（精确至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0.01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ｇ）（试样量视产品二氧化硫含量高低而定），置于250mL锥形瓶中，加入100毫升水，45℃水浴超声提取30min，过滤后，重复提取一次，合并两次提取溶液，加入25mL三乙醇胺吸收液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中，然后加入10mL盐酸溶液，用新煮沸放冷的水定容至250mL容量瓶中。在检测试样的同时做空白试验，空白试验的不加样品。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（3）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 测定 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吸取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5.0mL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上述试样处理液于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25mL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容量瓶中。另吸取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0mL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30mμL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60mμL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90μL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150mμL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300mμL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二氧化硫标准使用液（</w:t>
      </w: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100μg/mL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）（相当于０μｇ、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3.0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μｇ、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6.0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μｇ、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9.0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μｇ、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15.0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μｇ、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30.0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μｇ二氧化硫），分别置于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25mL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容量瓶中。向样液、空白和标液容量瓶中各加入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1.0mL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氨基磺酸溶液混匀，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室温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放置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20min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，再准确加入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2.0mL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甲醛溶液和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1.0mL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盐酸副玫瑰苯胺工作液，并用新煮沸放冷的水加至刻度，摇匀，放在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室温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反应 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20min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，用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1cm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比色皿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，以零管调节零点，于波长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579nm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 处测吸光度，绘制标准曲线。 </w:t>
      </w: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原理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溶液中的二氧化硫能与三乙醇胺生成稳定的阴离子复合物,再与盐酸副玫瑰苯胺溶液和甲醛反应生成紫红色化合物,比色而定量。</w:t>
      </w:r>
      <w:r>
        <w:rPr>
          <w:rFonts w:hint="eastAsia" w:ascii="仿宋_GB2312" w:eastAsia="仿宋_GB2312"/>
          <w:color w:val="auto"/>
          <w:sz w:val="28"/>
          <w:szCs w:val="28"/>
        </w:rPr>
        <w:t>会产生不同的光学特性，从而表现出特定的吸收谱及吸收峰，通过标准物质建立标准曲线，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与标准系列比较定量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color w:val="auto"/>
          <w:sz w:val="28"/>
          <w:szCs w:val="28"/>
        </w:rPr>
        <w:t>而确定样品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八角中二氧化硫</w:t>
      </w:r>
      <w:r>
        <w:rPr>
          <w:rFonts w:hint="eastAsia" w:ascii="仿宋_GB2312" w:eastAsia="仿宋_GB2312"/>
          <w:color w:val="auto"/>
          <w:sz w:val="28"/>
          <w:szCs w:val="28"/>
        </w:rPr>
        <w:t>的含量。</w:t>
      </w: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b/>
          <w:color w:val="auto"/>
          <w:sz w:val="24"/>
          <w:szCs w:val="24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试剂类型和用量确定</w:t>
      </w:r>
    </w:p>
    <w:p>
      <w:pPr>
        <w:pStyle w:val="14"/>
        <w:numPr>
          <w:ilvl w:val="0"/>
          <w:numId w:val="7"/>
        </w:numPr>
        <w:autoSpaceDE w:val="0"/>
        <w:autoSpaceDN w:val="0"/>
        <w:adjustRightInd w:val="0"/>
        <w:ind w:left="0" w:firstLine="0" w:firstLineChars="0"/>
        <w:jc w:val="left"/>
        <w:outlineLvl w:val="3"/>
        <w:rPr>
          <w:color w:val="auto"/>
          <w:sz w:val="24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二氧化硫不稳定性研究</w:t>
      </w:r>
      <w:r>
        <w:rPr>
          <w:rFonts w:ascii="仿宋_GB2312" w:hAnsi="宋体" w:eastAsia="仿宋_GB2312"/>
          <w:color w:val="auto"/>
          <w:sz w:val="28"/>
          <w:szCs w:val="28"/>
        </w:rPr>
        <w:t>确定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在八角中二氧化硫测定方法中，二氧化硫标准溶液的稳定性会直接影响到标准曲线的绘制，因此，二氧化硫的稳定性对实验结果准确与否至关重要。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二氧化硫被三乙醇胺吸收液吸收后，生成稳定的阴离子复合物。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在实际实验过程中，我们发现二氧化硫标准溶液的稳定性较差，主要是因为在溶液中亚硫酸根不稳定。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称取0.5g亚硫酸钠，溶于200mL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三乙醇胺</w:t>
      </w: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收液中，放置过夜，上清液用定量滤纸过滤，过滤后立即标定二氧化硫标准溶液，然后用三乙醇胺吸收液稀释成浓度为100μg/mL的二氧化硫标准使用溶液。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将100μg/mL的二氧化硫标准使用液置于不同的温度条件下，分别隔一定时间进行测定，结果见下表1</w:t>
      </w:r>
    </w:p>
    <w:p>
      <w:pPr>
        <w:ind w:firstLine="560" w:firstLineChars="200"/>
        <w:jc w:val="center"/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</w:pPr>
    </w:p>
    <w:p>
      <w:pPr>
        <w:ind w:firstLine="562" w:firstLineChars="200"/>
        <w:jc w:val="center"/>
        <w:rPr>
          <w:rFonts w:hint="default" w:ascii="仿宋_GB2312" w:hAnsi="宋体" w:eastAsia="仿宋_GB2312"/>
          <w:b/>
          <w:bCs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vertAlign w:val="baseline"/>
          <w:lang w:val="en-US" w:eastAsia="zh-CN"/>
        </w:rPr>
        <w:t>表1  不同条件下S0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vertAlign w:val="subscript"/>
          <w:lang w:val="en-US" w:eastAsia="zh-CN"/>
        </w:rPr>
        <w:t>2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vertAlign w:val="baseline"/>
          <w:lang w:val="en-US" w:eastAsia="zh-CN"/>
        </w:rPr>
        <w:t>浓度的变化</w:t>
      </w:r>
    </w:p>
    <w:tbl>
      <w:tblPr>
        <w:tblStyle w:val="11"/>
        <w:tblW w:w="87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908"/>
        <w:gridCol w:w="908"/>
        <w:gridCol w:w="709"/>
        <w:gridCol w:w="199"/>
        <w:gridCol w:w="908"/>
        <w:gridCol w:w="908"/>
        <w:gridCol w:w="9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261" w:type="dxa"/>
            <w:tcBorders>
              <w:top w:val="single" w:color="000000" w:sz="4" w:space="0"/>
              <w:tl2br w:val="single" w:color="auto" w:sz="4" w:space="0"/>
            </w:tcBorders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浓度（μg/mL）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时间（h）</w:t>
            </w:r>
          </w:p>
        </w:tc>
        <w:tc>
          <w:tcPr>
            <w:tcW w:w="2525" w:type="dxa"/>
            <w:gridSpan w:val="3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室温</w:t>
            </w:r>
          </w:p>
        </w:tc>
        <w:tc>
          <w:tcPr>
            <w:tcW w:w="2924" w:type="dxa"/>
            <w:gridSpan w:val="4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261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0h</w:t>
            </w:r>
          </w:p>
        </w:tc>
        <w:tc>
          <w:tcPr>
            <w:tcW w:w="908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  <w:tc>
          <w:tcPr>
            <w:tcW w:w="908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  <w:tc>
          <w:tcPr>
            <w:tcW w:w="908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  <w:tc>
          <w:tcPr>
            <w:tcW w:w="908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  <w:tc>
          <w:tcPr>
            <w:tcW w:w="909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100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2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24h后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47.8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48.3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49.8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99.4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98.7</w:t>
            </w:r>
          </w:p>
        </w:tc>
        <w:tc>
          <w:tcPr>
            <w:tcW w:w="9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2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48h后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27.5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27.3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28.6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64.8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71.5</w:t>
            </w:r>
          </w:p>
        </w:tc>
        <w:tc>
          <w:tcPr>
            <w:tcW w:w="9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72.3</w:t>
            </w:r>
          </w:p>
        </w:tc>
      </w:tr>
    </w:tbl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vertAlign w:val="baseline"/>
          <w:lang w:val="en-US" w:eastAsia="zh-CN"/>
        </w:rPr>
        <w:t>从表中可以看出，100μg/mL二氧化硫标准溶液在4℃条件下可以稳定24h左右。</w:t>
      </w:r>
    </w:p>
    <w:p>
      <w:pPr>
        <w:pStyle w:val="14"/>
        <w:numPr>
          <w:ilvl w:val="0"/>
          <w:numId w:val="7"/>
        </w:numPr>
        <w:autoSpaceDE w:val="0"/>
        <w:autoSpaceDN w:val="0"/>
        <w:adjustRightInd w:val="0"/>
        <w:ind w:left="0" w:firstLine="0" w:firstLineChars="0"/>
        <w:jc w:val="left"/>
        <w:outlineLvl w:val="3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氨磺酸钠用量的确定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 w:firstLine="560" w:firstLineChars="200"/>
        <w:jc w:val="left"/>
        <w:outlineLvl w:val="3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实验用氨磺酸钠是为了消除氮氧化物的干扰，取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100μL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二氧化硫标准溶液于比色管中，分别取0、0.5、1.0、1.5、2.0、2.5、3.0ml氨磺酸钠，分别测定不同体积的氨磺酸钠对吸光度的影响，结果见图1，结果显示，氨磺酸钠用量小于1ml时，吸光度较大，当氨磺酸钠用量大于1.0ml时，吸光度值逐渐变小。因此，氨磺酸钠的用量确定为1.0ml。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center"/>
        <w:outlineLvl w:val="3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572000" cy="2743200"/>
            <wp:effectExtent l="4445" t="4445" r="14605" b="14605"/>
            <wp:docPr id="6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center"/>
        <w:outlineLvl w:val="3"/>
        <w:rPr>
          <w:rFonts w:hint="default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图1  氨磺酸钠用量对吸光度影响</w:t>
      </w: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eastAsia="zh-CN"/>
        </w:rPr>
        <w:t>测定波长的确定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left"/>
        <w:outlineLvl w:val="3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取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100μL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二氧化硫标准工作溶液于比色管中，用甲醛吸收工作液定容至10ml，再加入1ml氨磺酸钠溶液、0.5ml氢氧化钠（2mol/L）和1ml盐酸副玫瑰苯胺溶液，充分混匀后，室温下静置20min,在450~600nm波长范围内测定吸光度A，绘制吸收光谱图，结果见图2，结果显示在波长579nm处有最大吸收峰，因此，确定579nm为测定波长。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center"/>
        <w:outlineLvl w:val="3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4335780" cy="2332990"/>
            <wp:effectExtent l="4445" t="5080" r="22225" b="5080"/>
            <wp:docPr id="17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center"/>
        <w:outlineLvl w:val="3"/>
        <w:rPr>
          <w:rFonts w:hint="default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图2  吸光度图谱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left"/>
        <w:outlineLvl w:val="3"/>
        <w:rPr>
          <w:rFonts w:hint="eastAsia"/>
          <w:color w:val="auto"/>
          <w:lang w:val="en-US" w:eastAsia="zh-CN"/>
        </w:rPr>
      </w:pP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显色时间的确定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 w:firstLine="560" w:firstLineChars="200"/>
        <w:jc w:val="left"/>
        <w:outlineLvl w:val="3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吸取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100μL</w:t>
      </w:r>
      <w:r>
        <w:rPr>
          <w:rFonts w:hint="eastAsia" w:ascii="仿宋_GB2312" w:eastAsia="仿宋_GB2312"/>
          <w:color w:val="auto"/>
          <w:sz w:val="28"/>
          <w:szCs w:val="28"/>
        </w:rPr>
        <w:t>二氧化硫标准工作溶液于比色管中,根据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实验室环境温度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25~35</w:t>
      </w:r>
      <w:r>
        <w:rPr>
          <w:rFonts w:hint="eastAsia" w:ascii="仿宋_GB2312" w:eastAsia="仿宋_GB2312"/>
          <w:color w:val="auto"/>
          <w:sz w:val="28"/>
          <w:szCs w:val="28"/>
        </w:rPr>
        <w:t>℃为测定范围,在不同温度下测定其稳定时间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即吸光度最大值出现的时间,表示显色完全并稳定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,见表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2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Chars="0"/>
        <w:jc w:val="center"/>
        <w:outlineLvl w:val="3"/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表2 稳定时间与温度的关系</w:t>
      </w:r>
    </w:p>
    <w:tbl>
      <w:tblPr>
        <w:tblStyle w:val="11"/>
        <w:tblW w:w="9421" w:type="dxa"/>
        <w:tblInd w:w="-1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857"/>
        <w:gridCol w:w="1858"/>
        <w:gridCol w:w="1858"/>
        <w:gridCol w:w="18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  <w:tcBorders>
              <w:top w:val="single" w:color="auto" w:sz="12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显色温度，℃</w:t>
            </w:r>
          </w:p>
        </w:tc>
        <w:tc>
          <w:tcPr>
            <w:tcW w:w="1857" w:type="dxa"/>
            <w:tcBorders>
              <w:top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858" w:type="dxa"/>
            <w:tcBorders>
              <w:top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858" w:type="dxa"/>
            <w:tcBorders>
              <w:top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858" w:type="dxa"/>
            <w:tcBorders>
              <w:top w:val="single" w:color="auto" w:sz="12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  <w:tcBorders>
              <w:bottom w:val="single" w:color="auto" w:sz="12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稳定时间，min</w:t>
            </w:r>
          </w:p>
        </w:tc>
        <w:tc>
          <w:tcPr>
            <w:tcW w:w="1857" w:type="dxa"/>
            <w:tcBorders>
              <w:bottom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858" w:type="dxa"/>
            <w:tcBorders>
              <w:bottom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858" w:type="dxa"/>
            <w:tcBorders>
              <w:bottom w:val="single" w:color="auto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858" w:type="dxa"/>
            <w:tcBorders>
              <w:bottom w:val="single" w:color="auto" w:sz="12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</w:tbl>
    <w:p>
      <w:pPr>
        <w:pStyle w:val="14"/>
        <w:numPr>
          <w:ilvl w:val="0"/>
          <w:numId w:val="0"/>
        </w:numPr>
        <w:autoSpaceDE w:val="0"/>
        <w:autoSpaceDN w:val="0"/>
        <w:adjustRightInd w:val="0"/>
        <w:ind w:left="0" w:leftChars="0" w:firstLine="560" w:firstLineChars="200"/>
        <w:jc w:val="left"/>
        <w:outlineLvl w:val="3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在实际测定中,可以不用水浴控制温度,以减少操作的繁琐性。我们可以根据表中稳定时间与稳定的关系,选择与室温最为接近的显色温度以确定稳定时间。可选择为稳定时间为20min。</w:t>
      </w:r>
    </w:p>
    <w:p>
      <w:pPr>
        <w:pStyle w:val="14"/>
        <w:numPr>
          <w:ilvl w:val="0"/>
          <w:numId w:val="6"/>
        </w:numPr>
        <w:autoSpaceDE w:val="0"/>
        <w:autoSpaceDN w:val="0"/>
        <w:adjustRightInd w:val="0"/>
        <w:ind w:left="0" w:firstLine="0" w:firstLineChars="0"/>
        <w:jc w:val="left"/>
        <w:outlineLvl w:val="2"/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标准曲线及检出限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jc w:val="left"/>
        <w:outlineLvl w:val="3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测定不同含量的二氧化硫标准溶液吸光度，测定数据见表3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jc w:val="center"/>
        <w:outlineLvl w:val="3"/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表3 二氧化硫含量及其吸光度</w:t>
      </w:r>
    </w:p>
    <w:tbl>
      <w:tblPr>
        <w:tblStyle w:val="11"/>
        <w:tblW w:w="95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1134"/>
        <w:gridCol w:w="1134"/>
        <w:gridCol w:w="1134"/>
        <w:gridCol w:w="1134"/>
        <w:gridCol w:w="1134"/>
        <w:gridCol w:w="1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740" w:type="dxa"/>
            <w:tcBorders>
              <w:top w:val="single" w:color="000000" w:sz="12" w:space="0"/>
              <w:bottom w:val="single" w:color="000000" w:sz="4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二氧化硫含量（μg）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4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740" w:type="dxa"/>
            <w:tcBorders>
              <w:top w:val="single" w:color="000000" w:sz="4" w:space="0"/>
              <w:bottom w:val="single" w:color="000000" w:sz="12" w:space="0"/>
            </w:tcBorders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吸光度（Abs）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0.0000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0.0786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0.1547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0.2345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0.3705</w:t>
            </w:r>
          </w:p>
        </w:tc>
        <w:tc>
          <w:tcPr>
            <w:tcW w:w="1134" w:type="dxa"/>
            <w:tcBorders>
              <w:top w:val="single" w:color="000000" w:sz="4" w:space="0"/>
              <w:bottom w:val="single" w:color="000000" w:sz="12" w:space="0"/>
            </w:tcBorders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0"/>
              </w:numPr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outlineLvl w:val="3"/>
              <w:rPr>
                <w:rFonts w:hint="default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0.7571</w:t>
            </w:r>
          </w:p>
        </w:tc>
      </w:tr>
    </w:tbl>
    <w:p>
      <w:pPr>
        <w:pStyle w:val="14"/>
        <w:numPr>
          <w:ilvl w:val="0"/>
          <w:numId w:val="0"/>
        </w:numPr>
        <w:autoSpaceDE w:val="0"/>
        <w:autoSpaceDN w:val="0"/>
        <w:adjustRightInd w:val="0"/>
        <w:jc w:val="left"/>
        <w:outlineLvl w:val="3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以二氧化硫含量为X轴，吸光度Abs为Y轴，绘制标准曲线见图3，</w:t>
      </w:r>
    </w:p>
    <w:p>
      <w:pPr>
        <w:pStyle w:val="14"/>
        <w:numPr>
          <w:ilvl w:val="0"/>
          <w:numId w:val="0"/>
        </w:numPr>
        <w:autoSpaceDE w:val="0"/>
        <w:autoSpaceDN w:val="0"/>
        <w:adjustRightInd w:val="0"/>
        <w:jc w:val="center"/>
        <w:outlineLvl w:val="3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572000" cy="3086100"/>
            <wp:effectExtent l="4445" t="4445" r="14605" b="14605"/>
            <wp:docPr id="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ind w:firstLine="562" w:firstLineChars="200"/>
        <w:jc w:val="center"/>
        <w:rPr>
          <w:rFonts w:hint="default" w:ascii="仿宋_GB2312" w:hAnsi="宋体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 xml:space="preserve">图3 </w:t>
      </w:r>
      <w:r>
        <w:rPr>
          <w:rFonts w:hint="default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>二氧化硫标准曲线图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结合标准曲线方程 吸光度A=0.0251C+0.0024 和标准方法计算后结果为X=10C，得出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X=10(A-0.0024)/0.0251</w:t>
      </w:r>
    </w:p>
    <w:p>
      <w:pPr>
        <w:ind w:firstLine="560" w:firstLineChars="200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八角中二氧化硫浓度在0-300mg/kg范围内与吸光度呈现良好的线性关系，相关系数为R</w:t>
      </w:r>
      <w:r>
        <w:rPr>
          <w:rFonts w:hint="eastAsia" w:ascii="仿宋_GB2312" w:hAnsi="宋体" w:eastAsia="仿宋_GB2312"/>
          <w:color w:val="auto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=0.9997，当吸光度A=0.01时，所对应得出二氧化硫浓度计算检出限，八角样品中二氧化硫的检出限为3.0mg/kg。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实验数据的准确度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选取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不同产地的八角</w:t>
      </w:r>
      <w:r>
        <w:rPr>
          <w:rFonts w:hint="eastAsia" w:ascii="仿宋_GB2312" w:eastAsia="仿宋_GB2312"/>
          <w:color w:val="auto"/>
          <w:sz w:val="28"/>
          <w:szCs w:val="28"/>
        </w:rPr>
        <w:t>（3份）样品进行测定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，每个样品称取3个平行样，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每个样品分别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加入</w:t>
      </w:r>
      <w:r>
        <w:rPr>
          <w:rFonts w:hint="eastAsia" w:ascii="仿宋_GB2312" w:eastAsia="仿宋_GB2312"/>
          <w:color w:val="auto"/>
          <w:sz w:val="28"/>
          <w:szCs w:val="28"/>
        </w:rPr>
        <w:t>0.5mL,1mL,2mL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二氧化硫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标准溶液（</w:t>
      </w:r>
      <w:r>
        <w:rPr>
          <w:rFonts w:hint="eastAsia" w:ascii="仿宋_GB2312" w:eastAsia="仿宋_GB2312"/>
          <w:color w:val="auto"/>
          <w:sz w:val="28"/>
          <w:szCs w:val="28"/>
        </w:rPr>
        <w:t>1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00μ</w:t>
      </w:r>
      <w:r>
        <w:rPr>
          <w:rFonts w:hint="eastAsia" w:ascii="仿宋_GB2312" w:eastAsia="仿宋_GB2312"/>
          <w:color w:val="auto"/>
          <w:sz w:val="28"/>
          <w:szCs w:val="28"/>
        </w:rPr>
        <w:t>g/mL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,添加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二氧化硫</w:t>
      </w:r>
      <w:r>
        <w:rPr>
          <w:rFonts w:hint="eastAsia" w:ascii="仿宋_GB2312" w:eastAsia="仿宋_GB2312"/>
          <w:color w:val="auto"/>
          <w:sz w:val="28"/>
          <w:szCs w:val="28"/>
        </w:rPr>
        <w:t>量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分别为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50、100、200μg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，按实验方法进行处理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在同样的条件下对不同样品进行回收率实验测定结果见表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二氧化硫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回收率为</w:t>
      </w:r>
      <w:r>
        <w:rPr>
          <w:rFonts w:hint="eastAsia" w:ascii="仿宋_GB2312" w:eastAsia="仿宋_GB2312"/>
          <w:color w:val="auto"/>
          <w:sz w:val="28"/>
          <w:szCs w:val="28"/>
        </w:rPr>
        <w:t>90.0%-1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28"/>
          <w:szCs w:val="28"/>
        </w:rPr>
        <w:t>0.0%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ind w:firstLine="560" w:firstLineChars="0"/>
        <w:jc w:val="center"/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表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 xml:space="preserve"> 样品准确度测定结果</w:t>
      </w:r>
    </w:p>
    <w:tbl>
      <w:tblPr>
        <w:tblStyle w:val="10"/>
        <w:tblW w:w="8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984"/>
        <w:gridCol w:w="2191"/>
        <w:gridCol w:w="187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样品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名称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本底二氧化硫</w:t>
            </w:r>
            <w:r>
              <w:rPr>
                <w:rFonts w:hint="eastAsia"/>
                <w:color w:val="auto"/>
                <w:sz w:val="22"/>
                <w:szCs w:val="22"/>
              </w:rPr>
              <w:t>含量（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μ</w:t>
            </w:r>
            <w:r>
              <w:rPr>
                <w:rFonts w:hint="eastAsia"/>
                <w:color w:val="auto"/>
                <w:sz w:val="22"/>
                <w:szCs w:val="22"/>
              </w:rPr>
              <w:t>g)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lang w:eastAsia="zh-CN"/>
              </w:rPr>
              <w:t>加标后二氧化硫</w:t>
            </w:r>
            <w:r>
              <w:rPr>
                <w:rFonts w:hint="eastAsia"/>
                <w:color w:val="auto"/>
              </w:rPr>
              <w:t>含量</w:t>
            </w:r>
            <w:r>
              <w:rPr>
                <w:rFonts w:hint="eastAsia"/>
                <w:color w:val="auto"/>
                <w:sz w:val="22"/>
                <w:szCs w:val="22"/>
              </w:rPr>
              <w:t>（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μ</w:t>
            </w:r>
            <w:r>
              <w:rPr>
                <w:rFonts w:hint="eastAsia"/>
                <w:color w:val="auto"/>
                <w:sz w:val="22"/>
                <w:szCs w:val="22"/>
              </w:rPr>
              <w:t>g)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添加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二氧化硫</w:t>
            </w:r>
            <w:r>
              <w:rPr>
                <w:rFonts w:hint="eastAsia"/>
                <w:color w:val="auto"/>
                <w:sz w:val="22"/>
                <w:szCs w:val="22"/>
              </w:rPr>
              <w:t>量（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μ</w:t>
            </w:r>
            <w:r>
              <w:rPr>
                <w:rFonts w:hint="eastAsia"/>
                <w:color w:val="auto"/>
                <w:sz w:val="22"/>
                <w:szCs w:val="22"/>
              </w:rPr>
              <w:t>g)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Ansi="宋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二氧化硫</w:t>
            </w:r>
            <w:r>
              <w:rPr>
                <w:rFonts w:hint="eastAsia"/>
                <w:color w:val="auto"/>
                <w:sz w:val="22"/>
                <w:szCs w:val="22"/>
              </w:rPr>
              <w:t>回收率(%)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八角1-1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八角1-2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八角1-3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八角2-1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八角2-2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八角2-3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八角3-1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八角3-2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八角3-3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21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94.0</w:t>
            </w:r>
          </w:p>
        </w:tc>
      </w:tr>
    </w:tbl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实验数据的精密度</w:t>
      </w:r>
    </w:p>
    <w:p>
      <w:pPr>
        <w:pStyle w:val="14"/>
        <w:adjustRightInd w:val="0"/>
        <w:snapToGrid w:val="0"/>
        <w:spacing w:before="156" w:beforeLines="50" w:line="360" w:lineRule="auto"/>
        <w:ind w:firstLine="56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按实验方法对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样品进行测定。从测定结果可以看出，见表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。广西壮族自治区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产品质量检验研究院</w:t>
      </w:r>
      <w:r>
        <w:rPr>
          <w:rFonts w:ascii="仿宋_GB2312" w:hAnsi="宋体" w:eastAsia="仿宋_GB2312"/>
          <w:color w:val="auto"/>
          <w:sz w:val="28"/>
          <w:szCs w:val="28"/>
        </w:rPr>
        <w:t>样品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精密度</w:t>
      </w:r>
      <w:r>
        <w:rPr>
          <w:rFonts w:ascii="仿宋_GB2312" w:hAnsi="宋体" w:eastAsia="仿宋_GB2312"/>
          <w:color w:val="auto"/>
          <w:sz w:val="28"/>
          <w:szCs w:val="28"/>
        </w:rPr>
        <w:t>测定结果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相对标准偏差RSD在(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1.0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%-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3.0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%)之间；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品创检测（广西）有限公司</w:t>
      </w:r>
      <w:r>
        <w:rPr>
          <w:rFonts w:ascii="仿宋_GB2312" w:hAnsi="宋体" w:eastAsia="仿宋_GB2312"/>
          <w:color w:val="auto"/>
          <w:sz w:val="28"/>
          <w:szCs w:val="28"/>
        </w:rPr>
        <w:t>样品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精密度</w:t>
      </w:r>
      <w:r>
        <w:rPr>
          <w:rFonts w:ascii="仿宋_GB2312" w:hAnsi="宋体" w:eastAsia="仿宋_GB2312"/>
          <w:color w:val="auto"/>
          <w:sz w:val="28"/>
          <w:szCs w:val="28"/>
        </w:rPr>
        <w:t>测定结果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相对标准偏差RSD在(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1.3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%-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2.6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%)之间，均小于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%，说明方法的精密度高。</w:t>
      </w:r>
    </w:p>
    <w:p>
      <w:pPr>
        <w:pStyle w:val="14"/>
        <w:adjustRightInd w:val="0"/>
        <w:snapToGrid w:val="0"/>
        <w:spacing w:before="156" w:beforeLines="50" w:line="360" w:lineRule="auto"/>
        <w:ind w:firstLine="0" w:firstLineChars="0"/>
        <w:jc w:val="center"/>
        <w:rPr>
          <w:rFonts w:ascii="黑体" w:hAnsi="黑体" w:eastAsia="黑体" w:cs="黑体"/>
          <w:bCs/>
          <w:color w:val="auto"/>
          <w:sz w:val="28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表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广西壮族自治区产品质量检验研究院</w:t>
      </w:r>
      <w:r>
        <w:rPr>
          <w:rFonts w:ascii="黑体" w:hAnsi="黑体" w:eastAsia="黑体" w:cs="黑体"/>
          <w:bCs/>
          <w:color w:val="auto"/>
          <w:sz w:val="28"/>
          <w:szCs w:val="32"/>
          <w:lang w:val="zh-CN"/>
        </w:rPr>
        <w:t>样品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精密度</w:t>
      </w:r>
      <w:r>
        <w:rPr>
          <w:rFonts w:ascii="黑体" w:hAnsi="黑体" w:eastAsia="黑体" w:cs="黑体"/>
          <w:bCs/>
          <w:color w:val="auto"/>
          <w:sz w:val="28"/>
          <w:szCs w:val="32"/>
          <w:lang w:val="zh-CN"/>
        </w:rPr>
        <w:t>测定结果</w:t>
      </w:r>
    </w:p>
    <w:tbl>
      <w:tblPr>
        <w:tblStyle w:val="10"/>
        <w:tblW w:w="75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2262"/>
        <w:gridCol w:w="1613"/>
        <w:gridCol w:w="1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样品名称</w:t>
            </w:r>
          </w:p>
        </w:tc>
        <w:tc>
          <w:tcPr>
            <w:tcW w:w="2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二氧化硫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含量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g/kg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平均值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g/kg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RSD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八角1-1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6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155.0</w:t>
            </w:r>
          </w:p>
        </w:tc>
        <w:tc>
          <w:tcPr>
            <w:tcW w:w="1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八角1-2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八角1-3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八角2-1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6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244.7</w:t>
            </w:r>
          </w:p>
        </w:tc>
        <w:tc>
          <w:tcPr>
            <w:tcW w:w="1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1.4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八角2-2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八角2-3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八角3-1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6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368.3</w:t>
            </w:r>
          </w:p>
        </w:tc>
        <w:tc>
          <w:tcPr>
            <w:tcW w:w="1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八角3-2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八角3-3</w:t>
            </w:r>
          </w:p>
        </w:tc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1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</w:tbl>
    <w:p>
      <w:pPr>
        <w:pStyle w:val="14"/>
        <w:adjustRightInd w:val="0"/>
        <w:snapToGrid w:val="0"/>
        <w:spacing w:before="156" w:beforeLines="50"/>
        <w:ind w:firstLine="0" w:firstLineChars="0"/>
        <w:jc w:val="center"/>
        <w:rPr>
          <w:rFonts w:ascii="黑体" w:hAnsi="黑体" w:eastAsia="黑体" w:cs="黑体"/>
          <w:bCs/>
          <w:color w:val="auto"/>
          <w:sz w:val="28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表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en-US" w:eastAsia="zh-CN"/>
        </w:rPr>
        <w:t>6广西合创检测技术有限公司</w:t>
      </w:r>
      <w:r>
        <w:rPr>
          <w:rFonts w:hint="eastAsia" w:ascii="黑体" w:hAnsi="黑体" w:eastAsia="黑体" w:cs="黑体"/>
          <w:bCs/>
          <w:color w:val="auto"/>
          <w:sz w:val="28"/>
          <w:szCs w:val="32"/>
          <w:lang w:val="zh-CN"/>
        </w:rPr>
        <w:t>精密度</w:t>
      </w:r>
      <w:r>
        <w:rPr>
          <w:rFonts w:ascii="黑体" w:hAnsi="黑体" w:eastAsia="黑体" w:cs="黑体"/>
          <w:bCs/>
          <w:color w:val="auto"/>
          <w:sz w:val="28"/>
          <w:szCs w:val="32"/>
          <w:lang w:val="zh-CN"/>
        </w:rPr>
        <w:t>测定结果</w:t>
      </w:r>
    </w:p>
    <w:tbl>
      <w:tblPr>
        <w:tblStyle w:val="10"/>
        <w:tblW w:w="75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2275"/>
        <w:gridCol w:w="1626"/>
        <w:gridCol w:w="2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样品名称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二氧化硫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含量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g/kg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平均值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g/kg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RSD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八角1-1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153.0</w:t>
            </w:r>
          </w:p>
        </w:tc>
        <w:tc>
          <w:tcPr>
            <w:tcW w:w="2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八角1-2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八角1-3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八角2-1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241.3</w:t>
            </w:r>
          </w:p>
        </w:tc>
        <w:tc>
          <w:tcPr>
            <w:tcW w:w="2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八角2-2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八角2-3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八角3-1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366.7</w:t>
            </w:r>
          </w:p>
        </w:tc>
        <w:tc>
          <w:tcPr>
            <w:tcW w:w="2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八角3-2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</w:tbl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国内外同类标准制修订情况及与法律法规、强制性标准关系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经查阅，与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八角中二氧化硫</w:t>
      </w:r>
      <w:r>
        <w:rPr>
          <w:rFonts w:ascii="仿宋_GB2312" w:hAnsi="宋体" w:eastAsia="仿宋_GB2312"/>
          <w:color w:val="auto"/>
          <w:sz w:val="28"/>
          <w:szCs w:val="28"/>
        </w:rPr>
        <w:t>含量的测定有关的国家标准、行业标准、地方标准和团体标准有《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 xml:space="preserve">DB </w:t>
      </w: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>13/T 5189.2—2020天然植物提取物中危害成分检测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第2部分：二氧化硫的测定</w:t>
      </w:r>
      <w:r>
        <w:rPr>
          <w:rFonts w:ascii="仿宋_GB2312" w:hAnsi="宋体" w:eastAsia="仿宋_GB2312"/>
          <w:color w:val="auto"/>
          <w:sz w:val="28"/>
          <w:szCs w:val="28"/>
        </w:rPr>
        <w:t>》、《</w:t>
      </w: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>GB5009.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34—2016</w:t>
      </w:r>
      <w:r>
        <w:rPr>
          <w:rFonts w:ascii="仿宋_GB2312" w:hAnsi="宋体" w:eastAsia="仿宋_GB2312"/>
          <w:color w:val="auto"/>
          <w:sz w:val="28"/>
          <w:szCs w:val="28"/>
          <w:lang w:val="en-US" w:eastAsia="zh-CN"/>
        </w:rPr>
        <w:t xml:space="preserve">食品安全国家标准 </w:t>
      </w:r>
      <w:r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  <w:t>食品中二氧化硫的测定</w:t>
      </w:r>
      <w:r>
        <w:rPr>
          <w:rFonts w:ascii="仿宋_GB2312" w:hAnsi="宋体" w:eastAsia="仿宋_GB2312"/>
          <w:color w:val="auto"/>
          <w:sz w:val="28"/>
          <w:szCs w:val="28"/>
        </w:rPr>
        <w:t>》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、《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GB/T 7652-2016 八角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》《DB45/T 1350-2016 地理标志产品 上林八角》</w:t>
      </w:r>
      <w:r>
        <w:rPr>
          <w:rFonts w:ascii="仿宋_GB2312" w:hAnsi="宋体" w:eastAsia="仿宋_GB2312"/>
          <w:color w:val="auto"/>
          <w:sz w:val="28"/>
          <w:szCs w:val="28"/>
        </w:rPr>
        <w:t>综上。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广西也未未制定有</w:t>
      </w:r>
      <w:r>
        <w:rPr>
          <w:rFonts w:hint="eastAsia" w:ascii="仿宋_GB2312" w:eastAsia="仿宋_GB2312"/>
          <w:color w:val="auto"/>
          <w:sz w:val="28"/>
          <w:szCs w:val="28"/>
        </w:rPr>
        <w:t>团体标准《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八角中二氧化硫残留量的快速筛查法 比色法</w:t>
      </w:r>
      <w:r>
        <w:rPr>
          <w:rFonts w:hint="eastAsia" w:ascii="仿宋_GB2312" w:eastAsia="仿宋_GB2312"/>
          <w:color w:val="auto"/>
          <w:sz w:val="28"/>
          <w:szCs w:val="28"/>
        </w:rPr>
        <w:t>》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本标准的内容与现行的法律、法规及强制性标准无冲突，标准的编写符合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GB/T 1.1-2020的要求。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ascii="黑体" w:hAnsi="黑体" w:eastAsia="黑体" w:cs="黑体"/>
          <w:bCs/>
          <w:color w:val="auto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/>
        </w:rPr>
        <w:t>重大分歧意见发处理经过和依据</w:t>
      </w:r>
    </w:p>
    <w:p>
      <w:pPr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本标准研制过程中无重大分歧意见。</w:t>
      </w:r>
    </w:p>
    <w:p>
      <w:pPr>
        <w:pStyle w:val="14"/>
        <w:numPr>
          <w:ilvl w:val="0"/>
          <w:numId w:val="5"/>
        </w:numPr>
        <w:adjustRightInd w:val="0"/>
        <w:snapToGrid w:val="0"/>
        <w:spacing w:before="156" w:beforeLines="50" w:line="360" w:lineRule="auto"/>
        <w:ind w:left="0" w:firstLine="0" w:firstLineChars="0"/>
        <w:outlineLvl w:val="1"/>
        <w:rPr>
          <w:rFonts w:hint="eastAsia" w:ascii="黑体" w:hAnsi="黑体" w:eastAsia="黑体" w:cs="黑体"/>
          <w:bCs/>
          <w:color w:val="auto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zh-CN" w:eastAsia="zh-CN"/>
        </w:rPr>
        <w:t>自我承诺</w:t>
      </w:r>
    </w:p>
    <w:p>
      <w:pPr>
        <w:spacing w:line="520" w:lineRule="exact"/>
        <w:jc w:val="left"/>
        <w:outlineLvl w:val="0"/>
        <w:rPr>
          <w:rFonts w:hint="eastAsia" w:ascii="仿宋_GB2312" w:hAnsi="宋体" w:eastAsia="仿宋_GB2312"/>
          <w:color w:val="auto"/>
          <w:sz w:val="28"/>
          <w:szCs w:val="28"/>
          <w:lang w:val="zh-CN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 w:eastAsia="zh-CN"/>
        </w:rPr>
        <w:t>本标准内容与各项指标不低于国家强制性标准、推荐性国家标准和行业标准。</w:t>
      </w:r>
    </w:p>
    <w:p>
      <w:pPr>
        <w:spacing w:line="520" w:lineRule="exact"/>
        <w:jc w:val="right"/>
        <w:outlineLvl w:val="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团体标准 《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八角中二氧化硫残留量的快速筛查法 比色法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》</w:t>
      </w:r>
    </w:p>
    <w:p>
      <w:pPr>
        <w:spacing w:line="520" w:lineRule="exact"/>
        <w:ind w:firstLine="4620" w:firstLineChars="1650"/>
        <w:rPr>
          <w:rFonts w:ascii="仿宋_GB2312" w:hAnsi="宋体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标准编制小组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 xml:space="preserve">   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202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  <w:lang w:val="zh-CN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</w:t>
      </w:r>
    </w:p>
    <w:sectPr>
      <w:footerReference r:id="rId3" w:type="default"/>
      <w:pgSz w:w="11906" w:h="16838"/>
      <w:pgMar w:top="1440" w:right="1417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xrLlckBAACaAwAADgAAAGRycy9lMm9Eb2MueG1srVPNjtMwEL4j8Q6W&#10;79Rph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SLm/CaEsctTvzy/dvlx6/Lz69k&#10;mfvTB6gx7SFgYhru/IC5sx/QmWUPKtr8RUEE49jd87W7ckhE5Efr1XpdYUhgbL4gPnt8HiKkt9Jb&#10;ko2GRhxf6So/vYc0ps4puZrz99qYMkLj/nIgZvawzH3kmK007IdJ0N63Z9TT4+Qb6nDRKTHvHDY2&#10;L8lsxNnYz8YxRH3okNqy8IJwe0xIonDLFUbYqTCOrKib1ivvxJ/3kvX4S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fGsuV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D424D9"/>
    <w:multiLevelType w:val="multilevel"/>
    <w:tmpl w:val="18D424D9"/>
    <w:lvl w:ilvl="0" w:tentative="0">
      <w:start w:val="1"/>
      <w:numFmt w:val="decimal"/>
      <w:lvlText w:val="5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AD20F90"/>
    <w:multiLevelType w:val="multilevel"/>
    <w:tmpl w:val="1AD20F90"/>
    <w:lvl w:ilvl="0" w:tentative="0">
      <w:start w:val="1"/>
      <w:numFmt w:val="none"/>
      <w:pStyle w:val="41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CCC7566"/>
    <w:multiLevelType w:val="multilevel"/>
    <w:tmpl w:val="1CCC756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4"/>
      <w:suff w:val="nothing"/>
      <w:lvlText w:val="%1.%2　"/>
      <w:lvlJc w:val="left"/>
      <w:pPr>
        <w:ind w:left="525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44C50F90"/>
    <w:multiLevelType w:val="multilevel"/>
    <w:tmpl w:val="44C50F90"/>
    <w:lvl w:ilvl="0" w:tentative="0">
      <w:start w:val="1"/>
      <w:numFmt w:val="lowerLetter"/>
      <w:pStyle w:val="39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37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38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5">
    <w:nsid w:val="481E7037"/>
    <w:multiLevelType w:val="multilevel"/>
    <w:tmpl w:val="481E7037"/>
    <w:lvl w:ilvl="0" w:tentative="0">
      <w:start w:val="1"/>
      <w:numFmt w:val="decimal"/>
      <w:lvlText w:val="%1)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6CEA2025"/>
    <w:multiLevelType w:val="multilevel"/>
    <w:tmpl w:val="6CEA2025"/>
    <w:lvl w:ilvl="0" w:tentative="0">
      <w:start w:val="1"/>
      <w:numFmt w:val="none"/>
      <w:pStyle w:val="32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0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31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26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27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28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29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1NGNjOWE3ZGNlMzU1YmI3ZTY4MGU4OGY1ZmRhNzMifQ=="/>
  </w:docVars>
  <w:rsids>
    <w:rsidRoot w:val="52F40A7A"/>
    <w:rsid w:val="00040DC0"/>
    <w:rsid w:val="000512D3"/>
    <w:rsid w:val="000665FD"/>
    <w:rsid w:val="00080742"/>
    <w:rsid w:val="000909BA"/>
    <w:rsid w:val="000935F0"/>
    <w:rsid w:val="000964F1"/>
    <w:rsid w:val="000B4757"/>
    <w:rsid w:val="000B6C8F"/>
    <w:rsid w:val="000C482C"/>
    <w:rsid w:val="000C6218"/>
    <w:rsid w:val="000D4AA2"/>
    <w:rsid w:val="000E4426"/>
    <w:rsid w:val="00102369"/>
    <w:rsid w:val="001039EA"/>
    <w:rsid w:val="001117EC"/>
    <w:rsid w:val="00123DC6"/>
    <w:rsid w:val="00135B3F"/>
    <w:rsid w:val="00141C5B"/>
    <w:rsid w:val="00160904"/>
    <w:rsid w:val="00160E6F"/>
    <w:rsid w:val="00172264"/>
    <w:rsid w:val="001B22CB"/>
    <w:rsid w:val="001B370D"/>
    <w:rsid w:val="001C238A"/>
    <w:rsid w:val="001C6ED3"/>
    <w:rsid w:val="001E224E"/>
    <w:rsid w:val="0020165B"/>
    <w:rsid w:val="00213EA1"/>
    <w:rsid w:val="00224154"/>
    <w:rsid w:val="00250FC1"/>
    <w:rsid w:val="0026141A"/>
    <w:rsid w:val="002616A7"/>
    <w:rsid w:val="00266580"/>
    <w:rsid w:val="00274D93"/>
    <w:rsid w:val="002A51A4"/>
    <w:rsid w:val="002B4FF1"/>
    <w:rsid w:val="002C1A57"/>
    <w:rsid w:val="002C3572"/>
    <w:rsid w:val="002D1D08"/>
    <w:rsid w:val="002F2593"/>
    <w:rsid w:val="002F2D35"/>
    <w:rsid w:val="002F3010"/>
    <w:rsid w:val="002F4BD4"/>
    <w:rsid w:val="00300097"/>
    <w:rsid w:val="00300EF4"/>
    <w:rsid w:val="00304DB3"/>
    <w:rsid w:val="00307A51"/>
    <w:rsid w:val="003114F8"/>
    <w:rsid w:val="00324DCE"/>
    <w:rsid w:val="0034163E"/>
    <w:rsid w:val="00344DCA"/>
    <w:rsid w:val="00351BA3"/>
    <w:rsid w:val="003523A6"/>
    <w:rsid w:val="00361BA1"/>
    <w:rsid w:val="003673FE"/>
    <w:rsid w:val="0038132B"/>
    <w:rsid w:val="0039281A"/>
    <w:rsid w:val="003A01F4"/>
    <w:rsid w:val="003B71C5"/>
    <w:rsid w:val="003B7223"/>
    <w:rsid w:val="003C00A4"/>
    <w:rsid w:val="003C75FC"/>
    <w:rsid w:val="003D4469"/>
    <w:rsid w:val="003E1568"/>
    <w:rsid w:val="00400F95"/>
    <w:rsid w:val="004221FB"/>
    <w:rsid w:val="00440C4D"/>
    <w:rsid w:val="004470D0"/>
    <w:rsid w:val="0045346E"/>
    <w:rsid w:val="004553A5"/>
    <w:rsid w:val="00457A2A"/>
    <w:rsid w:val="00466A67"/>
    <w:rsid w:val="004711AC"/>
    <w:rsid w:val="0047343A"/>
    <w:rsid w:val="004A211C"/>
    <w:rsid w:val="004A2FAC"/>
    <w:rsid w:val="004A403B"/>
    <w:rsid w:val="004B0ACC"/>
    <w:rsid w:val="004B216E"/>
    <w:rsid w:val="004B6489"/>
    <w:rsid w:val="004D0E8C"/>
    <w:rsid w:val="004D3BB5"/>
    <w:rsid w:val="004E0A36"/>
    <w:rsid w:val="004E2FBA"/>
    <w:rsid w:val="004F149B"/>
    <w:rsid w:val="004F164E"/>
    <w:rsid w:val="004F274D"/>
    <w:rsid w:val="004F7626"/>
    <w:rsid w:val="00505174"/>
    <w:rsid w:val="005405A4"/>
    <w:rsid w:val="00541653"/>
    <w:rsid w:val="0055275D"/>
    <w:rsid w:val="005612E5"/>
    <w:rsid w:val="00583276"/>
    <w:rsid w:val="00594E12"/>
    <w:rsid w:val="005968B3"/>
    <w:rsid w:val="005A7FCF"/>
    <w:rsid w:val="005B1C23"/>
    <w:rsid w:val="005C6DBC"/>
    <w:rsid w:val="005C6F3A"/>
    <w:rsid w:val="005D0F9E"/>
    <w:rsid w:val="00611246"/>
    <w:rsid w:val="00612591"/>
    <w:rsid w:val="00633E00"/>
    <w:rsid w:val="00634B08"/>
    <w:rsid w:val="00665D0A"/>
    <w:rsid w:val="006722D3"/>
    <w:rsid w:val="0067363E"/>
    <w:rsid w:val="006774D8"/>
    <w:rsid w:val="00680168"/>
    <w:rsid w:val="00680C97"/>
    <w:rsid w:val="00681ED9"/>
    <w:rsid w:val="006B2393"/>
    <w:rsid w:val="006B7A71"/>
    <w:rsid w:val="006D5BE5"/>
    <w:rsid w:val="006E460F"/>
    <w:rsid w:val="0070740B"/>
    <w:rsid w:val="007111AF"/>
    <w:rsid w:val="00714EA8"/>
    <w:rsid w:val="00721EE2"/>
    <w:rsid w:val="007246BD"/>
    <w:rsid w:val="00730C05"/>
    <w:rsid w:val="00732ADD"/>
    <w:rsid w:val="0073333F"/>
    <w:rsid w:val="00733FBD"/>
    <w:rsid w:val="00755C55"/>
    <w:rsid w:val="0075645F"/>
    <w:rsid w:val="00767718"/>
    <w:rsid w:val="007720C8"/>
    <w:rsid w:val="00774B5E"/>
    <w:rsid w:val="00774BE8"/>
    <w:rsid w:val="00780C33"/>
    <w:rsid w:val="00794166"/>
    <w:rsid w:val="007A120E"/>
    <w:rsid w:val="007A5904"/>
    <w:rsid w:val="007A674D"/>
    <w:rsid w:val="007B046E"/>
    <w:rsid w:val="007B2F52"/>
    <w:rsid w:val="007D6517"/>
    <w:rsid w:val="007E0069"/>
    <w:rsid w:val="007E6468"/>
    <w:rsid w:val="007F37EE"/>
    <w:rsid w:val="007F78F7"/>
    <w:rsid w:val="00800EA9"/>
    <w:rsid w:val="00803938"/>
    <w:rsid w:val="00803B2B"/>
    <w:rsid w:val="00812919"/>
    <w:rsid w:val="00823C69"/>
    <w:rsid w:val="0083085D"/>
    <w:rsid w:val="008318DF"/>
    <w:rsid w:val="008337F3"/>
    <w:rsid w:val="008342AA"/>
    <w:rsid w:val="00837193"/>
    <w:rsid w:val="008451CA"/>
    <w:rsid w:val="0085556B"/>
    <w:rsid w:val="00856E94"/>
    <w:rsid w:val="00857F5B"/>
    <w:rsid w:val="008672AC"/>
    <w:rsid w:val="00876BFE"/>
    <w:rsid w:val="00885F22"/>
    <w:rsid w:val="00893A3C"/>
    <w:rsid w:val="008C1F8D"/>
    <w:rsid w:val="008E5369"/>
    <w:rsid w:val="008E6B05"/>
    <w:rsid w:val="008F5547"/>
    <w:rsid w:val="0092126D"/>
    <w:rsid w:val="00931B6F"/>
    <w:rsid w:val="00932DF7"/>
    <w:rsid w:val="00934D89"/>
    <w:rsid w:val="0093520B"/>
    <w:rsid w:val="009443F3"/>
    <w:rsid w:val="00946A4E"/>
    <w:rsid w:val="009630F8"/>
    <w:rsid w:val="0096567D"/>
    <w:rsid w:val="00982776"/>
    <w:rsid w:val="00987678"/>
    <w:rsid w:val="009916B1"/>
    <w:rsid w:val="009A2A1C"/>
    <w:rsid w:val="009A7780"/>
    <w:rsid w:val="009B0913"/>
    <w:rsid w:val="009B58F8"/>
    <w:rsid w:val="009B75B2"/>
    <w:rsid w:val="009C50FE"/>
    <w:rsid w:val="009E1582"/>
    <w:rsid w:val="00A07F1D"/>
    <w:rsid w:val="00A2246F"/>
    <w:rsid w:val="00A26D5C"/>
    <w:rsid w:val="00A33E8F"/>
    <w:rsid w:val="00A54665"/>
    <w:rsid w:val="00A64D57"/>
    <w:rsid w:val="00A70F86"/>
    <w:rsid w:val="00A74F7A"/>
    <w:rsid w:val="00A771C4"/>
    <w:rsid w:val="00A867BA"/>
    <w:rsid w:val="00A86A54"/>
    <w:rsid w:val="00A91CBB"/>
    <w:rsid w:val="00A956A4"/>
    <w:rsid w:val="00AE578B"/>
    <w:rsid w:val="00AF6E67"/>
    <w:rsid w:val="00B27DDF"/>
    <w:rsid w:val="00B31C41"/>
    <w:rsid w:val="00B33DBB"/>
    <w:rsid w:val="00B35DC6"/>
    <w:rsid w:val="00B436B2"/>
    <w:rsid w:val="00B4588B"/>
    <w:rsid w:val="00B513ED"/>
    <w:rsid w:val="00B613C2"/>
    <w:rsid w:val="00B85B19"/>
    <w:rsid w:val="00B92E87"/>
    <w:rsid w:val="00B96600"/>
    <w:rsid w:val="00BA5404"/>
    <w:rsid w:val="00BB02D6"/>
    <w:rsid w:val="00BE749C"/>
    <w:rsid w:val="00C40B8D"/>
    <w:rsid w:val="00C4620E"/>
    <w:rsid w:val="00C61BCC"/>
    <w:rsid w:val="00C64F6C"/>
    <w:rsid w:val="00C6603F"/>
    <w:rsid w:val="00C67C8A"/>
    <w:rsid w:val="00C827F8"/>
    <w:rsid w:val="00CA41A5"/>
    <w:rsid w:val="00CC4D3B"/>
    <w:rsid w:val="00CD2DD8"/>
    <w:rsid w:val="00CE0EAA"/>
    <w:rsid w:val="00CE3E55"/>
    <w:rsid w:val="00CF5519"/>
    <w:rsid w:val="00D32936"/>
    <w:rsid w:val="00D42502"/>
    <w:rsid w:val="00D439DD"/>
    <w:rsid w:val="00D51876"/>
    <w:rsid w:val="00D74A4A"/>
    <w:rsid w:val="00D82F93"/>
    <w:rsid w:val="00D8739D"/>
    <w:rsid w:val="00DA2BD7"/>
    <w:rsid w:val="00DB5FFC"/>
    <w:rsid w:val="00DC22CF"/>
    <w:rsid w:val="00DD6F21"/>
    <w:rsid w:val="00DD7AF0"/>
    <w:rsid w:val="00DF671D"/>
    <w:rsid w:val="00E10161"/>
    <w:rsid w:val="00E13CDA"/>
    <w:rsid w:val="00E15734"/>
    <w:rsid w:val="00E238A6"/>
    <w:rsid w:val="00E260E0"/>
    <w:rsid w:val="00E27FB0"/>
    <w:rsid w:val="00E33B57"/>
    <w:rsid w:val="00E33E7B"/>
    <w:rsid w:val="00E35EDB"/>
    <w:rsid w:val="00E46720"/>
    <w:rsid w:val="00E64104"/>
    <w:rsid w:val="00E80748"/>
    <w:rsid w:val="00E85B2A"/>
    <w:rsid w:val="00E933D9"/>
    <w:rsid w:val="00E953C2"/>
    <w:rsid w:val="00EB0DD2"/>
    <w:rsid w:val="00EB34CF"/>
    <w:rsid w:val="00EB35CF"/>
    <w:rsid w:val="00EC65F7"/>
    <w:rsid w:val="00ED0033"/>
    <w:rsid w:val="00ED691C"/>
    <w:rsid w:val="00EE4EA7"/>
    <w:rsid w:val="00EE7D8E"/>
    <w:rsid w:val="00EF2897"/>
    <w:rsid w:val="00F0153A"/>
    <w:rsid w:val="00F04EBA"/>
    <w:rsid w:val="00F120C6"/>
    <w:rsid w:val="00F24716"/>
    <w:rsid w:val="00F31B23"/>
    <w:rsid w:val="00F340BE"/>
    <w:rsid w:val="00F6264F"/>
    <w:rsid w:val="00F65349"/>
    <w:rsid w:val="00F67AA1"/>
    <w:rsid w:val="00F8289A"/>
    <w:rsid w:val="00F8320B"/>
    <w:rsid w:val="00F949F8"/>
    <w:rsid w:val="00F96C64"/>
    <w:rsid w:val="00FB142D"/>
    <w:rsid w:val="00FC5A3D"/>
    <w:rsid w:val="00FD2587"/>
    <w:rsid w:val="012073A2"/>
    <w:rsid w:val="01973053"/>
    <w:rsid w:val="01CE7107"/>
    <w:rsid w:val="02033A02"/>
    <w:rsid w:val="027E74CA"/>
    <w:rsid w:val="028923F5"/>
    <w:rsid w:val="03846660"/>
    <w:rsid w:val="03946FB6"/>
    <w:rsid w:val="040E2447"/>
    <w:rsid w:val="04714CC0"/>
    <w:rsid w:val="04AD3F7A"/>
    <w:rsid w:val="04DB3C44"/>
    <w:rsid w:val="05E901FB"/>
    <w:rsid w:val="05EE7CE6"/>
    <w:rsid w:val="06025F00"/>
    <w:rsid w:val="06BC4688"/>
    <w:rsid w:val="06CC7423"/>
    <w:rsid w:val="07245C0A"/>
    <w:rsid w:val="07436F98"/>
    <w:rsid w:val="084F0058"/>
    <w:rsid w:val="091740CA"/>
    <w:rsid w:val="099A4C40"/>
    <w:rsid w:val="09A3524C"/>
    <w:rsid w:val="0B0401B9"/>
    <w:rsid w:val="0B3722E9"/>
    <w:rsid w:val="0B6F477F"/>
    <w:rsid w:val="0BE94AFA"/>
    <w:rsid w:val="0C114D3A"/>
    <w:rsid w:val="0C5305F4"/>
    <w:rsid w:val="0C6E3505"/>
    <w:rsid w:val="0CE25932"/>
    <w:rsid w:val="0CF43C8A"/>
    <w:rsid w:val="0D4967B3"/>
    <w:rsid w:val="0DA87EC0"/>
    <w:rsid w:val="0E911E04"/>
    <w:rsid w:val="0F447B05"/>
    <w:rsid w:val="0FAB789B"/>
    <w:rsid w:val="0FE44295"/>
    <w:rsid w:val="0FEC3E14"/>
    <w:rsid w:val="10806873"/>
    <w:rsid w:val="11860F94"/>
    <w:rsid w:val="11993FC3"/>
    <w:rsid w:val="12A53D1F"/>
    <w:rsid w:val="12F45FA8"/>
    <w:rsid w:val="12F655BF"/>
    <w:rsid w:val="134C146A"/>
    <w:rsid w:val="13AB4DF5"/>
    <w:rsid w:val="13D702FD"/>
    <w:rsid w:val="142F1A43"/>
    <w:rsid w:val="14377FD0"/>
    <w:rsid w:val="14856F74"/>
    <w:rsid w:val="148808AC"/>
    <w:rsid w:val="149C0C39"/>
    <w:rsid w:val="153C3623"/>
    <w:rsid w:val="158840E2"/>
    <w:rsid w:val="15C0748F"/>
    <w:rsid w:val="15D12138"/>
    <w:rsid w:val="15E47C88"/>
    <w:rsid w:val="16174E54"/>
    <w:rsid w:val="16BE53A8"/>
    <w:rsid w:val="16E37F6D"/>
    <w:rsid w:val="16EC742F"/>
    <w:rsid w:val="17480A93"/>
    <w:rsid w:val="17A35DDF"/>
    <w:rsid w:val="182F7669"/>
    <w:rsid w:val="1856100A"/>
    <w:rsid w:val="187873D5"/>
    <w:rsid w:val="18787EC5"/>
    <w:rsid w:val="18CC2B8B"/>
    <w:rsid w:val="18EF1C9B"/>
    <w:rsid w:val="19BF3DD7"/>
    <w:rsid w:val="19DA7DEE"/>
    <w:rsid w:val="19DC4E83"/>
    <w:rsid w:val="19E84073"/>
    <w:rsid w:val="1A0D188D"/>
    <w:rsid w:val="1A7368C8"/>
    <w:rsid w:val="1A976BB9"/>
    <w:rsid w:val="1AE72CD3"/>
    <w:rsid w:val="1AEF3D03"/>
    <w:rsid w:val="1B7E0E69"/>
    <w:rsid w:val="1BF9286A"/>
    <w:rsid w:val="1C136E65"/>
    <w:rsid w:val="1C4C4278"/>
    <w:rsid w:val="1C724722"/>
    <w:rsid w:val="1C9E476B"/>
    <w:rsid w:val="1CA8000B"/>
    <w:rsid w:val="1CC031EA"/>
    <w:rsid w:val="1CC13B6F"/>
    <w:rsid w:val="1CD70860"/>
    <w:rsid w:val="1D1111C8"/>
    <w:rsid w:val="1D796A5E"/>
    <w:rsid w:val="1D800998"/>
    <w:rsid w:val="1D96232B"/>
    <w:rsid w:val="1DDF2CB1"/>
    <w:rsid w:val="1E6264E0"/>
    <w:rsid w:val="1EFA407E"/>
    <w:rsid w:val="1F126151"/>
    <w:rsid w:val="1F61417A"/>
    <w:rsid w:val="1F7B2EE6"/>
    <w:rsid w:val="1F823775"/>
    <w:rsid w:val="1FF068CA"/>
    <w:rsid w:val="20363170"/>
    <w:rsid w:val="208A027D"/>
    <w:rsid w:val="214925D1"/>
    <w:rsid w:val="21B878C1"/>
    <w:rsid w:val="21DF74EB"/>
    <w:rsid w:val="22723962"/>
    <w:rsid w:val="22AD1641"/>
    <w:rsid w:val="23DD07B1"/>
    <w:rsid w:val="241C4DDC"/>
    <w:rsid w:val="24545B5D"/>
    <w:rsid w:val="24CD0EEF"/>
    <w:rsid w:val="24D067A5"/>
    <w:rsid w:val="25191BB4"/>
    <w:rsid w:val="25D030D9"/>
    <w:rsid w:val="26DA4AFE"/>
    <w:rsid w:val="27B95C35"/>
    <w:rsid w:val="27F25F7B"/>
    <w:rsid w:val="28C24807"/>
    <w:rsid w:val="28DB3980"/>
    <w:rsid w:val="28F13D86"/>
    <w:rsid w:val="29204D61"/>
    <w:rsid w:val="29F349D6"/>
    <w:rsid w:val="29F563F0"/>
    <w:rsid w:val="29F664CF"/>
    <w:rsid w:val="2A897264"/>
    <w:rsid w:val="2A9A65A6"/>
    <w:rsid w:val="2AB10CDE"/>
    <w:rsid w:val="2B5E4C67"/>
    <w:rsid w:val="2B97780B"/>
    <w:rsid w:val="2CCB46E5"/>
    <w:rsid w:val="2D2410CF"/>
    <w:rsid w:val="2D344C00"/>
    <w:rsid w:val="2D923C8D"/>
    <w:rsid w:val="2E2A5CB9"/>
    <w:rsid w:val="2E6073FD"/>
    <w:rsid w:val="2E956FE0"/>
    <w:rsid w:val="2EA475C2"/>
    <w:rsid w:val="2F0C37CF"/>
    <w:rsid w:val="2F24002C"/>
    <w:rsid w:val="2F5A1514"/>
    <w:rsid w:val="2F6A6545"/>
    <w:rsid w:val="2F6E38B1"/>
    <w:rsid w:val="2FE462CC"/>
    <w:rsid w:val="2FE77C32"/>
    <w:rsid w:val="302C0C9F"/>
    <w:rsid w:val="30471FB7"/>
    <w:rsid w:val="30C817CC"/>
    <w:rsid w:val="30C84030"/>
    <w:rsid w:val="30EC66DF"/>
    <w:rsid w:val="31727782"/>
    <w:rsid w:val="31AE15C3"/>
    <w:rsid w:val="31E60C8B"/>
    <w:rsid w:val="31FF6CE2"/>
    <w:rsid w:val="32456CC4"/>
    <w:rsid w:val="3311445F"/>
    <w:rsid w:val="33865CDD"/>
    <w:rsid w:val="345E6D06"/>
    <w:rsid w:val="34AC423B"/>
    <w:rsid w:val="34D15C68"/>
    <w:rsid w:val="353A3782"/>
    <w:rsid w:val="3542414B"/>
    <w:rsid w:val="35860E50"/>
    <w:rsid w:val="35BB3EF4"/>
    <w:rsid w:val="366F1A3D"/>
    <w:rsid w:val="369C4E13"/>
    <w:rsid w:val="36A8469E"/>
    <w:rsid w:val="36B1619C"/>
    <w:rsid w:val="36F84CBD"/>
    <w:rsid w:val="37665EB4"/>
    <w:rsid w:val="381B6C50"/>
    <w:rsid w:val="38322F46"/>
    <w:rsid w:val="384D7457"/>
    <w:rsid w:val="386B0FD9"/>
    <w:rsid w:val="3933479C"/>
    <w:rsid w:val="393869BB"/>
    <w:rsid w:val="396D1326"/>
    <w:rsid w:val="39BC21E0"/>
    <w:rsid w:val="39E4102F"/>
    <w:rsid w:val="3A2B1928"/>
    <w:rsid w:val="3B5222CB"/>
    <w:rsid w:val="3BB5469A"/>
    <w:rsid w:val="3D9E4506"/>
    <w:rsid w:val="3DA60433"/>
    <w:rsid w:val="3ED50BDE"/>
    <w:rsid w:val="3EE1042C"/>
    <w:rsid w:val="3EE2552D"/>
    <w:rsid w:val="3F295722"/>
    <w:rsid w:val="3F4E17CF"/>
    <w:rsid w:val="408F1B38"/>
    <w:rsid w:val="4165602A"/>
    <w:rsid w:val="416B0F76"/>
    <w:rsid w:val="417E0D3F"/>
    <w:rsid w:val="41AF7313"/>
    <w:rsid w:val="42B40A8B"/>
    <w:rsid w:val="431472BE"/>
    <w:rsid w:val="43154769"/>
    <w:rsid w:val="43EB17DA"/>
    <w:rsid w:val="443321D9"/>
    <w:rsid w:val="443541FA"/>
    <w:rsid w:val="449E6649"/>
    <w:rsid w:val="450C4D75"/>
    <w:rsid w:val="454B0CE9"/>
    <w:rsid w:val="46184524"/>
    <w:rsid w:val="46ED03C2"/>
    <w:rsid w:val="47681424"/>
    <w:rsid w:val="484F252F"/>
    <w:rsid w:val="4862180D"/>
    <w:rsid w:val="48CB7DE0"/>
    <w:rsid w:val="48DE3F2D"/>
    <w:rsid w:val="497F5F49"/>
    <w:rsid w:val="49E1340B"/>
    <w:rsid w:val="4A257FD2"/>
    <w:rsid w:val="4A8A1CA2"/>
    <w:rsid w:val="4B011028"/>
    <w:rsid w:val="4BF62B9B"/>
    <w:rsid w:val="4C661C38"/>
    <w:rsid w:val="4C695DDB"/>
    <w:rsid w:val="4C9A5EA5"/>
    <w:rsid w:val="4CDF3A61"/>
    <w:rsid w:val="4D3962F3"/>
    <w:rsid w:val="4D9A3B9B"/>
    <w:rsid w:val="4DD528AB"/>
    <w:rsid w:val="4DF026E8"/>
    <w:rsid w:val="4E003582"/>
    <w:rsid w:val="4E755E5F"/>
    <w:rsid w:val="4EE2079C"/>
    <w:rsid w:val="4F0E378C"/>
    <w:rsid w:val="4F153793"/>
    <w:rsid w:val="4F3D6BB8"/>
    <w:rsid w:val="4F4E509D"/>
    <w:rsid w:val="4F8000A3"/>
    <w:rsid w:val="4FC84293"/>
    <w:rsid w:val="503D5B3F"/>
    <w:rsid w:val="509715B3"/>
    <w:rsid w:val="51885345"/>
    <w:rsid w:val="52A33B4A"/>
    <w:rsid w:val="52F40A7A"/>
    <w:rsid w:val="53452D08"/>
    <w:rsid w:val="53AB37CE"/>
    <w:rsid w:val="54706EE3"/>
    <w:rsid w:val="54781D67"/>
    <w:rsid w:val="54BA6FAE"/>
    <w:rsid w:val="55013876"/>
    <w:rsid w:val="55297417"/>
    <w:rsid w:val="55527E49"/>
    <w:rsid w:val="555F515E"/>
    <w:rsid w:val="55A32394"/>
    <w:rsid w:val="566844B9"/>
    <w:rsid w:val="56B93F99"/>
    <w:rsid w:val="56C27DEF"/>
    <w:rsid w:val="56FA72B4"/>
    <w:rsid w:val="57322BDA"/>
    <w:rsid w:val="5773061D"/>
    <w:rsid w:val="579529A0"/>
    <w:rsid w:val="57D46C58"/>
    <w:rsid w:val="58A62F16"/>
    <w:rsid w:val="58BE7A1C"/>
    <w:rsid w:val="59772169"/>
    <w:rsid w:val="5ABA692B"/>
    <w:rsid w:val="5B20154B"/>
    <w:rsid w:val="5C4C5F63"/>
    <w:rsid w:val="5CF30946"/>
    <w:rsid w:val="5D014110"/>
    <w:rsid w:val="5DA3099B"/>
    <w:rsid w:val="5DB11630"/>
    <w:rsid w:val="5DD77110"/>
    <w:rsid w:val="5E0A1CB3"/>
    <w:rsid w:val="5EB85928"/>
    <w:rsid w:val="5ED013E9"/>
    <w:rsid w:val="5F0437D4"/>
    <w:rsid w:val="5F563DE3"/>
    <w:rsid w:val="5FBE15F0"/>
    <w:rsid w:val="5FFE39FF"/>
    <w:rsid w:val="60090E87"/>
    <w:rsid w:val="60AD2485"/>
    <w:rsid w:val="61154026"/>
    <w:rsid w:val="615B3A1F"/>
    <w:rsid w:val="616855EF"/>
    <w:rsid w:val="61EE6B68"/>
    <w:rsid w:val="62B738DE"/>
    <w:rsid w:val="62C45871"/>
    <w:rsid w:val="62E269BE"/>
    <w:rsid w:val="63273FE2"/>
    <w:rsid w:val="633C4553"/>
    <w:rsid w:val="635E1DC8"/>
    <w:rsid w:val="63B306FF"/>
    <w:rsid w:val="63DB6CD0"/>
    <w:rsid w:val="63F8153B"/>
    <w:rsid w:val="640E2810"/>
    <w:rsid w:val="648A3DC7"/>
    <w:rsid w:val="64986500"/>
    <w:rsid w:val="64E444D8"/>
    <w:rsid w:val="64E84C0B"/>
    <w:rsid w:val="65247F3A"/>
    <w:rsid w:val="65CB5D27"/>
    <w:rsid w:val="666A2CEB"/>
    <w:rsid w:val="666C3C15"/>
    <w:rsid w:val="667A0179"/>
    <w:rsid w:val="66827628"/>
    <w:rsid w:val="66B5037B"/>
    <w:rsid w:val="66BF71C4"/>
    <w:rsid w:val="676F0FA5"/>
    <w:rsid w:val="67BF0790"/>
    <w:rsid w:val="67F732DC"/>
    <w:rsid w:val="680A63DF"/>
    <w:rsid w:val="682A33A0"/>
    <w:rsid w:val="68A1291D"/>
    <w:rsid w:val="68A43524"/>
    <w:rsid w:val="68B76BCA"/>
    <w:rsid w:val="68D12C7B"/>
    <w:rsid w:val="68EA387A"/>
    <w:rsid w:val="68FC3CE7"/>
    <w:rsid w:val="693646B5"/>
    <w:rsid w:val="6986005A"/>
    <w:rsid w:val="69B721C8"/>
    <w:rsid w:val="69D35D2D"/>
    <w:rsid w:val="69D45F41"/>
    <w:rsid w:val="6A9B3230"/>
    <w:rsid w:val="6AB6350D"/>
    <w:rsid w:val="6B884102"/>
    <w:rsid w:val="6BEE5365"/>
    <w:rsid w:val="6D833919"/>
    <w:rsid w:val="6E0C603E"/>
    <w:rsid w:val="6E5720A4"/>
    <w:rsid w:val="6F100594"/>
    <w:rsid w:val="6F626EB5"/>
    <w:rsid w:val="6F657C10"/>
    <w:rsid w:val="6FAF1154"/>
    <w:rsid w:val="6FB05B67"/>
    <w:rsid w:val="6FE31FE3"/>
    <w:rsid w:val="7003626C"/>
    <w:rsid w:val="70241AA7"/>
    <w:rsid w:val="705F3713"/>
    <w:rsid w:val="707E05FA"/>
    <w:rsid w:val="717E197B"/>
    <w:rsid w:val="72E10B53"/>
    <w:rsid w:val="73041F38"/>
    <w:rsid w:val="73222030"/>
    <w:rsid w:val="738003D8"/>
    <w:rsid w:val="75787992"/>
    <w:rsid w:val="765112F1"/>
    <w:rsid w:val="76552FDB"/>
    <w:rsid w:val="76B722F6"/>
    <w:rsid w:val="76EC3085"/>
    <w:rsid w:val="775828D2"/>
    <w:rsid w:val="778A0863"/>
    <w:rsid w:val="77A46809"/>
    <w:rsid w:val="77EE4ADF"/>
    <w:rsid w:val="78A343AC"/>
    <w:rsid w:val="78B57F31"/>
    <w:rsid w:val="78C71631"/>
    <w:rsid w:val="78ED11E9"/>
    <w:rsid w:val="79663276"/>
    <w:rsid w:val="79693D37"/>
    <w:rsid w:val="79B56CAC"/>
    <w:rsid w:val="79C42846"/>
    <w:rsid w:val="7A123434"/>
    <w:rsid w:val="7A5B26E7"/>
    <w:rsid w:val="7A610B9B"/>
    <w:rsid w:val="7A6275CC"/>
    <w:rsid w:val="7AB768AA"/>
    <w:rsid w:val="7AFA5663"/>
    <w:rsid w:val="7B4123FF"/>
    <w:rsid w:val="7BF65A6C"/>
    <w:rsid w:val="7C061B08"/>
    <w:rsid w:val="7C686567"/>
    <w:rsid w:val="7CE0598F"/>
    <w:rsid w:val="7D0B1632"/>
    <w:rsid w:val="7DA37707"/>
    <w:rsid w:val="7DA43D05"/>
    <w:rsid w:val="7DAB739D"/>
    <w:rsid w:val="7DE5123F"/>
    <w:rsid w:val="7E092A62"/>
    <w:rsid w:val="7E565709"/>
    <w:rsid w:val="7E9D55BD"/>
    <w:rsid w:val="7EA32A6E"/>
    <w:rsid w:val="7EBB4BE7"/>
    <w:rsid w:val="7F6A4D24"/>
    <w:rsid w:val="7FBF1496"/>
    <w:rsid w:val="7FDA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4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20"/>
    <w:qFormat/>
    <w:uiPriority w:val="0"/>
    <w:rPr>
      <w:rFonts w:ascii="宋体"/>
      <w:sz w:val="18"/>
      <w:szCs w:val="18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1">
    <w:name w:val="Table Grid"/>
    <w:basedOn w:val="10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5">
    <w:name w:val="标准文件_段"/>
    <w:link w:val="16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6">
    <w:name w:val="标准文件_段 Char"/>
    <w:link w:val="15"/>
    <w:qFormat/>
    <w:uiPriority w:val="0"/>
    <w:rPr>
      <w:rFonts w:ascii="宋体"/>
      <w:sz w:val="21"/>
    </w:rPr>
  </w:style>
  <w:style w:type="character" w:customStyle="1" w:styleId="17">
    <w:name w:val="页眉 字符"/>
    <w:basedOn w:val="12"/>
    <w:link w:val="8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8">
    <w:name w:val="页脚 字符"/>
    <w:basedOn w:val="12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9">
    <w:name w:val="批注框文本 字符"/>
    <w:basedOn w:val="12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0">
    <w:name w:val="文档结构图 字符"/>
    <w:basedOn w:val="12"/>
    <w:link w:val="5"/>
    <w:qFormat/>
    <w:uiPriority w:val="0"/>
    <w:rPr>
      <w:rFonts w:ascii="宋体"/>
      <w:kern w:val="2"/>
      <w:sz w:val="18"/>
      <w:szCs w:val="18"/>
    </w:rPr>
  </w:style>
  <w:style w:type="paragraph" w:customStyle="1" w:styleId="21">
    <w:name w:val="章标题"/>
    <w:next w:val="22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3">
    <w:name w:val="一级无"/>
    <w:basedOn w:val="2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24">
    <w:name w:val="一级条标题"/>
    <w:next w:val="22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5">
    <w:name w:val="正文公式编号制表符"/>
    <w:basedOn w:val="22"/>
    <w:next w:val="22"/>
    <w:qFormat/>
    <w:uiPriority w:val="0"/>
    <w:pPr>
      <w:ind w:firstLine="0" w:firstLineChars="0"/>
    </w:pPr>
    <w:rPr>
      <w:rFonts w:hAnsi="Calibri"/>
    </w:rPr>
  </w:style>
  <w:style w:type="paragraph" w:customStyle="1" w:styleId="26">
    <w:name w:val="标准文件_二级条标题"/>
    <w:next w:val="15"/>
    <w:qFormat/>
    <w:uiPriority w:val="0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7">
    <w:name w:val="标准文件_三级条标题"/>
    <w:basedOn w:val="26"/>
    <w:next w:val="15"/>
    <w:qFormat/>
    <w:uiPriority w:val="0"/>
    <w:pPr>
      <w:widowControl/>
      <w:numPr>
        <w:ilvl w:val="4"/>
      </w:numPr>
      <w:outlineLvl w:val="3"/>
    </w:pPr>
  </w:style>
  <w:style w:type="paragraph" w:customStyle="1" w:styleId="28">
    <w:name w:val="标准文件_四级条标题"/>
    <w:next w:val="15"/>
    <w:qFormat/>
    <w:uiPriority w:val="0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9">
    <w:name w:val="标准文件_五级条标题"/>
    <w:next w:val="15"/>
    <w:qFormat/>
    <w:uiPriority w:val="0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0">
    <w:name w:val="标准文件_章标题"/>
    <w:next w:val="15"/>
    <w:qFormat/>
    <w:uiPriority w:val="0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标准文件_一级条标题"/>
    <w:basedOn w:val="30"/>
    <w:next w:val="15"/>
    <w:qFormat/>
    <w:uiPriority w:val="0"/>
    <w:pPr>
      <w:numPr>
        <w:ilvl w:val="2"/>
      </w:numPr>
      <w:spacing w:beforeLines="50" w:afterLines="50"/>
      <w:outlineLvl w:val="1"/>
    </w:pPr>
  </w:style>
  <w:style w:type="paragraph" w:customStyle="1" w:styleId="32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33">
    <w:name w:val="标准文件_一级无标题"/>
    <w:basedOn w:val="31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34">
    <w:name w:val="标准文件_二级无标题"/>
    <w:basedOn w:val="26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35">
    <w:name w:val="Body text|1"/>
    <w:basedOn w:val="1"/>
    <w:link w:val="36"/>
    <w:qFormat/>
    <w:uiPriority w:val="0"/>
    <w:pPr>
      <w:spacing w:line="312" w:lineRule="auto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36">
    <w:name w:val="Body text|1_"/>
    <w:basedOn w:val="12"/>
    <w:link w:val="35"/>
    <w:qFormat/>
    <w:uiPriority w:val="0"/>
    <w:rPr>
      <w:rFonts w:ascii="宋体" w:hAnsi="宋体" w:cs="宋体"/>
      <w:kern w:val="2"/>
      <w:lang w:val="zh-TW" w:eastAsia="zh-TW" w:bidi="zh-TW"/>
    </w:rPr>
  </w:style>
  <w:style w:type="paragraph" w:customStyle="1" w:styleId="37">
    <w:name w:val="标准文件_数字编号列项（二级）"/>
    <w:qFormat/>
    <w:uiPriority w:val="0"/>
    <w:pPr>
      <w:numPr>
        <w:ilvl w:val="1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8">
    <w:name w:val="标准文件_编号列项（三级）"/>
    <w:qFormat/>
    <w:uiPriority w:val="0"/>
    <w:pPr>
      <w:numPr>
        <w:ilvl w:val="2"/>
        <w:numId w:val="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9">
    <w:name w:val="标准文件_字母编号列项（一级）"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0">
    <w:name w:val="标准文件_标准正文"/>
    <w:basedOn w:val="1"/>
    <w:next w:val="15"/>
    <w:qFormat/>
    <w:uiPriority w:val="0"/>
    <w:pPr>
      <w:adjustRightInd w:val="0"/>
      <w:snapToGrid w:val="0"/>
      <w:spacing w:line="400" w:lineRule="exact"/>
      <w:ind w:firstLine="200" w:firstLineChars="200"/>
    </w:pPr>
    <w:rPr>
      <w:rFonts w:ascii="Calibri" w:hAnsi="Calibri"/>
      <w:kern w:val="0"/>
      <w:szCs w:val="21"/>
    </w:rPr>
  </w:style>
  <w:style w:type="paragraph" w:customStyle="1" w:styleId="41">
    <w:name w:val="标准文件_英文注："/>
    <w:basedOn w:val="1"/>
    <w:next w:val="15"/>
    <w:qFormat/>
    <w:uiPriority w:val="0"/>
    <w:pPr>
      <w:numPr>
        <w:ilvl w:val="0"/>
        <w:numId w:val="4"/>
      </w:numPr>
      <w:tabs>
        <w:tab w:val="left" w:pos="420"/>
      </w:tabs>
      <w:autoSpaceDE w:val="0"/>
      <w:autoSpaceDN w:val="0"/>
      <w:adjustRightInd w:val="0"/>
    </w:pPr>
    <w:rPr>
      <w:rFonts w:ascii="宋体" w:hAnsi="宋体"/>
      <w:kern w:val="0"/>
      <w:sz w:val="18"/>
      <w:szCs w:val="20"/>
    </w:rPr>
  </w:style>
  <w:style w:type="paragraph" w:customStyle="1" w:styleId="42">
    <w:name w:val="标准文件_正文公式"/>
    <w:basedOn w:val="1"/>
    <w:next w:val="40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character" w:customStyle="1" w:styleId="43">
    <w:name w:val="标题 1 字符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44">
    <w:name w:val="标题 2 字符"/>
    <w:basedOn w:val="12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chart" Target="charts/chart3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Administrator\Desktop\&#26032;&#24314;%20XLSX%20&#24037;&#20316;&#34920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C:\Users\Administrator\Desktop\&#26032;&#24314;%20XLSX%20&#24037;&#20316;&#34920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C:\Users\Administrator\Desktop\&#26032;&#24314;%20XLSX%20&#24037;&#20316;&#3492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'[新建 XLSX 工作表.xlsx]Sheet2'!$C$42:$C$48</c:f>
              <c:numCache>
                <c:formatCode>General</c:formatCode>
                <c:ptCount val="7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</c:numCache>
            </c:numRef>
          </c:xVal>
          <c:yVal>
            <c:numRef>
              <c:f>'[新建 XLSX 工作表.xlsx]Sheet2'!$D$42:$D$48</c:f>
              <c:numCache>
                <c:formatCode>General</c:formatCode>
                <c:ptCount val="7"/>
                <c:pt idx="0">
                  <c:v>0.42</c:v>
                </c:pt>
                <c:pt idx="1">
                  <c:v>0.37</c:v>
                </c:pt>
                <c:pt idx="2">
                  <c:v>0.34</c:v>
                </c:pt>
                <c:pt idx="3">
                  <c:v>0.332</c:v>
                </c:pt>
                <c:pt idx="4">
                  <c:v>0.33</c:v>
                </c:pt>
                <c:pt idx="5">
                  <c:v>0.328</c:v>
                </c:pt>
                <c:pt idx="6">
                  <c:v>0.327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0105780"/>
        <c:axId val="972837916"/>
      </c:scatterChart>
      <c:valAx>
        <c:axId val="850105780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氨磺酸钠用量</a:t>
                </a:r>
                <a:r>
                  <a:rPr lang="en-US" altLang="zh-CN"/>
                  <a:t>/mL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2837916"/>
        <c:crosses val="autoZero"/>
        <c:crossBetween val="midCat"/>
      </c:valAx>
      <c:valAx>
        <c:axId val="972837916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x</a:t>
                </a:r>
                <a:r>
                  <a:rPr altLang="en-US"/>
                  <a:t>吸光度</a:t>
                </a:r>
                <a:r>
                  <a:rPr lang="en-US" altLang="zh-CN"/>
                  <a:t>/A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501057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99807789580172"/>
          <c:y val="0.172916666666667"/>
          <c:w val="0.874749620637329"/>
          <c:h val="0.614907407407407"/>
        </c:manualLayout>
      </c:layout>
      <c:scatterChart>
        <c:scatterStyle val="smooth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xVal>
            <c:numRef>
              <c:f>'[新建 XLSX 工作表.xlsx]Sheet2'!$C$1:$C$31</c:f>
              <c:numCache>
                <c:formatCode>General</c:formatCode>
                <c:ptCount val="31"/>
                <c:pt idx="0">
                  <c:v>450</c:v>
                </c:pt>
                <c:pt idx="1">
                  <c:v>455</c:v>
                </c:pt>
                <c:pt idx="2">
                  <c:v>460</c:v>
                </c:pt>
                <c:pt idx="3">
                  <c:v>465</c:v>
                </c:pt>
                <c:pt idx="4">
                  <c:v>470</c:v>
                </c:pt>
                <c:pt idx="5">
                  <c:v>475</c:v>
                </c:pt>
                <c:pt idx="6">
                  <c:v>480</c:v>
                </c:pt>
                <c:pt idx="7">
                  <c:v>485</c:v>
                </c:pt>
                <c:pt idx="8">
                  <c:v>490</c:v>
                </c:pt>
                <c:pt idx="9">
                  <c:v>495</c:v>
                </c:pt>
                <c:pt idx="10">
                  <c:v>500</c:v>
                </c:pt>
                <c:pt idx="11">
                  <c:v>505</c:v>
                </c:pt>
                <c:pt idx="12">
                  <c:v>510</c:v>
                </c:pt>
                <c:pt idx="13">
                  <c:v>515</c:v>
                </c:pt>
                <c:pt idx="14">
                  <c:v>520</c:v>
                </c:pt>
                <c:pt idx="15">
                  <c:v>525</c:v>
                </c:pt>
                <c:pt idx="16">
                  <c:v>530</c:v>
                </c:pt>
                <c:pt idx="17">
                  <c:v>535</c:v>
                </c:pt>
                <c:pt idx="18">
                  <c:v>540</c:v>
                </c:pt>
                <c:pt idx="19">
                  <c:v>545</c:v>
                </c:pt>
                <c:pt idx="20">
                  <c:v>550</c:v>
                </c:pt>
                <c:pt idx="21">
                  <c:v>555</c:v>
                </c:pt>
                <c:pt idx="22">
                  <c:v>560</c:v>
                </c:pt>
                <c:pt idx="23">
                  <c:v>565</c:v>
                </c:pt>
                <c:pt idx="24">
                  <c:v>570</c:v>
                </c:pt>
                <c:pt idx="25">
                  <c:v>575</c:v>
                </c:pt>
                <c:pt idx="26">
                  <c:v>580</c:v>
                </c:pt>
                <c:pt idx="27">
                  <c:v>585</c:v>
                </c:pt>
                <c:pt idx="28">
                  <c:v>590</c:v>
                </c:pt>
                <c:pt idx="29">
                  <c:v>595</c:v>
                </c:pt>
                <c:pt idx="30">
                  <c:v>600</c:v>
                </c:pt>
              </c:numCache>
            </c:numRef>
          </c:xVal>
          <c:yVal>
            <c:numRef>
              <c:f>'[新建 XLSX 工作表.xlsx]Sheet2'!$D$1:$D$31</c:f>
              <c:numCache>
                <c:formatCode>General</c:formatCode>
                <c:ptCount val="31"/>
                <c:pt idx="0">
                  <c:v>0.08</c:v>
                </c:pt>
                <c:pt idx="1">
                  <c:v>0.08</c:v>
                </c:pt>
                <c:pt idx="2">
                  <c:v>0.082</c:v>
                </c:pt>
                <c:pt idx="3">
                  <c:v>0.085</c:v>
                </c:pt>
                <c:pt idx="4">
                  <c:v>0.09</c:v>
                </c:pt>
                <c:pt idx="5">
                  <c:v>0.095</c:v>
                </c:pt>
                <c:pt idx="6">
                  <c:v>0.105</c:v>
                </c:pt>
                <c:pt idx="7">
                  <c:v>0.11</c:v>
                </c:pt>
                <c:pt idx="8">
                  <c:v>0.12</c:v>
                </c:pt>
                <c:pt idx="9">
                  <c:v>0.14</c:v>
                </c:pt>
                <c:pt idx="10">
                  <c:v>0.152</c:v>
                </c:pt>
                <c:pt idx="11">
                  <c:v>0.16</c:v>
                </c:pt>
                <c:pt idx="12">
                  <c:v>0.17</c:v>
                </c:pt>
                <c:pt idx="13">
                  <c:v>0.18</c:v>
                </c:pt>
                <c:pt idx="14">
                  <c:v>0.195</c:v>
                </c:pt>
                <c:pt idx="15">
                  <c:v>0.21</c:v>
                </c:pt>
                <c:pt idx="16">
                  <c:v>0.225</c:v>
                </c:pt>
                <c:pt idx="17">
                  <c:v>0.236</c:v>
                </c:pt>
                <c:pt idx="18">
                  <c:v>0.248</c:v>
                </c:pt>
                <c:pt idx="19">
                  <c:v>0.26</c:v>
                </c:pt>
                <c:pt idx="20">
                  <c:v>0.273</c:v>
                </c:pt>
                <c:pt idx="21">
                  <c:v>0.286</c:v>
                </c:pt>
                <c:pt idx="22">
                  <c:v>0.299</c:v>
                </c:pt>
                <c:pt idx="23">
                  <c:v>0.316</c:v>
                </c:pt>
                <c:pt idx="24">
                  <c:v>0.332</c:v>
                </c:pt>
                <c:pt idx="25">
                  <c:v>0.35</c:v>
                </c:pt>
                <c:pt idx="26">
                  <c:v>0.36</c:v>
                </c:pt>
                <c:pt idx="27">
                  <c:v>0.352</c:v>
                </c:pt>
                <c:pt idx="28">
                  <c:v>0.343</c:v>
                </c:pt>
                <c:pt idx="29">
                  <c:v>0.335</c:v>
                </c:pt>
                <c:pt idx="30">
                  <c:v>0.33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981542"/>
        <c:axId val="504167855"/>
      </c:scatterChart>
      <c:valAx>
        <c:axId val="50981542"/>
        <c:scaling>
          <c:orientation val="minMax"/>
          <c:max val="600"/>
          <c:min val="450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波长</a:t>
                </a:r>
                <a:r>
                  <a:rPr lang="en-US" altLang="zh-CN"/>
                  <a:t>/nm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cross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4167855"/>
        <c:crosses val="autoZero"/>
        <c:crossBetween val="midCat"/>
      </c:valAx>
      <c:valAx>
        <c:axId val="504167855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吸光度</a:t>
                </a:r>
                <a:r>
                  <a:rPr lang="en-US" altLang="zh-CN"/>
                  <a:t>/A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981542"/>
        <c:crossesAt val="450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/>
              <c:spPr>
                <a:noFill/>
                <a:ln>
                  <a:noFill/>
                </a:ln>
                <a:effectLst/>
              </c:spPr>
              <c:txPr>
                <a:bodyPr rot="0" spcFirstLastPara="0" vertOverflow="ellipsis" vert="horz" wrap="square" anchor="ctr" anchorCtr="1"/>
                <a:lstStyle/>
                <a:p>
                  <a:pPr>
                    <a:defRPr lang="zh-CN"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</a:p>
              </c:txPr>
            </c:trendlineLbl>
          </c:trendline>
          <c:xVal>
            <c:numRef>
              <c:f>'[新建 XLSX 工作表.xlsx]Sheet3'!$D$5:$I$5</c:f>
              <c:numCache>
                <c:formatCode>General</c:formatCode>
                <c:ptCount val="6"/>
                <c:pt idx="0">
                  <c:v>0</c:v>
                </c:pt>
                <c:pt idx="1">
                  <c:v>3</c:v>
                </c:pt>
                <c:pt idx="2">
                  <c:v>6</c:v>
                </c:pt>
                <c:pt idx="3">
                  <c:v>9</c:v>
                </c:pt>
                <c:pt idx="4">
                  <c:v>15</c:v>
                </c:pt>
                <c:pt idx="5">
                  <c:v>30</c:v>
                </c:pt>
              </c:numCache>
            </c:numRef>
          </c:xVal>
          <c:yVal>
            <c:numRef>
              <c:f>'[新建 XLSX 工作表.xlsx]Sheet3'!$D$6:$I$6</c:f>
              <c:numCache>
                <c:formatCode>General</c:formatCode>
                <c:ptCount val="6"/>
                <c:pt idx="0">
                  <c:v>0</c:v>
                </c:pt>
                <c:pt idx="1">
                  <c:v>0.0786</c:v>
                </c:pt>
                <c:pt idx="2">
                  <c:v>0.1547</c:v>
                </c:pt>
                <c:pt idx="3">
                  <c:v>0.2345</c:v>
                </c:pt>
                <c:pt idx="4">
                  <c:v>0.3705</c:v>
                </c:pt>
                <c:pt idx="5">
                  <c:v>0.7571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70383199"/>
        <c:axId val="929677188"/>
      </c:scatterChart>
      <c:valAx>
        <c:axId val="970383199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二氧化硫含量</a:t>
                </a:r>
                <a:r>
                  <a:rPr lang="en-US" altLang="zh-CN"/>
                  <a:t>/μg</a:t>
                </a:r>
                <a:endParaRPr altLang="en-US"/>
              </a:p>
            </c:rich>
          </c:tx>
          <c:layout>
            <c:manualLayout>
              <c:xMode val="edge"/>
              <c:yMode val="edge"/>
              <c:x val="0.468513888888889"/>
              <c:y val="0.89074074074074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9677188"/>
        <c:crosses val="autoZero"/>
        <c:crossBetween val="midCat"/>
      </c:valAx>
      <c:valAx>
        <c:axId val="929677188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吸光度</a:t>
                </a:r>
                <a:r>
                  <a:rPr lang="en-US" altLang="zh-CN"/>
                  <a:t>/A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038319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13E5C3-491D-4297-B7C9-5398D0AACD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5113</Words>
  <Characters>5937</Characters>
  <Lines>78</Lines>
  <Paragraphs>22</Paragraphs>
  <TotalTime>4</TotalTime>
  <ScaleCrop>false</ScaleCrop>
  <LinksUpToDate>false</LinksUpToDate>
  <CharactersWithSpaces>6039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2021-07-16T04:04:00Z</dcterms:created>
  <dc:creator>Administrator</dc:creator>
  <cp:lastModifiedBy>温韬</cp:lastModifiedBy>
  <cp:lastPrinted>2021-07-30T09:44:00Z</cp:lastPrinted>
  <dcterms:modified xsi:type="dcterms:W3CDTF">2022-06-22T12:43:19Z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B93114565A8045D1A84C1C15F21B9B72</vt:lpwstr>
  </property>
</Properties>
</file>