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546" w:rsidRDefault="00D90014">
      <w:pPr>
        <w:jc w:val="center"/>
        <w:rPr>
          <w:rFonts w:ascii="方正小标宋_GBK" w:eastAsia="方正小标宋_GBK" w:hAnsi="宋体"/>
          <w:sz w:val="32"/>
          <w:szCs w:val="32"/>
        </w:rPr>
      </w:pPr>
      <w:r>
        <w:rPr>
          <w:rFonts w:ascii="方正小标宋_GBK" w:eastAsia="方正小标宋_GBK" w:hAnsi="宋体" w:hint="eastAsia"/>
          <w:sz w:val="32"/>
          <w:szCs w:val="32"/>
        </w:rPr>
        <w:t>团体标准《糖渍水果跨境冷链运输技术规程》</w:t>
      </w:r>
    </w:p>
    <w:p w:rsidR="002A1546" w:rsidRDefault="00D90014">
      <w:pPr>
        <w:jc w:val="center"/>
        <w:rPr>
          <w:rFonts w:ascii="方正小标宋_GBK" w:eastAsia="方正小标宋_GBK" w:hAnsi="宋体"/>
          <w:sz w:val="32"/>
          <w:szCs w:val="32"/>
        </w:rPr>
      </w:pPr>
      <w:r>
        <w:rPr>
          <w:rFonts w:ascii="方正小标宋_GBK" w:eastAsia="方正小标宋_GBK" w:hAnsi="宋体" w:hint="eastAsia"/>
          <w:sz w:val="32"/>
          <w:szCs w:val="32"/>
        </w:rPr>
        <w:t>（征求意见稿）编制说明</w:t>
      </w:r>
    </w:p>
    <w:p w:rsidR="002A1546" w:rsidRDefault="00D90014">
      <w:pPr>
        <w:autoSpaceDE w:val="0"/>
        <w:autoSpaceDN w:val="0"/>
        <w:adjustRightInd w:val="0"/>
        <w:spacing w:beforeLines="50" w:before="156" w:afterLines="50" w:after="156" w:line="52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一、项目来源</w:t>
      </w:r>
    </w:p>
    <w:p w:rsidR="002A1546" w:rsidRDefault="00D9001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《糖渍水果跨境冷链运输技术规程》是根据广西标准化协会《关于下达2023年第十八批团体标准制定修订项目计划的通知》（</w:t>
      </w:r>
      <w:proofErr w:type="gramStart"/>
      <w:r>
        <w:rPr>
          <w:rFonts w:ascii="仿宋_GB2312" w:eastAsia="仿宋_GB2312" w:hAnsi="宋体" w:hint="eastAsia"/>
          <w:sz w:val="28"/>
          <w:szCs w:val="28"/>
        </w:rPr>
        <w:t>桂标协〔2023〕</w:t>
      </w:r>
      <w:proofErr w:type="gramEnd"/>
      <w:r>
        <w:rPr>
          <w:rFonts w:ascii="仿宋_GB2312" w:eastAsia="仿宋_GB2312" w:hAnsi="宋体" w:hint="eastAsia"/>
          <w:sz w:val="28"/>
          <w:szCs w:val="28"/>
        </w:rPr>
        <w:t>71号）文件精神，由广西壮族自治区亚热带作物研究所提出，广西壮族自治区亚热带作物研究所、广西果晶园食品有限责任公司和广西果丰食品有限公司共同起草的团体标准，项目编号2023-1802。</w:t>
      </w:r>
    </w:p>
    <w:p w:rsidR="002A1546" w:rsidRDefault="00D90014">
      <w:pPr>
        <w:autoSpaceDE w:val="0"/>
        <w:autoSpaceDN w:val="0"/>
        <w:adjustRightInd w:val="0"/>
        <w:spacing w:beforeLines="50" w:before="156" w:afterLines="50" w:after="156" w:line="52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二、项目背景及目的意义</w:t>
      </w:r>
    </w:p>
    <w:p w:rsidR="002A1546" w:rsidRDefault="00D90014">
      <w:pPr>
        <w:autoSpaceDE w:val="0"/>
        <w:autoSpaceDN w:val="0"/>
        <w:adjustRightInd w:val="0"/>
        <w:ind w:firstLineChars="200" w:firstLine="560"/>
        <w:jc w:val="left"/>
        <w:rPr>
          <w:rFonts w:ascii="仿宋_GB2312" w:eastAsia="仿宋_GB2312" w:hAnsi="宋体"/>
          <w:sz w:val="28"/>
          <w:szCs w:val="28"/>
        </w:rPr>
      </w:pPr>
      <w:r>
        <w:rPr>
          <w:rFonts w:ascii="仿宋_GB2312" w:eastAsia="仿宋_GB2312" w:hAnsi="宋体" w:hint="eastAsia"/>
          <w:sz w:val="28"/>
          <w:szCs w:val="28"/>
        </w:rPr>
        <w:t>我国是世界上热带水果主要适种区，广西更是我国芒果、香蕉等热带水果的主产区，已经有超过35家企业从事热带水果的加工。热带水果供应季节性明显，产期集中，存在保鲜期短、不耐长途运输的问题，单一地区原料无法满足全年生产加工，原料的供应成为制约加工企业发展壮大的瓶颈。</w:t>
      </w:r>
    </w:p>
    <w:p w:rsidR="002A1546" w:rsidRDefault="00D90014" w:rsidP="00B671D5">
      <w:pPr>
        <w:autoSpaceDE w:val="0"/>
        <w:autoSpaceDN w:val="0"/>
        <w:adjustRightInd w:val="0"/>
        <w:ind w:firstLineChars="200" w:firstLine="560"/>
        <w:rPr>
          <w:rFonts w:ascii="仿宋_GB2312" w:eastAsia="仿宋_GB2312" w:hAnsi="宋体"/>
          <w:sz w:val="28"/>
          <w:szCs w:val="28"/>
        </w:rPr>
      </w:pPr>
      <w:r>
        <w:rPr>
          <w:rFonts w:ascii="仿宋_GB2312" w:eastAsia="仿宋_GB2312" w:hAnsi="宋体" w:hint="eastAsia"/>
          <w:sz w:val="28"/>
          <w:szCs w:val="28"/>
        </w:rPr>
        <w:t>2021年11月26日国务院办公厅印发了《“十四五”冷链物流发展规划》，规划的“专栏4销地冷链物流提升工程”中提出要“结合我国果蔬优势产区分布以及南菜北运、西果东输、果蔬进出口等流向特征，加强配套冷链设施建设，推动构建反季节蔬菜、高原夏菜、热带水果等从优势产区到主销区的全流程果蔬冷链物流体系。”同时在“专栏10冷链物流标准体系建设工程”中提出“结合标准梳理工作，补充完善一批企业和行业急需的标准，形成全链条有机衔接的冷链物流标准体系。”2023年中央一号文件《关于做</w:t>
      </w:r>
      <w:r>
        <w:rPr>
          <w:rFonts w:ascii="仿宋_GB2312" w:eastAsia="仿宋_GB2312" w:hAnsi="宋体" w:hint="eastAsia"/>
          <w:sz w:val="28"/>
          <w:szCs w:val="28"/>
        </w:rPr>
        <w:lastRenderedPageBreak/>
        <w:t>好2023年全面推进乡村振兴重点工作的意见》发布，在“抓紧抓好粮食和重要农产品稳产保供”中提出“发挥农产品国际贸易作用，深入实施农产品进口多元化战略。”明确了跨境冷链物流体系建设将成为冷链物流发展的核心主旋律之一。广西壮族自治区人民政府也在关于实施</w:t>
      </w:r>
      <w:proofErr w:type="gramStart"/>
      <w:r>
        <w:rPr>
          <w:rFonts w:ascii="仿宋_GB2312" w:eastAsia="仿宋_GB2312" w:hAnsi="宋体" w:hint="eastAsia"/>
          <w:sz w:val="28"/>
          <w:szCs w:val="28"/>
        </w:rPr>
        <w:t>质量强桂战略</w:t>
      </w:r>
      <w:proofErr w:type="gramEnd"/>
      <w:r>
        <w:rPr>
          <w:rFonts w:ascii="仿宋_GB2312" w:eastAsia="仿宋_GB2312" w:hAnsi="宋体" w:hint="eastAsia"/>
          <w:sz w:val="28"/>
          <w:szCs w:val="28"/>
        </w:rPr>
        <w:t>的决定中指出，“建立健全农产品质量安全标准体系，完善农产品安全监管体系，打造一批优质农产品和知名品牌”。因此，制定本标准完全符合国家和地方政府的发展战略，对完善跨境物流体系建设，健全农产品加工领域的标准体系有积极的推动作用。</w:t>
      </w:r>
    </w:p>
    <w:p w:rsidR="002A1546" w:rsidRDefault="00D90014">
      <w:pPr>
        <w:autoSpaceDE w:val="0"/>
        <w:autoSpaceDN w:val="0"/>
        <w:adjustRightInd w:val="0"/>
        <w:spacing w:beforeLines="50" w:before="156" w:afterLines="50" w:after="156" w:line="52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三、项目编制过程</w:t>
      </w:r>
    </w:p>
    <w:p w:rsidR="002A1546" w:rsidRDefault="00D90014">
      <w:pPr>
        <w:spacing w:beforeLines="50" w:before="156" w:afterLines="50" w:after="156" w:line="52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（一）前期研究工作</w:t>
      </w:r>
    </w:p>
    <w:p w:rsidR="002A1546" w:rsidRDefault="00D9001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本标准制订人员广西壮族自治区亚热带作物研究所正高级工程师李建强等人员总结生产一线的工艺技术调整、质量控制等经验，</w:t>
      </w:r>
      <w:r>
        <w:rPr>
          <w:rFonts w:ascii="仿宋" w:eastAsia="仿宋" w:hAnsi="仿宋" w:cs="宋体" w:hint="eastAsia"/>
          <w:color w:val="000000" w:themeColor="text1"/>
          <w:kern w:val="0"/>
          <w:sz w:val="28"/>
          <w:szCs w:val="28"/>
        </w:rPr>
        <w:t>以9成熟高风味水果为切入点，围绕果脯加工“原味化、机械化、标准化、规模化”进行技术与设备创新，取得了系列原创性技术和重大突破，申报了广西科技进步奖和广西农科院科技进步奖。</w:t>
      </w:r>
      <w:r>
        <w:rPr>
          <w:rFonts w:ascii="仿宋_GB2312" w:eastAsia="仿宋_GB2312" w:hAnsi="宋体" w:hint="eastAsia"/>
          <w:sz w:val="28"/>
          <w:szCs w:val="28"/>
        </w:rPr>
        <w:t>前期的产品开发研究、推广工作为本标准的制订提供了大量、翔实的科学数据和生产经验。自2018年李建强等人，先后编制了《菠萝蜜果脯加工技术规程》《原果风味果脯加工技术规程》等广西地方标准，熟悉标准制订相关流程，为本团体标准的制订打下了坚实的基础。</w:t>
      </w:r>
    </w:p>
    <w:p w:rsidR="002A1546" w:rsidRDefault="00D90014">
      <w:pPr>
        <w:spacing w:beforeLines="50" w:before="156" w:afterLines="50" w:after="156" w:line="52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（二）成立标准编制工作组</w:t>
      </w:r>
    </w:p>
    <w:p w:rsidR="002A1546" w:rsidRDefault="00D9001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2023年4月26日团体标准《糖渍水果跨境冷链运输技术规程》项目</w:t>
      </w:r>
      <w:r>
        <w:rPr>
          <w:rFonts w:ascii="仿宋_GB2312" w:eastAsia="仿宋_GB2312" w:hAnsi="宋体" w:hint="eastAsia"/>
          <w:sz w:val="28"/>
          <w:szCs w:val="28"/>
        </w:rPr>
        <w:lastRenderedPageBreak/>
        <w:t>任务下达后，广西壮族自治区亚热带作物研究所立即成立了标准编制工作组，起草单位共同制定了起草编写方案与进度安排，明确任务职责，确定工作技术路线，开展标准研制工作。编制工作组成员及分工如下：</w:t>
      </w:r>
    </w:p>
    <w:p w:rsidR="002A1546" w:rsidRDefault="00D9001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编制工作组下设三个组，分别是资料收集组、草案编写组、标准实施组。</w:t>
      </w:r>
    </w:p>
    <w:p w:rsidR="002A1546" w:rsidRDefault="00D9001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资料收集组负责国内外相关冷藏运输和包装相关文献资料的查询、收集和整理工作。</w:t>
      </w:r>
    </w:p>
    <w:p w:rsidR="002A1546" w:rsidRDefault="00D9001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草案编写组负责起草标准草案、征求意见稿和标准编制说明、送审稿及编制说明的编写工作，包括后期召开征求意见会、网上征求意见，以及标准的不断修改和完善。</w:t>
      </w:r>
    </w:p>
    <w:p w:rsidR="002A1546" w:rsidRDefault="00D9001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标准</w:t>
      </w:r>
      <w:proofErr w:type="gramStart"/>
      <w:r>
        <w:rPr>
          <w:rFonts w:ascii="仿宋_GB2312" w:eastAsia="仿宋_GB2312" w:hAnsi="宋体" w:hint="eastAsia"/>
          <w:sz w:val="28"/>
          <w:szCs w:val="28"/>
        </w:rPr>
        <w:t>实施组</w:t>
      </w:r>
      <w:proofErr w:type="gramEnd"/>
      <w:r>
        <w:rPr>
          <w:rFonts w:ascii="仿宋_GB2312" w:eastAsia="仿宋_GB2312" w:hAnsi="宋体" w:hint="eastAsia"/>
          <w:sz w:val="28"/>
          <w:szCs w:val="28"/>
        </w:rPr>
        <w:t>负责《糖渍水果跨境冷链运输技术规程》标准发布后，组织国内外相关企业、制造商开展标准宣</w:t>
      </w:r>
      <w:proofErr w:type="gramStart"/>
      <w:r>
        <w:rPr>
          <w:rFonts w:ascii="仿宋_GB2312" w:eastAsia="仿宋_GB2312" w:hAnsi="宋体" w:hint="eastAsia"/>
          <w:sz w:val="28"/>
          <w:szCs w:val="28"/>
        </w:rPr>
        <w:t>贯培训</w:t>
      </w:r>
      <w:proofErr w:type="gramEnd"/>
      <w:r>
        <w:rPr>
          <w:rFonts w:ascii="仿宋_GB2312" w:eastAsia="仿宋_GB2312" w:hAnsi="宋体" w:hint="eastAsia"/>
          <w:sz w:val="28"/>
          <w:szCs w:val="28"/>
        </w:rPr>
        <w:t>会，对标准进行详细解读，</w:t>
      </w:r>
      <w:proofErr w:type="gramStart"/>
      <w:r>
        <w:rPr>
          <w:rFonts w:ascii="仿宋_GB2312" w:eastAsia="仿宋_GB2312" w:hAnsi="宋体" w:hint="eastAsia"/>
          <w:sz w:val="28"/>
          <w:szCs w:val="28"/>
        </w:rPr>
        <w:t>让相关</w:t>
      </w:r>
      <w:proofErr w:type="gramEnd"/>
      <w:r>
        <w:rPr>
          <w:rFonts w:ascii="仿宋_GB2312" w:eastAsia="仿宋_GB2312" w:hAnsi="宋体" w:hint="eastAsia"/>
          <w:sz w:val="28"/>
          <w:szCs w:val="28"/>
        </w:rPr>
        <w:t>人员了解标准，并根据标准对糖渍水果跨境冷链运输的质量要求进行规范，保证产品商品质量，并对标准实施情况进行总结分析，不断对标准提出修正意见。</w:t>
      </w:r>
    </w:p>
    <w:p w:rsidR="002A1546" w:rsidRDefault="00D90014">
      <w:pPr>
        <w:spacing w:beforeLines="50" w:before="156" w:afterLines="50" w:after="156" w:line="52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（三）收集整理文献资料</w:t>
      </w:r>
    </w:p>
    <w:p w:rsidR="002A1546" w:rsidRDefault="00D90014">
      <w:pPr>
        <w:spacing w:beforeLines="50" w:before="156" w:afterLines="50" w:after="156" w:line="520" w:lineRule="exact"/>
        <w:ind w:firstLineChars="200" w:firstLine="560"/>
        <w:rPr>
          <w:rFonts w:ascii="仿宋_GB2312" w:eastAsia="仿宋_GB2312" w:hAnsi="宋体"/>
          <w:sz w:val="28"/>
          <w:szCs w:val="28"/>
        </w:rPr>
      </w:pPr>
      <w:r>
        <w:rPr>
          <w:rFonts w:ascii="仿宋_GB2312" w:eastAsia="仿宋_GB2312" w:hAnsi="宋体" w:hint="eastAsia"/>
          <w:sz w:val="28"/>
          <w:szCs w:val="28"/>
        </w:rPr>
        <w:t>2023年4月27日-5月4日，标准编制工作组收集整理了国内有关冷藏运输和包装技术的相关技术文献资料，并前往国内相关企业和东兴、凭样等口岸进行调研，同时联系了境外生产企业进一步了解生产及运输过程中出现的问题及解决方案。</w:t>
      </w:r>
    </w:p>
    <w:p w:rsidR="002A1546" w:rsidRDefault="00D90014">
      <w:pPr>
        <w:spacing w:beforeLines="50" w:before="156" w:afterLines="50" w:after="156" w:line="52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（四）研讨确定标准主体内容</w:t>
      </w:r>
    </w:p>
    <w:p w:rsidR="002A1546" w:rsidRDefault="00D90014">
      <w:pPr>
        <w:spacing w:line="360" w:lineRule="auto"/>
        <w:ind w:firstLineChars="200" w:firstLine="560"/>
        <w:rPr>
          <w:rFonts w:ascii="仿宋_GB2312" w:eastAsia="仿宋_GB2312" w:hAnsi="宋体"/>
          <w:sz w:val="28"/>
          <w:szCs w:val="28"/>
        </w:rPr>
      </w:pPr>
      <w:bookmarkStart w:id="0" w:name="_Toc526940083"/>
      <w:r>
        <w:rPr>
          <w:rFonts w:ascii="仿宋_GB2312" w:eastAsia="仿宋_GB2312" w:hAnsi="宋体" w:hint="eastAsia"/>
          <w:sz w:val="28"/>
          <w:szCs w:val="28"/>
        </w:rPr>
        <w:t>标准编制工作组在对收集的资料进行整理研究之后，2023年5月5日，</w:t>
      </w:r>
      <w:r>
        <w:rPr>
          <w:rFonts w:ascii="仿宋_GB2312" w:eastAsia="仿宋_GB2312" w:hAnsi="宋体" w:hint="eastAsia"/>
          <w:sz w:val="28"/>
          <w:szCs w:val="28"/>
        </w:rPr>
        <w:lastRenderedPageBreak/>
        <w:t>标准编制工作组召开了标准编制会议，对标准的整体框架结构进行了研究，并对标准的关键性内容进行了初步探讨。经过研究，标准的主体内容确定为糖渍水果跨境冷链运输的术语和定义、加工场所、包装及运输。</w:t>
      </w:r>
    </w:p>
    <w:p w:rsidR="002A1546" w:rsidRDefault="00D90014">
      <w:pPr>
        <w:spacing w:beforeLines="50" w:before="156" w:afterLines="50" w:after="156" w:line="52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（五）调研、形成征求意见稿</w:t>
      </w:r>
    </w:p>
    <w:p w:rsidR="002A1546" w:rsidRDefault="00D9001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2023年5月6日，标准起草工作小组进行了广泛实地调研工作，查阅了大量的国内外文献资料，对糖渍水果的跨境运输研究成果进行系统总结。形成了标准的基本构架，对主要内容进行了讨论并对项目的工作进行了部署和安排。</w:t>
      </w:r>
    </w:p>
    <w:p w:rsidR="002A1546" w:rsidRDefault="00D9001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2023年5月7日，在前期工作的基础之上，通过理清逻辑脉络，整合已有的生产记录，并结合实际的生产要求，按照简化、统一等原则编制完成团体标准《糖渍水果跨境冷链运输技术规程》（草案）。</w:t>
      </w:r>
    </w:p>
    <w:p w:rsidR="002A1546" w:rsidRDefault="00D90014">
      <w:pPr>
        <w:spacing w:line="360" w:lineRule="auto"/>
        <w:ind w:firstLineChars="200" w:firstLine="560"/>
        <w:rPr>
          <w:rFonts w:ascii="仿宋_GB2312" w:eastAsia="仿宋_GB2312" w:hAnsi="宋体"/>
          <w:color w:val="FF0000"/>
          <w:sz w:val="28"/>
          <w:szCs w:val="28"/>
        </w:rPr>
      </w:pPr>
      <w:r>
        <w:rPr>
          <w:rFonts w:ascii="仿宋_GB2312" w:eastAsia="仿宋_GB2312" w:hAnsi="宋体" w:hint="eastAsia"/>
          <w:sz w:val="28"/>
          <w:szCs w:val="28"/>
        </w:rPr>
        <w:t>2023年5月8日，标准起草工作组联系涉及糖渍水果生产的境外企业，掌握各生产企业关于糖渍水果的具体技术要求。并实际征求意见，通过收集反馈了大量意见，标准编制工作组多次召开会议，对标准草案进行了反复修改和研究讨论。最终形成了团体标准《糖渍水果跨境冷链运输技术规程》（征求意见稿）和编制说明。</w:t>
      </w:r>
    </w:p>
    <w:p w:rsidR="002A1546" w:rsidRDefault="00D90014">
      <w:pPr>
        <w:autoSpaceDE w:val="0"/>
        <w:autoSpaceDN w:val="0"/>
        <w:adjustRightInd w:val="0"/>
        <w:spacing w:beforeLines="50" w:before="156" w:afterLines="50" w:after="156" w:line="52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四、标准制定原则</w:t>
      </w:r>
      <w:bookmarkEnd w:id="0"/>
    </w:p>
    <w:p w:rsidR="002A1546" w:rsidRDefault="00D90014">
      <w:pPr>
        <w:spacing w:line="520" w:lineRule="exact"/>
        <w:ind w:firstLineChars="200" w:firstLine="560"/>
        <w:rPr>
          <w:rFonts w:ascii="仿宋_GB2312" w:eastAsia="仿宋_GB2312" w:hAnsi="宋体"/>
          <w:sz w:val="28"/>
          <w:szCs w:val="28"/>
        </w:rPr>
      </w:pPr>
      <w:r>
        <w:rPr>
          <w:rFonts w:ascii="仿宋_GB2312" w:eastAsia="仿宋_GB2312" w:hAnsi="宋体" w:hint="eastAsia"/>
          <w:sz w:val="28"/>
          <w:szCs w:val="28"/>
        </w:rPr>
        <w:t>1、实用性原则</w:t>
      </w:r>
    </w:p>
    <w:p w:rsidR="002A1546" w:rsidRDefault="00D9001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本文件中有关糖渍水果跨境冷链运输技术内容及要求的规定，是在充分收集相关资料和文献，分析当前现状，调研各个生产企业情况的基础上，进行制定。符合当前糖渍水果跨境冷链运输技术发展水平，具有较强的实</w:t>
      </w:r>
      <w:r>
        <w:rPr>
          <w:rFonts w:ascii="仿宋_GB2312" w:eastAsia="仿宋_GB2312" w:hAnsi="宋体" w:hint="eastAsia"/>
          <w:sz w:val="28"/>
          <w:szCs w:val="28"/>
        </w:rPr>
        <w:lastRenderedPageBreak/>
        <w:t>用性和可操作性。</w:t>
      </w:r>
    </w:p>
    <w:p w:rsidR="002A1546" w:rsidRDefault="00D9001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2、协调性原则</w:t>
      </w:r>
    </w:p>
    <w:p w:rsidR="002A1546" w:rsidRDefault="00D9001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本在标准编写过程中注意了与糖渍水果跨境冷链运输技术相关法律法规、标准的协调问题，在内容上与现行法律法规、标准协调一致。</w:t>
      </w:r>
    </w:p>
    <w:p w:rsidR="002A1546" w:rsidRDefault="00D9001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3、规范性原则</w:t>
      </w:r>
    </w:p>
    <w:p w:rsidR="002A1546" w:rsidRDefault="00D9001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本文件严格按照GB/T 1.1—2020《标准化工作导则  第1部分：标准化文件的结构和起草规则》的要求和规定编写本文件的内容，保证标准的编写质量。</w:t>
      </w:r>
    </w:p>
    <w:p w:rsidR="002A1546" w:rsidRDefault="00D9001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4、前瞻性原则</w:t>
      </w:r>
    </w:p>
    <w:p w:rsidR="002A1546" w:rsidRDefault="00D9001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本文件在兼顾当前境外糖渍水果跨境冷链运输技术规程的现实情况的同时，还考虑到了国内行业快速发展的趋势和需要，在标准中体现了个别特色性、前瞻性和先进性条款，作为对糖渍水果跨境冷链运输行业发展的引导。</w:t>
      </w:r>
    </w:p>
    <w:p w:rsidR="002A1546" w:rsidRDefault="00D90014">
      <w:pPr>
        <w:autoSpaceDE w:val="0"/>
        <w:autoSpaceDN w:val="0"/>
        <w:adjustRightInd w:val="0"/>
        <w:spacing w:beforeLines="50" w:before="156" w:afterLines="50" w:after="156" w:line="52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五、标准主要章节内容及主要内容</w:t>
      </w:r>
    </w:p>
    <w:p w:rsidR="002A1546" w:rsidRDefault="00D9001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团体标准《糖渍水果跨境冷链运输技术规程》主要章节内容包括：规定了糖渍水果跨境冷链运输的术语和定义、加工场所、包装及运输。</w:t>
      </w:r>
    </w:p>
    <w:p w:rsidR="002A1546" w:rsidRDefault="00D90014">
      <w:pPr>
        <w:numPr>
          <w:ilvl w:val="0"/>
          <w:numId w:val="8"/>
        </w:numPr>
        <w:ind w:firstLineChars="200" w:firstLine="562"/>
        <w:rPr>
          <w:rFonts w:ascii="仿宋_GB2312" w:eastAsia="仿宋_GB2312" w:hAnsi="宋体"/>
          <w:b/>
          <w:bCs/>
          <w:sz w:val="28"/>
          <w:szCs w:val="28"/>
        </w:rPr>
      </w:pPr>
      <w:r>
        <w:rPr>
          <w:rFonts w:ascii="仿宋_GB2312" w:eastAsia="仿宋_GB2312" w:hAnsi="宋体" w:hint="eastAsia"/>
          <w:b/>
          <w:bCs/>
          <w:sz w:val="28"/>
          <w:szCs w:val="28"/>
        </w:rPr>
        <w:t>术语和定义</w:t>
      </w:r>
    </w:p>
    <w:p w:rsidR="002A1546" w:rsidRDefault="00D9001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对糖渍水果进行定义：以新鲜成熟的水果为主要原料，经添加白砂糖、酸味剂后，未进行干燥的产品。</w:t>
      </w:r>
    </w:p>
    <w:p w:rsidR="002A1546" w:rsidRDefault="00D90014">
      <w:pPr>
        <w:numPr>
          <w:ilvl w:val="0"/>
          <w:numId w:val="8"/>
        </w:numPr>
        <w:ind w:firstLineChars="200" w:firstLine="562"/>
        <w:rPr>
          <w:rFonts w:ascii="仿宋_GB2312" w:eastAsia="仿宋_GB2312" w:hAnsi="宋体"/>
          <w:b/>
          <w:bCs/>
          <w:sz w:val="28"/>
          <w:szCs w:val="28"/>
        </w:rPr>
      </w:pPr>
      <w:r>
        <w:rPr>
          <w:rFonts w:ascii="仿宋_GB2312" w:eastAsia="仿宋_GB2312" w:hAnsi="宋体" w:hint="eastAsia"/>
          <w:b/>
          <w:bCs/>
          <w:sz w:val="28"/>
          <w:szCs w:val="28"/>
        </w:rPr>
        <w:t>加工场所</w:t>
      </w:r>
    </w:p>
    <w:p w:rsidR="002A1546" w:rsidRDefault="00D90014">
      <w:pPr>
        <w:ind w:firstLineChars="200" w:firstLine="560"/>
        <w:rPr>
          <w:rFonts w:ascii="仿宋_GB2312" w:eastAsia="仿宋_GB2312" w:hAnsi="宋体"/>
          <w:sz w:val="28"/>
          <w:szCs w:val="28"/>
        </w:rPr>
      </w:pPr>
      <w:r w:rsidRPr="007D5E07">
        <w:rPr>
          <w:rFonts w:ascii="仿宋_GB2312" w:eastAsia="仿宋_GB2312" w:hAnsi="宋体" w:hint="eastAsia"/>
          <w:sz w:val="28"/>
          <w:szCs w:val="28"/>
        </w:rPr>
        <w:t>包装间温度</w:t>
      </w:r>
      <w:r w:rsidR="007D5E07" w:rsidRPr="007D5E07">
        <w:rPr>
          <w:rFonts w:ascii="仿宋_GB2312" w:eastAsia="仿宋_GB2312" w:hAnsi="宋体" w:hint="eastAsia"/>
          <w:sz w:val="28"/>
          <w:szCs w:val="28"/>
        </w:rPr>
        <w:t>不</w:t>
      </w:r>
      <w:r w:rsidRPr="007D5E07">
        <w:rPr>
          <w:rFonts w:ascii="仿宋_GB2312" w:eastAsia="仿宋_GB2312" w:hAnsi="宋体" w:hint="eastAsia"/>
          <w:sz w:val="28"/>
          <w:szCs w:val="28"/>
        </w:rPr>
        <w:t>宜</w:t>
      </w:r>
      <w:r w:rsidR="007D5E07" w:rsidRPr="007D5E07">
        <w:rPr>
          <w:rFonts w:ascii="仿宋_GB2312" w:eastAsia="仿宋_GB2312" w:hAnsi="宋体" w:hint="eastAsia"/>
          <w:sz w:val="28"/>
          <w:szCs w:val="28"/>
        </w:rPr>
        <w:t>高于</w:t>
      </w:r>
      <w:r w:rsidRPr="007D5E07">
        <w:rPr>
          <w:rFonts w:ascii="仿宋_GB2312" w:eastAsia="仿宋_GB2312" w:hAnsi="宋体" w:hint="eastAsia"/>
          <w:sz w:val="28"/>
          <w:szCs w:val="28"/>
        </w:rPr>
        <w:t>15</w:t>
      </w:r>
      <w:r w:rsidR="00B671D5" w:rsidRPr="007D5E07">
        <w:rPr>
          <w:rFonts w:ascii="仿宋_GB2312" w:eastAsia="仿宋_GB2312" w:hAnsi="宋体" w:hint="eastAsia"/>
          <w:sz w:val="28"/>
          <w:szCs w:val="28"/>
        </w:rPr>
        <w:t>℃</w:t>
      </w:r>
      <w:r>
        <w:rPr>
          <w:rFonts w:ascii="仿宋_GB2312" w:eastAsia="仿宋_GB2312" w:hAnsi="宋体" w:hint="eastAsia"/>
          <w:sz w:val="28"/>
          <w:szCs w:val="28"/>
        </w:rPr>
        <w:t>，操作时间应不超过10 min。</w:t>
      </w:r>
    </w:p>
    <w:p w:rsidR="002A1546" w:rsidRDefault="00D90014">
      <w:pPr>
        <w:ind w:firstLineChars="200" w:firstLine="560"/>
        <w:rPr>
          <w:rFonts w:ascii="仿宋_GB2312" w:eastAsia="仿宋_GB2312" w:hAnsi="宋体"/>
          <w:sz w:val="28"/>
          <w:szCs w:val="28"/>
        </w:rPr>
      </w:pPr>
      <w:r>
        <w:rPr>
          <w:rFonts w:ascii="仿宋_GB2312" w:eastAsia="仿宋_GB2312" w:hAnsi="宋体" w:hint="eastAsia"/>
          <w:sz w:val="28"/>
          <w:szCs w:val="28"/>
        </w:rPr>
        <w:t>卫生条件及操作人员健康管理与卫生要求等主要依据GB 14881《食品</w:t>
      </w:r>
      <w:r>
        <w:rPr>
          <w:rFonts w:ascii="仿宋_GB2312" w:eastAsia="仿宋_GB2312" w:hAnsi="宋体" w:hint="eastAsia"/>
          <w:sz w:val="28"/>
          <w:szCs w:val="28"/>
        </w:rPr>
        <w:lastRenderedPageBreak/>
        <w:t>安全国家标准 食品生产通用卫生规范》的要求确定。</w:t>
      </w:r>
    </w:p>
    <w:p w:rsidR="002A1546" w:rsidRDefault="00D90014">
      <w:pPr>
        <w:pStyle w:val="af4"/>
        <w:widowControl/>
        <w:numPr>
          <w:ilvl w:val="0"/>
          <w:numId w:val="9"/>
        </w:numPr>
        <w:autoSpaceDE w:val="0"/>
        <w:autoSpaceDN w:val="0"/>
        <w:spacing w:before="0" w:beforeAutospacing="0" w:after="0" w:afterAutospacing="0"/>
        <w:ind w:firstLineChars="200" w:firstLine="562"/>
        <w:jc w:val="both"/>
        <w:rPr>
          <w:rFonts w:ascii="仿宋_GB2312" w:eastAsia="仿宋_GB2312" w:hAnsi="宋体"/>
          <w:b/>
          <w:bCs/>
          <w:kern w:val="2"/>
          <w:sz w:val="28"/>
          <w:szCs w:val="28"/>
        </w:rPr>
      </w:pPr>
      <w:r>
        <w:rPr>
          <w:rFonts w:ascii="仿宋_GB2312" w:eastAsia="仿宋_GB2312" w:hAnsi="宋体" w:hint="eastAsia"/>
          <w:b/>
          <w:bCs/>
          <w:kern w:val="2"/>
          <w:sz w:val="28"/>
          <w:szCs w:val="28"/>
        </w:rPr>
        <w:t>包装材料</w:t>
      </w:r>
    </w:p>
    <w:p w:rsidR="002A1546" w:rsidRDefault="00D90014">
      <w:pPr>
        <w:pStyle w:val="af4"/>
        <w:widowControl/>
        <w:autoSpaceDE w:val="0"/>
        <w:autoSpaceDN w:val="0"/>
        <w:spacing w:before="0" w:beforeAutospacing="0" w:after="0" w:afterAutospacing="0"/>
        <w:ind w:firstLineChars="200" w:firstLine="560"/>
        <w:jc w:val="both"/>
        <w:rPr>
          <w:rFonts w:ascii="仿宋_GB2312" w:eastAsia="仿宋_GB2312" w:hAnsi="宋体"/>
          <w:sz w:val="28"/>
          <w:szCs w:val="28"/>
        </w:rPr>
      </w:pPr>
      <w:r>
        <w:rPr>
          <w:rFonts w:ascii="仿宋_GB2312" w:eastAsia="仿宋_GB2312" w:hAnsi="宋体" w:hint="eastAsia"/>
          <w:sz w:val="28"/>
          <w:szCs w:val="28"/>
        </w:rPr>
        <w:t>包装袋内不得有外来水分及其他杂物，厚度0.05</w:t>
      </w:r>
      <w:r w:rsidR="00B671D5" w:rsidRPr="00B671D5">
        <w:rPr>
          <w:rFonts w:ascii="仿宋_GB2312" w:eastAsia="仿宋_GB2312" w:hAnsi="宋体" w:hint="eastAsia"/>
          <w:sz w:val="28"/>
          <w:szCs w:val="28"/>
        </w:rPr>
        <w:t xml:space="preserve"> </w:t>
      </w:r>
      <w:r w:rsidR="00B671D5">
        <w:rPr>
          <w:rFonts w:ascii="仿宋_GB2312" w:eastAsia="仿宋_GB2312" w:hAnsi="宋体" w:hint="eastAsia"/>
          <w:sz w:val="28"/>
          <w:szCs w:val="28"/>
        </w:rPr>
        <w:t>mm</w:t>
      </w:r>
      <w:r>
        <w:rPr>
          <w:rFonts w:ascii="仿宋_GB2312" w:eastAsia="仿宋_GB2312" w:hAnsi="宋体" w:hint="eastAsia"/>
          <w:sz w:val="28"/>
          <w:szCs w:val="28"/>
        </w:rPr>
        <w:t>-0.1 mm。包装袋应符合GB/T 15267要求。</w:t>
      </w:r>
    </w:p>
    <w:p w:rsidR="002A1546" w:rsidRDefault="00D90014">
      <w:pPr>
        <w:pStyle w:val="af4"/>
        <w:widowControl/>
        <w:autoSpaceDE w:val="0"/>
        <w:autoSpaceDN w:val="0"/>
        <w:spacing w:before="0" w:beforeAutospacing="0" w:after="0" w:afterAutospacing="0"/>
        <w:ind w:firstLineChars="200" w:firstLine="560"/>
        <w:jc w:val="both"/>
        <w:rPr>
          <w:rFonts w:ascii="仿宋_GB2312" w:eastAsia="仿宋_GB2312" w:hAnsi="宋体"/>
          <w:sz w:val="28"/>
          <w:szCs w:val="28"/>
        </w:rPr>
      </w:pPr>
      <w:r>
        <w:rPr>
          <w:rFonts w:ascii="仿宋_GB2312" w:eastAsia="仿宋_GB2312" w:hAnsi="宋体" w:hint="eastAsia"/>
          <w:sz w:val="28"/>
          <w:szCs w:val="28"/>
        </w:rPr>
        <w:t>周转箱（筐）宜采用耐压、透气、易于搬运、堆码稳定的塑料筐，应符合GB/T 5737的要求。</w:t>
      </w:r>
    </w:p>
    <w:p w:rsidR="002A1546" w:rsidRDefault="00D90014">
      <w:pPr>
        <w:pStyle w:val="af4"/>
        <w:widowControl/>
        <w:autoSpaceDE w:val="0"/>
        <w:autoSpaceDN w:val="0"/>
        <w:spacing w:before="0" w:beforeAutospacing="0" w:after="0" w:afterAutospacing="0"/>
        <w:ind w:firstLineChars="200" w:firstLine="560"/>
        <w:jc w:val="both"/>
        <w:rPr>
          <w:rFonts w:ascii="仿宋_GB2312" w:eastAsia="仿宋_GB2312" w:hAnsi="宋体"/>
          <w:b/>
          <w:bCs/>
          <w:kern w:val="2"/>
          <w:sz w:val="28"/>
          <w:szCs w:val="28"/>
        </w:rPr>
      </w:pPr>
      <w:r>
        <w:rPr>
          <w:rFonts w:ascii="仿宋_GB2312" w:eastAsia="仿宋_GB2312" w:hAnsi="宋体" w:hint="eastAsia"/>
          <w:sz w:val="28"/>
          <w:szCs w:val="28"/>
        </w:rPr>
        <w:t xml:space="preserve">周转箱（筐）上应标明产品名称、生产批号、生产单位（或企业）名称、产地、规格和包装日期等，标志上的字迹应当清晰、完整、准确。储运图示标志应符合GB/T 191的要求。 </w:t>
      </w:r>
    </w:p>
    <w:p w:rsidR="002A1546" w:rsidRDefault="00D90014">
      <w:pPr>
        <w:pStyle w:val="af4"/>
        <w:widowControl/>
        <w:numPr>
          <w:ilvl w:val="0"/>
          <w:numId w:val="9"/>
        </w:numPr>
        <w:autoSpaceDE w:val="0"/>
        <w:autoSpaceDN w:val="0"/>
        <w:spacing w:before="0" w:beforeAutospacing="0" w:after="0" w:afterAutospacing="0"/>
        <w:ind w:firstLineChars="200" w:firstLine="562"/>
        <w:jc w:val="both"/>
        <w:rPr>
          <w:rFonts w:ascii="仿宋_GB2312" w:eastAsia="仿宋_GB2312" w:hAnsi="宋体"/>
          <w:b/>
          <w:bCs/>
          <w:kern w:val="2"/>
          <w:sz w:val="28"/>
          <w:szCs w:val="28"/>
        </w:rPr>
      </w:pPr>
      <w:r>
        <w:rPr>
          <w:rFonts w:ascii="仿宋_GB2312" w:eastAsia="仿宋_GB2312" w:hAnsi="宋体" w:hint="eastAsia"/>
          <w:b/>
          <w:bCs/>
          <w:kern w:val="2"/>
          <w:sz w:val="28"/>
          <w:szCs w:val="28"/>
        </w:rPr>
        <w:t>包装操作</w:t>
      </w:r>
    </w:p>
    <w:p w:rsidR="002A1546" w:rsidRDefault="00D90014">
      <w:pPr>
        <w:pStyle w:val="af4"/>
        <w:widowControl/>
        <w:autoSpaceDE w:val="0"/>
        <w:autoSpaceDN w:val="0"/>
        <w:spacing w:before="0" w:beforeAutospacing="0" w:after="0" w:afterAutospacing="0"/>
        <w:ind w:firstLineChars="200" w:firstLine="560"/>
        <w:jc w:val="both"/>
        <w:rPr>
          <w:rFonts w:ascii="仿宋_GB2312" w:eastAsia="仿宋_GB2312" w:hAnsi="宋体"/>
          <w:sz w:val="28"/>
          <w:szCs w:val="28"/>
        </w:rPr>
      </w:pPr>
      <w:r>
        <w:rPr>
          <w:rFonts w:ascii="仿宋_GB2312" w:eastAsia="仿宋_GB2312" w:hAnsi="宋体" w:hint="eastAsia"/>
          <w:sz w:val="28"/>
          <w:szCs w:val="28"/>
        </w:rPr>
        <w:t>将糖渍完成的物料与糖液分离，操作时间不宜超过5 min。</w:t>
      </w:r>
    </w:p>
    <w:p w:rsidR="002A1546" w:rsidRDefault="00D90014">
      <w:pPr>
        <w:pStyle w:val="af4"/>
        <w:widowControl/>
        <w:autoSpaceDE w:val="0"/>
        <w:autoSpaceDN w:val="0"/>
        <w:spacing w:before="0" w:beforeAutospacing="0" w:after="0" w:afterAutospacing="0"/>
        <w:ind w:firstLineChars="200" w:firstLine="560"/>
        <w:jc w:val="both"/>
        <w:rPr>
          <w:rFonts w:ascii="仿宋_GB2312" w:eastAsia="仿宋_GB2312" w:hAnsi="宋体"/>
          <w:sz w:val="28"/>
          <w:szCs w:val="28"/>
        </w:rPr>
      </w:pPr>
      <w:r>
        <w:rPr>
          <w:rFonts w:ascii="仿宋_GB2312" w:eastAsia="仿宋_GB2312" w:hAnsi="宋体" w:hint="eastAsia"/>
          <w:sz w:val="28"/>
          <w:szCs w:val="28"/>
        </w:rPr>
        <w:t>将</w:t>
      </w:r>
      <w:proofErr w:type="gramStart"/>
      <w:r>
        <w:rPr>
          <w:rFonts w:ascii="仿宋_GB2312" w:eastAsia="仿宋_GB2312" w:hAnsi="宋体" w:hint="eastAsia"/>
          <w:sz w:val="28"/>
          <w:szCs w:val="28"/>
        </w:rPr>
        <w:t>沥糖完成</w:t>
      </w:r>
      <w:proofErr w:type="gramEnd"/>
      <w:r>
        <w:rPr>
          <w:rFonts w:ascii="仿宋_GB2312" w:eastAsia="仿宋_GB2312" w:hAnsi="宋体" w:hint="eastAsia"/>
          <w:sz w:val="28"/>
          <w:szCs w:val="28"/>
        </w:rPr>
        <w:t>后的物料装入包装袋，将包装袋袋口密封。</w:t>
      </w:r>
    </w:p>
    <w:p w:rsidR="002A1546" w:rsidRDefault="00D90014">
      <w:pPr>
        <w:pStyle w:val="af4"/>
        <w:widowControl/>
        <w:autoSpaceDE w:val="0"/>
        <w:autoSpaceDN w:val="0"/>
        <w:spacing w:before="0" w:beforeAutospacing="0" w:after="0" w:afterAutospacing="0"/>
        <w:ind w:firstLineChars="200" w:firstLine="560"/>
        <w:jc w:val="both"/>
        <w:rPr>
          <w:rFonts w:ascii="仿宋_GB2312" w:eastAsia="仿宋_GB2312" w:hAnsi="宋体"/>
          <w:b/>
          <w:bCs/>
          <w:kern w:val="2"/>
          <w:sz w:val="28"/>
          <w:szCs w:val="28"/>
        </w:rPr>
      </w:pPr>
      <w:r>
        <w:rPr>
          <w:rFonts w:ascii="仿宋_GB2312" w:eastAsia="仿宋_GB2312" w:hAnsi="宋体" w:hint="eastAsia"/>
          <w:sz w:val="28"/>
          <w:szCs w:val="28"/>
        </w:rPr>
        <w:t xml:space="preserve">将包装袋放入周转箱（筐），盖紧封盖。 </w:t>
      </w:r>
    </w:p>
    <w:p w:rsidR="002A1546" w:rsidRDefault="00D90014">
      <w:pPr>
        <w:pStyle w:val="af4"/>
        <w:widowControl/>
        <w:numPr>
          <w:ilvl w:val="0"/>
          <w:numId w:val="9"/>
        </w:numPr>
        <w:autoSpaceDE w:val="0"/>
        <w:autoSpaceDN w:val="0"/>
        <w:spacing w:before="0" w:beforeAutospacing="0" w:after="0" w:afterAutospacing="0"/>
        <w:ind w:firstLineChars="200" w:firstLine="562"/>
        <w:jc w:val="both"/>
        <w:rPr>
          <w:rFonts w:ascii="仿宋_GB2312" w:eastAsia="仿宋_GB2312" w:hAnsi="宋体"/>
          <w:b/>
          <w:bCs/>
          <w:kern w:val="2"/>
          <w:sz w:val="28"/>
          <w:szCs w:val="28"/>
        </w:rPr>
      </w:pPr>
      <w:r>
        <w:rPr>
          <w:rFonts w:ascii="仿宋_GB2312" w:eastAsia="仿宋_GB2312" w:hAnsi="宋体" w:hint="eastAsia"/>
          <w:b/>
          <w:bCs/>
          <w:kern w:val="2"/>
          <w:sz w:val="28"/>
          <w:szCs w:val="28"/>
        </w:rPr>
        <w:t>运输方式</w:t>
      </w:r>
    </w:p>
    <w:p w:rsidR="002A1546" w:rsidRDefault="00D90014">
      <w:pPr>
        <w:pStyle w:val="a3"/>
        <w:numPr>
          <w:ilvl w:val="1"/>
          <w:numId w:val="0"/>
        </w:numPr>
        <w:spacing w:beforeLines="0" w:before="0" w:afterLines="0" w:after="0"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冷藏运输工具应符合GB/T 7392、GB 29753的规定和要求，应具有制冷设备和自动温湿度监控记录设备，车内温度控制在5</w:t>
      </w:r>
      <w:r w:rsidR="00B671D5">
        <w:rPr>
          <w:rFonts w:ascii="仿宋_GB2312" w:eastAsia="仿宋_GB2312" w:hAnsi="宋体" w:hint="eastAsia"/>
          <w:sz w:val="28"/>
          <w:szCs w:val="28"/>
        </w:rPr>
        <w:t>℃</w:t>
      </w:r>
      <w:r>
        <w:rPr>
          <w:rFonts w:ascii="仿宋_GB2312" w:eastAsia="仿宋_GB2312" w:hAnsi="宋体" w:hint="eastAsia"/>
          <w:sz w:val="28"/>
          <w:szCs w:val="28"/>
        </w:rPr>
        <w:t>-8℃。</w:t>
      </w:r>
    </w:p>
    <w:p w:rsidR="002A1546" w:rsidRDefault="00D90014">
      <w:pPr>
        <w:pStyle w:val="a3"/>
        <w:numPr>
          <w:ilvl w:val="1"/>
          <w:numId w:val="0"/>
        </w:numPr>
        <w:spacing w:beforeLines="0" w:before="0" w:afterLines="0" w:after="0"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运输装载应符合GB/T 33129 的要求。</w:t>
      </w:r>
    </w:p>
    <w:p w:rsidR="002A1546" w:rsidRDefault="00D90014">
      <w:pPr>
        <w:pStyle w:val="a3"/>
        <w:numPr>
          <w:ilvl w:val="1"/>
          <w:numId w:val="0"/>
        </w:numPr>
        <w:spacing w:beforeLines="0" w:before="0" w:afterLines="0" w:after="0"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运输作业应防止污染，应避免强烈震荡、撞击，操作时应轻拿轻放，不使周转箱（筐）受损伤。</w:t>
      </w:r>
    </w:p>
    <w:p w:rsidR="002A1546" w:rsidRDefault="00D90014">
      <w:pPr>
        <w:pStyle w:val="a3"/>
        <w:numPr>
          <w:ilvl w:val="1"/>
          <w:numId w:val="0"/>
        </w:numPr>
        <w:spacing w:beforeLines="0" w:before="0" w:afterLines="0" w:after="0"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待运时，应批次分明、堆码整齐、环境清洁、通风良好。</w:t>
      </w:r>
    </w:p>
    <w:p w:rsidR="002A1546" w:rsidRDefault="00D90014">
      <w:pPr>
        <w:pStyle w:val="a3"/>
        <w:numPr>
          <w:ilvl w:val="1"/>
          <w:numId w:val="0"/>
        </w:numPr>
        <w:spacing w:beforeLines="0" w:before="0" w:afterLines="0" w:after="0" w:line="360" w:lineRule="auto"/>
        <w:ind w:firstLineChars="200" w:firstLine="560"/>
        <w:rPr>
          <w:rFonts w:ascii="仿宋_GB2312" w:eastAsia="仿宋_GB2312" w:hAnsi="宋体"/>
          <w:sz w:val="28"/>
          <w:szCs w:val="28"/>
          <w:lang w:val="en"/>
        </w:rPr>
      </w:pPr>
      <w:r>
        <w:rPr>
          <w:rFonts w:ascii="仿宋_GB2312" w:eastAsia="仿宋_GB2312" w:hAnsi="宋体" w:hint="eastAsia"/>
          <w:sz w:val="28"/>
          <w:szCs w:val="28"/>
        </w:rPr>
        <w:t>尽量缩短待运时间。跨地区的长途运输最长期限不超过3</w:t>
      </w:r>
      <w:r>
        <w:rPr>
          <w:rFonts w:ascii="仿宋_GB2312" w:eastAsia="仿宋_GB2312" w:hAnsi="宋体"/>
          <w:sz w:val="28"/>
          <w:szCs w:val="28"/>
          <w:lang w:val="en"/>
        </w:rPr>
        <w:t>d</w:t>
      </w:r>
      <w:r>
        <w:rPr>
          <w:rFonts w:ascii="仿宋_GB2312" w:eastAsia="仿宋_GB2312" w:hAnsi="宋体" w:hint="eastAsia"/>
          <w:sz w:val="28"/>
          <w:szCs w:val="28"/>
          <w:lang w:val="en"/>
        </w:rPr>
        <w:t>，跨国家的长途运输最长期限不超过</w:t>
      </w:r>
      <w:r>
        <w:rPr>
          <w:rFonts w:ascii="仿宋_GB2312" w:eastAsia="仿宋_GB2312" w:hAnsi="宋体" w:hint="eastAsia"/>
          <w:sz w:val="28"/>
          <w:szCs w:val="28"/>
        </w:rPr>
        <w:t>7</w:t>
      </w:r>
      <w:r>
        <w:rPr>
          <w:rFonts w:ascii="仿宋_GB2312" w:eastAsia="仿宋_GB2312" w:hAnsi="宋体"/>
          <w:sz w:val="28"/>
          <w:szCs w:val="28"/>
          <w:lang w:val="en"/>
        </w:rPr>
        <w:t>d</w:t>
      </w:r>
      <w:r>
        <w:rPr>
          <w:rFonts w:ascii="仿宋_GB2312" w:eastAsia="仿宋_GB2312" w:hAnsi="宋体" w:hint="eastAsia"/>
          <w:sz w:val="28"/>
          <w:szCs w:val="28"/>
          <w:lang w:val="en"/>
        </w:rPr>
        <w:t>。</w:t>
      </w:r>
    </w:p>
    <w:p w:rsidR="002A1546" w:rsidRDefault="00D90014">
      <w:pPr>
        <w:ind w:firstLineChars="200" w:firstLine="640"/>
        <w:rPr>
          <w:rFonts w:ascii="黑体" w:eastAsia="黑体" w:hAnsi="黑体" w:cs="仿宋_GB2312"/>
          <w:sz w:val="32"/>
          <w:szCs w:val="32"/>
        </w:rPr>
      </w:pPr>
      <w:r>
        <w:rPr>
          <w:rFonts w:ascii="黑体" w:eastAsia="黑体" w:hAnsi="黑体" w:cs="仿宋_GB2312" w:hint="eastAsia"/>
          <w:sz w:val="32"/>
          <w:szCs w:val="32"/>
        </w:rPr>
        <w:lastRenderedPageBreak/>
        <w:t>六、标准主要技术参数制定依据</w:t>
      </w:r>
    </w:p>
    <w:p w:rsidR="002A1546" w:rsidRDefault="00D90014">
      <w:pPr>
        <w:spacing w:line="360" w:lineRule="auto"/>
        <w:ind w:firstLineChars="200" w:firstLine="562"/>
        <w:rPr>
          <w:rFonts w:ascii="仿宋_GB2312" w:eastAsia="仿宋_GB2312" w:hAnsi="宋体"/>
          <w:sz w:val="28"/>
          <w:szCs w:val="28"/>
        </w:rPr>
      </w:pPr>
      <w:r>
        <w:rPr>
          <w:rFonts w:ascii="仿宋_GB2312" w:eastAsia="仿宋_GB2312" w:hAnsi="宋体" w:hint="eastAsia"/>
          <w:b/>
          <w:bCs/>
          <w:sz w:val="28"/>
          <w:szCs w:val="28"/>
        </w:rPr>
        <w:t>（一）包装间：</w:t>
      </w:r>
      <w:r>
        <w:rPr>
          <w:rFonts w:ascii="仿宋_GB2312" w:eastAsia="仿宋_GB2312" w:hAnsi="宋体" w:hint="eastAsia"/>
          <w:sz w:val="28"/>
          <w:szCs w:val="28"/>
        </w:rPr>
        <w:t>糖渍水果含水含糖量高，营养丰富，微生物最适宜的温度范围一般为16</w:t>
      </w:r>
      <w:r w:rsidR="00B671D5">
        <w:rPr>
          <w:rFonts w:ascii="仿宋_GB2312" w:eastAsia="仿宋_GB2312" w:hAnsi="宋体" w:hint="eastAsia"/>
          <w:sz w:val="28"/>
          <w:szCs w:val="28"/>
        </w:rPr>
        <w:t>℃</w:t>
      </w:r>
      <w:r>
        <w:rPr>
          <w:rFonts w:ascii="仿宋_GB2312" w:eastAsia="仿宋_GB2312" w:hAnsi="宋体" w:hint="eastAsia"/>
          <w:sz w:val="28"/>
          <w:szCs w:val="28"/>
        </w:rPr>
        <w:t>-30℃,最高温度在37</w:t>
      </w:r>
      <w:r w:rsidR="00B671D5">
        <w:rPr>
          <w:rFonts w:ascii="仿宋_GB2312" w:eastAsia="仿宋_GB2312" w:hAnsi="宋体" w:hint="eastAsia"/>
          <w:sz w:val="28"/>
          <w:szCs w:val="28"/>
        </w:rPr>
        <w:t>℃</w:t>
      </w:r>
      <w:r>
        <w:rPr>
          <w:rFonts w:ascii="仿宋_GB2312" w:eastAsia="仿宋_GB2312" w:hAnsi="宋体" w:hint="eastAsia"/>
          <w:sz w:val="28"/>
          <w:szCs w:val="28"/>
        </w:rPr>
        <w:t>-43℃,当温度低于10℃时,微生物生长缓慢。同时糖渍环境一般是pH4.5左右的酸性环境，所以除乳酸菌及醋酸</w:t>
      </w:r>
      <w:proofErr w:type="gramStart"/>
      <w:r>
        <w:rPr>
          <w:rFonts w:ascii="仿宋_GB2312" w:eastAsia="仿宋_GB2312" w:hAnsi="宋体" w:hint="eastAsia"/>
          <w:sz w:val="28"/>
          <w:szCs w:val="28"/>
        </w:rPr>
        <w:t>菌</w:t>
      </w:r>
      <w:proofErr w:type="gramEnd"/>
      <w:r>
        <w:rPr>
          <w:rFonts w:ascii="仿宋_GB2312" w:eastAsia="仿宋_GB2312" w:hAnsi="宋体" w:hint="eastAsia"/>
          <w:sz w:val="28"/>
          <w:szCs w:val="28"/>
        </w:rPr>
        <w:t>以外，其他细菌不易生长繁殖。考虑到在生产中维持低温环境能耗大，对操作人员要求高，因此设置环境温度为15</w:t>
      </w:r>
      <w:r w:rsidR="00B671D5">
        <w:rPr>
          <w:rFonts w:ascii="仿宋_GB2312" w:eastAsia="仿宋_GB2312" w:hAnsi="宋体" w:hint="eastAsia"/>
          <w:sz w:val="28"/>
          <w:szCs w:val="28"/>
        </w:rPr>
        <w:t>℃</w:t>
      </w:r>
      <w:r w:rsidR="007D5E07">
        <w:rPr>
          <w:rFonts w:ascii="仿宋_GB2312" w:eastAsia="仿宋_GB2312" w:hAnsi="宋体" w:hint="eastAsia"/>
          <w:sz w:val="28"/>
          <w:szCs w:val="28"/>
        </w:rPr>
        <w:t>以下</w:t>
      </w:r>
      <w:r>
        <w:rPr>
          <w:rFonts w:ascii="仿宋_GB2312" w:eastAsia="仿宋_GB2312" w:hAnsi="宋体" w:hint="eastAsia"/>
          <w:sz w:val="28"/>
          <w:szCs w:val="28"/>
        </w:rPr>
        <w:t>。同时要求尽量缩短操作时间，根据实际操作得出操作时间一般在10min以内。标准编制团队做了乳酸菌和醋酸菌在不同温度下的生长实验。</w:t>
      </w:r>
    </w:p>
    <w:p w:rsidR="002A1546" w:rsidRDefault="00D90014">
      <w:pPr>
        <w:spacing w:line="360" w:lineRule="auto"/>
        <w:ind w:firstLineChars="200" w:firstLine="420"/>
        <w:jc w:val="center"/>
        <w:rPr>
          <w:rFonts w:ascii="仿宋_GB2312" w:eastAsia="仿宋_GB2312" w:hAnsi="宋体"/>
          <w:sz w:val="28"/>
          <w:szCs w:val="28"/>
        </w:rPr>
      </w:pPr>
      <w:r>
        <w:rPr>
          <w:noProof/>
        </w:rPr>
        <w:drawing>
          <wp:inline distT="0" distB="0" distL="114300" distR="114300">
            <wp:extent cx="4135120" cy="2365375"/>
            <wp:effectExtent l="0" t="0" r="17780" b="1587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9"/>
                    <a:stretch>
                      <a:fillRect/>
                    </a:stretch>
                  </pic:blipFill>
                  <pic:spPr>
                    <a:xfrm>
                      <a:off x="0" y="0"/>
                      <a:ext cx="4135120" cy="2365375"/>
                    </a:xfrm>
                    <a:prstGeom prst="rect">
                      <a:avLst/>
                    </a:prstGeom>
                    <a:noFill/>
                    <a:ln>
                      <a:noFill/>
                    </a:ln>
                  </pic:spPr>
                </pic:pic>
              </a:graphicData>
            </a:graphic>
          </wp:inline>
        </w:drawing>
      </w:r>
    </w:p>
    <w:p w:rsidR="002A1546" w:rsidRDefault="00D90014">
      <w:pPr>
        <w:pStyle w:val="afa"/>
        <w:spacing w:line="360" w:lineRule="auto"/>
        <w:ind w:firstLineChars="195" w:firstLine="548"/>
        <w:rPr>
          <w:rFonts w:ascii="仿宋_GB2312" w:eastAsia="仿宋_GB2312" w:hAnsi="宋体"/>
          <w:kern w:val="2"/>
          <w:sz w:val="28"/>
          <w:szCs w:val="28"/>
        </w:rPr>
      </w:pPr>
      <w:r>
        <w:rPr>
          <w:rFonts w:ascii="仿宋_GB2312" w:eastAsia="仿宋_GB2312" w:hAnsi="宋体" w:hint="eastAsia"/>
          <w:b/>
          <w:bCs/>
          <w:kern w:val="2"/>
          <w:sz w:val="28"/>
          <w:szCs w:val="28"/>
        </w:rPr>
        <w:t>（二）包装材料：</w:t>
      </w:r>
      <w:r>
        <w:rPr>
          <w:rFonts w:ascii="仿宋_GB2312" w:eastAsia="仿宋_GB2312" w:hAnsi="宋体" w:hint="eastAsia"/>
          <w:kern w:val="2"/>
          <w:sz w:val="28"/>
          <w:szCs w:val="28"/>
        </w:rPr>
        <w:t>包装袋内如果有外来水分及其他杂物，容易导致微生物污染，因此要求不得有外来水分及其他杂物。所用包装材料为聚乙烯包装材料，</w:t>
      </w:r>
      <w:r>
        <w:rPr>
          <w:rFonts w:ascii="仿宋_GB2312" w:eastAsia="仿宋_GB2312" w:hAnsi="宋体" w:hint="eastAsia"/>
          <w:kern w:val="2"/>
          <w:sz w:val="28"/>
          <w:szCs w:val="28"/>
          <w:lang w:val="en"/>
        </w:rPr>
        <w:t>使用越厚的包装材料固然能够有效的防破损，但会增加生产成本，根据实际生产经验得出使用</w:t>
      </w:r>
      <w:r>
        <w:rPr>
          <w:rFonts w:ascii="仿宋_GB2312" w:eastAsia="仿宋_GB2312" w:hAnsi="宋体" w:hint="eastAsia"/>
          <w:kern w:val="2"/>
          <w:sz w:val="28"/>
          <w:szCs w:val="28"/>
        </w:rPr>
        <w:t>厚度在</w:t>
      </w:r>
      <w:r w:rsidR="00B671D5">
        <w:rPr>
          <w:rFonts w:ascii="仿宋_GB2312" w:eastAsia="仿宋_GB2312" w:hAnsi="宋体" w:hint="eastAsia"/>
          <w:kern w:val="2"/>
          <w:sz w:val="28"/>
          <w:szCs w:val="28"/>
        </w:rPr>
        <w:t>0.05</w:t>
      </w:r>
      <w:r w:rsidR="00B671D5">
        <w:rPr>
          <w:rFonts w:ascii="仿宋_GB2312" w:eastAsia="仿宋_GB2312" w:hAnsi="宋体"/>
          <w:kern w:val="2"/>
          <w:sz w:val="28"/>
          <w:szCs w:val="28"/>
          <w:lang w:val="en"/>
        </w:rPr>
        <w:t>mm</w:t>
      </w:r>
      <w:r w:rsidR="00B671D5">
        <w:rPr>
          <w:rFonts w:ascii="仿宋_GB2312" w:eastAsia="仿宋_GB2312" w:hAnsi="宋体" w:hint="eastAsia"/>
          <w:kern w:val="2"/>
          <w:sz w:val="28"/>
          <w:szCs w:val="28"/>
        </w:rPr>
        <w:t>-0.1</w:t>
      </w:r>
      <w:r>
        <w:rPr>
          <w:rFonts w:ascii="仿宋_GB2312" w:eastAsia="仿宋_GB2312" w:hAnsi="宋体"/>
          <w:kern w:val="2"/>
          <w:sz w:val="28"/>
          <w:szCs w:val="28"/>
          <w:lang w:val="en"/>
        </w:rPr>
        <w:t>mm</w:t>
      </w:r>
      <w:r>
        <w:rPr>
          <w:rFonts w:ascii="仿宋_GB2312" w:eastAsia="仿宋_GB2312" w:hAnsi="宋体" w:hint="eastAsia"/>
          <w:kern w:val="2"/>
          <w:sz w:val="28"/>
          <w:szCs w:val="28"/>
          <w:lang w:val="en"/>
        </w:rPr>
        <w:t>的包材已经能够满足运输的需求。</w:t>
      </w:r>
    </w:p>
    <w:p w:rsidR="002A1546" w:rsidRDefault="00D90014">
      <w:pPr>
        <w:pStyle w:val="af4"/>
        <w:widowControl/>
        <w:autoSpaceDE w:val="0"/>
        <w:autoSpaceDN w:val="0"/>
        <w:spacing w:before="0" w:beforeAutospacing="0" w:after="0" w:afterAutospacing="0"/>
        <w:ind w:firstLineChars="200" w:firstLine="562"/>
        <w:jc w:val="both"/>
        <w:rPr>
          <w:rFonts w:ascii="仿宋_GB2312" w:eastAsia="仿宋_GB2312" w:hAnsi="宋体"/>
          <w:kern w:val="2"/>
          <w:sz w:val="28"/>
          <w:szCs w:val="28"/>
        </w:rPr>
      </w:pPr>
      <w:r>
        <w:rPr>
          <w:rFonts w:ascii="仿宋_GB2312" w:eastAsia="仿宋_GB2312" w:hAnsi="宋体" w:hint="eastAsia"/>
          <w:b/>
          <w:bCs/>
          <w:kern w:val="2"/>
          <w:sz w:val="28"/>
          <w:szCs w:val="28"/>
        </w:rPr>
        <w:lastRenderedPageBreak/>
        <w:t>（三）</w:t>
      </w:r>
      <w:proofErr w:type="gramStart"/>
      <w:r>
        <w:rPr>
          <w:rFonts w:ascii="仿宋_GB2312" w:eastAsia="仿宋_GB2312" w:hAnsi="宋体" w:hint="eastAsia"/>
          <w:b/>
          <w:bCs/>
          <w:kern w:val="2"/>
          <w:sz w:val="28"/>
          <w:szCs w:val="28"/>
        </w:rPr>
        <w:t>沥</w:t>
      </w:r>
      <w:proofErr w:type="gramEnd"/>
      <w:r>
        <w:rPr>
          <w:rFonts w:ascii="仿宋_GB2312" w:eastAsia="仿宋_GB2312" w:hAnsi="宋体" w:hint="eastAsia"/>
          <w:b/>
          <w:bCs/>
          <w:kern w:val="2"/>
          <w:sz w:val="28"/>
          <w:szCs w:val="28"/>
        </w:rPr>
        <w:t>糖：</w:t>
      </w:r>
      <w:r>
        <w:rPr>
          <w:rFonts w:ascii="仿宋_GB2312" w:eastAsia="仿宋_GB2312" w:hAnsi="宋体" w:hint="eastAsia"/>
          <w:sz w:val="28"/>
          <w:szCs w:val="28"/>
        </w:rPr>
        <w:t>糖渍水果使用大量糖液进行浸渍，且浸渍的糖液一般在30°BX，在进行跨境运输时需要更高浓度的糖液</w:t>
      </w:r>
      <w:r>
        <w:rPr>
          <w:rFonts w:ascii="仿宋_GB2312" w:eastAsia="仿宋_GB2312" w:hAnsi="宋体" w:hint="eastAsia"/>
          <w:kern w:val="2"/>
          <w:sz w:val="28"/>
          <w:szCs w:val="28"/>
        </w:rPr>
        <w:t>。因此需要</w:t>
      </w:r>
      <w:proofErr w:type="gramStart"/>
      <w:r>
        <w:rPr>
          <w:rFonts w:ascii="仿宋_GB2312" w:eastAsia="仿宋_GB2312" w:hAnsi="宋体" w:hint="eastAsia"/>
          <w:kern w:val="2"/>
          <w:sz w:val="28"/>
          <w:szCs w:val="28"/>
        </w:rPr>
        <w:t>沥</w:t>
      </w:r>
      <w:proofErr w:type="gramEnd"/>
      <w:r>
        <w:rPr>
          <w:rFonts w:ascii="仿宋_GB2312" w:eastAsia="仿宋_GB2312" w:hAnsi="宋体" w:hint="eastAsia"/>
          <w:kern w:val="2"/>
          <w:sz w:val="28"/>
          <w:szCs w:val="28"/>
        </w:rPr>
        <w:t>去大部分糖液，为减轻微生物的</w:t>
      </w:r>
      <w:proofErr w:type="gramStart"/>
      <w:r>
        <w:rPr>
          <w:rFonts w:ascii="仿宋_GB2312" w:eastAsia="仿宋_GB2312" w:hAnsi="宋体" w:hint="eastAsia"/>
          <w:kern w:val="2"/>
          <w:sz w:val="28"/>
          <w:szCs w:val="28"/>
        </w:rPr>
        <w:t>侵染</w:t>
      </w:r>
      <w:proofErr w:type="gramEnd"/>
      <w:r>
        <w:rPr>
          <w:rFonts w:ascii="仿宋_GB2312" w:eastAsia="仿宋_GB2312" w:hAnsi="宋体" w:hint="eastAsia"/>
          <w:kern w:val="2"/>
          <w:sz w:val="28"/>
          <w:szCs w:val="28"/>
        </w:rPr>
        <w:t>，操作时间要求在5min以内。</w:t>
      </w:r>
    </w:p>
    <w:p w:rsidR="002A1546" w:rsidRDefault="00D90014">
      <w:pPr>
        <w:pStyle w:val="afa"/>
        <w:spacing w:line="360" w:lineRule="auto"/>
        <w:ind w:firstLineChars="195" w:firstLine="548"/>
        <w:rPr>
          <w:rFonts w:ascii="仿宋_GB2312" w:eastAsia="仿宋_GB2312" w:hAnsi="宋体"/>
          <w:kern w:val="2"/>
          <w:sz w:val="28"/>
          <w:szCs w:val="28"/>
        </w:rPr>
      </w:pPr>
      <w:r>
        <w:rPr>
          <w:rFonts w:ascii="仿宋_GB2312" w:eastAsia="仿宋_GB2312" w:hAnsi="宋体" w:hint="eastAsia"/>
          <w:b/>
          <w:bCs/>
          <w:kern w:val="2"/>
          <w:sz w:val="28"/>
          <w:szCs w:val="28"/>
        </w:rPr>
        <w:t>（四）装袋：</w:t>
      </w:r>
      <w:r>
        <w:rPr>
          <w:rFonts w:ascii="仿宋_GB2312" w:eastAsia="仿宋_GB2312" w:hAnsi="宋体" w:hint="eastAsia"/>
          <w:kern w:val="2"/>
          <w:sz w:val="28"/>
          <w:szCs w:val="28"/>
        </w:rPr>
        <w:t>将</w:t>
      </w:r>
      <w:proofErr w:type="gramStart"/>
      <w:r>
        <w:rPr>
          <w:rFonts w:ascii="仿宋_GB2312" w:eastAsia="仿宋_GB2312" w:hAnsi="宋体" w:hint="eastAsia"/>
          <w:kern w:val="2"/>
          <w:sz w:val="28"/>
          <w:szCs w:val="28"/>
        </w:rPr>
        <w:t>沥糖完成</w:t>
      </w:r>
      <w:proofErr w:type="gramEnd"/>
      <w:r>
        <w:rPr>
          <w:rFonts w:ascii="仿宋_GB2312" w:eastAsia="仿宋_GB2312" w:hAnsi="宋体" w:hint="eastAsia"/>
          <w:kern w:val="2"/>
          <w:sz w:val="28"/>
          <w:szCs w:val="28"/>
        </w:rPr>
        <w:t>后的物料装入包装袋，并将物料重量20%的白砂糖均匀撒在物料表面，将包装袋袋口密封。加入白砂糖的目的是利用长途运输的时间进一步的进行糖渍，根据实际生产在达到运输目的地后糖度可以达到35°BX以上。标准编制团队做了不同温度下的白砂糖溶液饱和度实验，证明即便在5 ℃～8 ℃环境下，白砂糖也能完全溶解，且能满足35°BX以上的要求。</w:t>
      </w:r>
    </w:p>
    <w:p w:rsidR="002A1546" w:rsidRDefault="00D90014">
      <w:pPr>
        <w:pStyle w:val="afa"/>
        <w:spacing w:line="360" w:lineRule="auto"/>
        <w:ind w:firstLineChars="195" w:firstLine="546"/>
        <w:jc w:val="center"/>
        <w:rPr>
          <w:rFonts w:ascii="仿宋_GB2312" w:eastAsia="仿宋_GB2312" w:hAnsi="宋体"/>
          <w:kern w:val="2"/>
          <w:sz w:val="28"/>
          <w:szCs w:val="28"/>
        </w:rPr>
      </w:pPr>
      <w:r>
        <w:rPr>
          <w:rFonts w:ascii="仿宋_GB2312" w:eastAsia="仿宋_GB2312" w:hAnsi="宋体" w:hint="eastAsia"/>
          <w:kern w:val="2"/>
          <w:sz w:val="28"/>
          <w:szCs w:val="28"/>
        </w:rPr>
        <w:t>白砂糖溶解度与温度关系</w:t>
      </w:r>
    </w:p>
    <w:tbl>
      <w:tblPr>
        <w:tblStyle w:val="af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7"/>
        <w:gridCol w:w="1485"/>
        <w:gridCol w:w="1498"/>
        <w:gridCol w:w="1485"/>
        <w:gridCol w:w="1498"/>
        <w:gridCol w:w="1485"/>
      </w:tblGrid>
      <w:tr w:rsidR="002A1546">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温度（℃）</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糖液（°BX）</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温度（℃）</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糖液（°BX）</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温度（℃）</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糖液（°BX）</w:t>
            </w:r>
          </w:p>
        </w:tc>
      </w:tr>
      <w:tr w:rsidR="002A1546">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0</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62.1</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35</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67.5</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70</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74.2</w:t>
            </w:r>
          </w:p>
        </w:tc>
      </w:tr>
      <w:tr w:rsidR="002A1546">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5</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62.8</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40</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68.4</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75</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75.7</w:t>
            </w:r>
          </w:p>
        </w:tc>
      </w:tr>
      <w:tr w:rsidR="002A1546">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10</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63.2</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45</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69.3</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80</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76.3</w:t>
            </w:r>
          </w:p>
        </w:tc>
      </w:tr>
      <w:tr w:rsidR="002A1546">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15</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64.9</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50</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70.2</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85</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77.6</w:t>
            </w:r>
          </w:p>
        </w:tc>
      </w:tr>
      <w:tr w:rsidR="002A1546">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20</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65.4</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55</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71.3</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90</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78.1</w:t>
            </w:r>
          </w:p>
        </w:tc>
      </w:tr>
      <w:tr w:rsidR="002A1546">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25</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65.8</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60</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72.8</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95</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79.7</w:t>
            </w:r>
          </w:p>
        </w:tc>
      </w:tr>
      <w:tr w:rsidR="002A1546">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30</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66.7</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65</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73.6</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100</w:t>
            </w:r>
          </w:p>
        </w:tc>
        <w:tc>
          <w:tcPr>
            <w:tcW w:w="1529" w:type="dxa"/>
            <w:vAlign w:val="center"/>
          </w:tcPr>
          <w:p w:rsidR="002A1546" w:rsidRDefault="00D90014">
            <w:pPr>
              <w:pStyle w:val="afa"/>
              <w:ind w:firstLineChars="0" w:firstLine="0"/>
              <w:jc w:val="center"/>
              <w:rPr>
                <w:rFonts w:ascii="仿宋_GB2312" w:eastAsia="仿宋_GB2312" w:hAnsi="宋体"/>
                <w:kern w:val="2"/>
                <w:sz w:val="24"/>
                <w:szCs w:val="24"/>
              </w:rPr>
            </w:pPr>
            <w:r>
              <w:rPr>
                <w:rFonts w:ascii="仿宋_GB2312" w:eastAsia="仿宋_GB2312" w:hAnsi="宋体" w:hint="eastAsia"/>
                <w:kern w:val="2"/>
                <w:sz w:val="24"/>
                <w:szCs w:val="24"/>
              </w:rPr>
              <w:t>80.9</w:t>
            </w:r>
          </w:p>
        </w:tc>
      </w:tr>
    </w:tbl>
    <w:p w:rsidR="002A1546" w:rsidRPr="00B671D5" w:rsidRDefault="00D90014" w:rsidP="00B671D5">
      <w:pPr>
        <w:pStyle w:val="afa"/>
        <w:spacing w:line="360" w:lineRule="auto"/>
        <w:ind w:firstLine="562"/>
        <w:rPr>
          <w:rFonts w:ascii="仿宋_GB2312" w:eastAsia="仿宋_GB2312" w:hAnsi="宋体"/>
          <w:kern w:val="2"/>
          <w:sz w:val="28"/>
          <w:szCs w:val="28"/>
        </w:rPr>
      </w:pPr>
      <w:r>
        <w:rPr>
          <w:rFonts w:ascii="仿宋_GB2312" w:eastAsia="仿宋_GB2312" w:hAnsi="宋体" w:hint="eastAsia"/>
          <w:b/>
          <w:bCs/>
          <w:kern w:val="2"/>
          <w:sz w:val="28"/>
          <w:szCs w:val="28"/>
        </w:rPr>
        <w:t>（五）运输方式：</w:t>
      </w:r>
      <w:r>
        <w:rPr>
          <w:rFonts w:ascii="仿宋_GB2312" w:eastAsia="仿宋_GB2312" w:hAnsi="宋体" w:hint="eastAsia"/>
          <w:kern w:val="2"/>
          <w:sz w:val="28"/>
          <w:szCs w:val="28"/>
        </w:rPr>
        <w:t>为了进一步降低微生物繁殖率，使用低温运输，但需对温度进行控制，太低的温度对物料也会产生不利影响。由于是使用冷藏车，冷气出口温度相对较低，为</w:t>
      </w:r>
      <w:bookmarkStart w:id="1" w:name="_GoBack"/>
      <w:bookmarkEnd w:id="1"/>
      <w:r>
        <w:rPr>
          <w:rFonts w:ascii="仿宋_GB2312" w:eastAsia="仿宋_GB2312" w:hAnsi="宋体" w:hint="eastAsia"/>
          <w:kern w:val="2"/>
          <w:sz w:val="28"/>
          <w:szCs w:val="28"/>
        </w:rPr>
        <w:t>保证物料不出现结冰，温度设置在5</w:t>
      </w:r>
      <w:r w:rsidR="007D5E07">
        <w:rPr>
          <w:rFonts w:ascii="仿宋_GB2312" w:eastAsia="仿宋_GB2312" w:hAnsi="宋体" w:hint="eastAsia"/>
          <w:kern w:val="2"/>
          <w:sz w:val="28"/>
          <w:szCs w:val="28"/>
        </w:rPr>
        <w:t>℃</w:t>
      </w:r>
      <w:r>
        <w:rPr>
          <w:rFonts w:ascii="仿宋_GB2312" w:eastAsia="仿宋_GB2312" w:hAnsi="宋体" w:hint="eastAsia"/>
          <w:kern w:val="2"/>
          <w:sz w:val="28"/>
          <w:szCs w:val="28"/>
        </w:rPr>
        <w:t>-8℃。</w:t>
      </w:r>
    </w:p>
    <w:p w:rsidR="002A1546" w:rsidRDefault="00D90014">
      <w:pPr>
        <w:spacing w:line="520" w:lineRule="exact"/>
        <w:ind w:firstLineChars="200" w:firstLine="640"/>
        <w:rPr>
          <w:rFonts w:ascii="黑体" w:eastAsia="黑体" w:hAnsi="黑体" w:cs="仿宋_GB2312"/>
          <w:sz w:val="32"/>
          <w:szCs w:val="32"/>
        </w:rPr>
      </w:pPr>
      <w:r>
        <w:rPr>
          <w:rFonts w:ascii="黑体" w:eastAsia="黑体" w:hAnsi="黑体" w:cs="仿宋_GB2312" w:hint="eastAsia"/>
          <w:sz w:val="32"/>
          <w:szCs w:val="32"/>
        </w:rPr>
        <w:t>七、国内外同类标准制修订情况及与法律法规、强制性标准关系</w:t>
      </w:r>
    </w:p>
    <w:p w:rsidR="002A1546" w:rsidRDefault="00D9001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 xml:space="preserve">经查阅，截至目前，与糖渍水果跨境冷链运输技术有关的国家及行业标准有GB/T 7392 集装箱的技术要求和试验方法保温集装箱、GB 29753  </w:t>
      </w:r>
      <w:r>
        <w:rPr>
          <w:rFonts w:ascii="仿宋_GB2312" w:eastAsia="仿宋_GB2312" w:hAnsi="宋体" w:hint="eastAsia"/>
          <w:sz w:val="28"/>
          <w:szCs w:val="28"/>
        </w:rPr>
        <w:lastRenderedPageBreak/>
        <w:t>道路运输食品与生物制品冷藏车安全要求及试验方法、GB/T 33129  新鲜水果、蔬菜包装和冷链运输通用操作规程，这些标准只是对运输工具和常规性装载操作进行要求，并不涉及《糖渍水果跨境冷链运输技术规程》的核心技术内容，因此建立系统的可操作的糖渍水果跨境冷链运输技术标准，对整个产业的良性发展具有很好的指导意义。</w:t>
      </w:r>
    </w:p>
    <w:p w:rsidR="002A1546" w:rsidRDefault="00D90014">
      <w:pPr>
        <w:autoSpaceDE w:val="0"/>
        <w:autoSpaceDN w:val="0"/>
        <w:adjustRightInd w:val="0"/>
        <w:ind w:firstLineChars="200" w:firstLine="640"/>
        <w:jc w:val="left"/>
        <w:outlineLvl w:val="0"/>
        <w:rPr>
          <w:rFonts w:ascii="黑体" w:eastAsia="黑体" w:hAnsi="黑体" w:cs="仿宋_GB2312"/>
          <w:sz w:val="32"/>
          <w:szCs w:val="32"/>
        </w:rPr>
      </w:pPr>
      <w:r>
        <w:rPr>
          <w:rFonts w:ascii="黑体" w:eastAsia="黑体" w:hAnsi="黑体" w:cs="仿宋_GB2312" w:hint="eastAsia"/>
          <w:sz w:val="32"/>
          <w:szCs w:val="32"/>
        </w:rPr>
        <w:t>八、标准实施预期的效果</w:t>
      </w:r>
    </w:p>
    <w:p w:rsidR="002A1546" w:rsidRDefault="00D9001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通过制定团体标准《糖渍水果跨境冷链运输技术规程》，以标准为抓手，统一规范糖渍水果跨境冷链运输过程的要求，指导企业对糖渍水果跨境运输进行加工。有利于推动加工业及种植业的发展。</w:t>
      </w:r>
    </w:p>
    <w:p w:rsidR="002A1546" w:rsidRDefault="00D90014">
      <w:pPr>
        <w:autoSpaceDE w:val="0"/>
        <w:autoSpaceDN w:val="0"/>
        <w:adjustRightInd w:val="0"/>
        <w:spacing w:beforeLines="50" w:before="156" w:afterLines="50" w:after="156" w:line="52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九、重大分歧意见的处理经过和依据</w:t>
      </w:r>
    </w:p>
    <w:p w:rsidR="002A1546" w:rsidRDefault="00D9001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本文件研制过程中无重大分歧意见。</w:t>
      </w:r>
    </w:p>
    <w:p w:rsidR="002A1546" w:rsidRDefault="00D90014">
      <w:pPr>
        <w:spacing w:line="360" w:lineRule="auto"/>
        <w:ind w:firstLineChars="200" w:firstLine="640"/>
        <w:rPr>
          <w:rFonts w:ascii="黑体" w:eastAsia="黑体" w:hAnsi="黑体" w:cs="仿宋_GB2312"/>
          <w:sz w:val="32"/>
          <w:szCs w:val="32"/>
        </w:rPr>
      </w:pPr>
      <w:r>
        <w:rPr>
          <w:rFonts w:ascii="黑体" w:eastAsia="黑体" w:hAnsi="黑体" w:cs="仿宋_GB2312" w:hint="eastAsia"/>
          <w:sz w:val="32"/>
          <w:szCs w:val="32"/>
        </w:rPr>
        <w:t>十、自我承诺</w:t>
      </w:r>
    </w:p>
    <w:p w:rsidR="002A1546" w:rsidRDefault="00D90014">
      <w:pPr>
        <w:spacing w:line="360" w:lineRule="auto"/>
        <w:ind w:firstLineChars="200" w:firstLine="560"/>
        <w:rPr>
          <w:rFonts w:ascii="仿宋_GB2312" w:eastAsia="仿宋_GB2312" w:hAnsi="仿宋"/>
          <w:bCs/>
          <w:sz w:val="32"/>
          <w:szCs w:val="32"/>
        </w:rPr>
      </w:pPr>
      <w:r>
        <w:rPr>
          <w:rFonts w:ascii="仿宋_GB2312" w:eastAsia="仿宋_GB2312" w:hAnsi="宋体" w:hint="eastAsia"/>
          <w:sz w:val="28"/>
          <w:szCs w:val="28"/>
        </w:rPr>
        <w:t>承诺标准内容和各项指标不低于国家强制性标准。也不存在内容或某项指标低于推荐性国家标准的情况。</w:t>
      </w:r>
    </w:p>
    <w:p w:rsidR="002A1546" w:rsidRDefault="00D90014">
      <w:pPr>
        <w:spacing w:line="360" w:lineRule="auto"/>
        <w:ind w:firstLineChars="200" w:firstLine="560"/>
        <w:jc w:val="right"/>
        <w:rPr>
          <w:rFonts w:ascii="仿宋_GB2312" w:eastAsia="仿宋_GB2312" w:hAnsi="宋体"/>
          <w:sz w:val="28"/>
          <w:szCs w:val="28"/>
        </w:rPr>
      </w:pPr>
      <w:r>
        <w:rPr>
          <w:rFonts w:ascii="仿宋_GB2312" w:eastAsia="仿宋_GB2312" w:hAnsi="宋体" w:hint="eastAsia"/>
          <w:sz w:val="28"/>
          <w:szCs w:val="28"/>
        </w:rPr>
        <w:t>团体标准《糖渍水果跨境冷链运输技术规程》</w:t>
      </w:r>
    </w:p>
    <w:p w:rsidR="002A1546" w:rsidRDefault="00D90014">
      <w:pPr>
        <w:spacing w:line="360" w:lineRule="auto"/>
        <w:ind w:firstLineChars="200" w:firstLine="560"/>
        <w:jc w:val="right"/>
        <w:rPr>
          <w:rFonts w:ascii="仿宋_GB2312" w:eastAsia="仿宋_GB2312" w:hAnsi="宋体"/>
          <w:sz w:val="28"/>
          <w:szCs w:val="28"/>
        </w:rPr>
      </w:pPr>
      <w:r>
        <w:rPr>
          <w:rFonts w:ascii="仿宋_GB2312" w:eastAsia="仿宋_GB2312" w:hAnsi="宋体" w:hint="eastAsia"/>
          <w:sz w:val="28"/>
          <w:szCs w:val="28"/>
        </w:rPr>
        <w:t xml:space="preserve">                                      标准编制工作组</w:t>
      </w:r>
    </w:p>
    <w:p w:rsidR="002A1546" w:rsidRDefault="00D90014">
      <w:pPr>
        <w:spacing w:line="360" w:lineRule="auto"/>
        <w:ind w:firstLineChars="200" w:firstLine="560"/>
        <w:jc w:val="right"/>
        <w:rPr>
          <w:rFonts w:ascii="仿宋_GB2312" w:eastAsia="仿宋_GB2312" w:hAnsi="宋体"/>
          <w:sz w:val="28"/>
          <w:szCs w:val="28"/>
        </w:rPr>
      </w:pPr>
      <w:r>
        <w:rPr>
          <w:rFonts w:ascii="仿宋_GB2312" w:eastAsia="仿宋_GB2312" w:hAnsi="宋体" w:hint="eastAsia"/>
          <w:sz w:val="28"/>
          <w:szCs w:val="28"/>
        </w:rPr>
        <w:t xml:space="preserve">                                 2023年5月5日</w:t>
      </w:r>
    </w:p>
    <w:sectPr w:rsidR="002A1546">
      <w:footerReference w:type="default" r:id="rId10"/>
      <w:pgSz w:w="11906" w:h="16838"/>
      <w:pgMar w:top="1474"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8CB" w:rsidRDefault="001F68CB">
      <w:r>
        <w:separator/>
      </w:r>
    </w:p>
  </w:endnote>
  <w:endnote w:type="continuationSeparator" w:id="0">
    <w:p w:rsidR="001F68CB" w:rsidRDefault="001F6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00"/>
    <w:family w:val="auto"/>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546" w:rsidRDefault="00D90014">
    <w:pPr>
      <w:pStyle w:val="af0"/>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A1546" w:rsidRDefault="00D90014">
                          <w:pPr>
                            <w:pStyle w:val="af0"/>
                          </w:pPr>
                          <w:r>
                            <w:rPr>
                              <w:rFonts w:hint="eastAsia"/>
                            </w:rPr>
                            <w:fldChar w:fldCharType="begin"/>
                          </w:r>
                          <w:r>
                            <w:rPr>
                              <w:rFonts w:hint="eastAsia"/>
                            </w:rPr>
                            <w:instrText xml:space="preserve"> PAGE  \* MERGEFORMAT </w:instrText>
                          </w:r>
                          <w:r>
                            <w:rPr>
                              <w:rFonts w:hint="eastAsia"/>
                            </w:rPr>
                            <w:fldChar w:fldCharType="separate"/>
                          </w:r>
                          <w:r w:rsidR="007D5E07">
                            <w:rPr>
                              <w:noProof/>
                            </w:rPr>
                            <w:t>9</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2A1546" w:rsidRDefault="00D90014">
                    <w:pPr>
                      <w:pStyle w:val="af0"/>
                    </w:pPr>
                    <w:r>
                      <w:rPr>
                        <w:rFonts w:hint="eastAsia"/>
                      </w:rPr>
                      <w:fldChar w:fldCharType="begin"/>
                    </w:r>
                    <w:r>
                      <w:rPr>
                        <w:rFonts w:hint="eastAsia"/>
                      </w:rPr>
                      <w:instrText xml:space="preserve"> PAGE  \* MERGEFORMAT </w:instrText>
                    </w:r>
                    <w:r>
                      <w:rPr>
                        <w:rFonts w:hint="eastAsia"/>
                      </w:rPr>
                      <w:fldChar w:fldCharType="separate"/>
                    </w:r>
                    <w:r w:rsidR="007D5E07">
                      <w:rPr>
                        <w:noProof/>
                      </w:rPr>
                      <w:t>9</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8CB" w:rsidRDefault="001F68CB">
      <w:r>
        <w:separator/>
      </w:r>
    </w:p>
  </w:footnote>
  <w:footnote w:type="continuationSeparator" w:id="0">
    <w:p w:rsidR="001F68CB" w:rsidRDefault="001F6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7DEA102"/>
    <w:multiLevelType w:val="singleLevel"/>
    <w:tmpl w:val="C7DEA102"/>
    <w:lvl w:ilvl="0">
      <w:start w:val="3"/>
      <w:numFmt w:val="chineseCounting"/>
      <w:suff w:val="nothing"/>
      <w:lvlText w:val="（%1）"/>
      <w:lvlJc w:val="left"/>
      <w:rPr>
        <w:rFonts w:hint="eastAsia"/>
      </w:rPr>
    </w:lvl>
  </w:abstractNum>
  <w:abstractNum w:abstractNumId="1"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 w15:restartNumberingAfterBreak="0">
    <w:nsid w:val="0DDE2B46"/>
    <w:multiLevelType w:val="multilevel"/>
    <w:tmpl w:val="0DDE2B46"/>
    <w:lvl w:ilvl="0">
      <w:start w:val="1"/>
      <w:numFmt w:val="lowerLetter"/>
      <w:pStyle w:val="a0"/>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3" w15:restartNumberingAfterBreak="0">
    <w:nsid w:val="1DBF583A"/>
    <w:multiLevelType w:val="multilevel"/>
    <w:tmpl w:val="1DBF583A"/>
    <w:lvl w:ilvl="0">
      <w:start w:val="1"/>
      <w:numFmt w:val="decimal"/>
      <w:pStyle w:val="a1"/>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4" w15:restartNumberingAfterBreak="0">
    <w:nsid w:val="1FC91163"/>
    <w:multiLevelType w:val="multilevel"/>
    <w:tmpl w:val="1FC91163"/>
    <w:lvl w:ilvl="0">
      <w:start w:val="1"/>
      <w:numFmt w:val="decimal"/>
      <w:pStyle w:val="a2"/>
      <w:suff w:val="nothing"/>
      <w:lvlText w:val="%1　"/>
      <w:lvlJc w:val="left"/>
      <w:pPr>
        <w:ind w:left="0" w:firstLine="0"/>
      </w:pPr>
      <w:rPr>
        <w:rFonts w:ascii="黑体" w:eastAsia="黑体" w:hAnsi="Times New Roman" w:hint="eastAsia"/>
        <w:b w:val="0"/>
        <w:i w:val="0"/>
        <w:sz w:val="21"/>
        <w:szCs w:val="21"/>
      </w:rPr>
    </w:lvl>
    <w:lvl w:ilvl="1">
      <w:start w:val="1"/>
      <w:numFmt w:val="decimal"/>
      <w:pStyle w:val="a3"/>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4"/>
      <w:suff w:val="nothing"/>
      <w:lvlText w:val="%1.%2.%3　"/>
      <w:lvlJc w:val="left"/>
      <w:pPr>
        <w:ind w:left="0" w:firstLine="0"/>
      </w:pPr>
      <w:rPr>
        <w:rFonts w:ascii="黑体" w:eastAsia="黑体" w:hAnsi="Times New Roman" w:hint="eastAsia"/>
        <w:b w:val="0"/>
        <w:i w:val="0"/>
        <w:sz w:val="21"/>
      </w:rPr>
    </w:lvl>
    <w:lvl w:ilvl="3">
      <w:start w:val="1"/>
      <w:numFmt w:val="decimal"/>
      <w:pStyle w:val="a5"/>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232E4CD5"/>
    <w:multiLevelType w:val="singleLevel"/>
    <w:tmpl w:val="232E4CD5"/>
    <w:lvl w:ilvl="0">
      <w:start w:val="1"/>
      <w:numFmt w:val="chineseCounting"/>
      <w:suff w:val="nothing"/>
      <w:lvlText w:val="（%1）"/>
      <w:lvlJc w:val="left"/>
      <w:rPr>
        <w:rFonts w:hint="eastAsia"/>
      </w:rPr>
    </w:lvl>
  </w:abstractNum>
  <w:abstractNum w:abstractNumId="6" w15:restartNumberingAfterBreak="0">
    <w:nsid w:val="2A8F7113"/>
    <w:multiLevelType w:val="multilevel"/>
    <w:tmpl w:val="2A8F7113"/>
    <w:lvl w:ilvl="0">
      <w:start w:val="1"/>
      <w:numFmt w:val="upperLetter"/>
      <w:pStyle w:val="a8"/>
      <w:suff w:val="space"/>
      <w:lvlText w:val="%1"/>
      <w:lvlJc w:val="left"/>
      <w:pPr>
        <w:ind w:left="623" w:hanging="425"/>
      </w:pPr>
      <w:rPr>
        <w:rFonts w:hint="eastAsia"/>
      </w:rPr>
    </w:lvl>
    <w:lvl w:ilvl="1">
      <w:start w:val="1"/>
      <w:numFmt w:val="decimal"/>
      <w:pStyle w:val="a9"/>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15:restartNumberingAfterBreak="0">
    <w:nsid w:val="557C2AF5"/>
    <w:multiLevelType w:val="multilevel"/>
    <w:tmpl w:val="557C2AF5"/>
    <w:lvl w:ilvl="0">
      <w:start w:val="1"/>
      <w:numFmt w:val="decimal"/>
      <w:pStyle w:val="a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15:restartNumberingAfterBreak="0">
    <w:nsid w:val="646260FA"/>
    <w:multiLevelType w:val="multilevel"/>
    <w:tmpl w:val="646260FA"/>
    <w:lvl w:ilvl="0">
      <w:start w:val="1"/>
      <w:numFmt w:val="decimal"/>
      <w:pStyle w:val="ab"/>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8"/>
  </w:num>
  <w:num w:numId="2">
    <w:abstractNumId w:val="7"/>
  </w:num>
  <w:num w:numId="3">
    <w:abstractNumId w:val="4"/>
  </w:num>
  <w:num w:numId="4">
    <w:abstractNumId w:val="1"/>
  </w:num>
  <w:num w:numId="5">
    <w:abstractNumId w:val="6"/>
  </w:num>
  <w:num w:numId="6">
    <w:abstractNumId w:val="3"/>
  </w:num>
  <w:num w:numId="7">
    <w:abstractNumId w:val="2"/>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4OTA5MjUxNGI0Yzc4Y2JkZTE2MjJiNjU3ZjBlNDEifQ=="/>
  </w:docVars>
  <w:rsids>
    <w:rsidRoot w:val="0042062E"/>
    <w:rsid w:val="0000457E"/>
    <w:rsid w:val="00005CA4"/>
    <w:rsid w:val="00016837"/>
    <w:rsid w:val="00021331"/>
    <w:rsid w:val="00024212"/>
    <w:rsid w:val="00024664"/>
    <w:rsid w:val="00030BB6"/>
    <w:rsid w:val="00033257"/>
    <w:rsid w:val="00034233"/>
    <w:rsid w:val="00034BDB"/>
    <w:rsid w:val="000576D0"/>
    <w:rsid w:val="00057758"/>
    <w:rsid w:val="0007330D"/>
    <w:rsid w:val="00073F72"/>
    <w:rsid w:val="00077872"/>
    <w:rsid w:val="00080F2F"/>
    <w:rsid w:val="00085646"/>
    <w:rsid w:val="0009177A"/>
    <w:rsid w:val="00093E74"/>
    <w:rsid w:val="00095CC5"/>
    <w:rsid w:val="000962F6"/>
    <w:rsid w:val="000A0201"/>
    <w:rsid w:val="000A4601"/>
    <w:rsid w:val="000A6AC6"/>
    <w:rsid w:val="000A77CD"/>
    <w:rsid w:val="000B4E7E"/>
    <w:rsid w:val="000D0ACE"/>
    <w:rsid w:val="000D15BE"/>
    <w:rsid w:val="000D6612"/>
    <w:rsid w:val="000D751C"/>
    <w:rsid w:val="000D7F33"/>
    <w:rsid w:val="000E371E"/>
    <w:rsid w:val="000F10EB"/>
    <w:rsid w:val="000F3365"/>
    <w:rsid w:val="000F370D"/>
    <w:rsid w:val="000F4556"/>
    <w:rsid w:val="000F517A"/>
    <w:rsid w:val="00101D2E"/>
    <w:rsid w:val="00103B83"/>
    <w:rsid w:val="00105252"/>
    <w:rsid w:val="00106661"/>
    <w:rsid w:val="00110864"/>
    <w:rsid w:val="00110F43"/>
    <w:rsid w:val="00112415"/>
    <w:rsid w:val="00114946"/>
    <w:rsid w:val="001255B6"/>
    <w:rsid w:val="00126CA6"/>
    <w:rsid w:val="00127EB0"/>
    <w:rsid w:val="00131B03"/>
    <w:rsid w:val="00133786"/>
    <w:rsid w:val="00134DD4"/>
    <w:rsid w:val="00147F33"/>
    <w:rsid w:val="0015152A"/>
    <w:rsid w:val="00156663"/>
    <w:rsid w:val="001611BB"/>
    <w:rsid w:val="00163888"/>
    <w:rsid w:val="00174CD6"/>
    <w:rsid w:val="00176F50"/>
    <w:rsid w:val="00183467"/>
    <w:rsid w:val="00190A64"/>
    <w:rsid w:val="001923CF"/>
    <w:rsid w:val="001925FD"/>
    <w:rsid w:val="00194FE3"/>
    <w:rsid w:val="00196054"/>
    <w:rsid w:val="0019711F"/>
    <w:rsid w:val="001A3402"/>
    <w:rsid w:val="001A3E5C"/>
    <w:rsid w:val="001B36E5"/>
    <w:rsid w:val="001B3B17"/>
    <w:rsid w:val="001C34F9"/>
    <w:rsid w:val="001C5F01"/>
    <w:rsid w:val="001C793C"/>
    <w:rsid w:val="001D1C44"/>
    <w:rsid w:val="001D22F0"/>
    <w:rsid w:val="001D45E0"/>
    <w:rsid w:val="001D47F2"/>
    <w:rsid w:val="001D7816"/>
    <w:rsid w:val="001E03E6"/>
    <w:rsid w:val="001E5000"/>
    <w:rsid w:val="001F241E"/>
    <w:rsid w:val="001F2BE2"/>
    <w:rsid w:val="001F660A"/>
    <w:rsid w:val="001F68CB"/>
    <w:rsid w:val="00205603"/>
    <w:rsid w:val="002116FB"/>
    <w:rsid w:val="00214221"/>
    <w:rsid w:val="00220B8E"/>
    <w:rsid w:val="002223DD"/>
    <w:rsid w:val="002231E8"/>
    <w:rsid w:val="00223EB7"/>
    <w:rsid w:val="002246A3"/>
    <w:rsid w:val="00226056"/>
    <w:rsid w:val="00231E62"/>
    <w:rsid w:val="00232769"/>
    <w:rsid w:val="00240005"/>
    <w:rsid w:val="00242961"/>
    <w:rsid w:val="00244ADA"/>
    <w:rsid w:val="002465C7"/>
    <w:rsid w:val="00251D97"/>
    <w:rsid w:val="00254F7A"/>
    <w:rsid w:val="00256FE0"/>
    <w:rsid w:val="002621E1"/>
    <w:rsid w:val="00262753"/>
    <w:rsid w:val="00262771"/>
    <w:rsid w:val="00264566"/>
    <w:rsid w:val="00264A7D"/>
    <w:rsid w:val="00264CE4"/>
    <w:rsid w:val="002752B0"/>
    <w:rsid w:val="00283085"/>
    <w:rsid w:val="002842DD"/>
    <w:rsid w:val="0029084D"/>
    <w:rsid w:val="00291EF3"/>
    <w:rsid w:val="002A1546"/>
    <w:rsid w:val="002A4D06"/>
    <w:rsid w:val="002B07E3"/>
    <w:rsid w:val="002B649F"/>
    <w:rsid w:val="002C4FFB"/>
    <w:rsid w:val="002C5534"/>
    <w:rsid w:val="002C611B"/>
    <w:rsid w:val="002C73B6"/>
    <w:rsid w:val="002D6D1E"/>
    <w:rsid w:val="002E073F"/>
    <w:rsid w:val="002E7A35"/>
    <w:rsid w:val="002F34AA"/>
    <w:rsid w:val="002F4D7B"/>
    <w:rsid w:val="002F513F"/>
    <w:rsid w:val="00301D68"/>
    <w:rsid w:val="003025DF"/>
    <w:rsid w:val="00303E23"/>
    <w:rsid w:val="00306925"/>
    <w:rsid w:val="003144B8"/>
    <w:rsid w:val="003219F5"/>
    <w:rsid w:val="0033375C"/>
    <w:rsid w:val="0034090F"/>
    <w:rsid w:val="00343C24"/>
    <w:rsid w:val="00345BCC"/>
    <w:rsid w:val="00351195"/>
    <w:rsid w:val="00353735"/>
    <w:rsid w:val="00357A1D"/>
    <w:rsid w:val="00357E18"/>
    <w:rsid w:val="00357E79"/>
    <w:rsid w:val="0036001E"/>
    <w:rsid w:val="00362F10"/>
    <w:rsid w:val="0036606E"/>
    <w:rsid w:val="00373BAD"/>
    <w:rsid w:val="00382AB2"/>
    <w:rsid w:val="003854EA"/>
    <w:rsid w:val="00392E22"/>
    <w:rsid w:val="003A47EB"/>
    <w:rsid w:val="003B5050"/>
    <w:rsid w:val="003B7A62"/>
    <w:rsid w:val="003C483D"/>
    <w:rsid w:val="003D10A4"/>
    <w:rsid w:val="003D5CB5"/>
    <w:rsid w:val="003E330B"/>
    <w:rsid w:val="003E4A86"/>
    <w:rsid w:val="003E6F91"/>
    <w:rsid w:val="003F17A1"/>
    <w:rsid w:val="003F284D"/>
    <w:rsid w:val="003F28D0"/>
    <w:rsid w:val="003F3119"/>
    <w:rsid w:val="003F3AAC"/>
    <w:rsid w:val="003F727B"/>
    <w:rsid w:val="0040035D"/>
    <w:rsid w:val="0040350C"/>
    <w:rsid w:val="00404BD1"/>
    <w:rsid w:val="00406A80"/>
    <w:rsid w:val="00415175"/>
    <w:rsid w:val="0042062E"/>
    <w:rsid w:val="00424FCB"/>
    <w:rsid w:val="00425860"/>
    <w:rsid w:val="00426E06"/>
    <w:rsid w:val="00434E46"/>
    <w:rsid w:val="00434F90"/>
    <w:rsid w:val="0044118D"/>
    <w:rsid w:val="004441BD"/>
    <w:rsid w:val="004503F4"/>
    <w:rsid w:val="00455661"/>
    <w:rsid w:val="0046025A"/>
    <w:rsid w:val="00460359"/>
    <w:rsid w:val="004605D8"/>
    <w:rsid w:val="004626AF"/>
    <w:rsid w:val="00465230"/>
    <w:rsid w:val="00467DEF"/>
    <w:rsid w:val="00473383"/>
    <w:rsid w:val="004750F8"/>
    <w:rsid w:val="004805D0"/>
    <w:rsid w:val="00480BA1"/>
    <w:rsid w:val="00481DE1"/>
    <w:rsid w:val="0048357F"/>
    <w:rsid w:val="00484EF3"/>
    <w:rsid w:val="00485212"/>
    <w:rsid w:val="004865C9"/>
    <w:rsid w:val="00487482"/>
    <w:rsid w:val="0049011A"/>
    <w:rsid w:val="00491FE3"/>
    <w:rsid w:val="0049390C"/>
    <w:rsid w:val="004A25C4"/>
    <w:rsid w:val="004A614E"/>
    <w:rsid w:val="004A660C"/>
    <w:rsid w:val="004A76AB"/>
    <w:rsid w:val="004A7D39"/>
    <w:rsid w:val="004B2E7F"/>
    <w:rsid w:val="004B4A80"/>
    <w:rsid w:val="004C4136"/>
    <w:rsid w:val="004D5B22"/>
    <w:rsid w:val="004F0593"/>
    <w:rsid w:val="004F2A39"/>
    <w:rsid w:val="004F48C2"/>
    <w:rsid w:val="004F74F0"/>
    <w:rsid w:val="00505469"/>
    <w:rsid w:val="0051028F"/>
    <w:rsid w:val="0051148B"/>
    <w:rsid w:val="00514C97"/>
    <w:rsid w:val="005150C1"/>
    <w:rsid w:val="005159F5"/>
    <w:rsid w:val="00520DAC"/>
    <w:rsid w:val="00526200"/>
    <w:rsid w:val="005269CF"/>
    <w:rsid w:val="00535AC6"/>
    <w:rsid w:val="00537550"/>
    <w:rsid w:val="00541169"/>
    <w:rsid w:val="00560225"/>
    <w:rsid w:val="005639F8"/>
    <w:rsid w:val="005656AA"/>
    <w:rsid w:val="00567C0D"/>
    <w:rsid w:val="005742DB"/>
    <w:rsid w:val="00577C08"/>
    <w:rsid w:val="005802BD"/>
    <w:rsid w:val="0058151C"/>
    <w:rsid w:val="00581CE7"/>
    <w:rsid w:val="005870BC"/>
    <w:rsid w:val="005870E5"/>
    <w:rsid w:val="005873D6"/>
    <w:rsid w:val="00596702"/>
    <w:rsid w:val="005A4523"/>
    <w:rsid w:val="005A4707"/>
    <w:rsid w:val="005B0CDC"/>
    <w:rsid w:val="005B7B7E"/>
    <w:rsid w:val="005D06D6"/>
    <w:rsid w:val="005D1EE1"/>
    <w:rsid w:val="005D2AEE"/>
    <w:rsid w:val="005D3F96"/>
    <w:rsid w:val="005D5DDF"/>
    <w:rsid w:val="005D6A5C"/>
    <w:rsid w:val="005E05D4"/>
    <w:rsid w:val="005E17A1"/>
    <w:rsid w:val="005E207A"/>
    <w:rsid w:val="005E2143"/>
    <w:rsid w:val="005F0995"/>
    <w:rsid w:val="005F1E35"/>
    <w:rsid w:val="005F36D9"/>
    <w:rsid w:val="005F5268"/>
    <w:rsid w:val="005F6C71"/>
    <w:rsid w:val="005F71EC"/>
    <w:rsid w:val="0060656D"/>
    <w:rsid w:val="00606B5A"/>
    <w:rsid w:val="00607BB6"/>
    <w:rsid w:val="00610884"/>
    <w:rsid w:val="0062702A"/>
    <w:rsid w:val="006404F1"/>
    <w:rsid w:val="00641736"/>
    <w:rsid w:val="0064449B"/>
    <w:rsid w:val="00646395"/>
    <w:rsid w:val="006467C4"/>
    <w:rsid w:val="00651C9C"/>
    <w:rsid w:val="00654D8C"/>
    <w:rsid w:val="006555D8"/>
    <w:rsid w:val="006610FC"/>
    <w:rsid w:val="006670DB"/>
    <w:rsid w:val="00667C57"/>
    <w:rsid w:val="006811BF"/>
    <w:rsid w:val="00682D7C"/>
    <w:rsid w:val="00682FAD"/>
    <w:rsid w:val="0068494D"/>
    <w:rsid w:val="006945D3"/>
    <w:rsid w:val="006A1BD7"/>
    <w:rsid w:val="006A2FFB"/>
    <w:rsid w:val="006A3112"/>
    <w:rsid w:val="006A4B9F"/>
    <w:rsid w:val="006B1080"/>
    <w:rsid w:val="006B7D10"/>
    <w:rsid w:val="006C0CC1"/>
    <w:rsid w:val="006C6B87"/>
    <w:rsid w:val="006C70ED"/>
    <w:rsid w:val="006D3305"/>
    <w:rsid w:val="006D4CCC"/>
    <w:rsid w:val="006D5D5F"/>
    <w:rsid w:val="006E155C"/>
    <w:rsid w:val="006F77F7"/>
    <w:rsid w:val="00700D32"/>
    <w:rsid w:val="0070138D"/>
    <w:rsid w:val="00705C37"/>
    <w:rsid w:val="0070730B"/>
    <w:rsid w:val="00712BC5"/>
    <w:rsid w:val="00716EAC"/>
    <w:rsid w:val="00720395"/>
    <w:rsid w:val="00722365"/>
    <w:rsid w:val="0072448B"/>
    <w:rsid w:val="00726016"/>
    <w:rsid w:val="0075401E"/>
    <w:rsid w:val="00755471"/>
    <w:rsid w:val="007556A8"/>
    <w:rsid w:val="00760DDA"/>
    <w:rsid w:val="007625BA"/>
    <w:rsid w:val="00776C97"/>
    <w:rsid w:val="00776FE6"/>
    <w:rsid w:val="007812EA"/>
    <w:rsid w:val="00781F1A"/>
    <w:rsid w:val="00782730"/>
    <w:rsid w:val="00782C84"/>
    <w:rsid w:val="007879AC"/>
    <w:rsid w:val="007912E9"/>
    <w:rsid w:val="007923BD"/>
    <w:rsid w:val="00793820"/>
    <w:rsid w:val="00797654"/>
    <w:rsid w:val="007A022B"/>
    <w:rsid w:val="007A1A73"/>
    <w:rsid w:val="007A36E9"/>
    <w:rsid w:val="007A5B26"/>
    <w:rsid w:val="007A710B"/>
    <w:rsid w:val="007B4614"/>
    <w:rsid w:val="007B7812"/>
    <w:rsid w:val="007C4C1F"/>
    <w:rsid w:val="007D0763"/>
    <w:rsid w:val="007D4356"/>
    <w:rsid w:val="007D520B"/>
    <w:rsid w:val="007D5E07"/>
    <w:rsid w:val="007D6192"/>
    <w:rsid w:val="007D646F"/>
    <w:rsid w:val="007E0035"/>
    <w:rsid w:val="007E61B4"/>
    <w:rsid w:val="007F05BA"/>
    <w:rsid w:val="007F17C2"/>
    <w:rsid w:val="007F3051"/>
    <w:rsid w:val="007F445F"/>
    <w:rsid w:val="007F69C4"/>
    <w:rsid w:val="00805B1A"/>
    <w:rsid w:val="00810980"/>
    <w:rsid w:val="00812666"/>
    <w:rsid w:val="00825922"/>
    <w:rsid w:val="00825BEF"/>
    <w:rsid w:val="008275DE"/>
    <w:rsid w:val="0083025F"/>
    <w:rsid w:val="008308F9"/>
    <w:rsid w:val="00831A4E"/>
    <w:rsid w:val="00832AB4"/>
    <w:rsid w:val="00832FFC"/>
    <w:rsid w:val="00834F29"/>
    <w:rsid w:val="00841C87"/>
    <w:rsid w:val="0084304B"/>
    <w:rsid w:val="00843099"/>
    <w:rsid w:val="00851415"/>
    <w:rsid w:val="00853888"/>
    <w:rsid w:val="0085555C"/>
    <w:rsid w:val="00860076"/>
    <w:rsid w:val="00864B42"/>
    <w:rsid w:val="00864EDC"/>
    <w:rsid w:val="008766A7"/>
    <w:rsid w:val="0088023F"/>
    <w:rsid w:val="008853E8"/>
    <w:rsid w:val="00890B67"/>
    <w:rsid w:val="00893361"/>
    <w:rsid w:val="00893CE3"/>
    <w:rsid w:val="008A42EB"/>
    <w:rsid w:val="008A5709"/>
    <w:rsid w:val="008B1A6F"/>
    <w:rsid w:val="008B7C56"/>
    <w:rsid w:val="008C1BE0"/>
    <w:rsid w:val="008D1022"/>
    <w:rsid w:val="008D1502"/>
    <w:rsid w:val="008D2E6B"/>
    <w:rsid w:val="008D3059"/>
    <w:rsid w:val="008D44E2"/>
    <w:rsid w:val="008D5C1F"/>
    <w:rsid w:val="008E0C90"/>
    <w:rsid w:val="00900B1D"/>
    <w:rsid w:val="00910D7C"/>
    <w:rsid w:val="00911CE5"/>
    <w:rsid w:val="0091726D"/>
    <w:rsid w:val="009204DB"/>
    <w:rsid w:val="0092128F"/>
    <w:rsid w:val="009220D3"/>
    <w:rsid w:val="009226F2"/>
    <w:rsid w:val="0092660B"/>
    <w:rsid w:val="00930317"/>
    <w:rsid w:val="00933333"/>
    <w:rsid w:val="00936A0A"/>
    <w:rsid w:val="0094724D"/>
    <w:rsid w:val="00954E13"/>
    <w:rsid w:val="009560B7"/>
    <w:rsid w:val="0096452B"/>
    <w:rsid w:val="009657E9"/>
    <w:rsid w:val="00975377"/>
    <w:rsid w:val="00981308"/>
    <w:rsid w:val="0098194F"/>
    <w:rsid w:val="00983CDC"/>
    <w:rsid w:val="00983E62"/>
    <w:rsid w:val="00984743"/>
    <w:rsid w:val="00985802"/>
    <w:rsid w:val="00987A4E"/>
    <w:rsid w:val="009942DD"/>
    <w:rsid w:val="00995A7E"/>
    <w:rsid w:val="00995E05"/>
    <w:rsid w:val="00997A44"/>
    <w:rsid w:val="00997B49"/>
    <w:rsid w:val="009A7254"/>
    <w:rsid w:val="009B2BF4"/>
    <w:rsid w:val="009B52A3"/>
    <w:rsid w:val="009B53BA"/>
    <w:rsid w:val="009B609B"/>
    <w:rsid w:val="009B6F4E"/>
    <w:rsid w:val="009B74CD"/>
    <w:rsid w:val="009C00F6"/>
    <w:rsid w:val="009D38DB"/>
    <w:rsid w:val="009D3D0A"/>
    <w:rsid w:val="009E1F06"/>
    <w:rsid w:val="009E5C7C"/>
    <w:rsid w:val="009F0AA3"/>
    <w:rsid w:val="009F79E3"/>
    <w:rsid w:val="00A04E49"/>
    <w:rsid w:val="00A10236"/>
    <w:rsid w:val="00A10B7E"/>
    <w:rsid w:val="00A11E9D"/>
    <w:rsid w:val="00A25268"/>
    <w:rsid w:val="00A277C0"/>
    <w:rsid w:val="00A31736"/>
    <w:rsid w:val="00A34924"/>
    <w:rsid w:val="00A35F3F"/>
    <w:rsid w:val="00A40234"/>
    <w:rsid w:val="00A4496C"/>
    <w:rsid w:val="00A51BDA"/>
    <w:rsid w:val="00A52547"/>
    <w:rsid w:val="00A52FED"/>
    <w:rsid w:val="00A547EA"/>
    <w:rsid w:val="00A54EE3"/>
    <w:rsid w:val="00A60040"/>
    <w:rsid w:val="00A64033"/>
    <w:rsid w:val="00A659BC"/>
    <w:rsid w:val="00A66230"/>
    <w:rsid w:val="00A66B33"/>
    <w:rsid w:val="00A7226B"/>
    <w:rsid w:val="00A80E57"/>
    <w:rsid w:val="00A928C5"/>
    <w:rsid w:val="00A955A3"/>
    <w:rsid w:val="00A958C2"/>
    <w:rsid w:val="00AA5299"/>
    <w:rsid w:val="00AA6572"/>
    <w:rsid w:val="00AB0EDD"/>
    <w:rsid w:val="00AB238D"/>
    <w:rsid w:val="00AB7E38"/>
    <w:rsid w:val="00AC2523"/>
    <w:rsid w:val="00AC5DC1"/>
    <w:rsid w:val="00AD1275"/>
    <w:rsid w:val="00AD56BA"/>
    <w:rsid w:val="00AD56C4"/>
    <w:rsid w:val="00AE15C0"/>
    <w:rsid w:val="00AF00B0"/>
    <w:rsid w:val="00AF09BF"/>
    <w:rsid w:val="00AF0B6E"/>
    <w:rsid w:val="00AF0C1B"/>
    <w:rsid w:val="00AF1152"/>
    <w:rsid w:val="00AF20DE"/>
    <w:rsid w:val="00AF259B"/>
    <w:rsid w:val="00AF2C7E"/>
    <w:rsid w:val="00AF365B"/>
    <w:rsid w:val="00AF5A94"/>
    <w:rsid w:val="00AF6641"/>
    <w:rsid w:val="00B0152E"/>
    <w:rsid w:val="00B06F77"/>
    <w:rsid w:val="00B17EA4"/>
    <w:rsid w:val="00B2401D"/>
    <w:rsid w:val="00B27F1E"/>
    <w:rsid w:val="00B30319"/>
    <w:rsid w:val="00B35A2B"/>
    <w:rsid w:val="00B37EFF"/>
    <w:rsid w:val="00B40A1F"/>
    <w:rsid w:val="00B44C87"/>
    <w:rsid w:val="00B5298A"/>
    <w:rsid w:val="00B52BC2"/>
    <w:rsid w:val="00B54B9E"/>
    <w:rsid w:val="00B55412"/>
    <w:rsid w:val="00B602C0"/>
    <w:rsid w:val="00B65AA6"/>
    <w:rsid w:val="00B671D5"/>
    <w:rsid w:val="00B70A11"/>
    <w:rsid w:val="00B736AC"/>
    <w:rsid w:val="00B73F76"/>
    <w:rsid w:val="00B753D4"/>
    <w:rsid w:val="00B804DA"/>
    <w:rsid w:val="00B829BA"/>
    <w:rsid w:val="00B91C42"/>
    <w:rsid w:val="00B958C1"/>
    <w:rsid w:val="00BA084C"/>
    <w:rsid w:val="00BB0ED6"/>
    <w:rsid w:val="00BB1C0A"/>
    <w:rsid w:val="00BB4B74"/>
    <w:rsid w:val="00BB6FED"/>
    <w:rsid w:val="00BC41B2"/>
    <w:rsid w:val="00BC45B6"/>
    <w:rsid w:val="00BC4F9E"/>
    <w:rsid w:val="00BC71F8"/>
    <w:rsid w:val="00BC79E0"/>
    <w:rsid w:val="00BD42F5"/>
    <w:rsid w:val="00BE1A9F"/>
    <w:rsid w:val="00BE36DA"/>
    <w:rsid w:val="00BF1119"/>
    <w:rsid w:val="00BF5510"/>
    <w:rsid w:val="00C00A65"/>
    <w:rsid w:val="00C070A2"/>
    <w:rsid w:val="00C10D37"/>
    <w:rsid w:val="00C13675"/>
    <w:rsid w:val="00C17E66"/>
    <w:rsid w:val="00C31637"/>
    <w:rsid w:val="00C31C6D"/>
    <w:rsid w:val="00C31FF2"/>
    <w:rsid w:val="00C33C36"/>
    <w:rsid w:val="00C44645"/>
    <w:rsid w:val="00C50A3F"/>
    <w:rsid w:val="00C6137D"/>
    <w:rsid w:val="00C61540"/>
    <w:rsid w:val="00C61B0C"/>
    <w:rsid w:val="00C646BC"/>
    <w:rsid w:val="00C67D4C"/>
    <w:rsid w:val="00C706FA"/>
    <w:rsid w:val="00C71F2B"/>
    <w:rsid w:val="00C81D18"/>
    <w:rsid w:val="00C82258"/>
    <w:rsid w:val="00C82744"/>
    <w:rsid w:val="00C836D9"/>
    <w:rsid w:val="00C843F0"/>
    <w:rsid w:val="00C85F66"/>
    <w:rsid w:val="00C87E7F"/>
    <w:rsid w:val="00CA0CFD"/>
    <w:rsid w:val="00CA37C8"/>
    <w:rsid w:val="00CA5047"/>
    <w:rsid w:val="00CC4EE7"/>
    <w:rsid w:val="00CD5C22"/>
    <w:rsid w:val="00CE363E"/>
    <w:rsid w:val="00CF1430"/>
    <w:rsid w:val="00CF1AE4"/>
    <w:rsid w:val="00CF2D1C"/>
    <w:rsid w:val="00CF4A99"/>
    <w:rsid w:val="00D0046C"/>
    <w:rsid w:val="00D00979"/>
    <w:rsid w:val="00D01E3B"/>
    <w:rsid w:val="00D048EE"/>
    <w:rsid w:val="00D06EEA"/>
    <w:rsid w:val="00D11946"/>
    <w:rsid w:val="00D14F71"/>
    <w:rsid w:val="00D15612"/>
    <w:rsid w:val="00D17A89"/>
    <w:rsid w:val="00D21619"/>
    <w:rsid w:val="00D21B1B"/>
    <w:rsid w:val="00D220B5"/>
    <w:rsid w:val="00D23AAB"/>
    <w:rsid w:val="00D32832"/>
    <w:rsid w:val="00D33C76"/>
    <w:rsid w:val="00D33C9E"/>
    <w:rsid w:val="00D34827"/>
    <w:rsid w:val="00D41F8D"/>
    <w:rsid w:val="00D451AB"/>
    <w:rsid w:val="00D50991"/>
    <w:rsid w:val="00D55962"/>
    <w:rsid w:val="00D578AF"/>
    <w:rsid w:val="00D57AFA"/>
    <w:rsid w:val="00D61DA0"/>
    <w:rsid w:val="00D65D7A"/>
    <w:rsid w:val="00D6793A"/>
    <w:rsid w:val="00D7347C"/>
    <w:rsid w:val="00D73CE6"/>
    <w:rsid w:val="00D74D7F"/>
    <w:rsid w:val="00D77F76"/>
    <w:rsid w:val="00D80F6F"/>
    <w:rsid w:val="00D846DD"/>
    <w:rsid w:val="00D86B9E"/>
    <w:rsid w:val="00D90014"/>
    <w:rsid w:val="00D9342C"/>
    <w:rsid w:val="00D944CB"/>
    <w:rsid w:val="00DA59FA"/>
    <w:rsid w:val="00DB01EE"/>
    <w:rsid w:val="00DB295F"/>
    <w:rsid w:val="00DB3826"/>
    <w:rsid w:val="00DB47DC"/>
    <w:rsid w:val="00DB74F2"/>
    <w:rsid w:val="00DC5687"/>
    <w:rsid w:val="00DC641E"/>
    <w:rsid w:val="00DC7A5D"/>
    <w:rsid w:val="00DD1CF8"/>
    <w:rsid w:val="00DD6102"/>
    <w:rsid w:val="00DD71F1"/>
    <w:rsid w:val="00DD7B85"/>
    <w:rsid w:val="00DE00C5"/>
    <w:rsid w:val="00DE3FB5"/>
    <w:rsid w:val="00DF7B56"/>
    <w:rsid w:val="00E00D0A"/>
    <w:rsid w:val="00E07B93"/>
    <w:rsid w:val="00E07E15"/>
    <w:rsid w:val="00E11CD8"/>
    <w:rsid w:val="00E161F8"/>
    <w:rsid w:val="00E26160"/>
    <w:rsid w:val="00E3026B"/>
    <w:rsid w:val="00E3053E"/>
    <w:rsid w:val="00E32815"/>
    <w:rsid w:val="00E36CC6"/>
    <w:rsid w:val="00E40596"/>
    <w:rsid w:val="00E41B77"/>
    <w:rsid w:val="00E4323F"/>
    <w:rsid w:val="00E45EC3"/>
    <w:rsid w:val="00E47C4F"/>
    <w:rsid w:val="00E541A3"/>
    <w:rsid w:val="00E54447"/>
    <w:rsid w:val="00E637BB"/>
    <w:rsid w:val="00E638C8"/>
    <w:rsid w:val="00E658DD"/>
    <w:rsid w:val="00E65D7E"/>
    <w:rsid w:val="00E65F5F"/>
    <w:rsid w:val="00E82204"/>
    <w:rsid w:val="00E8377B"/>
    <w:rsid w:val="00E83A77"/>
    <w:rsid w:val="00E8796C"/>
    <w:rsid w:val="00E90251"/>
    <w:rsid w:val="00E96591"/>
    <w:rsid w:val="00E96877"/>
    <w:rsid w:val="00E978BF"/>
    <w:rsid w:val="00EA1188"/>
    <w:rsid w:val="00EA456D"/>
    <w:rsid w:val="00EB0752"/>
    <w:rsid w:val="00EC0997"/>
    <w:rsid w:val="00ED30F4"/>
    <w:rsid w:val="00ED43BB"/>
    <w:rsid w:val="00ED68E9"/>
    <w:rsid w:val="00ED7F52"/>
    <w:rsid w:val="00EE1FC2"/>
    <w:rsid w:val="00EF670C"/>
    <w:rsid w:val="00EF78EC"/>
    <w:rsid w:val="00F005FB"/>
    <w:rsid w:val="00F138AD"/>
    <w:rsid w:val="00F1455B"/>
    <w:rsid w:val="00F16D36"/>
    <w:rsid w:val="00F17A8E"/>
    <w:rsid w:val="00F210FD"/>
    <w:rsid w:val="00F33087"/>
    <w:rsid w:val="00F350B2"/>
    <w:rsid w:val="00F372A2"/>
    <w:rsid w:val="00F4243D"/>
    <w:rsid w:val="00F45BA7"/>
    <w:rsid w:val="00F45BE9"/>
    <w:rsid w:val="00F46308"/>
    <w:rsid w:val="00F46F4A"/>
    <w:rsid w:val="00F60788"/>
    <w:rsid w:val="00F7063D"/>
    <w:rsid w:val="00F7168A"/>
    <w:rsid w:val="00F734AD"/>
    <w:rsid w:val="00F76618"/>
    <w:rsid w:val="00F76E42"/>
    <w:rsid w:val="00F84292"/>
    <w:rsid w:val="00F85E04"/>
    <w:rsid w:val="00F92643"/>
    <w:rsid w:val="00F936B3"/>
    <w:rsid w:val="00F97F7D"/>
    <w:rsid w:val="00FA0333"/>
    <w:rsid w:val="00FA19D5"/>
    <w:rsid w:val="00FA3EE8"/>
    <w:rsid w:val="00FA7B83"/>
    <w:rsid w:val="00FB3E2C"/>
    <w:rsid w:val="00FC19B9"/>
    <w:rsid w:val="00FD00A5"/>
    <w:rsid w:val="00FD4B0F"/>
    <w:rsid w:val="00FF0C09"/>
    <w:rsid w:val="00FF1596"/>
    <w:rsid w:val="011D7F5E"/>
    <w:rsid w:val="01CE5D1C"/>
    <w:rsid w:val="039E595D"/>
    <w:rsid w:val="03AE6CC3"/>
    <w:rsid w:val="054357E3"/>
    <w:rsid w:val="08083403"/>
    <w:rsid w:val="0A091F73"/>
    <w:rsid w:val="0A8504E9"/>
    <w:rsid w:val="0C5A1101"/>
    <w:rsid w:val="0D92619C"/>
    <w:rsid w:val="0F055463"/>
    <w:rsid w:val="0F412CA9"/>
    <w:rsid w:val="0F41487C"/>
    <w:rsid w:val="0FD566D2"/>
    <w:rsid w:val="12A960B1"/>
    <w:rsid w:val="14034EB5"/>
    <w:rsid w:val="14870494"/>
    <w:rsid w:val="15085E8C"/>
    <w:rsid w:val="15174F60"/>
    <w:rsid w:val="167D7F24"/>
    <w:rsid w:val="17306AB5"/>
    <w:rsid w:val="19A054D6"/>
    <w:rsid w:val="1A654388"/>
    <w:rsid w:val="1B0717C8"/>
    <w:rsid w:val="1BE33681"/>
    <w:rsid w:val="1DC3697C"/>
    <w:rsid w:val="21862EC6"/>
    <w:rsid w:val="21A0144E"/>
    <w:rsid w:val="228C6A53"/>
    <w:rsid w:val="22C7327B"/>
    <w:rsid w:val="241A0B29"/>
    <w:rsid w:val="285939E6"/>
    <w:rsid w:val="2C4F36F5"/>
    <w:rsid w:val="2CB40CA3"/>
    <w:rsid w:val="2D5F22BD"/>
    <w:rsid w:val="2F8A246F"/>
    <w:rsid w:val="2F9B5F0A"/>
    <w:rsid w:val="304E2C0D"/>
    <w:rsid w:val="314F023E"/>
    <w:rsid w:val="32965963"/>
    <w:rsid w:val="32DF2AD1"/>
    <w:rsid w:val="365875C5"/>
    <w:rsid w:val="38173FAE"/>
    <w:rsid w:val="39356049"/>
    <w:rsid w:val="3F8C7277"/>
    <w:rsid w:val="3FA0222F"/>
    <w:rsid w:val="400B3361"/>
    <w:rsid w:val="40CF0629"/>
    <w:rsid w:val="42D769B6"/>
    <w:rsid w:val="432F724D"/>
    <w:rsid w:val="44F600D3"/>
    <w:rsid w:val="45617704"/>
    <w:rsid w:val="481728B6"/>
    <w:rsid w:val="48B048DB"/>
    <w:rsid w:val="4A2C0F8D"/>
    <w:rsid w:val="4BA1068B"/>
    <w:rsid w:val="4BE257EF"/>
    <w:rsid w:val="4C355D89"/>
    <w:rsid w:val="4C8C504C"/>
    <w:rsid w:val="4CFE380A"/>
    <w:rsid w:val="4D862B8C"/>
    <w:rsid w:val="4D9C3704"/>
    <w:rsid w:val="4EF47599"/>
    <w:rsid w:val="4EF86F9D"/>
    <w:rsid w:val="4FE3578A"/>
    <w:rsid w:val="51811573"/>
    <w:rsid w:val="54E94B5B"/>
    <w:rsid w:val="553A362D"/>
    <w:rsid w:val="55661639"/>
    <w:rsid w:val="55761622"/>
    <w:rsid w:val="58907ECB"/>
    <w:rsid w:val="59846A7A"/>
    <w:rsid w:val="5B7C2D04"/>
    <w:rsid w:val="5BD857FA"/>
    <w:rsid w:val="5DE566C1"/>
    <w:rsid w:val="5E202145"/>
    <w:rsid w:val="5E4E433F"/>
    <w:rsid w:val="5E777F35"/>
    <w:rsid w:val="5EDD72D7"/>
    <w:rsid w:val="6031647B"/>
    <w:rsid w:val="611834CF"/>
    <w:rsid w:val="62575FB3"/>
    <w:rsid w:val="65876467"/>
    <w:rsid w:val="65DC5F55"/>
    <w:rsid w:val="69006D22"/>
    <w:rsid w:val="693357D9"/>
    <w:rsid w:val="693F388B"/>
    <w:rsid w:val="6A674B7F"/>
    <w:rsid w:val="6C751800"/>
    <w:rsid w:val="6D5D7FD3"/>
    <w:rsid w:val="6D5E16D0"/>
    <w:rsid w:val="6D79086B"/>
    <w:rsid w:val="6DBA21A1"/>
    <w:rsid w:val="6F765125"/>
    <w:rsid w:val="73756CD5"/>
    <w:rsid w:val="754B7008"/>
    <w:rsid w:val="75B97337"/>
    <w:rsid w:val="780C3B22"/>
    <w:rsid w:val="7AF5051C"/>
    <w:rsid w:val="7BBA680A"/>
    <w:rsid w:val="7DB93602"/>
    <w:rsid w:val="7E003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733532"/>
  <w15:docId w15:val="{AA00AE72-9DCA-40F8-9F61-A73707E2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Calibr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pPr>
      <w:widowControl w:val="0"/>
      <w:jc w:val="both"/>
    </w:pPr>
    <w:rPr>
      <w:rFonts w:ascii="Times New Roman" w:hAnsi="Times New Roman" w:cs="Times New Roman"/>
      <w:kern w:val="2"/>
      <w:sz w:val="21"/>
      <w:szCs w:val="24"/>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f0">
    <w:name w:val="footer"/>
    <w:basedOn w:val="ac"/>
    <w:link w:val="af1"/>
    <w:qFormat/>
    <w:pPr>
      <w:tabs>
        <w:tab w:val="center" w:pos="4153"/>
        <w:tab w:val="right" w:pos="8306"/>
      </w:tabs>
      <w:snapToGrid w:val="0"/>
      <w:jc w:val="left"/>
    </w:pPr>
    <w:rPr>
      <w:sz w:val="18"/>
      <w:szCs w:val="18"/>
    </w:rPr>
  </w:style>
  <w:style w:type="paragraph" w:styleId="af2">
    <w:name w:val="header"/>
    <w:basedOn w:val="ac"/>
    <w:link w:val="af3"/>
    <w:qFormat/>
    <w:pPr>
      <w:pBdr>
        <w:bottom w:val="single" w:sz="6" w:space="1" w:color="auto"/>
      </w:pBdr>
      <w:tabs>
        <w:tab w:val="center" w:pos="4153"/>
        <w:tab w:val="right" w:pos="8306"/>
      </w:tabs>
      <w:snapToGrid w:val="0"/>
      <w:jc w:val="center"/>
    </w:pPr>
    <w:rPr>
      <w:sz w:val="18"/>
      <w:szCs w:val="18"/>
    </w:rPr>
  </w:style>
  <w:style w:type="paragraph" w:styleId="af4">
    <w:name w:val="Normal (Web)"/>
    <w:basedOn w:val="ac"/>
    <w:qFormat/>
    <w:pPr>
      <w:spacing w:before="100" w:beforeAutospacing="1" w:after="100" w:afterAutospacing="1"/>
      <w:jc w:val="left"/>
    </w:pPr>
    <w:rPr>
      <w:kern w:val="0"/>
      <w:sz w:val="24"/>
    </w:rPr>
  </w:style>
  <w:style w:type="table" w:styleId="af5">
    <w:name w:val="Table Grid"/>
    <w:basedOn w:val="ae"/>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6">
    <w:name w:val="Hyperlink"/>
    <w:basedOn w:val="ad"/>
    <w:uiPriority w:val="99"/>
    <w:unhideWhenUsed/>
    <w:qFormat/>
    <w:rPr>
      <w:color w:val="0000FF"/>
      <w:u w:val="single"/>
    </w:rPr>
  </w:style>
  <w:style w:type="paragraph" w:customStyle="1" w:styleId="af7">
    <w:name w:val="段"/>
    <w:link w:val="Char"/>
    <w:qFormat/>
    <w:pPr>
      <w:tabs>
        <w:tab w:val="center" w:pos="4201"/>
        <w:tab w:val="right" w:leader="dot" w:pos="9298"/>
      </w:tabs>
      <w:autoSpaceDE w:val="0"/>
      <w:autoSpaceDN w:val="0"/>
      <w:ind w:firstLineChars="200" w:firstLine="420"/>
      <w:jc w:val="both"/>
    </w:pPr>
    <w:rPr>
      <w:rFonts w:ascii="宋体" w:hAnsi="Times New Roman" w:cs="Times New Roman"/>
      <w:sz w:val="21"/>
    </w:rPr>
  </w:style>
  <w:style w:type="paragraph" w:customStyle="1" w:styleId="af8">
    <w:name w:val="正文表标题"/>
    <w:next w:val="af7"/>
    <w:qFormat/>
    <w:pPr>
      <w:spacing w:beforeLines="50" w:before="156" w:afterLines="50" w:after="156"/>
      <w:jc w:val="center"/>
    </w:pPr>
    <w:rPr>
      <w:rFonts w:ascii="黑体" w:eastAsia="黑体" w:hAnsi="Times New Roman" w:cs="Times New Roman"/>
      <w:sz w:val="21"/>
    </w:rPr>
  </w:style>
  <w:style w:type="paragraph" w:customStyle="1" w:styleId="ab">
    <w:name w:val="正文图标题"/>
    <w:next w:val="af7"/>
    <w:qFormat/>
    <w:pPr>
      <w:numPr>
        <w:numId w:val="1"/>
      </w:numPr>
      <w:tabs>
        <w:tab w:val="left" w:pos="360"/>
      </w:tabs>
      <w:spacing w:beforeLines="50" w:before="156" w:afterLines="50" w:after="156"/>
      <w:jc w:val="center"/>
    </w:pPr>
    <w:rPr>
      <w:rFonts w:ascii="黑体" w:eastAsia="黑体" w:hAnsi="Times New Roman" w:cs="Times New Roman"/>
      <w:sz w:val="21"/>
    </w:rPr>
  </w:style>
  <w:style w:type="paragraph" w:customStyle="1" w:styleId="aa">
    <w:name w:val="其他发布日期"/>
    <w:basedOn w:val="ac"/>
    <w:qFormat/>
    <w:pPr>
      <w:framePr w:w="3997" w:h="471" w:hRule="exact" w:vSpace="181" w:wrap="around" w:vAnchor="page" w:hAnchor="page" w:x="1419" w:y="14097" w:anchorLock="1"/>
      <w:widowControl/>
      <w:numPr>
        <w:numId w:val="2"/>
      </w:numPr>
      <w:jc w:val="left"/>
    </w:pPr>
    <w:rPr>
      <w:rFonts w:eastAsia="黑体"/>
      <w:kern w:val="0"/>
      <w:sz w:val="28"/>
      <w:szCs w:val="20"/>
    </w:rPr>
  </w:style>
  <w:style w:type="paragraph" w:customStyle="1" w:styleId="a3">
    <w:name w:val="一级条标题"/>
    <w:next w:val="af7"/>
    <w:qFormat/>
    <w:pPr>
      <w:numPr>
        <w:ilvl w:val="1"/>
        <w:numId w:val="3"/>
      </w:numPr>
      <w:spacing w:beforeLines="50" w:before="156" w:afterLines="50" w:after="156"/>
      <w:outlineLvl w:val="2"/>
    </w:pPr>
    <w:rPr>
      <w:rFonts w:ascii="黑体" w:eastAsia="黑体" w:hAnsi="Times New Roman" w:cs="Times New Roman"/>
      <w:sz w:val="21"/>
      <w:szCs w:val="21"/>
    </w:rPr>
  </w:style>
  <w:style w:type="paragraph" w:customStyle="1" w:styleId="a2">
    <w:name w:val="章标题"/>
    <w:next w:val="af7"/>
    <w:qFormat/>
    <w:pPr>
      <w:numPr>
        <w:numId w:val="3"/>
      </w:numPr>
      <w:spacing w:beforeLines="100" w:before="312" w:afterLines="100" w:after="312"/>
      <w:jc w:val="both"/>
      <w:outlineLvl w:val="1"/>
    </w:pPr>
    <w:rPr>
      <w:rFonts w:ascii="黑体" w:eastAsia="黑体" w:hAnsi="Times New Roman" w:cs="Times New Roman"/>
      <w:sz w:val="21"/>
    </w:rPr>
  </w:style>
  <w:style w:type="paragraph" w:customStyle="1" w:styleId="a4">
    <w:name w:val="二级条标题"/>
    <w:basedOn w:val="a3"/>
    <w:next w:val="af7"/>
    <w:qFormat/>
    <w:pPr>
      <w:numPr>
        <w:ilvl w:val="2"/>
      </w:numPr>
      <w:spacing w:before="50" w:after="50"/>
      <w:outlineLvl w:val="3"/>
    </w:pPr>
  </w:style>
  <w:style w:type="paragraph" w:customStyle="1" w:styleId="a5">
    <w:name w:val="三级条标题"/>
    <w:basedOn w:val="a4"/>
    <w:next w:val="af7"/>
    <w:qFormat/>
    <w:pPr>
      <w:numPr>
        <w:ilvl w:val="3"/>
      </w:numPr>
      <w:outlineLvl w:val="4"/>
    </w:pPr>
  </w:style>
  <w:style w:type="paragraph" w:customStyle="1" w:styleId="a6">
    <w:name w:val="四级条标题"/>
    <w:basedOn w:val="a5"/>
    <w:next w:val="af7"/>
    <w:qFormat/>
    <w:pPr>
      <w:numPr>
        <w:ilvl w:val="4"/>
      </w:numPr>
      <w:outlineLvl w:val="5"/>
    </w:pPr>
  </w:style>
  <w:style w:type="paragraph" w:customStyle="1" w:styleId="a7">
    <w:name w:val="五级条标题"/>
    <w:basedOn w:val="a6"/>
    <w:next w:val="af7"/>
    <w:qFormat/>
    <w:pPr>
      <w:numPr>
        <w:ilvl w:val="5"/>
      </w:numPr>
      <w:outlineLvl w:val="6"/>
    </w:pPr>
  </w:style>
  <w:style w:type="paragraph" w:customStyle="1" w:styleId="a">
    <w:name w:val="注："/>
    <w:next w:val="af7"/>
    <w:qFormat/>
    <w:pPr>
      <w:widowControl w:val="0"/>
      <w:numPr>
        <w:numId w:val="4"/>
      </w:numPr>
      <w:autoSpaceDE w:val="0"/>
      <w:autoSpaceDN w:val="0"/>
      <w:ind w:left="726" w:hanging="363"/>
      <w:jc w:val="both"/>
    </w:pPr>
    <w:rPr>
      <w:rFonts w:ascii="宋体" w:hAnsi="Times New Roman" w:cs="Times New Roman"/>
      <w:sz w:val="18"/>
      <w:szCs w:val="18"/>
    </w:rPr>
  </w:style>
  <w:style w:type="paragraph" w:customStyle="1" w:styleId="a8">
    <w:name w:val="附录图标号"/>
    <w:basedOn w:val="ac"/>
    <w:qFormat/>
    <w:pPr>
      <w:keepNext/>
      <w:pageBreakBefore/>
      <w:widowControl/>
      <w:numPr>
        <w:numId w:val="5"/>
      </w:numPr>
      <w:spacing w:line="14" w:lineRule="exact"/>
      <w:ind w:left="0" w:firstLine="363"/>
      <w:jc w:val="center"/>
      <w:outlineLvl w:val="0"/>
    </w:pPr>
    <w:rPr>
      <w:color w:val="FFFFFF"/>
    </w:rPr>
  </w:style>
  <w:style w:type="paragraph" w:customStyle="1" w:styleId="a9">
    <w:name w:val="附录图标题"/>
    <w:basedOn w:val="ac"/>
    <w:next w:val="af7"/>
    <w:qFormat/>
    <w:pPr>
      <w:numPr>
        <w:ilvl w:val="1"/>
        <w:numId w:val="5"/>
      </w:numPr>
      <w:tabs>
        <w:tab w:val="left" w:pos="363"/>
      </w:tabs>
      <w:spacing w:beforeLines="50" w:before="50" w:afterLines="50" w:after="50"/>
      <w:ind w:left="0" w:firstLine="0"/>
      <w:jc w:val="center"/>
    </w:pPr>
    <w:rPr>
      <w:rFonts w:ascii="黑体" w:eastAsia="黑体"/>
      <w:szCs w:val="21"/>
    </w:rPr>
  </w:style>
  <w:style w:type="paragraph" w:customStyle="1" w:styleId="a1">
    <w:name w:val="注×：（正文）"/>
    <w:qFormat/>
    <w:pPr>
      <w:numPr>
        <w:numId w:val="6"/>
      </w:numPr>
      <w:jc w:val="both"/>
    </w:pPr>
    <w:rPr>
      <w:rFonts w:ascii="宋体" w:hAnsi="Times New Roman" w:cs="Times New Roman"/>
      <w:sz w:val="18"/>
      <w:szCs w:val="18"/>
    </w:rPr>
  </w:style>
  <w:style w:type="paragraph" w:customStyle="1" w:styleId="a0">
    <w:name w:val="图表脚注说明"/>
    <w:basedOn w:val="ac"/>
    <w:qFormat/>
    <w:pPr>
      <w:numPr>
        <w:numId w:val="7"/>
      </w:numPr>
    </w:pPr>
    <w:rPr>
      <w:rFonts w:ascii="宋体"/>
      <w:sz w:val="18"/>
      <w:szCs w:val="18"/>
    </w:rPr>
  </w:style>
  <w:style w:type="character" w:customStyle="1" w:styleId="Char">
    <w:name w:val="段 Char"/>
    <w:basedOn w:val="ad"/>
    <w:link w:val="af7"/>
    <w:qFormat/>
    <w:rPr>
      <w:rFonts w:ascii="宋体"/>
      <w:sz w:val="21"/>
      <w:lang w:val="en-US" w:eastAsia="zh-CN" w:bidi="ar-SA"/>
    </w:rPr>
  </w:style>
  <w:style w:type="character" w:customStyle="1" w:styleId="af3">
    <w:name w:val="页眉 字符"/>
    <w:basedOn w:val="ad"/>
    <w:link w:val="af2"/>
    <w:qFormat/>
    <w:rPr>
      <w:kern w:val="2"/>
      <w:sz w:val="18"/>
      <w:szCs w:val="18"/>
    </w:rPr>
  </w:style>
  <w:style w:type="character" w:customStyle="1" w:styleId="af1">
    <w:name w:val="页脚 字符"/>
    <w:basedOn w:val="ad"/>
    <w:link w:val="af0"/>
    <w:qFormat/>
    <w:rPr>
      <w:kern w:val="2"/>
      <w:sz w:val="18"/>
      <w:szCs w:val="18"/>
    </w:rPr>
  </w:style>
  <w:style w:type="paragraph" w:styleId="af9">
    <w:name w:val="List Paragraph"/>
    <w:basedOn w:val="ac"/>
    <w:uiPriority w:val="99"/>
    <w:unhideWhenUsed/>
    <w:qFormat/>
    <w:pPr>
      <w:ind w:firstLineChars="200" w:firstLine="420"/>
    </w:pPr>
  </w:style>
  <w:style w:type="paragraph" w:customStyle="1" w:styleId="afa">
    <w:name w:val="标准文件_段"/>
    <w:link w:val="Char0"/>
    <w:qFormat/>
    <w:pPr>
      <w:autoSpaceDE w:val="0"/>
      <w:autoSpaceDN w:val="0"/>
      <w:ind w:firstLineChars="200" w:firstLine="200"/>
      <w:jc w:val="both"/>
    </w:pPr>
    <w:rPr>
      <w:rFonts w:ascii="宋体" w:hAnsi="Times New Roman" w:cs="Times New Roman"/>
      <w:sz w:val="21"/>
    </w:rPr>
  </w:style>
  <w:style w:type="character" w:customStyle="1" w:styleId="Char0">
    <w:name w:val="标准文件_段 Char"/>
    <w:link w:val="afa"/>
    <w:qFormat/>
    <w:rPr>
      <w:rFonts w:ascii="宋体"/>
      <w:sz w:val="21"/>
    </w:rPr>
  </w:style>
  <w:style w:type="paragraph" w:customStyle="1" w:styleId="1">
    <w:name w:val="正文1"/>
    <w:qFormat/>
    <w:pPr>
      <w:jc w:val="both"/>
    </w:pPr>
    <w:rPr>
      <w:rFonts w:ascii="Times New Roman" w:hAnsi="Times New Roman" w:cs="Times New Roman"/>
      <w:kern w:val="2"/>
      <w:sz w:val="21"/>
      <w:szCs w:val="21"/>
    </w:rPr>
  </w:style>
  <w:style w:type="paragraph" w:customStyle="1" w:styleId="2">
    <w:name w:val="正文2"/>
    <w:basedOn w:val="ac"/>
    <w:qFormat/>
    <w:pPr>
      <w:widowControl/>
    </w:pPr>
    <w:rPr>
      <w:szCs w:val="21"/>
    </w:rPr>
  </w:style>
  <w:style w:type="character" w:customStyle="1" w:styleId="hj21">
    <w:name w:val="hj21"/>
    <w:qFormat/>
    <w:rPr>
      <w:sz w:val="20"/>
      <w:szCs w:val="20"/>
    </w:rPr>
  </w:style>
  <w:style w:type="paragraph" w:styleId="afb">
    <w:name w:val="Balloon Text"/>
    <w:basedOn w:val="ac"/>
    <w:link w:val="afc"/>
    <w:rsid w:val="00D90014"/>
    <w:rPr>
      <w:sz w:val="18"/>
      <w:szCs w:val="18"/>
    </w:rPr>
  </w:style>
  <w:style w:type="character" w:customStyle="1" w:styleId="afc">
    <w:name w:val="批注框文本 字符"/>
    <w:basedOn w:val="ad"/>
    <w:link w:val="afb"/>
    <w:rsid w:val="00D90014"/>
    <w:rPr>
      <w:rFonts w:ascii="Times New Roman"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AD3C35-F32D-4D3B-A7A6-471D43747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9</Pages>
  <Words>708</Words>
  <Characters>4038</Characters>
  <Application>Microsoft Office Word</Application>
  <DocSecurity>0</DocSecurity>
  <Lines>33</Lines>
  <Paragraphs>9</Paragraphs>
  <ScaleCrop>false</ScaleCrop>
  <Company>WWW.YlmF.CoM</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广西地方标准《脱氢枞酸》（征求意见稿）</dc:title>
  <dc:creator>USER</dc:creator>
  <cp:lastModifiedBy>dan</cp:lastModifiedBy>
  <cp:revision>26</cp:revision>
  <cp:lastPrinted>2019-07-10T11:21:00Z</cp:lastPrinted>
  <dcterms:created xsi:type="dcterms:W3CDTF">2021-10-08T09:58:00Z</dcterms:created>
  <dcterms:modified xsi:type="dcterms:W3CDTF">2023-05-05T11:07:00Z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18A4B90EEE324E7F9F06B44B76153C4F</vt:lpwstr>
  </property>
</Properties>
</file>