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宋体" w:eastAsia="方正小标宋_GBK"/>
          <w:color w:val="000000"/>
          <w:sz w:val="44"/>
          <w:szCs w:val="32"/>
        </w:rPr>
      </w:pPr>
      <w:r>
        <w:rPr>
          <w:rFonts w:hint="eastAsia" w:ascii="方正小标宋_GBK" w:hAnsi="宋体" w:eastAsia="方正小标宋_GBK"/>
          <w:color w:val="000000"/>
          <w:sz w:val="44"/>
          <w:szCs w:val="32"/>
        </w:rPr>
        <w:t>团体标准《地表水水质自动监测站站址论证技术规范》（</w:t>
      </w:r>
      <w:r>
        <w:rPr>
          <w:rFonts w:hint="eastAsia" w:ascii="方正小标宋_GBK" w:hAnsi="宋体" w:eastAsia="方正小标宋_GBK"/>
          <w:color w:val="000000"/>
          <w:sz w:val="44"/>
          <w:szCs w:val="32"/>
          <w:lang w:eastAsia="zh-CN"/>
        </w:rPr>
        <w:t>征求意见</w:t>
      </w:r>
      <w:r>
        <w:rPr>
          <w:rFonts w:hint="eastAsia" w:ascii="方正小标宋_GBK" w:hAnsi="宋体" w:eastAsia="方正小标宋_GBK"/>
          <w:color w:val="000000"/>
          <w:sz w:val="44"/>
          <w:szCs w:val="32"/>
        </w:rPr>
        <w:t>稿）编制说明</w:t>
      </w:r>
    </w:p>
    <w:p>
      <w:pPr>
        <w:spacing w:line="600" w:lineRule="exact"/>
        <w:jc w:val="center"/>
        <w:rPr>
          <w:rFonts w:ascii="方正小标宋简体" w:hAnsi="宋体" w:eastAsia="方正小标宋简体"/>
          <w:color w:val="000000"/>
          <w:sz w:val="44"/>
          <w:szCs w:val="32"/>
        </w:rPr>
      </w:pPr>
    </w:p>
    <w:p>
      <w:pPr>
        <w:spacing w:line="600" w:lineRule="exact"/>
        <w:jc w:val="center"/>
        <w:rPr>
          <w:rFonts w:ascii="方正小标宋简体" w:hAnsi="宋体" w:eastAsia="方正小标宋简体"/>
          <w:color w:val="000000"/>
          <w:sz w:val="44"/>
          <w:szCs w:val="32"/>
        </w:rPr>
      </w:pPr>
      <w:bookmarkStart w:id="2" w:name="_GoBack"/>
      <w:bookmarkEnd w:id="2"/>
    </w:p>
    <w:p>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一、工作简况</w:t>
      </w:r>
    </w:p>
    <w:p>
      <w:pPr>
        <w:autoSpaceDE w:val="0"/>
        <w:autoSpaceDN w:val="0"/>
        <w:adjustRightInd w:val="0"/>
        <w:spacing w:before="156" w:beforeLines="50" w:after="156" w:afterLines="50"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（一）项目来源</w:t>
      </w:r>
    </w:p>
    <w:p>
      <w:pPr>
        <w:ind w:firstLine="640" w:firstLineChars="200"/>
        <w:rPr>
          <w:rFonts w:ascii="仿宋_GB2312" w:hAnsi="宋体" w:eastAsia="仿宋_GB2312"/>
          <w:sz w:val="32"/>
          <w:szCs w:val="28"/>
        </w:rPr>
      </w:pPr>
      <w:r>
        <w:rPr>
          <w:rFonts w:hint="eastAsia" w:ascii="仿宋_GB2312" w:hAnsi="宋体" w:eastAsia="仿宋_GB2312"/>
          <w:sz w:val="32"/>
          <w:szCs w:val="28"/>
        </w:rPr>
        <w:t>根据《广西标准化协会关于下达2022年第七十八批团体标准制修订项目计划的通知》（桂标协〔202</w:t>
      </w:r>
      <w:r>
        <w:rPr>
          <w:rFonts w:ascii="仿宋_GB2312" w:hAnsi="宋体" w:eastAsia="仿宋_GB2312"/>
          <w:sz w:val="32"/>
          <w:szCs w:val="28"/>
        </w:rPr>
        <w:t>2</w:t>
      </w:r>
      <w:r>
        <w:rPr>
          <w:rFonts w:hint="eastAsia" w:ascii="仿宋_GB2312" w:hAnsi="宋体" w:eastAsia="仿宋_GB2312"/>
          <w:sz w:val="32"/>
          <w:szCs w:val="28"/>
        </w:rPr>
        <w:t>〕</w:t>
      </w:r>
      <w:r>
        <w:rPr>
          <w:rFonts w:ascii="仿宋_GB2312" w:hAnsi="宋体" w:eastAsia="仿宋_GB2312"/>
          <w:sz w:val="32"/>
          <w:szCs w:val="28"/>
        </w:rPr>
        <w:t>188</w:t>
      </w:r>
      <w:r>
        <w:rPr>
          <w:rFonts w:hint="eastAsia" w:ascii="仿宋_GB2312" w:hAnsi="宋体" w:eastAsia="仿宋_GB2312"/>
          <w:sz w:val="32"/>
          <w:szCs w:val="28"/>
        </w:rPr>
        <w:t>号）文件精神，由广西壮族自治区环境保护产业协会提出，由广西壮族自治区生态环境监测中心、广西壮族自治区桂林生态环境监测中心、广西壮族自治区玉林生态环境监测中心、广西壮族自治区河池生态环境监测中心共同起草的团体标准《地表水水质自动监测站站址论证技术规范》（项目编号：202</w:t>
      </w:r>
      <w:r>
        <w:rPr>
          <w:rFonts w:ascii="仿宋_GB2312" w:hAnsi="宋体" w:eastAsia="仿宋_GB2312"/>
          <w:sz w:val="32"/>
          <w:szCs w:val="28"/>
        </w:rPr>
        <w:t>2</w:t>
      </w:r>
      <w:r>
        <w:rPr>
          <w:rFonts w:hint="eastAsia" w:ascii="仿宋_GB2312" w:hAnsi="宋体" w:eastAsia="仿宋_GB2312"/>
          <w:sz w:val="32"/>
          <w:szCs w:val="28"/>
        </w:rPr>
        <w:t>-</w:t>
      </w:r>
      <w:r>
        <w:rPr>
          <w:rFonts w:ascii="仿宋_GB2312" w:hAnsi="宋体" w:eastAsia="仿宋_GB2312"/>
          <w:sz w:val="32"/>
          <w:szCs w:val="28"/>
        </w:rPr>
        <w:t>7802</w:t>
      </w:r>
      <w:r>
        <w:rPr>
          <w:rFonts w:hint="eastAsia" w:ascii="仿宋_GB2312" w:hAnsi="宋体" w:eastAsia="仿宋_GB2312"/>
          <w:sz w:val="32"/>
          <w:szCs w:val="28"/>
        </w:rPr>
        <w:t>）获批立项。</w:t>
      </w:r>
    </w:p>
    <w:p>
      <w:pPr>
        <w:autoSpaceDE w:val="0"/>
        <w:autoSpaceDN w:val="0"/>
        <w:adjustRightInd w:val="0"/>
        <w:spacing w:before="156" w:beforeLines="50" w:after="156" w:afterLines="50"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（二）项目背景及目的意义</w:t>
      </w:r>
    </w:p>
    <w:p>
      <w:pPr>
        <w:ind w:firstLine="640" w:firstLineChars="200"/>
        <w:rPr>
          <w:rFonts w:ascii="仿宋_GB2312" w:hAnsi="宋体" w:eastAsia="仿宋_GB2312"/>
          <w:sz w:val="32"/>
          <w:szCs w:val="28"/>
        </w:rPr>
      </w:pPr>
      <w:r>
        <w:rPr>
          <w:rFonts w:hint="eastAsia" w:ascii="仿宋_GB2312" w:hAnsi="宋体" w:eastAsia="仿宋_GB2312"/>
          <w:sz w:val="32"/>
          <w:szCs w:val="28"/>
        </w:rPr>
        <w:t>生态环境监测是生态环境保护的基础，是生态文明建设的重要支撑。党中央、国务院高度重视生态环境监测工作，《关于加快推进生态文明建设的意见》（中发〔2015〕12号）要求“健全覆盖所有资源环境要素的监测网络体系”；《生态环境监测网络建设方案》（国办发〔2015〕56号）就生态环境监测网络建设作出部署，提出全国生态环境监测网络基本实现环境质量、重点污染源、生态状况监测全覆盖，各级各类监测数据系统互联共享，监测预报预警、信息化能力和保障水平明显提升，监测与监管协同联动，初步建成陆海统筹、天地一体、上下协同、信息共享的生态环境监测网络，使生态环境监测能力与生态文明建设要求相适应。</w:t>
      </w:r>
    </w:p>
    <w:p>
      <w:pPr>
        <w:ind w:firstLine="640" w:firstLineChars="200"/>
        <w:rPr>
          <w:rFonts w:ascii="仿宋_GB2312" w:hAnsi="宋体" w:eastAsia="仿宋_GB2312"/>
          <w:sz w:val="32"/>
          <w:szCs w:val="28"/>
        </w:rPr>
      </w:pPr>
      <w:r>
        <w:rPr>
          <w:rFonts w:hint="eastAsia" w:ascii="仿宋_GB2312" w:hAnsi="宋体" w:eastAsia="仿宋_GB2312"/>
          <w:sz w:val="32"/>
          <w:szCs w:val="28"/>
        </w:rPr>
        <w:t>水质自动监测技术在广西地表水监测中得到了广泛的应用，全区的水质自动监测站（以下简称水站）的建设也取得了较大的进展，实施地表水水质的自动监测，可以实现水质的实时连续监测和远程监控，及时掌握主要流域重点断面水体的水质状况。</w:t>
      </w:r>
    </w:p>
    <w:p>
      <w:pPr>
        <w:ind w:firstLine="640" w:firstLineChars="200"/>
        <w:rPr>
          <w:rFonts w:ascii="仿宋_GB2312" w:hAnsi="宋体" w:eastAsia="仿宋_GB2312"/>
          <w:sz w:val="32"/>
          <w:szCs w:val="28"/>
        </w:rPr>
      </w:pPr>
      <w:r>
        <w:rPr>
          <w:rFonts w:hint="eastAsia" w:ascii="仿宋_GB2312" w:hAnsi="宋体" w:eastAsia="仿宋_GB2312"/>
          <w:sz w:val="32"/>
          <w:szCs w:val="28"/>
        </w:rPr>
        <w:t>水质自动监测站建设地点要求具有反映水环境质量状况的空间与时间代表性，满足环境管理的需要。</w:t>
      </w:r>
    </w:p>
    <w:p>
      <w:pPr>
        <w:ind w:firstLine="640" w:firstLineChars="200"/>
        <w:rPr>
          <w:rFonts w:ascii="仿宋_GB2312" w:hAnsi="宋体" w:eastAsia="仿宋_GB2312"/>
          <w:sz w:val="32"/>
          <w:szCs w:val="28"/>
        </w:rPr>
      </w:pPr>
      <w:r>
        <w:rPr>
          <w:rFonts w:hint="eastAsia" w:ascii="仿宋_GB2312" w:hAnsi="宋体" w:eastAsia="仿宋_GB2312"/>
          <w:sz w:val="32"/>
          <w:szCs w:val="28"/>
        </w:rPr>
        <w:t>目前国家尚未颁布相关地表水水质自动监测站建设地点及论证技术标准。因此，制定适用于广西管理的标准《地表水水质自动监测站站址论证技术指南》显得尤为重要。</w:t>
      </w:r>
    </w:p>
    <w:p>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（三）主要工作过程</w:t>
      </w:r>
    </w:p>
    <w:p>
      <w:pPr>
        <w:autoSpaceDE w:val="0"/>
        <w:autoSpaceDN w:val="0"/>
        <w:adjustRightInd w:val="0"/>
        <w:spacing w:before="156" w:beforeLines="50" w:after="156" w:afterLines="50"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（一）成立标准编制工作组</w:t>
      </w:r>
    </w:p>
    <w:p>
      <w:pPr>
        <w:ind w:firstLine="640" w:firstLineChars="200"/>
        <w:rPr>
          <w:rFonts w:ascii="仿宋_GB2312" w:hAnsi="宋体" w:eastAsia="仿宋_GB2312"/>
          <w:sz w:val="32"/>
          <w:szCs w:val="28"/>
        </w:rPr>
      </w:pPr>
      <w:r>
        <w:rPr>
          <w:rFonts w:hint="eastAsia" w:ascii="仿宋_GB2312" w:hAnsi="宋体" w:eastAsia="仿宋_GB2312"/>
          <w:sz w:val="32"/>
          <w:szCs w:val="28"/>
        </w:rPr>
        <w:t>团体标准《地表水水质自动监测站站址论证技术规范》项目任务下达后，广西壮族自治区生态环境监测中心、广西壮族自治区桂林生态环境监测中心、广西壮族自治区玉林生态环境监测中心、广西壮族自治区河池生态环境监测中心等</w:t>
      </w:r>
      <w:r>
        <w:rPr>
          <w:rFonts w:ascii="仿宋_GB2312" w:hAnsi="宋体" w:eastAsia="仿宋_GB2312"/>
          <w:sz w:val="32"/>
          <w:szCs w:val="28"/>
        </w:rPr>
        <w:t>单位</w:t>
      </w:r>
      <w:r>
        <w:rPr>
          <w:rFonts w:hint="eastAsia" w:ascii="仿宋_GB2312" w:hAnsi="宋体" w:eastAsia="仿宋_GB2312"/>
          <w:sz w:val="32"/>
          <w:szCs w:val="28"/>
        </w:rPr>
        <w:t>成立了标准编制工作组，起草单位制定了起草编写方案与进度安排，明确任务职责，确定工作技术路线，开展标准研制工作。</w:t>
      </w:r>
    </w:p>
    <w:p>
      <w:pPr>
        <w:ind w:firstLine="640" w:firstLineChars="200"/>
        <w:rPr>
          <w:rFonts w:ascii="仿宋_GB2312" w:hAnsi="宋体" w:eastAsia="仿宋_GB2312"/>
          <w:sz w:val="32"/>
          <w:szCs w:val="28"/>
        </w:rPr>
      </w:pPr>
      <w:r>
        <w:rPr>
          <w:rFonts w:hint="eastAsia" w:ascii="仿宋_GB2312" w:hAnsi="宋体" w:eastAsia="仿宋_GB2312"/>
          <w:sz w:val="32"/>
          <w:szCs w:val="28"/>
        </w:rPr>
        <w:t>张少梅为项目实施负责人，组员有自治区驻玉林、河池、桂林生态环境监测中心技术骨干、我中心黄伯当、李昆明、滕云梅、韦均、唐艳、林卉、周诗翔、蓝月存、陈叶。其中张少梅负责标准编制的组织、协调和方案总结等材料的编制工作；玉林生态环境监测中心吴雄平和河池生态环境监测中心韦英兰负责整理全区各级各类别的水站选址情况工作；张少梅负责编制的文本编制工作，其他同志负责标准编制的资料搜集和后勤保障工作。</w:t>
      </w:r>
    </w:p>
    <w:p>
      <w:pPr>
        <w:autoSpaceDE w:val="0"/>
        <w:autoSpaceDN w:val="0"/>
        <w:adjustRightInd w:val="0"/>
        <w:spacing w:before="156" w:beforeLines="50" w:after="156" w:afterLines="50"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（二）研讨确定标准主体内容</w:t>
      </w:r>
    </w:p>
    <w:p>
      <w:pPr>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本《技术规范》编写的内容主要包括适用范围、规范性引用文件、术语和定义、地表水水质自动监测站站址选择技术要求。</w:t>
      </w:r>
    </w:p>
    <w:p>
      <w:pPr>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本《技术规范》主要通过前往我区各地，对各管理层级和各类型的水质自动站进行考察调研，并在此基础上优化、总结形成文本材料。</w:t>
      </w:r>
    </w:p>
    <w:p>
      <w:pPr>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1</w:t>
      </w:r>
      <w:r>
        <w:rPr>
          <w:rFonts w:ascii="仿宋_GB2312" w:hAnsi="宋体" w:eastAsia="仿宋_GB2312"/>
          <w:sz w:val="32"/>
          <w:szCs w:val="28"/>
        </w:rPr>
        <w:t>.</w:t>
      </w:r>
      <w:r>
        <w:rPr>
          <w:rFonts w:hint="eastAsia" w:ascii="仿宋_GB2312" w:hAnsi="宋体" w:eastAsia="仿宋_GB2312"/>
          <w:sz w:val="32"/>
          <w:szCs w:val="28"/>
        </w:rPr>
        <w:t>实用性原则</w:t>
      </w:r>
    </w:p>
    <w:p>
      <w:pPr>
        <w:ind w:firstLine="640" w:firstLineChars="200"/>
        <w:rPr>
          <w:rFonts w:ascii="仿宋_GB2312" w:hAnsi="宋体" w:eastAsia="仿宋_GB2312"/>
          <w:sz w:val="32"/>
          <w:szCs w:val="28"/>
        </w:rPr>
      </w:pPr>
      <w:r>
        <w:rPr>
          <w:rFonts w:hint="eastAsia" w:ascii="仿宋_GB2312" w:hAnsi="宋体" w:eastAsia="仿宋_GB2312"/>
          <w:sz w:val="32"/>
          <w:szCs w:val="28"/>
        </w:rPr>
        <w:t>本文件是在充分收集相关资料和文献，分析广西地表水水质自动监测站站址现状，调研生态环境管理部门管理需求情况，在现有相关国家水站建设条件的基础上，结合广西水站建设需求而总结起草的，符合当前地表水水质自动站管理要求，具有较强的实用性和可操作性。</w:t>
      </w:r>
    </w:p>
    <w:p>
      <w:pPr>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2</w:t>
      </w:r>
      <w:r>
        <w:rPr>
          <w:rFonts w:ascii="仿宋_GB2312" w:hAnsi="宋体" w:eastAsia="仿宋_GB2312"/>
          <w:sz w:val="32"/>
          <w:szCs w:val="28"/>
        </w:rPr>
        <w:t>.</w:t>
      </w:r>
      <w:r>
        <w:rPr>
          <w:rFonts w:hint="eastAsia" w:ascii="仿宋_GB2312" w:hAnsi="宋体" w:eastAsia="仿宋_GB2312"/>
          <w:sz w:val="32"/>
          <w:szCs w:val="28"/>
        </w:rPr>
        <w:t>协调性原则</w:t>
      </w:r>
    </w:p>
    <w:p>
      <w:pPr>
        <w:ind w:firstLine="640" w:firstLineChars="200"/>
        <w:rPr>
          <w:rFonts w:ascii="仿宋_GB2312" w:hAnsi="宋体" w:eastAsia="仿宋_GB2312"/>
          <w:sz w:val="32"/>
          <w:szCs w:val="28"/>
        </w:rPr>
      </w:pPr>
      <w:r>
        <w:rPr>
          <w:rFonts w:hint="eastAsia" w:ascii="仿宋_GB2312" w:hAnsi="宋体" w:eastAsia="仿宋_GB2312"/>
          <w:sz w:val="32"/>
          <w:szCs w:val="28"/>
        </w:rPr>
        <w:t>本文件编写过程中注意了与地表水水质自动监测相关技术协调问题，在内容上与现行法律法规、标准协调一致。</w:t>
      </w:r>
    </w:p>
    <w:p>
      <w:pPr>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3</w:t>
      </w:r>
      <w:r>
        <w:rPr>
          <w:rFonts w:ascii="仿宋_GB2312" w:hAnsi="宋体" w:eastAsia="仿宋_GB2312"/>
          <w:sz w:val="32"/>
          <w:szCs w:val="28"/>
        </w:rPr>
        <w:t>.</w:t>
      </w:r>
      <w:r>
        <w:rPr>
          <w:rFonts w:hint="eastAsia" w:ascii="仿宋_GB2312" w:hAnsi="宋体" w:eastAsia="仿宋_GB2312"/>
          <w:sz w:val="32"/>
          <w:szCs w:val="28"/>
        </w:rPr>
        <w:t>规范性原则</w:t>
      </w:r>
    </w:p>
    <w:p>
      <w:pPr>
        <w:ind w:firstLine="640" w:firstLineChars="200"/>
        <w:rPr>
          <w:rFonts w:ascii="仿宋_GB2312" w:hAnsi="宋体" w:eastAsia="仿宋_GB2312"/>
          <w:sz w:val="32"/>
          <w:szCs w:val="28"/>
        </w:rPr>
      </w:pPr>
      <w:r>
        <w:rPr>
          <w:rFonts w:hint="eastAsia" w:ascii="仿宋_GB2312" w:hAnsi="宋体" w:eastAsia="仿宋_GB2312"/>
          <w:sz w:val="32"/>
          <w:szCs w:val="28"/>
        </w:rPr>
        <w:t>本文件严格按照GB/T 1.1—2020《标准化工作导则  第1部分：标准化文件的结构和起草规则》编写本标准的内容，保证标准的编写质量。</w:t>
      </w:r>
    </w:p>
    <w:p>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bookmarkStart w:id="0" w:name="_Toc526940084"/>
      <w:r>
        <w:rPr>
          <w:rFonts w:hint="eastAsia" w:ascii="黑体" w:hAnsi="黑体" w:eastAsia="黑体" w:cs="仿宋_GB2312"/>
          <w:sz w:val="32"/>
          <w:szCs w:val="32"/>
        </w:rPr>
        <w:t>二、标准主要内容及</w:t>
      </w:r>
      <w:bookmarkEnd w:id="0"/>
      <w:r>
        <w:rPr>
          <w:rFonts w:hint="eastAsia" w:ascii="黑体" w:hAnsi="黑体" w:eastAsia="黑体" w:cs="仿宋_GB2312"/>
          <w:sz w:val="32"/>
          <w:szCs w:val="32"/>
        </w:rPr>
        <w:t>确定依据</w:t>
      </w:r>
    </w:p>
    <w:p>
      <w:pPr>
        <w:ind w:firstLine="640" w:firstLineChars="200"/>
        <w:rPr>
          <w:rFonts w:ascii="仿宋_GB2312" w:hAnsi="宋体" w:eastAsia="仿宋_GB2312"/>
          <w:sz w:val="32"/>
          <w:szCs w:val="28"/>
        </w:rPr>
      </w:pPr>
      <w:r>
        <w:rPr>
          <w:rFonts w:hint="eastAsia" w:ascii="仿宋_GB2312" w:hAnsi="宋体" w:eastAsia="仿宋_GB2312"/>
          <w:sz w:val="32"/>
          <w:szCs w:val="28"/>
        </w:rPr>
        <w:t>团体标准《地表水水质自动监测站站址论证技术规范》主要章节内容包括：界定了地表水水水质自动监测站的术语和定义，确立了水站选址总原则、采水口选择条件、论证技术要求、结果评价等。</w:t>
      </w:r>
    </w:p>
    <w:p>
      <w:pPr>
        <w:ind w:firstLine="643" w:firstLineChars="200"/>
        <w:rPr>
          <w:rFonts w:ascii="仿宋_GB2312" w:hAnsi="宋体" w:eastAsia="仿宋_GB2312"/>
          <w:sz w:val="32"/>
          <w:szCs w:val="28"/>
        </w:rPr>
      </w:pPr>
      <w:r>
        <w:rPr>
          <w:rFonts w:ascii="仿宋_GB2312" w:hAnsi="宋体" w:eastAsia="仿宋_GB2312"/>
          <w:b/>
          <w:sz w:val="32"/>
          <w:szCs w:val="28"/>
        </w:rPr>
        <w:t>术语和定义</w:t>
      </w:r>
      <w:r>
        <w:rPr>
          <w:rFonts w:hint="eastAsia" w:ascii="仿宋_GB2312" w:hAnsi="宋体" w:eastAsia="仿宋_GB2312"/>
          <w:b/>
          <w:sz w:val="32"/>
          <w:szCs w:val="28"/>
        </w:rPr>
        <w:t>。</w:t>
      </w:r>
      <w:r>
        <w:rPr>
          <w:rFonts w:hint="eastAsia" w:ascii="仿宋_GB2312" w:hAnsi="宋体" w:eastAsia="仿宋_GB2312"/>
          <w:sz w:val="32"/>
          <w:szCs w:val="28"/>
        </w:rPr>
        <w:t>主要参照《地表水自动监测技术规范（试行）》H</w:t>
      </w:r>
      <w:r>
        <w:rPr>
          <w:rFonts w:ascii="仿宋_GB2312" w:hAnsi="宋体" w:eastAsia="仿宋_GB2312"/>
          <w:sz w:val="32"/>
          <w:szCs w:val="28"/>
        </w:rPr>
        <w:t>J915</w:t>
      </w:r>
      <w:r>
        <w:rPr>
          <w:rFonts w:hint="eastAsia" w:ascii="仿宋_GB2312" w:hAnsi="宋体" w:eastAsia="仿宋_GB2312"/>
          <w:sz w:val="32"/>
          <w:szCs w:val="28"/>
        </w:rPr>
        <w:t>定义确定了地表水水质自动监测和地表水水水质自动监测站。</w:t>
      </w:r>
    </w:p>
    <w:p>
      <w:pPr>
        <w:ind w:firstLine="643" w:firstLineChars="200"/>
        <w:rPr>
          <w:rFonts w:ascii="仿宋_GB2312" w:hAnsi="宋体" w:eastAsia="仿宋_GB2312"/>
          <w:sz w:val="32"/>
          <w:szCs w:val="28"/>
        </w:rPr>
      </w:pPr>
      <w:r>
        <w:rPr>
          <w:rFonts w:hint="eastAsia" w:ascii="仿宋_GB2312" w:hAnsi="宋体" w:eastAsia="仿宋_GB2312"/>
          <w:b/>
          <w:sz w:val="32"/>
          <w:szCs w:val="28"/>
        </w:rPr>
        <w:t>水站选址总则。</w:t>
      </w:r>
      <w:r>
        <w:rPr>
          <w:rFonts w:hint="eastAsia" w:ascii="仿宋_GB2312" w:hAnsi="宋体" w:eastAsia="仿宋_GB2312"/>
          <w:sz w:val="32"/>
          <w:szCs w:val="28"/>
        </w:rPr>
        <w:t>依据H</w:t>
      </w:r>
      <w:r>
        <w:rPr>
          <w:rFonts w:ascii="仿宋_GB2312" w:hAnsi="宋体" w:eastAsia="仿宋_GB2312"/>
          <w:sz w:val="32"/>
          <w:szCs w:val="28"/>
        </w:rPr>
        <w:t>J915</w:t>
      </w:r>
      <w:r>
        <w:rPr>
          <w:rFonts w:hint="eastAsia" w:ascii="仿宋_GB2312" w:hAnsi="宋体" w:eastAsia="仿宋_GB2312"/>
          <w:sz w:val="32"/>
          <w:szCs w:val="28"/>
        </w:rPr>
        <w:t>的4</w:t>
      </w:r>
      <w:r>
        <w:rPr>
          <w:rFonts w:ascii="仿宋_GB2312" w:hAnsi="宋体" w:eastAsia="仿宋_GB2312"/>
          <w:sz w:val="32"/>
          <w:szCs w:val="28"/>
        </w:rPr>
        <w:t>.2</w:t>
      </w:r>
      <w:r>
        <w:rPr>
          <w:rFonts w:hint="eastAsia" w:ascii="仿宋_GB2312" w:hAnsi="宋体" w:eastAsia="仿宋_GB2312"/>
          <w:sz w:val="32"/>
          <w:szCs w:val="28"/>
        </w:rPr>
        <w:t>要求，确定水站选址总则。监测断面确不具备建站条件的，可就近另外选址。所选站址须开展点位论证，证明与监测断面水质代表性一致，无明显差异。站址的选择需要考虑建站可行性、水质代表性、监测长期性、系统安全性和运行维护的经济性。</w:t>
      </w:r>
    </w:p>
    <w:p>
      <w:pPr>
        <w:ind w:firstLine="643" w:firstLineChars="200"/>
        <w:rPr>
          <w:rFonts w:ascii="仿宋_GB2312" w:hAnsi="宋体" w:eastAsia="仿宋_GB2312"/>
          <w:sz w:val="32"/>
          <w:szCs w:val="28"/>
        </w:rPr>
      </w:pPr>
      <w:r>
        <w:rPr>
          <w:rFonts w:hint="eastAsia" w:ascii="仿宋_GB2312" w:hAnsi="宋体" w:eastAsia="仿宋_GB2312"/>
          <w:b/>
          <w:sz w:val="32"/>
          <w:szCs w:val="28"/>
        </w:rPr>
        <w:t>站址选址和采水口条件</w:t>
      </w:r>
      <w:r>
        <w:rPr>
          <w:rFonts w:hint="eastAsia" w:ascii="仿宋_GB2312" w:hAnsi="宋体" w:eastAsia="仿宋_GB2312"/>
          <w:sz w:val="32"/>
          <w:szCs w:val="28"/>
        </w:rPr>
        <w:t>：</w:t>
      </w:r>
    </w:p>
    <w:p>
      <w:pPr>
        <w:ind w:firstLine="640" w:firstLineChars="200"/>
        <w:rPr>
          <w:rFonts w:ascii="仿宋_GB2312" w:hAnsi="宋体" w:eastAsia="仿宋_GB2312"/>
          <w:sz w:val="32"/>
          <w:szCs w:val="28"/>
        </w:rPr>
      </w:pPr>
      <w:r>
        <w:rPr>
          <w:rFonts w:hint="eastAsia" w:ascii="仿宋_GB2312" w:hAnsi="宋体" w:eastAsia="仿宋_GB2312"/>
          <w:sz w:val="32"/>
          <w:szCs w:val="28"/>
        </w:rPr>
        <w:t>不具备建站条件选址要求，与监测断面之间无支流，无排污口汇入，无水质类别差异，以保证断面属性、主要污染物不变，满足监测要求。</w:t>
      </w:r>
    </w:p>
    <w:p>
      <w:pPr>
        <w:ind w:firstLine="640" w:firstLineChars="200"/>
        <w:rPr>
          <w:rFonts w:ascii="仿宋_GB2312" w:hAnsi="宋体" w:eastAsia="仿宋_GB2312"/>
          <w:sz w:val="32"/>
          <w:szCs w:val="28"/>
        </w:rPr>
      </w:pPr>
      <w:r>
        <w:rPr>
          <w:rFonts w:hint="eastAsia" w:ascii="仿宋_GB2312" w:hAnsi="宋体" w:eastAsia="仿宋_GB2312"/>
          <w:sz w:val="32"/>
          <w:szCs w:val="28"/>
        </w:rPr>
        <w:t>监测断面水质的相对偏差须满足指标相对误差±</w:t>
      </w:r>
      <w:r>
        <w:rPr>
          <w:rFonts w:ascii="仿宋_GB2312" w:hAnsi="宋体" w:eastAsia="仿宋_GB2312"/>
          <w:sz w:val="32"/>
          <w:szCs w:val="28"/>
        </w:rPr>
        <w:t>10</w:t>
      </w:r>
      <w:r>
        <w:rPr>
          <w:rFonts w:hint="eastAsia" w:ascii="仿宋_GB2312" w:hAnsi="宋体" w:eastAsia="仿宋_GB2312"/>
          <w:sz w:val="32"/>
          <w:szCs w:val="28"/>
        </w:rPr>
        <w:t>%的偏差要求。依据对</w:t>
      </w:r>
      <w:r>
        <w:rPr>
          <w:rFonts w:ascii="仿宋_GB2312" w:hAnsi="宋体" w:eastAsia="仿宋_GB2312"/>
          <w:sz w:val="32"/>
          <w:szCs w:val="28"/>
        </w:rPr>
        <w:t>17</w:t>
      </w:r>
      <w:r>
        <w:rPr>
          <w:rFonts w:hint="eastAsia" w:ascii="仿宋_GB2312" w:hAnsi="宋体" w:eastAsia="仿宋_GB2312"/>
          <w:sz w:val="32"/>
          <w:szCs w:val="28"/>
        </w:rPr>
        <w:t>个水站监测数据统计分析，发现广西断面水质与选址水质浓度误差，监测指标均小于±</w:t>
      </w:r>
      <w:r>
        <w:rPr>
          <w:rFonts w:ascii="仿宋_GB2312" w:hAnsi="宋体" w:eastAsia="仿宋_GB2312"/>
          <w:sz w:val="32"/>
          <w:szCs w:val="28"/>
        </w:rPr>
        <w:t>10</w:t>
      </w:r>
      <w:r>
        <w:rPr>
          <w:rFonts w:hint="eastAsia" w:ascii="仿宋_GB2312" w:hAnsi="宋体" w:eastAsia="仿宋_GB2312"/>
          <w:sz w:val="32"/>
          <w:szCs w:val="28"/>
        </w:rPr>
        <w:t>%。具体为情况如下，</w:t>
      </w:r>
      <w:r>
        <w:rPr>
          <w:rFonts w:ascii="仿宋_GB2312" w:hAnsi="宋体" w:eastAsia="仿宋_GB2312"/>
          <w:sz w:val="32"/>
          <w:szCs w:val="28"/>
        </w:rPr>
        <w:t>Ph</w:t>
      </w:r>
      <w:r>
        <w:rPr>
          <w:rFonts w:hint="eastAsia" w:ascii="仿宋_GB2312" w:hAnsi="宋体" w:eastAsia="仿宋_GB2312"/>
          <w:sz w:val="32"/>
          <w:szCs w:val="28"/>
        </w:rPr>
        <w:t>值误差范围是-</w:t>
      </w:r>
      <w:r>
        <w:rPr>
          <w:rFonts w:ascii="仿宋_GB2312" w:hAnsi="宋体" w:eastAsia="仿宋_GB2312"/>
          <w:sz w:val="32"/>
          <w:szCs w:val="28"/>
        </w:rPr>
        <w:t>3.2</w:t>
      </w:r>
      <w:r>
        <w:rPr>
          <w:rFonts w:hint="eastAsia" w:ascii="仿宋_GB2312" w:hAnsi="宋体" w:eastAsia="仿宋_GB2312"/>
          <w:sz w:val="32"/>
          <w:szCs w:val="28"/>
        </w:rPr>
        <w:t>%至3</w:t>
      </w:r>
      <w:r>
        <w:rPr>
          <w:rFonts w:ascii="仿宋_GB2312" w:hAnsi="宋体" w:eastAsia="仿宋_GB2312"/>
          <w:sz w:val="32"/>
          <w:szCs w:val="28"/>
        </w:rPr>
        <w:t>.3</w:t>
      </w:r>
      <w:r>
        <w:rPr>
          <w:rFonts w:hint="eastAsia" w:ascii="仿宋_GB2312" w:hAnsi="宋体" w:eastAsia="仿宋_GB2312"/>
          <w:sz w:val="32"/>
          <w:szCs w:val="28"/>
        </w:rPr>
        <w:t>%，氨氮误差范围是-</w:t>
      </w:r>
      <w:r>
        <w:rPr>
          <w:rFonts w:ascii="仿宋_GB2312" w:hAnsi="宋体" w:eastAsia="仿宋_GB2312"/>
          <w:sz w:val="32"/>
          <w:szCs w:val="28"/>
        </w:rPr>
        <w:t>1.2</w:t>
      </w:r>
      <w:r>
        <w:rPr>
          <w:rFonts w:hint="eastAsia" w:ascii="仿宋_GB2312" w:hAnsi="宋体" w:eastAsia="仿宋_GB2312"/>
          <w:sz w:val="32"/>
          <w:szCs w:val="28"/>
        </w:rPr>
        <w:t>%至8</w:t>
      </w:r>
      <w:r>
        <w:rPr>
          <w:rFonts w:ascii="仿宋_GB2312" w:hAnsi="宋体" w:eastAsia="仿宋_GB2312"/>
          <w:sz w:val="32"/>
          <w:szCs w:val="28"/>
        </w:rPr>
        <w:t>.57</w:t>
      </w:r>
      <w:r>
        <w:rPr>
          <w:rFonts w:hint="eastAsia" w:ascii="仿宋_GB2312" w:hAnsi="宋体" w:eastAsia="仿宋_GB2312"/>
          <w:sz w:val="32"/>
          <w:szCs w:val="28"/>
        </w:rPr>
        <w:t>%，电导率误差范围-</w:t>
      </w:r>
      <w:r>
        <w:rPr>
          <w:rFonts w:ascii="仿宋_GB2312" w:hAnsi="宋体" w:eastAsia="仿宋_GB2312"/>
          <w:sz w:val="32"/>
          <w:szCs w:val="28"/>
        </w:rPr>
        <w:t>9.5</w:t>
      </w:r>
      <w:r>
        <w:rPr>
          <w:rFonts w:hint="eastAsia" w:ascii="仿宋_GB2312" w:hAnsi="宋体" w:eastAsia="仿宋_GB2312"/>
          <w:sz w:val="32"/>
          <w:szCs w:val="28"/>
        </w:rPr>
        <w:t>%至7</w:t>
      </w:r>
      <w:r>
        <w:rPr>
          <w:rFonts w:ascii="仿宋_GB2312" w:hAnsi="宋体" w:eastAsia="仿宋_GB2312"/>
          <w:sz w:val="32"/>
          <w:szCs w:val="28"/>
        </w:rPr>
        <w:t>.7</w:t>
      </w:r>
      <w:r>
        <w:rPr>
          <w:rFonts w:hint="eastAsia" w:ascii="仿宋_GB2312" w:hAnsi="宋体" w:eastAsia="仿宋_GB2312"/>
          <w:sz w:val="32"/>
          <w:szCs w:val="28"/>
        </w:rPr>
        <w:t>%，高锰酸盐指数误差范围是-</w:t>
      </w:r>
      <w:r>
        <w:rPr>
          <w:rFonts w:ascii="仿宋_GB2312" w:hAnsi="宋体" w:eastAsia="仿宋_GB2312"/>
          <w:sz w:val="32"/>
          <w:szCs w:val="28"/>
        </w:rPr>
        <w:t>2.5</w:t>
      </w:r>
      <w:r>
        <w:rPr>
          <w:rFonts w:hint="eastAsia" w:ascii="仿宋_GB2312" w:hAnsi="宋体" w:eastAsia="仿宋_GB2312"/>
          <w:sz w:val="32"/>
          <w:szCs w:val="28"/>
        </w:rPr>
        <w:t>%至9</w:t>
      </w:r>
      <w:r>
        <w:rPr>
          <w:rFonts w:ascii="仿宋_GB2312" w:hAnsi="宋体" w:eastAsia="仿宋_GB2312"/>
          <w:sz w:val="32"/>
          <w:szCs w:val="28"/>
        </w:rPr>
        <w:t>.64</w:t>
      </w:r>
      <w:r>
        <w:rPr>
          <w:rFonts w:hint="eastAsia" w:ascii="仿宋_GB2312" w:hAnsi="宋体" w:eastAsia="仿宋_GB2312"/>
          <w:sz w:val="32"/>
          <w:szCs w:val="28"/>
        </w:rPr>
        <w:t>%，溶解氧误差范围是-</w:t>
      </w:r>
      <w:r>
        <w:rPr>
          <w:rFonts w:ascii="仿宋_GB2312" w:hAnsi="宋体" w:eastAsia="仿宋_GB2312"/>
          <w:sz w:val="32"/>
          <w:szCs w:val="28"/>
        </w:rPr>
        <w:t>7.3</w:t>
      </w:r>
      <w:r>
        <w:rPr>
          <w:rFonts w:hint="eastAsia" w:ascii="仿宋_GB2312" w:hAnsi="宋体" w:eastAsia="仿宋_GB2312"/>
          <w:sz w:val="32"/>
          <w:szCs w:val="28"/>
        </w:rPr>
        <w:t>%至</w:t>
      </w:r>
      <w:r>
        <w:rPr>
          <w:rFonts w:ascii="仿宋_GB2312" w:hAnsi="宋体" w:eastAsia="仿宋_GB2312"/>
          <w:sz w:val="32"/>
          <w:szCs w:val="28"/>
        </w:rPr>
        <w:t>3.7</w:t>
      </w:r>
      <w:r>
        <w:rPr>
          <w:rFonts w:hint="eastAsia" w:ascii="仿宋_GB2312" w:hAnsi="宋体" w:eastAsia="仿宋_GB2312"/>
          <w:sz w:val="32"/>
          <w:szCs w:val="28"/>
        </w:rPr>
        <w:t>%，砷误差是9%，水温误差范围是-</w:t>
      </w:r>
      <w:r>
        <w:rPr>
          <w:rFonts w:ascii="仿宋_GB2312" w:hAnsi="宋体" w:eastAsia="仿宋_GB2312"/>
          <w:sz w:val="32"/>
          <w:szCs w:val="28"/>
        </w:rPr>
        <w:t>1.8</w:t>
      </w:r>
      <w:r>
        <w:rPr>
          <w:rFonts w:hint="eastAsia" w:ascii="仿宋_GB2312" w:hAnsi="宋体" w:eastAsia="仿宋_GB2312"/>
          <w:sz w:val="32"/>
          <w:szCs w:val="28"/>
        </w:rPr>
        <w:t>%至1</w:t>
      </w:r>
      <w:r>
        <w:rPr>
          <w:rFonts w:ascii="仿宋_GB2312" w:hAnsi="宋体" w:eastAsia="仿宋_GB2312"/>
          <w:sz w:val="32"/>
          <w:szCs w:val="28"/>
        </w:rPr>
        <w:t>.9</w:t>
      </w:r>
      <w:r>
        <w:rPr>
          <w:rFonts w:hint="eastAsia" w:ascii="仿宋_GB2312" w:hAnsi="宋体" w:eastAsia="仿宋_GB2312"/>
          <w:sz w:val="32"/>
          <w:szCs w:val="28"/>
        </w:rPr>
        <w:t>%，铊误差是9</w:t>
      </w:r>
      <w:r>
        <w:rPr>
          <w:rFonts w:ascii="仿宋_GB2312" w:hAnsi="宋体" w:eastAsia="仿宋_GB2312"/>
          <w:sz w:val="32"/>
          <w:szCs w:val="28"/>
        </w:rPr>
        <w:t>.88</w:t>
      </w:r>
      <w:r>
        <w:rPr>
          <w:rFonts w:hint="eastAsia" w:ascii="仿宋_GB2312" w:hAnsi="宋体" w:eastAsia="仿宋_GB2312"/>
          <w:sz w:val="32"/>
          <w:szCs w:val="28"/>
        </w:rPr>
        <w:t>%，锑误差围是</w:t>
      </w:r>
      <w:r>
        <w:rPr>
          <w:rFonts w:ascii="仿宋_GB2312" w:hAnsi="宋体" w:eastAsia="仿宋_GB2312"/>
          <w:sz w:val="32"/>
          <w:szCs w:val="28"/>
        </w:rPr>
        <w:t>8.73</w:t>
      </w:r>
      <w:r>
        <w:rPr>
          <w:rFonts w:hint="eastAsia" w:ascii="仿宋_GB2312" w:hAnsi="宋体" w:eastAsia="仿宋_GB2312"/>
          <w:sz w:val="32"/>
          <w:szCs w:val="28"/>
        </w:rPr>
        <w:t>%，总氮误差范围是-</w:t>
      </w:r>
      <w:r>
        <w:rPr>
          <w:rFonts w:ascii="仿宋_GB2312" w:hAnsi="宋体" w:eastAsia="仿宋_GB2312"/>
          <w:sz w:val="32"/>
          <w:szCs w:val="28"/>
        </w:rPr>
        <w:t>9.14</w:t>
      </w:r>
      <w:r>
        <w:rPr>
          <w:rFonts w:hint="eastAsia" w:ascii="仿宋_GB2312" w:hAnsi="宋体" w:eastAsia="仿宋_GB2312"/>
          <w:sz w:val="32"/>
          <w:szCs w:val="28"/>
        </w:rPr>
        <w:t>%至6</w:t>
      </w:r>
      <w:r>
        <w:rPr>
          <w:rFonts w:ascii="仿宋_GB2312" w:hAnsi="宋体" w:eastAsia="仿宋_GB2312"/>
          <w:sz w:val="32"/>
          <w:szCs w:val="28"/>
        </w:rPr>
        <w:t>.90</w:t>
      </w:r>
      <w:r>
        <w:rPr>
          <w:rFonts w:hint="eastAsia" w:ascii="仿宋_GB2312" w:hAnsi="宋体" w:eastAsia="仿宋_GB2312"/>
          <w:sz w:val="32"/>
          <w:szCs w:val="28"/>
        </w:rPr>
        <w:t>%，总磷误差范围是2</w:t>
      </w:r>
      <w:r>
        <w:rPr>
          <w:rFonts w:ascii="仿宋_GB2312" w:hAnsi="宋体" w:eastAsia="仿宋_GB2312"/>
          <w:sz w:val="32"/>
          <w:szCs w:val="28"/>
        </w:rPr>
        <w:t>.2</w:t>
      </w:r>
      <w:r>
        <w:rPr>
          <w:rFonts w:hint="eastAsia" w:ascii="仿宋_GB2312" w:hAnsi="宋体" w:eastAsia="仿宋_GB2312"/>
          <w:sz w:val="32"/>
          <w:szCs w:val="28"/>
        </w:rPr>
        <w:t>%至</w:t>
      </w:r>
      <w:r>
        <w:rPr>
          <w:rFonts w:ascii="仿宋_GB2312" w:hAnsi="宋体" w:eastAsia="仿宋_GB2312"/>
          <w:sz w:val="32"/>
          <w:szCs w:val="28"/>
        </w:rPr>
        <w:t>8.89</w:t>
      </w:r>
      <w:r>
        <w:rPr>
          <w:rFonts w:hint="eastAsia" w:ascii="仿宋_GB2312" w:hAnsi="宋体" w:eastAsia="仿宋_GB2312"/>
          <w:sz w:val="32"/>
          <w:szCs w:val="28"/>
        </w:rPr>
        <w:t>%。监测数据详见附表及监测报告相关材料。</w:t>
      </w:r>
    </w:p>
    <w:p>
      <w:pPr>
        <w:ind w:firstLine="640" w:firstLineChars="200"/>
        <w:rPr>
          <w:rFonts w:ascii="仿宋_GB2312" w:hAnsi="宋体" w:eastAsia="仿宋_GB2312"/>
          <w:sz w:val="32"/>
          <w:szCs w:val="28"/>
        </w:rPr>
      </w:pPr>
      <w:r>
        <w:rPr>
          <w:rFonts w:hint="eastAsia" w:ascii="仿宋_GB2312" w:hAnsi="宋体" w:eastAsia="仿宋_GB2312"/>
          <w:sz w:val="32"/>
          <w:szCs w:val="28"/>
        </w:rPr>
        <w:t>确定枯水期采水口水深不小于0.5m，是因为广西河流水深情况，广西水站采水方式一般都是浮筒，采水深度低于0</w:t>
      </w:r>
      <w:r>
        <w:rPr>
          <w:rFonts w:ascii="仿宋_GB2312" w:hAnsi="宋体" w:eastAsia="仿宋_GB2312"/>
          <w:sz w:val="32"/>
          <w:szCs w:val="28"/>
        </w:rPr>
        <w:t>.5</w:t>
      </w:r>
      <w:r>
        <w:rPr>
          <w:rFonts w:hint="eastAsia" w:ascii="仿宋_GB2312" w:hAnsi="宋体" w:eastAsia="仿宋_GB2312"/>
          <w:sz w:val="32"/>
          <w:szCs w:val="28"/>
        </w:rPr>
        <w:t>米，采水浮筒会抽到河床底泥。</w:t>
      </w:r>
    </w:p>
    <w:p>
      <w:pPr>
        <w:ind w:firstLine="640" w:firstLineChars="200"/>
        <w:rPr>
          <w:rFonts w:ascii="仿宋_GB2312" w:hAnsi="宋体" w:eastAsia="仿宋_GB2312"/>
          <w:sz w:val="32"/>
          <w:szCs w:val="28"/>
        </w:rPr>
      </w:pPr>
      <w:r>
        <w:rPr>
          <w:rFonts w:hint="eastAsia" w:ascii="仿宋_GB2312" w:hAnsi="宋体" w:eastAsia="仿宋_GB2312"/>
          <w:sz w:val="32"/>
          <w:szCs w:val="28"/>
        </w:rPr>
        <w:t>与采水口距离不超过200m，枯水期时宜不超过250m，具备铺设管线条件，主要目前全区所有的水站采水管路不超过2</w:t>
      </w:r>
      <w:r>
        <w:rPr>
          <w:rFonts w:ascii="仿宋_GB2312" w:hAnsi="宋体" w:eastAsia="仿宋_GB2312"/>
          <w:sz w:val="32"/>
          <w:szCs w:val="28"/>
        </w:rPr>
        <w:t>50</w:t>
      </w:r>
      <w:r>
        <w:rPr>
          <w:rFonts w:hint="eastAsia" w:ascii="仿宋_GB2312" w:hAnsi="宋体" w:eastAsia="仿宋_GB2312"/>
          <w:sz w:val="32"/>
          <w:szCs w:val="28"/>
        </w:rPr>
        <w:t>米，超过2</w:t>
      </w:r>
      <w:r>
        <w:rPr>
          <w:rFonts w:ascii="仿宋_GB2312" w:hAnsi="宋体" w:eastAsia="仿宋_GB2312"/>
          <w:sz w:val="32"/>
          <w:szCs w:val="28"/>
        </w:rPr>
        <w:t>50</w:t>
      </w:r>
      <w:r>
        <w:rPr>
          <w:rFonts w:hint="eastAsia" w:ascii="仿宋_GB2312" w:hAnsi="宋体" w:eastAsia="仿宋_GB2312"/>
          <w:sz w:val="32"/>
          <w:szCs w:val="28"/>
        </w:rPr>
        <w:t>米，水站系统集成检查通不过。</w:t>
      </w:r>
    </w:p>
    <w:p>
      <w:pPr>
        <w:ind w:firstLine="643" w:firstLineChars="200"/>
        <w:rPr>
          <w:rFonts w:ascii="仿宋_GB2312" w:hAnsi="宋体" w:eastAsia="仿宋_GB2312"/>
          <w:sz w:val="32"/>
          <w:szCs w:val="28"/>
        </w:rPr>
      </w:pPr>
      <w:r>
        <w:rPr>
          <w:rFonts w:hint="eastAsia" w:ascii="仿宋_GB2312" w:hAnsi="宋体" w:eastAsia="仿宋_GB2312"/>
          <w:b/>
          <w:sz w:val="32"/>
          <w:szCs w:val="28"/>
        </w:rPr>
        <w:t>论证内容</w:t>
      </w:r>
      <w:r>
        <w:rPr>
          <w:rFonts w:hint="eastAsia" w:ascii="仿宋_GB2312" w:hAnsi="宋体" w:eastAsia="仿宋_GB2312"/>
          <w:sz w:val="32"/>
          <w:szCs w:val="28"/>
        </w:rPr>
        <w:t>：在水站所选站址的取水点位置与监测断面开展人工比对监测进行评估。要求对水站配置的监测指标开展连续5天，每天1次人工比对监测，样品采集应执行HJ/T 91.2，人工比对监测的实验室分析，监测指标的分析方法参照国家已发布的最新的国标行标分析方法。</w:t>
      </w:r>
    </w:p>
    <w:p>
      <w:pPr>
        <w:ind w:firstLine="643" w:firstLineChars="200"/>
        <w:rPr>
          <w:rFonts w:ascii="仿宋_GB2312" w:hAnsi="宋体" w:eastAsia="仿宋_GB2312"/>
          <w:sz w:val="32"/>
          <w:szCs w:val="28"/>
        </w:rPr>
      </w:pPr>
      <w:r>
        <w:rPr>
          <w:rFonts w:hint="eastAsia" w:ascii="仿宋_GB2312" w:hAnsi="宋体" w:eastAsia="仿宋_GB2312"/>
          <w:b/>
          <w:sz w:val="32"/>
          <w:szCs w:val="28"/>
        </w:rPr>
        <w:t>论证评价：依据</w:t>
      </w:r>
      <w:r>
        <w:rPr>
          <w:rFonts w:hint="eastAsia" w:ascii="仿宋_GB2312" w:hAnsi="宋体" w:eastAsia="仿宋_GB2312"/>
          <w:sz w:val="32"/>
          <w:szCs w:val="28"/>
        </w:rPr>
        <w:t>HJ/T 91.2的规定，监测断面为优良水体时，选址位置参照以上提到的站址采水口选址条件执行。监测断面为非优良水体时，选址位置与监测断面的主要污染物及水质类别要一致，且监测指标浓度的单次相对偏差（RD）小于等于15%，监测周期平均相对偏差（RD）小于等于10%。</w:t>
      </w:r>
    </w:p>
    <w:p>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三、国内同类标准制修订情况及与法律法规、强制性标准关系</w:t>
      </w:r>
    </w:p>
    <w:p>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经查阅，经查阅，国内暂未制定有与水站站址论证相关的国家标准、行业标准、广西地方标准和团体标准。</w:t>
      </w:r>
    </w:p>
    <w:p>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本标准的内容与现行的法律、法规及强制性标准无冲突，标准的编写符合GB/T 1.1—2020的要求。</w:t>
      </w:r>
    </w:p>
    <w:p>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bookmarkStart w:id="1" w:name="_Toc526940086"/>
      <w:r>
        <w:rPr>
          <w:rFonts w:hint="eastAsia" w:ascii="黑体" w:hAnsi="黑体" w:eastAsia="黑体" w:cs="仿宋_GB2312"/>
          <w:sz w:val="32"/>
          <w:szCs w:val="32"/>
        </w:rPr>
        <w:t>四、</w:t>
      </w:r>
      <w:bookmarkEnd w:id="1"/>
      <w:r>
        <w:rPr>
          <w:rFonts w:hint="eastAsia" w:ascii="黑体" w:hAnsi="黑体" w:eastAsia="黑体" w:cs="仿宋_GB2312"/>
          <w:sz w:val="32"/>
          <w:szCs w:val="32"/>
        </w:rPr>
        <w:t>重大分歧意见的处理经过和依据</w:t>
      </w:r>
    </w:p>
    <w:p>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本标准研制过程中无重大分歧意见。</w:t>
      </w:r>
    </w:p>
    <w:p>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五、自我承诺</w:t>
      </w:r>
    </w:p>
    <w:p>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本标准内容与各项指标不低于强制性标准要求。</w:t>
      </w:r>
    </w:p>
    <w:p>
      <w:pPr>
        <w:spacing w:line="560" w:lineRule="exact"/>
        <w:rPr>
          <w:rFonts w:ascii="仿宋_GB2312" w:hAnsi="仿宋" w:eastAsia="仿宋_GB2312"/>
          <w:bCs/>
          <w:color w:val="000000"/>
          <w:sz w:val="36"/>
          <w:szCs w:val="32"/>
        </w:rPr>
      </w:pPr>
    </w:p>
    <w:p>
      <w:pPr>
        <w:spacing w:line="560" w:lineRule="exact"/>
        <w:rPr>
          <w:rFonts w:ascii="仿宋_GB2312" w:hAnsi="仿宋" w:eastAsia="仿宋_GB2312"/>
          <w:bCs/>
          <w:color w:val="000000"/>
          <w:sz w:val="36"/>
          <w:szCs w:val="32"/>
        </w:rPr>
      </w:pPr>
    </w:p>
    <w:p>
      <w:pPr>
        <w:spacing w:line="560" w:lineRule="exact"/>
        <w:jc w:val="right"/>
        <w:rPr>
          <w:rFonts w:ascii="仿宋_GB2312" w:hAnsi="宋体" w:eastAsia="仿宋_GB2312"/>
          <w:sz w:val="32"/>
          <w:szCs w:val="28"/>
        </w:rPr>
      </w:pPr>
      <w:r>
        <w:rPr>
          <w:rFonts w:hint="eastAsia" w:ascii="仿宋_GB2312" w:hAnsi="宋体" w:eastAsia="仿宋_GB2312"/>
          <w:sz w:val="32"/>
          <w:szCs w:val="28"/>
        </w:rPr>
        <w:t xml:space="preserve"> 团体标准《地表水水质自动监测站站址论证技术规范》</w:t>
      </w:r>
    </w:p>
    <w:p>
      <w:pPr>
        <w:spacing w:line="560" w:lineRule="exact"/>
        <w:jc w:val="right"/>
        <w:rPr>
          <w:rFonts w:ascii="仿宋_GB2312" w:hAnsi="宋体" w:eastAsia="仿宋_GB2312"/>
          <w:sz w:val="32"/>
          <w:szCs w:val="28"/>
        </w:rPr>
      </w:pPr>
      <w:r>
        <w:rPr>
          <w:rFonts w:hint="eastAsia" w:ascii="仿宋_GB2312" w:hAnsi="宋体" w:eastAsia="仿宋_GB2312"/>
          <w:sz w:val="32"/>
          <w:szCs w:val="28"/>
        </w:rPr>
        <w:t>标准编制工作组</w:t>
      </w:r>
    </w:p>
    <w:p>
      <w:pPr>
        <w:spacing w:line="560" w:lineRule="exact"/>
        <w:jc w:val="right"/>
        <w:rPr>
          <w:rFonts w:ascii="仿宋_GB2312" w:hAnsi="宋体" w:eastAsia="仿宋_GB2312"/>
          <w:sz w:val="32"/>
          <w:szCs w:val="28"/>
        </w:rPr>
        <w:sectPr>
          <w:footerReference r:id="rId3" w:type="default"/>
          <w:pgSz w:w="11906" w:h="16838"/>
          <w:pgMar w:top="1474" w:right="1474" w:bottom="1474" w:left="1474" w:header="851" w:footer="992" w:gutter="0"/>
          <w:cols w:space="425" w:num="1"/>
          <w:docGrid w:type="lines" w:linePitch="312" w:charSpace="0"/>
        </w:sectPr>
      </w:pPr>
      <w:r>
        <w:rPr>
          <w:rFonts w:hint="eastAsia" w:ascii="仿宋_GB2312" w:hAnsi="宋体" w:eastAsia="仿宋_GB2312"/>
          <w:sz w:val="32"/>
          <w:szCs w:val="28"/>
        </w:rPr>
        <w:t>2023年4月15日</w:t>
      </w:r>
    </w:p>
    <w:p>
      <w:pPr>
        <w:spacing w:line="560" w:lineRule="exact"/>
        <w:jc w:val="center"/>
        <w:rPr>
          <w:rFonts w:ascii="仿宋_GB2312" w:hAnsi="宋体" w:eastAsia="仿宋_GB2312"/>
          <w:sz w:val="32"/>
          <w:szCs w:val="28"/>
        </w:rPr>
      </w:pPr>
      <w:r>
        <w:rPr>
          <w:rFonts w:hint="eastAsia" w:ascii="仿宋_GB2312" w:hAnsi="宋体" w:eastAsia="仿宋_GB2312"/>
          <w:sz w:val="32"/>
          <w:szCs w:val="28"/>
        </w:rPr>
        <w:t xml:space="preserve">附表 </w:t>
      </w:r>
      <w:r>
        <w:rPr>
          <w:rFonts w:ascii="仿宋_GB2312" w:hAnsi="宋体" w:eastAsia="仿宋_GB2312"/>
          <w:sz w:val="32"/>
          <w:szCs w:val="28"/>
        </w:rPr>
        <w:t xml:space="preserve"> </w:t>
      </w:r>
      <w:r>
        <w:rPr>
          <w:rFonts w:hint="eastAsia" w:ascii="仿宋_GB2312" w:hAnsi="宋体" w:eastAsia="仿宋_GB2312"/>
          <w:sz w:val="32"/>
          <w:szCs w:val="28"/>
        </w:rPr>
        <w:t xml:space="preserve">监测指标手工比对结果 </w:t>
      </w:r>
      <w:r>
        <w:rPr>
          <w:rFonts w:ascii="仿宋_GB2312" w:hAnsi="宋体" w:eastAsia="仿宋_GB2312"/>
          <w:sz w:val="32"/>
          <w:szCs w:val="28"/>
        </w:rPr>
        <w:t xml:space="preserve">     </w:t>
      </w:r>
      <w:r>
        <w:rPr>
          <w:rFonts w:hint="eastAsia" w:ascii="仿宋_GB2312" w:hAnsi="宋体" w:eastAsia="仿宋_GB2312"/>
          <w:sz w:val="32"/>
          <w:szCs w:val="28"/>
        </w:rPr>
        <w:t>浓度单位:m</w:t>
      </w:r>
      <w:r>
        <w:rPr>
          <w:rFonts w:ascii="仿宋_GB2312" w:hAnsi="宋体" w:eastAsia="仿宋_GB2312"/>
          <w:sz w:val="32"/>
          <w:szCs w:val="28"/>
        </w:rPr>
        <w:t>g/L(Ph</w:t>
      </w:r>
      <w:r>
        <w:rPr>
          <w:rFonts w:hint="eastAsia" w:ascii="仿宋_GB2312" w:hAnsi="宋体" w:eastAsia="仿宋_GB2312"/>
          <w:sz w:val="32"/>
          <w:szCs w:val="28"/>
        </w:rPr>
        <w:t>除外)</w:t>
      </w:r>
      <w:r>
        <w:rPr>
          <w:rFonts w:ascii="仿宋_GB2312" w:hAnsi="宋体" w:eastAsia="仿宋_GB2312"/>
          <w:sz w:val="32"/>
          <w:szCs w:val="28"/>
        </w:rPr>
        <w:t xml:space="preserve"> </w:t>
      </w:r>
    </w:p>
    <w:tbl>
      <w:tblPr>
        <w:tblStyle w:val="6"/>
        <w:tblW w:w="5000" w:type="pct"/>
        <w:tblInd w:w="0" w:type="dxa"/>
        <w:tblLayout w:type="autofit"/>
        <w:tblCellMar>
          <w:top w:w="0" w:type="dxa"/>
          <w:left w:w="108" w:type="dxa"/>
          <w:bottom w:w="0" w:type="dxa"/>
          <w:right w:w="108" w:type="dxa"/>
        </w:tblCellMar>
      </w:tblPr>
      <w:tblGrid>
        <w:gridCol w:w="1181"/>
        <w:gridCol w:w="1182"/>
        <w:gridCol w:w="2277"/>
        <w:gridCol w:w="1622"/>
        <w:gridCol w:w="1885"/>
        <w:gridCol w:w="3462"/>
        <w:gridCol w:w="2497"/>
      </w:tblGrid>
      <w:tr>
        <w:tblPrEx>
          <w:tblCellMar>
            <w:top w:w="0" w:type="dxa"/>
            <w:left w:w="108" w:type="dxa"/>
            <w:bottom w:w="0" w:type="dxa"/>
            <w:right w:w="108" w:type="dxa"/>
          </w:tblCellMar>
        </w:tblPrEx>
        <w:trPr>
          <w:trHeight w:val="285" w:hRule="atLeast"/>
          <w:tblHeader/>
        </w:trPr>
        <w:tc>
          <w:tcPr>
            <w:tcW w:w="4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b/>
                <w:color w:val="000000"/>
                <w:kern w:val="0"/>
                <w:sz w:val="22"/>
                <w:szCs w:val="22"/>
              </w:rPr>
            </w:pPr>
            <w:r>
              <w:rPr>
                <w:rFonts w:hint="eastAsia" w:ascii="等线" w:hAnsi="等线" w:eastAsia="等线" w:cs="宋体"/>
                <w:b/>
                <w:color w:val="000000"/>
                <w:kern w:val="0"/>
                <w:sz w:val="22"/>
                <w:szCs w:val="22"/>
              </w:rPr>
              <w:t>序号</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b/>
                <w:color w:val="000000"/>
                <w:kern w:val="0"/>
                <w:sz w:val="22"/>
                <w:szCs w:val="22"/>
              </w:rPr>
            </w:pPr>
            <w:r>
              <w:rPr>
                <w:rFonts w:hint="eastAsia" w:ascii="等线" w:hAnsi="等线" w:eastAsia="等线" w:cs="宋体"/>
                <w:b/>
                <w:color w:val="000000"/>
                <w:kern w:val="0"/>
                <w:sz w:val="22"/>
                <w:szCs w:val="22"/>
              </w:rPr>
              <w:t>水站名称</w:t>
            </w:r>
          </w:p>
        </w:tc>
        <w:tc>
          <w:tcPr>
            <w:tcW w:w="80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b/>
                <w:color w:val="000000"/>
                <w:kern w:val="0"/>
                <w:sz w:val="22"/>
                <w:szCs w:val="22"/>
              </w:rPr>
            </w:pPr>
            <w:r>
              <w:rPr>
                <w:rFonts w:hint="eastAsia" w:ascii="等线" w:hAnsi="等线" w:eastAsia="等线" w:cs="宋体"/>
                <w:b/>
                <w:color w:val="000000"/>
                <w:kern w:val="0"/>
                <w:sz w:val="22"/>
                <w:szCs w:val="22"/>
              </w:rPr>
              <w:t>项目</w:t>
            </w:r>
          </w:p>
        </w:tc>
        <w:tc>
          <w:tcPr>
            <w:tcW w:w="57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b/>
                <w:color w:val="000000"/>
                <w:kern w:val="0"/>
                <w:sz w:val="22"/>
                <w:szCs w:val="22"/>
              </w:rPr>
            </w:pPr>
            <w:r>
              <w:rPr>
                <w:rFonts w:hint="eastAsia" w:ascii="等线" w:hAnsi="等线" w:eastAsia="等线" w:cs="宋体"/>
                <w:b/>
                <w:color w:val="000000"/>
                <w:kern w:val="0"/>
                <w:sz w:val="22"/>
                <w:szCs w:val="22"/>
              </w:rPr>
              <w:t>仪器监测值</w:t>
            </w:r>
          </w:p>
        </w:tc>
        <w:tc>
          <w:tcPr>
            <w:tcW w:w="66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b/>
                <w:color w:val="000000"/>
                <w:kern w:val="0"/>
                <w:sz w:val="22"/>
                <w:szCs w:val="22"/>
              </w:rPr>
            </w:pPr>
            <w:r>
              <w:rPr>
                <w:rFonts w:hint="eastAsia" w:ascii="等线" w:hAnsi="等线" w:eastAsia="等线" w:cs="宋体"/>
                <w:b/>
                <w:color w:val="000000"/>
                <w:kern w:val="0"/>
                <w:sz w:val="22"/>
                <w:szCs w:val="22"/>
              </w:rPr>
              <w:t>手工监测值</w:t>
            </w:r>
          </w:p>
        </w:tc>
        <w:tc>
          <w:tcPr>
            <w:tcW w:w="122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b/>
                <w:color w:val="000000"/>
                <w:kern w:val="0"/>
                <w:sz w:val="22"/>
                <w:szCs w:val="22"/>
              </w:rPr>
            </w:pPr>
            <w:r>
              <w:rPr>
                <w:rFonts w:hint="eastAsia" w:ascii="等线" w:hAnsi="等线" w:eastAsia="等线" w:cs="宋体"/>
                <w:b/>
                <w:color w:val="000000"/>
                <w:kern w:val="0"/>
                <w:sz w:val="22"/>
                <w:szCs w:val="22"/>
              </w:rPr>
              <w:t>　</w:t>
            </w:r>
          </w:p>
        </w:tc>
        <w:tc>
          <w:tcPr>
            <w:tcW w:w="88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b/>
                <w:color w:val="000000"/>
                <w:kern w:val="0"/>
                <w:sz w:val="22"/>
                <w:szCs w:val="22"/>
              </w:rPr>
            </w:pPr>
            <w:r>
              <w:rPr>
                <w:rFonts w:hint="eastAsia" w:ascii="等线" w:hAnsi="等线" w:eastAsia="等线" w:cs="宋体"/>
                <w:b/>
                <w:color w:val="000000"/>
                <w:kern w:val="0"/>
                <w:sz w:val="22"/>
                <w:szCs w:val="22"/>
              </w:rPr>
              <w:t>相对误差</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宁武中桥</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7.23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15.2</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16.1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15.89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371.3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362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2.60%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7.95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-0.60%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4.39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-8.50%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1.61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1.51</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6.60%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0.434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0.41</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5.90%</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濑派电站</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7.55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0.7%</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6.96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7.12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-0.4%</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381.8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375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1.80%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2.69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2.86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-5.60%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0.078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廖平桥</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7.54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-2.1%</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6.74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6.79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-0.7%</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0.5%</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319.9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317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0.90%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4.58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2.03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-7.70%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0.327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0.378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0.065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冠岩</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7.46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6.63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0.5%</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21.8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241.1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-4.70%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2.76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4.06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4.31</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-5.80%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0.019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kern w:val="0"/>
                <w:sz w:val="22"/>
                <w:szCs w:val="22"/>
              </w:rPr>
            </w:pPr>
            <w:r>
              <w:rPr>
                <w:rFonts w:hint="eastAsia" w:ascii="等线" w:hAnsi="等线" w:eastAsia="等线" w:cs="宋体"/>
                <w:kern w:val="0"/>
                <w:sz w:val="22"/>
                <w:szCs w:val="22"/>
              </w:rPr>
              <w:t>0.08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江口大桥</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7.11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6.46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6.42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0.6%</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135.6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149.8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-9.50%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5.45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0.90%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0.074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0.082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0.217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8.50%</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小峰水库</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6.23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-1.1%</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21.3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5.51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5.82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23.3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23.5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-0.9%</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42.3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39.8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0.502</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0.483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3.90%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0.067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罗泗</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7.27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5.84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5.63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3.7%</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24.1</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265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2.30%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3.74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2.69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-4.83%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0.159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0.144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0.083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宠塘坪</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7.58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11</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7.16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22.2</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0.9%</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275.1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272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1.10%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3.74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3.15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3.44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-8.40%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0.228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0.078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兰东</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6.85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-2.1%</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7.41</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21.8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21.4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1.9%</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105.5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7.7%</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1.63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0.317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0.305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0.088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梓木村</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6.82</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-2.6%</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5.64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5.44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3.7%</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23.8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276.9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268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3.30%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4.54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3.20%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3.38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3.72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-9.14%</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0.385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0.357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0.184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2.20%</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11</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白石坪</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6.68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6.8</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3.79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4.09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23.4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23.5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-0.4%</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134.1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125.1</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7.20%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6.09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3.11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3.39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-8.26%</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0.557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0.564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0.162</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8.00%</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六司桥</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7.24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7.27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-0.4%</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6.79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6.55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3.7%</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0.31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0.488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0.196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8.89%</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13</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鼠岭</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8.23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8.34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10.96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10.75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27.5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159.4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153.6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3.80%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6.03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9.64%</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汞</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0.00002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镉</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0.00025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六价铬</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-0.0176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铅</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14</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鹤木根</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7.11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6.89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3.2%</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14.4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8.49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8.45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0.5%</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21.9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-0.5%</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191.6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204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-6.10%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7.89%</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3.24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3.03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6.90%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0.239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0.445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0.135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3.85%</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车陂江</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6.72</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6.94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-3.2%</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4.31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4.53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-4.9%</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1.52</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8.57%</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0.256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6.67%</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16</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香芒大桥</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pH值</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7.26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7.32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浊度≤30NTU 不考核</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溶解氧</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6.69</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6.72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-0.4%</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水温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25.7</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26</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电导率</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383.6</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384.5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-0.20%</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0.83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0.85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-2.35%</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-0.014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0.149</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0.033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17</w:t>
            </w:r>
          </w:p>
        </w:tc>
        <w:tc>
          <w:tcPr>
            <w:tcW w:w="41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车河</w:t>
            </w: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高锰酸盐指数</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0.72</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锑</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0.0361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0.0332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8.73%</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铊</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0.00073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0.00081</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-9.88%</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汞</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0.00001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0.00004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镉</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0.0041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0.0022</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六价铬</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0.0031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铅</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铜</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锌</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0.203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0.013</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0.0501</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0.0458</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1.53</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1.45</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5.52%</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氨氮</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0.05</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0.237</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总磷</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0.034</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419" w:type="pct"/>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80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氰化物</w:t>
            </w:r>
          </w:p>
        </w:tc>
        <w:tc>
          <w:tcPr>
            <w:tcW w:w="57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w:t>
            </w:r>
          </w:p>
        </w:tc>
        <w:tc>
          <w:tcPr>
            <w:tcW w:w="66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0.004</w:t>
            </w:r>
          </w:p>
        </w:tc>
        <w:tc>
          <w:tcPr>
            <w:tcW w:w="122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单指标水质达到或优于II类</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bl>
    <w:p>
      <w:pPr>
        <w:spacing w:line="560" w:lineRule="exact"/>
        <w:jc w:val="center"/>
        <w:rPr>
          <w:rFonts w:ascii="仿宋_GB2312" w:hAnsi="宋体" w:eastAsia="仿宋_GB2312"/>
          <w:sz w:val="32"/>
          <w:szCs w:val="28"/>
        </w:rPr>
      </w:pPr>
    </w:p>
    <w:sectPr>
      <w:pgSz w:w="16838" w:h="11906" w:orient="landscape"/>
      <w:pgMar w:top="1474"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25"/>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DDE2B46"/>
    <w:multiLevelType w:val="multilevel"/>
    <w:tmpl w:val="0DDE2B46"/>
    <w:lvl w:ilvl="0" w:tentative="0">
      <w:start w:val="1"/>
      <w:numFmt w:val="lowerLetter"/>
      <w:pStyle w:val="29"/>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
    <w:nsid w:val="1DBF583A"/>
    <w:multiLevelType w:val="multilevel"/>
    <w:tmpl w:val="1DBF583A"/>
    <w:lvl w:ilvl="0" w:tentative="0">
      <w:start w:val="1"/>
      <w:numFmt w:val="decimal"/>
      <w:pStyle w:val="2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3">
    <w:nsid w:val="1FC91163"/>
    <w:multiLevelType w:val="multilevel"/>
    <w:tmpl w:val="1FC91163"/>
    <w:lvl w:ilvl="0" w:tentative="0">
      <w:start w:val="1"/>
      <w:numFmt w:val="decimal"/>
      <w:pStyle w:val="2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9"/>
      <w:suff w:val="nothing"/>
      <w:lvlText w:val="%1.%2　"/>
      <w:lvlJc w:val="left"/>
      <w:pPr>
        <w:ind w:left="52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1"/>
      <w:suff w:val="nothing"/>
      <w:lvlText w:val="%1.%2.%3　"/>
      <w:lvlJc w:val="left"/>
      <w:pPr>
        <w:ind w:left="0" w:firstLine="0"/>
      </w:pPr>
      <w:rPr>
        <w:rFonts w:hint="eastAsia" w:ascii="黑体" w:hAnsi="Times New Roman" w:eastAsia="黑体"/>
        <w:b w:val="0"/>
        <w:i w:val="0"/>
        <w:sz w:val="21"/>
      </w:rPr>
    </w:lvl>
    <w:lvl w:ilvl="3" w:tentative="0">
      <w:start w:val="1"/>
      <w:numFmt w:val="decimal"/>
      <w:pStyle w:val="22"/>
      <w:suff w:val="nothing"/>
      <w:lvlText w:val="%1.%2.%3.%4　"/>
      <w:lvlJc w:val="left"/>
      <w:pPr>
        <w:ind w:left="0" w:firstLine="0"/>
      </w:pPr>
      <w:rPr>
        <w:rFonts w:hint="eastAsia" w:ascii="黑体" w:hAnsi="Times New Roman" w:eastAsia="黑体"/>
        <w:b w:val="0"/>
        <w:i w:val="0"/>
        <w:sz w:val="21"/>
      </w:rPr>
    </w:lvl>
    <w:lvl w:ilvl="4" w:tentative="0">
      <w:start w:val="1"/>
      <w:numFmt w:val="decimal"/>
      <w:pStyle w:val="23"/>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A8F7113"/>
    <w:multiLevelType w:val="multilevel"/>
    <w:tmpl w:val="2A8F7113"/>
    <w:lvl w:ilvl="0" w:tentative="0">
      <w:start w:val="1"/>
      <w:numFmt w:val="upperLetter"/>
      <w:pStyle w:val="26"/>
      <w:suff w:val="space"/>
      <w:lvlText w:val="%1"/>
      <w:lvlJc w:val="left"/>
      <w:pPr>
        <w:ind w:left="623" w:hanging="425"/>
      </w:pPr>
      <w:rPr>
        <w:rFonts w:hint="eastAsia"/>
      </w:rPr>
    </w:lvl>
    <w:lvl w:ilvl="1" w:tentative="0">
      <w:start w:val="1"/>
      <w:numFmt w:val="decimal"/>
      <w:pStyle w:val="2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5">
    <w:nsid w:val="557C2AF5"/>
    <w:multiLevelType w:val="multilevel"/>
    <w:tmpl w:val="557C2AF5"/>
    <w:lvl w:ilvl="0" w:tentative="0">
      <w:start w:val="1"/>
      <w:numFmt w:val="decimal"/>
      <w:pStyle w:val="1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7">
    <w:nsid w:val="646260FA"/>
    <w:multiLevelType w:val="multilevel"/>
    <w:tmpl w:val="646260FA"/>
    <w:lvl w:ilvl="0" w:tentative="0">
      <w:start w:val="1"/>
      <w:numFmt w:val="decimal"/>
      <w:pStyle w:val="1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7"/>
  </w:num>
  <w:num w:numId="2">
    <w:abstractNumId w:val="5"/>
  </w:num>
  <w:num w:numId="3">
    <w:abstractNumId w:val="3"/>
  </w:num>
  <w:num w:numId="4">
    <w:abstractNumId w:val="0"/>
  </w:num>
  <w:num w:numId="5">
    <w:abstractNumId w:val="4"/>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wMzBhNDA5MWZkNjNjNjFjNmFkMDk0MGQ5YjMxZTYifQ=="/>
  </w:docVars>
  <w:rsids>
    <w:rsidRoot w:val="0042062E"/>
    <w:rsid w:val="0000457E"/>
    <w:rsid w:val="00005CA4"/>
    <w:rsid w:val="000107BC"/>
    <w:rsid w:val="00013090"/>
    <w:rsid w:val="00016837"/>
    <w:rsid w:val="00021331"/>
    <w:rsid w:val="00023119"/>
    <w:rsid w:val="00023FE2"/>
    <w:rsid w:val="00024212"/>
    <w:rsid w:val="00024664"/>
    <w:rsid w:val="0002519F"/>
    <w:rsid w:val="00033257"/>
    <w:rsid w:val="00034233"/>
    <w:rsid w:val="00034BDB"/>
    <w:rsid w:val="000576D0"/>
    <w:rsid w:val="00057758"/>
    <w:rsid w:val="00060FE2"/>
    <w:rsid w:val="0007330D"/>
    <w:rsid w:val="00073F72"/>
    <w:rsid w:val="00074EB1"/>
    <w:rsid w:val="00076BBA"/>
    <w:rsid w:val="00080F2F"/>
    <w:rsid w:val="0008145A"/>
    <w:rsid w:val="0009177A"/>
    <w:rsid w:val="00093E74"/>
    <w:rsid w:val="000962F6"/>
    <w:rsid w:val="000A0201"/>
    <w:rsid w:val="000A17DA"/>
    <w:rsid w:val="000A3070"/>
    <w:rsid w:val="000A4601"/>
    <w:rsid w:val="000A77CD"/>
    <w:rsid w:val="000B5C98"/>
    <w:rsid w:val="000D0ACE"/>
    <w:rsid w:val="000D15BE"/>
    <w:rsid w:val="000D5AC8"/>
    <w:rsid w:val="000D6612"/>
    <w:rsid w:val="000D751C"/>
    <w:rsid w:val="000D7F33"/>
    <w:rsid w:val="000F10EB"/>
    <w:rsid w:val="000F3365"/>
    <w:rsid w:val="000F517A"/>
    <w:rsid w:val="00101D2E"/>
    <w:rsid w:val="00103B83"/>
    <w:rsid w:val="00105252"/>
    <w:rsid w:val="001062E3"/>
    <w:rsid w:val="00106661"/>
    <w:rsid w:val="0010769F"/>
    <w:rsid w:val="00110864"/>
    <w:rsid w:val="00110F43"/>
    <w:rsid w:val="00112415"/>
    <w:rsid w:val="00113B53"/>
    <w:rsid w:val="00114946"/>
    <w:rsid w:val="00126CA6"/>
    <w:rsid w:val="001273E7"/>
    <w:rsid w:val="00127EB0"/>
    <w:rsid w:val="00131B03"/>
    <w:rsid w:val="00133786"/>
    <w:rsid w:val="00134DD4"/>
    <w:rsid w:val="001435D3"/>
    <w:rsid w:val="0015152A"/>
    <w:rsid w:val="001520CC"/>
    <w:rsid w:val="00156663"/>
    <w:rsid w:val="001611BB"/>
    <w:rsid w:val="00167167"/>
    <w:rsid w:val="001708F8"/>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E7775"/>
    <w:rsid w:val="001F07A8"/>
    <w:rsid w:val="001F241E"/>
    <w:rsid w:val="001F660A"/>
    <w:rsid w:val="001F7E35"/>
    <w:rsid w:val="00205603"/>
    <w:rsid w:val="00210916"/>
    <w:rsid w:val="002116FB"/>
    <w:rsid w:val="00214221"/>
    <w:rsid w:val="00221CEB"/>
    <w:rsid w:val="002223DD"/>
    <w:rsid w:val="002231E8"/>
    <w:rsid w:val="00223EB7"/>
    <w:rsid w:val="00224EB8"/>
    <w:rsid w:val="0022748A"/>
    <w:rsid w:val="002279C5"/>
    <w:rsid w:val="00231E62"/>
    <w:rsid w:val="00232769"/>
    <w:rsid w:val="00244ADA"/>
    <w:rsid w:val="00244C0C"/>
    <w:rsid w:val="002465C7"/>
    <w:rsid w:val="002526F3"/>
    <w:rsid w:val="00254F7A"/>
    <w:rsid w:val="00256FE0"/>
    <w:rsid w:val="002621E1"/>
    <w:rsid w:val="00262753"/>
    <w:rsid w:val="00262771"/>
    <w:rsid w:val="00262F6C"/>
    <w:rsid w:val="00264A7D"/>
    <w:rsid w:val="00264CE4"/>
    <w:rsid w:val="0027235B"/>
    <w:rsid w:val="00283085"/>
    <w:rsid w:val="00283E25"/>
    <w:rsid w:val="0029084D"/>
    <w:rsid w:val="00291D7F"/>
    <w:rsid w:val="00291EF3"/>
    <w:rsid w:val="002952AC"/>
    <w:rsid w:val="002A4D06"/>
    <w:rsid w:val="002B07E3"/>
    <w:rsid w:val="002B2E35"/>
    <w:rsid w:val="002B3D69"/>
    <w:rsid w:val="002B5497"/>
    <w:rsid w:val="002C1D2A"/>
    <w:rsid w:val="002C4FFB"/>
    <w:rsid w:val="002C5534"/>
    <w:rsid w:val="002C611B"/>
    <w:rsid w:val="002C73B6"/>
    <w:rsid w:val="002D6D1E"/>
    <w:rsid w:val="002E073F"/>
    <w:rsid w:val="002E7467"/>
    <w:rsid w:val="002E7A35"/>
    <w:rsid w:val="002F34AA"/>
    <w:rsid w:val="002F4D7B"/>
    <w:rsid w:val="002F513F"/>
    <w:rsid w:val="002F613B"/>
    <w:rsid w:val="003025DF"/>
    <w:rsid w:val="00303E23"/>
    <w:rsid w:val="00306925"/>
    <w:rsid w:val="0031011D"/>
    <w:rsid w:val="003144B8"/>
    <w:rsid w:val="00314640"/>
    <w:rsid w:val="00327623"/>
    <w:rsid w:val="0033375C"/>
    <w:rsid w:val="0034090F"/>
    <w:rsid w:val="00343C24"/>
    <w:rsid w:val="00345BCC"/>
    <w:rsid w:val="00353735"/>
    <w:rsid w:val="00356D19"/>
    <w:rsid w:val="00357A1D"/>
    <w:rsid w:val="00357E18"/>
    <w:rsid w:val="0036001E"/>
    <w:rsid w:val="00360952"/>
    <w:rsid w:val="00362F10"/>
    <w:rsid w:val="00365252"/>
    <w:rsid w:val="00373BAD"/>
    <w:rsid w:val="00374390"/>
    <w:rsid w:val="00381796"/>
    <w:rsid w:val="00382AB2"/>
    <w:rsid w:val="00391984"/>
    <w:rsid w:val="00392E22"/>
    <w:rsid w:val="00396025"/>
    <w:rsid w:val="003B2F32"/>
    <w:rsid w:val="003B5050"/>
    <w:rsid w:val="003C2D44"/>
    <w:rsid w:val="003C483D"/>
    <w:rsid w:val="003D51D0"/>
    <w:rsid w:val="003D5CB5"/>
    <w:rsid w:val="003E330B"/>
    <w:rsid w:val="003E4A86"/>
    <w:rsid w:val="003F284D"/>
    <w:rsid w:val="003F28D0"/>
    <w:rsid w:val="003F3119"/>
    <w:rsid w:val="003F392A"/>
    <w:rsid w:val="003F3AAC"/>
    <w:rsid w:val="003F4902"/>
    <w:rsid w:val="003F727B"/>
    <w:rsid w:val="0040035D"/>
    <w:rsid w:val="00404BD1"/>
    <w:rsid w:val="004050BE"/>
    <w:rsid w:val="0040610D"/>
    <w:rsid w:val="00406A80"/>
    <w:rsid w:val="0042062E"/>
    <w:rsid w:val="00424AF1"/>
    <w:rsid w:val="00424FCB"/>
    <w:rsid w:val="00425860"/>
    <w:rsid w:val="00433400"/>
    <w:rsid w:val="00434E46"/>
    <w:rsid w:val="00434F90"/>
    <w:rsid w:val="004378E4"/>
    <w:rsid w:val="0044118D"/>
    <w:rsid w:val="004441BD"/>
    <w:rsid w:val="004503F4"/>
    <w:rsid w:val="0045483D"/>
    <w:rsid w:val="00455661"/>
    <w:rsid w:val="0046025A"/>
    <w:rsid w:val="00460359"/>
    <w:rsid w:val="004605D8"/>
    <w:rsid w:val="004626AF"/>
    <w:rsid w:val="00465230"/>
    <w:rsid w:val="00467DEF"/>
    <w:rsid w:val="004805D0"/>
    <w:rsid w:val="00480BA1"/>
    <w:rsid w:val="004814A9"/>
    <w:rsid w:val="0048357F"/>
    <w:rsid w:val="00484EF3"/>
    <w:rsid w:val="00485212"/>
    <w:rsid w:val="004865C9"/>
    <w:rsid w:val="0049011A"/>
    <w:rsid w:val="00491FE3"/>
    <w:rsid w:val="0049390C"/>
    <w:rsid w:val="004A25C4"/>
    <w:rsid w:val="004A614E"/>
    <w:rsid w:val="004A660C"/>
    <w:rsid w:val="004A76AB"/>
    <w:rsid w:val="004B2E7F"/>
    <w:rsid w:val="004C4136"/>
    <w:rsid w:val="004D2302"/>
    <w:rsid w:val="004D5B22"/>
    <w:rsid w:val="004F0593"/>
    <w:rsid w:val="004F48C2"/>
    <w:rsid w:val="004F74F0"/>
    <w:rsid w:val="004F7FA9"/>
    <w:rsid w:val="00505469"/>
    <w:rsid w:val="0051028F"/>
    <w:rsid w:val="0051148B"/>
    <w:rsid w:val="00513080"/>
    <w:rsid w:val="00514C97"/>
    <w:rsid w:val="005159F5"/>
    <w:rsid w:val="00526200"/>
    <w:rsid w:val="005269CF"/>
    <w:rsid w:val="0053418A"/>
    <w:rsid w:val="00535AC6"/>
    <w:rsid w:val="00537550"/>
    <w:rsid w:val="00546DEA"/>
    <w:rsid w:val="005639F8"/>
    <w:rsid w:val="005656AA"/>
    <w:rsid w:val="005742DB"/>
    <w:rsid w:val="00577C08"/>
    <w:rsid w:val="005802BD"/>
    <w:rsid w:val="0058151C"/>
    <w:rsid w:val="00581CE7"/>
    <w:rsid w:val="0058472C"/>
    <w:rsid w:val="005870E5"/>
    <w:rsid w:val="005873D6"/>
    <w:rsid w:val="00596702"/>
    <w:rsid w:val="005A1A17"/>
    <w:rsid w:val="005A4523"/>
    <w:rsid w:val="005A4707"/>
    <w:rsid w:val="005B0CDC"/>
    <w:rsid w:val="005B23F7"/>
    <w:rsid w:val="005B76D5"/>
    <w:rsid w:val="005B7B7E"/>
    <w:rsid w:val="005C06D9"/>
    <w:rsid w:val="005C0AFC"/>
    <w:rsid w:val="005C4EFF"/>
    <w:rsid w:val="005D06D6"/>
    <w:rsid w:val="005D1EE1"/>
    <w:rsid w:val="005D2AEE"/>
    <w:rsid w:val="005D3F96"/>
    <w:rsid w:val="005D5DDF"/>
    <w:rsid w:val="005D6A5C"/>
    <w:rsid w:val="005E05D4"/>
    <w:rsid w:val="005E207A"/>
    <w:rsid w:val="005E2143"/>
    <w:rsid w:val="005F0995"/>
    <w:rsid w:val="005F1E35"/>
    <w:rsid w:val="005F36D9"/>
    <w:rsid w:val="005F6C71"/>
    <w:rsid w:val="005F71EC"/>
    <w:rsid w:val="006062AE"/>
    <w:rsid w:val="0060656D"/>
    <w:rsid w:val="00606B5A"/>
    <w:rsid w:val="00610884"/>
    <w:rsid w:val="00614347"/>
    <w:rsid w:val="006147DA"/>
    <w:rsid w:val="0062702A"/>
    <w:rsid w:val="006404F1"/>
    <w:rsid w:val="0064449B"/>
    <w:rsid w:val="00644EED"/>
    <w:rsid w:val="006456A7"/>
    <w:rsid w:val="006467C4"/>
    <w:rsid w:val="00651C9C"/>
    <w:rsid w:val="00654D8C"/>
    <w:rsid w:val="006555D8"/>
    <w:rsid w:val="006610FC"/>
    <w:rsid w:val="0066440C"/>
    <w:rsid w:val="006670DB"/>
    <w:rsid w:val="00667C57"/>
    <w:rsid w:val="0067586A"/>
    <w:rsid w:val="00680EEB"/>
    <w:rsid w:val="006811BF"/>
    <w:rsid w:val="00682D7C"/>
    <w:rsid w:val="00682FAD"/>
    <w:rsid w:val="0068494D"/>
    <w:rsid w:val="00690D6C"/>
    <w:rsid w:val="006945D3"/>
    <w:rsid w:val="006A1BD7"/>
    <w:rsid w:val="006A3112"/>
    <w:rsid w:val="006A3BAD"/>
    <w:rsid w:val="006B1080"/>
    <w:rsid w:val="006C0CC1"/>
    <w:rsid w:val="006C6B87"/>
    <w:rsid w:val="006C70ED"/>
    <w:rsid w:val="006D4CCC"/>
    <w:rsid w:val="006D5D5F"/>
    <w:rsid w:val="006E155C"/>
    <w:rsid w:val="006F03ED"/>
    <w:rsid w:val="006F67E6"/>
    <w:rsid w:val="006F77F7"/>
    <w:rsid w:val="00700D32"/>
    <w:rsid w:val="0070138D"/>
    <w:rsid w:val="0070266E"/>
    <w:rsid w:val="00705429"/>
    <w:rsid w:val="0070730B"/>
    <w:rsid w:val="007121B0"/>
    <w:rsid w:val="00712BC5"/>
    <w:rsid w:val="00715CA4"/>
    <w:rsid w:val="00716EAC"/>
    <w:rsid w:val="00720395"/>
    <w:rsid w:val="00722AAE"/>
    <w:rsid w:val="0072448B"/>
    <w:rsid w:val="007245EF"/>
    <w:rsid w:val="00726016"/>
    <w:rsid w:val="007432F4"/>
    <w:rsid w:val="0075401E"/>
    <w:rsid w:val="00755471"/>
    <w:rsid w:val="007556A8"/>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4614"/>
    <w:rsid w:val="007B7812"/>
    <w:rsid w:val="007C3308"/>
    <w:rsid w:val="007C4C1F"/>
    <w:rsid w:val="007D4356"/>
    <w:rsid w:val="007D520B"/>
    <w:rsid w:val="007D5225"/>
    <w:rsid w:val="007D6192"/>
    <w:rsid w:val="007D646F"/>
    <w:rsid w:val="007E0035"/>
    <w:rsid w:val="007F05BA"/>
    <w:rsid w:val="007F17C2"/>
    <w:rsid w:val="007F3051"/>
    <w:rsid w:val="007F445F"/>
    <w:rsid w:val="007F69C4"/>
    <w:rsid w:val="00800158"/>
    <w:rsid w:val="00805B1A"/>
    <w:rsid w:val="00812666"/>
    <w:rsid w:val="00825BEF"/>
    <w:rsid w:val="00827595"/>
    <w:rsid w:val="008275DE"/>
    <w:rsid w:val="0083025F"/>
    <w:rsid w:val="00831A4E"/>
    <w:rsid w:val="00834158"/>
    <w:rsid w:val="00834843"/>
    <w:rsid w:val="00834F29"/>
    <w:rsid w:val="00837133"/>
    <w:rsid w:val="00843099"/>
    <w:rsid w:val="00844A63"/>
    <w:rsid w:val="00845B6B"/>
    <w:rsid w:val="0085555C"/>
    <w:rsid w:val="0085722C"/>
    <w:rsid w:val="00860076"/>
    <w:rsid w:val="0086391A"/>
    <w:rsid w:val="00864B42"/>
    <w:rsid w:val="00864EDC"/>
    <w:rsid w:val="008717FD"/>
    <w:rsid w:val="0087311E"/>
    <w:rsid w:val="008766A7"/>
    <w:rsid w:val="0088023F"/>
    <w:rsid w:val="00884AB2"/>
    <w:rsid w:val="008853E8"/>
    <w:rsid w:val="00890B67"/>
    <w:rsid w:val="00893361"/>
    <w:rsid w:val="00893A8E"/>
    <w:rsid w:val="00893CE3"/>
    <w:rsid w:val="008941F8"/>
    <w:rsid w:val="0089684C"/>
    <w:rsid w:val="008A42EB"/>
    <w:rsid w:val="008A4E58"/>
    <w:rsid w:val="008A5709"/>
    <w:rsid w:val="008B1A6F"/>
    <w:rsid w:val="008B7B5C"/>
    <w:rsid w:val="008B7C56"/>
    <w:rsid w:val="008C1BE0"/>
    <w:rsid w:val="008C6844"/>
    <w:rsid w:val="008D1502"/>
    <w:rsid w:val="008D2E6B"/>
    <w:rsid w:val="008D3059"/>
    <w:rsid w:val="008D44E2"/>
    <w:rsid w:val="008D5C1F"/>
    <w:rsid w:val="008E0C90"/>
    <w:rsid w:val="008F024A"/>
    <w:rsid w:val="008F62FB"/>
    <w:rsid w:val="00900B1D"/>
    <w:rsid w:val="00901C67"/>
    <w:rsid w:val="009058DF"/>
    <w:rsid w:val="00910D7C"/>
    <w:rsid w:val="00910E34"/>
    <w:rsid w:val="00911CE5"/>
    <w:rsid w:val="00913CBB"/>
    <w:rsid w:val="0091490C"/>
    <w:rsid w:val="009204DB"/>
    <w:rsid w:val="0092128F"/>
    <w:rsid w:val="00922063"/>
    <w:rsid w:val="009220D3"/>
    <w:rsid w:val="009226F2"/>
    <w:rsid w:val="00925DBB"/>
    <w:rsid w:val="00926314"/>
    <w:rsid w:val="00930317"/>
    <w:rsid w:val="00933333"/>
    <w:rsid w:val="0093364F"/>
    <w:rsid w:val="009368CB"/>
    <w:rsid w:val="00936A0A"/>
    <w:rsid w:val="0094724D"/>
    <w:rsid w:val="009510ED"/>
    <w:rsid w:val="00954E13"/>
    <w:rsid w:val="00955098"/>
    <w:rsid w:val="00957BDF"/>
    <w:rsid w:val="00962A6D"/>
    <w:rsid w:val="0096452B"/>
    <w:rsid w:val="00975377"/>
    <w:rsid w:val="0097752F"/>
    <w:rsid w:val="00980E2D"/>
    <w:rsid w:val="00981308"/>
    <w:rsid w:val="00983CDC"/>
    <w:rsid w:val="00983E62"/>
    <w:rsid w:val="00984743"/>
    <w:rsid w:val="00987A4E"/>
    <w:rsid w:val="00987C57"/>
    <w:rsid w:val="0099188F"/>
    <w:rsid w:val="00993328"/>
    <w:rsid w:val="00995822"/>
    <w:rsid w:val="00997A44"/>
    <w:rsid w:val="009A7254"/>
    <w:rsid w:val="009B2BF4"/>
    <w:rsid w:val="009B52A3"/>
    <w:rsid w:val="009B53BA"/>
    <w:rsid w:val="009B609B"/>
    <w:rsid w:val="009B6F4E"/>
    <w:rsid w:val="009B6FA5"/>
    <w:rsid w:val="009B74CD"/>
    <w:rsid w:val="009D38DB"/>
    <w:rsid w:val="009D3D0A"/>
    <w:rsid w:val="009E1F06"/>
    <w:rsid w:val="009E3E01"/>
    <w:rsid w:val="009E5DEF"/>
    <w:rsid w:val="009E6B6B"/>
    <w:rsid w:val="009F79E3"/>
    <w:rsid w:val="00A01A52"/>
    <w:rsid w:val="00A04E49"/>
    <w:rsid w:val="00A10236"/>
    <w:rsid w:val="00A10B7E"/>
    <w:rsid w:val="00A11E9D"/>
    <w:rsid w:val="00A25268"/>
    <w:rsid w:val="00A34924"/>
    <w:rsid w:val="00A35F3F"/>
    <w:rsid w:val="00A40234"/>
    <w:rsid w:val="00A4496C"/>
    <w:rsid w:val="00A51BDA"/>
    <w:rsid w:val="00A52FED"/>
    <w:rsid w:val="00A547EA"/>
    <w:rsid w:val="00A54EE3"/>
    <w:rsid w:val="00A60040"/>
    <w:rsid w:val="00A61125"/>
    <w:rsid w:val="00A62773"/>
    <w:rsid w:val="00A64033"/>
    <w:rsid w:val="00A66230"/>
    <w:rsid w:val="00A66B33"/>
    <w:rsid w:val="00A706DE"/>
    <w:rsid w:val="00A7226B"/>
    <w:rsid w:val="00A80E57"/>
    <w:rsid w:val="00A84362"/>
    <w:rsid w:val="00A90118"/>
    <w:rsid w:val="00A90821"/>
    <w:rsid w:val="00A928C5"/>
    <w:rsid w:val="00A955A3"/>
    <w:rsid w:val="00A958C2"/>
    <w:rsid w:val="00A95C9E"/>
    <w:rsid w:val="00A96933"/>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079DB"/>
    <w:rsid w:val="00B17EA4"/>
    <w:rsid w:val="00B2401D"/>
    <w:rsid w:val="00B27F1E"/>
    <w:rsid w:val="00B320E0"/>
    <w:rsid w:val="00B35A2B"/>
    <w:rsid w:val="00B44C87"/>
    <w:rsid w:val="00B525E7"/>
    <w:rsid w:val="00B5298A"/>
    <w:rsid w:val="00B52BC2"/>
    <w:rsid w:val="00B54B9E"/>
    <w:rsid w:val="00B5655B"/>
    <w:rsid w:val="00B602C0"/>
    <w:rsid w:val="00B639CC"/>
    <w:rsid w:val="00B65AA6"/>
    <w:rsid w:val="00B736AC"/>
    <w:rsid w:val="00B753D4"/>
    <w:rsid w:val="00B777DB"/>
    <w:rsid w:val="00B804DA"/>
    <w:rsid w:val="00B83BD4"/>
    <w:rsid w:val="00B873B1"/>
    <w:rsid w:val="00B91C42"/>
    <w:rsid w:val="00BA74EC"/>
    <w:rsid w:val="00BB0ED6"/>
    <w:rsid w:val="00BB1C0A"/>
    <w:rsid w:val="00BB258B"/>
    <w:rsid w:val="00BB4B74"/>
    <w:rsid w:val="00BB6FED"/>
    <w:rsid w:val="00BC41B2"/>
    <w:rsid w:val="00BC45B6"/>
    <w:rsid w:val="00BC4F9E"/>
    <w:rsid w:val="00BE0799"/>
    <w:rsid w:val="00BF1119"/>
    <w:rsid w:val="00BF5510"/>
    <w:rsid w:val="00C00C31"/>
    <w:rsid w:val="00C070A2"/>
    <w:rsid w:val="00C10D37"/>
    <w:rsid w:val="00C13A0F"/>
    <w:rsid w:val="00C14C4A"/>
    <w:rsid w:val="00C17E66"/>
    <w:rsid w:val="00C242A9"/>
    <w:rsid w:val="00C24D87"/>
    <w:rsid w:val="00C3032A"/>
    <w:rsid w:val="00C31C6D"/>
    <w:rsid w:val="00C31FF2"/>
    <w:rsid w:val="00C33C36"/>
    <w:rsid w:val="00C34E53"/>
    <w:rsid w:val="00C362B8"/>
    <w:rsid w:val="00C44645"/>
    <w:rsid w:val="00C50A3F"/>
    <w:rsid w:val="00C51847"/>
    <w:rsid w:val="00C61072"/>
    <w:rsid w:val="00C6137D"/>
    <w:rsid w:val="00C61540"/>
    <w:rsid w:val="00C61B0C"/>
    <w:rsid w:val="00C67D4C"/>
    <w:rsid w:val="00C706FA"/>
    <w:rsid w:val="00C808FE"/>
    <w:rsid w:val="00C81D18"/>
    <w:rsid w:val="00C82258"/>
    <w:rsid w:val="00C82744"/>
    <w:rsid w:val="00C836D9"/>
    <w:rsid w:val="00C84109"/>
    <w:rsid w:val="00C843F0"/>
    <w:rsid w:val="00C85F66"/>
    <w:rsid w:val="00CA0CFD"/>
    <w:rsid w:val="00CA37C8"/>
    <w:rsid w:val="00CA5047"/>
    <w:rsid w:val="00CB3CF4"/>
    <w:rsid w:val="00CC4EE7"/>
    <w:rsid w:val="00CD4CC6"/>
    <w:rsid w:val="00CD5C22"/>
    <w:rsid w:val="00CD71B6"/>
    <w:rsid w:val="00CE363E"/>
    <w:rsid w:val="00CF1430"/>
    <w:rsid w:val="00CF1AE4"/>
    <w:rsid w:val="00D0046C"/>
    <w:rsid w:val="00D00979"/>
    <w:rsid w:val="00D01E3B"/>
    <w:rsid w:val="00D05480"/>
    <w:rsid w:val="00D06EEA"/>
    <w:rsid w:val="00D11946"/>
    <w:rsid w:val="00D14F71"/>
    <w:rsid w:val="00D15612"/>
    <w:rsid w:val="00D17A89"/>
    <w:rsid w:val="00D204BD"/>
    <w:rsid w:val="00D21619"/>
    <w:rsid w:val="00D21B1B"/>
    <w:rsid w:val="00D220B5"/>
    <w:rsid w:val="00D26063"/>
    <w:rsid w:val="00D30FB0"/>
    <w:rsid w:val="00D32832"/>
    <w:rsid w:val="00D33C76"/>
    <w:rsid w:val="00D34827"/>
    <w:rsid w:val="00D3642E"/>
    <w:rsid w:val="00D41F8D"/>
    <w:rsid w:val="00D451AB"/>
    <w:rsid w:val="00D46984"/>
    <w:rsid w:val="00D50991"/>
    <w:rsid w:val="00D578AF"/>
    <w:rsid w:val="00D61DA0"/>
    <w:rsid w:val="00D65D7A"/>
    <w:rsid w:val="00D6793A"/>
    <w:rsid w:val="00D7347C"/>
    <w:rsid w:val="00D74D7F"/>
    <w:rsid w:val="00D75348"/>
    <w:rsid w:val="00D80F6F"/>
    <w:rsid w:val="00D820E3"/>
    <w:rsid w:val="00D9342C"/>
    <w:rsid w:val="00D944CB"/>
    <w:rsid w:val="00DA326B"/>
    <w:rsid w:val="00DA59FA"/>
    <w:rsid w:val="00DB1157"/>
    <w:rsid w:val="00DB295F"/>
    <w:rsid w:val="00DB3826"/>
    <w:rsid w:val="00DB47DC"/>
    <w:rsid w:val="00DB74F2"/>
    <w:rsid w:val="00DC205C"/>
    <w:rsid w:val="00DC5687"/>
    <w:rsid w:val="00DC6575"/>
    <w:rsid w:val="00DC7A5D"/>
    <w:rsid w:val="00DD00EF"/>
    <w:rsid w:val="00DD1CF8"/>
    <w:rsid w:val="00DD6102"/>
    <w:rsid w:val="00DD71F1"/>
    <w:rsid w:val="00DE00C5"/>
    <w:rsid w:val="00DE3FB5"/>
    <w:rsid w:val="00DF60A6"/>
    <w:rsid w:val="00E00D0A"/>
    <w:rsid w:val="00E05B5A"/>
    <w:rsid w:val="00E07B93"/>
    <w:rsid w:val="00E07E15"/>
    <w:rsid w:val="00E161F8"/>
    <w:rsid w:val="00E31FEF"/>
    <w:rsid w:val="00E32815"/>
    <w:rsid w:val="00E40596"/>
    <w:rsid w:val="00E40BA9"/>
    <w:rsid w:val="00E41B77"/>
    <w:rsid w:val="00E45EC3"/>
    <w:rsid w:val="00E47C4F"/>
    <w:rsid w:val="00E541A3"/>
    <w:rsid w:val="00E637BB"/>
    <w:rsid w:val="00E638C8"/>
    <w:rsid w:val="00E658DD"/>
    <w:rsid w:val="00E65D7E"/>
    <w:rsid w:val="00E82204"/>
    <w:rsid w:val="00E8377B"/>
    <w:rsid w:val="00E83A77"/>
    <w:rsid w:val="00E8796C"/>
    <w:rsid w:val="00E90251"/>
    <w:rsid w:val="00E933C0"/>
    <w:rsid w:val="00E962B7"/>
    <w:rsid w:val="00E96877"/>
    <w:rsid w:val="00E978BF"/>
    <w:rsid w:val="00EA1188"/>
    <w:rsid w:val="00EB0752"/>
    <w:rsid w:val="00EB1186"/>
    <w:rsid w:val="00EB77CC"/>
    <w:rsid w:val="00EC0997"/>
    <w:rsid w:val="00ED30F4"/>
    <w:rsid w:val="00ED43BB"/>
    <w:rsid w:val="00ED449A"/>
    <w:rsid w:val="00ED68E9"/>
    <w:rsid w:val="00EE1FC2"/>
    <w:rsid w:val="00EF670C"/>
    <w:rsid w:val="00F1455B"/>
    <w:rsid w:val="00F16D36"/>
    <w:rsid w:val="00F210FD"/>
    <w:rsid w:val="00F22906"/>
    <w:rsid w:val="00F250D2"/>
    <w:rsid w:val="00F33087"/>
    <w:rsid w:val="00F350B2"/>
    <w:rsid w:val="00F372A2"/>
    <w:rsid w:val="00F4243D"/>
    <w:rsid w:val="00F429F4"/>
    <w:rsid w:val="00F43155"/>
    <w:rsid w:val="00F45BA7"/>
    <w:rsid w:val="00F45BE9"/>
    <w:rsid w:val="00F46308"/>
    <w:rsid w:val="00F46F4A"/>
    <w:rsid w:val="00F52CE1"/>
    <w:rsid w:val="00F57917"/>
    <w:rsid w:val="00F60788"/>
    <w:rsid w:val="00F6584A"/>
    <w:rsid w:val="00F7063D"/>
    <w:rsid w:val="00F70C88"/>
    <w:rsid w:val="00F7168A"/>
    <w:rsid w:val="00F734AD"/>
    <w:rsid w:val="00F745D9"/>
    <w:rsid w:val="00F76618"/>
    <w:rsid w:val="00F76E42"/>
    <w:rsid w:val="00F81D1B"/>
    <w:rsid w:val="00F83FBC"/>
    <w:rsid w:val="00F84292"/>
    <w:rsid w:val="00F85E04"/>
    <w:rsid w:val="00F864DA"/>
    <w:rsid w:val="00F9134D"/>
    <w:rsid w:val="00F92643"/>
    <w:rsid w:val="00F936B3"/>
    <w:rsid w:val="00F97F7D"/>
    <w:rsid w:val="00FA0333"/>
    <w:rsid w:val="00FA19D5"/>
    <w:rsid w:val="00FA3EE8"/>
    <w:rsid w:val="00FA6669"/>
    <w:rsid w:val="00FA7639"/>
    <w:rsid w:val="00FB3E2C"/>
    <w:rsid w:val="00FB695B"/>
    <w:rsid w:val="00FC19B9"/>
    <w:rsid w:val="00FD00A5"/>
    <w:rsid w:val="00FD4B0F"/>
    <w:rsid w:val="00FE0661"/>
    <w:rsid w:val="00FE5593"/>
    <w:rsid w:val="00FF0C09"/>
    <w:rsid w:val="00FF1DD7"/>
    <w:rsid w:val="00FF3775"/>
    <w:rsid w:val="01CE5D1C"/>
    <w:rsid w:val="039E595D"/>
    <w:rsid w:val="070F07F6"/>
    <w:rsid w:val="08083403"/>
    <w:rsid w:val="09BE5E2A"/>
    <w:rsid w:val="0A091F73"/>
    <w:rsid w:val="0A8504E9"/>
    <w:rsid w:val="0D92619C"/>
    <w:rsid w:val="0F412CA9"/>
    <w:rsid w:val="0FD566D2"/>
    <w:rsid w:val="10645E7C"/>
    <w:rsid w:val="13B2170D"/>
    <w:rsid w:val="13B97480"/>
    <w:rsid w:val="14034EB5"/>
    <w:rsid w:val="14870494"/>
    <w:rsid w:val="15085E8C"/>
    <w:rsid w:val="15174F60"/>
    <w:rsid w:val="1556095A"/>
    <w:rsid w:val="167D7F24"/>
    <w:rsid w:val="17306AB5"/>
    <w:rsid w:val="17373F64"/>
    <w:rsid w:val="19A054D6"/>
    <w:rsid w:val="1B0717C8"/>
    <w:rsid w:val="1BE33681"/>
    <w:rsid w:val="21862EC6"/>
    <w:rsid w:val="237A2B2A"/>
    <w:rsid w:val="2C4F36F5"/>
    <w:rsid w:val="2D5F22BD"/>
    <w:rsid w:val="2FF37D11"/>
    <w:rsid w:val="3013049D"/>
    <w:rsid w:val="332C3D99"/>
    <w:rsid w:val="35DF1623"/>
    <w:rsid w:val="365875C5"/>
    <w:rsid w:val="39356049"/>
    <w:rsid w:val="3B4E60E4"/>
    <w:rsid w:val="3BFE2074"/>
    <w:rsid w:val="3F8C7277"/>
    <w:rsid w:val="3FA0222F"/>
    <w:rsid w:val="4033170B"/>
    <w:rsid w:val="42D769B6"/>
    <w:rsid w:val="44F600D3"/>
    <w:rsid w:val="45617704"/>
    <w:rsid w:val="48B048DB"/>
    <w:rsid w:val="4B4E4F19"/>
    <w:rsid w:val="4B8C0594"/>
    <w:rsid w:val="4C0F7B1B"/>
    <w:rsid w:val="4CFE380A"/>
    <w:rsid w:val="4D862B8C"/>
    <w:rsid w:val="4DFF35F5"/>
    <w:rsid w:val="4EF47599"/>
    <w:rsid w:val="4FE3578A"/>
    <w:rsid w:val="54E94B5B"/>
    <w:rsid w:val="55661639"/>
    <w:rsid w:val="55761622"/>
    <w:rsid w:val="5BD857FA"/>
    <w:rsid w:val="5C080481"/>
    <w:rsid w:val="5E202145"/>
    <w:rsid w:val="5F621BCD"/>
    <w:rsid w:val="6031647B"/>
    <w:rsid w:val="62F74A7A"/>
    <w:rsid w:val="65BC5FDC"/>
    <w:rsid w:val="668E2223"/>
    <w:rsid w:val="683026D9"/>
    <w:rsid w:val="693F388B"/>
    <w:rsid w:val="6DBA21A1"/>
    <w:rsid w:val="73507037"/>
    <w:rsid w:val="73731F46"/>
    <w:rsid w:val="78AF3D07"/>
    <w:rsid w:val="7AF5051C"/>
    <w:rsid w:val="7BBA680A"/>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table" w:styleId="7">
    <w:name w:val="Table Grid"/>
    <w:basedOn w:val="6"/>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FollowedHyperlink"/>
    <w:basedOn w:val="8"/>
    <w:semiHidden/>
    <w:unhideWhenUsed/>
    <w:qFormat/>
    <w:uiPriority w:val="99"/>
    <w:rPr>
      <w:color w:val="954F72"/>
      <w:u w:val="single"/>
    </w:rPr>
  </w:style>
  <w:style w:type="character" w:styleId="10">
    <w:name w:val="Hyperlink"/>
    <w:basedOn w:val="8"/>
    <w:unhideWhenUsed/>
    <w:qFormat/>
    <w:uiPriority w:val="99"/>
    <w:rPr>
      <w:color w:val="0000FF"/>
      <w:u w:val="single"/>
    </w:rPr>
  </w:style>
  <w:style w:type="character" w:customStyle="1" w:styleId="11">
    <w:name w:val="批注框文本 字符"/>
    <w:basedOn w:val="8"/>
    <w:link w:val="2"/>
    <w:semiHidden/>
    <w:uiPriority w:val="0"/>
    <w:rPr>
      <w:rFonts w:ascii="Times New Roman" w:hAnsi="Times New Roman"/>
      <w:kern w:val="2"/>
      <w:sz w:val="18"/>
      <w:szCs w:val="18"/>
    </w:rPr>
  </w:style>
  <w:style w:type="character" w:customStyle="1" w:styleId="12">
    <w:name w:val="页脚 字符"/>
    <w:basedOn w:val="8"/>
    <w:link w:val="3"/>
    <w:qFormat/>
    <w:uiPriority w:val="0"/>
    <w:rPr>
      <w:kern w:val="2"/>
      <w:sz w:val="18"/>
      <w:szCs w:val="18"/>
    </w:rPr>
  </w:style>
  <w:style w:type="character" w:customStyle="1" w:styleId="13">
    <w:name w:val="页眉 字符"/>
    <w:basedOn w:val="8"/>
    <w:link w:val="4"/>
    <w:qFormat/>
    <w:uiPriority w:val="0"/>
    <w:rPr>
      <w:kern w:val="2"/>
      <w:sz w:val="18"/>
      <w:szCs w:val="18"/>
    </w:rPr>
  </w:style>
  <w:style w:type="paragraph" w:customStyle="1" w:styleId="14">
    <w:name w:val="段"/>
    <w:link w:val="1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5">
    <w:name w:val="段 Char"/>
    <w:basedOn w:val="8"/>
    <w:link w:val="14"/>
    <w:qFormat/>
    <w:uiPriority w:val="0"/>
    <w:rPr>
      <w:rFonts w:ascii="宋体"/>
      <w:sz w:val="21"/>
      <w:lang w:val="en-US" w:eastAsia="zh-CN" w:bidi="ar-SA"/>
    </w:rPr>
  </w:style>
  <w:style w:type="paragraph" w:customStyle="1" w:styleId="16">
    <w:name w:val="正文表标题"/>
    <w:next w:val="14"/>
    <w:qFormat/>
    <w:uiPriority w:val="0"/>
    <w:pPr>
      <w:spacing w:before="156" w:beforeLines="50" w:after="156" w:afterLines="50"/>
      <w:jc w:val="center"/>
    </w:pPr>
    <w:rPr>
      <w:rFonts w:ascii="黑体" w:hAnsi="Times New Roman" w:eastAsia="黑体" w:cs="Times New Roman"/>
      <w:sz w:val="21"/>
      <w:lang w:val="en-US" w:eastAsia="zh-CN" w:bidi="ar-SA"/>
    </w:rPr>
  </w:style>
  <w:style w:type="paragraph" w:customStyle="1" w:styleId="17">
    <w:name w:val="正文图标题"/>
    <w:next w:val="14"/>
    <w:qFormat/>
    <w:uiPriority w:val="0"/>
    <w:pPr>
      <w:numPr>
        <w:ilvl w:val="0"/>
        <w:numId w:val="1"/>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8">
    <w:name w:val="其他发布日期"/>
    <w:basedOn w:val="1"/>
    <w:qFormat/>
    <w:uiPriority w:val="0"/>
    <w:pPr>
      <w:framePr w:w="3997" w:h="471" w:hRule="exact" w:vSpace="181" w:wrap="around" w:vAnchor="page" w:hAnchor="page" w:x="1419" w:y="14097" w:anchorLock="1"/>
      <w:widowControl/>
      <w:numPr>
        <w:ilvl w:val="0"/>
        <w:numId w:val="2"/>
      </w:numPr>
      <w:jc w:val="left"/>
    </w:pPr>
    <w:rPr>
      <w:rFonts w:eastAsia="黑体"/>
      <w:kern w:val="0"/>
      <w:sz w:val="28"/>
      <w:szCs w:val="20"/>
    </w:rPr>
  </w:style>
  <w:style w:type="paragraph" w:customStyle="1" w:styleId="19">
    <w:name w:val="一级条标题"/>
    <w:next w:val="14"/>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0">
    <w:name w:val="章标题"/>
    <w:next w:val="14"/>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1">
    <w:name w:val="二级条标题"/>
    <w:basedOn w:val="19"/>
    <w:next w:val="14"/>
    <w:qFormat/>
    <w:uiPriority w:val="0"/>
    <w:pPr>
      <w:numPr>
        <w:ilvl w:val="2"/>
      </w:numPr>
      <w:spacing w:before="50" w:after="50"/>
      <w:outlineLvl w:val="3"/>
    </w:pPr>
  </w:style>
  <w:style w:type="paragraph" w:customStyle="1" w:styleId="22">
    <w:name w:val="三级条标题"/>
    <w:basedOn w:val="21"/>
    <w:next w:val="14"/>
    <w:qFormat/>
    <w:uiPriority w:val="0"/>
    <w:pPr>
      <w:numPr>
        <w:ilvl w:val="3"/>
      </w:numPr>
      <w:outlineLvl w:val="4"/>
    </w:pPr>
  </w:style>
  <w:style w:type="paragraph" w:customStyle="1" w:styleId="23">
    <w:name w:val="四级条标题"/>
    <w:basedOn w:val="22"/>
    <w:next w:val="14"/>
    <w:qFormat/>
    <w:uiPriority w:val="0"/>
    <w:pPr>
      <w:numPr>
        <w:ilvl w:val="4"/>
      </w:numPr>
      <w:outlineLvl w:val="5"/>
    </w:pPr>
  </w:style>
  <w:style w:type="paragraph" w:customStyle="1" w:styleId="24">
    <w:name w:val="五级条标题"/>
    <w:basedOn w:val="23"/>
    <w:next w:val="14"/>
    <w:qFormat/>
    <w:uiPriority w:val="0"/>
    <w:pPr>
      <w:numPr>
        <w:ilvl w:val="0"/>
        <w:numId w:val="0"/>
      </w:numPr>
      <w:outlineLvl w:val="6"/>
    </w:pPr>
  </w:style>
  <w:style w:type="paragraph" w:customStyle="1" w:styleId="25">
    <w:name w:val="注："/>
    <w:next w:val="14"/>
    <w:qFormat/>
    <w:uiPriority w:val="0"/>
    <w:pPr>
      <w:widowControl w:val="0"/>
      <w:numPr>
        <w:ilvl w:val="0"/>
        <w:numId w:val="4"/>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6">
    <w:name w:val="附录图标号"/>
    <w:basedOn w:val="1"/>
    <w:qFormat/>
    <w:uiPriority w:val="0"/>
    <w:pPr>
      <w:keepNext/>
      <w:pageBreakBefore/>
      <w:widowControl/>
      <w:numPr>
        <w:ilvl w:val="0"/>
        <w:numId w:val="5"/>
      </w:numPr>
      <w:spacing w:line="14" w:lineRule="exact"/>
      <w:ind w:left="0" w:firstLine="363"/>
      <w:jc w:val="center"/>
      <w:outlineLvl w:val="0"/>
    </w:pPr>
    <w:rPr>
      <w:color w:val="FFFFFF"/>
    </w:rPr>
  </w:style>
  <w:style w:type="paragraph" w:customStyle="1" w:styleId="27">
    <w:name w:val="附录图标题"/>
    <w:basedOn w:val="1"/>
    <w:next w:val="14"/>
    <w:qFormat/>
    <w:uiPriority w:val="0"/>
    <w:pPr>
      <w:numPr>
        <w:ilvl w:val="1"/>
        <w:numId w:val="5"/>
      </w:numPr>
      <w:tabs>
        <w:tab w:val="left" w:pos="363"/>
      </w:tabs>
      <w:spacing w:before="50" w:beforeLines="50" w:after="50" w:afterLines="50"/>
      <w:ind w:left="0" w:firstLine="0"/>
      <w:jc w:val="center"/>
    </w:pPr>
    <w:rPr>
      <w:rFonts w:ascii="黑体" w:eastAsia="黑体"/>
      <w:szCs w:val="21"/>
    </w:rPr>
  </w:style>
  <w:style w:type="paragraph" w:customStyle="1" w:styleId="28">
    <w:name w:val="注×：（正文）"/>
    <w:qFormat/>
    <w:uiPriority w:val="0"/>
    <w:pPr>
      <w:numPr>
        <w:ilvl w:val="0"/>
        <w:numId w:val="6"/>
      </w:numPr>
      <w:jc w:val="both"/>
    </w:pPr>
    <w:rPr>
      <w:rFonts w:ascii="宋体" w:hAnsi="Times New Roman" w:eastAsia="宋体" w:cs="Times New Roman"/>
      <w:sz w:val="18"/>
      <w:szCs w:val="18"/>
      <w:lang w:val="en-US" w:eastAsia="zh-CN" w:bidi="ar-SA"/>
    </w:rPr>
  </w:style>
  <w:style w:type="paragraph" w:customStyle="1" w:styleId="29">
    <w:name w:val="图表脚注说明"/>
    <w:basedOn w:val="1"/>
    <w:qFormat/>
    <w:uiPriority w:val="0"/>
    <w:pPr>
      <w:numPr>
        <w:ilvl w:val="0"/>
        <w:numId w:val="7"/>
      </w:numPr>
    </w:pPr>
    <w:rPr>
      <w:rFonts w:ascii="宋体"/>
      <w:sz w:val="18"/>
      <w:szCs w:val="18"/>
    </w:rPr>
  </w:style>
  <w:style w:type="paragraph" w:customStyle="1" w:styleId="30">
    <w:name w:val="附录表标题"/>
    <w:basedOn w:val="1"/>
    <w:next w:val="14"/>
    <w:qFormat/>
    <w:uiPriority w:val="0"/>
    <w:pPr>
      <w:numPr>
        <w:ilvl w:val="1"/>
        <w:numId w:val="8"/>
      </w:numPr>
      <w:tabs>
        <w:tab w:val="left" w:pos="180"/>
      </w:tabs>
      <w:spacing w:before="50" w:beforeLines="50" w:after="50" w:afterLines="50"/>
      <w:ind w:left="0" w:firstLine="0"/>
      <w:jc w:val="center"/>
    </w:pPr>
    <w:rPr>
      <w:rFonts w:ascii="黑体" w:eastAsia="黑体"/>
      <w:szCs w:val="21"/>
    </w:rPr>
  </w:style>
  <w:style w:type="paragraph" w:styleId="31">
    <w:name w:val="List Paragraph"/>
    <w:basedOn w:val="1"/>
    <w:unhideWhenUsed/>
    <w:qFormat/>
    <w:uiPriority w:val="34"/>
    <w:pPr>
      <w:ind w:firstLine="420" w:firstLineChars="200"/>
    </w:pPr>
  </w:style>
  <w:style w:type="paragraph" w:customStyle="1" w:styleId="3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34">
    <w:name w:val="发布"/>
    <w:qFormat/>
    <w:uiPriority w:val="0"/>
    <w:rPr>
      <w:rFonts w:ascii="黑体" w:eastAsia="黑体"/>
      <w:spacing w:val="22"/>
      <w:w w:val="100"/>
      <w:position w:val="3"/>
      <w:sz w:val="28"/>
    </w:rPr>
  </w:style>
  <w:style w:type="paragraph" w:customStyle="1" w:styleId="35">
    <w:name w:val="其他发布部门"/>
    <w:basedOn w:val="1"/>
    <w:qFormat/>
    <w:uiPriority w:val="0"/>
    <w:pPr>
      <w:widowControl/>
      <w:spacing w:line="0" w:lineRule="atLeast"/>
      <w:jc w:val="center"/>
    </w:pPr>
    <w:rPr>
      <w:rFonts w:ascii="黑体" w:eastAsia="黑体"/>
      <w:spacing w:val="20"/>
      <w:w w:val="135"/>
      <w:kern w:val="0"/>
      <w:sz w:val="36"/>
      <w:szCs w:val="20"/>
    </w:rPr>
  </w:style>
  <w:style w:type="paragraph" w:customStyle="1" w:styleId="3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7">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3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0">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1">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3">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12</Pages>
  <Words>1052</Words>
  <Characters>5999</Characters>
  <Lines>49</Lines>
  <Paragraphs>14</Paragraphs>
  <TotalTime>183</TotalTime>
  <ScaleCrop>false</ScaleCrop>
  <LinksUpToDate>false</LinksUpToDate>
  <CharactersWithSpaces>7037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2022-11-29T09:53:00Z</dcterms:created>
  <dc:creator>USER</dc:creator>
  <cp:lastModifiedBy>誰念誰川</cp:lastModifiedBy>
  <cp:lastPrinted>2019-07-10T11:21:00Z</cp:lastPrinted>
  <dcterms:modified xsi:type="dcterms:W3CDTF">2023-05-18T09:35:41Z</dcterms:modified>
  <dc:title>广西地方标准《脱氢枞酸》（征求意见稿）</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484DF7F1BEB842158BCD0584349217B5</vt:lpwstr>
  </property>
</Properties>
</file>