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olors1.xml" ContentType="application/vnd.ms-office.chartcolorstyle+xml"/>
  <Override PartName="/word/charts/style1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theme/themeOverride1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仿宋简体" w:hAnsi="黑体" w:eastAsia="方正仿宋简体" w:cs="黑体"/>
          <w:bCs/>
          <w:color w:val="000000"/>
          <w:sz w:val="44"/>
          <w:szCs w:val="36"/>
        </w:rPr>
      </w:pPr>
      <w:r>
        <w:rPr>
          <w:rFonts w:hint="eastAsia" w:ascii="方正仿宋简体" w:hAnsi="黑体" w:eastAsia="方正仿宋简体" w:cs="黑体"/>
          <w:bCs/>
          <w:color w:val="000000"/>
          <w:sz w:val="44"/>
          <w:szCs w:val="36"/>
        </w:rPr>
        <w:t>团体标准《</w:t>
      </w:r>
      <w:r>
        <w:rPr>
          <w:rFonts w:hint="eastAsia" w:ascii="方正仿宋简体" w:hAnsi="黑体" w:eastAsia="方正仿宋简体" w:cs="黑体"/>
          <w:bCs/>
          <w:color w:val="000000"/>
          <w:sz w:val="44"/>
          <w:szCs w:val="36"/>
          <w:lang w:val="en-US" w:eastAsia="zh-CN"/>
        </w:rPr>
        <w:t>黑老虎种苗质量要求</w:t>
      </w:r>
      <w:r>
        <w:rPr>
          <w:rFonts w:hint="eastAsia" w:ascii="方正仿宋简体" w:hAnsi="黑体" w:eastAsia="方正仿宋简体" w:cs="黑体"/>
          <w:bCs/>
          <w:color w:val="000000"/>
          <w:sz w:val="44"/>
          <w:szCs w:val="36"/>
        </w:rPr>
        <w:t>》</w:t>
      </w:r>
    </w:p>
    <w:p>
      <w:pPr>
        <w:spacing w:line="600" w:lineRule="exact"/>
        <w:jc w:val="center"/>
        <w:rPr>
          <w:rFonts w:ascii="方正仿宋简体" w:hAnsi="黑体" w:eastAsia="方正仿宋简体" w:cs="黑体"/>
          <w:bCs/>
          <w:sz w:val="44"/>
          <w:szCs w:val="36"/>
        </w:rPr>
      </w:pPr>
      <w:r>
        <w:rPr>
          <w:rFonts w:hint="eastAsia" w:ascii="方正仿宋简体" w:hAnsi="黑体" w:eastAsia="方正仿宋简体" w:cs="黑体"/>
          <w:bCs/>
          <w:color w:val="000000"/>
          <w:sz w:val="44"/>
          <w:szCs w:val="36"/>
        </w:rPr>
        <w:t>（征求意见稿）编制说明</w:t>
      </w:r>
    </w:p>
    <w:p>
      <w:pPr>
        <w:adjustRightInd w:val="0"/>
        <w:snapToGrid w:val="0"/>
        <w:spacing w:before="156" w:beforeLines="50" w:after="156" w:afterLines="50" w:line="56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一、项目来源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28"/>
          <w:lang w:val="zh-CN"/>
        </w:rPr>
      </w:pPr>
      <w:r>
        <w:rPr>
          <w:rFonts w:hint="default" w:ascii="Times New Roman" w:hAnsi="Times New Roman" w:eastAsia="仿宋_GB2312"/>
          <w:sz w:val="32"/>
          <w:szCs w:val="28"/>
          <w:lang w:val="zh-CN"/>
        </w:rPr>
        <w:t>根据《广西标准化协会关于下达2022年第五十三批团体标准制修订项目计划的通知》(</w:t>
      </w:r>
      <w:r>
        <w:rPr>
          <w:rFonts w:hint="default" w:ascii="Times New Roman" w:hAnsi="Times New Roman" w:eastAsia="仿宋_GB2312"/>
          <w:sz w:val="32"/>
          <w:szCs w:val="28"/>
          <w:lang w:val="en-US" w:eastAsia="zh-CN"/>
        </w:rPr>
        <w:t>桂标协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〔202</w:t>
      </w:r>
      <w:r>
        <w:rPr>
          <w:rFonts w:hint="default" w:ascii="Times New Roman" w:hAnsi="Times New Roman" w:eastAsia="仿宋_GB2312"/>
          <w:sz w:val="32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〕</w:t>
      </w:r>
      <w:r>
        <w:rPr>
          <w:rFonts w:hint="default" w:ascii="Times New Roman" w:hAnsi="Times New Roman" w:eastAsia="仿宋_GB2312"/>
          <w:sz w:val="32"/>
          <w:szCs w:val="28"/>
          <w:lang w:val="en-US" w:eastAsia="zh-CN"/>
        </w:rPr>
        <w:t>120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号)文件精神，由</w:t>
      </w:r>
      <w:bookmarkStart w:id="1" w:name="_GoBack"/>
      <w:bookmarkEnd w:id="1"/>
      <w:r>
        <w:rPr>
          <w:rFonts w:hint="default" w:ascii="Times New Roman" w:hAnsi="Times New Roman" w:eastAsia="仿宋_GB2312"/>
          <w:sz w:val="32"/>
          <w:szCs w:val="28"/>
          <w:lang w:val="zh-CN"/>
        </w:rPr>
        <w:t>广西壮族自治区中国科学院广西植物研究所提出，广西壮族自治区中国科学院广西植物研究所、罗定市百草源种养专业合作社、广东至纯南药科技有限公司共同起草的团体标准《黑老虎种苗质量要求》。</w:t>
      </w:r>
    </w:p>
    <w:p>
      <w:pPr>
        <w:adjustRightInd w:val="0"/>
        <w:snapToGrid w:val="0"/>
        <w:spacing w:before="156" w:beforeLines="50" w:after="156" w:afterLines="50" w:line="56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二、项目背景及目的意义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/>
          <w:sz w:val="32"/>
          <w:szCs w:val="28"/>
          <w:lang w:val="zh-CN"/>
        </w:rPr>
      </w:pPr>
      <w:r>
        <w:rPr>
          <w:rFonts w:hint="default" w:ascii="Times New Roman" w:hAnsi="Times New Roman" w:eastAsia="仿宋_GB2312"/>
          <w:sz w:val="32"/>
          <w:szCs w:val="28"/>
          <w:lang w:val="zh-CN"/>
        </w:rPr>
        <w:t>黑老虎</w:t>
      </w:r>
      <w:r>
        <w:rPr>
          <w:rFonts w:hint="eastAsia" w:eastAsia="仿宋_GB2312"/>
          <w:sz w:val="32"/>
          <w:szCs w:val="28"/>
          <w:lang w:val="zh-CN"/>
        </w:rPr>
        <w:t>（</w:t>
      </w:r>
      <w:r>
        <w:rPr>
          <w:rFonts w:hint="default" w:ascii="Times New Roman" w:hAnsi="Times New Roman" w:eastAsia="仿宋_GB2312"/>
          <w:i/>
          <w:iCs/>
          <w:sz w:val="32"/>
          <w:szCs w:val="28"/>
          <w:lang w:val="zh-CN"/>
        </w:rPr>
        <w:t>Kadsura coccinea</w:t>
      </w:r>
      <w:r>
        <w:rPr>
          <w:rFonts w:hint="eastAsia" w:eastAsia="仿宋_GB2312"/>
          <w:sz w:val="32"/>
          <w:szCs w:val="28"/>
          <w:lang w:val="zh-CN"/>
        </w:rPr>
        <w:t>）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，</w:t>
      </w:r>
      <w:r>
        <w:rPr>
          <w:rFonts w:hint="eastAsia" w:eastAsia="仿宋_GB2312"/>
          <w:sz w:val="32"/>
          <w:szCs w:val="28"/>
          <w:lang w:val="en-US" w:eastAsia="zh-CN"/>
        </w:rPr>
        <w:t>别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名布福娜，又名过山龙藤、臭饭团、中泰南五味子，是木兰科（Magnoliaceae）南五味子属（</w:t>
      </w:r>
      <w:r>
        <w:rPr>
          <w:rFonts w:hint="default" w:ascii="Times New Roman" w:hAnsi="Times New Roman" w:eastAsia="仿宋_GB2312"/>
          <w:i/>
          <w:iCs/>
          <w:sz w:val="32"/>
          <w:szCs w:val="28"/>
          <w:lang w:val="zh-CN"/>
        </w:rPr>
        <w:t>Kadsura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）藤本，全株无毛，常缠绕于大树上，茎叶四季青绿；根肉质，有香味；春季开花，雌雄同株；花期4~7月份，果实为聚合果，果期7~11月份，10月份左右成熟，果径10~15cm，果一般重250~800g左右，大果可达到1500g，有红、紫、绿等多种颜色，垂吊如绣球，珍奇可爱。民间俗称</w:t>
      </w:r>
      <w:r>
        <w:rPr>
          <w:rFonts w:hint="eastAsia" w:ascii="Times New Roman" w:hAnsi="Times New Roman" w:eastAsia="仿宋_GB2312" w:cs="Times New Roman"/>
          <w:sz w:val="32"/>
          <w:szCs w:val="28"/>
          <w:lang w:val="zh-CN"/>
        </w:rPr>
        <w:t>“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人头果</w:t>
      </w:r>
      <w:r>
        <w:rPr>
          <w:rFonts w:hint="eastAsia" w:ascii="Times New Roman" w:hAnsi="Times New Roman" w:eastAsia="仿宋_GB2312"/>
          <w:sz w:val="32"/>
          <w:szCs w:val="28"/>
          <w:lang w:val="zh-CN"/>
        </w:rPr>
        <w:t>”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，是苗族人民世代栽培的水果，苗语称</w:t>
      </w:r>
      <w:r>
        <w:rPr>
          <w:rFonts w:hint="eastAsia" w:ascii="Times New Roman" w:hAnsi="Times New Roman" w:eastAsia="仿宋_GB2312" w:cs="Times New Roman"/>
          <w:sz w:val="32"/>
          <w:szCs w:val="28"/>
          <w:lang w:val="zh-CN"/>
        </w:rPr>
        <w:t>“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布福娜”，意思是美容长寿之果。果成熟后味甜，可食；果实营养丰富，富含人体所需微量元素，富含抗氧化物资，常食能黑发润肤、滋补养颜、清心益智，强身延年。黑老虎为我国民间药用植物，分布广泛，主要含有木脂素和三萜类化合物。近年来研究证明具有抗肿瘤、抗病毒、抗炎、抗HIV等广泛的药理活性。通过现代萃取技术提取果实中的萜类、木脂素类有效成分，结合国内外先进医药、食品加工科技可以制成美容产品、保健食品等。目前黑老虎开发加工的产品有</w:t>
      </w:r>
      <w:r>
        <w:rPr>
          <w:rFonts w:hint="eastAsia" w:ascii="Times New Roman" w:hAnsi="Times New Roman" w:eastAsia="仿宋_GB2312" w:cs="Times New Roman"/>
          <w:sz w:val="32"/>
          <w:szCs w:val="28"/>
          <w:lang w:val="zh-CN"/>
        </w:rPr>
        <w:t>“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黑老虎臻果酒”、</w:t>
      </w:r>
      <w:r>
        <w:rPr>
          <w:rFonts w:hint="eastAsia" w:ascii="Times New Roman" w:hAnsi="Times New Roman" w:eastAsia="仿宋_GB2312" w:cs="Times New Roman"/>
          <w:sz w:val="32"/>
          <w:szCs w:val="28"/>
          <w:lang w:val="zh-CN"/>
        </w:rPr>
        <w:t>“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黑老虎臻果蜜饯”、</w:t>
      </w:r>
      <w:r>
        <w:rPr>
          <w:rFonts w:hint="eastAsia" w:ascii="Times New Roman" w:hAnsi="Times New Roman" w:eastAsia="仿宋_GB2312" w:cs="Times New Roman"/>
          <w:sz w:val="32"/>
          <w:szCs w:val="28"/>
          <w:lang w:val="zh-CN"/>
        </w:rPr>
        <w:t>“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壮血片”、</w:t>
      </w:r>
      <w:r>
        <w:rPr>
          <w:rFonts w:hint="eastAsia" w:ascii="Times New Roman" w:hAnsi="Times New Roman" w:eastAsia="仿宋_GB2312" w:cs="Times New Roman"/>
          <w:sz w:val="32"/>
          <w:szCs w:val="28"/>
          <w:lang w:val="zh-CN"/>
        </w:rPr>
        <w:t>“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舒筋</w:t>
      </w:r>
      <w:r>
        <w:rPr>
          <w:rFonts w:hint="eastAsia" w:eastAsia="仿宋_GB2312"/>
          <w:sz w:val="32"/>
          <w:szCs w:val="28"/>
          <w:lang w:val="en-US" w:eastAsia="zh-CN"/>
        </w:rPr>
        <w:t>健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腰丸”、</w:t>
      </w:r>
      <w:r>
        <w:rPr>
          <w:rFonts w:hint="eastAsia" w:ascii="Times New Roman" w:hAnsi="Times New Roman" w:eastAsia="仿宋_GB2312" w:cs="Times New Roman"/>
          <w:sz w:val="32"/>
          <w:szCs w:val="28"/>
          <w:lang w:val="zh-CN"/>
        </w:rPr>
        <w:t>“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舒筋风湿酒”、</w:t>
      </w:r>
      <w:r>
        <w:rPr>
          <w:rFonts w:hint="eastAsia" w:ascii="Times New Roman" w:hAnsi="Times New Roman" w:eastAsia="仿宋_GB2312" w:cs="Times New Roman"/>
          <w:sz w:val="32"/>
          <w:szCs w:val="28"/>
          <w:lang w:val="zh-CN"/>
        </w:rPr>
        <w:t>“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天生虎力贴”、</w:t>
      </w:r>
      <w:r>
        <w:rPr>
          <w:rFonts w:hint="eastAsia" w:ascii="Times New Roman" w:hAnsi="Times New Roman" w:eastAsia="仿宋_GB2312" w:cs="Times New Roman"/>
          <w:sz w:val="32"/>
          <w:szCs w:val="28"/>
          <w:lang w:val="zh-CN"/>
        </w:rPr>
        <w:t>“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天生虎力透皮灸抑菌膏”等。综上所述，黑老虎具有观赏、药用、食用等多重价值，种植前景非常广阔。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/>
          <w:sz w:val="32"/>
          <w:szCs w:val="28"/>
          <w:lang w:val="zh-CN"/>
        </w:rPr>
      </w:pPr>
      <w:r>
        <w:rPr>
          <w:rFonts w:hint="default" w:ascii="Times New Roman" w:hAnsi="Times New Roman" w:eastAsia="仿宋_GB2312"/>
          <w:sz w:val="32"/>
          <w:szCs w:val="28"/>
          <w:lang w:val="zh-CN"/>
        </w:rPr>
        <w:t>前期黑老虎生产主要依靠野生资源，随着市场经济的发展，其市场价格逐年提升，市场价达到了18~25元/kg。此外，由于近几年韩国不少的厂家把黑老虎研发成美容产品，使得市场上的需求量变大，韩国的大量商家涌入中国内地抢购，使得黑老虎的需求量增大，按当前每亩产果1250kg、18~25元/kg销售价格计算，仅鲜果采收每亩年收入2万元以上，这无形推动了黑老虎价格的上涨和农户种植黑老虎的积极性，黑老虎已实现了规模化人工种植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/>
          <w:sz w:val="32"/>
          <w:szCs w:val="28"/>
          <w:lang w:val="zh-CN"/>
        </w:rPr>
      </w:pPr>
      <w:r>
        <w:rPr>
          <w:rFonts w:hint="default" w:ascii="Times New Roman" w:hAnsi="Times New Roman" w:eastAsia="仿宋_GB2312"/>
          <w:sz w:val="32"/>
          <w:szCs w:val="28"/>
          <w:lang w:val="zh-CN"/>
        </w:rPr>
        <w:t>在我国，黔南、黔东南、广西及湖南湘西等气候温暖的地区黑老虎的野生资源十分丰富。人工栽培也较为广泛，如近年来，湖南通道将</w:t>
      </w:r>
      <w:r>
        <w:rPr>
          <w:rFonts w:hint="eastAsia" w:ascii="Times New Roman" w:hAnsi="Times New Roman" w:eastAsia="仿宋_GB2312" w:cs="Times New Roman"/>
          <w:sz w:val="32"/>
          <w:szCs w:val="28"/>
          <w:lang w:val="zh-CN"/>
        </w:rPr>
        <w:t>“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黑老虎”特色产业作为脱贫重点产业来培育，扶持创建相关专业合作社，健全合作社与贫困户利益联结机制，带动贫困户增收脱贫。目前，该县共发展</w:t>
      </w:r>
      <w:r>
        <w:rPr>
          <w:rFonts w:hint="eastAsia" w:ascii="Times New Roman" w:hAnsi="Times New Roman" w:eastAsia="仿宋_GB2312" w:cs="Times New Roman"/>
          <w:sz w:val="32"/>
          <w:szCs w:val="28"/>
          <w:lang w:val="zh-CN"/>
        </w:rPr>
        <w:t>“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黑老虎”专业种植合作社13个，种植面积达2.5万余亩，果品远销全国20多个省份及国际市场。在邻省广西，多地也已开始大规模的进行人工种植黑老虎，如：桂林市龙胜县平等乡已建立了约2000亩的黑老虎的种植示范基地，来宾市金秀瑶族自治县在长垌乡建立了1000余亩的种植基地里，广西斯泰集团黑老虎的种植基地已达1万亩左右，广西灌阳县洞井瑶族乡小河江村建立了1200亩的种植基地，广西黑老虎的种植面积预计已达接近2万亩，每年产值达2亿元以上。种植黑老虎能较快地帮助农民增收创富，已成为广西多地助力精准扶贫、农民快速脱贫致富的好项目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28"/>
          <w:lang w:val="zh-CN"/>
        </w:rPr>
      </w:pPr>
      <w:r>
        <w:rPr>
          <w:rFonts w:hint="default" w:ascii="Times New Roman" w:hAnsi="Times New Roman" w:eastAsia="仿宋_GB2312"/>
          <w:sz w:val="32"/>
          <w:szCs w:val="28"/>
          <w:lang w:val="zh-CN"/>
        </w:rPr>
        <w:t>黑老虎通常每亩需要种植200株左右，仅广西每年需求苗木50万株以上。黑老虎为多年生植物，成年植株对环境的适应性强，但其幼苗阶段生长比较脆弱，种苗选择是人工栽培的关键时期，经查阅，广西有关黑老虎种苗还未形成一套标准的质量分级标准。为最大限度保证黑老虎的种苗质量和种植成功率，制定团体标准《黑老虎种苗质量要求》，为黑老虎的人工种苗繁育提供规范依据和技术支持，对促进广西黑老虎产业的健康发展有着重大的现实意义。</w:t>
      </w:r>
    </w:p>
    <w:p>
      <w:pPr>
        <w:adjustRightInd w:val="0"/>
        <w:snapToGrid w:val="0"/>
        <w:spacing w:before="156" w:beforeLines="50" w:after="156" w:afterLines="50" w:line="56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三、标准编制过程</w:t>
      </w:r>
    </w:p>
    <w:p>
      <w:pPr>
        <w:adjustRightInd w:val="0"/>
        <w:snapToGrid w:val="0"/>
        <w:spacing w:before="156" w:beforeLines="50" w:after="156" w:afterLines="50" w:line="560" w:lineRule="exact"/>
        <w:ind w:firstLine="643" w:firstLineChars="200"/>
        <w:rPr>
          <w:rFonts w:ascii="楷体" w:hAnsi="楷体" w:eastAsia="楷体" w:cs="黑体"/>
          <w:bCs/>
          <w:sz w:val="36"/>
          <w:szCs w:val="32"/>
        </w:rPr>
      </w:pPr>
      <w:r>
        <w:rPr>
          <w:rFonts w:hint="eastAsia" w:ascii="楷体" w:hAnsi="楷体" w:eastAsia="楷体" w:cs="仿宋_GB2312"/>
          <w:b/>
          <w:sz w:val="32"/>
          <w:szCs w:val="28"/>
        </w:rPr>
        <w:t>（一）成立标准编制工作组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28"/>
          <w:lang w:val="zh-CN"/>
        </w:rPr>
      </w:pPr>
      <w:r>
        <w:rPr>
          <w:rFonts w:hint="eastAsia" w:ascii="仿宋_GB2312" w:hAnsi="宋体" w:eastAsia="仿宋_GB2312"/>
          <w:sz w:val="32"/>
          <w:szCs w:val="28"/>
          <w:lang w:val="zh-CN"/>
        </w:rPr>
        <w:t>团体标准《黑老虎种苗质量要求》项目任务下达后，成立了标准编制工作组，制定了标准编写方案，明确任务职责，确定工作技术路线，开展标准研制工作，具体标准编制工作由广西壮族自治区中国科学院广西植物研究所、罗定市百草源种养专业合作社、广东至纯南药科技有限公司等相关人员配合。</w:t>
      </w:r>
    </w:p>
    <w:p>
      <w:pPr>
        <w:adjustRightInd w:val="0"/>
        <w:snapToGrid w:val="0"/>
        <w:spacing w:before="156" w:beforeLines="50" w:after="156" w:afterLines="50" w:line="560" w:lineRule="exact"/>
        <w:ind w:firstLine="643" w:firstLineChars="200"/>
        <w:rPr>
          <w:rFonts w:ascii="楷体" w:hAnsi="楷体" w:eastAsia="楷体" w:cs="仿宋_GB2312"/>
          <w:b/>
          <w:sz w:val="32"/>
          <w:szCs w:val="28"/>
        </w:rPr>
      </w:pPr>
      <w:r>
        <w:rPr>
          <w:rFonts w:hint="eastAsia" w:ascii="楷体" w:hAnsi="楷体" w:eastAsia="楷体" w:cs="仿宋_GB2312"/>
          <w:b/>
          <w:sz w:val="32"/>
          <w:szCs w:val="28"/>
        </w:rPr>
        <w:t>（二）收集整理文献资料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28"/>
          <w:lang w:val="zh-CN"/>
        </w:rPr>
      </w:pPr>
      <w:r>
        <w:rPr>
          <w:rFonts w:hint="eastAsia" w:ascii="仿宋_GB2312" w:hAnsi="宋体" w:eastAsia="仿宋_GB2312"/>
          <w:sz w:val="32"/>
          <w:szCs w:val="28"/>
          <w:lang w:val="zh-CN"/>
        </w:rPr>
        <w:t>标准编制工作组收集了国内有关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黑老虎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相关文献资料。主要有：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/>
          <w:sz w:val="32"/>
          <w:szCs w:val="32"/>
          <w:highlight w:val="none"/>
          <w:lang w:val="zh-CN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 xml:space="preserve">DB45/T 1738-2018 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《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黑老虎生产技术规程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》。</w:t>
      </w:r>
    </w:p>
    <w:p>
      <w:pPr>
        <w:adjustRightInd w:val="0"/>
        <w:snapToGrid w:val="0"/>
        <w:spacing w:before="156" w:beforeLines="50" w:after="156" w:afterLines="50" w:line="560" w:lineRule="exact"/>
        <w:ind w:firstLine="643" w:firstLineChars="200"/>
        <w:rPr>
          <w:rFonts w:ascii="楷体" w:hAnsi="楷体" w:eastAsia="楷体" w:cs="仿宋_GB2312"/>
          <w:b/>
          <w:sz w:val="32"/>
          <w:szCs w:val="28"/>
        </w:rPr>
      </w:pPr>
      <w:r>
        <w:rPr>
          <w:rFonts w:hint="eastAsia" w:ascii="楷体" w:hAnsi="楷体" w:eastAsia="楷体" w:cs="仿宋_GB2312"/>
          <w:b/>
          <w:sz w:val="32"/>
          <w:szCs w:val="28"/>
        </w:rPr>
        <w:t>（三）研讨确定标准主体内容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28"/>
          <w:highlight w:val="none"/>
          <w:lang w:val="zh-CN"/>
        </w:rPr>
      </w:pPr>
      <w:r>
        <w:rPr>
          <w:rFonts w:hint="eastAsia" w:ascii="仿宋_GB2312" w:hAnsi="宋体" w:eastAsia="仿宋_GB2312"/>
          <w:sz w:val="32"/>
          <w:szCs w:val="28"/>
          <w:lang w:val="zh-CN"/>
        </w:rPr>
        <w:t>标准编制工作组在对收集的资料进行整理研究之后，标准编制工作组召开了标准编制会议，对标准的整体框架结构进行了研究，并对标准的关键性内容进行了初步探讨。经过研究，标准的</w:t>
      </w:r>
      <w:r>
        <w:rPr>
          <w:rFonts w:hint="eastAsia" w:ascii="仿宋_GB2312" w:hAnsi="宋体" w:eastAsia="仿宋_GB2312"/>
          <w:sz w:val="32"/>
          <w:szCs w:val="28"/>
          <w:highlight w:val="none"/>
          <w:lang w:val="zh-CN"/>
        </w:rPr>
        <w:t>主体内容为术语和定义、</w:t>
      </w:r>
      <w:r>
        <w:rPr>
          <w:rFonts w:hint="eastAsia" w:ascii="仿宋_GB2312" w:hAnsi="宋体" w:eastAsia="仿宋_GB2312"/>
          <w:sz w:val="32"/>
          <w:szCs w:val="28"/>
          <w:highlight w:val="none"/>
          <w:lang w:val="en-US" w:eastAsia="zh-CN"/>
        </w:rPr>
        <w:t>苗木质量分级</w:t>
      </w:r>
      <w:r>
        <w:rPr>
          <w:rFonts w:hint="eastAsia" w:ascii="仿宋_GB2312" w:hAnsi="宋体" w:eastAsia="仿宋_GB2312"/>
          <w:sz w:val="32"/>
          <w:szCs w:val="28"/>
          <w:highlight w:val="none"/>
          <w:lang w:val="zh-CN"/>
        </w:rPr>
        <w:t>、</w:t>
      </w:r>
      <w:r>
        <w:rPr>
          <w:rFonts w:hint="eastAsia" w:ascii="仿宋_GB2312" w:hAnsi="宋体" w:eastAsia="仿宋_GB2312"/>
          <w:sz w:val="32"/>
          <w:szCs w:val="28"/>
          <w:highlight w:val="none"/>
          <w:lang w:val="en-US" w:eastAsia="zh-CN"/>
        </w:rPr>
        <w:t>检验方法</w:t>
      </w:r>
      <w:r>
        <w:rPr>
          <w:rFonts w:hint="eastAsia" w:ascii="仿宋_GB2312" w:hAnsi="宋体" w:eastAsia="仿宋_GB2312"/>
          <w:sz w:val="32"/>
          <w:szCs w:val="28"/>
          <w:highlight w:val="none"/>
          <w:lang w:val="zh-CN"/>
        </w:rPr>
        <w:t>、</w:t>
      </w:r>
      <w:r>
        <w:rPr>
          <w:rFonts w:hint="eastAsia" w:ascii="仿宋_GB2312" w:hAnsi="宋体" w:eastAsia="仿宋_GB2312"/>
          <w:sz w:val="32"/>
          <w:szCs w:val="28"/>
          <w:highlight w:val="none"/>
          <w:lang w:val="en-US" w:eastAsia="zh-CN"/>
        </w:rPr>
        <w:t>检验规则</w:t>
      </w:r>
      <w:r>
        <w:rPr>
          <w:rFonts w:hint="eastAsia" w:ascii="仿宋_GB2312" w:hAnsi="宋体" w:eastAsia="仿宋_GB2312"/>
          <w:sz w:val="32"/>
          <w:szCs w:val="28"/>
          <w:highlight w:val="none"/>
          <w:lang w:val="zh-CN"/>
        </w:rPr>
        <w:t>、出圃</w:t>
      </w:r>
      <w:r>
        <w:rPr>
          <w:rFonts w:hint="eastAsia" w:ascii="仿宋_GB2312" w:hAnsi="宋体" w:eastAsia="仿宋_GB2312"/>
          <w:sz w:val="32"/>
          <w:szCs w:val="28"/>
          <w:highlight w:val="none"/>
          <w:lang w:val="en-US" w:eastAsia="zh-CN"/>
        </w:rPr>
        <w:t>检验</w:t>
      </w:r>
      <w:r>
        <w:rPr>
          <w:rFonts w:hint="eastAsia" w:ascii="仿宋_GB2312" w:hAnsi="宋体" w:eastAsia="仿宋_GB2312"/>
          <w:sz w:val="32"/>
          <w:szCs w:val="28"/>
          <w:highlight w:val="none"/>
          <w:lang w:val="zh-CN"/>
        </w:rPr>
        <w:t>。</w:t>
      </w:r>
    </w:p>
    <w:p>
      <w:pPr>
        <w:adjustRightInd w:val="0"/>
        <w:snapToGrid w:val="0"/>
        <w:spacing w:before="156" w:beforeLines="50" w:after="156" w:afterLines="50" w:line="560" w:lineRule="exact"/>
        <w:ind w:firstLine="643" w:firstLineChars="200"/>
        <w:rPr>
          <w:rFonts w:ascii="楷体" w:hAnsi="楷体" w:eastAsia="楷体" w:cs="仿宋_GB2312"/>
          <w:b/>
          <w:sz w:val="32"/>
          <w:szCs w:val="28"/>
        </w:rPr>
      </w:pPr>
      <w:r>
        <w:rPr>
          <w:rFonts w:hint="eastAsia" w:ascii="楷体" w:hAnsi="楷体" w:eastAsia="楷体" w:cs="仿宋_GB2312"/>
          <w:b/>
          <w:sz w:val="32"/>
          <w:szCs w:val="28"/>
        </w:rPr>
        <w:t>（四）调研、形成文本草案、征求意见稿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28"/>
          <w:lang w:val="zh-CN"/>
        </w:rPr>
      </w:pPr>
      <w:r>
        <w:rPr>
          <w:rFonts w:hint="default" w:ascii="Times New Roman" w:hAnsi="Times New Roman" w:eastAsia="仿宋_GB2312"/>
          <w:sz w:val="32"/>
          <w:szCs w:val="28"/>
          <w:highlight w:val="none"/>
          <w:lang w:val="zh-CN"/>
        </w:rPr>
        <w:t>202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zh-CN"/>
        </w:rPr>
        <w:t>年，标准起草工作小组进行了广泛实</w:t>
      </w:r>
      <w:r>
        <w:rPr>
          <w:rFonts w:hint="eastAsia" w:eastAsia="仿宋_GB2312"/>
          <w:sz w:val="32"/>
          <w:szCs w:val="28"/>
          <w:highlight w:val="none"/>
          <w:lang w:val="en-US" w:eastAsia="zh-CN"/>
        </w:rPr>
        <w:t>的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zh-CN"/>
        </w:rPr>
        <w:t>调研工作，查阅了大量的国内外文献资料，对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en-US" w:eastAsia="zh-CN"/>
        </w:rPr>
        <w:t>黑老虎国内外相关研究现状及苗木的分级方法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zh-CN"/>
        </w:rPr>
        <w:t>进行系统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en-US" w:eastAsia="zh-CN"/>
        </w:rPr>
        <w:t>学习和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zh-CN"/>
        </w:rPr>
        <w:t>总结，并于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en-US" w:eastAsia="zh-CN"/>
        </w:rPr>
        <w:t>广西壮族自治区中国科学院广西植物研究所种质圃进行相关试验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zh-CN"/>
        </w:rPr>
        <w:t>。经编制组反复讨论，形成了标准的基本构架，对主要内容进行了讨论并对项目的工作进行了部署和安排。在前期工作的基础之上，通过理清逻辑脉络，整合已有的参考资料中有关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en-US" w:eastAsia="zh-CN"/>
        </w:rPr>
        <w:t>黑老虎的研究成果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zh-CN"/>
        </w:rPr>
        <w:t>，并结合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en-US" w:eastAsia="zh-CN"/>
        </w:rPr>
        <w:t>广西壮族自治区中国科学院广西植物研究所已有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zh-CN"/>
        </w:rPr>
        <w:t>的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en-US" w:eastAsia="zh-CN"/>
        </w:rPr>
        <w:t>黑老虎研究基础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zh-CN"/>
        </w:rPr>
        <w:t>，按照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简化、统一等原则编制完成团体标准《黑老虎种苗质量要求》（草案）。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28"/>
          <w:lang w:val="zh-CN"/>
        </w:rPr>
      </w:pPr>
      <w:r>
        <w:rPr>
          <w:rFonts w:hint="default" w:ascii="Times New Roman" w:hAnsi="Times New Roman" w:eastAsia="仿宋_GB2312"/>
          <w:sz w:val="32"/>
          <w:szCs w:val="28"/>
          <w:highlight w:val="none"/>
          <w:lang w:val="zh-CN"/>
        </w:rPr>
        <w:t>202</w:t>
      </w:r>
      <w:r>
        <w:rPr>
          <w:rFonts w:hint="eastAsia" w:eastAsia="仿宋_GB2312"/>
          <w:sz w:val="32"/>
          <w:szCs w:val="28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zh-CN"/>
        </w:rPr>
        <w:t>年</w:t>
      </w:r>
      <w:r>
        <w:rPr>
          <w:rFonts w:hint="eastAsia" w:eastAsia="仿宋_GB2312"/>
          <w:sz w:val="32"/>
          <w:szCs w:val="28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zh-CN"/>
        </w:rPr>
        <w:t>月，标准起草工作组再次深入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en-US" w:eastAsia="zh-CN"/>
        </w:rPr>
        <w:t>黑老虎育苗基地和栽</w:t>
      </w:r>
      <w:r>
        <w:rPr>
          <w:rFonts w:hint="default" w:ascii="Times New Roman" w:hAnsi="Times New Roman" w:eastAsia="仿宋_GB2312"/>
          <w:sz w:val="32"/>
          <w:szCs w:val="28"/>
          <w:lang w:val="en-US" w:eastAsia="zh-CN"/>
        </w:rPr>
        <w:t>培区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调研学习，并实地征求有关育苗企业、行业专家等各方的意见及合理要求，通过收集反馈的大量意见，标准编制工作组多次召开标准研制会议，对标准征求意见稿初稿进行了反复修改和研究讨论。最终定稿形成了</w:t>
      </w:r>
      <w:r>
        <w:rPr>
          <w:rFonts w:hint="default" w:ascii="Times New Roman" w:hAnsi="Times New Roman" w:eastAsia="仿宋_GB2312"/>
          <w:sz w:val="32"/>
          <w:szCs w:val="28"/>
          <w:lang w:val="en-US" w:eastAsia="zh-CN"/>
        </w:rPr>
        <w:t>团体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标准《黑老虎种苗质量要求》（征求意见稿）和（征求意见稿）编制说明。</w:t>
      </w:r>
    </w:p>
    <w:p>
      <w:pPr>
        <w:adjustRightInd w:val="0"/>
        <w:snapToGrid w:val="0"/>
        <w:spacing w:before="156" w:beforeLines="50" w:after="156" w:afterLines="50" w:line="56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bookmarkStart w:id="0" w:name="_Toc526940083"/>
      <w:r>
        <w:rPr>
          <w:rFonts w:hint="eastAsia" w:ascii="黑体" w:hAnsi="黑体" w:eastAsia="黑体" w:cs="黑体"/>
          <w:bCs/>
          <w:sz w:val="32"/>
          <w:szCs w:val="32"/>
        </w:rPr>
        <w:t>四、标准制定原则</w:t>
      </w:r>
      <w:bookmarkEnd w:id="0"/>
    </w:p>
    <w:p>
      <w:pPr>
        <w:spacing w:line="520" w:lineRule="exact"/>
        <w:ind w:firstLine="643" w:firstLineChars="200"/>
        <w:rPr>
          <w:rFonts w:ascii="楷体" w:hAnsi="楷体" w:eastAsia="楷体" w:cs="仿宋_GB2312"/>
          <w:b/>
          <w:sz w:val="32"/>
          <w:szCs w:val="28"/>
        </w:rPr>
      </w:pPr>
      <w:r>
        <w:rPr>
          <w:rFonts w:hint="eastAsia" w:ascii="楷体" w:hAnsi="楷体" w:eastAsia="楷体" w:cs="仿宋_GB2312"/>
          <w:b/>
          <w:sz w:val="32"/>
          <w:szCs w:val="28"/>
        </w:rPr>
        <w:t>（一）实用性原则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28"/>
          <w:lang w:val="zh-CN"/>
        </w:rPr>
      </w:pPr>
      <w:r>
        <w:rPr>
          <w:rFonts w:hint="eastAsia" w:ascii="仿宋_GB2312" w:hAnsi="宋体" w:eastAsia="仿宋_GB2312"/>
          <w:sz w:val="32"/>
          <w:szCs w:val="28"/>
          <w:lang w:val="zh-CN"/>
        </w:rPr>
        <w:t>本文件是在充分收集相关资料和文献，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总结黑老虎国内外相关研究进展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，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调研黑老虎育苗基地及栽培区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实际情况，在现有国家、行业标准相关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黑老虎生产技术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的基础上，结合广西植物研究所等单位多年的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黑老虎育苗和栽培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技术经验而总结起草的。符合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黑老虎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产业的方向与需求，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为黑老虎种苗生产、规范化种植以及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助力乡村振兴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均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具有积极意义。</w:t>
      </w:r>
    </w:p>
    <w:p>
      <w:pPr>
        <w:spacing w:line="520" w:lineRule="exact"/>
        <w:ind w:firstLine="643" w:firstLineChars="200"/>
        <w:rPr>
          <w:rFonts w:ascii="楷体" w:hAnsi="楷体" w:eastAsia="楷体" w:cs="仿宋_GB2312"/>
          <w:b/>
          <w:sz w:val="32"/>
          <w:szCs w:val="28"/>
        </w:rPr>
      </w:pPr>
      <w:r>
        <w:rPr>
          <w:rFonts w:hint="eastAsia" w:ascii="楷体" w:hAnsi="楷体" w:eastAsia="楷体" w:cs="仿宋_GB2312"/>
          <w:b/>
          <w:sz w:val="32"/>
          <w:szCs w:val="28"/>
        </w:rPr>
        <w:t>（二）协调性原则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28"/>
          <w:lang w:val="zh-CN"/>
        </w:rPr>
      </w:pPr>
      <w:r>
        <w:rPr>
          <w:rFonts w:hint="eastAsia" w:ascii="仿宋_GB2312" w:hAnsi="宋体" w:eastAsia="仿宋_GB2312"/>
          <w:sz w:val="32"/>
          <w:szCs w:val="28"/>
          <w:lang w:val="zh-CN"/>
        </w:rPr>
        <w:t>本文件编写过程中注意了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黑老虎苗木分级相关的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要求与相关法律法规的协调问题，在内容上与现行法律法规、标准协调一致。</w:t>
      </w:r>
    </w:p>
    <w:p>
      <w:pPr>
        <w:spacing w:line="520" w:lineRule="exact"/>
        <w:ind w:firstLine="643" w:firstLineChars="200"/>
        <w:rPr>
          <w:rFonts w:ascii="楷体" w:hAnsi="楷体" w:eastAsia="楷体" w:cs="仿宋_GB2312"/>
          <w:b/>
          <w:sz w:val="32"/>
          <w:szCs w:val="28"/>
        </w:rPr>
      </w:pPr>
      <w:r>
        <w:rPr>
          <w:rFonts w:hint="eastAsia" w:ascii="楷体" w:hAnsi="楷体" w:eastAsia="楷体" w:cs="仿宋_GB2312"/>
          <w:b/>
          <w:sz w:val="32"/>
          <w:szCs w:val="28"/>
        </w:rPr>
        <w:t>（三）规范性原则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28"/>
          <w:lang w:val="zh-CN"/>
        </w:rPr>
      </w:pPr>
      <w:r>
        <w:rPr>
          <w:rFonts w:hint="eastAsia" w:ascii="仿宋_GB2312" w:hAnsi="宋体" w:eastAsia="仿宋_GB2312"/>
          <w:sz w:val="32"/>
          <w:szCs w:val="28"/>
          <w:lang w:val="zh-CN"/>
        </w:rPr>
        <w:t>本文件严格按照GB/T 1.1—2020《标准化工作导则 第1部分：标准的结构和编写》的要求和规定编写本标准的内容，保证标准的编写质量。</w:t>
      </w:r>
    </w:p>
    <w:p>
      <w:pPr>
        <w:spacing w:line="520" w:lineRule="exact"/>
        <w:ind w:firstLine="643" w:firstLineChars="200"/>
        <w:rPr>
          <w:rFonts w:ascii="楷体" w:hAnsi="楷体" w:eastAsia="楷体" w:cs="仿宋_GB2312"/>
          <w:b/>
          <w:sz w:val="32"/>
          <w:szCs w:val="28"/>
        </w:rPr>
      </w:pPr>
      <w:r>
        <w:rPr>
          <w:rFonts w:hint="eastAsia" w:ascii="楷体" w:hAnsi="楷体" w:eastAsia="楷体" w:cs="仿宋_GB2312"/>
          <w:b/>
          <w:sz w:val="32"/>
          <w:szCs w:val="28"/>
        </w:rPr>
        <w:t>（四）前瞻性原则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28"/>
          <w:lang w:val="zh-CN"/>
        </w:rPr>
      </w:pPr>
      <w:r>
        <w:rPr>
          <w:rFonts w:hint="eastAsia" w:ascii="仿宋_GB2312" w:hAnsi="宋体" w:eastAsia="仿宋_GB2312"/>
          <w:sz w:val="32"/>
          <w:szCs w:val="28"/>
          <w:lang w:val="zh-CN"/>
        </w:rPr>
        <w:t>本文件根据当前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黑老虎种苗质量良莠不齐，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分级不明确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的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现状，同时考虑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种苗质量在规模化生产中的重大意义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，本文件在兼顾当前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黑老虎种苗生产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实际情况的同时，在标准中体现了个别特色性、前瞻性和先进性条款，作为对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黑老虎种苗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生产企业的指导。</w:t>
      </w:r>
    </w:p>
    <w:p>
      <w:pPr>
        <w:adjustRightInd w:val="0"/>
        <w:snapToGrid w:val="0"/>
        <w:spacing w:before="156" w:beforeLines="50" w:after="156" w:afterLines="50" w:line="56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五、标准主要章节内容及确定依据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28"/>
          <w:lang w:val="zh-CN"/>
        </w:rPr>
      </w:pP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团体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标准《黑老虎种苗质量要求》主要内容包括术语和定义、苗木质量分级、检验方法、检验规则、出圃检验。</w:t>
      </w:r>
    </w:p>
    <w:p>
      <w:pPr>
        <w:numPr>
          <w:ilvl w:val="0"/>
          <w:numId w:val="5"/>
        </w:numPr>
        <w:spacing w:line="560" w:lineRule="exact"/>
        <w:ind w:firstLine="643" w:firstLineChars="200"/>
        <w:rPr>
          <w:rFonts w:hint="eastAsia" w:ascii="楷体" w:hAnsi="楷体" w:eastAsia="楷体"/>
          <w:b/>
          <w:sz w:val="32"/>
          <w:szCs w:val="32"/>
          <w:lang w:val="zh-CN"/>
        </w:rPr>
      </w:pPr>
      <w:r>
        <w:rPr>
          <w:rFonts w:hint="eastAsia" w:ascii="楷体" w:hAnsi="楷体" w:eastAsia="楷体"/>
          <w:b/>
          <w:sz w:val="32"/>
          <w:szCs w:val="32"/>
          <w:lang w:val="zh-CN"/>
        </w:rPr>
        <w:t>术语和定义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28"/>
          <w:lang w:val="zh-CN"/>
        </w:rPr>
      </w:pPr>
      <w:r>
        <w:rPr>
          <w:rFonts w:hint="default" w:ascii="Times New Roman" w:hAnsi="Times New Roman" w:eastAsia="仿宋_GB2312"/>
          <w:sz w:val="32"/>
          <w:szCs w:val="28"/>
          <w:lang w:val="zh-CN"/>
        </w:rPr>
        <w:t>其中术语和定义主要依据</w:t>
      </w:r>
      <w:r>
        <w:rPr>
          <w:rFonts w:hint="eastAsia" w:eastAsia="仿宋_GB2312"/>
          <w:sz w:val="32"/>
          <w:szCs w:val="28"/>
          <w:lang w:val="en-US" w:eastAsia="zh-CN"/>
        </w:rPr>
        <w:t>黑老虎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科属实际情况进行界定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。</w:t>
      </w:r>
    </w:p>
    <w:p>
      <w:pPr>
        <w:numPr>
          <w:ilvl w:val="-1"/>
          <w:numId w:val="0"/>
        </w:numPr>
        <w:spacing w:line="560" w:lineRule="exact"/>
        <w:ind w:firstLine="643" w:firstLineChars="200"/>
        <w:rPr>
          <w:rFonts w:hint="eastAsia" w:ascii="仿宋_GB2312" w:hAnsi="宋体" w:eastAsia="仿宋_GB2312"/>
          <w:b/>
          <w:bCs w:val="0"/>
          <w:sz w:val="32"/>
          <w:szCs w:val="28"/>
          <w:highlight w:val="none"/>
          <w:lang w:val="zh-CN"/>
        </w:rPr>
      </w:pPr>
      <w:r>
        <w:rPr>
          <w:rFonts w:hint="eastAsia" w:ascii="楷体" w:hAnsi="楷体" w:eastAsia="楷体"/>
          <w:b/>
          <w:bCs w:val="0"/>
          <w:sz w:val="32"/>
          <w:szCs w:val="32"/>
          <w:highlight w:val="none"/>
          <w:lang w:val="zh-CN"/>
        </w:rPr>
        <w:t>（二）</w:t>
      </w:r>
      <w:r>
        <w:rPr>
          <w:rFonts w:hint="eastAsia" w:ascii="仿宋_GB2312" w:hAnsi="宋体" w:eastAsia="仿宋_GB2312"/>
          <w:b/>
          <w:bCs w:val="0"/>
          <w:sz w:val="32"/>
          <w:szCs w:val="28"/>
          <w:highlight w:val="none"/>
          <w:lang w:val="zh-CN"/>
        </w:rPr>
        <w:t>苗木质量分级</w:t>
      </w:r>
    </w:p>
    <w:p>
      <w:pPr>
        <w:spacing w:line="560" w:lineRule="exact"/>
        <w:ind w:firstLine="0" w:firstLineChars="0"/>
        <w:rPr>
          <w:rFonts w:hint="eastAsia" w:ascii="仿宋_GB2312" w:hAnsi="宋体" w:eastAsia="仿宋_GB2312"/>
          <w:b/>
          <w:bCs/>
          <w:sz w:val="32"/>
          <w:szCs w:val="28"/>
          <w:lang w:val="en-US" w:eastAsia="zh-CN"/>
        </w:rPr>
      </w:pPr>
      <w:r>
        <w:rPr>
          <w:rFonts w:hint="default" w:ascii="Times New Roman" w:hAnsi="Times New Roman" w:eastAsia="仿宋_GB2312"/>
          <w:b/>
          <w:bCs/>
          <w:sz w:val="32"/>
          <w:szCs w:val="28"/>
          <w:lang w:val="en-US" w:eastAsia="zh-CN"/>
        </w:rPr>
        <w:t>1.</w:t>
      </w:r>
      <w:r>
        <w:rPr>
          <w:rFonts w:hint="eastAsia" w:ascii="仿宋_GB2312" w:hAnsi="宋体" w:eastAsia="仿宋_GB2312"/>
          <w:b/>
          <w:bCs/>
          <w:sz w:val="32"/>
          <w:szCs w:val="28"/>
          <w:lang w:val="en-US" w:eastAsia="zh-CN"/>
        </w:rPr>
        <w:t>挑选幼苗</w:t>
      </w:r>
    </w:p>
    <w:p>
      <w:pPr>
        <w:pStyle w:val="2"/>
        <w:ind w:firstLine="640" w:firstLineChars="200"/>
        <w:rPr>
          <w:rFonts w:hint="default" w:ascii="Times New Roman" w:hAnsi="Times New Roman"/>
          <w:lang w:val="en-US" w:eastAsia="zh-CN"/>
        </w:rPr>
      </w:pPr>
      <w:r>
        <w:rPr>
          <w:rFonts w:hint="eastAsia"/>
          <w:lang w:val="en-US" w:eastAsia="zh-CN"/>
        </w:rPr>
        <w:t>通过目测，随机挑选植株健壮、无机械损伤、无无病斑和虫斑的</w:t>
      </w:r>
      <w:r>
        <w:rPr>
          <w:rFonts w:hint="default" w:ascii="Times New Roman" w:hAnsi="Times New Roman"/>
          <w:lang w:val="en-US" w:eastAsia="zh-CN"/>
        </w:rPr>
        <w:t>黑老</w:t>
      </w:r>
      <w:r>
        <w:rPr>
          <w:rFonts w:hint="default" w:ascii="Times New Roman" w:hAnsi="Times New Roman"/>
          <w:highlight w:val="none"/>
          <w:lang w:val="en-US" w:eastAsia="zh-CN"/>
        </w:rPr>
        <w:t>虎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2</w:t>
      </w:r>
      <w:r>
        <w:rPr>
          <w:rFonts w:hint="default" w:ascii="Times New Roman" w:hAnsi="Times New Roman"/>
          <w:highlight w:val="none"/>
          <w:lang w:val="en-US" w:eastAsia="zh-CN"/>
        </w:rPr>
        <w:t>年</w:t>
      </w:r>
      <w:r>
        <w:rPr>
          <w:rFonts w:hint="default" w:ascii="Times New Roman" w:hAnsi="Times New Roman"/>
          <w:lang w:val="en-US" w:eastAsia="zh-CN"/>
        </w:rPr>
        <w:t>生种苗50株。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28"/>
          <w:lang w:val="en-US" w:eastAsia="zh-CN"/>
        </w:rPr>
      </w:pPr>
    </w:p>
    <w:p>
      <w:pPr>
        <w:spacing w:line="560" w:lineRule="exact"/>
        <w:ind w:firstLine="0" w:firstLineChars="0"/>
        <w:rPr>
          <w:rFonts w:hint="default" w:ascii="Times New Roman" w:hAnsi="Times New Roman" w:eastAsia="仿宋_GB2312"/>
          <w:b/>
          <w:bCs/>
          <w:sz w:val="32"/>
          <w:szCs w:val="28"/>
          <w:lang w:val="en-US" w:eastAsia="zh-CN"/>
        </w:rPr>
      </w:pPr>
      <w:r>
        <w:rPr>
          <w:rFonts w:hint="default" w:ascii="Times New Roman" w:hAnsi="Times New Roman" w:eastAsia="仿宋_GB2312"/>
          <w:b/>
          <w:bCs/>
          <w:sz w:val="32"/>
          <w:szCs w:val="28"/>
          <w:lang w:val="en-US" w:eastAsia="zh-CN"/>
        </w:rPr>
        <w:t>2.确定分级标准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/>
          <w:sz w:val="32"/>
          <w:szCs w:val="28"/>
          <w:lang w:val="en-US" w:eastAsia="zh-CN"/>
        </w:rPr>
      </w:pP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种苗的质量指标具有多样性，在进行种苗质量评定工作时，首先需要考察多个种苗性状信息，测量多个指标，从而获取较为全面的信息。但是由于种苗各性状之间普遍具有内在联系，信息重叠不可避免，并且在实际生产中有些指标难以测量，可操作性较低。所以，在尽可能获取较多的种苗性状信息之后，需要对这些性状信息进行详细研究，筛选出既能反应出种苗总体品质，又方便测量的指标，从而进行种苗分级。使用游标卡尺测量黑老虎种苗的地径和根粗；使用刻度尺测量黑老虎的东西冠幅、南北冠</w:t>
      </w:r>
      <w:r>
        <w:rPr>
          <w:rFonts w:hint="default" w:ascii="Times New Roman" w:hAnsi="Times New Roman" w:eastAsia="仿宋_GB2312"/>
          <w:sz w:val="32"/>
          <w:szCs w:val="28"/>
          <w:u w:val="none"/>
          <w:lang w:val="en-US" w:eastAsia="zh-CN"/>
        </w:rPr>
        <w:t>幅、株高、根长，通过公式：冠幅=½（东西冠幅+南北冠幅）计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算黑老虎的冠幅，使用电子天平测量全株干重、地上部分干重、</w:t>
      </w:r>
      <w:r>
        <w:rPr>
          <w:rFonts w:hint="default" w:ascii="Times New Roman" w:hAnsi="Times New Roman" w:eastAsia="仿宋_GB2312"/>
          <w:sz w:val="32"/>
          <w:szCs w:val="28"/>
          <w:lang w:val="en-US" w:eastAsia="zh-CN"/>
        </w:rPr>
        <w:t>地下部分干重，并记录根数。对9个关键指标进行相关性分析（表1）。经综合考虑，最终选择了与全株干重相关性较强的地径和根长作为分级标准，地径为全株干重的主要影响因子，根长为全株干重的次要影响因子。</w:t>
      </w:r>
    </w:p>
    <w:p>
      <w:pPr>
        <w:pStyle w:val="2"/>
        <w:jc w:val="center"/>
        <w:rPr>
          <w:rFonts w:hint="default" w:ascii="Times New Roman" w:hAnsi="Times New Roman" w:eastAsia="仿宋_GB2312"/>
          <w:sz w:val="32"/>
          <w:szCs w:val="28"/>
          <w:lang w:val="en-US" w:eastAsia="zh-CN"/>
        </w:rPr>
      </w:pPr>
      <w:r>
        <w:rPr>
          <w:rFonts w:hint="default" w:ascii="Times New Roman" w:hAnsi="Times New Roman" w:eastAsia="仿宋_GB2312"/>
          <w:sz w:val="32"/>
          <w:szCs w:val="28"/>
          <w:lang w:val="en-US" w:eastAsia="zh-CN"/>
        </w:rPr>
        <w:t>表1 黑老虎各指标相关性分析结果</w:t>
      </w:r>
    </w:p>
    <w:tbl>
      <w:tblPr>
        <w:tblStyle w:val="10"/>
        <w:tblW w:w="4997" w:type="pct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962"/>
        <w:gridCol w:w="962"/>
        <w:gridCol w:w="881"/>
        <w:gridCol w:w="962"/>
        <w:gridCol w:w="962"/>
        <w:gridCol w:w="962"/>
        <w:gridCol w:w="962"/>
        <w:gridCol w:w="877"/>
        <w:gridCol w:w="87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指标</w:t>
            </w:r>
          </w:p>
        </w:tc>
        <w:tc>
          <w:tcPr>
            <w:tcW w:w="51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地径</w:t>
            </w:r>
          </w:p>
        </w:tc>
        <w:tc>
          <w:tcPr>
            <w:tcW w:w="51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株高</w:t>
            </w:r>
          </w:p>
        </w:tc>
        <w:tc>
          <w:tcPr>
            <w:tcW w:w="474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平均</w:t>
            </w:r>
            <w:r>
              <w:rPr>
                <w:sz w:val="24"/>
                <w:szCs w:val="24"/>
              </w:rPr>
              <w:t>冠幅</w:t>
            </w:r>
          </w:p>
        </w:tc>
        <w:tc>
          <w:tcPr>
            <w:tcW w:w="51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根粗</w:t>
            </w:r>
          </w:p>
        </w:tc>
        <w:tc>
          <w:tcPr>
            <w:tcW w:w="51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根长</w:t>
            </w:r>
          </w:p>
        </w:tc>
        <w:tc>
          <w:tcPr>
            <w:tcW w:w="51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根数</w:t>
            </w:r>
          </w:p>
        </w:tc>
        <w:tc>
          <w:tcPr>
            <w:tcW w:w="51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全株干重</w:t>
            </w:r>
          </w:p>
        </w:tc>
        <w:tc>
          <w:tcPr>
            <w:tcW w:w="472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地上部分干重</w:t>
            </w:r>
          </w:p>
        </w:tc>
        <w:tc>
          <w:tcPr>
            <w:tcW w:w="472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地下部分干重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地径</w:t>
            </w:r>
          </w:p>
        </w:tc>
        <w:tc>
          <w:tcPr>
            <w:tcW w:w="518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518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株高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0.269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47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冠幅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0.419</w:t>
            </w:r>
            <w:r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0.228</w:t>
            </w:r>
            <w:r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7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根粗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0.445</w:t>
            </w:r>
            <w:r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0.396</w:t>
            </w:r>
            <w:r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7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0.246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根长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0.438</w:t>
            </w:r>
            <w:r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0.305</w:t>
            </w:r>
            <w:r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7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0.334</w:t>
            </w:r>
            <w:r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0.201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根数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0.501</w:t>
            </w:r>
            <w:r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tabs>
                <w:tab w:val="left" w:pos="4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0.211</w:t>
            </w:r>
          </w:p>
        </w:tc>
        <w:tc>
          <w:tcPr>
            <w:tcW w:w="47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0.190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0.349*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0.450</w:t>
            </w:r>
            <w:r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全株干重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0.226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0.039</w:t>
            </w:r>
          </w:p>
        </w:tc>
        <w:tc>
          <w:tcPr>
            <w:tcW w:w="47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0.111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0.006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0.222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0.194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地上部分干重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0.175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0.025</w:t>
            </w:r>
          </w:p>
        </w:tc>
        <w:tc>
          <w:tcPr>
            <w:tcW w:w="47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0.098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-0.028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0.186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0.144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0.995</w:t>
            </w:r>
            <w:r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地下部分干重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0.539</w:t>
            </w:r>
            <w:r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0.141</w:t>
            </w:r>
          </w:p>
        </w:tc>
        <w:tc>
          <w:tcPr>
            <w:tcW w:w="47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0.153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0.325</w:t>
            </w:r>
            <w:r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0.392</w:t>
            </w:r>
            <w:r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0.518</w:t>
            </w:r>
            <w:r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0.288</w:t>
            </w:r>
            <w:r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0.190</w:t>
            </w:r>
          </w:p>
        </w:tc>
        <w:tc>
          <w:tcPr>
            <w:tcW w:w="472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</w:tr>
    </w:tbl>
    <w:p>
      <w:pPr>
        <w:spacing w:line="560" w:lineRule="exact"/>
        <w:ind w:firstLine="0" w:firstLineChars="0"/>
        <w:rPr>
          <w:rFonts w:hint="eastAsia" w:ascii="仿宋_GB2312" w:hAnsi="宋体" w:eastAsia="仿宋_GB2312" w:cs="Times New Roman"/>
          <w:b/>
          <w:bCs/>
          <w:sz w:val="32"/>
          <w:szCs w:val="28"/>
          <w:lang w:val="en-US" w:eastAsia="zh-CN"/>
        </w:rPr>
      </w:pPr>
    </w:p>
    <w:p>
      <w:pPr>
        <w:spacing w:line="560" w:lineRule="exact"/>
        <w:ind w:firstLine="0" w:firstLineChars="0"/>
        <w:rPr>
          <w:rFonts w:hint="default" w:ascii="Times New Roman" w:hAnsi="Times New Roman" w:eastAsia="仿宋_GB2312" w:cs="Times New Roman"/>
          <w:b/>
          <w:bCs/>
          <w:sz w:val="32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28"/>
          <w:lang w:val="en-US" w:eastAsia="zh-CN"/>
        </w:rPr>
        <w:t>3.数据的标准化</w:t>
      </w:r>
    </w:p>
    <w:p>
      <w:pPr>
        <w:pStyle w:val="2"/>
        <w:numPr>
          <w:ilvl w:val="-1"/>
          <w:numId w:val="0"/>
        </w:numPr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28"/>
          <w:lang w:val="en-US" w:eastAsia="zh-CN"/>
        </w:rPr>
        <w:t>地径和根长两个指标的量级不同，需要进行数据标准化处理</w:t>
      </w:r>
      <w:r>
        <w:rPr>
          <w:rFonts w:hint="eastAsia" w:ascii="Times New Roman" w:hAnsi="Times New Roman" w:eastAsia="仿宋_GB2312" w:cs="Times New Roman"/>
          <w:sz w:val="32"/>
          <w:szCs w:val="28"/>
          <w:lang w:val="en-US" w:eastAsia="zh-CN"/>
        </w:rPr>
        <w:t>（表2）</w:t>
      </w:r>
      <w:r>
        <w:rPr>
          <w:rFonts w:hint="default" w:ascii="Times New Roman" w:hAnsi="Times New Roman" w:eastAsia="仿宋_GB2312" w:cs="Times New Roman"/>
          <w:sz w:val="32"/>
          <w:szCs w:val="28"/>
          <w:lang w:val="en-US" w:eastAsia="zh-CN"/>
        </w:rPr>
        <w:t>。</w:t>
      </w:r>
    </w:p>
    <w:p>
      <w:pPr>
        <w:pStyle w:val="2"/>
        <w:numPr>
          <w:ilvl w:val="-1"/>
          <w:numId w:val="0"/>
        </w:numPr>
        <w:ind w:firstLine="640" w:firstLineChars="200"/>
        <w:jc w:val="left"/>
        <w:rPr>
          <w:rFonts w:hint="default" w:ascii="Times New Roman" w:hAnsi="Times New Roman" w:eastAsia="仿宋_GB2312"/>
          <w:sz w:val="32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28"/>
          <w:lang w:val="en-US" w:eastAsia="zh-CN"/>
        </w:rPr>
        <w:t xml:space="preserve">表2 </w:t>
      </w:r>
      <w:r>
        <w:rPr>
          <w:rFonts w:hint="default" w:ascii="Times New Roman" w:hAnsi="Times New Roman" w:eastAsia="仿宋_GB2312"/>
          <w:sz w:val="32"/>
          <w:szCs w:val="28"/>
          <w:lang w:val="en-US" w:eastAsia="zh-CN"/>
        </w:rPr>
        <w:t>黑老虎地径和根长标准化处理结果</w:t>
      </w:r>
    </w:p>
    <w:tbl>
      <w:tblPr>
        <w:tblStyle w:val="10"/>
        <w:tblW w:w="4996" w:type="pct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083"/>
        <w:gridCol w:w="1232"/>
        <w:gridCol w:w="885"/>
        <w:gridCol w:w="1083"/>
        <w:gridCol w:w="1128"/>
        <w:gridCol w:w="922"/>
        <w:gridCol w:w="1034"/>
        <w:gridCol w:w="114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种苗序号</w:t>
            </w:r>
          </w:p>
        </w:tc>
        <w:tc>
          <w:tcPr>
            <w:tcW w:w="583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地径</w:t>
            </w:r>
          </w:p>
        </w:tc>
        <w:tc>
          <w:tcPr>
            <w:tcW w:w="66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根长</w:t>
            </w:r>
          </w:p>
        </w:tc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种苗序号</w:t>
            </w:r>
          </w:p>
        </w:tc>
        <w:tc>
          <w:tcPr>
            <w:tcW w:w="583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地径</w:t>
            </w:r>
          </w:p>
        </w:tc>
        <w:tc>
          <w:tcPr>
            <w:tcW w:w="60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根长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种苗序号</w:t>
            </w:r>
          </w:p>
        </w:tc>
        <w:tc>
          <w:tcPr>
            <w:tcW w:w="556" w:type="pct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地径</w:t>
            </w: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根长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3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1.0000</w:t>
            </w:r>
          </w:p>
        </w:tc>
        <w:tc>
          <w:tcPr>
            <w:tcW w:w="663" w:type="pc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0.6262</w:t>
            </w:r>
          </w:p>
        </w:tc>
        <w:tc>
          <w:tcPr>
            <w:tcW w:w="476" w:type="pc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83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0.4699</w:t>
            </w:r>
          </w:p>
        </w:tc>
        <w:tc>
          <w:tcPr>
            <w:tcW w:w="607" w:type="pc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0.1038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6" w:type="pct"/>
            <w:tcBorders>
              <w:top w:val="single" w:color="auto" w:sz="4" w:space="0"/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0.7550</w:t>
            </w:r>
          </w:p>
        </w:tc>
        <w:tc>
          <w:tcPr>
            <w:tcW w:w="614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0.9169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0.8835</w:t>
            </w:r>
          </w:p>
        </w:tc>
        <w:tc>
          <w:tcPr>
            <w:tcW w:w="66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0.3956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0.6586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.2077</w:t>
            </w:r>
          </w:p>
        </w:tc>
        <w:tc>
          <w:tcPr>
            <w:tcW w:w="496" w:type="pct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556" w:type="pct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0.2972</w:t>
            </w:r>
          </w:p>
        </w:tc>
        <w:tc>
          <w:tcPr>
            <w:tcW w:w="61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0.4984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0.7028</w:t>
            </w:r>
          </w:p>
        </w:tc>
        <w:tc>
          <w:tcPr>
            <w:tcW w:w="66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0.7871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0.5462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0.3925</w:t>
            </w:r>
          </w:p>
        </w:tc>
        <w:tc>
          <w:tcPr>
            <w:tcW w:w="496" w:type="pct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56" w:type="pct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0.4378</w:t>
            </w:r>
          </w:p>
        </w:tc>
        <w:tc>
          <w:tcPr>
            <w:tcW w:w="61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0.0010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.8</w:t>
            </w:r>
            <w:r>
              <w:rPr>
                <w:sz w:val="24"/>
                <w:szCs w:val="24"/>
              </w:rPr>
              <w:t>715</w:t>
            </w:r>
          </w:p>
        </w:tc>
        <w:tc>
          <w:tcPr>
            <w:tcW w:w="66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0.5815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0.8273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0.2939</w:t>
            </w:r>
          </w:p>
        </w:tc>
        <w:tc>
          <w:tcPr>
            <w:tcW w:w="496" w:type="pct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56" w:type="pct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0.8675</w:t>
            </w:r>
          </w:p>
        </w:tc>
        <w:tc>
          <w:tcPr>
            <w:tcW w:w="61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0.9117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0.6787</w:t>
            </w:r>
          </w:p>
        </w:tc>
        <w:tc>
          <w:tcPr>
            <w:tcW w:w="66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0.0602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0.6426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0.3157</w:t>
            </w:r>
          </w:p>
        </w:tc>
        <w:tc>
          <w:tcPr>
            <w:tcW w:w="496" w:type="pct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56" w:type="pct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0.7068</w:t>
            </w:r>
          </w:p>
        </w:tc>
        <w:tc>
          <w:tcPr>
            <w:tcW w:w="61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0.6874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0.9317</w:t>
            </w:r>
          </w:p>
        </w:tc>
        <w:tc>
          <w:tcPr>
            <w:tcW w:w="66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0.1038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0.6586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0.0582</w:t>
            </w:r>
          </w:p>
        </w:tc>
        <w:tc>
          <w:tcPr>
            <w:tcW w:w="496" w:type="pct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56" w:type="pct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0.9036</w:t>
            </w:r>
          </w:p>
        </w:tc>
        <w:tc>
          <w:tcPr>
            <w:tcW w:w="61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0.8941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0.4699</w:t>
            </w:r>
          </w:p>
        </w:tc>
        <w:tc>
          <w:tcPr>
            <w:tcW w:w="66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0.3759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0.7269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0.0584</w:t>
            </w:r>
          </w:p>
        </w:tc>
        <w:tc>
          <w:tcPr>
            <w:tcW w:w="496" w:type="pct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56" w:type="pct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0.7189</w:t>
            </w:r>
          </w:p>
        </w:tc>
        <w:tc>
          <w:tcPr>
            <w:tcW w:w="61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0.2098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0.5944</w:t>
            </w:r>
          </w:p>
        </w:tc>
        <w:tc>
          <w:tcPr>
            <w:tcW w:w="66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0.8318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0.6064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0.2700</w:t>
            </w:r>
          </w:p>
        </w:tc>
        <w:tc>
          <w:tcPr>
            <w:tcW w:w="496" w:type="pct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56" w:type="pct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0.8916</w:t>
            </w:r>
          </w:p>
        </w:tc>
        <w:tc>
          <w:tcPr>
            <w:tcW w:w="61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0.4143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0.0000</w:t>
            </w:r>
          </w:p>
        </w:tc>
        <w:tc>
          <w:tcPr>
            <w:tcW w:w="66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0.0000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0.8193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0.6002</w:t>
            </w:r>
          </w:p>
        </w:tc>
        <w:tc>
          <w:tcPr>
            <w:tcW w:w="496" w:type="pct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556" w:type="pct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0.4538</w:t>
            </w:r>
          </w:p>
        </w:tc>
        <w:tc>
          <w:tcPr>
            <w:tcW w:w="61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0.3136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0.6667</w:t>
            </w:r>
          </w:p>
        </w:tc>
        <w:tc>
          <w:tcPr>
            <w:tcW w:w="66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0.7913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0.5462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0.4133</w:t>
            </w:r>
          </w:p>
        </w:tc>
        <w:tc>
          <w:tcPr>
            <w:tcW w:w="496" w:type="pct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56" w:type="pct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0.4940</w:t>
            </w:r>
          </w:p>
        </w:tc>
        <w:tc>
          <w:tcPr>
            <w:tcW w:w="61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0.6282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0.7671</w:t>
            </w:r>
          </w:p>
        </w:tc>
        <w:tc>
          <w:tcPr>
            <w:tcW w:w="66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0.4829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0.8795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0.8982</w:t>
            </w:r>
          </w:p>
        </w:tc>
        <w:tc>
          <w:tcPr>
            <w:tcW w:w="496" w:type="pct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56" w:type="pct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0.6908</w:t>
            </w:r>
          </w:p>
        </w:tc>
        <w:tc>
          <w:tcPr>
            <w:tcW w:w="61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0.6054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0.5382</w:t>
            </w:r>
          </w:p>
        </w:tc>
        <w:tc>
          <w:tcPr>
            <w:tcW w:w="66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0.4174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0.5060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0.7040</w:t>
            </w:r>
          </w:p>
        </w:tc>
        <w:tc>
          <w:tcPr>
            <w:tcW w:w="496" w:type="pct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556" w:type="pct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0.4538</w:t>
            </w:r>
          </w:p>
        </w:tc>
        <w:tc>
          <w:tcPr>
            <w:tcW w:w="61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0.2056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0.7430</w:t>
            </w:r>
          </w:p>
        </w:tc>
        <w:tc>
          <w:tcPr>
            <w:tcW w:w="66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0.7394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0.5542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0.2908</w:t>
            </w:r>
          </w:p>
        </w:tc>
        <w:tc>
          <w:tcPr>
            <w:tcW w:w="496" w:type="pct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556" w:type="pct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0.5502</w:t>
            </w:r>
          </w:p>
        </w:tc>
        <w:tc>
          <w:tcPr>
            <w:tcW w:w="61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0.5244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0.6305</w:t>
            </w:r>
          </w:p>
        </w:tc>
        <w:tc>
          <w:tcPr>
            <w:tcW w:w="66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0.0000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0.3896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0.3697</w:t>
            </w:r>
          </w:p>
        </w:tc>
        <w:tc>
          <w:tcPr>
            <w:tcW w:w="496" w:type="pct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556" w:type="pct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0.8153</w:t>
            </w:r>
          </w:p>
        </w:tc>
        <w:tc>
          <w:tcPr>
            <w:tcW w:w="61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0.8307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0.6345</w:t>
            </w:r>
          </w:p>
        </w:tc>
        <w:tc>
          <w:tcPr>
            <w:tcW w:w="66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0.1049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0.5622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0.4123</w:t>
            </w:r>
          </w:p>
        </w:tc>
        <w:tc>
          <w:tcPr>
            <w:tcW w:w="496" w:type="pct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556" w:type="pct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.3173</w:t>
            </w:r>
          </w:p>
        </w:tc>
        <w:tc>
          <w:tcPr>
            <w:tcW w:w="61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0.1921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0.0602</w:t>
            </w:r>
          </w:p>
        </w:tc>
        <w:tc>
          <w:tcPr>
            <w:tcW w:w="66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0.1661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0.9679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0.4818</w:t>
            </w:r>
          </w:p>
        </w:tc>
        <w:tc>
          <w:tcPr>
            <w:tcW w:w="496" w:type="pct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56" w:type="pct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0.8273</w:t>
            </w:r>
          </w:p>
        </w:tc>
        <w:tc>
          <w:tcPr>
            <w:tcW w:w="614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83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0.5382</w:t>
            </w:r>
          </w:p>
        </w:tc>
        <w:tc>
          <w:tcPr>
            <w:tcW w:w="663" w:type="pct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0.5748</w:t>
            </w:r>
          </w:p>
        </w:tc>
        <w:tc>
          <w:tcPr>
            <w:tcW w:w="47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0.9518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0.3936</w:t>
            </w:r>
          </w:p>
        </w:tc>
        <w:tc>
          <w:tcPr>
            <w:tcW w:w="496" w:type="pct"/>
            <w:tcBorders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tcBorders>
              <w:left w:val="nil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pPr>
        <w:pStyle w:val="2"/>
        <w:numPr>
          <w:ilvl w:val="-1"/>
          <w:numId w:val="0"/>
        </w:numPr>
        <w:ind w:firstLine="0" w:firstLineChars="0"/>
        <w:jc w:val="left"/>
        <w:rPr>
          <w:rFonts w:hint="eastAsia" w:ascii="仿宋_GB2312" w:hAnsi="宋体" w:eastAsia="仿宋_GB2312"/>
          <w:sz w:val="32"/>
          <w:szCs w:val="28"/>
          <w:lang w:val="en-US" w:eastAsia="zh-CN"/>
        </w:rPr>
      </w:pPr>
    </w:p>
    <w:p>
      <w:pPr>
        <w:pStyle w:val="2"/>
        <w:numPr>
          <w:ilvl w:val="-1"/>
          <w:numId w:val="0"/>
        </w:numPr>
        <w:ind w:firstLine="0" w:firstLineChars="0"/>
        <w:jc w:val="left"/>
        <w:rPr>
          <w:rFonts w:hint="eastAsia" w:ascii="仿宋_GB2312" w:hAnsi="宋体" w:eastAsia="仿宋_GB2312"/>
          <w:b/>
          <w:bCs/>
          <w:sz w:val="32"/>
          <w:szCs w:val="28"/>
          <w:lang w:val="en-US" w:eastAsia="zh-CN"/>
        </w:rPr>
      </w:pPr>
      <w:r>
        <w:rPr>
          <w:rFonts w:hint="default" w:ascii="Times New Roman" w:hAnsi="Times New Roman" w:eastAsia="仿宋_GB2312"/>
          <w:b/>
          <w:bCs/>
          <w:sz w:val="32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b/>
          <w:bCs/>
          <w:sz w:val="32"/>
          <w:szCs w:val="28"/>
          <w:lang w:val="en-US" w:eastAsia="zh-CN"/>
        </w:rPr>
        <w:t>.种苗初始分级</w:t>
      </w:r>
    </w:p>
    <w:p>
      <w:pPr>
        <w:pStyle w:val="2"/>
        <w:numPr>
          <w:ilvl w:val="-1"/>
          <w:numId w:val="0"/>
        </w:numPr>
        <w:ind w:firstLine="640" w:firstLineChars="200"/>
        <w:jc w:val="left"/>
        <w:rPr>
          <w:rFonts w:hint="eastAsia" w:ascii="仿宋_GB2312" w:hAnsi="宋体" w:eastAsia="仿宋_GB2312"/>
          <w:sz w:val="32"/>
          <w:szCs w:val="28"/>
          <w:lang w:val="en-US" w:eastAsia="zh-CN"/>
        </w:rPr>
      </w:pP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以地径和根长为指标进行分级，首先需要将种苗按“粗大——细小”的顺序排列人为进行初始分级（图</w:t>
      </w:r>
      <w:r>
        <w:rPr>
          <w:rFonts w:hint="default" w:ascii="Times New Roman" w:hAnsi="Times New Roman" w:eastAsia="仿宋_GB2312"/>
          <w:sz w:val="32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）。</w:t>
      </w:r>
    </w:p>
    <w:p>
      <w:pPr>
        <w:pStyle w:val="2"/>
        <w:numPr>
          <w:ilvl w:val="-1"/>
          <w:numId w:val="0"/>
        </w:numPr>
        <w:ind w:firstLine="640" w:firstLineChars="200"/>
        <w:jc w:val="center"/>
      </w:pPr>
      <w:r>
        <w:drawing>
          <wp:inline distT="0" distB="0" distL="114300" distR="114300">
            <wp:extent cx="4091940" cy="3108960"/>
            <wp:effectExtent l="4445" t="5080" r="18415" b="10160"/>
            <wp:docPr id="5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>
      <w:pPr>
        <w:pStyle w:val="2"/>
        <w:numPr>
          <w:ilvl w:val="-1"/>
          <w:numId w:val="0"/>
        </w:numPr>
        <w:ind w:firstLine="0" w:firstLineChars="0"/>
        <w:jc w:val="center"/>
        <w:rPr>
          <w:rFonts w:hint="eastAsia" w:ascii="仿宋_GB2312" w:hAnsi="宋体" w:eastAsia="仿宋_GB2312"/>
          <w:sz w:val="32"/>
          <w:szCs w:val="28"/>
          <w:lang w:val="en-US" w:eastAsia="zh-CN"/>
        </w:rPr>
      </w:pP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图1  黑老虎种苗一维坐标排序图</w:t>
      </w:r>
    </w:p>
    <w:p>
      <w:pPr>
        <w:pStyle w:val="2"/>
        <w:numPr>
          <w:ilvl w:val="0"/>
          <w:numId w:val="0"/>
        </w:numPr>
        <w:ind w:firstLine="640" w:firstLineChars="200"/>
        <w:jc w:val="center"/>
        <w:rPr>
          <w:rFonts w:hint="eastAsia" w:ascii="仿宋_GB2312" w:hAnsi="宋体" w:eastAsia="仿宋_GB2312" w:cs="Times New Roman"/>
          <w:szCs w:val="28"/>
        </w:rPr>
      </w:pPr>
    </w:p>
    <w:p>
      <w:pPr>
        <w:pStyle w:val="2"/>
        <w:numPr>
          <w:ilvl w:val="0"/>
          <w:numId w:val="0"/>
        </w:numPr>
        <w:ind w:firstLine="0" w:firstLineChars="0"/>
        <w:jc w:val="center"/>
        <w:rPr>
          <w:rFonts w:hint="eastAsia" w:ascii="仿宋_GB2312" w:hAnsi="宋体" w:eastAsia="仿宋_GB2312" w:cs="Times New Roman"/>
          <w:szCs w:val="28"/>
        </w:rPr>
      </w:pPr>
      <w:r>
        <w:rPr>
          <w:rFonts w:hint="eastAsia" w:ascii="仿宋_GB2312" w:hAnsi="宋体" w:eastAsia="仿宋_GB2312" w:cs="Times New Roman"/>
          <w:szCs w:val="28"/>
        </w:rPr>
        <w:t xml:space="preserve">表3 </w:t>
      </w:r>
      <w:r>
        <w:rPr>
          <w:rFonts w:hint="default" w:ascii="仿宋_GB2312" w:hAnsi="宋体" w:eastAsia="仿宋_GB2312" w:cs="Times New Roman"/>
          <w:szCs w:val="28"/>
        </w:rPr>
        <w:t xml:space="preserve"> </w:t>
      </w:r>
      <w:r>
        <w:rPr>
          <w:rFonts w:hint="eastAsia" w:ascii="仿宋_GB2312" w:hAnsi="宋体" w:eastAsia="仿宋_GB2312" w:cs="Times New Roman"/>
          <w:szCs w:val="28"/>
        </w:rPr>
        <w:t>初始分级结果</w:t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809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  <w:tcBorders>
              <w:top w:val="single" w:color="auto" w:sz="4" w:space="0"/>
              <w:bottom w:val="nil"/>
              <w:right w:val="nil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Ⅰ级</w:t>
            </w:r>
          </w:p>
        </w:tc>
        <w:tc>
          <w:tcPr>
            <w:tcW w:w="4354" w:type="pct"/>
            <w:tcBorders>
              <w:top w:val="single" w:color="auto" w:sz="4" w:space="0"/>
              <w:left w:val="nil"/>
              <w:bottom w:val="nil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、2</w:t>
            </w:r>
            <w:r>
              <w:rPr>
                <w:sz w:val="24"/>
              </w:rPr>
              <w:t>8</w:t>
            </w:r>
            <w:r>
              <w:rPr>
                <w:rFonts w:hint="eastAsia"/>
                <w:sz w:val="24"/>
              </w:rPr>
              <w:t>、3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、3</w:t>
            </w:r>
            <w:r>
              <w:rPr>
                <w:sz w:val="24"/>
              </w:rPr>
              <w:t>8</w:t>
            </w:r>
            <w:r>
              <w:rPr>
                <w:rFonts w:hint="eastAsia"/>
                <w:sz w:val="24"/>
              </w:rPr>
              <w:t>、4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、4</w:t>
            </w:r>
            <w:r>
              <w:rPr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  <w:tcBorders>
              <w:top w:val="nil"/>
              <w:bottom w:val="nil"/>
              <w:right w:val="nil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Ⅱ级</w:t>
            </w:r>
          </w:p>
        </w:tc>
        <w:tc>
          <w:tcPr>
            <w:tcW w:w="4354" w:type="pct"/>
            <w:tcBorders>
              <w:top w:val="nil"/>
              <w:left w:val="nil"/>
              <w:bottom w:val="nil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、3、4、5、6、7、8、9、1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、1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、1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、1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、1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、1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、1</w:t>
            </w:r>
            <w:r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、1</w:t>
            </w:r>
            <w:r>
              <w:rPr>
                <w:sz w:val="24"/>
              </w:rPr>
              <w:t>8</w:t>
            </w:r>
            <w:r>
              <w:rPr>
                <w:rFonts w:hint="eastAsia"/>
                <w:sz w:val="24"/>
              </w:rPr>
              <w:t>、1</w:t>
            </w:r>
            <w:r>
              <w:rPr>
                <w:sz w:val="24"/>
              </w:rPr>
              <w:t>9</w:t>
            </w:r>
            <w:r>
              <w:rPr>
                <w:rFonts w:hint="eastAsia"/>
                <w:sz w:val="24"/>
              </w:rPr>
              <w:t>、2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、2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、2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、2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、2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、2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、2</w:t>
            </w:r>
            <w:r>
              <w:rPr>
                <w:sz w:val="24"/>
              </w:rPr>
              <w:t>6</w:t>
            </w:r>
            <w:r>
              <w:rPr>
                <w:rFonts w:hint="eastAsia"/>
                <w:sz w:val="24"/>
              </w:rPr>
              <w:t>、2</w:t>
            </w:r>
            <w:r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、2</w:t>
            </w:r>
            <w:r>
              <w:rPr>
                <w:sz w:val="24"/>
              </w:rPr>
              <w:t>9</w:t>
            </w:r>
            <w:r>
              <w:rPr>
                <w:rFonts w:hint="eastAsia"/>
                <w:sz w:val="24"/>
              </w:rPr>
              <w:t>、3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、3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、3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、3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、3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、3</w:t>
            </w:r>
            <w:r>
              <w:rPr>
                <w:sz w:val="24"/>
              </w:rPr>
              <w:t>6</w:t>
            </w:r>
            <w:r>
              <w:rPr>
                <w:rFonts w:hint="eastAsia"/>
                <w:sz w:val="24"/>
              </w:rPr>
              <w:t>、3</w:t>
            </w:r>
            <w:r>
              <w:rPr>
                <w:sz w:val="24"/>
              </w:rPr>
              <w:t>9</w:t>
            </w:r>
            <w:r>
              <w:rPr>
                <w:rFonts w:hint="eastAsia"/>
                <w:sz w:val="24"/>
              </w:rPr>
              <w:t>、4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、4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、4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、4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、4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、4</w:t>
            </w:r>
            <w:r>
              <w:rPr>
                <w:sz w:val="24"/>
              </w:rPr>
              <w:t>6</w:t>
            </w:r>
            <w:r>
              <w:rPr>
                <w:rFonts w:hint="eastAsia"/>
                <w:sz w:val="24"/>
              </w:rPr>
              <w:t>、4</w:t>
            </w:r>
            <w:r>
              <w:rPr>
                <w:sz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pct"/>
            <w:tcBorders>
              <w:top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Ⅲ级</w:t>
            </w:r>
          </w:p>
        </w:tc>
        <w:tc>
          <w:tcPr>
            <w:tcW w:w="4354" w:type="pct"/>
            <w:tcBorders>
              <w:top w:val="nil"/>
              <w:left w:val="nil"/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rFonts w:hint="eastAsia"/>
                <w:sz w:val="24"/>
              </w:rPr>
              <w:t>、1</w:t>
            </w:r>
            <w:r>
              <w:rPr>
                <w:sz w:val="24"/>
              </w:rPr>
              <w:t>6</w:t>
            </w:r>
            <w:r>
              <w:rPr>
                <w:rFonts w:hint="eastAsia"/>
                <w:sz w:val="24"/>
              </w:rPr>
              <w:t>、3</w:t>
            </w:r>
            <w:r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、4</w:t>
            </w:r>
            <w:r>
              <w:rPr>
                <w:sz w:val="24"/>
              </w:rPr>
              <w:t>9</w:t>
            </w:r>
          </w:p>
        </w:tc>
      </w:tr>
    </w:tbl>
    <w:p>
      <w:pPr>
        <w:pStyle w:val="2"/>
        <w:numPr>
          <w:ilvl w:val="-1"/>
          <w:numId w:val="0"/>
        </w:numPr>
        <w:ind w:firstLine="0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numPr>
          <w:ilvl w:val="-1"/>
          <w:numId w:val="0"/>
        </w:numPr>
        <w:ind w:firstLine="0" w:firstLineChars="0"/>
        <w:jc w:val="left"/>
        <w:rPr>
          <w:rFonts w:hint="eastAsia" w:ascii="仿宋" w:hAnsi="仿宋" w:eastAsia="仿宋" w:cs="仿宋"/>
          <w:b/>
          <w:bCs/>
          <w:kern w:val="2"/>
          <w:sz w:val="32"/>
          <w:szCs w:val="28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</w:rPr>
        <w:t>修正分级</w:t>
      </w:r>
    </w:p>
    <w:p>
      <w:pPr>
        <w:pStyle w:val="2"/>
        <w:numPr>
          <w:ilvl w:val="-1"/>
          <w:numId w:val="0"/>
        </w:numPr>
        <w:ind w:firstLine="640" w:firstLineChars="200"/>
        <w:jc w:val="left"/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仿宋_GB2312" w:hAnsi="宋体" w:eastAsia="仿宋_GB2312" w:cs="Times New Roman"/>
          <w:kern w:val="2"/>
          <w:sz w:val="32"/>
          <w:szCs w:val="28"/>
          <w:lang w:val="en-US" w:eastAsia="zh-CN" w:bidi="ar-SA"/>
        </w:rPr>
        <w:t>依据</w:t>
      </w:r>
      <w:r>
        <w:rPr>
          <w:rFonts w:hint="eastAsia" w:ascii="仿宋_GB2312" w:hAnsi="宋体" w:eastAsia="仿宋_GB2312"/>
          <w:szCs w:val="28"/>
        </w:rPr>
        <w:t>逐步聚类分析</w:t>
      </w:r>
      <w:r>
        <w:rPr>
          <w:rFonts w:hint="eastAsia" w:ascii="仿宋_GB2312" w:hAnsi="宋体" w:eastAsia="仿宋_GB2312"/>
          <w:szCs w:val="28"/>
          <w:lang w:val="en-US" w:eastAsia="zh-CN"/>
        </w:rPr>
        <w:t>方法进行修正获得最终修正的分级结果</w:t>
      </w:r>
      <w:r>
        <w:rPr>
          <w:rFonts w:hint="default" w:ascii="Times New Roman" w:hAnsi="Times New Roman"/>
          <w:szCs w:val="21"/>
          <w:lang w:val="en-US" w:eastAsia="zh-CN"/>
        </w:rPr>
        <w:t>（</w:t>
      </w:r>
      <w:r>
        <w:rPr>
          <w:rFonts w:hint="default" w:ascii="仿宋_GB2312" w:hAnsi="宋体" w:eastAsia="仿宋_GB2312"/>
          <w:szCs w:val="28"/>
          <w:lang w:val="en-US" w:eastAsia="zh-CN"/>
        </w:rPr>
        <w:t>表</w:t>
      </w:r>
      <w:r>
        <w:rPr>
          <w:rFonts w:hint="default" w:ascii="Times New Roman" w:hAnsi="Times New Roman"/>
          <w:szCs w:val="21"/>
          <w:lang w:val="en-US" w:eastAsia="zh-CN"/>
        </w:rPr>
        <w:t>4</w:t>
      </w:r>
      <w:r>
        <w:rPr>
          <w:rFonts w:hint="eastAsia" w:ascii="Times New Roman" w:hAnsi="Times New Roman"/>
          <w:szCs w:val="21"/>
          <w:lang w:val="en-US" w:eastAsia="zh-CN"/>
        </w:rPr>
        <w:t>）。</w:t>
      </w:r>
    </w:p>
    <w:p>
      <w:pPr>
        <w:pStyle w:val="2"/>
        <w:numPr>
          <w:ilvl w:val="0"/>
          <w:numId w:val="0"/>
        </w:numPr>
        <w:ind w:firstLine="64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表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仿宋_GB2312" w:hAnsi="宋体" w:eastAsia="仿宋_GB2312" w:cs="Times New Roman"/>
          <w:szCs w:val="28"/>
        </w:rPr>
        <w:t>最终分级结果</w:t>
      </w:r>
    </w:p>
    <w:tbl>
      <w:tblPr>
        <w:tblStyle w:val="10"/>
        <w:tblW w:w="5000" w:type="pct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809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000" w:type="pct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4" w:type="pct"/>
            <w:tcBorders>
              <w:top w:val="single" w:color="auto" w:sz="4" w:space="0"/>
              <w:bottom w:val="nil"/>
              <w:right w:val="nil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Ⅰ级</w:t>
            </w:r>
          </w:p>
        </w:tc>
        <w:tc>
          <w:tcPr>
            <w:tcW w:w="4355" w:type="pct"/>
            <w:tcBorders>
              <w:top w:val="single" w:color="auto" w:sz="4" w:space="0"/>
              <w:left w:val="nil"/>
              <w:bottom w:val="nil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2、5、8、10、11、16、21、26、47、48、49、50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644" w:type="pct"/>
            <w:tcBorders>
              <w:top w:val="nil"/>
              <w:bottom w:val="nil"/>
              <w:right w:val="nil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Ⅱ级</w:t>
            </w:r>
          </w:p>
        </w:tc>
        <w:tc>
          <w:tcPr>
            <w:tcW w:w="4355" w:type="pct"/>
            <w:tcBorders>
              <w:top w:val="nil"/>
              <w:left w:val="nil"/>
              <w:bottom w:val="nil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1、3、4、7、9、、12、13、14、19、29、30、31、36、42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644" w:type="pct"/>
            <w:tcBorders>
              <w:top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Ⅲ级</w:t>
            </w:r>
          </w:p>
        </w:tc>
        <w:tc>
          <w:tcPr>
            <w:tcW w:w="4355" w:type="pct"/>
            <w:tcBorders>
              <w:top w:val="nil"/>
              <w:left w:val="nil"/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6、15、17、18、20、22、23、24、25、27、28、32、33、34、35、37、38、39、40、41、43、44、45、46</w:t>
            </w:r>
          </w:p>
        </w:tc>
      </w:tr>
    </w:tbl>
    <w:p>
      <w:pPr>
        <w:pStyle w:val="2"/>
        <w:numPr>
          <w:ilvl w:val="-1"/>
          <w:numId w:val="0"/>
        </w:numPr>
        <w:ind w:firstLine="0" w:firstLineChars="0"/>
        <w:jc w:val="left"/>
        <w:rPr>
          <w:rFonts w:hint="eastAsia"/>
          <w:szCs w:val="21"/>
          <w:lang w:val="en-US" w:eastAsia="zh-CN"/>
        </w:rPr>
      </w:pPr>
    </w:p>
    <w:p>
      <w:pPr>
        <w:pStyle w:val="2"/>
        <w:numPr>
          <w:ilvl w:val="-1"/>
          <w:numId w:val="0"/>
        </w:numPr>
        <w:ind w:firstLine="0" w:firstLineChars="0"/>
        <w:jc w:val="left"/>
        <w:rPr>
          <w:rFonts w:hint="eastAsia"/>
          <w:b/>
          <w:bCs/>
          <w:szCs w:val="21"/>
          <w:lang w:val="en-US" w:eastAsia="zh-CN"/>
        </w:rPr>
      </w:pPr>
      <w:r>
        <w:rPr>
          <w:rFonts w:hint="default" w:ascii="Times New Roman" w:hAnsi="Times New Roman"/>
          <w:b/>
          <w:bCs/>
          <w:szCs w:val="21"/>
          <w:lang w:val="en-US" w:eastAsia="zh-CN"/>
        </w:rPr>
        <w:t>6.</w:t>
      </w:r>
      <w:r>
        <w:rPr>
          <w:rFonts w:hint="eastAsia" w:ascii="仿宋" w:hAnsi="仿宋" w:eastAsia="仿宋" w:cs="仿宋"/>
          <w:b/>
          <w:bCs/>
          <w:szCs w:val="32"/>
          <w:lang w:val="en-US" w:eastAsia="zh-CN"/>
        </w:rPr>
        <w:t>确定临界值</w:t>
      </w:r>
    </w:p>
    <w:p>
      <w:pPr>
        <w:pStyle w:val="2"/>
        <w:numPr>
          <w:ilvl w:val="-1"/>
          <w:numId w:val="0"/>
        </w:numPr>
        <w:ind w:firstLine="640" w:firstLineChars="200"/>
        <w:jc w:val="left"/>
        <w:rPr>
          <w:rFonts w:hint="eastAsia" w:ascii="宋体" w:hAnsi="宋体"/>
          <w:lang w:val="en-US" w:eastAsia="zh-CN"/>
        </w:rPr>
      </w:pPr>
      <w:r>
        <w:rPr>
          <w:rFonts w:hint="default" w:ascii="仿宋_GB2312" w:hAnsi="宋体" w:eastAsia="仿宋_GB2312"/>
          <w:szCs w:val="28"/>
        </w:rPr>
        <w:t>通过</w:t>
      </w:r>
      <w:r>
        <w:rPr>
          <w:rFonts w:ascii="仿宋_GB2312" w:hAnsi="宋体" w:eastAsia="仿宋_GB2312"/>
          <w:szCs w:val="28"/>
        </w:rPr>
        <w:t>逐步聚类分析，</w:t>
      </w:r>
      <w:r>
        <w:rPr>
          <w:rFonts w:hint="default" w:ascii="仿宋_GB2312" w:hAnsi="宋体" w:eastAsia="仿宋_GB2312"/>
          <w:szCs w:val="28"/>
          <w:lang w:val="en-US" w:eastAsia="zh-CN"/>
        </w:rPr>
        <w:t>确定临界值（图</w:t>
      </w:r>
      <w:r>
        <w:rPr>
          <w:rFonts w:hint="default" w:ascii="Times New Roman" w:hAnsi="Times New Roman"/>
          <w:lang w:val="en-US" w:eastAsia="zh-CN"/>
        </w:rPr>
        <w:t>2</w:t>
      </w:r>
      <w:r>
        <w:rPr>
          <w:rFonts w:hint="eastAsia" w:ascii="宋体" w:hAnsi="宋体"/>
          <w:lang w:val="en-US" w:eastAsia="zh-CN"/>
        </w:rPr>
        <w:t>）。</w:t>
      </w:r>
    </w:p>
    <w:p>
      <w:pPr>
        <w:pStyle w:val="2"/>
        <w:numPr>
          <w:ilvl w:val="0"/>
          <w:numId w:val="0"/>
        </w:numPr>
        <w:ind w:firstLine="0" w:firstLineChars="0"/>
        <w:jc w:val="center"/>
        <w:rPr>
          <w:rFonts w:hint="eastAsia" w:cs="Times New Roman"/>
        </w:rPr>
      </w:pPr>
      <w:r>
        <w:rPr>
          <w:rFonts w:hint="eastAsia" w:cs="Times New Roman"/>
        </w:rPr>
        <w:drawing>
          <wp:inline distT="0" distB="0" distL="114300" distR="114300">
            <wp:extent cx="5001895" cy="3006090"/>
            <wp:effectExtent l="0" t="0" r="8255" b="3810"/>
            <wp:docPr id="7" name="图片 7" descr="直线方程-6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直线方程-600dpi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1895" cy="300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0"/>
        </w:numPr>
        <w:ind w:firstLine="640" w:firstLineChars="200"/>
        <w:jc w:val="center"/>
        <w:rPr>
          <w:rFonts w:cs="Times New Roman"/>
        </w:rPr>
      </w:pPr>
      <w:r>
        <w:rPr>
          <w:rFonts w:ascii="Times New Roman" w:hAnsi="Times New Roman" w:cs="Times New Roman"/>
        </w:rPr>
        <w:t xml:space="preserve">图2 </w:t>
      </w:r>
      <w:r>
        <w:rPr>
          <w:rFonts w:hint="default" w:cs="Times New Roman"/>
        </w:rPr>
        <w:t xml:space="preserve"> </w:t>
      </w:r>
      <w:r>
        <w:rPr>
          <w:rFonts w:hint="default" w:ascii="仿宋_GB2312" w:hAnsi="宋体" w:eastAsia="仿宋_GB2312" w:cs="Times New Roman"/>
          <w:szCs w:val="28"/>
        </w:rPr>
        <w:t>黑老虎</w:t>
      </w:r>
      <w:r>
        <w:rPr>
          <w:rFonts w:ascii="仿宋_GB2312" w:hAnsi="宋体" w:eastAsia="仿宋_GB2312" w:cs="Times New Roman"/>
          <w:szCs w:val="28"/>
        </w:rPr>
        <w:t>的临界值确定</w:t>
      </w:r>
    </w:p>
    <w:p>
      <w:pPr>
        <w:pStyle w:val="2"/>
        <w:numPr>
          <w:ilvl w:val="-1"/>
          <w:numId w:val="0"/>
        </w:numPr>
        <w:ind w:firstLine="0" w:firstLineChars="0"/>
        <w:jc w:val="left"/>
        <w:rPr>
          <w:rFonts w:hint="eastAsia"/>
          <w:b/>
          <w:bCs/>
          <w:szCs w:val="21"/>
          <w:lang w:val="en-US" w:eastAsia="zh-CN"/>
        </w:rPr>
      </w:pPr>
      <w:r>
        <w:rPr>
          <w:rFonts w:hint="default" w:ascii="Times New Roman" w:hAnsi="Times New Roman"/>
          <w:b/>
          <w:bCs/>
          <w:szCs w:val="21"/>
          <w:lang w:val="en-US" w:eastAsia="zh-CN"/>
        </w:rPr>
        <w:t>7.</w:t>
      </w:r>
      <w:r>
        <w:rPr>
          <w:rFonts w:hint="eastAsia" w:ascii="仿宋" w:hAnsi="仿宋" w:eastAsia="仿宋" w:cs="仿宋"/>
          <w:b/>
          <w:bCs/>
          <w:szCs w:val="32"/>
          <w:lang w:val="en-US" w:eastAsia="zh-CN"/>
        </w:rPr>
        <w:t>确定种苗分级要求</w:t>
      </w:r>
    </w:p>
    <w:p>
      <w:pPr>
        <w:pStyle w:val="2"/>
        <w:numPr>
          <w:ilvl w:val="0"/>
          <w:numId w:val="0"/>
        </w:numPr>
        <w:ind w:firstLine="640"/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仿宋_GB2312" w:hAnsi="宋体" w:eastAsia="仿宋_GB2312" w:cs="Times New Roman"/>
          <w:szCs w:val="28"/>
          <w:lang w:val="en-US" w:eastAsia="zh-CN"/>
        </w:rPr>
        <w:t>根据临界值确定种苗质量要求（表</w:t>
      </w:r>
      <w:r>
        <w:rPr>
          <w:rFonts w:hint="default" w:ascii="Times New Roman" w:hAnsi="Times New Roman" w:cs="Times New Roman"/>
          <w:lang w:val="en-US" w:eastAsia="zh-CN"/>
        </w:rPr>
        <w:t>5）。</w:t>
      </w:r>
    </w:p>
    <w:p>
      <w:pPr>
        <w:pStyle w:val="2"/>
        <w:numPr>
          <w:ilvl w:val="0"/>
          <w:numId w:val="0"/>
        </w:numPr>
        <w:ind w:firstLine="640"/>
        <w:jc w:val="center"/>
        <w:rPr>
          <w:rFonts w:hint="default" w:ascii="仿宋_GB2312" w:hAnsi="宋体" w:eastAsia="仿宋_GB2312" w:cs="Times New Roman"/>
          <w:szCs w:val="28"/>
          <w:lang w:val="en-US" w:eastAsia="zh-CN"/>
        </w:rPr>
      </w:pPr>
      <w:r>
        <w:rPr>
          <w:rFonts w:hint="default" w:ascii="仿宋_GB2312" w:hAnsi="宋体" w:eastAsia="仿宋_GB2312" w:cs="Times New Roman"/>
          <w:szCs w:val="28"/>
          <w:lang w:val="en-US" w:eastAsia="zh-CN"/>
        </w:rPr>
        <w:t>表</w:t>
      </w:r>
      <w:r>
        <w:rPr>
          <w:rFonts w:hint="default" w:ascii="Times New Roman" w:hAnsi="Times New Roman" w:eastAsia="仿宋_GB2312" w:cs="Times New Roman"/>
          <w:szCs w:val="28"/>
          <w:lang w:val="en-US" w:eastAsia="zh-CN"/>
        </w:rPr>
        <w:t xml:space="preserve">5 </w:t>
      </w:r>
      <w:r>
        <w:rPr>
          <w:rFonts w:hint="default" w:ascii="仿宋_GB2312" w:hAnsi="宋体" w:eastAsia="仿宋_GB2312" w:cs="Times New Roman"/>
          <w:szCs w:val="28"/>
          <w:lang w:val="en-US" w:eastAsia="zh-CN"/>
        </w:rPr>
        <w:t>黑老虎种苗质量要求</w:t>
      </w:r>
    </w:p>
    <w:tbl>
      <w:tblPr>
        <w:tblStyle w:val="11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0"/>
        <w:gridCol w:w="2320"/>
        <w:gridCol w:w="2322"/>
        <w:gridCol w:w="2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249" w:type="pct"/>
            <w:vMerge w:val="restart"/>
            <w:vAlign w:val="center"/>
          </w:tcPr>
          <w:p>
            <w:pPr>
              <w:pStyle w:val="24"/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指标</w:t>
            </w:r>
          </w:p>
        </w:tc>
        <w:tc>
          <w:tcPr>
            <w:tcW w:w="3750" w:type="pct"/>
            <w:gridSpan w:val="3"/>
            <w:vAlign w:val="center"/>
          </w:tcPr>
          <w:p>
            <w:pPr>
              <w:pStyle w:val="24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249" w:type="pct"/>
            <w:vMerge w:val="continue"/>
            <w:vAlign w:val="center"/>
          </w:tcPr>
          <w:p>
            <w:pPr>
              <w:pStyle w:val="24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9" w:type="pct"/>
            <w:vAlign w:val="center"/>
          </w:tcPr>
          <w:p>
            <w:pPr>
              <w:pStyle w:val="24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Ⅰ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1250" w:type="pct"/>
            <w:vAlign w:val="center"/>
          </w:tcPr>
          <w:p>
            <w:pPr>
              <w:pStyle w:val="24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Ⅱ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  <w:tc>
          <w:tcPr>
            <w:tcW w:w="1250" w:type="pct"/>
            <w:vAlign w:val="center"/>
          </w:tcPr>
          <w:p>
            <w:pPr>
              <w:pStyle w:val="24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Ⅲ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249" w:type="pct"/>
            <w:vAlign w:val="center"/>
          </w:tcPr>
          <w:p>
            <w:pPr>
              <w:pStyle w:val="24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地径(mm)</w:t>
            </w:r>
          </w:p>
        </w:tc>
        <w:tc>
          <w:tcPr>
            <w:tcW w:w="1249" w:type="pct"/>
            <w:vAlign w:val="center"/>
          </w:tcPr>
          <w:p>
            <w:pPr>
              <w:pStyle w:val="24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地径≥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5.67</w:t>
            </w:r>
          </w:p>
        </w:tc>
        <w:tc>
          <w:tcPr>
            <w:tcW w:w="1250" w:type="pct"/>
            <w:vAlign w:val="center"/>
          </w:tcPr>
          <w:p>
            <w:pPr>
              <w:pStyle w:val="24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≤地径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&lt;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5.67</w:t>
            </w:r>
          </w:p>
        </w:tc>
        <w:tc>
          <w:tcPr>
            <w:tcW w:w="1250" w:type="pct"/>
            <w:vAlign w:val="center"/>
          </w:tcPr>
          <w:p>
            <w:pPr>
              <w:pStyle w:val="24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地径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249" w:type="pct"/>
            <w:vAlign w:val="center"/>
          </w:tcPr>
          <w:p>
            <w:pPr>
              <w:pStyle w:val="24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根长(cm)</w:t>
            </w:r>
          </w:p>
        </w:tc>
        <w:tc>
          <w:tcPr>
            <w:tcW w:w="1249" w:type="pct"/>
            <w:vAlign w:val="center"/>
          </w:tcPr>
          <w:p>
            <w:pPr>
              <w:pStyle w:val="24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根长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≥16.5</w:t>
            </w:r>
          </w:p>
        </w:tc>
        <w:tc>
          <w:tcPr>
            <w:tcW w:w="1250" w:type="pct"/>
            <w:vAlign w:val="center"/>
          </w:tcPr>
          <w:p>
            <w:pPr>
              <w:pStyle w:val="24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≤根长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</w:tc>
        <w:tc>
          <w:tcPr>
            <w:tcW w:w="1250" w:type="pct"/>
            <w:vAlign w:val="center"/>
          </w:tcPr>
          <w:p>
            <w:pPr>
              <w:pStyle w:val="24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根长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</w:tc>
      </w:tr>
    </w:tbl>
    <w:p>
      <w:pPr>
        <w:numPr>
          <w:ilvl w:val="-1"/>
          <w:numId w:val="0"/>
        </w:num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sz w:val="32"/>
          <w:szCs w:val="28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firstLine="643" w:firstLineChars="200"/>
        <w:rPr>
          <w:rFonts w:hint="eastAsia" w:ascii="仿宋_GB2312" w:hAnsi="宋体" w:eastAsia="仿宋_GB2312"/>
          <w:b/>
          <w:bCs/>
          <w:sz w:val="32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28"/>
          <w:lang w:val="en-US" w:eastAsia="zh-CN"/>
        </w:rPr>
        <w:t>（三）种苗出圃</w:t>
      </w:r>
    </w:p>
    <w:p>
      <w:pPr>
        <w:pStyle w:val="2"/>
        <w:numPr>
          <w:ilvl w:val="0"/>
          <w:numId w:val="0"/>
        </w:numPr>
        <w:ind w:firstLine="640"/>
        <w:jc w:val="left"/>
        <w:rPr>
          <w:rFonts w:hint="default" w:ascii="仿宋_GB2312" w:hAnsi="宋体" w:eastAsia="仿宋_GB2312"/>
          <w:szCs w:val="28"/>
          <w:lang w:val="en-US" w:eastAsia="zh-CN"/>
        </w:rPr>
      </w:pPr>
      <w:r>
        <w:rPr>
          <w:rFonts w:hint="default" w:ascii="仿宋_GB2312" w:hAnsi="宋体" w:eastAsia="仿宋_GB2312"/>
          <w:szCs w:val="28"/>
          <w:lang w:val="en-US" w:eastAsia="zh-CN"/>
        </w:rPr>
        <w:t>对种苗地径和根长进行测量。若地径为Ⅰ级，根长为Ⅱ级，将该种苗判为Ⅰ级种苗。若地径为Ⅱ级，根长为Ⅰ级，将该种苗判为Ⅱ级种苗。地径和根长有一项为Ⅲ级则为Ⅲ级苗，Ⅲ级苗为不合格苗。</w:t>
      </w:r>
    </w:p>
    <w:p>
      <w:pPr>
        <w:pStyle w:val="2"/>
        <w:numPr>
          <w:ilvl w:val="-1"/>
          <w:numId w:val="0"/>
        </w:numPr>
        <w:ind w:firstLine="0" w:firstLineChars="0"/>
        <w:jc w:val="left"/>
        <w:rPr>
          <w:rFonts w:hint="eastAsia" w:ascii="仿宋_GB2312" w:hAnsi="宋体" w:eastAsia="仿宋_GB2312" w:cs="Times New Roman"/>
          <w:kern w:val="2"/>
          <w:sz w:val="32"/>
          <w:szCs w:val="28"/>
          <w:lang w:val="en-US" w:eastAsia="zh-CN" w:bidi="ar-SA"/>
        </w:rPr>
      </w:pPr>
    </w:p>
    <w:p>
      <w:pPr>
        <w:pStyle w:val="2"/>
        <w:numPr>
          <w:ilvl w:val="-1"/>
          <w:numId w:val="0"/>
        </w:numPr>
        <w:ind w:firstLine="0" w:firstLineChars="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六、国内外同类标准制修订情况及与法律法规、强制性标准关系</w:t>
      </w:r>
    </w:p>
    <w:p>
      <w:pPr>
        <w:spacing w:line="560" w:lineRule="exact"/>
        <w:ind w:firstLine="640" w:firstLineChars="200"/>
        <w:rPr>
          <w:rFonts w:hint="default" w:ascii="仿宋_GB2312" w:hAnsi="宋体" w:eastAsia="仿宋_GB2312"/>
          <w:sz w:val="32"/>
          <w:szCs w:val="28"/>
          <w:lang w:val="en-US" w:eastAsia="zh-CN"/>
        </w:rPr>
      </w:pPr>
      <w:r>
        <w:rPr>
          <w:rFonts w:hint="eastAsia" w:ascii="仿宋_GB2312" w:hAnsi="宋体" w:eastAsia="仿宋_GB2312"/>
          <w:sz w:val="32"/>
          <w:szCs w:val="28"/>
          <w:lang w:val="zh-CN"/>
        </w:rPr>
        <w:t>经查阅，国内与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黑老虎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相关的国家、行业以及地方标准有：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DB45/T 1738-2018《黑老虎生产技术规程》，以上标准主要针对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黑老虎的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繁育和</w:t>
      </w:r>
      <w:r>
        <w:rPr>
          <w:rFonts w:hint="eastAsia" w:ascii="仿宋_GB2312" w:hAnsi="宋体" w:eastAsia="仿宋_GB2312"/>
          <w:sz w:val="32"/>
          <w:szCs w:val="28"/>
          <w:lang w:val="zh-CN"/>
        </w:rPr>
        <w:t>种植进行了规范，未涉及种苗质量控制方面，故以上标准无法有效指导黑老虎种苗质量控制的工作。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黑老虎种苗质量相关方面的标准还未见制定。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sz w:val="32"/>
          <w:szCs w:val="28"/>
          <w:lang w:val="zh-CN"/>
        </w:rPr>
        <w:t>本标准的内容与现行的法律、法规及强制性标准无冲突，标</w:t>
      </w:r>
      <w:r>
        <w:rPr>
          <w:rFonts w:hint="eastAsia" w:ascii="仿宋_GB2312" w:hAnsi="宋体" w:eastAsia="仿宋_GB2312"/>
          <w:sz w:val="32"/>
          <w:szCs w:val="28"/>
          <w:highlight w:val="none"/>
          <w:lang w:val="zh-CN"/>
        </w:rPr>
        <w:t>准的编写符合</w:t>
      </w:r>
      <w:r>
        <w:rPr>
          <w:rFonts w:hint="default" w:ascii="Times New Roman" w:hAnsi="Times New Roman" w:eastAsia="仿宋_GB2312"/>
          <w:sz w:val="32"/>
          <w:szCs w:val="28"/>
          <w:highlight w:val="none"/>
          <w:lang w:val="zh-CN"/>
        </w:rPr>
        <w:t>GB/T 1.1-2020</w:t>
      </w:r>
      <w:r>
        <w:rPr>
          <w:rFonts w:hint="eastAsia" w:ascii="仿宋_GB2312" w:hAnsi="宋体" w:eastAsia="仿宋_GB2312"/>
          <w:sz w:val="32"/>
          <w:szCs w:val="28"/>
          <w:highlight w:val="none"/>
          <w:lang w:val="zh-CN"/>
        </w:rPr>
        <w:t>的要求。</w:t>
      </w:r>
    </w:p>
    <w:p>
      <w:pPr>
        <w:adjustRightInd w:val="0"/>
        <w:snapToGrid w:val="0"/>
        <w:spacing w:before="156" w:beforeLines="50" w:after="156" w:afterLines="50" w:line="56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七、重大分歧意见发处理经过和依据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28"/>
          <w:lang w:val="zh-CN"/>
        </w:rPr>
      </w:pPr>
      <w:r>
        <w:rPr>
          <w:rFonts w:hint="eastAsia" w:ascii="仿宋_GB2312" w:hAnsi="宋体" w:eastAsia="仿宋_GB2312"/>
          <w:sz w:val="32"/>
          <w:szCs w:val="28"/>
          <w:lang w:val="zh-CN"/>
        </w:rPr>
        <w:t>本标准研制过程中无重大分歧意见。</w:t>
      </w:r>
    </w:p>
    <w:p>
      <w:pPr>
        <w:adjustRightInd w:val="0"/>
        <w:snapToGrid w:val="0"/>
        <w:spacing w:before="156" w:beforeLines="50" w:after="156" w:afterLines="50" w:line="56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八、自我承诺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28"/>
          <w:lang w:val="zh-CN"/>
        </w:rPr>
      </w:pPr>
      <w:r>
        <w:rPr>
          <w:rFonts w:hint="eastAsia" w:ascii="仿宋_GB2312" w:hAnsi="宋体" w:eastAsia="仿宋_GB2312"/>
          <w:sz w:val="32"/>
          <w:szCs w:val="28"/>
          <w:lang w:val="zh-CN"/>
        </w:rPr>
        <w:t>本标准内容与各项指标不低于国家强制性标准、推荐性国家标准和行业标准。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28"/>
          <w:lang w:val="zh-CN"/>
        </w:rPr>
      </w:pPr>
      <w:r>
        <w:rPr>
          <w:rFonts w:hint="eastAsia" w:ascii="仿宋_GB2312" w:hAnsi="宋体" w:eastAsia="仿宋_GB2312"/>
          <w:sz w:val="32"/>
          <w:szCs w:val="28"/>
          <w:lang w:val="zh-CN"/>
        </w:rPr>
        <w:t xml:space="preserve">           </w:t>
      </w:r>
      <w:r>
        <w:rPr>
          <w:rFonts w:hint="eastAsia" w:ascii="仿宋_GB2312" w:hAnsi="宋体" w:eastAsia="仿宋_GB2312"/>
          <w:sz w:val="32"/>
          <w:szCs w:val="28"/>
        </w:rPr>
        <w:t xml:space="preserve">  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32"/>
          <w:szCs w:val="28"/>
        </w:rPr>
        <w:t xml:space="preserve">  团体标准《黑老虎种苗质量要求》</w:t>
      </w:r>
    </w:p>
    <w:p>
      <w:pPr>
        <w:spacing w:line="560" w:lineRule="exact"/>
        <w:ind w:firstLine="5920" w:firstLineChars="1850"/>
        <w:rPr>
          <w:rFonts w:ascii="仿宋_GB2312" w:hAnsi="宋体" w:eastAsia="仿宋_GB2312"/>
          <w:sz w:val="32"/>
          <w:szCs w:val="28"/>
          <w:lang w:val="zh-CN"/>
        </w:rPr>
      </w:pPr>
      <w:r>
        <w:rPr>
          <w:rFonts w:hint="eastAsia" w:ascii="仿宋_GB2312" w:hAnsi="宋体" w:eastAsia="仿宋_GB2312"/>
          <w:sz w:val="32"/>
          <w:szCs w:val="28"/>
          <w:lang w:val="zh-CN"/>
        </w:rPr>
        <w:t>标准编制小组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28"/>
          <w:lang w:val="zh-CN"/>
        </w:rPr>
      </w:pPr>
      <w:r>
        <w:rPr>
          <w:rFonts w:hint="eastAsia" w:ascii="仿宋_GB2312" w:hAnsi="宋体" w:eastAsia="仿宋_GB2312"/>
          <w:sz w:val="32"/>
          <w:szCs w:val="28"/>
          <w:lang w:val="zh-CN"/>
        </w:rPr>
        <w:t xml:space="preserve">           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sz w:val="32"/>
          <w:szCs w:val="28"/>
          <w:lang w:val="zh-CN"/>
        </w:rPr>
        <w:t xml:space="preserve">           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28"/>
          <w:lang w:val="zh-CN"/>
        </w:rPr>
        <w:t xml:space="preserve">   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20</w:t>
      </w:r>
      <w:r>
        <w:rPr>
          <w:rFonts w:hint="default" w:ascii="Times New Roman" w:hAnsi="Times New Roman" w:eastAsia="仿宋_GB2312"/>
          <w:sz w:val="32"/>
          <w:szCs w:val="28"/>
          <w:lang w:val="en-US" w:eastAsia="zh-CN"/>
        </w:rPr>
        <w:t>23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年</w:t>
      </w:r>
      <w:r>
        <w:rPr>
          <w:rFonts w:hint="default" w:ascii="Times New Roman" w:hAnsi="Times New Roman" w:eastAsia="仿宋_GB2312"/>
          <w:sz w:val="32"/>
          <w:szCs w:val="28"/>
          <w:lang w:val="en-US" w:eastAsia="zh-CN"/>
        </w:rPr>
        <w:t>6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28"/>
          <w:lang w:val="en-US" w:eastAsia="zh-CN"/>
        </w:rPr>
        <w:t>1</w:t>
      </w:r>
      <w:r>
        <w:rPr>
          <w:rFonts w:hint="eastAsia" w:eastAsia="仿宋_GB2312" w:cs="Times New Roman"/>
          <w:sz w:val="32"/>
          <w:szCs w:val="28"/>
          <w:lang w:val="en-US" w:eastAsia="zh-CN"/>
        </w:rPr>
        <w:t>3</w:t>
      </w:r>
      <w:r>
        <w:rPr>
          <w:rFonts w:hint="default" w:ascii="Times New Roman" w:hAnsi="Times New Roman" w:eastAsia="仿宋_GB2312"/>
          <w:sz w:val="32"/>
          <w:szCs w:val="28"/>
          <w:lang w:val="zh-CN"/>
        </w:rPr>
        <w:t>日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28"/>
          <w:lang w:val="zh-CN"/>
        </w:rPr>
      </w:pP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28"/>
          <w:lang w:val="zh-CN"/>
        </w:rPr>
      </w:pP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28"/>
          <w:lang w:val="zh-CN"/>
        </w:rPr>
      </w:pPr>
    </w:p>
    <w:p/>
    <w:sectPr>
      <w:footerReference r:id="rId3" w:type="default"/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AD8F875-1113-4701-838E-EAA609CDAD0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15CD278-190F-4B96-808C-E74246EDBF4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8E054B9-7DBE-44A0-82BA-16A4B61939F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A938077-AC94-4BC1-A25C-1EAFB4C4F2DE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76507"/>
    </w:sdtPr>
    <w:sdtContent>
      <w:p>
        <w:pPr>
          <w:pStyle w:val="7"/>
          <w:jc w:val="center"/>
        </w:pPr>
        <w:r>
          <w:rPr>
            <w:rFonts w:ascii="宋体" w:hAnsi="宋体"/>
            <w:sz w:val="32"/>
            <w:szCs w:val="32"/>
          </w:rPr>
          <w:fldChar w:fldCharType="begin"/>
        </w:r>
        <w:r>
          <w:rPr>
            <w:rFonts w:ascii="宋体" w:hAnsi="宋体"/>
            <w:sz w:val="32"/>
            <w:szCs w:val="32"/>
          </w:rPr>
          <w:instrText xml:space="preserve"> PAGE   \* MERGEFORMAT </w:instrText>
        </w:r>
        <w:r>
          <w:rPr>
            <w:rFonts w:ascii="宋体" w:hAnsi="宋体"/>
            <w:sz w:val="32"/>
            <w:szCs w:val="32"/>
          </w:rPr>
          <w:fldChar w:fldCharType="separate"/>
        </w:r>
        <w:r>
          <w:rPr>
            <w:rFonts w:ascii="宋体" w:hAnsi="宋体"/>
            <w:sz w:val="32"/>
            <w:szCs w:val="32"/>
            <w:lang w:val="zh-CN"/>
          </w:rPr>
          <w:t>8</w:t>
        </w:r>
        <w:r>
          <w:rPr>
            <w:rFonts w:ascii="宋体" w:hAnsi="宋体"/>
            <w:sz w:val="32"/>
            <w:szCs w:val="32"/>
          </w:rPr>
          <w:fldChar w:fldCharType="end"/>
        </w:r>
      </w:p>
    </w:sdtContent>
  </w:sdt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EC27CF"/>
    <w:multiLevelType w:val="singleLevel"/>
    <w:tmpl w:val="F7EC27CF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561F017"/>
    <w:multiLevelType w:val="singleLevel"/>
    <w:tmpl w:val="4561F01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57C2AF5"/>
    <w:multiLevelType w:val="multilevel"/>
    <w:tmpl w:val="557C2AF5"/>
    <w:lvl w:ilvl="0" w:tentative="0">
      <w:start w:val="1"/>
      <w:numFmt w:val="decimal"/>
      <w:pStyle w:val="39"/>
      <w:suff w:val="nothing"/>
      <w:lvlText w:val="图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">
    <w:nsid w:val="6CEA2025"/>
    <w:multiLevelType w:val="multilevel"/>
    <w:tmpl w:val="6CEA2025"/>
    <w:lvl w:ilvl="0" w:tentative="0">
      <w:start w:val="1"/>
      <w:numFmt w:val="none"/>
      <w:pStyle w:val="36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4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35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30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31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32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pStyle w:val="33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4">
    <w:nsid w:val="74664EEB"/>
    <w:multiLevelType w:val="multilevel"/>
    <w:tmpl w:val="74664EEB"/>
    <w:lvl w:ilvl="0" w:tentative="0">
      <w:start w:val="1"/>
      <w:numFmt w:val="japaneseCounting"/>
      <w:pStyle w:val="38"/>
      <w:lvlText w:val="%1、"/>
      <w:lvlJc w:val="left"/>
      <w:pPr>
        <w:ind w:left="504" w:hanging="504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wMzBhNDA5MWZkNjNjNjFjNmFkMDk0MGQ5YjMxZTYifQ=="/>
  </w:docVars>
  <w:rsids>
    <w:rsidRoot w:val="52F40A7A"/>
    <w:rsid w:val="00007A3B"/>
    <w:rsid w:val="000127A0"/>
    <w:rsid w:val="0002480B"/>
    <w:rsid w:val="00030867"/>
    <w:rsid w:val="00040FEA"/>
    <w:rsid w:val="000512D3"/>
    <w:rsid w:val="00056E03"/>
    <w:rsid w:val="000606F1"/>
    <w:rsid w:val="00073EA5"/>
    <w:rsid w:val="000909BA"/>
    <w:rsid w:val="000A3954"/>
    <w:rsid w:val="000B06F0"/>
    <w:rsid w:val="000B6C8F"/>
    <w:rsid w:val="000C482C"/>
    <w:rsid w:val="000C73B6"/>
    <w:rsid w:val="000D4AA2"/>
    <w:rsid w:val="000E1F56"/>
    <w:rsid w:val="000E2FE5"/>
    <w:rsid w:val="000F45A7"/>
    <w:rsid w:val="000F666F"/>
    <w:rsid w:val="001117EC"/>
    <w:rsid w:val="00112BAA"/>
    <w:rsid w:val="0011309C"/>
    <w:rsid w:val="0011516E"/>
    <w:rsid w:val="00121D65"/>
    <w:rsid w:val="001379D8"/>
    <w:rsid w:val="001441AB"/>
    <w:rsid w:val="00153708"/>
    <w:rsid w:val="00160605"/>
    <w:rsid w:val="001716C7"/>
    <w:rsid w:val="00176FB5"/>
    <w:rsid w:val="00192652"/>
    <w:rsid w:val="001A1856"/>
    <w:rsid w:val="001B3206"/>
    <w:rsid w:val="001D20FE"/>
    <w:rsid w:val="001D38CC"/>
    <w:rsid w:val="001D4F76"/>
    <w:rsid w:val="001D50B8"/>
    <w:rsid w:val="001E0C5E"/>
    <w:rsid w:val="001E22DF"/>
    <w:rsid w:val="0020586B"/>
    <w:rsid w:val="00210294"/>
    <w:rsid w:val="00216C5F"/>
    <w:rsid w:val="002172C1"/>
    <w:rsid w:val="00224154"/>
    <w:rsid w:val="00225788"/>
    <w:rsid w:val="002270D9"/>
    <w:rsid w:val="002276C5"/>
    <w:rsid w:val="00230508"/>
    <w:rsid w:val="00231022"/>
    <w:rsid w:val="0024591E"/>
    <w:rsid w:val="00266580"/>
    <w:rsid w:val="00267E6F"/>
    <w:rsid w:val="00290EFC"/>
    <w:rsid w:val="0029495C"/>
    <w:rsid w:val="002978BA"/>
    <w:rsid w:val="002A1A2A"/>
    <w:rsid w:val="002A2DB1"/>
    <w:rsid w:val="002B3CAE"/>
    <w:rsid w:val="002B5A2F"/>
    <w:rsid w:val="002E08EB"/>
    <w:rsid w:val="002F599F"/>
    <w:rsid w:val="003114F8"/>
    <w:rsid w:val="0031752A"/>
    <w:rsid w:val="00330246"/>
    <w:rsid w:val="00334509"/>
    <w:rsid w:val="00341B58"/>
    <w:rsid w:val="00344DCA"/>
    <w:rsid w:val="00361BA1"/>
    <w:rsid w:val="00362592"/>
    <w:rsid w:val="00364D16"/>
    <w:rsid w:val="00365463"/>
    <w:rsid w:val="00371F2F"/>
    <w:rsid w:val="003815FF"/>
    <w:rsid w:val="0039281A"/>
    <w:rsid w:val="003953F8"/>
    <w:rsid w:val="003C05E2"/>
    <w:rsid w:val="003C1FC4"/>
    <w:rsid w:val="003C75FC"/>
    <w:rsid w:val="003D4CDC"/>
    <w:rsid w:val="003E3A46"/>
    <w:rsid w:val="003F1249"/>
    <w:rsid w:val="003F73B1"/>
    <w:rsid w:val="003F7F45"/>
    <w:rsid w:val="00401A7C"/>
    <w:rsid w:val="00402559"/>
    <w:rsid w:val="00417164"/>
    <w:rsid w:val="00417CCE"/>
    <w:rsid w:val="00433889"/>
    <w:rsid w:val="00466A67"/>
    <w:rsid w:val="004711AC"/>
    <w:rsid w:val="0047343A"/>
    <w:rsid w:val="00482E23"/>
    <w:rsid w:val="0048798C"/>
    <w:rsid w:val="00491820"/>
    <w:rsid w:val="00494AA2"/>
    <w:rsid w:val="004B216E"/>
    <w:rsid w:val="004C7DEA"/>
    <w:rsid w:val="004D0942"/>
    <w:rsid w:val="004D1112"/>
    <w:rsid w:val="004E7747"/>
    <w:rsid w:val="004F3BF8"/>
    <w:rsid w:val="004F634C"/>
    <w:rsid w:val="004F7B0A"/>
    <w:rsid w:val="00505174"/>
    <w:rsid w:val="00505BCF"/>
    <w:rsid w:val="005257E0"/>
    <w:rsid w:val="005261CB"/>
    <w:rsid w:val="0052730C"/>
    <w:rsid w:val="005353A9"/>
    <w:rsid w:val="00537D26"/>
    <w:rsid w:val="00551537"/>
    <w:rsid w:val="0055275D"/>
    <w:rsid w:val="00564A6A"/>
    <w:rsid w:val="00565219"/>
    <w:rsid w:val="00571B53"/>
    <w:rsid w:val="005968B3"/>
    <w:rsid w:val="00597CAF"/>
    <w:rsid w:val="005B1C23"/>
    <w:rsid w:val="005B6BA9"/>
    <w:rsid w:val="005E4DC7"/>
    <w:rsid w:val="00611246"/>
    <w:rsid w:val="006113F0"/>
    <w:rsid w:val="00613ED1"/>
    <w:rsid w:val="00622FEA"/>
    <w:rsid w:val="00626D7F"/>
    <w:rsid w:val="00634B08"/>
    <w:rsid w:val="00660FE0"/>
    <w:rsid w:val="006722D3"/>
    <w:rsid w:val="006858AC"/>
    <w:rsid w:val="006A5B11"/>
    <w:rsid w:val="006B145A"/>
    <w:rsid w:val="006B57C1"/>
    <w:rsid w:val="006B7A71"/>
    <w:rsid w:val="006D70EC"/>
    <w:rsid w:val="006D73AF"/>
    <w:rsid w:val="006E7197"/>
    <w:rsid w:val="006F1440"/>
    <w:rsid w:val="007041D0"/>
    <w:rsid w:val="0070740B"/>
    <w:rsid w:val="00707437"/>
    <w:rsid w:val="007113C1"/>
    <w:rsid w:val="00721EE2"/>
    <w:rsid w:val="007230B0"/>
    <w:rsid w:val="00726122"/>
    <w:rsid w:val="00744D6B"/>
    <w:rsid w:val="0079776F"/>
    <w:rsid w:val="007A09BC"/>
    <w:rsid w:val="007A5579"/>
    <w:rsid w:val="007A5904"/>
    <w:rsid w:val="007B1113"/>
    <w:rsid w:val="007B4CFC"/>
    <w:rsid w:val="007C4162"/>
    <w:rsid w:val="007D0B61"/>
    <w:rsid w:val="007E2316"/>
    <w:rsid w:val="007F37EE"/>
    <w:rsid w:val="007F4985"/>
    <w:rsid w:val="007F78F7"/>
    <w:rsid w:val="00800EA9"/>
    <w:rsid w:val="00803B2B"/>
    <w:rsid w:val="00803D33"/>
    <w:rsid w:val="00812919"/>
    <w:rsid w:val="00834F53"/>
    <w:rsid w:val="0085556B"/>
    <w:rsid w:val="008555FA"/>
    <w:rsid w:val="008631D9"/>
    <w:rsid w:val="0087070F"/>
    <w:rsid w:val="00873C6E"/>
    <w:rsid w:val="008804C7"/>
    <w:rsid w:val="00893ACB"/>
    <w:rsid w:val="00893E38"/>
    <w:rsid w:val="008A532F"/>
    <w:rsid w:val="008D2872"/>
    <w:rsid w:val="008E0B5B"/>
    <w:rsid w:val="008E20B6"/>
    <w:rsid w:val="008F23EE"/>
    <w:rsid w:val="00906298"/>
    <w:rsid w:val="00906AA1"/>
    <w:rsid w:val="00927EBA"/>
    <w:rsid w:val="00930624"/>
    <w:rsid w:val="009332A7"/>
    <w:rsid w:val="00936EAF"/>
    <w:rsid w:val="00940E4F"/>
    <w:rsid w:val="009415E6"/>
    <w:rsid w:val="00943221"/>
    <w:rsid w:val="00954336"/>
    <w:rsid w:val="00954CE0"/>
    <w:rsid w:val="00961883"/>
    <w:rsid w:val="00962E80"/>
    <w:rsid w:val="009630F8"/>
    <w:rsid w:val="00964CC9"/>
    <w:rsid w:val="00966B17"/>
    <w:rsid w:val="0098137C"/>
    <w:rsid w:val="00982776"/>
    <w:rsid w:val="00982B8F"/>
    <w:rsid w:val="00987678"/>
    <w:rsid w:val="009916B1"/>
    <w:rsid w:val="00997C0E"/>
    <w:rsid w:val="009A143D"/>
    <w:rsid w:val="009A3175"/>
    <w:rsid w:val="009B023F"/>
    <w:rsid w:val="009B0913"/>
    <w:rsid w:val="009B75B2"/>
    <w:rsid w:val="009B77F5"/>
    <w:rsid w:val="009C3A49"/>
    <w:rsid w:val="009D16E4"/>
    <w:rsid w:val="009D6827"/>
    <w:rsid w:val="009E1582"/>
    <w:rsid w:val="009F69DB"/>
    <w:rsid w:val="00A259E3"/>
    <w:rsid w:val="00A32C7C"/>
    <w:rsid w:val="00A3458B"/>
    <w:rsid w:val="00A36849"/>
    <w:rsid w:val="00A45A0C"/>
    <w:rsid w:val="00A6238D"/>
    <w:rsid w:val="00A76F21"/>
    <w:rsid w:val="00A834CB"/>
    <w:rsid w:val="00A86663"/>
    <w:rsid w:val="00A90F2C"/>
    <w:rsid w:val="00A96679"/>
    <w:rsid w:val="00A96D05"/>
    <w:rsid w:val="00AA2E27"/>
    <w:rsid w:val="00AB4B0C"/>
    <w:rsid w:val="00AB6070"/>
    <w:rsid w:val="00AB7FD4"/>
    <w:rsid w:val="00AC2B04"/>
    <w:rsid w:val="00AC4A15"/>
    <w:rsid w:val="00AD3607"/>
    <w:rsid w:val="00AD6D77"/>
    <w:rsid w:val="00AE25AA"/>
    <w:rsid w:val="00AF6E67"/>
    <w:rsid w:val="00B258AE"/>
    <w:rsid w:val="00B2687B"/>
    <w:rsid w:val="00B31C41"/>
    <w:rsid w:val="00B50ABF"/>
    <w:rsid w:val="00B61237"/>
    <w:rsid w:val="00B6564B"/>
    <w:rsid w:val="00B83555"/>
    <w:rsid w:val="00B93639"/>
    <w:rsid w:val="00BA115D"/>
    <w:rsid w:val="00BA2DE6"/>
    <w:rsid w:val="00BA5404"/>
    <w:rsid w:val="00BA6F6B"/>
    <w:rsid w:val="00BB5DDA"/>
    <w:rsid w:val="00BB76F5"/>
    <w:rsid w:val="00BB7B25"/>
    <w:rsid w:val="00BC138A"/>
    <w:rsid w:val="00BD4DFD"/>
    <w:rsid w:val="00BF1961"/>
    <w:rsid w:val="00BF435C"/>
    <w:rsid w:val="00C04051"/>
    <w:rsid w:val="00C07363"/>
    <w:rsid w:val="00C245AE"/>
    <w:rsid w:val="00C37DA7"/>
    <w:rsid w:val="00C451C2"/>
    <w:rsid w:val="00C53598"/>
    <w:rsid w:val="00C61BCC"/>
    <w:rsid w:val="00C827F8"/>
    <w:rsid w:val="00C82F37"/>
    <w:rsid w:val="00C93F95"/>
    <w:rsid w:val="00C955FD"/>
    <w:rsid w:val="00C96EC0"/>
    <w:rsid w:val="00CA2AA3"/>
    <w:rsid w:val="00CA41A5"/>
    <w:rsid w:val="00CA5B30"/>
    <w:rsid w:val="00CB7EB8"/>
    <w:rsid w:val="00CC4D3B"/>
    <w:rsid w:val="00CD4D3D"/>
    <w:rsid w:val="00CF0438"/>
    <w:rsid w:val="00D063E1"/>
    <w:rsid w:val="00D13780"/>
    <w:rsid w:val="00D441ED"/>
    <w:rsid w:val="00D4464F"/>
    <w:rsid w:val="00D456CC"/>
    <w:rsid w:val="00D466EC"/>
    <w:rsid w:val="00D52182"/>
    <w:rsid w:val="00D5295D"/>
    <w:rsid w:val="00D61718"/>
    <w:rsid w:val="00D64197"/>
    <w:rsid w:val="00D64DBC"/>
    <w:rsid w:val="00D73E8B"/>
    <w:rsid w:val="00D802E2"/>
    <w:rsid w:val="00D8255C"/>
    <w:rsid w:val="00D831BC"/>
    <w:rsid w:val="00D85060"/>
    <w:rsid w:val="00D8739D"/>
    <w:rsid w:val="00D90B00"/>
    <w:rsid w:val="00D90DE8"/>
    <w:rsid w:val="00DB220F"/>
    <w:rsid w:val="00DC151F"/>
    <w:rsid w:val="00DC1721"/>
    <w:rsid w:val="00DD0F41"/>
    <w:rsid w:val="00DF671D"/>
    <w:rsid w:val="00E0504F"/>
    <w:rsid w:val="00E0664A"/>
    <w:rsid w:val="00E077E0"/>
    <w:rsid w:val="00E10161"/>
    <w:rsid w:val="00E10631"/>
    <w:rsid w:val="00E133A5"/>
    <w:rsid w:val="00E41663"/>
    <w:rsid w:val="00E4271C"/>
    <w:rsid w:val="00E43B41"/>
    <w:rsid w:val="00E47887"/>
    <w:rsid w:val="00E617AA"/>
    <w:rsid w:val="00E643E8"/>
    <w:rsid w:val="00E73EB9"/>
    <w:rsid w:val="00E745D1"/>
    <w:rsid w:val="00E85ADD"/>
    <w:rsid w:val="00E933D9"/>
    <w:rsid w:val="00E953C2"/>
    <w:rsid w:val="00EB02D0"/>
    <w:rsid w:val="00EB0332"/>
    <w:rsid w:val="00EB5657"/>
    <w:rsid w:val="00EC65F7"/>
    <w:rsid w:val="00EE6DDC"/>
    <w:rsid w:val="00EE7D8E"/>
    <w:rsid w:val="00EF0605"/>
    <w:rsid w:val="00EF2897"/>
    <w:rsid w:val="00F22D23"/>
    <w:rsid w:val="00F23FC7"/>
    <w:rsid w:val="00F340BE"/>
    <w:rsid w:val="00F424AA"/>
    <w:rsid w:val="00F54A6C"/>
    <w:rsid w:val="00F62156"/>
    <w:rsid w:val="00F6264F"/>
    <w:rsid w:val="00F64C7B"/>
    <w:rsid w:val="00F66419"/>
    <w:rsid w:val="00F829D1"/>
    <w:rsid w:val="00F86C61"/>
    <w:rsid w:val="00F909A0"/>
    <w:rsid w:val="00F954CE"/>
    <w:rsid w:val="00F977D5"/>
    <w:rsid w:val="00FB0950"/>
    <w:rsid w:val="00FB142D"/>
    <w:rsid w:val="00FB3273"/>
    <w:rsid w:val="00FC04E1"/>
    <w:rsid w:val="00FC1C25"/>
    <w:rsid w:val="00FD35C6"/>
    <w:rsid w:val="00FE1343"/>
    <w:rsid w:val="00FE658D"/>
    <w:rsid w:val="012073A2"/>
    <w:rsid w:val="016F45ED"/>
    <w:rsid w:val="01973053"/>
    <w:rsid w:val="01CE7107"/>
    <w:rsid w:val="02033A02"/>
    <w:rsid w:val="027E74CA"/>
    <w:rsid w:val="03846660"/>
    <w:rsid w:val="03946FB6"/>
    <w:rsid w:val="040E2447"/>
    <w:rsid w:val="04714CC0"/>
    <w:rsid w:val="04AD3F7A"/>
    <w:rsid w:val="04DB3C44"/>
    <w:rsid w:val="05E901FB"/>
    <w:rsid w:val="06025F00"/>
    <w:rsid w:val="06824DC3"/>
    <w:rsid w:val="06BC4688"/>
    <w:rsid w:val="06CC7423"/>
    <w:rsid w:val="07436F98"/>
    <w:rsid w:val="091740CA"/>
    <w:rsid w:val="093069B9"/>
    <w:rsid w:val="099A4C40"/>
    <w:rsid w:val="0A84735B"/>
    <w:rsid w:val="0AF75577"/>
    <w:rsid w:val="0B0401B9"/>
    <w:rsid w:val="0B3722E9"/>
    <w:rsid w:val="0B6F477F"/>
    <w:rsid w:val="0BE94AFA"/>
    <w:rsid w:val="0C114D3A"/>
    <w:rsid w:val="0C5305F4"/>
    <w:rsid w:val="0CE25932"/>
    <w:rsid w:val="0CF43C8A"/>
    <w:rsid w:val="0D4967B3"/>
    <w:rsid w:val="0DA87EC0"/>
    <w:rsid w:val="0E911E04"/>
    <w:rsid w:val="0F447B05"/>
    <w:rsid w:val="0FAB789B"/>
    <w:rsid w:val="0FE44295"/>
    <w:rsid w:val="0FEC3E14"/>
    <w:rsid w:val="10806873"/>
    <w:rsid w:val="113F1A15"/>
    <w:rsid w:val="11860F94"/>
    <w:rsid w:val="12A53D1F"/>
    <w:rsid w:val="12F45FA8"/>
    <w:rsid w:val="12F655BF"/>
    <w:rsid w:val="134C146A"/>
    <w:rsid w:val="13D702FD"/>
    <w:rsid w:val="14377FD0"/>
    <w:rsid w:val="14856F74"/>
    <w:rsid w:val="148808AC"/>
    <w:rsid w:val="149C0C39"/>
    <w:rsid w:val="153C3623"/>
    <w:rsid w:val="158840E2"/>
    <w:rsid w:val="15C0748F"/>
    <w:rsid w:val="15D12138"/>
    <w:rsid w:val="15E47C88"/>
    <w:rsid w:val="16174E54"/>
    <w:rsid w:val="16212CBC"/>
    <w:rsid w:val="16BE53A8"/>
    <w:rsid w:val="16E37F6D"/>
    <w:rsid w:val="16EC742F"/>
    <w:rsid w:val="17480A93"/>
    <w:rsid w:val="17A35DDF"/>
    <w:rsid w:val="182F7669"/>
    <w:rsid w:val="18787EC5"/>
    <w:rsid w:val="18CC2B8B"/>
    <w:rsid w:val="18EF1C9B"/>
    <w:rsid w:val="19BF3DD7"/>
    <w:rsid w:val="19DA7DEE"/>
    <w:rsid w:val="19DC4E83"/>
    <w:rsid w:val="19E84073"/>
    <w:rsid w:val="1A7368C8"/>
    <w:rsid w:val="1A976BB9"/>
    <w:rsid w:val="1AE72CD3"/>
    <w:rsid w:val="1AEF3D03"/>
    <w:rsid w:val="1AF776D6"/>
    <w:rsid w:val="1B7E0E69"/>
    <w:rsid w:val="1C136E65"/>
    <w:rsid w:val="1C4C4278"/>
    <w:rsid w:val="1C9E476B"/>
    <w:rsid w:val="1CA8000B"/>
    <w:rsid w:val="1CC031EA"/>
    <w:rsid w:val="1D1111C8"/>
    <w:rsid w:val="1D796A5E"/>
    <w:rsid w:val="1D800998"/>
    <w:rsid w:val="1D96232B"/>
    <w:rsid w:val="1DDF2CB1"/>
    <w:rsid w:val="1E4E1FC7"/>
    <w:rsid w:val="1E6264E0"/>
    <w:rsid w:val="1EFA407E"/>
    <w:rsid w:val="1F126151"/>
    <w:rsid w:val="1F61417A"/>
    <w:rsid w:val="1F7B2EE6"/>
    <w:rsid w:val="1FF068CA"/>
    <w:rsid w:val="20363170"/>
    <w:rsid w:val="208A027D"/>
    <w:rsid w:val="214925D1"/>
    <w:rsid w:val="21B878C1"/>
    <w:rsid w:val="21DF74EB"/>
    <w:rsid w:val="222114DC"/>
    <w:rsid w:val="22723962"/>
    <w:rsid w:val="22AD1641"/>
    <w:rsid w:val="232F304A"/>
    <w:rsid w:val="23DD07B1"/>
    <w:rsid w:val="241C4DDC"/>
    <w:rsid w:val="24545B5D"/>
    <w:rsid w:val="24CD0EEF"/>
    <w:rsid w:val="24D067A5"/>
    <w:rsid w:val="25D030D9"/>
    <w:rsid w:val="26DA4AFE"/>
    <w:rsid w:val="279544FE"/>
    <w:rsid w:val="27B95C35"/>
    <w:rsid w:val="27F25F7B"/>
    <w:rsid w:val="28DB3980"/>
    <w:rsid w:val="28F13D86"/>
    <w:rsid w:val="29204D61"/>
    <w:rsid w:val="29F349D6"/>
    <w:rsid w:val="29F563F0"/>
    <w:rsid w:val="2A897264"/>
    <w:rsid w:val="2A9A65A6"/>
    <w:rsid w:val="2AB10CDE"/>
    <w:rsid w:val="2B5E4C67"/>
    <w:rsid w:val="2B97780B"/>
    <w:rsid w:val="2CCB46E5"/>
    <w:rsid w:val="2D2410CF"/>
    <w:rsid w:val="2D344C00"/>
    <w:rsid w:val="2D923C8D"/>
    <w:rsid w:val="2E2A5CB9"/>
    <w:rsid w:val="2E6073FD"/>
    <w:rsid w:val="2E956FE0"/>
    <w:rsid w:val="2EA475C2"/>
    <w:rsid w:val="2F0C37CF"/>
    <w:rsid w:val="2F24002C"/>
    <w:rsid w:val="2F5A1514"/>
    <w:rsid w:val="2F6A6545"/>
    <w:rsid w:val="2FE77C32"/>
    <w:rsid w:val="30234671"/>
    <w:rsid w:val="302C0C9F"/>
    <w:rsid w:val="304C5976"/>
    <w:rsid w:val="308D7C92"/>
    <w:rsid w:val="30C817CC"/>
    <w:rsid w:val="30C84030"/>
    <w:rsid w:val="30EC66DF"/>
    <w:rsid w:val="31727782"/>
    <w:rsid w:val="31AE15C3"/>
    <w:rsid w:val="31E60C8B"/>
    <w:rsid w:val="31FF6CE2"/>
    <w:rsid w:val="32456CC4"/>
    <w:rsid w:val="32B43B47"/>
    <w:rsid w:val="3311445F"/>
    <w:rsid w:val="332E3AE5"/>
    <w:rsid w:val="33865CDD"/>
    <w:rsid w:val="33EA4091"/>
    <w:rsid w:val="345E6D06"/>
    <w:rsid w:val="34AC423B"/>
    <w:rsid w:val="34D03FA8"/>
    <w:rsid w:val="34D15C68"/>
    <w:rsid w:val="353A3782"/>
    <w:rsid w:val="3542414B"/>
    <w:rsid w:val="35860E50"/>
    <w:rsid w:val="35BB3EF4"/>
    <w:rsid w:val="36053FE9"/>
    <w:rsid w:val="369C4E13"/>
    <w:rsid w:val="36A8469E"/>
    <w:rsid w:val="36B1619C"/>
    <w:rsid w:val="36D236BF"/>
    <w:rsid w:val="36F80742"/>
    <w:rsid w:val="36F84CBD"/>
    <w:rsid w:val="37CA23C1"/>
    <w:rsid w:val="384D7457"/>
    <w:rsid w:val="386B0FD9"/>
    <w:rsid w:val="3933479C"/>
    <w:rsid w:val="393869BB"/>
    <w:rsid w:val="396D1326"/>
    <w:rsid w:val="39BC21E0"/>
    <w:rsid w:val="39E4102F"/>
    <w:rsid w:val="3B5222CB"/>
    <w:rsid w:val="3BB5469A"/>
    <w:rsid w:val="3D9E4506"/>
    <w:rsid w:val="3DA60433"/>
    <w:rsid w:val="3ED50BDE"/>
    <w:rsid w:val="3EE1042C"/>
    <w:rsid w:val="3EE2552D"/>
    <w:rsid w:val="3F1E0E25"/>
    <w:rsid w:val="3F295722"/>
    <w:rsid w:val="3FF57DD8"/>
    <w:rsid w:val="408F1B38"/>
    <w:rsid w:val="4165602A"/>
    <w:rsid w:val="416B0F76"/>
    <w:rsid w:val="417E0D3F"/>
    <w:rsid w:val="42B40A8B"/>
    <w:rsid w:val="431472BE"/>
    <w:rsid w:val="43154769"/>
    <w:rsid w:val="43EB17DA"/>
    <w:rsid w:val="44937BC0"/>
    <w:rsid w:val="449E6649"/>
    <w:rsid w:val="450C4D75"/>
    <w:rsid w:val="46184524"/>
    <w:rsid w:val="46E22739"/>
    <w:rsid w:val="46ED03C2"/>
    <w:rsid w:val="484F252F"/>
    <w:rsid w:val="4862180D"/>
    <w:rsid w:val="489745E9"/>
    <w:rsid w:val="48CB7DE0"/>
    <w:rsid w:val="48DE3F2D"/>
    <w:rsid w:val="49350DDB"/>
    <w:rsid w:val="493B6340"/>
    <w:rsid w:val="497F5F49"/>
    <w:rsid w:val="49C32CF5"/>
    <w:rsid w:val="49E1340B"/>
    <w:rsid w:val="4A5F29C3"/>
    <w:rsid w:val="4A8A1CA2"/>
    <w:rsid w:val="4B011028"/>
    <w:rsid w:val="4BB00BB8"/>
    <w:rsid w:val="4BF62B9B"/>
    <w:rsid w:val="4C661C38"/>
    <w:rsid w:val="4C695DDB"/>
    <w:rsid w:val="4C9A5EA5"/>
    <w:rsid w:val="4CDF3A61"/>
    <w:rsid w:val="4D9A3B9B"/>
    <w:rsid w:val="4DD528AB"/>
    <w:rsid w:val="4DF026E8"/>
    <w:rsid w:val="4E003582"/>
    <w:rsid w:val="4E755E5F"/>
    <w:rsid w:val="4EE2079C"/>
    <w:rsid w:val="4F0E378C"/>
    <w:rsid w:val="4F3D6BB8"/>
    <w:rsid w:val="4F4A228F"/>
    <w:rsid w:val="4F4E509D"/>
    <w:rsid w:val="503D5B3F"/>
    <w:rsid w:val="509715B3"/>
    <w:rsid w:val="51885345"/>
    <w:rsid w:val="51CF2106"/>
    <w:rsid w:val="52F40A7A"/>
    <w:rsid w:val="53AB37CE"/>
    <w:rsid w:val="53AC4D2D"/>
    <w:rsid w:val="54285F4D"/>
    <w:rsid w:val="54706EE3"/>
    <w:rsid w:val="54781D67"/>
    <w:rsid w:val="54BA6FAE"/>
    <w:rsid w:val="55013876"/>
    <w:rsid w:val="55297417"/>
    <w:rsid w:val="55527E49"/>
    <w:rsid w:val="555F515E"/>
    <w:rsid w:val="56B93F99"/>
    <w:rsid w:val="56C27DEF"/>
    <w:rsid w:val="56FA72B4"/>
    <w:rsid w:val="57322BDA"/>
    <w:rsid w:val="579529A0"/>
    <w:rsid w:val="57C33EC0"/>
    <w:rsid w:val="58A62F16"/>
    <w:rsid w:val="58BE7A1C"/>
    <w:rsid w:val="59772169"/>
    <w:rsid w:val="59D40607"/>
    <w:rsid w:val="5ABA692B"/>
    <w:rsid w:val="5B20154B"/>
    <w:rsid w:val="5BB57208"/>
    <w:rsid w:val="5BCE7A03"/>
    <w:rsid w:val="5C4C5F63"/>
    <w:rsid w:val="5CF30946"/>
    <w:rsid w:val="5D014110"/>
    <w:rsid w:val="5DA3099B"/>
    <w:rsid w:val="5DB11630"/>
    <w:rsid w:val="5DF03188"/>
    <w:rsid w:val="5E0A1CB3"/>
    <w:rsid w:val="5EB85928"/>
    <w:rsid w:val="5ED013E9"/>
    <w:rsid w:val="5F0437D4"/>
    <w:rsid w:val="5F563DE3"/>
    <w:rsid w:val="5FBE15F0"/>
    <w:rsid w:val="5FFE39FF"/>
    <w:rsid w:val="60090E87"/>
    <w:rsid w:val="60AD2485"/>
    <w:rsid w:val="60CB01C0"/>
    <w:rsid w:val="61154026"/>
    <w:rsid w:val="616855EF"/>
    <w:rsid w:val="62B738DE"/>
    <w:rsid w:val="62C45871"/>
    <w:rsid w:val="62E269BE"/>
    <w:rsid w:val="63273FE2"/>
    <w:rsid w:val="632B598C"/>
    <w:rsid w:val="633C4553"/>
    <w:rsid w:val="635E1DC8"/>
    <w:rsid w:val="63B306FF"/>
    <w:rsid w:val="63DB6CD0"/>
    <w:rsid w:val="63F8153B"/>
    <w:rsid w:val="648A3DC7"/>
    <w:rsid w:val="64986500"/>
    <w:rsid w:val="64E84C0B"/>
    <w:rsid w:val="64F47DAF"/>
    <w:rsid w:val="666A2CEB"/>
    <w:rsid w:val="666C3C15"/>
    <w:rsid w:val="66B5037B"/>
    <w:rsid w:val="66BF71C4"/>
    <w:rsid w:val="67010561"/>
    <w:rsid w:val="676F0FA5"/>
    <w:rsid w:val="67BF0790"/>
    <w:rsid w:val="680A63DF"/>
    <w:rsid w:val="68975621"/>
    <w:rsid w:val="68A1291D"/>
    <w:rsid w:val="68B76BCA"/>
    <w:rsid w:val="68D12C7B"/>
    <w:rsid w:val="68EA387A"/>
    <w:rsid w:val="68FC3CE7"/>
    <w:rsid w:val="693646B5"/>
    <w:rsid w:val="69B721C8"/>
    <w:rsid w:val="69D35D2D"/>
    <w:rsid w:val="69D45F41"/>
    <w:rsid w:val="6A9B3230"/>
    <w:rsid w:val="6AB6350D"/>
    <w:rsid w:val="6B7D28AC"/>
    <w:rsid w:val="6BEE5365"/>
    <w:rsid w:val="6D833919"/>
    <w:rsid w:val="6E0C603E"/>
    <w:rsid w:val="6E5720A4"/>
    <w:rsid w:val="6F100594"/>
    <w:rsid w:val="6F657C10"/>
    <w:rsid w:val="6FAF1154"/>
    <w:rsid w:val="6FB05B67"/>
    <w:rsid w:val="7003626C"/>
    <w:rsid w:val="70241AA7"/>
    <w:rsid w:val="705F3713"/>
    <w:rsid w:val="707E05FA"/>
    <w:rsid w:val="73041F38"/>
    <w:rsid w:val="73222030"/>
    <w:rsid w:val="738003D8"/>
    <w:rsid w:val="757B2336"/>
    <w:rsid w:val="76552FDB"/>
    <w:rsid w:val="76B722F6"/>
    <w:rsid w:val="76EC3085"/>
    <w:rsid w:val="77A46809"/>
    <w:rsid w:val="77EE4ADF"/>
    <w:rsid w:val="78B57F31"/>
    <w:rsid w:val="78ED11E9"/>
    <w:rsid w:val="79C42846"/>
    <w:rsid w:val="7A123434"/>
    <w:rsid w:val="7A5B26E7"/>
    <w:rsid w:val="7A610B9B"/>
    <w:rsid w:val="7A6275CC"/>
    <w:rsid w:val="7AB768AA"/>
    <w:rsid w:val="7AFA5663"/>
    <w:rsid w:val="7BF65A6C"/>
    <w:rsid w:val="7C686567"/>
    <w:rsid w:val="7CE0598F"/>
    <w:rsid w:val="7D0B1632"/>
    <w:rsid w:val="7D3D4E80"/>
    <w:rsid w:val="7DA37707"/>
    <w:rsid w:val="7DAB739D"/>
    <w:rsid w:val="7DE5123F"/>
    <w:rsid w:val="7E565709"/>
    <w:rsid w:val="7E9D55BD"/>
    <w:rsid w:val="7EBB4BE7"/>
    <w:rsid w:val="7F6A4D24"/>
    <w:rsid w:val="7F806BE8"/>
    <w:rsid w:val="7FBF1496"/>
    <w:rsid w:val="7FDA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bCs/>
      <w:color w:val="333333"/>
      <w:kern w:val="0"/>
      <w:sz w:val="31"/>
      <w:szCs w:val="31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2"/>
    <w:basedOn w:val="1"/>
    <w:qFormat/>
    <w:uiPriority w:val="0"/>
    <w:pPr>
      <w:spacing w:after="120" w:line="480" w:lineRule="auto"/>
      <w:textAlignment w:val="baseline"/>
    </w:pPr>
    <w:rPr>
      <w:rFonts w:ascii="Calibri" w:hAnsi="Calibri"/>
      <w:sz w:val="32"/>
      <w:szCs w:val="32"/>
    </w:rPr>
  </w:style>
  <w:style w:type="paragraph" w:styleId="5">
    <w:name w:val="Document Map"/>
    <w:basedOn w:val="1"/>
    <w:link w:val="29"/>
    <w:qFormat/>
    <w:uiPriority w:val="0"/>
    <w:rPr>
      <w:rFonts w:ascii="宋体"/>
      <w:sz w:val="18"/>
      <w:szCs w:val="18"/>
    </w:rPr>
  </w:style>
  <w:style w:type="paragraph" w:styleId="6">
    <w:name w:val="Balloon Text"/>
    <w:basedOn w:val="1"/>
    <w:link w:val="28"/>
    <w:qFormat/>
    <w:uiPriority w:val="0"/>
    <w:rPr>
      <w:sz w:val="18"/>
      <w:szCs w:val="18"/>
    </w:rPr>
  </w:style>
  <w:style w:type="paragraph" w:styleId="7">
    <w:name w:val="footer"/>
    <w:basedOn w:val="1"/>
    <w:link w:val="2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unhideWhenUsed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  <w:bCs/>
    </w:rPr>
  </w:style>
  <w:style w:type="character" w:styleId="14">
    <w:name w:val="FollowedHyperlink"/>
    <w:basedOn w:val="12"/>
    <w:qFormat/>
    <w:uiPriority w:val="0"/>
    <w:rPr>
      <w:color w:val="338DE6"/>
      <w:u w:val="none"/>
    </w:rPr>
  </w:style>
  <w:style w:type="character" w:styleId="15">
    <w:name w:val="Emphasis"/>
    <w:basedOn w:val="12"/>
    <w:qFormat/>
    <w:uiPriority w:val="0"/>
  </w:style>
  <w:style w:type="character" w:styleId="16">
    <w:name w:val="HTML Definition"/>
    <w:basedOn w:val="12"/>
    <w:qFormat/>
    <w:uiPriority w:val="0"/>
  </w:style>
  <w:style w:type="character" w:styleId="17">
    <w:name w:val="HTML Variable"/>
    <w:basedOn w:val="12"/>
    <w:qFormat/>
    <w:uiPriority w:val="0"/>
  </w:style>
  <w:style w:type="character" w:styleId="18">
    <w:name w:val="Hyperlink"/>
    <w:basedOn w:val="12"/>
    <w:qFormat/>
    <w:uiPriority w:val="0"/>
    <w:rPr>
      <w:color w:val="338DE6"/>
      <w:u w:val="none"/>
    </w:rPr>
  </w:style>
  <w:style w:type="character" w:styleId="19">
    <w:name w:val="HTML Code"/>
    <w:basedOn w:val="12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0">
    <w:name w:val="HTML Cite"/>
    <w:basedOn w:val="12"/>
    <w:qFormat/>
    <w:uiPriority w:val="0"/>
  </w:style>
  <w:style w:type="character" w:styleId="21">
    <w:name w:val="HTML Keyboard"/>
    <w:basedOn w:val="12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2">
    <w:name w:val="HTML Sample"/>
    <w:basedOn w:val="12"/>
    <w:qFormat/>
    <w:uiPriority w:val="0"/>
    <w:rPr>
      <w:rFonts w:ascii="serif" w:hAnsi="serif" w:eastAsia="serif" w:cs="serif"/>
      <w:sz w:val="21"/>
      <w:szCs w:val="21"/>
    </w:rPr>
  </w:style>
  <w:style w:type="paragraph" w:styleId="23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24">
    <w:name w:val="标准文件_段"/>
    <w:link w:val="25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5">
    <w:name w:val="标准文件_段 Char"/>
    <w:link w:val="24"/>
    <w:qFormat/>
    <w:uiPriority w:val="0"/>
    <w:rPr>
      <w:rFonts w:ascii="宋体"/>
      <w:sz w:val="21"/>
    </w:rPr>
  </w:style>
  <w:style w:type="character" w:customStyle="1" w:styleId="26">
    <w:name w:val="页眉 Char"/>
    <w:basedOn w:val="12"/>
    <w:link w:val="8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7">
    <w:name w:val="页脚 Char"/>
    <w:basedOn w:val="12"/>
    <w:link w:val="7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8">
    <w:name w:val="批注框文本 Char"/>
    <w:basedOn w:val="12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9">
    <w:name w:val="文档结构图 Char"/>
    <w:basedOn w:val="12"/>
    <w:link w:val="5"/>
    <w:qFormat/>
    <w:uiPriority w:val="0"/>
    <w:rPr>
      <w:rFonts w:ascii="宋体"/>
      <w:kern w:val="2"/>
      <w:sz w:val="18"/>
      <w:szCs w:val="18"/>
    </w:rPr>
  </w:style>
  <w:style w:type="paragraph" w:customStyle="1" w:styleId="30">
    <w:name w:val="标准文件_二级条标题"/>
    <w:next w:val="24"/>
    <w:qFormat/>
    <w:uiPriority w:val="0"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1">
    <w:name w:val="标准文件_三级条标题"/>
    <w:basedOn w:val="30"/>
    <w:next w:val="24"/>
    <w:qFormat/>
    <w:uiPriority w:val="0"/>
    <w:pPr>
      <w:widowControl/>
      <w:numPr>
        <w:ilvl w:val="4"/>
      </w:numPr>
      <w:outlineLvl w:val="3"/>
    </w:pPr>
  </w:style>
  <w:style w:type="paragraph" w:customStyle="1" w:styleId="32">
    <w:name w:val="标准文件_四级条标题"/>
    <w:next w:val="24"/>
    <w:qFormat/>
    <w:uiPriority w:val="0"/>
    <w:pPr>
      <w:widowControl w:val="0"/>
      <w:numPr>
        <w:ilvl w:val="5"/>
        <w:numId w:val="1"/>
      </w:numPr>
      <w:spacing w:beforeLines="50" w:afterLines="50"/>
      <w:jc w:val="both"/>
      <w:outlineLvl w:val="4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3">
    <w:name w:val="标准文件_五级条标题"/>
    <w:next w:val="24"/>
    <w:qFormat/>
    <w:uiPriority w:val="0"/>
    <w:pPr>
      <w:widowControl w:val="0"/>
      <w:numPr>
        <w:ilvl w:val="6"/>
        <w:numId w:val="1"/>
      </w:numPr>
      <w:spacing w:beforeLines="50" w:afterLines="50"/>
      <w:jc w:val="both"/>
      <w:outlineLvl w:val="5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4">
    <w:name w:val="标准文件_章标题"/>
    <w:next w:val="24"/>
    <w:qFormat/>
    <w:uiPriority w:val="0"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5">
    <w:name w:val="标准文件_一级条标题"/>
    <w:basedOn w:val="34"/>
    <w:next w:val="24"/>
    <w:qFormat/>
    <w:uiPriority w:val="0"/>
    <w:pPr>
      <w:numPr>
        <w:ilvl w:val="2"/>
      </w:numPr>
      <w:spacing w:beforeLines="50" w:afterLines="50"/>
      <w:outlineLvl w:val="1"/>
    </w:pPr>
  </w:style>
  <w:style w:type="paragraph" w:customStyle="1" w:styleId="36">
    <w:name w:val="前言标题"/>
    <w:next w:val="1"/>
    <w:qFormat/>
    <w:uiPriority w:val="0"/>
    <w:pPr>
      <w:numPr>
        <w:ilvl w:val="0"/>
        <w:numId w:val="1"/>
      </w:num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37">
    <w:name w:val="标准文件_术语条一"/>
    <w:basedOn w:val="1"/>
    <w:next w:val="24"/>
    <w:qFormat/>
    <w:uiPriority w:val="0"/>
    <w:pPr>
      <w:widowControl/>
      <w:numPr>
        <w:ilvl w:val="2"/>
        <w:numId w:val="2"/>
      </w:numPr>
    </w:pPr>
    <w:rPr>
      <w:rFonts w:ascii="宋体"/>
      <w:kern w:val="0"/>
      <w:szCs w:val="20"/>
    </w:rPr>
  </w:style>
  <w:style w:type="paragraph" w:customStyle="1" w:styleId="38">
    <w:name w:val="列项——（一级）"/>
    <w:qFormat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9">
    <w:name w:val="标准文件_正文图标题"/>
    <w:next w:val="24"/>
    <w:qFormat/>
    <w:uiPriority w:val="0"/>
    <w:pPr>
      <w:numPr>
        <w:ilvl w:val="0"/>
        <w:numId w:val="4"/>
      </w:numPr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0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41">
    <w:name w:val="fontborder"/>
    <w:basedOn w:val="12"/>
    <w:qFormat/>
    <w:uiPriority w:val="0"/>
    <w:rPr>
      <w:bdr w:val="single" w:color="000000" w:sz="6" w:space="0"/>
    </w:rPr>
  </w:style>
  <w:style w:type="character" w:customStyle="1" w:styleId="42">
    <w:name w:val="fontstrikethrough"/>
    <w:basedOn w:val="12"/>
    <w:qFormat/>
    <w:uiPriority w:val="0"/>
    <w:rPr>
      <w:strike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chart" Target="charts/chart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charts/_rels/chart1.xml.rels><?xml version="1.0" encoding="UTF-8" standalone="yes"?>
<Relationships xmlns="http://schemas.openxmlformats.org/package/2006/relationships"><Relationship Id="rId4" Type="http://schemas.microsoft.com/office/2011/relationships/chartColorStyle" Target="colors1.xml"/><Relationship Id="rId3" Type="http://schemas.microsoft.com/office/2011/relationships/chartStyle" Target="style1.xml"/><Relationship Id="rId2" Type="http://schemas.openxmlformats.org/officeDocument/2006/relationships/themeOverride" Target="../theme/themeOverride1.xml"/><Relationship Id="rId1" Type="http://schemas.openxmlformats.org/officeDocument/2006/relationships/oleObject" Target="file:///C:\Users\&#20313;&#27946;&#28059;\Desktop\&#23454;&#39564;\&#40657;&#32769;&#34382;\&#40657;&#32769;&#34382;&#31181;&#33495;&#25968;&#2545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[黑老虎种苗数据.xlsx]初始分级!$B$1</c:f>
              <c:strCache>
                <c:ptCount val="1"/>
                <c:pt idx="0">
                  <c:v>序号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[黑老虎种苗数据.xlsx]初始分级!$A$2:$A$51</c:f>
              <c:numCache>
                <c:formatCode>General</c:formatCode>
                <c:ptCount val="50"/>
                <c:pt idx="0">
                  <c:v>1.62616822429907</c:v>
                </c:pt>
                <c:pt idx="1">
                  <c:v>1.27917276582967</c:v>
                </c:pt>
                <c:pt idx="2">
                  <c:v>1.48993481715022</c:v>
                </c:pt>
                <c:pt idx="3">
                  <c:v>1.45300203930989</c:v>
                </c:pt>
                <c:pt idx="4">
                  <c:v>0.738943312189568</c:v>
                </c:pt>
                <c:pt idx="5">
                  <c:v>1.03556906754745</c:v>
                </c:pt>
                <c:pt idx="6">
                  <c:v>0.845788136971562</c:v>
                </c:pt>
                <c:pt idx="7">
                  <c:v>1.42615321097474</c:v>
                </c:pt>
                <c:pt idx="8">
                  <c:v>0</c:v>
                </c:pt>
                <c:pt idx="9">
                  <c:v>1.45794392523364</c:v>
                </c:pt>
                <c:pt idx="10">
                  <c:v>1.24993431670608</c:v>
                </c:pt>
                <c:pt idx="11">
                  <c:v>0.955598093307811</c:v>
                </c:pt>
                <c:pt idx="12">
                  <c:v>1.48232806615872</c:v>
                </c:pt>
                <c:pt idx="13">
                  <c:v>0.630522088353414</c:v>
                </c:pt>
                <c:pt idx="14">
                  <c:v>0.739418734126537</c:v>
                </c:pt>
                <c:pt idx="15">
                  <c:v>0.226388419722504</c:v>
                </c:pt>
                <c:pt idx="16">
                  <c:v>1.11655344117905</c:v>
                </c:pt>
                <c:pt idx="17">
                  <c:v>0.573721677989215</c:v>
                </c:pt>
                <c:pt idx="18">
                  <c:v>0.866318857986463</c:v>
                </c:pt>
                <c:pt idx="19">
                  <c:v>0.938708103441805</c:v>
                </c:pt>
                <c:pt idx="20">
                  <c:v>1.12118254951269</c:v>
                </c:pt>
                <c:pt idx="21">
                  <c:v>0.958250447271954</c:v>
                </c:pt>
                <c:pt idx="22">
                  <c:v>0.716786147706089</c:v>
                </c:pt>
                <c:pt idx="23">
                  <c:v>1.30530846125937</c:v>
                </c:pt>
                <c:pt idx="24">
                  <c:v>0.876415318595253</c:v>
                </c:pt>
                <c:pt idx="25">
                  <c:v>1.41948479275357</c:v>
                </c:pt>
                <c:pt idx="26">
                  <c:v>0.95947653542519</c:v>
                </c:pt>
                <c:pt idx="27">
                  <c:v>1.77775275557057</c:v>
                </c:pt>
                <c:pt idx="28">
                  <c:v>1.2100739406223</c:v>
                </c:pt>
                <c:pt idx="29">
                  <c:v>0.844974915237273</c:v>
                </c:pt>
                <c:pt idx="30">
                  <c:v>0.759236322235984</c:v>
                </c:pt>
                <c:pt idx="31">
                  <c:v>0.974502370854133</c:v>
                </c:pt>
                <c:pt idx="32">
                  <c:v>1.44969910795831</c:v>
                </c:pt>
                <c:pt idx="33">
                  <c:v>1.34536901500081</c:v>
                </c:pt>
                <c:pt idx="34">
                  <c:v>1.67194635238774</c:v>
                </c:pt>
                <c:pt idx="35">
                  <c:v>0.795631122621326</c:v>
                </c:pt>
                <c:pt idx="36">
                  <c:v>0.438789425615233</c:v>
                </c:pt>
                <c:pt idx="37">
                  <c:v>1.77920404358868</c:v>
                </c:pt>
                <c:pt idx="38">
                  <c:v>1.394262407887</c:v>
                </c:pt>
                <c:pt idx="39">
                  <c:v>1.79769545471606</c:v>
                </c:pt>
                <c:pt idx="40">
                  <c:v>0.928636665040223</c:v>
                </c:pt>
                <c:pt idx="41">
                  <c:v>1.30589648312878</c:v>
                </c:pt>
                <c:pt idx="42">
                  <c:v>0.767418583993294</c:v>
                </c:pt>
                <c:pt idx="43">
                  <c:v>1.12222097111186</c:v>
                </c:pt>
                <c:pt idx="44">
                  <c:v>1.29616284452452</c:v>
                </c:pt>
                <c:pt idx="45">
                  <c:v>0.659422737679691</c:v>
                </c:pt>
                <c:pt idx="46">
                  <c:v>1.07460371079333</c:v>
                </c:pt>
                <c:pt idx="47">
                  <c:v>1.64599832351212</c:v>
                </c:pt>
                <c:pt idx="48">
                  <c:v>0.509377072151534</c:v>
                </c:pt>
                <c:pt idx="49">
                  <c:v>1.82730923694779</c:v>
                </c:pt>
              </c:numCache>
            </c:numRef>
          </c:xVal>
          <c:yVal>
            <c:numRef>
              <c:f>[黑老虎种苗数据.xlsx]初始分级!$B$2:$B$51</c:f>
              <c:numCache>
                <c:formatCode>General</c:formatCode>
                <c:ptCount val="5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</c:numCache>
            </c:numRef>
          </c:y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381849533"/>
        <c:axId val="683713925"/>
      </c:scatterChart>
      <c:valAx>
        <c:axId val="38184953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83713925"/>
        <c:crosses val="autoZero"/>
        <c:crossBetween val="midCat"/>
      </c:valAx>
      <c:valAx>
        <c:axId val="68371392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81849533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等线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等线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4307</Words>
  <Characters>5335</Characters>
  <Lines>28</Lines>
  <Paragraphs>8</Paragraphs>
  <TotalTime>1</TotalTime>
  <ScaleCrop>false</ScaleCrop>
  <LinksUpToDate>false</LinksUpToDate>
  <CharactersWithSpaces>5407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2020-12-08T06:37:00Z</dcterms:created>
  <dc:creator>Administrator</dc:creator>
  <cp:lastModifiedBy>企业用户_190602608</cp:lastModifiedBy>
  <dcterms:modified xsi:type="dcterms:W3CDTF">2023-08-16T11:05:54Z</dcterms:modified>
  <cp:revision>295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90DC5D56617E4640A147B97E6FB6EF02_13</vt:lpwstr>
  </property>
</Properties>
</file>