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65.150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Pr>
                      <w:rFonts w:eastAsia="Microsoft YaHei UI"/>
                      <w:szCs w:val="96"/>
                    </w:rPr>
                    <w:fldChar w:fldCharType="begin">
                      <w:ffData>
                        <w:name w:val="c1"/>
                        <w:enabled/>
                        <w:calcOnExit w:val="0"/>
                        <w:textInput>
                          <w:maxLength w:val="7"/>
                        </w:textInput>
                      </w:ffData>
                    </w:fldChar>
                  </w:r>
                  <w:bookmarkStart w:id="1" w:name="c1"/>
                  <w:r>
                    <w:rPr>
                      <w:rFonts w:eastAsia="Microsoft YaHei UI"/>
                      <w:szCs w:val="96"/>
                    </w:rPr>
                    <w:instrText xml:space="preserve"> FORMTEXT </w:instrText>
                  </w:r>
                  <w:r>
                    <w:rPr>
                      <w:rFonts w:eastAsia="Microsoft YaHei UI"/>
                      <w:szCs w:val="96"/>
                    </w:rPr>
                    <w:fldChar w:fldCharType="separate"/>
                  </w:r>
                  <w:r>
                    <w:rPr>
                      <w:rFonts w:eastAsia="Microsoft YaHei UI"/>
                      <w:szCs w:val="96"/>
                    </w:rPr>
                    <w:t>GXAS</w:t>
                  </w:r>
                  <w:r>
                    <w:rPr>
                      <w:rFonts w:eastAsia="Microsoft YaHei UI"/>
                      <w:szCs w:val="96"/>
                    </w:rP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B51、B64"/>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w:t>
            </w:r>
            <w:r>
              <w:rPr>
                <w:rFonts w:hint="eastAsia" w:ascii="黑体" w:hAnsi="黑体" w:eastAsia="黑体"/>
                <w:sz w:val="21"/>
                <w:szCs w:val="21"/>
                <w:lang w:val="en-US" w:eastAsia="zh-CN"/>
              </w:rPr>
              <w:t xml:space="preserve"> </w:t>
            </w:r>
            <w:r>
              <w:rPr>
                <w:rFonts w:ascii="黑体" w:hAnsi="黑体" w:eastAsia="黑体"/>
                <w:sz w:val="21"/>
                <w:szCs w:val="21"/>
              </w:rPr>
              <w:t>51、B</w:t>
            </w:r>
            <w:r>
              <w:rPr>
                <w:rFonts w:hint="eastAsia" w:ascii="黑体" w:hAnsi="黑体" w:eastAsia="黑体"/>
                <w:sz w:val="21"/>
                <w:szCs w:val="21"/>
                <w:lang w:val="en-US" w:eastAsia="zh-CN"/>
              </w:rPr>
              <w:t xml:space="preserve"> </w:t>
            </w:r>
            <w:r>
              <w:rPr>
                <w:rFonts w:ascii="黑体" w:hAnsi="黑体" w:eastAsia="黑体"/>
                <w:sz w:val="21"/>
                <w:szCs w:val="21"/>
              </w:rPr>
              <w:t>64</w:t>
            </w:r>
            <w:r>
              <w:rPr>
                <w:rFonts w:ascii="黑体" w:hAnsi="黑体" w:eastAsia="黑体"/>
                <w:sz w:val="21"/>
                <w:szCs w:val="21"/>
              </w:rPr>
              <w:fldChar w:fldCharType="end"/>
            </w:r>
            <w:bookmarkEnd w:id="2"/>
          </w:p>
        </w:tc>
      </w:tr>
    </w:tbl>
    <w:p>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8"/>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9"/>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跑道养殖+红树林湿地半开放生态保育技术指南"/>
            </w:textInput>
          </w:ffData>
        </w:fldChar>
      </w:r>
      <w:bookmarkStart w:id="8" w:name="CSTD_NAME"/>
      <w:r>
        <w:instrText xml:space="preserve"> FORMTEXT </w:instrText>
      </w:r>
      <w:r>
        <w:fldChar w:fldCharType="separate"/>
      </w:r>
      <w:r>
        <w:t>跑道养殖+人工红树林湿地半开放生态保育技术指南</w:t>
      </w:r>
      <w:r>
        <w:fldChar w:fldCharType="end"/>
      </w:r>
      <w:bookmarkEnd w:id="8"/>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guide for racetrack culture + artificial mangrove wetland semi-open ecological conservation"/>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guide for racetrack culture + artificial mangrove wetland semi-open ecological conservation</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 xml:space="preserve">广西标准化协会 </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360"/>
      </w:pPr>
      <w:bookmarkStart w:id="20" w:name="BookMark2"/>
      <w:r>
        <w:rPr>
          <w:spacing w:val="320"/>
        </w:rPr>
        <w:t>前</w:t>
      </w:r>
      <w:r>
        <w:t>言</w:t>
      </w:r>
    </w:p>
    <w:p>
      <w:pPr>
        <w:pStyle w:val="59"/>
        <w:ind w:firstLine="420"/>
      </w:pPr>
      <w:r>
        <w:rPr>
          <w:rFonts w:hint="eastAsia"/>
        </w:rPr>
        <w:t>本文件参照GB/T 1.1—2020《标准化工作导则  第1部分：标准化文件的结构和起草规则》的规定起草。</w:t>
      </w:r>
    </w:p>
    <w:p>
      <w:pPr>
        <w:pStyle w:val="59"/>
        <w:ind w:firstLine="420"/>
      </w:pPr>
      <w:r>
        <w:rPr>
          <w:rFonts w:hint="eastAsia"/>
        </w:rPr>
        <w:t>请注意本文件的某些内容可能涉及专利。本文件的发布机构不承担识别专利的责任。</w:t>
      </w:r>
    </w:p>
    <w:p>
      <w:pPr>
        <w:pStyle w:val="59"/>
        <w:ind w:firstLine="420"/>
      </w:pPr>
      <w:r>
        <w:rPr>
          <w:rFonts w:hint="eastAsia"/>
        </w:rPr>
        <w:t>本文件由广西海洋科学院（广西红树林研究中心）提出、归口并宣贯。</w:t>
      </w:r>
    </w:p>
    <w:p>
      <w:pPr>
        <w:pStyle w:val="59"/>
        <w:ind w:firstLine="420"/>
      </w:pPr>
      <w:r>
        <w:rPr>
          <w:rFonts w:hint="eastAsia"/>
        </w:rPr>
        <w:t>本文件起草单位：广西海洋科学院（广西红树林研究中心）、广西海洋研究所有限责任公司、广西中禾红树林海洋科技有限公司、广西标准化协会。</w:t>
      </w:r>
    </w:p>
    <w:p>
      <w:pPr>
        <w:pStyle w:val="59"/>
        <w:ind w:firstLine="420"/>
      </w:pPr>
      <w:r>
        <w:rPr>
          <w:rFonts w:hint="eastAsia"/>
        </w:rPr>
        <w:t>本文件主要起草人：范航清、吴斌、谭凡民、刘成辉、蒋辉、陈瑞芳、倪孔平、罗砚、童立豪、钟云旭、刘祁云、潘彦霞。</w:t>
      </w:r>
    </w:p>
    <w:p>
      <w:pPr>
        <w:pStyle w:val="59"/>
        <w:ind w:firstLine="420"/>
      </w:pPr>
    </w:p>
    <w:p>
      <w:pPr>
        <w:pStyle w:val="59"/>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8BAA2BAED4514C37A0558C04FBBD0CB5"/>
        </w:placeholder>
      </w:sdtPr>
      <w:sdtContent>
        <w:p>
          <w:pPr>
            <w:pStyle w:val="180"/>
            <w:spacing w:before="2" w:beforeLines="1" w:after="528" w:afterLines="220"/>
          </w:pPr>
          <w:bookmarkStart w:id="22" w:name="NEW_STAND_NAME"/>
          <w:r>
            <w:rPr>
              <w:rFonts w:hint="eastAsia"/>
            </w:rPr>
            <w:t>跑道养殖</w:t>
          </w:r>
          <w:r>
            <w:t>+人工红树林湿地</w:t>
          </w:r>
          <w:r>
            <w:rPr>
              <w:rFonts w:hint="eastAsia"/>
            </w:rPr>
            <w:t>半开放</w:t>
          </w:r>
          <w:r>
            <w:t>生态保育技术指南</w:t>
          </w:r>
        </w:p>
      </w:sdtContent>
    </w:sdt>
    <w:bookmarkEnd w:id="22"/>
    <w:p>
      <w:pPr>
        <w:pStyle w:val="107"/>
        <w:spacing w:before="240" w:after="240"/>
      </w:pPr>
      <w:bookmarkStart w:id="23" w:name="_Toc26986771"/>
      <w:bookmarkStart w:id="24" w:name="_Toc26986530"/>
      <w:bookmarkStart w:id="25" w:name="_Toc97192964"/>
      <w:bookmarkStart w:id="26" w:name="_Toc17233333"/>
      <w:bookmarkStart w:id="27" w:name="_Toc24884218"/>
      <w:bookmarkStart w:id="28" w:name="_Toc17233325"/>
      <w:bookmarkStart w:id="29" w:name="_Toc24884211"/>
      <w:bookmarkStart w:id="30" w:name="_Toc26648465"/>
      <w:bookmarkStart w:id="31" w:name="_Toc26718930"/>
      <w:r>
        <w:rPr>
          <w:rFonts w:hint="eastAsia"/>
        </w:rPr>
        <w:t>范围</w:t>
      </w:r>
      <w:bookmarkEnd w:id="23"/>
      <w:bookmarkEnd w:id="24"/>
      <w:bookmarkEnd w:id="25"/>
      <w:bookmarkEnd w:id="26"/>
      <w:bookmarkEnd w:id="27"/>
      <w:bookmarkEnd w:id="28"/>
      <w:bookmarkEnd w:id="29"/>
      <w:bookmarkEnd w:id="30"/>
      <w:bookmarkEnd w:id="31"/>
    </w:p>
    <w:p>
      <w:pPr>
        <w:pStyle w:val="59"/>
        <w:ind w:firstLine="420"/>
      </w:pPr>
      <w:bookmarkStart w:id="32" w:name="_Toc17233334"/>
      <w:bookmarkStart w:id="33" w:name="_Toc24884219"/>
      <w:bookmarkStart w:id="34" w:name="_Toc24884212"/>
      <w:bookmarkStart w:id="35" w:name="_Toc26648466"/>
      <w:bookmarkStart w:id="36" w:name="_Toc17233326"/>
      <w:r>
        <w:rPr>
          <w:rFonts w:hint="eastAsia"/>
        </w:rPr>
        <w:t>本文件界定了跑道养殖+人工红树林湿地半开放生态保育技术涉及的术语和定义，确立了目标和总体原则，提供了涉及在退塘还林红树林恢复与利用过程中，跑道养殖+人工红树林湿地半开放生态保育的湿地化改造、植被修复、跑道养殖、人工红树林湿地经济动物增殖等方面的指导。</w:t>
      </w:r>
    </w:p>
    <w:p>
      <w:pPr>
        <w:pStyle w:val="59"/>
        <w:ind w:firstLine="420"/>
      </w:pPr>
      <w:r>
        <w:rPr>
          <w:rFonts w:hint="eastAsia"/>
        </w:rPr>
        <w:t>本文件适用于在退塘还林红树林恢复与利用过程中，跑道养殖+人工红树林湿地的半开放生态保育。</w:t>
      </w:r>
    </w:p>
    <w:p>
      <w:pPr>
        <w:pStyle w:val="107"/>
        <w:spacing w:before="240" w:after="240"/>
      </w:pPr>
      <w:bookmarkStart w:id="37" w:name="_Toc97192965"/>
      <w:bookmarkStart w:id="38" w:name="_Toc26986531"/>
      <w:bookmarkStart w:id="39" w:name="_Toc26986772"/>
      <w:bookmarkStart w:id="40" w:name="_Toc267189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05C5979C1DDB4DE0A9A744796B5298E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 xml:space="preserve">GB/T 22919.1  水产配合饲料 </w:t>
      </w:r>
      <w:r>
        <w:t xml:space="preserve"> </w:t>
      </w:r>
      <w:r>
        <w:rPr>
          <w:rFonts w:hint="eastAsia"/>
        </w:rPr>
        <w:t>第1部分：斑节对虾配合饲料</w:t>
      </w:r>
    </w:p>
    <w:p>
      <w:pPr>
        <w:pStyle w:val="59"/>
        <w:ind w:firstLine="420"/>
      </w:pPr>
      <w:r>
        <w:rPr>
          <w:rFonts w:hint="eastAsia"/>
        </w:rPr>
        <w:t xml:space="preserve">GB/T 22919.5  水产配合饲料 </w:t>
      </w:r>
      <w:r>
        <w:t xml:space="preserve"> </w:t>
      </w:r>
      <w:r>
        <w:rPr>
          <w:rFonts w:hint="eastAsia"/>
        </w:rPr>
        <w:t>第5部分：南美白对虾配合饲料</w:t>
      </w:r>
    </w:p>
    <w:p>
      <w:pPr>
        <w:pStyle w:val="59"/>
        <w:ind w:firstLine="420"/>
      </w:pPr>
      <w:r>
        <w:t>GB/T 22919.6</w:t>
      </w:r>
      <w:r>
        <w:rPr>
          <w:rFonts w:hint="eastAsia"/>
        </w:rPr>
        <w:t xml:space="preserve">  水产配合饲料 </w:t>
      </w:r>
      <w:r>
        <w:t xml:space="preserve"> </w:t>
      </w:r>
      <w:r>
        <w:rPr>
          <w:rFonts w:hint="eastAsia"/>
        </w:rPr>
        <w:t>第6部分：石斑鱼配合饲料</w:t>
      </w:r>
    </w:p>
    <w:p>
      <w:pPr>
        <w:pStyle w:val="59"/>
        <w:ind w:firstLine="420"/>
      </w:pPr>
      <w:r>
        <w:rPr>
          <w:rFonts w:hint="eastAsia"/>
        </w:rPr>
        <w:t>HY/T 214  红树林植被恢复技术指南</w:t>
      </w:r>
    </w:p>
    <w:p>
      <w:pPr>
        <w:pStyle w:val="59"/>
        <w:ind w:firstLine="420"/>
      </w:pPr>
      <w:r>
        <w:rPr>
          <w:rFonts w:hint="eastAsia"/>
        </w:rPr>
        <w:t>LY/T 2972  困难立地红树林造林技术规程</w:t>
      </w:r>
    </w:p>
    <w:p>
      <w:pPr>
        <w:pStyle w:val="59"/>
        <w:ind w:firstLine="420"/>
      </w:pPr>
      <w:r>
        <w:rPr>
          <w:rFonts w:hint="eastAsia"/>
        </w:rPr>
        <w:t>NY/T 3474  卵形鲳鲹配合饲料</w:t>
      </w:r>
    </w:p>
    <w:p>
      <w:pPr>
        <w:pStyle w:val="59"/>
        <w:ind w:firstLine="420"/>
      </w:pPr>
      <w:r>
        <w:t xml:space="preserve">NY 5071  </w:t>
      </w:r>
      <w:r>
        <w:rPr>
          <w:rFonts w:hint="eastAsia"/>
        </w:rPr>
        <w:t>无公害食品</w:t>
      </w:r>
      <w:r>
        <w:t xml:space="preserve">  </w:t>
      </w:r>
      <w:r>
        <w:rPr>
          <w:rFonts w:hint="eastAsia"/>
        </w:rPr>
        <w:t>渔用药物使用准则</w:t>
      </w:r>
    </w:p>
    <w:p>
      <w:pPr>
        <w:pStyle w:val="107"/>
        <w:spacing w:before="240" w:after="240"/>
      </w:pPr>
      <w:bookmarkStart w:id="41" w:name="_Toc97192966"/>
      <w:r>
        <w:rPr>
          <w:rFonts w:hint="eastAsia"/>
          <w:szCs w:val="21"/>
        </w:rPr>
        <w:t>术语和定义</w:t>
      </w:r>
      <w:bookmarkEnd w:id="41"/>
    </w:p>
    <w:sdt>
      <w:sdtPr>
        <w:id w:val="-1909835108"/>
        <w:placeholder>
          <w:docPart w:val="703C3BD898CE4925BD1C5CD8D08E9A4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2" w:name="_Toc26986532"/>
          <w:bookmarkEnd w:id="42"/>
          <w:r>
            <w:t>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rPr>
        <w:t>人工红树林湿地</w:t>
      </w:r>
      <w:r>
        <w:rPr>
          <w:rFonts w:hint="eastAsia" w:ascii="黑体" w:hAnsi="黑体" w:eastAsia="黑体"/>
        </w:rPr>
        <w:t xml:space="preserve">  </w:t>
      </w:r>
      <w:r>
        <w:rPr>
          <w:rFonts w:ascii="黑体" w:hAnsi="黑体" w:eastAsia="黑体"/>
        </w:rPr>
        <w:t>artificial</w:t>
      </w:r>
      <w:r>
        <w:rPr>
          <w:rFonts w:hint="eastAsia" w:ascii="黑体" w:hAnsi="黑体" w:eastAsia="黑体"/>
        </w:rPr>
        <w:t xml:space="preserve"> mangrove wetland</w:t>
      </w:r>
    </w:p>
    <w:p>
      <w:pPr>
        <w:pStyle w:val="59"/>
        <w:ind w:firstLine="420"/>
      </w:pPr>
      <w:r>
        <w:rPr>
          <w:rFonts w:hint="eastAsia"/>
        </w:rPr>
        <w:t>在退塘还林过程中，对原有池塘进行适宜红树林生长的生境改造，在其中人工恢复种植红树林而形成的湿地。</w:t>
      </w: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rPr>
        <w:t>增殖沟</w:t>
      </w:r>
      <w:r>
        <w:rPr>
          <w:rFonts w:hint="eastAsia" w:ascii="黑体" w:hAnsi="黑体" w:eastAsia="黑体"/>
        </w:rPr>
        <w:t xml:space="preserve">  ditch for aquatic proliferation</w:t>
      </w:r>
    </w:p>
    <w:p>
      <w:pPr>
        <w:pStyle w:val="59"/>
        <w:ind w:firstLine="420"/>
      </w:pPr>
      <w:r>
        <w:rPr>
          <w:rFonts w:hint="eastAsia"/>
        </w:rPr>
        <w:t>在人工红树林湿地内局部挖深形成的，适合增殖动物生存的沟渠。</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rPr>
        <w:t>跑道</w:t>
      </w:r>
      <w:r>
        <w:rPr>
          <w:rFonts w:ascii="黑体" w:hAnsi="黑体" w:eastAsia="黑体"/>
        </w:rPr>
        <w:t>养殖</w:t>
      </w:r>
      <w:r>
        <w:rPr>
          <w:rFonts w:hint="eastAsia" w:ascii="黑体" w:hAnsi="黑体" w:eastAsia="黑体"/>
        </w:rPr>
        <w:t xml:space="preserve">  recetrack culture</w:t>
      </w:r>
    </w:p>
    <w:p>
      <w:pPr>
        <w:pStyle w:val="59"/>
        <w:ind w:firstLine="420"/>
      </w:pPr>
      <w:r>
        <w:rPr>
          <w:rFonts w:hint="eastAsia"/>
        </w:rPr>
        <w:t>在人工红树林湿地建设具有推水、增氧、投饲、水质监测和集排污装备的系列水槽，在其间进行鱼类高密度养殖的一种养殖模式。</w:t>
      </w:r>
    </w:p>
    <w:p>
      <w:pPr>
        <w:pStyle w:val="107"/>
        <w:spacing w:before="240" w:after="240"/>
      </w:pPr>
      <w:r>
        <w:rPr>
          <w:rFonts w:hint="eastAsia"/>
        </w:rPr>
        <w:t>总体原则</w:t>
      </w:r>
    </w:p>
    <w:p>
      <w:pPr>
        <w:pStyle w:val="165"/>
      </w:pPr>
      <w:r>
        <w:rPr>
          <w:rFonts w:hint="eastAsia"/>
        </w:rPr>
        <w:t>生态优先，生态效益和经济效益和谐共赢原则：建立既能在传统虾塘内重建红树林、改善生态环境、增加碳汇，又能进行生态养殖和增殖创造效益，还可实现减少污染排放造福社会的可持续发展的退塘还红树林模式。</w:t>
      </w:r>
    </w:p>
    <w:p>
      <w:pPr>
        <w:pStyle w:val="165"/>
      </w:pPr>
      <w:r>
        <w:rPr>
          <w:rFonts w:hint="eastAsia"/>
        </w:rPr>
        <w:t>统筹</w:t>
      </w:r>
      <w:r>
        <w:t>规划</w:t>
      </w:r>
      <w:r>
        <w:rPr>
          <w:rFonts w:hint="eastAsia"/>
        </w:rPr>
        <w:t>、</w:t>
      </w:r>
      <w:r>
        <w:t>合理布局原则：</w:t>
      </w:r>
      <w:r>
        <w:rPr>
          <w:rFonts w:hint="eastAsia"/>
        </w:rPr>
        <w:t>充分考虑修复活动给修复区周边社区居民的生产、生活可能带来的影响，确保生产、生活、生态的和诺发展。</w:t>
      </w:r>
    </w:p>
    <w:p>
      <w:pPr>
        <w:pStyle w:val="165"/>
      </w:pPr>
      <w:r>
        <w:rPr>
          <w:rFonts w:hint="eastAsia"/>
        </w:rPr>
        <w:t>因地制宜、适地适林原则</w:t>
      </w:r>
      <w:r>
        <w:t>：</w:t>
      </w:r>
      <w:r>
        <w:rPr>
          <w:rFonts w:hint="eastAsia"/>
        </w:rPr>
        <w:t>科学评估养殖塘的宜林性，宜滩则滩、宜林则林，适地适树，优先选择乡土树种。</w:t>
      </w:r>
    </w:p>
    <w:p>
      <w:pPr>
        <w:pStyle w:val="165"/>
        <w:numPr>
          <w:ilvl w:val="0"/>
          <w:numId w:val="0"/>
        </w:numPr>
      </w:pPr>
    </w:p>
    <w:p>
      <w:pPr>
        <w:pStyle w:val="165"/>
        <w:numPr>
          <w:ilvl w:val="0"/>
          <w:numId w:val="0"/>
        </w:numPr>
        <w:rPr>
          <w:rFonts w:hint="eastAsia"/>
        </w:rPr>
      </w:pPr>
    </w:p>
    <w:p>
      <w:pPr>
        <w:pStyle w:val="107"/>
        <w:spacing w:before="240" w:after="240"/>
      </w:pPr>
      <w:r>
        <w:t>选址</w:t>
      </w:r>
    </w:p>
    <w:p>
      <w:pPr>
        <w:pStyle w:val="59"/>
        <w:ind w:firstLine="420"/>
      </w:pPr>
      <w:r>
        <w:rPr>
          <w:rFonts w:hint="eastAsia"/>
        </w:rPr>
        <w:t>宜选择位于平均高潮线和平均低潮线之间的潮间带养殖池塘。尤以历史上原为红树林滩涂改造而来的池塘为佳。周边海水水质不宜有污染现象。</w:t>
      </w:r>
    </w:p>
    <w:p>
      <w:pPr>
        <w:pStyle w:val="107"/>
        <w:spacing w:before="240" w:after="240"/>
      </w:pPr>
      <w:r>
        <w:rPr>
          <w:rFonts w:hint="eastAsia"/>
        </w:rPr>
        <w:t>规划</w:t>
      </w:r>
    </w:p>
    <w:p>
      <w:pPr>
        <w:pStyle w:val="108"/>
        <w:spacing w:before="120" w:after="120"/>
      </w:pPr>
      <w:r>
        <w:rPr>
          <w:rFonts w:hint="eastAsia"/>
        </w:rPr>
        <w:t>跑道养殖</w:t>
      </w:r>
      <w:r>
        <w:t>面积</w:t>
      </w:r>
    </w:p>
    <w:p>
      <w:pPr>
        <w:pStyle w:val="59"/>
        <w:ind w:firstLine="420"/>
      </w:pPr>
      <w:r>
        <w:t>在对原有虾塘进行改造时</w:t>
      </w:r>
      <w:r>
        <w:rPr>
          <w:rFonts w:hint="eastAsia"/>
        </w:rPr>
        <w:t>，规划跑道</w:t>
      </w:r>
      <w:r>
        <w:t>养殖</w:t>
      </w:r>
      <w:r>
        <w:rPr>
          <w:rFonts w:hint="eastAsia"/>
        </w:rPr>
        <w:t>面积占</w:t>
      </w:r>
      <w:r>
        <w:t>人工红树林湿地的面积宜为</w:t>
      </w:r>
      <w:r>
        <w:rPr>
          <w:rFonts w:hint="eastAsia"/>
        </w:rPr>
        <w:t>2％</w:t>
      </w:r>
      <w:r>
        <w:rPr>
          <w:rFonts w:hint="eastAsia" w:hAnsi="宋体"/>
        </w:rPr>
        <w:t>～</w:t>
      </w:r>
      <w:r>
        <w:rPr>
          <w:rFonts w:hint="eastAsia"/>
        </w:rPr>
        <w:t>3％。</w:t>
      </w:r>
    </w:p>
    <w:p>
      <w:pPr>
        <w:pStyle w:val="108"/>
        <w:spacing w:before="120" w:after="120"/>
      </w:pPr>
      <w:r>
        <w:t>人工红树林湿地造林面积</w:t>
      </w:r>
    </w:p>
    <w:p>
      <w:pPr>
        <w:pStyle w:val="59"/>
        <w:ind w:firstLine="420"/>
        <w:rPr>
          <w:rFonts w:hAnsi="宋体"/>
        </w:rPr>
      </w:pPr>
      <w:r>
        <w:rPr>
          <w:rFonts w:hint="eastAsia"/>
        </w:rPr>
        <w:t>规划人工红树林湿地造林面积时，造林面积占人工红树林湿地总面积以25％</w:t>
      </w:r>
      <w:r>
        <w:rPr>
          <w:rFonts w:hint="eastAsia" w:hAnsi="宋体"/>
        </w:rPr>
        <w:t>～60％为宜。</w:t>
      </w:r>
    </w:p>
    <w:p>
      <w:pPr>
        <w:pStyle w:val="108"/>
        <w:spacing w:before="120" w:after="120"/>
      </w:pPr>
      <w:r>
        <w:t>布局</w:t>
      </w:r>
    </w:p>
    <w:p>
      <w:pPr>
        <w:pStyle w:val="59"/>
        <w:ind w:firstLine="420"/>
      </w:pPr>
      <w:r>
        <w:rPr>
          <w:rFonts w:hint="eastAsia"/>
        </w:rPr>
        <w:t>依据原有虾塘的地形，考虑进排水、供电、供气、道路等方面的便利性因素，设计跑道养殖实施和人工红树林湿地的位置，设计进、排水闸门和沟渠位置和走向，设计道路位置和走向，设计供电、供气设备房及工具房、生产管理和生活区位置，给出总体布局平面图。</w:t>
      </w:r>
    </w:p>
    <w:p>
      <w:pPr>
        <w:pStyle w:val="108"/>
        <w:spacing w:before="120" w:after="120"/>
      </w:pPr>
      <w:r>
        <w:t>人工红树林湿地生境设计</w:t>
      </w:r>
    </w:p>
    <w:p>
      <w:pPr>
        <w:pStyle w:val="59"/>
        <w:ind w:firstLine="420"/>
      </w:pPr>
      <w:r>
        <w:t>依据规划的人工红树林湿地的面积</w:t>
      </w:r>
      <w:r>
        <w:rPr>
          <w:rFonts w:hint="eastAsia"/>
        </w:rPr>
        <w:t>、</w:t>
      </w:r>
      <w:r>
        <w:t>形状</w:t>
      </w:r>
      <w:r>
        <w:rPr>
          <w:rFonts w:hint="eastAsia"/>
        </w:rPr>
        <w:t>、</w:t>
      </w:r>
      <w:r>
        <w:t>地形高程等因素</w:t>
      </w:r>
      <w:r>
        <w:rPr>
          <w:rFonts w:hint="eastAsia"/>
        </w:rPr>
        <w:t>，设计增殖沟的布设，确定</w:t>
      </w:r>
      <w:r>
        <w:t>红树林造林区域及造林树种</w:t>
      </w:r>
      <w:r>
        <w:rPr>
          <w:rFonts w:hint="eastAsia"/>
        </w:rPr>
        <w:t>，根据树种的特性，设计生境改造模式，形成红树林湿地生境改造方案。具体可参考</w:t>
      </w:r>
      <w:r>
        <w:t>HY/T 214</w:t>
      </w:r>
      <w:r>
        <w:rPr>
          <w:rFonts w:hint="eastAsia"/>
        </w:rPr>
        <w:t>的方法。</w:t>
      </w:r>
    </w:p>
    <w:p>
      <w:pPr>
        <w:pStyle w:val="107"/>
        <w:spacing w:before="240" w:after="240"/>
      </w:pPr>
      <w:r>
        <w:t>湿地化改造</w:t>
      </w:r>
    </w:p>
    <w:p>
      <w:pPr>
        <w:pStyle w:val="108"/>
        <w:spacing w:before="120" w:after="120"/>
      </w:pPr>
      <w:r>
        <w:t>堤围改造</w:t>
      </w:r>
    </w:p>
    <w:p>
      <w:pPr>
        <w:pStyle w:val="168"/>
      </w:pPr>
      <w:r>
        <w:rPr>
          <w:rFonts w:hint="eastAsia"/>
        </w:rPr>
        <w:t>保留并加固临海侧的原主堤围。堤围顶宽不宜＜5</w:t>
      </w:r>
      <w:r>
        <w:rPr>
          <w:rFonts w:hint="eastAsia"/>
          <w:vertAlign w:val="superscript"/>
        </w:rPr>
        <w:t xml:space="preserve"> </w:t>
      </w:r>
      <w:r>
        <w:rPr>
          <w:rFonts w:hint="eastAsia"/>
        </w:rPr>
        <w:t>m，底宽不宜＜15</w:t>
      </w:r>
      <w:r>
        <w:rPr>
          <w:rFonts w:hint="eastAsia"/>
          <w:vertAlign w:val="superscript"/>
        </w:rPr>
        <w:t xml:space="preserve"> </w:t>
      </w:r>
      <w:r>
        <w:rPr>
          <w:rFonts w:hint="eastAsia"/>
        </w:rPr>
        <w:t>m，堤高宜大于当地最高高潮位1</w:t>
      </w:r>
      <w:r>
        <w:rPr>
          <w:rFonts w:hint="eastAsia"/>
          <w:vertAlign w:val="superscript"/>
        </w:rPr>
        <w:t xml:space="preserve"> </w:t>
      </w:r>
      <w:r>
        <w:rPr>
          <w:rFonts w:hint="eastAsia"/>
        </w:rPr>
        <w:t>m以上。</w:t>
      </w:r>
    </w:p>
    <w:p>
      <w:pPr>
        <w:pStyle w:val="168"/>
      </w:pPr>
      <w:r>
        <w:rPr>
          <w:rFonts w:hint="eastAsia"/>
        </w:rPr>
        <w:t>原有池塘的堤围根据设计布局的进行保留或拆除。</w:t>
      </w:r>
    </w:p>
    <w:p>
      <w:pPr>
        <w:pStyle w:val="108"/>
        <w:spacing w:before="120" w:after="120"/>
      </w:pPr>
      <w:r>
        <w:t>主水门改造</w:t>
      </w:r>
    </w:p>
    <w:p>
      <w:pPr>
        <w:pStyle w:val="168"/>
      </w:pPr>
      <w:r>
        <w:rPr>
          <w:rFonts w:hint="eastAsia"/>
        </w:rPr>
        <w:t>与海域连通的主水门推荐采用闸板式。集约化养殖池塘+红树林湿地总面积＜30×</w:t>
      </w:r>
      <w:r>
        <w:t>667</w:t>
      </w:r>
      <w:r>
        <w:rPr>
          <w:vertAlign w:val="superscript"/>
        </w:rPr>
        <w:t xml:space="preserve"> </w:t>
      </w:r>
      <w:r>
        <w:rPr>
          <w:rFonts w:hint="eastAsia"/>
        </w:rPr>
        <w:t>m</w:t>
      </w:r>
      <w:r>
        <w:rPr>
          <w:vertAlign w:val="superscript"/>
        </w:rPr>
        <w:t>2</w:t>
      </w:r>
      <w:r>
        <w:rPr>
          <w:rFonts w:hint="eastAsia"/>
        </w:rPr>
        <w:t>时，主水门内径≥100</w:t>
      </w:r>
      <w:r>
        <w:rPr>
          <w:rFonts w:hint="eastAsia"/>
          <w:vertAlign w:val="superscript"/>
        </w:rPr>
        <w:t xml:space="preserve"> </w:t>
      </w:r>
      <w:r>
        <w:rPr>
          <w:rFonts w:hint="eastAsia"/>
        </w:rPr>
        <w:t>cm；集约化养殖池塘+红树林湿地总面积≥30×</w:t>
      </w:r>
      <w:r>
        <w:t>667</w:t>
      </w:r>
      <w:r>
        <w:rPr>
          <w:vertAlign w:val="superscript"/>
        </w:rPr>
        <w:t xml:space="preserve"> </w:t>
      </w:r>
      <w:r>
        <w:rPr>
          <w:rFonts w:hint="eastAsia"/>
        </w:rPr>
        <w:t>m</w:t>
      </w:r>
      <w:r>
        <w:rPr>
          <w:vertAlign w:val="superscript"/>
        </w:rPr>
        <w:t>2</w:t>
      </w:r>
      <w:r>
        <w:rPr>
          <w:rFonts w:hint="eastAsia"/>
        </w:rPr>
        <w:t>时，主水门内径W宜通过公式1计算。</w:t>
      </w:r>
    </w:p>
    <w:p>
      <w:pPr>
        <w:pStyle w:val="116"/>
      </w:pPr>
      <w:r>
        <w:tab/>
      </w:r>
      <m:oMath>
        <m:r>
          <m:rPr/>
          <w:rPr>
            <w:rFonts w:hint="eastAsia" w:ascii="Cambria Math" w:hAnsi="Cambria Math"/>
          </w:rPr>
          <m:t>W=</m:t>
        </m:r>
        <m:r>
          <m:rPr/>
          <w:rPr>
            <w:rFonts w:ascii="Cambria Math" w:hAnsi="Cambria Math"/>
          </w:rPr>
          <m:t>2X+40</m:t>
        </m:r>
      </m:oMath>
      <w:r>
        <w:rPr>
          <w:rFonts w:ascii="微软雅黑" w:eastAsia="微软雅黑"/>
        </w:rPr>
        <w:tab/>
      </w:r>
      <w:r>
        <w:t>(</w:t>
      </w:r>
      <w:r>
        <w:fldChar w:fldCharType="begin"/>
      </w:r>
      <w:r>
        <w:instrText xml:space="preserve"> AUTONUM </w:instrText>
      </w:r>
      <w:r>
        <w:fldChar w:fldCharType="end"/>
      </w:r>
      <w:r>
        <w:t>)</w:t>
      </w:r>
    </w:p>
    <w:p>
      <w:pPr>
        <w:pStyle w:val="58"/>
        <w:ind w:firstLine="420"/>
      </w:pPr>
      <w:r>
        <w:rPr>
          <w:rFonts w:hint="eastAsia"/>
        </w:rPr>
        <w:t>式中：</w:t>
      </w:r>
    </w:p>
    <w:p>
      <w:pPr>
        <w:pStyle w:val="58"/>
        <w:ind w:firstLine="420"/>
      </w:pPr>
      <w:r>
        <w:rPr>
          <w:rFonts w:hint="eastAsia" w:ascii="宋体" w:hAnsi="宋体"/>
          <w:i/>
        </w:rPr>
        <w:t>W</w:t>
      </w:r>
      <w:r>
        <w:rPr>
          <w:rFonts w:hint="eastAsia"/>
        </w:rPr>
        <w:t>——主水门内径（单位：</w:t>
      </w:r>
      <w:r>
        <w:rPr>
          <w:rFonts w:hint="eastAsia" w:ascii="宋体" w:hAnsi="宋体" w:eastAsia="宋体" w:cs="宋体"/>
        </w:rPr>
        <w:t>cm</w:t>
      </w:r>
      <w:r>
        <w:rPr>
          <w:rFonts w:hint="eastAsia"/>
        </w:rPr>
        <w:t>）；</w:t>
      </w:r>
    </w:p>
    <w:p>
      <w:pPr>
        <w:pStyle w:val="59"/>
        <w:ind w:firstLine="420"/>
      </w:pPr>
      <w:r>
        <w:rPr>
          <w:rFonts w:hint="eastAsia"/>
          <w:i/>
        </w:rPr>
        <w:t>X</w:t>
      </w:r>
      <w:r>
        <w:rPr>
          <w:rFonts w:hint="eastAsia"/>
        </w:rPr>
        <w:t>——集约化养殖池塘+红树林湿地总面积数值（单位：</w:t>
      </w:r>
      <w:r>
        <w:t>667</w:t>
      </w:r>
      <w:r>
        <w:rPr>
          <w:vertAlign w:val="superscript"/>
        </w:rPr>
        <w:t xml:space="preserve"> </w:t>
      </w:r>
      <w:r>
        <w:rPr>
          <w:rFonts w:hint="eastAsia"/>
        </w:rPr>
        <w:t>m</w:t>
      </w:r>
      <w:r>
        <w:rPr>
          <w:vertAlign w:val="superscript"/>
        </w:rPr>
        <w:t>2</w:t>
      </w:r>
      <w:r>
        <w:rPr>
          <w:rFonts w:hint="eastAsia"/>
        </w:rPr>
        <w:t>）。</w:t>
      </w:r>
    </w:p>
    <w:p>
      <w:pPr>
        <w:pStyle w:val="168"/>
      </w:pPr>
      <w:r>
        <w:rPr>
          <w:rFonts w:hint="eastAsia"/>
        </w:rPr>
        <w:t>主水门底部高程不可大于进排水口自然海域滩涂的高程。</w:t>
      </w:r>
    </w:p>
    <w:p>
      <w:pPr>
        <w:pStyle w:val="108"/>
        <w:spacing w:before="120" w:after="120"/>
      </w:pPr>
      <w:r>
        <w:rPr>
          <w:rFonts w:hint="eastAsia"/>
        </w:rPr>
        <w:t>跑道养殖设施</w:t>
      </w:r>
      <w:r>
        <w:t>构建</w:t>
      </w:r>
    </w:p>
    <w:p>
      <w:pPr>
        <w:pStyle w:val="59"/>
        <w:ind w:firstLine="420"/>
      </w:pPr>
      <w:r>
        <w:t>联系及确定研发和生产跑道式养殖设施的企业</w:t>
      </w:r>
      <w:r>
        <w:rPr>
          <w:rFonts w:hint="eastAsia"/>
        </w:rPr>
        <w:t>，采购跑道式养殖设施。</w:t>
      </w:r>
      <w:r>
        <w:t>由企业按照相关的企业标准安装建设跑道式养殖设施</w:t>
      </w:r>
      <w:r>
        <w:rPr>
          <w:rFonts w:hint="eastAsia"/>
        </w:rPr>
        <w:t>。</w:t>
      </w:r>
    </w:p>
    <w:p>
      <w:pPr>
        <w:pStyle w:val="108"/>
        <w:spacing w:before="120" w:after="120"/>
      </w:pPr>
      <w:r>
        <w:t>人工红树林湿地构建</w:t>
      </w:r>
    </w:p>
    <w:p>
      <w:pPr>
        <w:pStyle w:val="68"/>
        <w:spacing w:before="120" w:after="120"/>
      </w:pPr>
      <w:r>
        <w:t>开挖增殖沟</w:t>
      </w:r>
    </w:p>
    <w:p>
      <w:pPr>
        <w:pStyle w:val="59"/>
        <w:ind w:firstLine="420"/>
        <w:rPr>
          <w:rFonts w:hAnsi="宋体"/>
        </w:rPr>
      </w:pPr>
      <w:r>
        <w:t>主增殖沟从主水门处开挖</w:t>
      </w:r>
      <w:r>
        <w:rPr>
          <w:rFonts w:hint="eastAsia"/>
        </w:rPr>
        <w:t>，</w:t>
      </w:r>
      <w:r>
        <w:t>宽</w:t>
      </w:r>
      <w:r>
        <w:rPr>
          <w:rFonts w:hint="eastAsia"/>
        </w:rPr>
        <w:t>10</w:t>
      </w:r>
      <w:r>
        <w:rPr>
          <w:rFonts w:hint="eastAsia"/>
          <w:vertAlign w:val="superscript"/>
        </w:rPr>
        <w:t xml:space="preserve"> </w:t>
      </w:r>
      <w:r>
        <w:rPr>
          <w:rFonts w:hint="eastAsia"/>
        </w:rPr>
        <w:t>m</w:t>
      </w:r>
      <w:r>
        <w:rPr>
          <w:rFonts w:hint="eastAsia" w:hAnsi="宋体"/>
        </w:rPr>
        <w:t>～20</w:t>
      </w:r>
      <w:r>
        <w:rPr>
          <w:rFonts w:hint="eastAsia" w:hAnsi="宋体"/>
          <w:vertAlign w:val="superscript"/>
        </w:rPr>
        <w:t xml:space="preserve"> </w:t>
      </w:r>
      <w:r>
        <w:rPr>
          <w:rFonts w:hint="eastAsia" w:hAnsi="宋体"/>
        </w:rPr>
        <w:t>m，深1.5</w:t>
      </w:r>
      <w:r>
        <w:rPr>
          <w:rFonts w:hint="eastAsia"/>
          <w:vertAlign w:val="superscript"/>
        </w:rPr>
        <w:t xml:space="preserve"> </w:t>
      </w:r>
      <w:r>
        <w:rPr>
          <w:rFonts w:hint="eastAsia"/>
        </w:rPr>
        <w:t>m</w:t>
      </w:r>
      <w:r>
        <w:rPr>
          <w:rFonts w:hint="eastAsia" w:hAnsi="宋体"/>
        </w:rPr>
        <w:t>～2.5</w:t>
      </w:r>
      <w:r>
        <w:rPr>
          <w:rFonts w:hint="eastAsia" w:hAnsi="宋体"/>
          <w:vertAlign w:val="superscript"/>
        </w:rPr>
        <w:t xml:space="preserve"> </w:t>
      </w:r>
      <w:r>
        <w:rPr>
          <w:rFonts w:hint="eastAsia" w:hAnsi="宋体"/>
        </w:rPr>
        <w:t>m。依据人工红树林湿地的地形，从主增殖沟上延伸出支增殖沟，支增殖沟宽</w:t>
      </w:r>
      <w:r>
        <w:rPr>
          <w:rFonts w:hint="eastAsia"/>
        </w:rPr>
        <w:t>5</w:t>
      </w:r>
      <w:r>
        <w:rPr>
          <w:rFonts w:hint="eastAsia"/>
          <w:vertAlign w:val="superscript"/>
        </w:rPr>
        <w:t xml:space="preserve"> </w:t>
      </w:r>
      <w:r>
        <w:rPr>
          <w:rFonts w:hint="eastAsia"/>
        </w:rPr>
        <w:t>m</w:t>
      </w:r>
      <w:r>
        <w:rPr>
          <w:rFonts w:hint="eastAsia" w:hAnsi="宋体"/>
        </w:rPr>
        <w:t>～8</w:t>
      </w:r>
      <w:r>
        <w:rPr>
          <w:rFonts w:hint="eastAsia" w:hAnsi="宋体"/>
          <w:vertAlign w:val="superscript"/>
        </w:rPr>
        <w:t xml:space="preserve"> </w:t>
      </w:r>
      <w:r>
        <w:rPr>
          <w:rFonts w:hint="eastAsia" w:hAnsi="宋体"/>
        </w:rPr>
        <w:t>m，深1.5</w:t>
      </w:r>
      <w:r>
        <w:rPr>
          <w:rFonts w:hint="eastAsia"/>
          <w:vertAlign w:val="superscript"/>
        </w:rPr>
        <w:t xml:space="preserve"> </w:t>
      </w:r>
      <w:r>
        <w:rPr>
          <w:rFonts w:hint="eastAsia"/>
        </w:rPr>
        <w:t>m</w:t>
      </w:r>
      <w:r>
        <w:rPr>
          <w:rFonts w:hint="eastAsia" w:hAnsi="宋体"/>
        </w:rPr>
        <w:t>～2.5</w:t>
      </w:r>
      <w:r>
        <w:rPr>
          <w:rFonts w:hint="eastAsia" w:hAnsi="宋体"/>
          <w:vertAlign w:val="superscript"/>
        </w:rPr>
        <w:t xml:space="preserve"> </w:t>
      </w:r>
      <w:r>
        <w:rPr>
          <w:rFonts w:hint="eastAsia" w:hAnsi="宋体"/>
        </w:rPr>
        <w:t>m。</w:t>
      </w:r>
    </w:p>
    <w:p>
      <w:pPr>
        <w:pStyle w:val="68"/>
        <w:spacing w:before="120" w:after="120"/>
      </w:pPr>
      <w:r>
        <w:rPr>
          <w:rFonts w:hint="eastAsia"/>
        </w:rPr>
        <w:t>人工红树林湿地生境构建</w:t>
      </w:r>
    </w:p>
    <w:p>
      <w:pPr>
        <w:pStyle w:val="59"/>
        <w:ind w:firstLine="420"/>
      </w:pPr>
      <w:r>
        <w:t>利用增殖沟开挖出来的土方</w:t>
      </w:r>
      <w:r>
        <w:rPr>
          <w:rFonts w:hint="eastAsia"/>
        </w:rPr>
        <w:t>，</w:t>
      </w:r>
      <w:r>
        <w:t>在规划好的红树林种植区</w:t>
      </w:r>
      <w:r>
        <w:rPr>
          <w:rFonts w:hint="eastAsia"/>
        </w:rPr>
        <w:t>，</w:t>
      </w:r>
      <w:r>
        <w:t>依据不同树种的特性构建出不同高程的区域</w:t>
      </w:r>
      <w:r>
        <w:rPr>
          <w:rFonts w:hint="eastAsia"/>
        </w:rPr>
        <w:t>，</w:t>
      </w:r>
      <w:r>
        <w:t>形成周边缓坡</w:t>
      </w:r>
      <w:r>
        <w:rPr>
          <w:rFonts w:hint="eastAsia"/>
        </w:rPr>
        <w:t>，</w:t>
      </w:r>
      <w:r>
        <w:t>中</w:t>
      </w:r>
      <w:r>
        <w:rPr>
          <w:rFonts w:hint="eastAsia"/>
        </w:rPr>
        <w:t>间</w:t>
      </w:r>
      <w:r>
        <w:t>小岛等适合红树林生长的种植区</w:t>
      </w:r>
      <w:r>
        <w:rPr>
          <w:rFonts w:hint="eastAsia"/>
        </w:rPr>
        <w:t>。按照LY/T 2972的方法，对红树林种植区进行适当整地。</w:t>
      </w:r>
    </w:p>
    <w:p>
      <w:pPr>
        <w:pStyle w:val="107"/>
        <w:spacing w:before="240" w:after="240"/>
      </w:pPr>
      <w:r>
        <w:t>植被修复</w:t>
      </w:r>
    </w:p>
    <w:p>
      <w:pPr>
        <w:pStyle w:val="108"/>
        <w:spacing w:before="120" w:after="120"/>
      </w:pPr>
      <w:r>
        <w:t>真红树植物修复</w:t>
      </w:r>
    </w:p>
    <w:p>
      <w:pPr>
        <w:pStyle w:val="68"/>
        <w:spacing w:before="120" w:after="120"/>
      </w:pPr>
      <w:r>
        <w:rPr>
          <w:rFonts w:hint="eastAsia"/>
        </w:rPr>
        <w:t>树种选择</w:t>
      </w:r>
    </w:p>
    <w:p>
      <w:pPr>
        <w:pStyle w:val="59"/>
        <w:ind w:firstLine="420"/>
        <w:rPr>
          <w:rFonts w:hAnsi="宋体"/>
        </w:rPr>
      </w:pPr>
      <w:r>
        <w:rPr>
          <w:rFonts w:hint="eastAsia"/>
        </w:rPr>
        <w:t>在构建的红树林湿地生境中种植本土真红树植物，杜绝外来速生红树植物。树种的选择宜按照LY/T 2972的方法。苗木宜为1</w:t>
      </w:r>
      <w:r>
        <w:rPr>
          <w:rFonts w:hint="eastAsia" w:hAnsi="宋体"/>
        </w:rPr>
        <w:t>～3年生人工苗。</w:t>
      </w:r>
    </w:p>
    <w:p>
      <w:pPr>
        <w:pStyle w:val="68"/>
        <w:spacing w:before="120" w:after="120"/>
      </w:pPr>
      <w:r>
        <w:t>栽植</w:t>
      </w:r>
    </w:p>
    <w:p>
      <w:pPr>
        <w:pStyle w:val="59"/>
        <w:ind w:firstLine="420"/>
      </w:pPr>
      <w:r>
        <w:rPr>
          <w:rFonts w:hint="eastAsia"/>
        </w:rPr>
        <w:t>宜按照LY/T 2972和</w:t>
      </w:r>
      <w:r>
        <w:t>HY/T 214</w:t>
      </w:r>
      <w:r>
        <w:rPr>
          <w:rFonts w:hint="eastAsia"/>
        </w:rPr>
        <w:t>的方法。根据栽植区域的位置、地形及造林季节等因素选择适当的造林方法。</w:t>
      </w:r>
    </w:p>
    <w:p>
      <w:pPr>
        <w:pStyle w:val="68"/>
        <w:spacing w:before="120" w:after="120"/>
      </w:pPr>
      <w:r>
        <w:t>抚育</w:t>
      </w:r>
    </w:p>
    <w:p>
      <w:pPr>
        <w:pStyle w:val="59"/>
        <w:ind w:firstLine="420"/>
      </w:pPr>
      <w:r>
        <w:rPr>
          <w:rFonts w:hint="eastAsia"/>
        </w:rPr>
        <w:t>在造林后一定时期内进行抚育，可参照LY/T 2972的方法。定期监测池塘红树林湿地的水位动态，通过调节主水门的闸板以确定最佳水位，促进真红树植物的正常生长。</w:t>
      </w:r>
    </w:p>
    <w:p>
      <w:pPr>
        <w:pStyle w:val="108"/>
        <w:spacing w:before="120" w:after="120"/>
      </w:pPr>
      <w:r>
        <w:t>半红树植物修复</w:t>
      </w:r>
    </w:p>
    <w:p>
      <w:pPr>
        <w:pStyle w:val="68"/>
        <w:spacing w:before="120" w:after="120"/>
      </w:pPr>
      <w:r>
        <w:t>修复区域</w:t>
      </w:r>
    </w:p>
    <w:p>
      <w:pPr>
        <w:pStyle w:val="59"/>
        <w:ind w:firstLine="420"/>
      </w:pPr>
      <w:r>
        <w:rPr>
          <w:rFonts w:hint="eastAsia"/>
        </w:rPr>
        <w:t>在人工红树林湿地堤围坡面种植半红树植物，构建生态堤围。</w:t>
      </w:r>
    </w:p>
    <w:p>
      <w:pPr>
        <w:pStyle w:val="68"/>
        <w:spacing w:before="120" w:after="120"/>
      </w:pPr>
      <w:r>
        <w:t>树种选择</w:t>
      </w:r>
    </w:p>
    <w:p>
      <w:pPr>
        <w:pStyle w:val="59"/>
        <w:ind w:firstLine="420"/>
      </w:pPr>
      <w:r>
        <w:rPr>
          <w:rFonts w:hint="eastAsia"/>
        </w:rPr>
        <w:t>宜选择本土半红树植物，如银叶树、杨叶肖槿、水黄皮、海杧果、阔苞菊、苦郎树等。</w:t>
      </w:r>
    </w:p>
    <w:p>
      <w:pPr>
        <w:pStyle w:val="68"/>
        <w:spacing w:before="120" w:after="120"/>
      </w:pPr>
      <w:r>
        <w:t>种植密度</w:t>
      </w:r>
    </w:p>
    <w:p>
      <w:pPr>
        <w:pStyle w:val="59"/>
        <w:ind w:firstLine="420"/>
        <w:rPr>
          <w:rFonts w:hAnsi="宋体"/>
        </w:rPr>
      </w:pPr>
      <w:r>
        <w:rPr>
          <w:rFonts w:hint="eastAsia"/>
        </w:rPr>
        <w:t>对于银叶树、杨叶肖槿、水黄皮、海杧果等相对高大的树种，宜种植于靠坡顶的位置。种植密度5</w:t>
      </w:r>
      <w:r>
        <w:rPr>
          <w:vertAlign w:val="superscript"/>
        </w:rPr>
        <w:t xml:space="preserve"> </w:t>
      </w:r>
      <w:r>
        <w:t>m</w:t>
      </w:r>
      <w:r>
        <w:rPr>
          <w:vertAlign w:val="superscript"/>
        </w:rPr>
        <w:t>2</w:t>
      </w:r>
      <w:r>
        <w:rPr>
          <w:rFonts w:hint="eastAsia" w:hAnsi="宋体"/>
        </w:rPr>
        <w:t>～10</w:t>
      </w:r>
      <w:r>
        <w:rPr>
          <w:rFonts w:hint="eastAsia" w:hAnsi="宋体"/>
          <w:vertAlign w:val="superscript"/>
        </w:rPr>
        <w:t xml:space="preserve"> </w:t>
      </w:r>
      <w:r>
        <w:rPr>
          <w:rFonts w:hint="eastAsia" w:hAnsi="宋体"/>
        </w:rPr>
        <w:t>m</w:t>
      </w:r>
      <w:r>
        <w:rPr>
          <w:rFonts w:hint="eastAsia" w:hAnsi="宋体"/>
          <w:vertAlign w:val="superscript"/>
        </w:rPr>
        <w:t>2</w:t>
      </w:r>
      <w:r>
        <w:rPr>
          <w:rFonts w:hint="eastAsia" w:hAnsi="宋体"/>
        </w:rPr>
        <w:t>一株；阔苞菊、苦郎树等小灌木，宜种植于整个坡面，种植密度阔苞菊每1</w:t>
      </w:r>
      <w:r>
        <w:rPr>
          <w:rFonts w:hAnsi="宋体"/>
          <w:vertAlign w:val="superscript"/>
        </w:rPr>
        <w:t xml:space="preserve"> </w:t>
      </w:r>
      <w:r>
        <w:rPr>
          <w:rFonts w:hint="eastAsia" w:hAnsi="宋体"/>
        </w:rPr>
        <w:t>m</w:t>
      </w:r>
      <w:r>
        <w:rPr>
          <w:rFonts w:hAnsi="宋体"/>
          <w:vertAlign w:val="superscript"/>
        </w:rPr>
        <w:t>2</w:t>
      </w:r>
      <w:r>
        <w:rPr>
          <w:rFonts w:hint="eastAsia" w:hAnsi="宋体"/>
        </w:rPr>
        <w:t>5～15株，苦郎树苦郎树每1</w:t>
      </w:r>
      <w:r>
        <w:rPr>
          <w:rFonts w:hint="eastAsia" w:hAnsi="宋体"/>
          <w:vertAlign w:val="superscript"/>
        </w:rPr>
        <w:t xml:space="preserve"> </w:t>
      </w:r>
      <w:r>
        <w:rPr>
          <w:rFonts w:hint="eastAsia" w:hAnsi="宋体"/>
        </w:rPr>
        <w:t>m</w:t>
      </w:r>
      <w:r>
        <w:rPr>
          <w:rFonts w:hAnsi="宋体"/>
          <w:vertAlign w:val="superscript"/>
        </w:rPr>
        <w:t>2</w:t>
      </w:r>
      <w:r>
        <w:rPr>
          <w:rFonts w:hint="eastAsia" w:hAnsi="宋体"/>
        </w:rPr>
        <w:t>4～6株。</w:t>
      </w:r>
    </w:p>
    <w:p>
      <w:pPr>
        <w:pStyle w:val="108"/>
        <w:spacing w:before="120" w:after="120"/>
      </w:pPr>
      <w:r>
        <w:t>滨海耐盐植物修复</w:t>
      </w:r>
    </w:p>
    <w:p>
      <w:pPr>
        <w:pStyle w:val="59"/>
        <w:ind w:firstLine="420"/>
      </w:pPr>
      <w:r>
        <w:rPr>
          <w:rFonts w:hint="eastAsia"/>
        </w:rPr>
        <w:t>在堤围坡面和人工红树林湿地的陆地部分可以种植滨海耐盐植物，提升植物物种多样性。种植的滨海耐盐植物可选择露兜树、坡柳、草海桐、海刀豆、厚藤、海马齿等。</w:t>
      </w:r>
    </w:p>
    <w:p>
      <w:pPr>
        <w:pStyle w:val="107"/>
        <w:spacing w:before="240" w:after="240"/>
      </w:pPr>
      <w:r>
        <w:rPr>
          <w:rFonts w:hint="eastAsia"/>
        </w:rPr>
        <w:t>跑道</w:t>
      </w:r>
      <w:r>
        <w:t>养殖</w:t>
      </w:r>
    </w:p>
    <w:p>
      <w:pPr>
        <w:pStyle w:val="108"/>
        <w:spacing w:before="120" w:after="120"/>
      </w:pPr>
      <w:r>
        <w:t>养殖品种</w:t>
      </w:r>
    </w:p>
    <w:p>
      <w:pPr>
        <w:pStyle w:val="59"/>
        <w:ind w:firstLine="420"/>
      </w:pPr>
      <w:r>
        <w:rPr>
          <w:rFonts w:hint="eastAsia"/>
        </w:rPr>
        <w:t>跑道式养殖的主要品种宜为石斑鱼（</w:t>
      </w:r>
      <w:r>
        <w:rPr>
          <w:i/>
        </w:rPr>
        <w:t>Epinephelus</w:t>
      </w:r>
      <w:r>
        <w:t xml:space="preserve"> sp</w:t>
      </w:r>
      <w:r>
        <w:rPr>
          <w:rFonts w:hint="eastAsia"/>
        </w:rPr>
        <w:t>p</w:t>
      </w:r>
      <w:r>
        <w:t>.</w:t>
      </w:r>
      <w:r>
        <w:rPr>
          <w:rFonts w:hint="eastAsia"/>
        </w:rPr>
        <w:t>）、金钱鱼（</w:t>
      </w:r>
      <w:r>
        <w:rPr>
          <w:i/>
        </w:rPr>
        <w:t>Scatophagus argus</w:t>
      </w:r>
      <w:r>
        <w:rPr>
          <w:rFonts w:hint="eastAsia"/>
        </w:rPr>
        <w:t>）、大鳞鲻</w:t>
      </w:r>
      <w:r>
        <w:t>(</w:t>
      </w:r>
      <w:r>
        <w:rPr>
          <w:i/>
        </w:rPr>
        <w:t>Liza macrolepis</w:t>
      </w:r>
      <w:r>
        <w:t>)</w:t>
      </w:r>
      <w:r>
        <w:rPr>
          <w:rFonts w:hint="eastAsia"/>
        </w:rPr>
        <w:t>、篮子鱼（</w:t>
      </w:r>
      <w:r>
        <w:rPr>
          <w:rFonts w:hint="eastAsia"/>
          <w:i/>
        </w:rPr>
        <w:t>Siganus</w:t>
      </w:r>
      <w:r>
        <w:rPr>
          <w:rFonts w:hint="eastAsia"/>
        </w:rPr>
        <w:t xml:space="preserve"> spp.）等。</w:t>
      </w:r>
    </w:p>
    <w:p>
      <w:pPr>
        <w:pStyle w:val="108"/>
        <w:spacing w:before="120" w:after="120"/>
      </w:pPr>
      <w:r>
        <w:t>苗种规格及投放密度</w:t>
      </w:r>
    </w:p>
    <w:p>
      <w:pPr>
        <w:pStyle w:val="59"/>
        <w:ind w:firstLine="420"/>
      </w:pPr>
      <w:r>
        <w:t>投放苗种的规格见表</w:t>
      </w:r>
      <w:r>
        <w:rPr>
          <w:rFonts w:hint="eastAsia"/>
        </w:rPr>
        <w:t>1。</w:t>
      </w:r>
    </w:p>
    <w:p>
      <w:pPr>
        <w:pStyle w:val="59"/>
        <w:ind w:firstLine="420"/>
      </w:pPr>
    </w:p>
    <w:p>
      <w:pPr>
        <w:pStyle w:val="59"/>
        <w:ind w:firstLine="420"/>
      </w:pPr>
    </w:p>
    <w:p>
      <w:pPr>
        <w:pStyle w:val="59"/>
        <w:ind w:firstLine="420"/>
      </w:pPr>
    </w:p>
    <w:p>
      <w:pPr>
        <w:pStyle w:val="59"/>
        <w:ind w:firstLine="420"/>
      </w:pPr>
    </w:p>
    <w:p>
      <w:pPr>
        <w:pStyle w:val="115"/>
        <w:spacing w:before="120" w:after="120"/>
      </w:pPr>
      <w:r>
        <w:rPr>
          <w:rFonts w:hint="eastAsia"/>
        </w:rPr>
        <w:t>跑道养殖苗种规格及投苗密度</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904"/>
        <w:gridCol w:w="3328"/>
        <w:gridCol w:w="31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49" w:type="pct"/>
            <w:tcBorders>
              <w:top w:val="single" w:color="auto" w:sz="8" w:space="0"/>
              <w:bottom w:val="single" w:color="auto" w:sz="8" w:space="0"/>
            </w:tcBorders>
            <w:shd w:val="clear" w:color="auto" w:fill="auto"/>
            <w:vAlign w:val="center"/>
          </w:tcPr>
          <w:p>
            <w:pPr>
              <w:pStyle w:val="181"/>
            </w:pPr>
            <w:r>
              <w:rPr>
                <w:rFonts w:hint="eastAsia"/>
              </w:rPr>
              <w:t>养殖种类</w:t>
            </w:r>
          </w:p>
        </w:tc>
        <w:tc>
          <w:tcPr>
            <w:tcW w:w="1775" w:type="pct"/>
            <w:tcBorders>
              <w:top w:val="single" w:color="auto" w:sz="8" w:space="0"/>
              <w:bottom w:val="single" w:color="auto" w:sz="8" w:space="0"/>
            </w:tcBorders>
            <w:shd w:val="clear" w:color="auto" w:fill="auto"/>
            <w:vAlign w:val="center"/>
          </w:tcPr>
          <w:p>
            <w:pPr>
              <w:pStyle w:val="181"/>
            </w:pPr>
            <w:r>
              <w:rPr>
                <w:rFonts w:hint="eastAsia"/>
              </w:rPr>
              <w:t>苗种规格（cm）</w:t>
            </w:r>
          </w:p>
        </w:tc>
        <w:tc>
          <w:tcPr>
            <w:tcW w:w="1676" w:type="pct"/>
            <w:tcBorders>
              <w:top w:val="single" w:color="auto" w:sz="8" w:space="0"/>
              <w:bottom w:val="single" w:color="auto" w:sz="8" w:space="0"/>
            </w:tcBorders>
            <w:shd w:val="clear" w:color="auto" w:fill="auto"/>
            <w:vAlign w:val="center"/>
          </w:tcPr>
          <w:p>
            <w:pPr>
              <w:pStyle w:val="181"/>
            </w:pPr>
            <w:r>
              <w:rPr>
                <w:rFonts w:hint="eastAsia"/>
              </w:rPr>
              <w:t>投苗密度（尾/m</w:t>
            </w:r>
            <w:r>
              <w:rPr>
                <w:rFonts w:hint="eastAsia"/>
                <w:vertAlign w:val="superscript"/>
              </w:rPr>
              <w:t>2</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49" w:type="pct"/>
            <w:tcBorders>
              <w:top w:val="single" w:color="auto" w:sz="8" w:space="0"/>
            </w:tcBorders>
            <w:shd w:val="clear" w:color="auto" w:fill="auto"/>
            <w:vAlign w:val="center"/>
          </w:tcPr>
          <w:p>
            <w:pPr>
              <w:pStyle w:val="181"/>
            </w:pPr>
            <w:r>
              <w:rPr>
                <w:rFonts w:hint="eastAsia"/>
              </w:rPr>
              <w:t>石斑鱼</w:t>
            </w:r>
          </w:p>
        </w:tc>
        <w:tc>
          <w:tcPr>
            <w:tcW w:w="1775" w:type="pct"/>
            <w:tcBorders>
              <w:top w:val="single" w:color="auto" w:sz="8" w:space="0"/>
            </w:tcBorders>
            <w:shd w:val="clear" w:color="auto" w:fill="auto"/>
            <w:vAlign w:val="center"/>
          </w:tcPr>
          <w:p>
            <w:pPr>
              <w:pStyle w:val="181"/>
            </w:pPr>
            <w:r>
              <w:rPr>
                <w:rFonts w:hint="eastAsia"/>
              </w:rPr>
              <w:t>≥6.0</w:t>
            </w:r>
          </w:p>
        </w:tc>
        <w:tc>
          <w:tcPr>
            <w:tcW w:w="1676" w:type="pct"/>
            <w:tcBorders>
              <w:top w:val="single" w:color="auto" w:sz="8" w:space="0"/>
            </w:tcBorders>
            <w:shd w:val="clear" w:color="auto" w:fill="auto"/>
            <w:vAlign w:val="center"/>
          </w:tcPr>
          <w:p>
            <w:pPr>
              <w:pStyle w:val="181"/>
            </w:pPr>
            <w:r>
              <w:rPr>
                <w:rFonts w:hint="eastAsi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49" w:type="pct"/>
            <w:shd w:val="clear" w:color="auto" w:fill="auto"/>
            <w:vAlign w:val="center"/>
          </w:tcPr>
          <w:p>
            <w:pPr>
              <w:pStyle w:val="181"/>
            </w:pPr>
            <w:r>
              <w:rPr>
                <w:rFonts w:hint="eastAsia"/>
              </w:rPr>
              <w:t>金钱鱼</w:t>
            </w:r>
          </w:p>
        </w:tc>
        <w:tc>
          <w:tcPr>
            <w:tcW w:w="1775" w:type="pct"/>
            <w:shd w:val="clear" w:color="auto" w:fill="auto"/>
            <w:vAlign w:val="center"/>
          </w:tcPr>
          <w:p>
            <w:pPr>
              <w:pStyle w:val="181"/>
            </w:pPr>
            <w:r>
              <w:rPr>
                <w:rFonts w:hint="eastAsia"/>
              </w:rPr>
              <w:t>≥5.0</w:t>
            </w:r>
          </w:p>
        </w:tc>
        <w:tc>
          <w:tcPr>
            <w:tcW w:w="1676" w:type="pct"/>
            <w:shd w:val="clear" w:color="auto" w:fill="auto"/>
            <w:vAlign w:val="center"/>
          </w:tcPr>
          <w:p>
            <w:pPr>
              <w:pStyle w:val="181"/>
            </w:pPr>
            <w:r>
              <w:rPr>
                <w:rFonts w:hint="eastAsi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49" w:type="pct"/>
            <w:shd w:val="clear" w:color="auto" w:fill="auto"/>
            <w:vAlign w:val="center"/>
          </w:tcPr>
          <w:p>
            <w:pPr>
              <w:pStyle w:val="181"/>
            </w:pPr>
            <w:r>
              <w:rPr>
                <w:rFonts w:hint="eastAsia"/>
              </w:rPr>
              <w:t>大鳞鲻</w:t>
            </w:r>
          </w:p>
        </w:tc>
        <w:tc>
          <w:tcPr>
            <w:tcW w:w="1775" w:type="pct"/>
            <w:shd w:val="clear" w:color="auto" w:fill="auto"/>
            <w:vAlign w:val="center"/>
          </w:tcPr>
          <w:p>
            <w:pPr>
              <w:pStyle w:val="181"/>
            </w:pPr>
            <w:r>
              <w:rPr>
                <w:rFonts w:hint="eastAsia"/>
              </w:rPr>
              <w:t>≥8.0</w:t>
            </w:r>
          </w:p>
        </w:tc>
        <w:tc>
          <w:tcPr>
            <w:tcW w:w="1676" w:type="pct"/>
            <w:shd w:val="clear" w:color="auto" w:fill="auto"/>
            <w:vAlign w:val="center"/>
          </w:tcPr>
          <w:p>
            <w:pPr>
              <w:pStyle w:val="181"/>
            </w:pPr>
            <w:r>
              <w:rPr>
                <w:rFonts w:hint="eastAsi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49" w:type="pct"/>
            <w:tcBorders>
              <w:bottom w:val="single" w:color="auto" w:sz="8" w:space="0"/>
            </w:tcBorders>
            <w:shd w:val="clear" w:color="auto" w:fill="auto"/>
            <w:vAlign w:val="center"/>
          </w:tcPr>
          <w:p>
            <w:pPr>
              <w:pStyle w:val="181"/>
            </w:pPr>
            <w:r>
              <w:rPr>
                <w:rFonts w:hint="eastAsia"/>
              </w:rPr>
              <w:t>篮子鱼</w:t>
            </w:r>
          </w:p>
        </w:tc>
        <w:tc>
          <w:tcPr>
            <w:tcW w:w="1775" w:type="pct"/>
            <w:tcBorders>
              <w:bottom w:val="single" w:color="auto" w:sz="8" w:space="0"/>
            </w:tcBorders>
            <w:shd w:val="clear" w:color="auto" w:fill="auto"/>
            <w:vAlign w:val="center"/>
          </w:tcPr>
          <w:p>
            <w:pPr>
              <w:pStyle w:val="181"/>
            </w:pPr>
            <w:r>
              <w:rPr>
                <w:rFonts w:hint="eastAsia"/>
              </w:rPr>
              <w:t>≥5.0</w:t>
            </w:r>
          </w:p>
        </w:tc>
        <w:tc>
          <w:tcPr>
            <w:tcW w:w="1676" w:type="pct"/>
            <w:tcBorders>
              <w:bottom w:val="single" w:color="auto" w:sz="8" w:space="0"/>
            </w:tcBorders>
            <w:shd w:val="clear" w:color="auto" w:fill="auto"/>
            <w:vAlign w:val="center"/>
          </w:tcPr>
          <w:p>
            <w:pPr>
              <w:pStyle w:val="181"/>
            </w:pPr>
            <w:r>
              <w:rPr>
                <w:rFonts w:hint="eastAsia"/>
              </w:rPr>
              <w:t>3</w:t>
            </w:r>
          </w:p>
        </w:tc>
      </w:tr>
    </w:tbl>
    <w:p>
      <w:pPr>
        <w:pStyle w:val="108"/>
        <w:spacing w:before="120" w:after="120"/>
      </w:pPr>
      <w:r>
        <w:t>饲料投喂</w:t>
      </w:r>
    </w:p>
    <w:p>
      <w:pPr>
        <w:pStyle w:val="59"/>
        <w:ind w:firstLine="420"/>
      </w:pPr>
      <w:r>
        <w:t>投喂符合GB/T 22919.6</w:t>
      </w:r>
      <w:r>
        <w:rPr>
          <w:rFonts w:hint="eastAsia"/>
        </w:rPr>
        <w:t>和NY/T 3474规定的人工配合饲料。按鱼类生长不同时期选用不同大小颗粒的配合饲料。投喂时，先投沉性的石斑鱼配合饲料，然后再投喂浮性的海水鱼配合饲料，每天上午、下午各投喂1次，投喂量宜为鱼类生物量的3％</w:t>
      </w:r>
      <w:r>
        <w:rPr>
          <w:rFonts w:hint="eastAsia" w:hAnsi="宋体"/>
        </w:rPr>
        <w:t>～</w:t>
      </w:r>
      <w:r>
        <w:rPr>
          <w:rFonts w:hint="eastAsia"/>
        </w:rPr>
        <w:t>5％，根据鱼类摄食情况酌情增减。</w:t>
      </w:r>
    </w:p>
    <w:p>
      <w:pPr>
        <w:pStyle w:val="108"/>
        <w:spacing w:before="120" w:after="120"/>
      </w:pPr>
      <w:r>
        <w:t>水质调控</w:t>
      </w:r>
    </w:p>
    <w:p>
      <w:pPr>
        <w:pStyle w:val="59"/>
        <w:ind w:firstLine="420"/>
      </w:pPr>
      <w:r>
        <w:t>跑道内的养殖水体</w:t>
      </w:r>
      <w:r>
        <w:rPr>
          <w:rFonts w:hint="eastAsia"/>
        </w:rPr>
        <w:t>，</w:t>
      </w:r>
      <w:r>
        <w:t>通过启动配套的集排污装置进行污染物收集和处理以净化水质</w:t>
      </w:r>
      <w:r>
        <w:rPr>
          <w:rFonts w:hint="eastAsia"/>
        </w:rPr>
        <w:t>。</w:t>
      </w:r>
      <w:r>
        <w:t>跑道外红树林湿地的水体</w:t>
      </w:r>
      <w:r>
        <w:rPr>
          <w:rFonts w:hint="eastAsia"/>
        </w:rPr>
        <w:t>，</w:t>
      </w:r>
      <w:r>
        <w:t>通过控制主水门的开启</w:t>
      </w:r>
      <w:r>
        <w:rPr>
          <w:rFonts w:hint="eastAsia"/>
        </w:rPr>
        <w:t>，</w:t>
      </w:r>
      <w:r>
        <w:t>控制与外海水体交换以进行水质调控</w:t>
      </w:r>
      <w:r>
        <w:rPr>
          <w:rFonts w:hint="eastAsia"/>
        </w:rPr>
        <w:t>。</w:t>
      </w:r>
    </w:p>
    <w:p>
      <w:pPr>
        <w:pStyle w:val="108"/>
        <w:spacing w:before="120" w:after="120"/>
      </w:pPr>
      <w:r>
        <w:t>日常管理</w:t>
      </w:r>
    </w:p>
    <w:p>
      <w:pPr>
        <w:pStyle w:val="59"/>
        <w:ind w:firstLine="420"/>
      </w:pPr>
      <w:r>
        <w:rPr>
          <w:rFonts w:hint="eastAsia"/>
        </w:rPr>
        <w:t>养殖过程中定期进行溶解氧、酸碱度、氨氮、亚硝酸盐、硝酸盐、硫化物等养殖影响因子的监测和记录。每天早晚对鱼的摄食情况、活动情况进行监测，定期对鱼体进行健康指标抽检。</w:t>
      </w:r>
    </w:p>
    <w:p>
      <w:pPr>
        <w:pStyle w:val="108"/>
        <w:spacing w:before="120" w:after="120"/>
      </w:pPr>
      <w:r>
        <w:t>病害防治</w:t>
      </w:r>
    </w:p>
    <w:p>
      <w:pPr>
        <w:pStyle w:val="59"/>
        <w:ind w:firstLine="420"/>
      </w:pPr>
      <w:r>
        <w:rPr>
          <w:rFonts w:hint="eastAsia"/>
        </w:rPr>
        <w:t>出现病害时及时对病害做出诊断，并使用挂袋消毒法进行全网箱消毒处理，严格按</w:t>
      </w:r>
      <w:r>
        <w:t>NY 5071的</w:t>
      </w:r>
      <w:r>
        <w:rPr>
          <w:rFonts w:hint="eastAsia"/>
        </w:rPr>
        <w:t>规定使用防治药物。出现伤病鱼个体要及时捞出掩埋。</w:t>
      </w:r>
    </w:p>
    <w:p>
      <w:pPr>
        <w:pStyle w:val="108"/>
        <w:spacing w:before="120" w:after="120"/>
      </w:pPr>
      <w:r>
        <w:t>收获</w:t>
      </w:r>
    </w:p>
    <w:p>
      <w:pPr>
        <w:pStyle w:val="59"/>
        <w:ind w:firstLine="420"/>
      </w:pPr>
      <w:r>
        <w:rPr>
          <w:rFonts w:hint="eastAsia"/>
        </w:rPr>
        <w:t>养殖鱼类宜采用罾网或拉网捕获，施行抓大放小的轮捕方式。</w:t>
      </w:r>
    </w:p>
    <w:p>
      <w:pPr>
        <w:pStyle w:val="107"/>
        <w:spacing w:before="240" w:after="240"/>
      </w:pPr>
      <w:r>
        <w:t>人工红树林湿地经济动物增殖</w:t>
      </w:r>
    </w:p>
    <w:p>
      <w:pPr>
        <w:pStyle w:val="108"/>
        <w:spacing w:before="120" w:after="120"/>
      </w:pPr>
      <w:r>
        <w:rPr>
          <w:rFonts w:hint="eastAsia"/>
        </w:rPr>
        <w:t>增殖地点</w:t>
      </w:r>
    </w:p>
    <w:p>
      <w:pPr>
        <w:pStyle w:val="59"/>
        <w:ind w:firstLine="420"/>
      </w:pPr>
      <w:r>
        <w:rPr>
          <w:rFonts w:hint="eastAsia"/>
        </w:rPr>
        <w:t>增殖地点主要为红树林湿地内的增殖沟，其次为涨潮时红树林湿地的水体。</w:t>
      </w:r>
    </w:p>
    <w:p>
      <w:pPr>
        <w:pStyle w:val="108"/>
        <w:spacing w:before="120" w:after="120"/>
      </w:pPr>
      <w:r>
        <w:rPr>
          <w:rFonts w:hint="eastAsia"/>
        </w:rPr>
        <w:t>增殖品种</w:t>
      </w:r>
    </w:p>
    <w:p>
      <w:pPr>
        <w:pStyle w:val="59"/>
        <w:ind w:firstLine="420"/>
      </w:pPr>
      <w:r>
        <w:rPr>
          <w:rFonts w:hint="eastAsia"/>
        </w:rPr>
        <w:t>湿地增殖选择滤食性、草食性、杂食性的品种进行粗放的生态混养。人工苗种主要包括斑节对虾（</w:t>
      </w:r>
      <w:r>
        <w:rPr>
          <w:rFonts w:hint="eastAsia"/>
          <w:i/>
        </w:rPr>
        <w:t>Penaeus monodon</w:t>
      </w:r>
      <w:r>
        <w:rPr>
          <w:rFonts w:hint="eastAsia"/>
        </w:rPr>
        <w:t>）、凡纳滨对虾（</w:t>
      </w:r>
      <w:r>
        <w:rPr>
          <w:rFonts w:hint="eastAsia"/>
          <w:i/>
        </w:rPr>
        <w:t>Penaeus vannamei</w:t>
      </w:r>
      <w:r>
        <w:rPr>
          <w:rFonts w:hint="eastAsia"/>
        </w:rPr>
        <w:t>，南美白对虾）、拟穴青蟹</w:t>
      </w:r>
      <w:r>
        <w:t>(</w:t>
      </w:r>
      <w:r>
        <w:rPr>
          <w:i/>
        </w:rPr>
        <w:t>Scylla paramamosain</w:t>
      </w:r>
      <w:r>
        <w:t>)</w:t>
      </w:r>
      <w:r>
        <w:rPr>
          <w:rFonts w:hint="eastAsia"/>
        </w:rPr>
        <w:t>、大鳞鲻(</w:t>
      </w:r>
      <w:r>
        <w:rPr>
          <w:rFonts w:hint="eastAsia"/>
          <w:i/>
        </w:rPr>
        <w:t>Liza macrolepis</w:t>
      </w:r>
      <w:r>
        <w:rPr>
          <w:rFonts w:hint="eastAsia"/>
        </w:rPr>
        <w:t>)、黄鳍棘鲷（</w:t>
      </w:r>
      <w:r>
        <w:rPr>
          <w:i/>
        </w:rPr>
        <w:t>Acanthopagrus latus</w:t>
      </w:r>
      <w:r>
        <w:rPr>
          <w:rFonts w:hint="eastAsia"/>
        </w:rPr>
        <w:t>）、蓝子鱼（</w:t>
      </w:r>
      <w:r>
        <w:rPr>
          <w:rFonts w:hint="eastAsia"/>
          <w:i/>
        </w:rPr>
        <w:t>Siganus</w:t>
      </w:r>
      <w:r>
        <w:rPr>
          <w:rFonts w:hint="eastAsia"/>
        </w:rPr>
        <w:t xml:space="preserve"> spp.）、金钱鱼（</w:t>
      </w:r>
      <w:r>
        <w:rPr>
          <w:i/>
        </w:rPr>
        <w:t>Scatophagus argus</w:t>
      </w:r>
      <w:r>
        <w:rPr>
          <w:rFonts w:hint="eastAsia"/>
        </w:rPr>
        <w:t>）和细鳞鯻（</w:t>
      </w:r>
      <w:r>
        <w:rPr>
          <w:i/>
        </w:rPr>
        <w:t>Terapon jarbua</w:t>
      </w:r>
      <w:r>
        <w:rPr>
          <w:rFonts w:hint="eastAsia"/>
        </w:rPr>
        <w:t>）。</w:t>
      </w:r>
    </w:p>
    <w:p>
      <w:pPr>
        <w:pStyle w:val="108"/>
        <w:spacing w:before="120" w:after="120"/>
      </w:pPr>
      <w:r>
        <w:t>放养苗种规格与密度</w:t>
      </w:r>
    </w:p>
    <w:p>
      <w:pPr>
        <w:pStyle w:val="59"/>
        <w:ind w:firstLine="420"/>
      </w:pPr>
      <w:r>
        <w:rPr>
          <w:rFonts w:hint="eastAsia"/>
        </w:rPr>
        <w:t>人工红树林湿地增殖放养种类、规格及密度见表2。</w:t>
      </w:r>
    </w:p>
    <w:p>
      <w:pPr>
        <w:pStyle w:val="115"/>
        <w:spacing w:before="120" w:after="120"/>
      </w:pPr>
      <w:r>
        <w:rPr>
          <w:rFonts w:hint="eastAsia"/>
        </w:rPr>
        <w:t>人工红树林湿地增殖放养种类、规格及密度</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957"/>
        <w:gridCol w:w="3410"/>
        <w:gridCol w:w="30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577" w:type="pct"/>
            <w:tcBorders>
              <w:top w:val="single" w:color="auto" w:sz="8" w:space="0"/>
              <w:bottom w:val="single" w:color="auto" w:sz="8" w:space="0"/>
            </w:tcBorders>
            <w:shd w:val="clear" w:color="auto" w:fill="auto"/>
            <w:vAlign w:val="center"/>
          </w:tcPr>
          <w:p>
            <w:pPr>
              <w:pStyle w:val="181"/>
            </w:pPr>
            <w:r>
              <w:t>种类</w:t>
            </w:r>
          </w:p>
        </w:tc>
        <w:tc>
          <w:tcPr>
            <w:tcW w:w="1819" w:type="pct"/>
            <w:tcBorders>
              <w:top w:val="single" w:color="auto" w:sz="8" w:space="0"/>
              <w:bottom w:val="single" w:color="auto" w:sz="8" w:space="0"/>
            </w:tcBorders>
            <w:shd w:val="clear" w:color="auto" w:fill="auto"/>
            <w:vAlign w:val="center"/>
          </w:tcPr>
          <w:p>
            <w:pPr>
              <w:pStyle w:val="181"/>
            </w:pPr>
            <w:r>
              <w:t>规格</w:t>
            </w:r>
            <w:r>
              <w:rPr>
                <w:rFonts w:hint="eastAsia"/>
              </w:rPr>
              <w:t>（cm）</w:t>
            </w:r>
          </w:p>
        </w:tc>
        <w:tc>
          <w:tcPr>
            <w:tcW w:w="1604" w:type="pct"/>
            <w:tcBorders>
              <w:top w:val="single" w:color="auto" w:sz="8" w:space="0"/>
              <w:bottom w:val="single" w:color="auto" w:sz="8" w:space="0"/>
            </w:tcBorders>
            <w:shd w:val="clear" w:color="auto" w:fill="auto"/>
            <w:vAlign w:val="center"/>
          </w:tcPr>
          <w:p>
            <w:pPr>
              <w:pStyle w:val="181"/>
            </w:pPr>
            <w:r>
              <w:t>密度</w:t>
            </w:r>
            <w:r>
              <w:rPr>
                <w:rFonts w:hint="eastAsia"/>
              </w:rPr>
              <w:t>（尾、只/</w:t>
            </w:r>
            <w:r>
              <w:t>667</w:t>
            </w:r>
            <w:r>
              <w:rPr>
                <w:vertAlign w:val="superscript"/>
              </w:rPr>
              <w:t xml:space="preserve"> </w:t>
            </w:r>
            <w:r>
              <w:rPr>
                <w:rFonts w:hint="eastAsia"/>
              </w:rPr>
              <w:t>m</w:t>
            </w:r>
            <w:r>
              <w:rPr>
                <w:vertAlign w:val="superscript"/>
              </w:rPr>
              <w:t>2</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tcBorders>
              <w:top w:val="single" w:color="auto" w:sz="8" w:space="0"/>
            </w:tcBorders>
            <w:shd w:val="clear" w:color="auto" w:fill="auto"/>
            <w:vAlign w:val="center"/>
          </w:tcPr>
          <w:p>
            <w:pPr>
              <w:pStyle w:val="181"/>
            </w:pPr>
            <w:r>
              <w:t>斑节对虾</w:t>
            </w:r>
          </w:p>
        </w:tc>
        <w:tc>
          <w:tcPr>
            <w:tcW w:w="1819" w:type="pct"/>
            <w:tcBorders>
              <w:top w:val="single" w:color="auto" w:sz="8" w:space="0"/>
            </w:tcBorders>
            <w:shd w:val="clear" w:color="auto" w:fill="auto"/>
            <w:vAlign w:val="center"/>
          </w:tcPr>
          <w:p>
            <w:pPr>
              <w:pStyle w:val="181"/>
            </w:pPr>
            <w:r>
              <w:rPr>
                <w:rFonts w:hint="eastAsia"/>
              </w:rPr>
              <w:t>＞1.2</w:t>
            </w:r>
          </w:p>
        </w:tc>
        <w:tc>
          <w:tcPr>
            <w:tcW w:w="1604" w:type="pct"/>
            <w:tcBorders>
              <w:top w:val="single" w:color="auto" w:sz="8" w:space="0"/>
            </w:tcBorders>
            <w:shd w:val="clear" w:color="auto" w:fill="auto"/>
            <w:vAlign w:val="center"/>
          </w:tcPr>
          <w:p>
            <w:pPr>
              <w:pStyle w:val="181"/>
            </w:pPr>
            <w:r>
              <w:rPr>
                <w:rFonts w:hint="eastAsia"/>
              </w:rPr>
              <w:t>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凡纳滨对虾</w:t>
            </w:r>
          </w:p>
        </w:tc>
        <w:tc>
          <w:tcPr>
            <w:tcW w:w="1819" w:type="pct"/>
            <w:shd w:val="clear" w:color="auto" w:fill="auto"/>
            <w:vAlign w:val="center"/>
          </w:tcPr>
          <w:p>
            <w:pPr>
              <w:pStyle w:val="181"/>
            </w:pPr>
            <w:r>
              <w:rPr>
                <w:rFonts w:hint="eastAsia"/>
              </w:rPr>
              <w:t>＞1.2</w:t>
            </w:r>
          </w:p>
        </w:tc>
        <w:tc>
          <w:tcPr>
            <w:tcW w:w="1604" w:type="pct"/>
            <w:shd w:val="clear" w:color="auto" w:fill="auto"/>
            <w:vAlign w:val="center"/>
          </w:tcPr>
          <w:p>
            <w:pPr>
              <w:pStyle w:val="181"/>
            </w:pPr>
            <w:r>
              <w:rPr>
                <w:rFonts w:hint="eastAsia"/>
              </w:rPr>
              <w:t>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拟穴青蟹</w:t>
            </w:r>
          </w:p>
        </w:tc>
        <w:tc>
          <w:tcPr>
            <w:tcW w:w="1819" w:type="pct"/>
            <w:shd w:val="clear" w:color="auto" w:fill="auto"/>
            <w:vAlign w:val="center"/>
          </w:tcPr>
          <w:p>
            <w:pPr>
              <w:pStyle w:val="181"/>
            </w:pPr>
            <w:r>
              <w:rPr>
                <w:rFonts w:hint="eastAsia"/>
              </w:rPr>
              <w:t>3.0</w:t>
            </w:r>
            <w:r>
              <w:rPr>
                <w:rFonts w:hint="eastAsia" w:hAnsi="宋体"/>
              </w:rPr>
              <w:t>～4.0</w:t>
            </w:r>
          </w:p>
        </w:tc>
        <w:tc>
          <w:tcPr>
            <w:tcW w:w="1604" w:type="pct"/>
            <w:shd w:val="clear" w:color="auto" w:fill="auto"/>
            <w:vAlign w:val="center"/>
          </w:tcPr>
          <w:p>
            <w:pPr>
              <w:pStyle w:val="181"/>
            </w:pPr>
            <w:r>
              <w:rPr>
                <w:rFonts w:hint="eastAsia"/>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大鳞鲻</w:t>
            </w:r>
          </w:p>
        </w:tc>
        <w:tc>
          <w:tcPr>
            <w:tcW w:w="1819" w:type="pct"/>
            <w:shd w:val="clear" w:color="auto" w:fill="auto"/>
            <w:vAlign w:val="center"/>
          </w:tcPr>
          <w:p>
            <w:pPr>
              <w:pStyle w:val="181"/>
            </w:pPr>
            <w:r>
              <w:rPr>
                <w:rFonts w:hint="eastAsia"/>
              </w:rPr>
              <w:t>3.0</w:t>
            </w:r>
            <w:r>
              <w:rPr>
                <w:rFonts w:hint="eastAsia" w:hAnsi="宋体"/>
              </w:rPr>
              <w:t>～5.0</w:t>
            </w:r>
          </w:p>
        </w:tc>
        <w:tc>
          <w:tcPr>
            <w:tcW w:w="1604" w:type="pct"/>
            <w:shd w:val="clear" w:color="auto" w:fill="auto"/>
            <w:vAlign w:val="center"/>
          </w:tcPr>
          <w:p>
            <w:pPr>
              <w:pStyle w:val="181"/>
            </w:pPr>
            <w:r>
              <w:rPr>
                <w:rFonts w:hint="eastAsia"/>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黄鳍棘鲷</w:t>
            </w:r>
          </w:p>
        </w:tc>
        <w:tc>
          <w:tcPr>
            <w:tcW w:w="1819" w:type="pct"/>
            <w:shd w:val="clear" w:color="auto" w:fill="auto"/>
            <w:vAlign w:val="center"/>
          </w:tcPr>
          <w:p>
            <w:pPr>
              <w:pStyle w:val="181"/>
            </w:pPr>
            <w:r>
              <w:rPr>
                <w:rFonts w:hint="eastAsia"/>
              </w:rPr>
              <w:t>2.0</w:t>
            </w:r>
            <w:r>
              <w:rPr>
                <w:rFonts w:hint="eastAsia" w:hAnsi="宋体"/>
              </w:rPr>
              <w:t>～3.0</w:t>
            </w:r>
          </w:p>
        </w:tc>
        <w:tc>
          <w:tcPr>
            <w:tcW w:w="1604" w:type="pct"/>
            <w:shd w:val="clear" w:color="auto" w:fill="auto"/>
            <w:vAlign w:val="center"/>
          </w:tcPr>
          <w:p>
            <w:pPr>
              <w:pStyle w:val="181"/>
            </w:pPr>
            <w:r>
              <w:rPr>
                <w:rFonts w:hint="eastAsia"/>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篮子鱼</w:t>
            </w:r>
          </w:p>
        </w:tc>
        <w:tc>
          <w:tcPr>
            <w:tcW w:w="1819" w:type="pct"/>
            <w:shd w:val="clear" w:color="auto" w:fill="auto"/>
            <w:vAlign w:val="center"/>
          </w:tcPr>
          <w:p>
            <w:pPr>
              <w:pStyle w:val="181"/>
            </w:pPr>
            <w:r>
              <w:rPr>
                <w:rFonts w:hint="eastAsia"/>
              </w:rPr>
              <w:t>2.0</w:t>
            </w:r>
            <w:r>
              <w:rPr>
                <w:rFonts w:hint="eastAsia" w:hAnsi="宋体"/>
              </w:rPr>
              <w:t>～3.0</w:t>
            </w:r>
          </w:p>
        </w:tc>
        <w:tc>
          <w:tcPr>
            <w:tcW w:w="1604" w:type="pct"/>
            <w:shd w:val="clear" w:color="auto" w:fill="auto"/>
            <w:vAlign w:val="center"/>
          </w:tcPr>
          <w:p>
            <w:pPr>
              <w:pStyle w:val="181"/>
            </w:pPr>
            <w:r>
              <w:rPr>
                <w:rFonts w:hint="eastAsia"/>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shd w:val="clear" w:color="auto" w:fill="auto"/>
            <w:vAlign w:val="center"/>
          </w:tcPr>
          <w:p>
            <w:pPr>
              <w:pStyle w:val="181"/>
            </w:pPr>
            <w:r>
              <w:t>金钱鱼</w:t>
            </w:r>
          </w:p>
        </w:tc>
        <w:tc>
          <w:tcPr>
            <w:tcW w:w="1819" w:type="pct"/>
            <w:shd w:val="clear" w:color="auto" w:fill="auto"/>
            <w:vAlign w:val="center"/>
          </w:tcPr>
          <w:p>
            <w:pPr>
              <w:pStyle w:val="181"/>
            </w:pPr>
            <w:r>
              <w:rPr>
                <w:rFonts w:hint="eastAsia"/>
              </w:rPr>
              <w:t>2.0</w:t>
            </w:r>
            <w:r>
              <w:rPr>
                <w:rFonts w:hint="eastAsia" w:hAnsi="宋体"/>
              </w:rPr>
              <w:t>～3.0</w:t>
            </w:r>
          </w:p>
        </w:tc>
        <w:tc>
          <w:tcPr>
            <w:tcW w:w="1604" w:type="pct"/>
            <w:shd w:val="clear" w:color="auto" w:fill="auto"/>
            <w:vAlign w:val="center"/>
          </w:tcPr>
          <w:p>
            <w:pPr>
              <w:pStyle w:val="181"/>
            </w:pPr>
            <w:r>
              <w:rPr>
                <w:rFonts w:hint="eastAsia"/>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77" w:type="pct"/>
            <w:tcBorders>
              <w:bottom w:val="single" w:color="auto" w:sz="8" w:space="0"/>
            </w:tcBorders>
            <w:shd w:val="clear" w:color="auto" w:fill="auto"/>
            <w:vAlign w:val="center"/>
          </w:tcPr>
          <w:p>
            <w:pPr>
              <w:pStyle w:val="181"/>
            </w:pPr>
            <w:r>
              <w:t>细鳞鯻</w:t>
            </w:r>
          </w:p>
        </w:tc>
        <w:tc>
          <w:tcPr>
            <w:tcW w:w="1819" w:type="pct"/>
            <w:tcBorders>
              <w:bottom w:val="single" w:color="auto" w:sz="8" w:space="0"/>
            </w:tcBorders>
            <w:shd w:val="clear" w:color="auto" w:fill="auto"/>
            <w:vAlign w:val="center"/>
          </w:tcPr>
          <w:p>
            <w:pPr>
              <w:pStyle w:val="181"/>
            </w:pPr>
            <w:r>
              <w:rPr>
                <w:rFonts w:hint="eastAsia"/>
              </w:rPr>
              <w:t>2.0</w:t>
            </w:r>
            <w:r>
              <w:rPr>
                <w:rFonts w:hint="eastAsia" w:hAnsi="宋体"/>
              </w:rPr>
              <w:t>～3.0</w:t>
            </w:r>
          </w:p>
        </w:tc>
        <w:tc>
          <w:tcPr>
            <w:tcW w:w="1604" w:type="pct"/>
            <w:tcBorders>
              <w:bottom w:val="single" w:color="auto" w:sz="8" w:space="0"/>
            </w:tcBorders>
            <w:shd w:val="clear" w:color="auto" w:fill="auto"/>
            <w:vAlign w:val="center"/>
          </w:tcPr>
          <w:p>
            <w:pPr>
              <w:pStyle w:val="181"/>
            </w:pPr>
            <w:r>
              <w:rPr>
                <w:rFonts w:hint="eastAsia"/>
              </w:rPr>
              <w:t>60</w:t>
            </w:r>
          </w:p>
        </w:tc>
      </w:tr>
    </w:tbl>
    <w:p>
      <w:pPr>
        <w:pStyle w:val="108"/>
        <w:spacing w:before="120" w:after="120"/>
      </w:pPr>
      <w:r>
        <w:t>饲料</w:t>
      </w:r>
    </w:p>
    <w:p>
      <w:pPr>
        <w:pStyle w:val="68"/>
        <w:spacing w:before="120" w:after="120"/>
      </w:pPr>
      <w:r>
        <w:rPr>
          <w:rFonts w:hint="eastAsia"/>
        </w:rPr>
        <w:t>天</w:t>
      </w:r>
      <w:r>
        <w:t>然饲料</w:t>
      </w:r>
    </w:p>
    <w:p>
      <w:pPr>
        <w:pStyle w:val="59"/>
        <w:ind w:firstLine="420"/>
      </w:pPr>
      <w:r>
        <w:t>早期</w:t>
      </w:r>
      <w:r>
        <w:rPr>
          <w:rFonts w:hint="eastAsia"/>
        </w:rPr>
        <w:t>，增殖动物主要以集约化养殖排放到红树林湿地增殖沟内的残饵、有机物颗粒为食。此外，纳潮进入湿地的天然海区动物也可为增殖动物提供部分饵料。</w:t>
      </w:r>
    </w:p>
    <w:p>
      <w:pPr>
        <w:pStyle w:val="68"/>
        <w:spacing w:before="120" w:after="120"/>
      </w:pPr>
      <w:r>
        <w:t>人工补充饲料</w:t>
      </w:r>
    </w:p>
    <w:p>
      <w:pPr>
        <w:pStyle w:val="59"/>
        <w:ind w:firstLine="420"/>
      </w:pPr>
      <w:r>
        <w:rPr>
          <w:rFonts w:hint="eastAsia"/>
        </w:rPr>
        <w:t>后期，天然饵料不足以维持增殖种群，此时可每天投喂1次人工饲料进行营养物质补充。投喂符合</w:t>
      </w:r>
      <w:r>
        <w:t>GB/T 22919.1</w:t>
      </w:r>
      <w:r>
        <w:rPr>
          <w:rFonts w:hint="eastAsia"/>
        </w:rPr>
        <w:t>、</w:t>
      </w:r>
      <w:r>
        <w:t>GB/T 22919.</w:t>
      </w:r>
      <w:r>
        <w:rPr>
          <w:rFonts w:hint="eastAsia"/>
        </w:rPr>
        <w:t>5、</w:t>
      </w:r>
      <w:r>
        <w:t>GB/T 22919.</w:t>
      </w:r>
      <w:r>
        <w:rPr>
          <w:rFonts w:hint="eastAsia"/>
        </w:rPr>
        <w:t>6</w:t>
      </w:r>
      <w:r>
        <w:t>和NY/T 3474规定的</w:t>
      </w:r>
      <w:r>
        <w:rPr>
          <w:rFonts w:hint="eastAsia"/>
        </w:rPr>
        <w:t>对虾专用配合饲料和鱼类配合饲料，投喂量为湿地现存动物生物量的1％。</w:t>
      </w:r>
    </w:p>
    <w:p>
      <w:pPr>
        <w:pStyle w:val="108"/>
        <w:spacing w:before="120" w:after="120"/>
      </w:pPr>
      <w:r>
        <w:t>水质调控</w:t>
      </w:r>
    </w:p>
    <w:p>
      <w:pPr>
        <w:pStyle w:val="59"/>
        <w:ind w:firstLine="420"/>
      </w:pPr>
      <w:r>
        <w:t>增殖动物放养早期</w:t>
      </w:r>
      <w:r>
        <w:rPr>
          <w:rFonts w:hint="eastAsia"/>
        </w:rPr>
        <w:t>，</w:t>
      </w:r>
      <w:r>
        <w:t>主水门处于半开状态</w:t>
      </w:r>
      <w:r>
        <w:rPr>
          <w:rFonts w:hint="eastAsia"/>
        </w:rPr>
        <w:t>，</w:t>
      </w:r>
      <w:r>
        <w:t>人工红树林湿地的水体与外海进行水体交换</w:t>
      </w:r>
      <w:r>
        <w:rPr>
          <w:rFonts w:hint="eastAsia"/>
        </w:rPr>
        <w:t>，</w:t>
      </w:r>
      <w:r>
        <w:t>保持增殖沟的水深</w:t>
      </w:r>
      <w:r>
        <w:rPr>
          <w:rFonts w:hint="eastAsia" w:hAnsi="宋体"/>
        </w:rPr>
        <w:t>≥</w:t>
      </w:r>
      <w:r>
        <w:rPr>
          <w:rFonts w:hint="eastAsia"/>
        </w:rPr>
        <w:t>1.5</w:t>
      </w:r>
      <w:r>
        <w:rPr>
          <w:rFonts w:hint="eastAsia"/>
          <w:vertAlign w:val="superscript"/>
        </w:rPr>
        <w:t xml:space="preserve"> </w:t>
      </w:r>
      <w:r>
        <w:rPr>
          <w:rFonts w:hint="eastAsia"/>
        </w:rPr>
        <w:t>m，形成有利于红树林生长的潮汐状态。当集约化养殖池塘向人工红树林湿地排水时，关闭主水门10</w:t>
      </w:r>
      <w:r>
        <w:rPr>
          <w:vertAlign w:val="superscript"/>
        </w:rPr>
        <w:t xml:space="preserve"> </w:t>
      </w:r>
      <w:r>
        <w:rPr>
          <w:rFonts w:hint="eastAsia"/>
        </w:rPr>
        <w:t>d～15</w:t>
      </w:r>
      <w:r>
        <w:rPr>
          <w:vertAlign w:val="superscript"/>
        </w:rPr>
        <w:t xml:space="preserve"> </w:t>
      </w:r>
      <w:r>
        <w:rPr>
          <w:rFonts w:hint="eastAsia"/>
        </w:rPr>
        <w:t>d，以使养殖尾水得到净化。之后，再打开主水门处于半开，</w:t>
      </w:r>
      <w:r>
        <w:t>保持增殖沟的水深</w:t>
      </w:r>
      <w:r>
        <w:rPr>
          <w:rFonts w:hint="eastAsia" w:hAnsi="宋体"/>
        </w:rPr>
        <w:t>≥</w:t>
      </w:r>
      <w:r>
        <w:rPr>
          <w:rFonts w:hint="eastAsia"/>
        </w:rPr>
        <w:t>1.5</w:t>
      </w:r>
      <w:r>
        <w:rPr>
          <w:rFonts w:hint="eastAsia"/>
          <w:vertAlign w:val="superscript"/>
        </w:rPr>
        <w:t xml:space="preserve"> </w:t>
      </w:r>
      <w:r>
        <w:rPr>
          <w:rFonts w:hint="eastAsia"/>
        </w:rPr>
        <w:t>m，再次形成有利于红树林生长的潮汐状态。</w:t>
      </w:r>
    </w:p>
    <w:p>
      <w:pPr>
        <w:pStyle w:val="108"/>
        <w:spacing w:before="120" w:after="120"/>
      </w:pPr>
      <w:r>
        <w:t>收获</w:t>
      </w:r>
    </w:p>
    <w:p>
      <w:pPr>
        <w:pStyle w:val="59"/>
        <w:ind w:firstLine="420"/>
      </w:pPr>
      <w:r>
        <w:rPr>
          <w:rFonts w:hint="eastAsia"/>
        </w:rPr>
        <w:t>增殖动物宜采用笼捕和罾网捕获，施行抓大放小的轮捕方式。</w:t>
      </w:r>
    </w:p>
    <w:p>
      <w:pPr>
        <w:pStyle w:val="59"/>
        <w:ind w:firstLine="420"/>
      </w:pPr>
    </w:p>
    <w:bookmarkEnd w:id="21"/>
    <w:p>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bookmarkStart w:id="43" w:name="BookMark6"/>
    </w:p>
    <w:p>
      <w:pPr>
        <w:pStyle w:val="66"/>
        <w:spacing w:after="120"/>
      </w:pPr>
      <w:r>
        <w:rPr>
          <w:rFonts w:hint="eastAsia"/>
          <w:spacing w:val="105"/>
        </w:rPr>
        <w:t>参考文</w:t>
      </w:r>
      <w:r>
        <w:rPr>
          <w:rFonts w:hint="eastAsia"/>
        </w:rPr>
        <w:t>献</w:t>
      </w:r>
    </w:p>
    <w:p>
      <w:pPr>
        <w:pStyle w:val="59"/>
        <w:ind w:firstLine="420"/>
      </w:pPr>
      <w:r>
        <w:rPr>
          <w:rFonts w:hint="eastAsia"/>
        </w:rPr>
        <w:t>[</w:t>
      </w:r>
      <w:r>
        <w:t>1</w:t>
      </w:r>
      <w:r>
        <w:rPr>
          <w:rFonts w:hint="eastAsia"/>
        </w:rPr>
        <w:t>]  DB51/T 2908—2022  池塘循环水鱼类养殖技术规范</w:t>
      </w:r>
      <w:bookmarkStart w:id="45" w:name="_GoBack"/>
      <w:bookmarkEnd w:id="45"/>
    </w:p>
    <w:p>
      <w:pPr>
        <w:pStyle w:val="59"/>
        <w:ind w:firstLine="420"/>
      </w:pPr>
      <w:r>
        <w:rPr>
          <w:rFonts w:hint="eastAsia"/>
        </w:rPr>
        <w:t>[2]  Q/GM MH 04S—2020  跑道式养殖设施设备选型及安装规范</w:t>
      </w:r>
    </w:p>
    <w:bookmarkEnd w:id="43"/>
    <w:p>
      <w:pPr>
        <w:pStyle w:val="59"/>
        <w:ind w:firstLine="0" w:firstLineChars="0"/>
        <w:jc w:val="center"/>
      </w:pPr>
      <w:bookmarkStart w:id="44"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stretch>
                      <a:fillRect/>
                    </a:stretch>
                  </pic:blipFill>
                  <pic:spPr>
                    <a:xfrm>
                      <a:off x="0" y="0"/>
                      <a:ext cx="1485900" cy="317500"/>
                    </a:xfrm>
                    <a:prstGeom prst="rect">
                      <a:avLst/>
                    </a:prstGeom>
                  </pic:spPr>
                </pic:pic>
              </a:graphicData>
            </a:graphic>
          </wp:inline>
        </w:drawing>
      </w:r>
      <w:bookmarkEnd w:id="44"/>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Microsoft YaHei UI">
    <w:altName w:val="微软雅黑"/>
    <w:panose1 w:val="00000000000000000000"/>
    <w:charset w:val="86"/>
    <w:family w:val="swiss"/>
    <w:pitch w:val="default"/>
    <w:sig w:usb0="00000000" w:usb1="00000000" w:usb2="00000016" w:usb3="00000000" w:csb0="0004001F"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Bodoni MT Poster Compressed">
    <w:panose1 w:val="02070706080601050204"/>
    <w:charset w:val="00"/>
    <w:family w:val="auto"/>
    <w:pitch w:val="default"/>
    <w:sig w:usb0="00000003" w:usb1="00000000" w:usb2="00000000" w:usb3="00000000" w:csb0="20000011" w:csb1="00000000"/>
  </w:font>
  <w:font w:name="Berlin Sans FB Demi">
    <w:panose1 w:val="020E0802020502020306"/>
    <w:charset w:val="00"/>
    <w:family w:val="auto"/>
    <w:pitch w:val="default"/>
    <w:sig w:usb0="00000003" w:usb1="00000000" w:usb2="00000000" w:usb3="00000000" w:csb0="20000001" w:csb1="00000000"/>
  </w:font>
  <w:font w:name="Baskerville Old Face">
    <w:panose1 w:val="02020602080505020303"/>
    <w:charset w:val="00"/>
    <w:family w:val="auto"/>
    <w:pitch w:val="default"/>
    <w:sig w:usb0="00000003" w:usb1="00000000" w:usb2="00000000" w:usb3="00000000" w:csb0="20000001" w:csb1="00000000"/>
  </w:font>
  <w:font w:name="Agency FB">
    <w:panose1 w:val="020B0503020202020204"/>
    <w:charset w:val="00"/>
    <w:family w:val="auto"/>
    <w:pitch w:val="default"/>
    <w:sig w:usb0="00000003" w:usb1="00000000" w:usb2="00000000" w:usb3="00000000" w:csb0="20000001" w:csb1="00000000"/>
  </w:font>
  <w:font w:name="Aharoni">
    <w:panose1 w:val="02010803020104030203"/>
    <w:charset w:val="00"/>
    <w:family w:val="auto"/>
    <w:pitch w:val="default"/>
    <w:sig w:usb0="00000801" w:usb1="00000000" w:usb2="00000000" w:usb3="00000000" w:csb0="00000020" w:csb1="002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567"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GeHp+QZpUpPeK5tu0adax5YuagRkiqfz95inTFXgm/5Y9VB9Vlyu3CmFc2N4R0z3I87mllBJFCi7J7OkFC5rkQ==" w:salt="Z8uq2mg6ENczchmRnVIsQ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A03F7D"/>
    <w:rsid w:val="0000040A"/>
    <w:rsid w:val="00000A94"/>
    <w:rsid w:val="00001579"/>
    <w:rsid w:val="00001972"/>
    <w:rsid w:val="00001D9A"/>
    <w:rsid w:val="00007B3A"/>
    <w:rsid w:val="000107E0"/>
    <w:rsid w:val="00011722"/>
    <w:rsid w:val="00011FDE"/>
    <w:rsid w:val="00012FFD"/>
    <w:rsid w:val="00014162"/>
    <w:rsid w:val="00014340"/>
    <w:rsid w:val="00016A9C"/>
    <w:rsid w:val="00020416"/>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689"/>
    <w:rsid w:val="000619E9"/>
    <w:rsid w:val="000622D4"/>
    <w:rsid w:val="0006357D"/>
    <w:rsid w:val="00067F1E"/>
    <w:rsid w:val="00071CC0"/>
    <w:rsid w:val="00071CFC"/>
    <w:rsid w:val="00073C8C"/>
    <w:rsid w:val="000757FB"/>
    <w:rsid w:val="00077B64"/>
    <w:rsid w:val="00080A1C"/>
    <w:rsid w:val="00082317"/>
    <w:rsid w:val="00083D2C"/>
    <w:rsid w:val="00086AA1"/>
    <w:rsid w:val="00087A77"/>
    <w:rsid w:val="00090CA6"/>
    <w:rsid w:val="00091345"/>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3BE"/>
    <w:rsid w:val="000B5855"/>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0F715B"/>
    <w:rsid w:val="000F7784"/>
    <w:rsid w:val="00104926"/>
    <w:rsid w:val="001075FF"/>
    <w:rsid w:val="00113A5B"/>
    <w:rsid w:val="00113B1E"/>
    <w:rsid w:val="0011711C"/>
    <w:rsid w:val="00124E4F"/>
    <w:rsid w:val="001260B7"/>
    <w:rsid w:val="001265CB"/>
    <w:rsid w:val="001321C6"/>
    <w:rsid w:val="001325C4"/>
    <w:rsid w:val="00133010"/>
    <w:rsid w:val="001338EE"/>
    <w:rsid w:val="00133AAE"/>
    <w:rsid w:val="00135323"/>
    <w:rsid w:val="001356C4"/>
    <w:rsid w:val="00135FC9"/>
    <w:rsid w:val="00137149"/>
    <w:rsid w:val="00137565"/>
    <w:rsid w:val="00140812"/>
    <w:rsid w:val="00141114"/>
    <w:rsid w:val="00142969"/>
    <w:rsid w:val="001446C2"/>
    <w:rsid w:val="001457E7"/>
    <w:rsid w:val="00145D9D"/>
    <w:rsid w:val="00146388"/>
    <w:rsid w:val="001529E5"/>
    <w:rsid w:val="00152FB3"/>
    <w:rsid w:val="00153C7E"/>
    <w:rsid w:val="00156B25"/>
    <w:rsid w:val="00156E1A"/>
    <w:rsid w:val="00157894"/>
    <w:rsid w:val="00157B55"/>
    <w:rsid w:val="00157C6F"/>
    <w:rsid w:val="001642FA"/>
    <w:rsid w:val="001649EB"/>
    <w:rsid w:val="00164BAF"/>
    <w:rsid w:val="00164FA8"/>
    <w:rsid w:val="00165065"/>
    <w:rsid w:val="00165434"/>
    <w:rsid w:val="0016580B"/>
    <w:rsid w:val="00165F49"/>
    <w:rsid w:val="00166B88"/>
    <w:rsid w:val="0016770A"/>
    <w:rsid w:val="00170152"/>
    <w:rsid w:val="00170804"/>
    <w:rsid w:val="001708E9"/>
    <w:rsid w:val="0017340B"/>
    <w:rsid w:val="00173FB1"/>
    <w:rsid w:val="001765E8"/>
    <w:rsid w:val="00176DFD"/>
    <w:rsid w:val="001852C9"/>
    <w:rsid w:val="00185647"/>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3C5C"/>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0A6"/>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58B"/>
    <w:rsid w:val="00210B15"/>
    <w:rsid w:val="002142EA"/>
    <w:rsid w:val="00215ADD"/>
    <w:rsid w:val="002204BB"/>
    <w:rsid w:val="00221B79"/>
    <w:rsid w:val="00221C6B"/>
    <w:rsid w:val="002221A2"/>
    <w:rsid w:val="002253A1"/>
    <w:rsid w:val="00225CF8"/>
    <w:rsid w:val="0022794E"/>
    <w:rsid w:val="00233D64"/>
    <w:rsid w:val="00234595"/>
    <w:rsid w:val="0023482A"/>
    <w:rsid w:val="002359CB"/>
    <w:rsid w:val="00241F12"/>
    <w:rsid w:val="00243540"/>
    <w:rsid w:val="0024497B"/>
    <w:rsid w:val="0024515B"/>
    <w:rsid w:val="00246021"/>
    <w:rsid w:val="0024666E"/>
    <w:rsid w:val="00247178"/>
    <w:rsid w:val="00247F52"/>
    <w:rsid w:val="00250B25"/>
    <w:rsid w:val="00250BBE"/>
    <w:rsid w:val="002515C2"/>
    <w:rsid w:val="0025194F"/>
    <w:rsid w:val="0026148A"/>
    <w:rsid w:val="00262696"/>
    <w:rsid w:val="00263630"/>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E49"/>
    <w:rsid w:val="002B7332"/>
    <w:rsid w:val="002B7F51"/>
    <w:rsid w:val="002C09E7"/>
    <w:rsid w:val="002C1E06"/>
    <w:rsid w:val="002C3BC1"/>
    <w:rsid w:val="002C3F07"/>
    <w:rsid w:val="002C5278"/>
    <w:rsid w:val="002C7EBB"/>
    <w:rsid w:val="002D06C1"/>
    <w:rsid w:val="002D42B5"/>
    <w:rsid w:val="002D4F1A"/>
    <w:rsid w:val="002D6EC6"/>
    <w:rsid w:val="002D7547"/>
    <w:rsid w:val="002D79AC"/>
    <w:rsid w:val="002E039D"/>
    <w:rsid w:val="002E4D5A"/>
    <w:rsid w:val="002E6326"/>
    <w:rsid w:val="002F18CB"/>
    <w:rsid w:val="002F30E0"/>
    <w:rsid w:val="002F35E4"/>
    <w:rsid w:val="002F3730"/>
    <w:rsid w:val="002F38E1"/>
    <w:rsid w:val="002F7AF6"/>
    <w:rsid w:val="00300E63"/>
    <w:rsid w:val="00302F5F"/>
    <w:rsid w:val="0030441D"/>
    <w:rsid w:val="00306063"/>
    <w:rsid w:val="00313A3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1CF"/>
    <w:rsid w:val="00352C83"/>
    <w:rsid w:val="00352F1A"/>
    <w:rsid w:val="0036107C"/>
    <w:rsid w:val="003615D2"/>
    <w:rsid w:val="0036429C"/>
    <w:rsid w:val="00364A53"/>
    <w:rsid w:val="003654CB"/>
    <w:rsid w:val="00365AA9"/>
    <w:rsid w:val="00365C32"/>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0C2"/>
    <w:rsid w:val="003E019F"/>
    <w:rsid w:val="003E091D"/>
    <w:rsid w:val="003E1C53"/>
    <w:rsid w:val="003E2A69"/>
    <w:rsid w:val="003E2D49"/>
    <w:rsid w:val="003E2FD4"/>
    <w:rsid w:val="003E49F6"/>
    <w:rsid w:val="003E660F"/>
    <w:rsid w:val="003F0841"/>
    <w:rsid w:val="003F23D3"/>
    <w:rsid w:val="003F3F08"/>
    <w:rsid w:val="003F49F1"/>
    <w:rsid w:val="003F6272"/>
    <w:rsid w:val="003F78B5"/>
    <w:rsid w:val="00400E72"/>
    <w:rsid w:val="00401400"/>
    <w:rsid w:val="004021A2"/>
    <w:rsid w:val="00404869"/>
    <w:rsid w:val="00405884"/>
    <w:rsid w:val="00407D39"/>
    <w:rsid w:val="0041477A"/>
    <w:rsid w:val="004167A3"/>
    <w:rsid w:val="004220C1"/>
    <w:rsid w:val="00432DAA"/>
    <w:rsid w:val="00434305"/>
    <w:rsid w:val="00435DF7"/>
    <w:rsid w:val="0044083F"/>
    <w:rsid w:val="00441AE7"/>
    <w:rsid w:val="00445574"/>
    <w:rsid w:val="004467FB"/>
    <w:rsid w:val="00452D6B"/>
    <w:rsid w:val="00454484"/>
    <w:rsid w:val="0045517B"/>
    <w:rsid w:val="00456C86"/>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848"/>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57F"/>
    <w:rsid w:val="00514174"/>
    <w:rsid w:val="00516088"/>
    <w:rsid w:val="00516B0B"/>
    <w:rsid w:val="005220EC"/>
    <w:rsid w:val="005237F3"/>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7CD"/>
    <w:rsid w:val="005479DA"/>
    <w:rsid w:val="00547BCC"/>
    <w:rsid w:val="0055013B"/>
    <w:rsid w:val="00551F6F"/>
    <w:rsid w:val="00555044"/>
    <w:rsid w:val="00557097"/>
    <w:rsid w:val="00561475"/>
    <w:rsid w:val="00562308"/>
    <w:rsid w:val="0056487B"/>
    <w:rsid w:val="00564FB9"/>
    <w:rsid w:val="00573D9E"/>
    <w:rsid w:val="005801E3"/>
    <w:rsid w:val="00581802"/>
    <w:rsid w:val="005836A8"/>
    <w:rsid w:val="0058409C"/>
    <w:rsid w:val="00584262"/>
    <w:rsid w:val="00584644"/>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A32"/>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47EC"/>
    <w:rsid w:val="00606419"/>
    <w:rsid w:val="00607D29"/>
    <w:rsid w:val="0061065F"/>
    <w:rsid w:val="00612952"/>
    <w:rsid w:val="00614CC1"/>
    <w:rsid w:val="00615A9D"/>
    <w:rsid w:val="00617387"/>
    <w:rsid w:val="006205D6"/>
    <w:rsid w:val="00623025"/>
    <w:rsid w:val="006242E4"/>
    <w:rsid w:val="006252D8"/>
    <w:rsid w:val="006259BC"/>
    <w:rsid w:val="0062636B"/>
    <w:rsid w:val="00632182"/>
    <w:rsid w:val="00632AE0"/>
    <w:rsid w:val="00633C17"/>
    <w:rsid w:val="00634D9E"/>
    <w:rsid w:val="00636E3E"/>
    <w:rsid w:val="006379F7"/>
    <w:rsid w:val="00637E4D"/>
    <w:rsid w:val="00640620"/>
    <w:rsid w:val="00641A1F"/>
    <w:rsid w:val="00642E70"/>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6801"/>
    <w:rsid w:val="006B18D7"/>
    <w:rsid w:val="006B2672"/>
    <w:rsid w:val="006B2CF3"/>
    <w:rsid w:val="006B3C8F"/>
    <w:rsid w:val="006B54BF"/>
    <w:rsid w:val="006B5F44"/>
    <w:rsid w:val="006B5F90"/>
    <w:rsid w:val="006B62E4"/>
    <w:rsid w:val="006C1BBA"/>
    <w:rsid w:val="006C2079"/>
    <w:rsid w:val="006C5A62"/>
    <w:rsid w:val="006C5D68"/>
    <w:rsid w:val="006C6976"/>
    <w:rsid w:val="006C6B8F"/>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39BE"/>
    <w:rsid w:val="00704387"/>
    <w:rsid w:val="00705D39"/>
    <w:rsid w:val="00707669"/>
    <w:rsid w:val="007078EE"/>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4EB"/>
    <w:rsid w:val="00774DA4"/>
    <w:rsid w:val="00776599"/>
    <w:rsid w:val="00776B3D"/>
    <w:rsid w:val="0078114B"/>
    <w:rsid w:val="00781DD2"/>
    <w:rsid w:val="00783ECF"/>
    <w:rsid w:val="0078413A"/>
    <w:rsid w:val="00786F97"/>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40ED"/>
    <w:rsid w:val="007D6518"/>
    <w:rsid w:val="007D76BD"/>
    <w:rsid w:val="007E0BF1"/>
    <w:rsid w:val="007E3DBC"/>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321"/>
    <w:rsid w:val="0083348C"/>
    <w:rsid w:val="00836944"/>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68D"/>
    <w:rsid w:val="008916F2"/>
    <w:rsid w:val="008928C9"/>
    <w:rsid w:val="008930CB"/>
    <w:rsid w:val="008938DC"/>
    <w:rsid w:val="00893FD1"/>
    <w:rsid w:val="0089440D"/>
    <w:rsid w:val="00894836"/>
    <w:rsid w:val="00895172"/>
    <w:rsid w:val="00895680"/>
    <w:rsid w:val="00896DFF"/>
    <w:rsid w:val="0089762C"/>
    <w:rsid w:val="008A173B"/>
    <w:rsid w:val="008A1893"/>
    <w:rsid w:val="008A57E6"/>
    <w:rsid w:val="008A6F81"/>
    <w:rsid w:val="008A769A"/>
    <w:rsid w:val="008B0C9C"/>
    <w:rsid w:val="008B166D"/>
    <w:rsid w:val="008B17F4"/>
    <w:rsid w:val="008B1DAE"/>
    <w:rsid w:val="008B3615"/>
    <w:rsid w:val="008B4AC4"/>
    <w:rsid w:val="008B50C8"/>
    <w:rsid w:val="008B5281"/>
    <w:rsid w:val="008B56A9"/>
    <w:rsid w:val="008B7E05"/>
    <w:rsid w:val="008C1797"/>
    <w:rsid w:val="008C2151"/>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134"/>
    <w:rsid w:val="008E4BB6"/>
    <w:rsid w:val="008E5518"/>
    <w:rsid w:val="008E6A84"/>
    <w:rsid w:val="008F0CDC"/>
    <w:rsid w:val="008F17A3"/>
    <w:rsid w:val="008F1ED3"/>
    <w:rsid w:val="008F4C29"/>
    <w:rsid w:val="008F70BD"/>
    <w:rsid w:val="008F788F"/>
    <w:rsid w:val="008F7EA2"/>
    <w:rsid w:val="00902722"/>
    <w:rsid w:val="009027BC"/>
    <w:rsid w:val="009029ED"/>
    <w:rsid w:val="0090422B"/>
    <w:rsid w:val="00904DAB"/>
    <w:rsid w:val="009062E6"/>
    <w:rsid w:val="00907F7E"/>
    <w:rsid w:val="00911BE5"/>
    <w:rsid w:val="00913CA9"/>
    <w:rsid w:val="0091432A"/>
    <w:rsid w:val="009145AE"/>
    <w:rsid w:val="009146CE"/>
    <w:rsid w:val="00914CA7"/>
    <w:rsid w:val="00915C3E"/>
    <w:rsid w:val="009161A8"/>
    <w:rsid w:val="009245AE"/>
    <w:rsid w:val="009245F5"/>
    <w:rsid w:val="009249EC"/>
    <w:rsid w:val="009273B3"/>
    <w:rsid w:val="009305B5"/>
    <w:rsid w:val="009326B1"/>
    <w:rsid w:val="00935AF7"/>
    <w:rsid w:val="009378DD"/>
    <w:rsid w:val="00941401"/>
    <w:rsid w:val="009429D5"/>
    <w:rsid w:val="00942BF1"/>
    <w:rsid w:val="00945180"/>
    <w:rsid w:val="00945428"/>
    <w:rsid w:val="0094607B"/>
    <w:rsid w:val="00953604"/>
    <w:rsid w:val="0095496B"/>
    <w:rsid w:val="00956645"/>
    <w:rsid w:val="00960F1E"/>
    <w:rsid w:val="009610DC"/>
    <w:rsid w:val="00961490"/>
    <w:rsid w:val="0096381A"/>
    <w:rsid w:val="00965E04"/>
    <w:rsid w:val="009674AD"/>
    <w:rsid w:val="00970CDC"/>
    <w:rsid w:val="009737A3"/>
    <w:rsid w:val="00975727"/>
    <w:rsid w:val="00977010"/>
    <w:rsid w:val="00977D02"/>
    <w:rsid w:val="00977FF9"/>
    <w:rsid w:val="009809BB"/>
    <w:rsid w:val="00980BE1"/>
    <w:rsid w:val="0098364B"/>
    <w:rsid w:val="0098795E"/>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300"/>
    <w:rsid w:val="009C27F1"/>
    <w:rsid w:val="009C3152"/>
    <w:rsid w:val="009C3257"/>
    <w:rsid w:val="009C4CFA"/>
    <w:rsid w:val="009C5070"/>
    <w:rsid w:val="009C52D2"/>
    <w:rsid w:val="009D112C"/>
    <w:rsid w:val="009D1385"/>
    <w:rsid w:val="009D47FA"/>
    <w:rsid w:val="009D4C5B"/>
    <w:rsid w:val="009D50D2"/>
    <w:rsid w:val="009D6BCA"/>
    <w:rsid w:val="009E0F62"/>
    <w:rsid w:val="009E4A58"/>
    <w:rsid w:val="009E5A2D"/>
    <w:rsid w:val="009E5AB2"/>
    <w:rsid w:val="009E6219"/>
    <w:rsid w:val="009F03B3"/>
    <w:rsid w:val="009F38E3"/>
    <w:rsid w:val="00A0096C"/>
    <w:rsid w:val="00A01757"/>
    <w:rsid w:val="00A028C0"/>
    <w:rsid w:val="00A02BAE"/>
    <w:rsid w:val="00A03F7D"/>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ED7"/>
    <w:rsid w:val="00A3597D"/>
    <w:rsid w:val="00A36DD1"/>
    <w:rsid w:val="00A4006C"/>
    <w:rsid w:val="00A40091"/>
    <w:rsid w:val="00A4030F"/>
    <w:rsid w:val="00A41C79"/>
    <w:rsid w:val="00A41CB5"/>
    <w:rsid w:val="00A42CDF"/>
    <w:rsid w:val="00A4452E"/>
    <w:rsid w:val="00A4472C"/>
    <w:rsid w:val="00A447F6"/>
    <w:rsid w:val="00A44E69"/>
    <w:rsid w:val="00A4661E"/>
    <w:rsid w:val="00A55BD6"/>
    <w:rsid w:val="00A55D50"/>
    <w:rsid w:val="00A57142"/>
    <w:rsid w:val="00A648CD"/>
    <w:rsid w:val="00A6537A"/>
    <w:rsid w:val="00A67866"/>
    <w:rsid w:val="00A70B07"/>
    <w:rsid w:val="00A71262"/>
    <w:rsid w:val="00A723F8"/>
    <w:rsid w:val="00A77CCB"/>
    <w:rsid w:val="00A83D8D"/>
    <w:rsid w:val="00A8446B"/>
    <w:rsid w:val="00A8473F"/>
    <w:rsid w:val="00A862D6"/>
    <w:rsid w:val="00A8715E"/>
    <w:rsid w:val="00A9295B"/>
    <w:rsid w:val="00A93B09"/>
    <w:rsid w:val="00A952D7"/>
    <w:rsid w:val="00A95B90"/>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AFC"/>
    <w:rsid w:val="00B113DB"/>
    <w:rsid w:val="00B11D8A"/>
    <w:rsid w:val="00B12981"/>
    <w:rsid w:val="00B1348C"/>
    <w:rsid w:val="00B147DD"/>
    <w:rsid w:val="00B14E4C"/>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34E"/>
    <w:rsid w:val="00B56FBE"/>
    <w:rsid w:val="00B60ACF"/>
    <w:rsid w:val="00B62B58"/>
    <w:rsid w:val="00B65149"/>
    <w:rsid w:val="00B66567"/>
    <w:rsid w:val="00B66F52"/>
    <w:rsid w:val="00B66FE5"/>
    <w:rsid w:val="00B712C7"/>
    <w:rsid w:val="00B72880"/>
    <w:rsid w:val="00B73D15"/>
    <w:rsid w:val="00B758BF"/>
    <w:rsid w:val="00B77EC8"/>
    <w:rsid w:val="00B827A6"/>
    <w:rsid w:val="00B831CE"/>
    <w:rsid w:val="00B86677"/>
    <w:rsid w:val="00B87131"/>
    <w:rsid w:val="00B939B1"/>
    <w:rsid w:val="00B96D40"/>
    <w:rsid w:val="00B97386"/>
    <w:rsid w:val="00BA216E"/>
    <w:rsid w:val="00BA263B"/>
    <w:rsid w:val="00BA42B2"/>
    <w:rsid w:val="00BA58D4"/>
    <w:rsid w:val="00BA5B9E"/>
    <w:rsid w:val="00BA7C9A"/>
    <w:rsid w:val="00BB5BEE"/>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0050"/>
    <w:rsid w:val="00C32248"/>
    <w:rsid w:val="00C330F0"/>
    <w:rsid w:val="00C33E50"/>
    <w:rsid w:val="00C34C20"/>
    <w:rsid w:val="00C35A3E"/>
    <w:rsid w:val="00C41960"/>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0ED"/>
    <w:rsid w:val="00CB517D"/>
    <w:rsid w:val="00CC038D"/>
    <w:rsid w:val="00CC07A7"/>
    <w:rsid w:val="00CC08DB"/>
    <w:rsid w:val="00CC39FF"/>
    <w:rsid w:val="00CC3C2F"/>
    <w:rsid w:val="00CC4AC8"/>
    <w:rsid w:val="00CC5233"/>
    <w:rsid w:val="00CC5DE6"/>
    <w:rsid w:val="00CC6E4E"/>
    <w:rsid w:val="00CC6F13"/>
    <w:rsid w:val="00CC6FE8"/>
    <w:rsid w:val="00CC7202"/>
    <w:rsid w:val="00CD03D0"/>
    <w:rsid w:val="00CD2808"/>
    <w:rsid w:val="00CD28BF"/>
    <w:rsid w:val="00CD4092"/>
    <w:rsid w:val="00CD4A20"/>
    <w:rsid w:val="00CD4C40"/>
    <w:rsid w:val="00CD50A1"/>
    <w:rsid w:val="00CD519E"/>
    <w:rsid w:val="00CE0C4F"/>
    <w:rsid w:val="00CE2BEE"/>
    <w:rsid w:val="00CE30EA"/>
    <w:rsid w:val="00CF048A"/>
    <w:rsid w:val="00CF155A"/>
    <w:rsid w:val="00CF2947"/>
    <w:rsid w:val="00CF686F"/>
    <w:rsid w:val="00CF6E60"/>
    <w:rsid w:val="00CF7BCA"/>
    <w:rsid w:val="00D008FD"/>
    <w:rsid w:val="00D00966"/>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D67"/>
    <w:rsid w:val="00D27EC4"/>
    <w:rsid w:val="00D32719"/>
    <w:rsid w:val="00D33333"/>
    <w:rsid w:val="00D352A2"/>
    <w:rsid w:val="00D4162B"/>
    <w:rsid w:val="00D4514F"/>
    <w:rsid w:val="00D451E2"/>
    <w:rsid w:val="00D45E89"/>
    <w:rsid w:val="00D45E8D"/>
    <w:rsid w:val="00D466AE"/>
    <w:rsid w:val="00D4734F"/>
    <w:rsid w:val="00D51BF3"/>
    <w:rsid w:val="00D559DE"/>
    <w:rsid w:val="00D64650"/>
    <w:rsid w:val="00D66846"/>
    <w:rsid w:val="00D669D6"/>
    <w:rsid w:val="00D675FB"/>
    <w:rsid w:val="00D67C31"/>
    <w:rsid w:val="00D71F25"/>
    <w:rsid w:val="00D72A9C"/>
    <w:rsid w:val="00D77031"/>
    <w:rsid w:val="00D84941"/>
    <w:rsid w:val="00D84FA1"/>
    <w:rsid w:val="00D851F0"/>
    <w:rsid w:val="00D86DB7"/>
    <w:rsid w:val="00D87BF5"/>
    <w:rsid w:val="00D90721"/>
    <w:rsid w:val="00D926D0"/>
    <w:rsid w:val="00D927E6"/>
    <w:rsid w:val="00D93030"/>
    <w:rsid w:val="00D93ADD"/>
    <w:rsid w:val="00D950E1"/>
    <w:rsid w:val="00D952A6"/>
    <w:rsid w:val="00D97F99"/>
    <w:rsid w:val="00DA1E08"/>
    <w:rsid w:val="00DA24F8"/>
    <w:rsid w:val="00DA28E8"/>
    <w:rsid w:val="00DA38D3"/>
    <w:rsid w:val="00DA3932"/>
    <w:rsid w:val="00DA3AFC"/>
    <w:rsid w:val="00DA64F8"/>
    <w:rsid w:val="00DA6C15"/>
    <w:rsid w:val="00DA73AA"/>
    <w:rsid w:val="00DB0258"/>
    <w:rsid w:val="00DB09BB"/>
    <w:rsid w:val="00DB188D"/>
    <w:rsid w:val="00DB38EE"/>
    <w:rsid w:val="00DB498B"/>
    <w:rsid w:val="00DB66CA"/>
    <w:rsid w:val="00DB6BCA"/>
    <w:rsid w:val="00DB6F54"/>
    <w:rsid w:val="00DB73F7"/>
    <w:rsid w:val="00DC0321"/>
    <w:rsid w:val="00DC1182"/>
    <w:rsid w:val="00DC3067"/>
    <w:rsid w:val="00DC370B"/>
    <w:rsid w:val="00DC5B90"/>
    <w:rsid w:val="00DD00FF"/>
    <w:rsid w:val="00DD0619"/>
    <w:rsid w:val="00DD07FB"/>
    <w:rsid w:val="00DD1F16"/>
    <w:rsid w:val="00DD25C6"/>
    <w:rsid w:val="00DD4FE5"/>
    <w:rsid w:val="00DD54B0"/>
    <w:rsid w:val="00DD54B7"/>
    <w:rsid w:val="00DD57EE"/>
    <w:rsid w:val="00DD6BCC"/>
    <w:rsid w:val="00DD7592"/>
    <w:rsid w:val="00DE0A4B"/>
    <w:rsid w:val="00DE2410"/>
    <w:rsid w:val="00DE2939"/>
    <w:rsid w:val="00DE65B0"/>
    <w:rsid w:val="00DE6E81"/>
    <w:rsid w:val="00DE703F"/>
    <w:rsid w:val="00DE7595"/>
    <w:rsid w:val="00DF1961"/>
    <w:rsid w:val="00DF1D36"/>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7DF1"/>
    <w:rsid w:val="00E44A83"/>
    <w:rsid w:val="00E502C1"/>
    <w:rsid w:val="00E502DD"/>
    <w:rsid w:val="00E50D3A"/>
    <w:rsid w:val="00E51387"/>
    <w:rsid w:val="00E51E68"/>
    <w:rsid w:val="00E52EFD"/>
    <w:rsid w:val="00E5408A"/>
    <w:rsid w:val="00E56800"/>
    <w:rsid w:val="00E57252"/>
    <w:rsid w:val="00E60C63"/>
    <w:rsid w:val="00E62FF9"/>
    <w:rsid w:val="00E635D6"/>
    <w:rsid w:val="00E639BC"/>
    <w:rsid w:val="00E664CC"/>
    <w:rsid w:val="00E70388"/>
    <w:rsid w:val="00E70BD2"/>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388"/>
    <w:rsid w:val="00EC562A"/>
    <w:rsid w:val="00ED036B"/>
    <w:rsid w:val="00ED067A"/>
    <w:rsid w:val="00ED1E01"/>
    <w:rsid w:val="00ED2B50"/>
    <w:rsid w:val="00EE0350"/>
    <w:rsid w:val="00EE0719"/>
    <w:rsid w:val="00EE0E80"/>
    <w:rsid w:val="00EE3CC6"/>
    <w:rsid w:val="00EE613F"/>
    <w:rsid w:val="00EE7295"/>
    <w:rsid w:val="00EE7869"/>
    <w:rsid w:val="00EF054A"/>
    <w:rsid w:val="00EF3235"/>
    <w:rsid w:val="00EF7E72"/>
    <w:rsid w:val="00F00C5B"/>
    <w:rsid w:val="00F06D37"/>
    <w:rsid w:val="00F07B9D"/>
    <w:rsid w:val="00F07BA3"/>
    <w:rsid w:val="00F11586"/>
    <w:rsid w:val="00F1183B"/>
    <w:rsid w:val="00F11C9F"/>
    <w:rsid w:val="00F12263"/>
    <w:rsid w:val="00F1409D"/>
    <w:rsid w:val="00F14214"/>
    <w:rsid w:val="00F157A9"/>
    <w:rsid w:val="00F16F00"/>
    <w:rsid w:val="00F2253B"/>
    <w:rsid w:val="00F25BB6"/>
    <w:rsid w:val="00F26B7E"/>
    <w:rsid w:val="00F27A3B"/>
    <w:rsid w:val="00F31802"/>
    <w:rsid w:val="00F32367"/>
    <w:rsid w:val="00F32780"/>
    <w:rsid w:val="00F33817"/>
    <w:rsid w:val="00F420D5"/>
    <w:rsid w:val="00F451EA"/>
    <w:rsid w:val="00F45447"/>
    <w:rsid w:val="00F456C6"/>
    <w:rsid w:val="00F4577B"/>
    <w:rsid w:val="00F45FEB"/>
    <w:rsid w:val="00F46496"/>
    <w:rsid w:val="00F474D0"/>
    <w:rsid w:val="00F50179"/>
    <w:rsid w:val="00F50DA4"/>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F42"/>
    <w:rsid w:val="00F95248"/>
    <w:rsid w:val="00F956A9"/>
    <w:rsid w:val="00F963ED"/>
    <w:rsid w:val="00F966CF"/>
    <w:rsid w:val="00F96CAE"/>
    <w:rsid w:val="00F97C99"/>
    <w:rsid w:val="00FA662D"/>
    <w:rsid w:val="00FA73B1"/>
    <w:rsid w:val="00FB0CB9"/>
    <w:rsid w:val="00FB231D"/>
    <w:rsid w:val="00FB35A4"/>
    <w:rsid w:val="00FB45F1"/>
    <w:rsid w:val="00FB4A72"/>
    <w:rsid w:val="00FB54E8"/>
    <w:rsid w:val="00FB7054"/>
    <w:rsid w:val="00FC17B7"/>
    <w:rsid w:val="00FC2CB7"/>
    <w:rsid w:val="00FC2CF4"/>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25E"/>
    <w:rsid w:val="00FF3E7D"/>
    <w:rsid w:val="00FF5B99"/>
    <w:rsid w:val="00FF730C"/>
    <w:rsid w:val="00FF73F4"/>
    <w:rsid w:val="00FF7CE4"/>
    <w:rsid w:val="00FF7E39"/>
    <w:rsid w:val="0D63594E"/>
    <w:rsid w:val="14515DD5"/>
    <w:rsid w:val="2C866B0B"/>
    <w:rsid w:val="46D31764"/>
    <w:rsid w:val="492B03C7"/>
    <w:rsid w:val="5F210A83"/>
    <w:rsid w:val="664B1C51"/>
    <w:rsid w:val="75B03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semiHidden/>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BAA2BAED4514C37A0558C04FBBD0CB5"/>
        <w:style w:val=""/>
        <w:category>
          <w:name w:val="常规"/>
          <w:gallery w:val="placeholder"/>
        </w:category>
        <w:types>
          <w:type w:val="bbPlcHdr"/>
        </w:types>
        <w:behaviors>
          <w:behavior w:val="content"/>
        </w:behaviors>
        <w:description w:val=""/>
        <w:guid w:val="{F1CA1DB8-B267-4CA7-AC20-821E59964D4D}"/>
      </w:docPartPr>
      <w:docPartBody>
        <w:p>
          <w:pPr>
            <w:pStyle w:val="5"/>
          </w:pPr>
          <w:r>
            <w:rPr>
              <w:rStyle w:val="4"/>
              <w:rFonts w:hint="eastAsia"/>
            </w:rPr>
            <w:t>单击或点击此处输入文字。</w:t>
          </w:r>
        </w:p>
      </w:docPartBody>
    </w:docPart>
    <w:docPart>
      <w:docPartPr>
        <w:name w:val="05C5979C1DDB4DE0A9A744796B5298E9"/>
        <w:style w:val=""/>
        <w:category>
          <w:name w:val="常规"/>
          <w:gallery w:val="placeholder"/>
        </w:category>
        <w:types>
          <w:type w:val="bbPlcHdr"/>
        </w:types>
        <w:behaviors>
          <w:behavior w:val="content"/>
        </w:behaviors>
        <w:description w:val=""/>
        <w:guid w:val="{611D9725-666F-420E-93DF-6A0C7F53BB25}"/>
      </w:docPartPr>
      <w:docPartBody>
        <w:p>
          <w:pPr>
            <w:pStyle w:val="6"/>
          </w:pPr>
          <w:r>
            <w:rPr>
              <w:rStyle w:val="4"/>
              <w:rFonts w:hint="eastAsia"/>
            </w:rPr>
            <w:t>选择一项。</w:t>
          </w:r>
        </w:p>
      </w:docPartBody>
    </w:docPart>
    <w:docPart>
      <w:docPartPr>
        <w:name w:val="703C3BD898CE4925BD1C5CD8D08E9A42"/>
        <w:style w:val=""/>
        <w:category>
          <w:name w:val="常规"/>
          <w:gallery w:val="placeholder"/>
        </w:category>
        <w:types>
          <w:type w:val="bbPlcHdr"/>
        </w:types>
        <w:behaviors>
          <w:behavior w:val="content"/>
        </w:behaviors>
        <w:description w:val=""/>
        <w:guid w:val="{61D5F9FB-ACB0-4CBD-BF52-860FDCF92E3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7EF"/>
    <w:rsid w:val="0002759E"/>
    <w:rsid w:val="00046044"/>
    <w:rsid w:val="00051826"/>
    <w:rsid w:val="00082B6A"/>
    <w:rsid w:val="001036CF"/>
    <w:rsid w:val="001A211D"/>
    <w:rsid w:val="002B5B33"/>
    <w:rsid w:val="002D27AE"/>
    <w:rsid w:val="002D532F"/>
    <w:rsid w:val="00362BE0"/>
    <w:rsid w:val="00396CAC"/>
    <w:rsid w:val="003A70C7"/>
    <w:rsid w:val="003B7A84"/>
    <w:rsid w:val="003C763E"/>
    <w:rsid w:val="0046755E"/>
    <w:rsid w:val="004C477B"/>
    <w:rsid w:val="0054327B"/>
    <w:rsid w:val="00547D36"/>
    <w:rsid w:val="006608DC"/>
    <w:rsid w:val="0069198F"/>
    <w:rsid w:val="007027EF"/>
    <w:rsid w:val="00753E49"/>
    <w:rsid w:val="0077111F"/>
    <w:rsid w:val="00792E9E"/>
    <w:rsid w:val="007B321E"/>
    <w:rsid w:val="00835FC5"/>
    <w:rsid w:val="00957C95"/>
    <w:rsid w:val="00985961"/>
    <w:rsid w:val="00A15807"/>
    <w:rsid w:val="00B70B1A"/>
    <w:rsid w:val="00BF134C"/>
    <w:rsid w:val="00C11456"/>
    <w:rsid w:val="00C11E91"/>
    <w:rsid w:val="00C66BEE"/>
    <w:rsid w:val="00CB13A8"/>
    <w:rsid w:val="00DD0D04"/>
    <w:rsid w:val="00E22795"/>
    <w:rsid w:val="00E763F0"/>
    <w:rsid w:val="00EE30AE"/>
    <w:rsid w:val="00F71714"/>
    <w:rsid w:val="00FA1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BAA2BAED4514C37A0558C04FBBD0C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5C5979C1DDB4DE0A9A744796B5298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03C3BD898CE4925BD1C5CD8D08E9A4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81BC1D-DD2A-4347-892B-8D94BB833E06}">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10</Pages>
  <Words>3648</Words>
  <Characters>4260</Characters>
  <Lines>383</Lines>
  <Paragraphs>376</Paragraphs>
  <TotalTime>44</TotalTime>
  <ScaleCrop>false</ScaleCrop>
  <LinksUpToDate>false</LinksUpToDate>
  <CharactersWithSpaces>4394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2023-08-13T14:08:00Z</dcterms:created>
  <dc:creator>xb21cn</dc:creator>
  <dc:description>&lt;config cover="true" show_menu="true" version="1.0.0" doctype="SDKXY"&gt;_x000d_
&lt;/config&gt;</dc:description>
  <cp:lastModifiedBy>誰念誰川</cp:lastModifiedBy>
  <cp:lastPrinted>2023-08-30T11:15:00Z</cp:lastPrinted>
  <dcterms:modified xsi:type="dcterms:W3CDTF">2023-08-31T13:11:07Z</dcterms:modified>
  <dc:title>团体标准</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49A156DB5FA244B788E662A483E0C505_12</vt:lpwstr>
  </property>
  <property fmtid="{D5CDD505-2E9C-101B-9397-08002B2CF9AE}" pid="16" name="DoublePage">
    <vt:lpwstr>true</vt:lpwstr>
  </property>
</Properties>
</file>