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C7B9D" w:rsidRDefault="0082501E" w:rsidP="0082501E">
      <w:pPr>
        <w:spacing w:line="600" w:lineRule="exact"/>
        <w:jc w:val="center"/>
        <w:rPr>
          <w:rFonts w:ascii="方正小标宋简体" w:eastAsia="方正小标宋简体" w:hAnsi="宋体"/>
          <w:color w:val="000000"/>
          <w:sz w:val="44"/>
          <w:szCs w:val="44"/>
        </w:rPr>
      </w:pPr>
      <w:r>
        <w:rPr>
          <w:rFonts w:ascii="方正小标宋简体" w:eastAsia="方正小标宋简体" w:hAnsi="宋体" w:hint="eastAsia"/>
          <w:color w:val="000000"/>
          <w:sz w:val="44"/>
          <w:szCs w:val="44"/>
        </w:rPr>
        <w:t>团体标准《火龙果园间作野生花生生草栽培</w:t>
      </w:r>
    </w:p>
    <w:p w:rsidR="0082501E" w:rsidRDefault="0082501E" w:rsidP="0082501E">
      <w:pPr>
        <w:spacing w:line="600" w:lineRule="exact"/>
        <w:jc w:val="center"/>
        <w:rPr>
          <w:rFonts w:ascii="方正小标宋简体" w:eastAsia="方正小标宋简体" w:hAnsi="宋体" w:hint="eastAsia"/>
          <w:color w:val="000000"/>
          <w:sz w:val="44"/>
          <w:szCs w:val="44"/>
        </w:rPr>
      </w:pPr>
      <w:r>
        <w:rPr>
          <w:rFonts w:ascii="方正小标宋简体" w:eastAsia="方正小标宋简体" w:hAnsi="宋体" w:hint="eastAsia"/>
          <w:color w:val="000000"/>
          <w:sz w:val="44"/>
          <w:szCs w:val="44"/>
        </w:rPr>
        <w:t>技术规程》（征求</w:t>
      </w:r>
      <w:r>
        <w:rPr>
          <w:rFonts w:ascii="方正小标宋简体" w:eastAsia="方正小标宋简体" w:hAnsi="宋体"/>
          <w:color w:val="000000"/>
          <w:sz w:val="44"/>
          <w:szCs w:val="44"/>
        </w:rPr>
        <w:t>意见</w:t>
      </w:r>
      <w:r>
        <w:rPr>
          <w:rFonts w:ascii="方正小标宋简体" w:eastAsia="方正小标宋简体" w:hAnsi="宋体" w:hint="eastAsia"/>
          <w:color w:val="000000"/>
          <w:sz w:val="44"/>
          <w:szCs w:val="44"/>
        </w:rPr>
        <w:t>稿）编制说明</w:t>
      </w:r>
    </w:p>
    <w:p w:rsidR="0082501E" w:rsidRDefault="0082501E" w:rsidP="0082501E">
      <w:pPr>
        <w:autoSpaceDE w:val="0"/>
        <w:autoSpaceDN w:val="0"/>
        <w:adjustRightInd w:val="0"/>
        <w:spacing w:beforeLines="50" w:before="156" w:afterLines="50" w:after="156" w:line="560" w:lineRule="exact"/>
        <w:ind w:firstLineChars="200" w:firstLine="640"/>
        <w:jc w:val="left"/>
        <w:rPr>
          <w:rFonts w:ascii="黑体" w:eastAsia="黑体" w:hAnsi="黑体" w:cs="仿宋_GB2312" w:hint="eastAsia"/>
          <w:color w:val="000000"/>
          <w:sz w:val="32"/>
          <w:szCs w:val="32"/>
        </w:rPr>
      </w:pPr>
      <w:r>
        <w:rPr>
          <w:rFonts w:ascii="黑体" w:eastAsia="黑体" w:hAnsi="黑体" w:cs="仿宋_GB2312" w:hint="eastAsia"/>
          <w:color w:val="000000"/>
          <w:sz w:val="32"/>
          <w:szCs w:val="32"/>
        </w:rPr>
        <w:t>一、项目来源</w:t>
      </w:r>
      <w:bookmarkStart w:id="0" w:name="_GoBack"/>
      <w:bookmarkEnd w:id="0"/>
    </w:p>
    <w:p w:rsidR="0082501E" w:rsidRDefault="0082501E" w:rsidP="0082501E">
      <w:pPr>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根据《广西标准化协会关于下达202</w:t>
      </w:r>
      <w:r w:rsidRPr="00396051">
        <w:rPr>
          <w:rFonts w:ascii="仿宋_GB2312" w:eastAsia="仿宋_GB2312" w:hAnsi="宋体" w:hint="eastAsia"/>
          <w:sz w:val="32"/>
          <w:szCs w:val="32"/>
        </w:rPr>
        <w:t>3年第五十四批团体标准制修订项目计划的通知》（桂标协〔202</w:t>
      </w:r>
      <w:r w:rsidRPr="00396051">
        <w:rPr>
          <w:rFonts w:ascii="仿宋_GB2312" w:eastAsia="仿宋_GB2312" w:hAnsi="宋体"/>
          <w:sz w:val="32"/>
          <w:szCs w:val="32"/>
        </w:rPr>
        <w:t>3</w:t>
      </w:r>
      <w:r w:rsidRPr="00396051">
        <w:rPr>
          <w:rFonts w:ascii="仿宋_GB2312" w:eastAsia="仿宋_GB2312" w:hAnsi="宋体" w:hint="eastAsia"/>
          <w:sz w:val="32"/>
          <w:szCs w:val="32"/>
        </w:rPr>
        <w:t>〕</w:t>
      </w:r>
      <w:r w:rsidRPr="00396051">
        <w:rPr>
          <w:rFonts w:ascii="仿宋_GB2312" w:eastAsia="仿宋_GB2312" w:hAnsi="宋体"/>
          <w:sz w:val="32"/>
          <w:szCs w:val="32"/>
        </w:rPr>
        <w:t>187</w:t>
      </w:r>
      <w:r w:rsidRPr="00396051">
        <w:rPr>
          <w:rFonts w:ascii="仿宋_GB2312" w:eastAsia="仿宋_GB2312" w:hAnsi="宋体" w:hint="eastAsia"/>
          <w:sz w:val="32"/>
          <w:szCs w:val="32"/>
        </w:rPr>
        <w:t>号）文件精神，由广西壮族自治区农业科学院提出，广西壮族自治区农业科学院、广西农垦金光农场有限公司、广西南亚热带农业科学研究所等</w:t>
      </w:r>
      <w:r w:rsidRPr="00396051">
        <w:rPr>
          <w:rFonts w:ascii="仿宋_GB2312" w:eastAsia="仿宋_GB2312" w:hAnsi="宋体"/>
          <w:sz w:val="32"/>
          <w:szCs w:val="32"/>
        </w:rPr>
        <w:t>单位</w:t>
      </w:r>
      <w:r w:rsidRPr="00396051">
        <w:rPr>
          <w:rFonts w:ascii="仿宋_GB2312" w:eastAsia="仿宋_GB2312" w:hAnsi="宋体" w:hint="eastAsia"/>
          <w:sz w:val="32"/>
          <w:szCs w:val="32"/>
        </w:rPr>
        <w:t>共同起草的团体标准《火龙果园间作野生花生生草栽培技术规程》</w:t>
      </w:r>
      <w:r w:rsidRPr="00396051">
        <w:rPr>
          <w:rFonts w:ascii="仿宋_GB2312" w:eastAsia="仿宋_GB2312" w:hAnsi="宋体" w:hint="eastAsia"/>
          <w:sz w:val="32"/>
          <w:szCs w:val="28"/>
          <w:lang w:val="zh-CN"/>
        </w:rPr>
        <w:t>(项目编号：202</w:t>
      </w:r>
      <w:r w:rsidRPr="00396051">
        <w:rPr>
          <w:rFonts w:ascii="仿宋_GB2312" w:eastAsia="仿宋_GB2312" w:hAnsi="宋体"/>
          <w:sz w:val="32"/>
          <w:szCs w:val="28"/>
          <w:lang w:val="zh-CN"/>
        </w:rPr>
        <w:t>3</w:t>
      </w:r>
      <w:r w:rsidRPr="00396051">
        <w:rPr>
          <w:rFonts w:ascii="仿宋_GB2312" w:eastAsia="仿宋_GB2312" w:hAnsi="宋体" w:hint="eastAsia"/>
          <w:sz w:val="32"/>
          <w:szCs w:val="28"/>
          <w:lang w:val="zh-CN"/>
        </w:rPr>
        <w:t>-</w:t>
      </w:r>
      <w:r w:rsidRPr="00396051">
        <w:rPr>
          <w:rFonts w:ascii="仿宋_GB2312" w:eastAsia="仿宋_GB2312" w:hAnsi="宋体"/>
          <w:sz w:val="32"/>
          <w:szCs w:val="28"/>
          <w:lang w:val="zh-CN"/>
        </w:rPr>
        <w:t>5401</w:t>
      </w:r>
      <w:r w:rsidRPr="00396051">
        <w:rPr>
          <w:rFonts w:ascii="仿宋_GB2312" w:eastAsia="仿宋_GB2312" w:hAnsi="宋体" w:hint="eastAsia"/>
          <w:sz w:val="32"/>
          <w:szCs w:val="28"/>
          <w:lang w:val="zh-CN"/>
        </w:rPr>
        <w:t>)</w:t>
      </w:r>
      <w:r w:rsidRPr="00396051">
        <w:rPr>
          <w:rFonts w:ascii="仿宋_GB2312" w:eastAsia="仿宋_GB2312" w:hAnsi="宋体" w:hint="eastAsia"/>
          <w:sz w:val="32"/>
          <w:szCs w:val="32"/>
        </w:rPr>
        <w:t>。</w:t>
      </w:r>
    </w:p>
    <w:p w:rsidR="0082501E" w:rsidRDefault="0082501E" w:rsidP="0082501E">
      <w:pPr>
        <w:autoSpaceDE w:val="0"/>
        <w:autoSpaceDN w:val="0"/>
        <w:adjustRightInd w:val="0"/>
        <w:spacing w:beforeLines="50" w:before="156" w:afterLines="50" w:after="156" w:line="560" w:lineRule="exact"/>
        <w:ind w:firstLineChars="200" w:firstLine="640"/>
        <w:jc w:val="left"/>
        <w:rPr>
          <w:rFonts w:ascii="黑体" w:eastAsia="黑体" w:hAnsi="黑体" w:cs="仿宋_GB2312" w:hint="eastAsia"/>
          <w:color w:val="000000"/>
          <w:sz w:val="32"/>
          <w:szCs w:val="32"/>
        </w:rPr>
      </w:pPr>
      <w:r>
        <w:rPr>
          <w:rFonts w:ascii="黑体" w:eastAsia="黑体" w:hAnsi="黑体" w:cs="仿宋_GB2312" w:hint="eastAsia"/>
          <w:color w:val="000000"/>
          <w:sz w:val="32"/>
          <w:szCs w:val="32"/>
        </w:rPr>
        <w:t>二、项目背景及目的意义</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2021年中央一号文件》中指出坚持创新驱动发展，以推“三农”高质量发展为主题，生产生活方式绿色转型取得积极进展，化肥农药使用量持续减少，生态环境得到明显改善。农业农村部《关于落实好党中央、国务院2021年农业农业农村重点工作部署的实施意见》中指出科学做好农业防灾减灾，加强农作物病虫害监测预警，推广绿色防控技术和精准高效施药、轮换用药技术。《中华人民共和国国民经济和社会发展第十四个五年规划纲要》指出增强农业综合生产能力，加强农作物病虫害防治，推进农业绿色转型，深入实施农药化肥减量行动。</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2021年3月24日，《自治区农业农村厅关于印发自治区农业农村厅2021年工作要点的通知》（桂农厅发〔2021〕30号）提出“做大做强水果等优势特色产业。调优水果种植和品种结构，大力发展优质特色水果，力争水果产量增长12％以上”“深入推进农业绿</w:t>
      </w:r>
      <w:r>
        <w:rPr>
          <w:rFonts w:ascii="仿宋_GB2312" w:eastAsia="仿宋_GB2312" w:hAnsi="宋体" w:hint="eastAsia"/>
          <w:color w:val="000000"/>
          <w:sz w:val="32"/>
          <w:szCs w:val="32"/>
        </w:rPr>
        <w:lastRenderedPageBreak/>
        <w:t>色发展，持续改善农业生态环境。大力推行农业绿色生产方式。大力推广测土配方施肥、粪肥还田、秸秆还田、绿肥种植等节肥措施，实施优化好国家果菜茶有机肥替代化肥试点项目。持续推进化肥农药减量化”。2022年6月17日，《广西壮族自治区人民政府办公厅关于印发广西推进水果产业高质量发展实施方案的通知》（桂政办发〔2022〕41号）确定了：“一是园林水果产量保持全国前列。全区水果种植面积2000万亩，水果产量3200万吨。二是质量效益取得新突破。水果产业总产值在全国率先突破2000亿元，其中加工与观光业产值突破200亿元，实现流通增值600亿元，优质果品率突破80％。全区水果产值占种植业产值比例超过25％”等发展目标；提出“突出科技创新，坚持以标准为核心构建绿色生产体系。按照“有标采标、无标创标、全程贯标”的要求，推进绿色标准化生产，加大绿色防控、土壤调理力度，扩大生态果园规模，推行清洁生产”等措施，以推进广西水果产业高质量、绿色发展。</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火龙果，原产地在中美洲的热带雨林及沙漠地带，又叫仙蜜果、红龙果，芝麻果。果实中含有丰富的原花青素、植物蛋白、维生素、矿物质等多种物质，具有白嫩肌肤、抗衰老、淡化色素、平衡肌肤生态等美容功效。除了火龙果果肉以外，火龙果果花不仅能制茶，还能提取天然的植物精油；果茎中膳食纤维、黄酮类化合物含量丰富，是保健食品的重要加工原料；果皮富含果胶、色素及天然酶，可以应用食品集料的生产；果籽不饱和脂肪酸含量丰富，比一般植物油营养更高，具有较高的开发利用价值，是促进农民脱贫增收和乡村振兴的重要抓手。近年来，我国火龙果</w:t>
      </w:r>
      <w:r>
        <w:rPr>
          <w:rFonts w:ascii="仿宋_GB2312" w:eastAsia="仿宋_GB2312" w:hAnsi="宋体" w:hint="eastAsia"/>
          <w:color w:val="000000"/>
          <w:sz w:val="32"/>
          <w:szCs w:val="32"/>
        </w:rPr>
        <w:lastRenderedPageBreak/>
        <w:t>种植面积和产量稳步增长。火龙果主要分布于中国热区7省（区），包括广西、广东、云南、贵州、海南、台湾和福建；2021年，我国火龙果种植面积104万亩，赶超越南，问鼎世界第一的宝座；火龙果产量在160万吨左右。火龙果消费最初集中在广东、广西、海南及香港、澳门等南方省（区）。近些年，市场得到拓展，北上广深、湖南、浙江、重庆、东北四省区对火龙果需求越来越多。除国内消费外，也出口到马来西亚、俄罗斯、泰国等国家。</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广西地处热带和亚热带地区，光、热、水资源丰富，很适宜火龙果、龙眼、荔枝、芒果、沃柑等各类热带亚热带水果生长，近年来广西水果产业规模持续增长。据广西农业厅水果办统计数据，近两年广西水果面积超过2000万亩，总产达2400多万吨，成为中国最重要的水果供给省份与出口贸易省份之一。火龙果作为南亚热带新兴水果，根据广西水果技术指导总站的统计数据，截止2021年，广西火龙果总果园面积35.2万亩，产量59.69万吨，是全国栽培面积和产量最大的产区，种植面积每年都有明显的增长趋势，主产区为南宁、百色，为近年来增幅最快的水果之一。</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火龙果园间作野生花生生草栽培即采用多年生根茎区组野生花生</w:t>
      </w:r>
      <w:r w:rsidRPr="00200B1E">
        <w:rPr>
          <w:rFonts w:ascii="仿宋_GB2312" w:eastAsia="仿宋_GB2312" w:hAnsi="宋体" w:hint="eastAsia"/>
          <w:i/>
          <w:iCs/>
          <w:color w:val="000000"/>
          <w:sz w:val="32"/>
          <w:szCs w:val="32"/>
        </w:rPr>
        <w:t>A.glabrata</w:t>
      </w:r>
      <w:r>
        <w:rPr>
          <w:rFonts w:ascii="仿宋_GB2312" w:eastAsia="仿宋_GB2312" w:hAnsi="宋体" w:hint="eastAsia"/>
          <w:color w:val="000000"/>
          <w:sz w:val="32"/>
          <w:szCs w:val="32"/>
        </w:rPr>
        <w:t>（PI 262801）间作栽培火龙果。火龙果园间作野生花生生草栽培的优势在于：（1）生花生</w:t>
      </w:r>
      <w:r>
        <w:rPr>
          <w:rFonts w:ascii="仿宋_GB2312" w:eastAsia="仿宋_GB2312" w:hAnsi="宋体" w:hint="eastAsia"/>
          <w:i/>
          <w:iCs/>
          <w:color w:val="000000"/>
          <w:sz w:val="32"/>
          <w:szCs w:val="32"/>
        </w:rPr>
        <w:t>A.glabrata</w:t>
      </w:r>
      <w:r>
        <w:rPr>
          <w:rFonts w:ascii="仿宋_GB2312" w:eastAsia="仿宋_GB2312" w:hAnsi="宋体" w:hint="eastAsia"/>
          <w:color w:val="000000"/>
          <w:sz w:val="32"/>
          <w:szCs w:val="32"/>
        </w:rPr>
        <w:t>，属多年生豆科作物，扦插种植1次、且苗成活后，果园来年及未来几年都无需再进行扦插种植，能实现1次种植、果园多年受益。野生花生</w:t>
      </w:r>
      <w:r>
        <w:rPr>
          <w:rFonts w:ascii="仿宋_GB2312" w:eastAsia="仿宋_GB2312" w:hAnsi="宋体" w:hint="eastAsia"/>
          <w:i/>
          <w:iCs/>
          <w:color w:val="000000"/>
          <w:sz w:val="32"/>
          <w:szCs w:val="32"/>
        </w:rPr>
        <w:t>A.glabrata</w:t>
      </w:r>
      <w:r>
        <w:rPr>
          <w:rFonts w:ascii="仿宋_GB2312" w:eastAsia="仿宋_GB2312" w:hAnsi="宋体" w:hint="eastAsia"/>
          <w:color w:val="000000"/>
          <w:sz w:val="32"/>
          <w:szCs w:val="32"/>
        </w:rPr>
        <w:t xml:space="preserve"> 地上茎叶生长茂盛，覆盖土壤表面效果极好，地上茎叶高度只有15～20cm，不会影响火龙果地上部分的正常生长，也不会影响火龙果的开花和结果；地下根茎也生长旺盛、相互交错、</w:t>
      </w:r>
      <w:r>
        <w:rPr>
          <w:rFonts w:ascii="仿宋_GB2312" w:eastAsia="仿宋_GB2312" w:hAnsi="宋体" w:hint="eastAsia"/>
          <w:color w:val="000000"/>
          <w:sz w:val="32"/>
          <w:szCs w:val="32"/>
        </w:rPr>
        <w:lastRenderedPageBreak/>
        <w:t>盘根错节，能从地下和地上两方面同时抑制杂草的生长，栽培野生花生后可以不用喷施除草剂，也不用人工除草；很多绿肥主要靠地上生长旺盛抑制杂草生长；而且相比于其他绿肥，野生花生对深层土壤改善效果好。（2）野生花生</w:t>
      </w:r>
      <w:r>
        <w:rPr>
          <w:rFonts w:ascii="仿宋_GB2312" w:eastAsia="仿宋_GB2312" w:hAnsi="宋体" w:hint="eastAsia"/>
          <w:i/>
          <w:iCs/>
          <w:color w:val="000000"/>
          <w:sz w:val="32"/>
          <w:szCs w:val="32"/>
        </w:rPr>
        <w:t>A.glabrata</w:t>
      </w:r>
      <w:r>
        <w:rPr>
          <w:rFonts w:ascii="仿宋_GB2312" w:eastAsia="仿宋_GB2312" w:hAnsi="宋体" w:hint="eastAsia"/>
          <w:color w:val="000000"/>
          <w:sz w:val="32"/>
          <w:szCs w:val="32"/>
        </w:rPr>
        <w:t>是花生中最抗病、最抗旱、最耐荫的种质材料，由于本身无病虫害，与火龙果间作不会有共生病虫害或引起火龙果病虫害，无需精心管理；很多绿肥抗病虫害、抗旱能力一般，需要精心管理，有的绿肥会引起火龙果病虫害。（3）野生花生</w:t>
      </w:r>
      <w:r>
        <w:rPr>
          <w:rFonts w:ascii="仿宋_GB2312" w:eastAsia="仿宋_GB2312" w:hAnsi="宋体" w:hint="eastAsia"/>
          <w:i/>
          <w:iCs/>
          <w:color w:val="000000"/>
          <w:sz w:val="32"/>
          <w:szCs w:val="32"/>
        </w:rPr>
        <w:t>A.glabrata</w:t>
      </w:r>
      <w:r>
        <w:rPr>
          <w:rFonts w:ascii="仿宋_GB2312" w:eastAsia="仿宋_GB2312" w:hAnsi="宋体" w:hint="eastAsia"/>
          <w:color w:val="000000"/>
          <w:sz w:val="32"/>
          <w:szCs w:val="32"/>
        </w:rPr>
        <w:t>属于无限生长型，由于生长势强，每隔一段时间需要对地上部分（茎叶）进行刈割，刈割后的茎叶可直接还田于畦面，也可堆放在火龙果植株的茎基部周围，能增加土壤的有机质含量；由于地下根茎是存活的，会继续迅速萌发出大量幼嫩的茎叶。多数绿肥不是无限生长型，根据自身的生育期规律生长至死亡，即使需要刈割，刈割的次数也有限，刈割后绿肥植株即死亡，如紫花苜蓿、圆叶决明。（4）由于野生花生</w:t>
      </w:r>
      <w:r>
        <w:rPr>
          <w:rFonts w:ascii="仿宋_GB2312" w:eastAsia="仿宋_GB2312" w:hAnsi="宋体" w:hint="eastAsia"/>
          <w:i/>
          <w:iCs/>
          <w:color w:val="000000"/>
          <w:sz w:val="32"/>
          <w:szCs w:val="32"/>
        </w:rPr>
        <w:t>A.glabrata</w:t>
      </w:r>
      <w:r>
        <w:rPr>
          <w:rFonts w:ascii="仿宋_GB2312" w:eastAsia="仿宋_GB2312" w:hAnsi="宋体" w:hint="eastAsia"/>
          <w:color w:val="000000"/>
          <w:sz w:val="32"/>
          <w:szCs w:val="32"/>
        </w:rPr>
        <w:t>采用“井”字形开沟扦插，并按照适合的行间距扦插，地下根茎生长旺盛，野生花生覆盖果园的速度快。（5）本方法在对野生花生</w:t>
      </w:r>
      <w:r>
        <w:rPr>
          <w:rFonts w:ascii="仿宋_GB2312" w:eastAsia="仿宋_GB2312" w:hAnsi="宋体" w:hint="eastAsia"/>
          <w:i/>
          <w:iCs/>
          <w:color w:val="000000"/>
          <w:sz w:val="32"/>
          <w:szCs w:val="32"/>
        </w:rPr>
        <w:t>A.glabrata</w:t>
      </w:r>
      <w:r>
        <w:rPr>
          <w:rFonts w:ascii="仿宋_GB2312" w:eastAsia="仿宋_GB2312" w:hAnsi="宋体" w:hint="eastAsia"/>
          <w:color w:val="000000"/>
          <w:sz w:val="32"/>
          <w:szCs w:val="32"/>
        </w:rPr>
        <w:t>地上部分进行刈割时，在刈割部位上，割草机贴地对地上茎叶进行刈割即可；在刈割时间上，当野生花生花朵基本凋谢、叶片颜色整体呈现老绿时，用割草机对地上茎叶进行刈割，在广西南部如南宁，野生花生</w:t>
      </w:r>
      <w:r>
        <w:rPr>
          <w:rFonts w:ascii="仿宋_GB2312" w:eastAsia="仿宋_GB2312" w:hAnsi="宋体" w:hint="eastAsia"/>
          <w:i/>
          <w:iCs/>
          <w:color w:val="000000"/>
          <w:sz w:val="32"/>
          <w:szCs w:val="32"/>
        </w:rPr>
        <w:t>A.glabrata</w:t>
      </w:r>
      <w:r>
        <w:rPr>
          <w:rFonts w:ascii="仿宋_GB2312" w:eastAsia="仿宋_GB2312" w:hAnsi="宋体" w:hint="eastAsia"/>
          <w:color w:val="000000"/>
          <w:sz w:val="32"/>
          <w:szCs w:val="32"/>
        </w:rPr>
        <w:t>从开始抽新芽、开花到花朵全部凋谢、叶片颜色整体呈现老绿一般需要近3个月，所以每年对地上茎叶可刈割4次，分别在3月初、6月初、9月初和11月底。（6）本方法采用地膜起垄后，用1米的地膜平铺垄面，可以有效防止野生花生由于地上茎部匍匐生长并迅</w:t>
      </w:r>
      <w:r>
        <w:rPr>
          <w:rFonts w:ascii="仿宋_GB2312" w:eastAsia="仿宋_GB2312" w:hAnsi="宋体" w:hint="eastAsia"/>
          <w:color w:val="000000"/>
          <w:sz w:val="32"/>
          <w:szCs w:val="32"/>
        </w:rPr>
        <w:lastRenderedPageBreak/>
        <w:t>速向下扎根蔓延至火龙果茎基部和根部。</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起草单位自2020年开始，在武鸣（广西农业科学院里建试验基地）、扶绥（广西农垦金光有限公司龙山分场和同正分场）和龙州（广西南亚热带农业科学研究所）、明阳（广西农业科学院明阳试验基地）四个地方的火龙果基地同时进行火龙果间作野生花生生草栽培的种植示范，经过3年多的积累，示范种植面积达110亩。综合计算，火龙果作野花生模式对照火龙果纯作模式，可增加效益1725.4元/亩。火龙果种植用肥量较多，包括有机肥、复合肥、尿素等，每年施肥5～6次，肥料成本约3000元每亩。通过野花生间作，绿肥还田，不但肥效好，节省肥料，同时能够改善土壤结构，增加土壤保肥能力，更有利于火龙果对土壤肥力吸收，火龙果间做野花生模式下，野花生可年产生草800～1200kg，用于还田，可节约肥料成本12％，约360元。火龙果田间管理需要定期淋水补水，平均每亩须补充灌溉水约84.7立方，采用野花生间作模式可有效增强土地保水能力，同时降低地表温度，减少水分蒸发，可节约30％的补水量，节约用水约25.4立方，按每方水1元计算，可节约用水成本约25.4元。火龙果种植田间管理用工量大，特别是其种植规格行距宽、空间大，会导致大量杂草滋生，给田间管理造成很大压力。野花生本身生长力旺盛，有很强的抑草效果，可以有效解决这一问题，据统计，采用野花生间作前，火龙果种植每亩管理用工约43.7个，采用野花间作模式后，用工量降为34.8个，节省用工8.9个，节约率20.37％，按每个工100元计算，节约成本890元。当前，火龙果平均亩产可达3000公斤，多的可达5000公斤，随着火龙果间作野花生年限的增加，在其保水保肥及改善</w:t>
      </w:r>
      <w:r>
        <w:rPr>
          <w:rFonts w:ascii="仿宋_GB2312" w:eastAsia="仿宋_GB2312" w:hAnsi="宋体" w:hint="eastAsia"/>
          <w:color w:val="000000"/>
          <w:sz w:val="32"/>
          <w:szCs w:val="32"/>
        </w:rPr>
        <w:lastRenderedPageBreak/>
        <w:t>土壤微环境等综合作用下，火龙果植株长势更旺盛、产量也随之增加，从间作第三年开始，火龙果平均亩产增产100公斤，以每公斤3.0元的收购价计算，亩产增加收入300元。综上所述，采用火龙果间作野生花生模式，可在节省水肥、人工和增加火龙果产量方面，每亩直接增加效益约1500元。火龙果园间作野生花生生草栽培技术可在广西南宁、贵港、北海、钦州等桂南地区以及广东、海南等省推广应用，以后将会在桂南种植火龙果地区进行推广。</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通过制定团体标准《火龙果园间作野生花生生草栽培技术规程》，以标准为抓手，统一规范火龙果园间作野生花生生草栽培技术要求，用标准化手段，将能更好的指导火龙果园间作野生花生生草的栽培，对促进区内火龙果园间作野生花生生草栽培技术的推广应用，提高广西火龙果栽培技术水平，保障广西火龙果产品质量，助力广西乡村振兴，促进广西火龙果产业高质量发展具有重要意义。</w:t>
      </w:r>
    </w:p>
    <w:p w:rsidR="0082501E" w:rsidRDefault="0082501E" w:rsidP="0082501E">
      <w:pPr>
        <w:autoSpaceDE w:val="0"/>
        <w:autoSpaceDN w:val="0"/>
        <w:adjustRightInd w:val="0"/>
        <w:spacing w:beforeLines="50" w:before="156" w:afterLines="50" w:after="156" w:line="560" w:lineRule="exact"/>
        <w:ind w:firstLineChars="200" w:firstLine="640"/>
        <w:rPr>
          <w:rFonts w:ascii="黑体" w:eastAsia="黑体" w:hAnsi="黑体" w:cs="仿宋_GB2312" w:hint="eastAsia"/>
          <w:color w:val="000000"/>
          <w:sz w:val="32"/>
          <w:szCs w:val="32"/>
        </w:rPr>
      </w:pPr>
      <w:r>
        <w:rPr>
          <w:rFonts w:ascii="黑体" w:eastAsia="黑体" w:hAnsi="黑体" w:cs="仿宋_GB2312" w:hint="eastAsia"/>
          <w:color w:val="000000"/>
          <w:sz w:val="32"/>
          <w:szCs w:val="32"/>
        </w:rPr>
        <w:t>三、项目编制过程</w:t>
      </w:r>
    </w:p>
    <w:p w:rsidR="0082501E" w:rsidRDefault="0082501E" w:rsidP="0082501E">
      <w:pPr>
        <w:autoSpaceDE w:val="0"/>
        <w:autoSpaceDN w:val="0"/>
        <w:adjustRightInd w:val="0"/>
        <w:spacing w:beforeLines="50" w:before="156" w:afterLines="50" w:after="156" w:line="560" w:lineRule="exact"/>
        <w:ind w:firstLineChars="200" w:firstLine="643"/>
        <w:rPr>
          <w:rFonts w:ascii="楷体" w:eastAsia="楷体" w:hAnsi="楷体" w:cs="仿宋_GB2312" w:hint="eastAsia"/>
          <w:b/>
          <w:color w:val="000000"/>
          <w:sz w:val="32"/>
          <w:szCs w:val="32"/>
        </w:rPr>
      </w:pPr>
      <w:r>
        <w:rPr>
          <w:rFonts w:ascii="楷体" w:eastAsia="楷体" w:hAnsi="楷体" w:cs="仿宋_GB2312" w:hint="eastAsia"/>
          <w:b/>
          <w:color w:val="000000"/>
          <w:sz w:val="32"/>
          <w:szCs w:val="32"/>
        </w:rPr>
        <w:t>（一）成立标准编制工作组</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团体标准《火龙果园间作野生花生生草栽培技术规程》项目任务下达后，广西壮族自治区农业科学院成立了标准编制工作组，起草单位制定了起草编写方案与进度安排，明确任务职责，确定工作技术路线，开展标准研制工作。具体标准编制工作由广西壮族自治区农业科学院、广西农垦金光农场有限公司、广西南亚热带农业科学研究所等起草单位负责。</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编制工作组下设三个组，分别是资料收集组、草案编写组、</w:t>
      </w:r>
      <w:r>
        <w:rPr>
          <w:rFonts w:ascii="仿宋_GB2312" w:eastAsia="仿宋_GB2312" w:hAnsi="宋体" w:hint="eastAsia"/>
          <w:color w:val="000000"/>
          <w:sz w:val="32"/>
          <w:szCs w:val="32"/>
        </w:rPr>
        <w:lastRenderedPageBreak/>
        <w:t>标准实施组。</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资料收集组负责国内外有关火龙果园间作野生花生生草栽培技术的文献资料的查询、收集和整理工作，查阅前人对火龙果园间作野生花生生草栽培技术研究情况和目前科学界对此的研究进展。</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草案编写组负责起草标准草案、征求意见稿和标准编制说明、送审稿及编制说明的编写工作，包括后期召开征求意见会、网上征求意见，以及标准的不断修改和完善。</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标准实施组负责《火龙果园间作野生花生生草栽培技术规程》团体标准发布后，组织火龙果</w:t>
      </w:r>
      <w:r>
        <w:rPr>
          <w:rFonts w:ascii="仿宋_GB2312" w:eastAsia="仿宋_GB2312" w:hAnsi="宋体"/>
          <w:color w:val="000000"/>
          <w:sz w:val="32"/>
          <w:szCs w:val="32"/>
        </w:rPr>
        <w:t>栽培</w:t>
      </w:r>
      <w:r>
        <w:rPr>
          <w:rFonts w:ascii="仿宋_GB2312" w:eastAsia="仿宋_GB2312" w:hAnsi="宋体" w:hint="eastAsia"/>
          <w:color w:val="000000"/>
          <w:sz w:val="32"/>
          <w:szCs w:val="32"/>
        </w:rPr>
        <w:t>相关企业、果农开展标准宣贯培训会，对标准进行详细解读，让果农、科研技术人员等相关人员了解标准，并根据标准对火龙果园间作野生花生生草栽培技术的园地选择与规划、架式选择、苗木选择、种植、土肥水管理、整形修剪、病虫害防治、采收、</w:t>
      </w:r>
      <w:r>
        <w:rPr>
          <w:rFonts w:ascii="仿宋_GB2312" w:eastAsia="仿宋_GB2312" w:hAnsi="宋体"/>
          <w:color w:val="000000"/>
          <w:sz w:val="32"/>
          <w:szCs w:val="32"/>
        </w:rPr>
        <w:t>生产档案</w:t>
      </w:r>
      <w:r>
        <w:rPr>
          <w:rFonts w:ascii="仿宋_GB2312" w:eastAsia="仿宋_GB2312" w:hAnsi="宋体" w:hint="eastAsia"/>
          <w:color w:val="000000"/>
          <w:sz w:val="32"/>
          <w:szCs w:val="32"/>
        </w:rPr>
        <w:t>进行</w:t>
      </w:r>
      <w:r>
        <w:rPr>
          <w:rFonts w:ascii="仿宋_GB2312" w:eastAsia="仿宋_GB2312" w:hAnsi="宋体"/>
          <w:color w:val="000000"/>
          <w:sz w:val="32"/>
          <w:szCs w:val="32"/>
        </w:rPr>
        <w:t>规范</w:t>
      </w:r>
      <w:r>
        <w:rPr>
          <w:rFonts w:ascii="仿宋_GB2312" w:eastAsia="仿宋_GB2312" w:hAnsi="宋体" w:hint="eastAsia"/>
          <w:color w:val="000000"/>
          <w:sz w:val="32"/>
          <w:szCs w:val="32"/>
        </w:rPr>
        <w:t>，并对标准实施情况进行总结分析，不断对团体标准提出修正意见。</w:t>
      </w:r>
    </w:p>
    <w:p w:rsidR="0082501E" w:rsidRDefault="0082501E" w:rsidP="0082501E">
      <w:pPr>
        <w:autoSpaceDE w:val="0"/>
        <w:autoSpaceDN w:val="0"/>
        <w:adjustRightInd w:val="0"/>
        <w:spacing w:beforeLines="50" w:before="156" w:afterLines="50" w:after="156" w:line="560" w:lineRule="exact"/>
        <w:ind w:firstLineChars="200" w:firstLine="643"/>
        <w:rPr>
          <w:rFonts w:ascii="楷体" w:eastAsia="楷体" w:hAnsi="楷体" w:hint="eastAsia"/>
          <w:b/>
          <w:color w:val="000000"/>
          <w:sz w:val="32"/>
          <w:szCs w:val="32"/>
        </w:rPr>
      </w:pPr>
      <w:r>
        <w:rPr>
          <w:rFonts w:ascii="楷体" w:eastAsia="楷体" w:hAnsi="楷体" w:hint="eastAsia"/>
          <w:b/>
          <w:color w:val="000000"/>
          <w:sz w:val="32"/>
          <w:szCs w:val="32"/>
        </w:rPr>
        <w:t>（二）收集整理文献资料</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标准编制工作组收集了国内有关火龙果园间作野生花生生草栽培技术的相关文献资料。主要有：</w:t>
      </w:r>
    </w:p>
    <w:p w:rsidR="0082501E" w:rsidRPr="00A07A4E" w:rsidRDefault="0082501E" w:rsidP="0082501E">
      <w:pPr>
        <w:pStyle w:val="BodyText2"/>
        <w:spacing w:line="560" w:lineRule="exact"/>
        <w:ind w:firstLineChars="300" w:firstLine="960"/>
        <w:rPr>
          <w:rFonts w:ascii="仿宋_GB2312" w:eastAsia="仿宋_GB2312" w:hAnsi="宋体" w:hint="eastAsia"/>
          <w:color w:val="000000"/>
        </w:rPr>
      </w:pPr>
      <w:r w:rsidRPr="00A07A4E">
        <w:rPr>
          <w:rFonts w:ascii="仿宋_GB2312" w:eastAsia="仿宋_GB2312" w:hAnsi="宋体" w:hint="eastAsia"/>
          <w:color w:val="000000"/>
        </w:rPr>
        <w:t>NY/T 496  肥料合理使用准则  通则</w:t>
      </w:r>
    </w:p>
    <w:p w:rsidR="0082501E" w:rsidRPr="00A07A4E" w:rsidRDefault="0082501E" w:rsidP="0082501E">
      <w:pPr>
        <w:pStyle w:val="BodyText2"/>
        <w:spacing w:line="560" w:lineRule="exact"/>
        <w:ind w:firstLineChars="300" w:firstLine="960"/>
        <w:rPr>
          <w:rFonts w:ascii="仿宋_GB2312" w:eastAsia="仿宋_GB2312" w:hAnsi="宋体" w:hint="eastAsia"/>
          <w:color w:val="000000"/>
        </w:rPr>
      </w:pPr>
      <w:r w:rsidRPr="00A07A4E">
        <w:rPr>
          <w:rFonts w:ascii="仿宋_GB2312" w:eastAsia="仿宋_GB2312" w:hAnsi="宋体" w:hint="eastAsia"/>
          <w:color w:val="000000"/>
        </w:rPr>
        <w:t>NY/T 4233 火龙果 种苗</w:t>
      </w:r>
    </w:p>
    <w:p w:rsidR="0082501E" w:rsidRPr="00A07A4E" w:rsidRDefault="0082501E" w:rsidP="0082501E">
      <w:pPr>
        <w:pStyle w:val="BodyText2"/>
        <w:spacing w:line="560" w:lineRule="exact"/>
        <w:ind w:firstLineChars="300" w:firstLine="960"/>
        <w:rPr>
          <w:rFonts w:ascii="仿宋_GB2312" w:eastAsia="仿宋_GB2312" w:hAnsi="宋体" w:hint="eastAsia"/>
          <w:color w:val="000000"/>
        </w:rPr>
      </w:pPr>
      <w:r w:rsidRPr="00A07A4E">
        <w:rPr>
          <w:rFonts w:ascii="仿宋_GB2312" w:eastAsia="仿宋_GB2312" w:hAnsi="宋体" w:hint="eastAsia"/>
          <w:color w:val="000000"/>
        </w:rPr>
        <w:t>DB45/T 475  绿色食品  火龙果生产技术规程</w:t>
      </w:r>
    </w:p>
    <w:p w:rsidR="0082501E" w:rsidRPr="00A07A4E" w:rsidRDefault="0082501E" w:rsidP="0082501E">
      <w:pPr>
        <w:pStyle w:val="BodyText2"/>
        <w:spacing w:line="560" w:lineRule="exact"/>
        <w:ind w:firstLineChars="300" w:firstLine="960"/>
        <w:rPr>
          <w:rFonts w:ascii="仿宋_GB2312" w:eastAsia="仿宋_GB2312" w:hAnsi="宋体" w:hint="eastAsia"/>
          <w:color w:val="000000"/>
        </w:rPr>
      </w:pPr>
      <w:r w:rsidRPr="00A07A4E">
        <w:rPr>
          <w:rFonts w:ascii="仿宋_GB2312" w:eastAsia="仿宋_GB2312" w:hAnsi="宋体" w:hint="eastAsia"/>
          <w:color w:val="000000"/>
        </w:rPr>
        <w:t>DB45/T 1019  有机产品  火龙果生产技术规程</w:t>
      </w:r>
    </w:p>
    <w:p w:rsidR="0082501E" w:rsidRDefault="0082501E" w:rsidP="0082501E">
      <w:pPr>
        <w:pStyle w:val="BodyText2"/>
        <w:spacing w:after="0" w:line="560" w:lineRule="exact"/>
        <w:ind w:firstLineChars="300" w:firstLine="960"/>
        <w:rPr>
          <w:rFonts w:ascii="仿宋_GB2312" w:eastAsia="仿宋_GB2312" w:hAnsi="宋体" w:hint="eastAsia"/>
          <w:color w:val="000000"/>
        </w:rPr>
      </w:pPr>
      <w:r>
        <w:rPr>
          <w:rFonts w:ascii="仿宋_GB2312" w:eastAsia="仿宋_GB2312" w:hAnsi="宋体" w:hint="eastAsia"/>
          <w:color w:val="000000"/>
        </w:rPr>
        <w:t>T/GXAS 242  果蔗间种花生栽培技术规程</w:t>
      </w:r>
    </w:p>
    <w:p w:rsidR="0082501E" w:rsidRDefault="0082501E" w:rsidP="0082501E">
      <w:pPr>
        <w:pStyle w:val="BodyText2"/>
        <w:spacing w:after="0" w:line="560" w:lineRule="exact"/>
        <w:ind w:firstLineChars="300" w:firstLine="960"/>
        <w:rPr>
          <w:rFonts w:ascii="仿宋_GB2312" w:eastAsia="仿宋_GB2312" w:hAnsi="宋体"/>
          <w:color w:val="000000"/>
        </w:rPr>
      </w:pPr>
      <w:r w:rsidRPr="00A07A4E">
        <w:rPr>
          <w:rFonts w:ascii="仿宋_GB2312" w:eastAsia="仿宋_GB2312" w:hAnsi="宋体" w:hint="eastAsia"/>
          <w:color w:val="000000"/>
        </w:rPr>
        <w:lastRenderedPageBreak/>
        <w:t>T/GXAS 319  红肉火龙果一年三茬栽培技术规程</w:t>
      </w:r>
    </w:p>
    <w:p w:rsidR="0082501E" w:rsidRDefault="0082501E" w:rsidP="0082501E">
      <w:pPr>
        <w:autoSpaceDE w:val="0"/>
        <w:autoSpaceDN w:val="0"/>
        <w:adjustRightInd w:val="0"/>
        <w:spacing w:beforeLines="50" w:before="156" w:afterLines="50" w:after="156" w:line="560" w:lineRule="exact"/>
        <w:ind w:firstLineChars="200" w:firstLine="643"/>
        <w:rPr>
          <w:rFonts w:ascii="楷体" w:eastAsia="楷体" w:hAnsi="楷体" w:hint="eastAsia"/>
          <w:b/>
          <w:color w:val="000000"/>
          <w:sz w:val="32"/>
          <w:szCs w:val="32"/>
        </w:rPr>
      </w:pPr>
      <w:r>
        <w:rPr>
          <w:rFonts w:ascii="楷体" w:eastAsia="楷体" w:hAnsi="楷体" w:hint="eastAsia"/>
          <w:b/>
          <w:color w:val="000000"/>
          <w:sz w:val="32"/>
          <w:szCs w:val="32"/>
        </w:rPr>
        <w:t>（三）研讨确定标准主体内容</w:t>
      </w:r>
    </w:p>
    <w:p w:rsidR="0082501E" w:rsidRDefault="0082501E" w:rsidP="0082501E">
      <w:pPr>
        <w:pStyle w:val="a7"/>
        <w:numPr>
          <w:ilvl w:val="0"/>
          <w:numId w:val="0"/>
        </w:numPr>
        <w:spacing w:beforeLines="0" w:afterLines="0" w:line="560" w:lineRule="exact"/>
        <w:ind w:firstLineChars="200" w:firstLine="640"/>
        <w:rPr>
          <w:rFonts w:ascii="仿宋_GB2312" w:eastAsia="仿宋_GB2312" w:hAnsi="宋体"/>
          <w:sz w:val="32"/>
          <w:szCs w:val="32"/>
          <w:highlight w:val="yellow"/>
        </w:rPr>
      </w:pPr>
      <w:r>
        <w:rPr>
          <w:rFonts w:ascii="仿宋_GB2312" w:eastAsia="仿宋_GB2312" w:hAnsi="宋体" w:hint="eastAsia"/>
          <w:color w:val="000000"/>
          <w:sz w:val="32"/>
          <w:szCs w:val="32"/>
        </w:rPr>
        <w:t>标准编制工作组在对收集的资料进行整理研究之后，标准编制工作组召开了标准编制会议，对标准的整体框架结构进行了研究，并对标准的关键性</w:t>
      </w:r>
      <w:r>
        <w:rPr>
          <w:rFonts w:ascii="仿宋_GB2312" w:eastAsia="仿宋_GB2312" w:hAnsi="宋体" w:hint="eastAsia"/>
          <w:sz w:val="32"/>
          <w:szCs w:val="32"/>
        </w:rPr>
        <w:t>内容进行了初步探讨。经过研究，标准的主体内容确定为术语和定义、架式选择、品种和种苗选择、种植前准备、种植、园间管理、整形修剪、花果管理、病虫害防治、采收、</w:t>
      </w:r>
      <w:r>
        <w:rPr>
          <w:rFonts w:ascii="仿宋_GB2312" w:eastAsia="仿宋_GB2312" w:hAnsi="宋体"/>
          <w:sz w:val="32"/>
          <w:szCs w:val="32"/>
        </w:rPr>
        <w:t>生产</w:t>
      </w:r>
      <w:r>
        <w:rPr>
          <w:rFonts w:ascii="仿宋_GB2312" w:eastAsia="仿宋_GB2312" w:hAnsi="宋体" w:hint="eastAsia"/>
          <w:sz w:val="32"/>
          <w:szCs w:val="32"/>
        </w:rPr>
        <w:t>档案。</w:t>
      </w:r>
    </w:p>
    <w:p w:rsidR="0082501E" w:rsidRDefault="0082501E" w:rsidP="0082501E">
      <w:pPr>
        <w:autoSpaceDE w:val="0"/>
        <w:autoSpaceDN w:val="0"/>
        <w:adjustRightInd w:val="0"/>
        <w:spacing w:beforeLines="50" w:before="156" w:afterLines="50" w:after="156" w:line="560" w:lineRule="exact"/>
        <w:ind w:firstLineChars="200" w:firstLine="643"/>
        <w:rPr>
          <w:rFonts w:ascii="楷体" w:eastAsia="楷体" w:hAnsi="楷体" w:hint="eastAsia"/>
          <w:b/>
          <w:color w:val="000000"/>
          <w:sz w:val="32"/>
          <w:szCs w:val="32"/>
        </w:rPr>
      </w:pPr>
      <w:r>
        <w:rPr>
          <w:rFonts w:ascii="楷体" w:eastAsia="楷体" w:hAnsi="楷体" w:hint="eastAsia"/>
          <w:b/>
          <w:color w:val="000000"/>
          <w:sz w:val="32"/>
          <w:szCs w:val="32"/>
        </w:rPr>
        <w:t>（四）调研，形成草案、征求意见稿</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sz w:val="32"/>
          <w:szCs w:val="32"/>
        </w:rPr>
        <w:t>202</w:t>
      </w:r>
      <w:r>
        <w:rPr>
          <w:rFonts w:ascii="仿宋_GB2312" w:eastAsia="仿宋_GB2312" w:hAnsi="宋体"/>
          <w:sz w:val="32"/>
          <w:szCs w:val="32"/>
        </w:rPr>
        <w:t>3</w:t>
      </w:r>
      <w:r>
        <w:rPr>
          <w:rFonts w:ascii="仿宋_GB2312" w:eastAsia="仿宋_GB2312" w:hAnsi="宋体" w:hint="eastAsia"/>
          <w:sz w:val="32"/>
          <w:szCs w:val="32"/>
        </w:rPr>
        <w:t>年</w:t>
      </w:r>
      <w:r>
        <w:rPr>
          <w:rFonts w:ascii="仿宋_GB2312" w:eastAsia="仿宋_GB2312" w:hAnsi="宋体"/>
          <w:sz w:val="32"/>
          <w:szCs w:val="32"/>
        </w:rPr>
        <w:t>6</w:t>
      </w:r>
      <w:r>
        <w:rPr>
          <w:rFonts w:ascii="仿宋_GB2312" w:eastAsia="仿宋_GB2312" w:hAnsi="宋体" w:hint="eastAsia"/>
          <w:sz w:val="32"/>
          <w:szCs w:val="32"/>
        </w:rPr>
        <w:t>月—</w:t>
      </w:r>
      <w:r>
        <w:rPr>
          <w:rFonts w:ascii="仿宋_GB2312" w:eastAsia="仿宋_GB2312" w:hAnsi="宋体"/>
          <w:sz w:val="32"/>
          <w:szCs w:val="32"/>
        </w:rPr>
        <w:t>7</w:t>
      </w:r>
      <w:r>
        <w:rPr>
          <w:rFonts w:ascii="仿宋_GB2312" w:eastAsia="仿宋_GB2312" w:hAnsi="宋体" w:hint="eastAsia"/>
          <w:sz w:val="32"/>
          <w:szCs w:val="32"/>
        </w:rPr>
        <w:t>月，</w:t>
      </w:r>
      <w:r>
        <w:rPr>
          <w:rFonts w:ascii="仿宋_GB2312" w:eastAsia="仿宋_GB2312" w:hAnsi="宋体" w:hint="eastAsia"/>
          <w:color w:val="000000"/>
          <w:sz w:val="32"/>
          <w:szCs w:val="32"/>
        </w:rPr>
        <w:t>标准起草工作小组深入广西三江民心酒业有限公司进行实地调研工作，查阅了大量的国内外文献资料，对火龙果园间作野生花生生草栽培技术的前人研究成果进行系统总结。形成了标准的基本构架，对主要内容进行了讨论并对项目的工作进行了部署和安排，编制完成了《火龙果园间作野生花生生草栽培技术规程》（草案）。</w:t>
      </w:r>
    </w:p>
    <w:p w:rsidR="0082501E" w:rsidRDefault="0082501E" w:rsidP="0082501E">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color w:val="000000"/>
          <w:sz w:val="32"/>
          <w:szCs w:val="32"/>
        </w:rPr>
        <w:t>202</w:t>
      </w:r>
      <w:r>
        <w:rPr>
          <w:rFonts w:ascii="仿宋_GB2312" w:eastAsia="仿宋_GB2312" w:hAnsi="宋体"/>
          <w:color w:val="000000"/>
          <w:sz w:val="32"/>
          <w:szCs w:val="32"/>
        </w:rPr>
        <w:t>3</w:t>
      </w:r>
      <w:r>
        <w:rPr>
          <w:rFonts w:ascii="仿宋_GB2312" w:eastAsia="仿宋_GB2312" w:hAnsi="宋体" w:hint="eastAsia"/>
          <w:color w:val="000000"/>
          <w:sz w:val="32"/>
          <w:szCs w:val="32"/>
        </w:rPr>
        <w:t>年</w:t>
      </w:r>
      <w:r>
        <w:rPr>
          <w:rFonts w:ascii="仿宋_GB2312" w:eastAsia="仿宋_GB2312" w:hAnsi="宋体"/>
          <w:color w:val="000000"/>
          <w:sz w:val="32"/>
          <w:szCs w:val="32"/>
        </w:rPr>
        <w:t>7</w:t>
      </w:r>
      <w:r>
        <w:rPr>
          <w:rFonts w:ascii="仿宋_GB2312" w:eastAsia="仿宋_GB2312" w:hAnsi="宋体" w:hint="eastAsia"/>
          <w:color w:val="000000"/>
          <w:sz w:val="32"/>
          <w:szCs w:val="32"/>
        </w:rPr>
        <w:t>月—202</w:t>
      </w:r>
      <w:r>
        <w:rPr>
          <w:rFonts w:ascii="仿宋_GB2312" w:eastAsia="仿宋_GB2312" w:hAnsi="宋体"/>
          <w:color w:val="000000"/>
          <w:sz w:val="32"/>
          <w:szCs w:val="32"/>
        </w:rPr>
        <w:t>3</w:t>
      </w:r>
      <w:r>
        <w:rPr>
          <w:rFonts w:ascii="仿宋_GB2312" w:eastAsia="仿宋_GB2312" w:hAnsi="宋体" w:hint="eastAsia"/>
          <w:color w:val="000000"/>
          <w:sz w:val="32"/>
          <w:szCs w:val="32"/>
        </w:rPr>
        <w:t>年</w:t>
      </w:r>
      <w:r>
        <w:rPr>
          <w:rFonts w:ascii="仿宋_GB2312" w:eastAsia="仿宋_GB2312" w:hAnsi="宋体"/>
          <w:color w:val="000000"/>
          <w:sz w:val="32"/>
          <w:szCs w:val="32"/>
        </w:rPr>
        <w:t>8</w:t>
      </w:r>
      <w:r>
        <w:rPr>
          <w:rFonts w:ascii="仿宋_GB2312" w:eastAsia="仿宋_GB2312" w:hAnsi="宋体" w:hint="eastAsia"/>
          <w:color w:val="000000"/>
          <w:sz w:val="32"/>
          <w:szCs w:val="32"/>
        </w:rPr>
        <w:t>月，在前期工作的基础之上，通过理清逻辑脉络，整合已有的参考资料中有关火龙果园间作野生花生生草栽培技术要求，并结合广西壮族自治区农业科学院等起草单位实验研究的基础上，按照简化、统一等原则编制完成团体标准《火龙果园间作野生花生生草栽培技术规程》（征求意见稿）和编制说明。</w:t>
      </w:r>
    </w:p>
    <w:p w:rsidR="0082501E" w:rsidRDefault="0082501E" w:rsidP="0082501E">
      <w:pPr>
        <w:spacing w:beforeLines="50" w:before="156" w:afterLines="50" w:after="156" w:line="560" w:lineRule="exact"/>
        <w:ind w:firstLineChars="200" w:firstLine="640"/>
        <w:rPr>
          <w:rFonts w:ascii="黑体" w:eastAsia="黑体" w:hAnsi="黑体" w:cs="仿宋_GB2312" w:hint="eastAsia"/>
          <w:color w:val="000000"/>
          <w:sz w:val="32"/>
          <w:szCs w:val="32"/>
        </w:rPr>
      </w:pPr>
      <w:r>
        <w:rPr>
          <w:rFonts w:ascii="黑体" w:eastAsia="黑体" w:hAnsi="黑体" w:cs="仿宋_GB2312" w:hint="eastAsia"/>
          <w:color w:val="000000"/>
          <w:sz w:val="32"/>
          <w:szCs w:val="32"/>
        </w:rPr>
        <w:t>四、标准制定原则</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1、实用性原则</w:t>
      </w:r>
    </w:p>
    <w:p w:rsidR="0082501E" w:rsidRDefault="0082501E" w:rsidP="0082501E">
      <w:pPr>
        <w:autoSpaceDE w:val="0"/>
        <w:autoSpaceDN w:val="0"/>
        <w:adjustRightInd w:val="0"/>
        <w:spacing w:line="560" w:lineRule="exact"/>
        <w:ind w:firstLineChars="200" w:firstLine="640"/>
        <w:rPr>
          <w:rFonts w:ascii="仿宋_GB2312" w:eastAsia="仿宋_GB2312" w:hAnsi="宋体"/>
          <w:color w:val="000000"/>
          <w:sz w:val="32"/>
          <w:szCs w:val="32"/>
        </w:rPr>
      </w:pPr>
      <w:r>
        <w:rPr>
          <w:rFonts w:ascii="仿宋_GB2312" w:eastAsia="仿宋_GB2312" w:hAnsi="宋体" w:hint="eastAsia"/>
          <w:color w:val="000000"/>
          <w:sz w:val="32"/>
          <w:szCs w:val="32"/>
        </w:rPr>
        <w:lastRenderedPageBreak/>
        <w:t>本文件是在充分收集相关资料和文献，分析火龙果园间作野生花生生草栽培技术当前现状，调研各行业火龙果市场情况，在现有国家、行业标准相关火龙果园间作野生花生生草栽培技术要求的基础上，结合广西壮族自治区农业科学院多年的火龙果园间作野生花生生草栽培技术经验、试验而总结起草的。符合当前火龙果园间作野生花生生草栽培技术发展的方向与市场需求，有利于行业的长远发展，有利于促进火龙果园间作野生花生生草栽培的生态</w:t>
      </w:r>
      <w:r>
        <w:rPr>
          <w:rFonts w:ascii="仿宋_GB2312" w:eastAsia="仿宋_GB2312" w:hAnsi="宋体"/>
          <w:color w:val="000000"/>
          <w:sz w:val="32"/>
          <w:szCs w:val="32"/>
        </w:rPr>
        <w:t>效益</w:t>
      </w:r>
      <w:r>
        <w:rPr>
          <w:rFonts w:ascii="仿宋_GB2312" w:eastAsia="仿宋_GB2312" w:hAnsi="宋体" w:hint="eastAsia"/>
          <w:color w:val="000000"/>
          <w:sz w:val="32"/>
          <w:szCs w:val="32"/>
        </w:rPr>
        <w:t>和商品经济价值，对推动我区火龙果生产产业健康发展，打造广西火龙果品牌，促进农民增收脱贫，具有较强的实用性和可操作性。</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2、协调性原则</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本文件编写过程中注意了与火龙果园间作野生花生生草栽培技术相关法律法规的协调问题，在内容上与现行法律法规、标准协调一致。</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3、规范性原则</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本文件严格参照GB/T 1.1—2020《标准化工作导则 第1部分：标准化文件的结构和起草规则》的要求和规定编写本标准的内容，保证标准的编写质量。</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4、前瞻性原则</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000000"/>
          <w:sz w:val="32"/>
          <w:szCs w:val="32"/>
        </w:rPr>
      </w:pPr>
      <w:r>
        <w:rPr>
          <w:rFonts w:ascii="仿宋_GB2312" w:eastAsia="仿宋_GB2312" w:hAnsi="宋体" w:hint="eastAsia"/>
          <w:color w:val="000000"/>
          <w:sz w:val="32"/>
          <w:szCs w:val="32"/>
        </w:rPr>
        <w:t>本文件在兼顾当前区内火龙果园间作野生花生生草栽培技术现实情况的同时，还考虑到了</w:t>
      </w:r>
      <w:r>
        <w:rPr>
          <w:rFonts w:ascii="仿宋_GB2312" w:eastAsia="仿宋_GB2312" w:hAnsi="宋体" w:hint="eastAsia"/>
          <w:sz w:val="32"/>
          <w:szCs w:val="32"/>
        </w:rPr>
        <w:t>火龙果产业快速发展的趋势和需要</w:t>
      </w:r>
      <w:r>
        <w:rPr>
          <w:rFonts w:ascii="仿宋_GB2312" w:eastAsia="仿宋_GB2312" w:hAnsi="宋体" w:hint="eastAsia"/>
          <w:color w:val="000000"/>
          <w:sz w:val="32"/>
          <w:szCs w:val="32"/>
        </w:rPr>
        <w:t>，在标准中体现了个别特色性、前瞻性和先进性条款，作为对火龙果园间作野生花生生草栽培技术的指导。</w:t>
      </w:r>
    </w:p>
    <w:p w:rsidR="0082501E" w:rsidRDefault="0082501E" w:rsidP="0082501E">
      <w:pPr>
        <w:numPr>
          <w:ilvl w:val="0"/>
          <w:numId w:val="2"/>
        </w:numPr>
        <w:autoSpaceDE w:val="0"/>
        <w:autoSpaceDN w:val="0"/>
        <w:adjustRightInd w:val="0"/>
        <w:spacing w:beforeLines="50" w:before="156" w:afterLines="50" w:after="156" w:line="560" w:lineRule="exact"/>
        <w:rPr>
          <w:rFonts w:ascii="黑体" w:eastAsia="黑体" w:hAnsi="黑体" w:cs="仿宋_GB2312" w:hint="eastAsia"/>
          <w:color w:val="000000"/>
          <w:sz w:val="32"/>
          <w:szCs w:val="32"/>
        </w:rPr>
      </w:pPr>
      <w:r>
        <w:rPr>
          <w:rFonts w:ascii="黑体" w:eastAsia="黑体" w:hAnsi="黑体" w:cs="仿宋_GB2312" w:hint="eastAsia"/>
          <w:color w:val="000000"/>
          <w:sz w:val="32"/>
          <w:szCs w:val="32"/>
        </w:rPr>
        <w:t>标准主要内容及依据来源</w:t>
      </w:r>
    </w:p>
    <w:p w:rsidR="0082501E" w:rsidRDefault="0082501E" w:rsidP="0082501E">
      <w:pPr>
        <w:autoSpaceDE w:val="0"/>
        <w:autoSpaceDN w:val="0"/>
        <w:adjustRightInd w:val="0"/>
        <w:spacing w:line="560" w:lineRule="exact"/>
        <w:ind w:firstLineChars="200" w:firstLine="640"/>
        <w:rPr>
          <w:rFonts w:ascii="仿宋_GB2312" w:eastAsia="仿宋_GB2312" w:hAnsi="宋体" w:hint="eastAsia"/>
          <w:color w:val="FF0000"/>
          <w:sz w:val="32"/>
          <w:szCs w:val="32"/>
        </w:rPr>
      </w:pPr>
      <w:r>
        <w:rPr>
          <w:rFonts w:ascii="仿宋_GB2312" w:eastAsia="仿宋_GB2312" w:hAnsi="宋体" w:hint="eastAsia"/>
          <w:color w:val="000000"/>
          <w:sz w:val="32"/>
          <w:szCs w:val="32"/>
        </w:rPr>
        <w:lastRenderedPageBreak/>
        <w:t>团体标准《火龙果园间作野生花生生草栽培技术规程》主要章节内容包括</w:t>
      </w:r>
      <w:r>
        <w:rPr>
          <w:rFonts w:ascii="仿宋_GB2312" w:eastAsia="仿宋_GB2312" w:hAnsi="宋体" w:hint="eastAsia"/>
          <w:sz w:val="32"/>
          <w:szCs w:val="32"/>
        </w:rPr>
        <w:t>术语和定义、园地选择与规划、架式选择、品种和种苗选择、种植前准备、种植、园间管理、整形修剪、花果管理、病虫害防治、采收、</w:t>
      </w:r>
      <w:r>
        <w:rPr>
          <w:rFonts w:ascii="仿宋_GB2312" w:eastAsia="仿宋_GB2312" w:hAnsi="宋体"/>
          <w:sz w:val="32"/>
          <w:szCs w:val="32"/>
        </w:rPr>
        <w:t>生产档案</w:t>
      </w:r>
      <w:r>
        <w:rPr>
          <w:rFonts w:ascii="仿宋_GB2312" w:eastAsia="仿宋_GB2312" w:hAnsi="宋体" w:hint="eastAsia"/>
          <w:sz w:val="32"/>
          <w:szCs w:val="32"/>
        </w:rPr>
        <w:t>。</w:t>
      </w:r>
    </w:p>
    <w:p w:rsidR="0082501E" w:rsidRDefault="0082501E" w:rsidP="0082501E">
      <w:pPr>
        <w:autoSpaceDE w:val="0"/>
        <w:autoSpaceDN w:val="0"/>
        <w:adjustRightInd w:val="0"/>
        <w:ind w:firstLineChars="200" w:firstLine="643"/>
        <w:jc w:val="left"/>
        <w:rPr>
          <w:rFonts w:ascii="仿宋_GB2312" w:eastAsia="仿宋_GB2312" w:hAnsi="宋体"/>
          <w:b/>
          <w:sz w:val="32"/>
          <w:szCs w:val="32"/>
        </w:rPr>
      </w:pPr>
      <w:r>
        <w:rPr>
          <w:rFonts w:ascii="仿宋_GB2312" w:eastAsia="仿宋_GB2312" w:hAnsi="宋体" w:hint="eastAsia"/>
          <w:b/>
          <w:sz w:val="32"/>
          <w:szCs w:val="32"/>
        </w:rPr>
        <w:t>（一）术语和定义</w:t>
      </w:r>
    </w:p>
    <w:p w:rsidR="0082501E" w:rsidRDefault="0082501E" w:rsidP="0082501E">
      <w:pPr>
        <w:pStyle w:val="BodyText2"/>
        <w:spacing w:after="0"/>
        <w:ind w:firstLineChars="200" w:firstLine="640"/>
        <w:rPr>
          <w:rFonts w:ascii="仿宋_GB2312" w:eastAsia="仿宋_GB2312" w:hAnsi="宋体" w:hint="eastAsia"/>
        </w:rPr>
      </w:pPr>
      <w:r>
        <w:rPr>
          <w:rFonts w:ascii="仿宋_GB2312" w:eastAsia="仿宋_GB2312" w:hAnsi="宋体" w:hint="eastAsia"/>
        </w:rPr>
        <w:t>“火龙果园间作野生花生”“生草栽培”在</w:t>
      </w:r>
      <w:r>
        <w:rPr>
          <w:rFonts w:ascii="仿宋_GB2312" w:eastAsia="仿宋_GB2312" w:hAnsi="宋体"/>
        </w:rPr>
        <w:t>参考</w:t>
      </w:r>
      <w:r>
        <w:rPr>
          <w:rFonts w:ascii="仿宋_GB2312" w:eastAsia="仿宋_GB2312" w:hAnsi="宋体" w:hint="eastAsia"/>
        </w:rPr>
        <w:t>《一种以多年生野生花生为生草的火龙果栽培方法》专利</w:t>
      </w:r>
      <w:r>
        <w:rPr>
          <w:rFonts w:ascii="仿宋_GB2312" w:eastAsia="仿宋_GB2312" w:hAnsi="宋体"/>
        </w:rPr>
        <w:t>技术</w:t>
      </w:r>
      <w:r>
        <w:rPr>
          <w:rFonts w:ascii="仿宋_GB2312" w:eastAsia="仿宋_GB2312" w:hAnsi="宋体" w:hint="eastAsia"/>
        </w:rPr>
        <w:t>的</w:t>
      </w:r>
      <w:r>
        <w:rPr>
          <w:rFonts w:ascii="仿宋_GB2312" w:eastAsia="仿宋_GB2312" w:hAnsi="宋体"/>
        </w:rPr>
        <w:t>基础上</w:t>
      </w:r>
      <w:r>
        <w:rPr>
          <w:rFonts w:ascii="仿宋_GB2312" w:eastAsia="仿宋_GB2312" w:hAnsi="宋体" w:hint="eastAsia"/>
        </w:rPr>
        <w:t>，结合</w:t>
      </w:r>
      <w:r>
        <w:rPr>
          <w:rFonts w:ascii="仿宋_GB2312" w:eastAsia="仿宋_GB2312" w:hAnsi="宋体" w:hint="eastAsia"/>
          <w:bCs/>
        </w:rPr>
        <w:t>火龙果园间作野生花生生草栽培技术的</w:t>
      </w:r>
      <w:r>
        <w:rPr>
          <w:rFonts w:ascii="仿宋_GB2312" w:eastAsia="仿宋_GB2312" w:hAnsi="宋体" w:hint="eastAsia"/>
        </w:rPr>
        <w:t>特点进行研讨修改确定。</w:t>
      </w:r>
    </w:p>
    <w:p w:rsidR="0082501E" w:rsidRDefault="0082501E" w:rsidP="0082501E">
      <w:pPr>
        <w:autoSpaceDE w:val="0"/>
        <w:autoSpaceDN w:val="0"/>
        <w:adjustRightInd w:val="0"/>
        <w:ind w:firstLineChars="200" w:firstLine="643"/>
        <w:rPr>
          <w:rFonts w:ascii="仿宋_GB2312" w:eastAsia="仿宋_GB2312" w:hAnsi="宋体" w:hint="eastAsia"/>
          <w:b/>
          <w:sz w:val="32"/>
          <w:szCs w:val="32"/>
        </w:rPr>
      </w:pPr>
      <w:r>
        <w:rPr>
          <w:rFonts w:ascii="仿宋_GB2312" w:eastAsia="仿宋_GB2312" w:hAnsi="宋体" w:hint="eastAsia"/>
          <w:b/>
          <w:sz w:val="32"/>
          <w:szCs w:val="32"/>
        </w:rPr>
        <w:t>（二）园地选择与规划</w:t>
      </w:r>
    </w:p>
    <w:p w:rsidR="0082501E" w:rsidRDefault="0082501E" w:rsidP="0082501E">
      <w:pPr>
        <w:autoSpaceDE w:val="0"/>
        <w:autoSpaceDN w:val="0"/>
        <w:adjustRightInd w:val="0"/>
        <w:ind w:firstLineChars="200" w:firstLine="640"/>
        <w:rPr>
          <w:rFonts w:ascii="仿宋_GB2312" w:eastAsia="仿宋_GB2312" w:hAnsi="宋体"/>
          <w:bCs/>
          <w:sz w:val="32"/>
          <w:szCs w:val="32"/>
        </w:rPr>
      </w:pPr>
      <w:r>
        <w:rPr>
          <w:rFonts w:ascii="仿宋_GB2312" w:eastAsia="仿宋_GB2312" w:hAnsi="宋体" w:hint="eastAsia"/>
          <w:bCs/>
          <w:sz w:val="32"/>
          <w:szCs w:val="32"/>
        </w:rPr>
        <w:t>主要依据《NY</w:t>
      </w:r>
      <w:r>
        <w:rPr>
          <w:rFonts w:ascii="仿宋_GB2312" w:eastAsia="仿宋_GB2312" w:hAnsi="宋体"/>
          <w:bCs/>
          <w:sz w:val="32"/>
          <w:szCs w:val="32"/>
        </w:rPr>
        <w:t>/</w:t>
      </w:r>
      <w:r>
        <w:rPr>
          <w:rFonts w:ascii="仿宋_GB2312" w:eastAsia="仿宋_GB2312" w:hAnsi="宋体" w:hint="eastAsia"/>
          <w:bCs/>
          <w:sz w:val="32"/>
          <w:szCs w:val="32"/>
        </w:rPr>
        <w:t>T 5256-2004</w:t>
      </w:r>
      <w:r>
        <w:rPr>
          <w:rFonts w:ascii="仿宋_GB2312" w:eastAsia="仿宋_GB2312" w:hAnsi="宋体"/>
          <w:bCs/>
          <w:sz w:val="32"/>
          <w:szCs w:val="32"/>
        </w:rPr>
        <w:t xml:space="preserve"> </w:t>
      </w:r>
      <w:r>
        <w:rPr>
          <w:rFonts w:ascii="仿宋_GB2312" w:eastAsia="仿宋_GB2312" w:hAnsi="宋体" w:hint="eastAsia"/>
          <w:bCs/>
          <w:sz w:val="32"/>
          <w:szCs w:val="32"/>
        </w:rPr>
        <w:t xml:space="preserve"> 无公害食品  火龙果生产技术规程》《T</w:t>
      </w:r>
      <w:r>
        <w:rPr>
          <w:rFonts w:ascii="仿宋_GB2312" w:eastAsia="仿宋_GB2312" w:hAnsi="宋体"/>
          <w:bCs/>
          <w:sz w:val="32"/>
          <w:szCs w:val="32"/>
        </w:rPr>
        <w:t>/</w:t>
      </w:r>
      <w:r>
        <w:rPr>
          <w:rFonts w:ascii="仿宋_GB2312" w:eastAsia="仿宋_GB2312" w:hAnsi="宋体" w:hint="eastAsia"/>
          <w:bCs/>
          <w:sz w:val="32"/>
          <w:szCs w:val="32"/>
        </w:rPr>
        <w:t>GXAS 319-2022  红肉火龙果一年三茬栽培技术规程》等</w:t>
      </w:r>
      <w:r>
        <w:rPr>
          <w:rFonts w:ascii="仿宋_GB2312" w:eastAsia="仿宋_GB2312" w:hAnsi="宋体"/>
          <w:bCs/>
          <w:sz w:val="32"/>
          <w:szCs w:val="32"/>
        </w:rPr>
        <w:t>相关标准</w:t>
      </w:r>
      <w:r>
        <w:rPr>
          <w:rFonts w:ascii="仿宋_GB2312" w:eastAsia="仿宋_GB2312" w:hAnsi="宋体" w:hint="eastAsia"/>
          <w:bCs/>
          <w:sz w:val="32"/>
          <w:szCs w:val="32"/>
        </w:rPr>
        <w:t>确定。</w:t>
      </w:r>
    </w:p>
    <w:p w:rsidR="0082501E" w:rsidRDefault="0082501E" w:rsidP="0082501E">
      <w:pPr>
        <w:autoSpaceDE w:val="0"/>
        <w:autoSpaceDN w:val="0"/>
        <w:adjustRightInd w:val="0"/>
        <w:ind w:firstLineChars="200" w:firstLine="643"/>
        <w:rPr>
          <w:rFonts w:ascii="仿宋_GB2312" w:eastAsia="仿宋_GB2312" w:hAnsi="宋体" w:hint="eastAsia"/>
          <w:b/>
          <w:sz w:val="32"/>
          <w:szCs w:val="32"/>
        </w:rPr>
      </w:pPr>
      <w:r>
        <w:rPr>
          <w:rFonts w:ascii="仿宋_GB2312" w:eastAsia="仿宋_GB2312" w:hAnsi="宋体" w:hint="eastAsia"/>
          <w:b/>
          <w:sz w:val="32"/>
          <w:szCs w:val="32"/>
        </w:rPr>
        <w:t>（三）架势选择</w:t>
      </w:r>
    </w:p>
    <w:p w:rsidR="0082501E" w:rsidRDefault="0082501E" w:rsidP="0082501E">
      <w:pPr>
        <w:pStyle w:val="BodyText2"/>
        <w:spacing w:after="0"/>
        <w:ind w:firstLineChars="200" w:firstLine="640"/>
        <w:rPr>
          <w:rFonts w:ascii="仿宋_GB2312" w:eastAsia="仿宋_GB2312" w:hAnsi="宋体"/>
          <w:bCs/>
        </w:rPr>
      </w:pPr>
      <w:r>
        <w:rPr>
          <w:rFonts w:ascii="仿宋_GB2312" w:eastAsia="仿宋_GB2312" w:hAnsi="宋体" w:hint="eastAsia"/>
        </w:rPr>
        <w:t>主要</w:t>
      </w:r>
      <w:r>
        <w:rPr>
          <w:rFonts w:ascii="仿宋_GB2312" w:eastAsia="仿宋_GB2312" w:hAnsi="宋体"/>
        </w:rPr>
        <w:t>依据</w:t>
      </w:r>
      <w:r>
        <w:rPr>
          <w:rFonts w:ascii="仿宋_GB2312" w:eastAsia="仿宋_GB2312" w:hAnsi="宋体" w:hint="eastAsia"/>
        </w:rPr>
        <w:t>《一种以多年生野生花生为生草的火龙果栽培方法》专利</w:t>
      </w:r>
      <w:r>
        <w:rPr>
          <w:rFonts w:ascii="仿宋_GB2312" w:eastAsia="仿宋_GB2312" w:hAnsi="宋体"/>
        </w:rPr>
        <w:t>技术</w:t>
      </w:r>
      <w:r>
        <w:rPr>
          <w:rFonts w:ascii="仿宋_GB2312" w:eastAsia="仿宋_GB2312" w:hAnsi="宋体" w:hint="eastAsia"/>
        </w:rPr>
        <w:t>内容</w:t>
      </w:r>
      <w:r>
        <w:rPr>
          <w:rFonts w:ascii="仿宋_GB2312" w:eastAsia="仿宋_GB2312" w:hAnsi="宋体"/>
        </w:rPr>
        <w:t>确定。火龙果</w:t>
      </w:r>
      <w:r>
        <w:rPr>
          <w:rFonts w:ascii="仿宋_GB2312" w:eastAsia="仿宋_GB2312" w:hAnsi="宋体" w:hint="eastAsia"/>
          <w:bCs/>
        </w:rPr>
        <w:t>火龙果种植需要为其提供攀爬支柱，起到固定作用，一般采取柱式种植方式。</w:t>
      </w:r>
    </w:p>
    <w:p w:rsidR="0082501E" w:rsidRDefault="0082501E" w:rsidP="0082501E">
      <w:pPr>
        <w:autoSpaceDE w:val="0"/>
        <w:autoSpaceDN w:val="0"/>
        <w:adjustRightInd w:val="0"/>
        <w:ind w:firstLineChars="200" w:firstLine="643"/>
        <w:rPr>
          <w:rFonts w:ascii="仿宋_GB2312" w:eastAsia="仿宋_GB2312" w:hAnsi="宋体" w:hint="eastAsia"/>
          <w:b/>
          <w:sz w:val="32"/>
          <w:szCs w:val="32"/>
        </w:rPr>
      </w:pPr>
      <w:r>
        <w:rPr>
          <w:rFonts w:ascii="仿宋_GB2312" w:eastAsia="仿宋_GB2312" w:hAnsi="宋体" w:hint="eastAsia"/>
          <w:b/>
          <w:sz w:val="32"/>
          <w:szCs w:val="32"/>
        </w:rPr>
        <w:t>（四）品种和种苗选择</w:t>
      </w:r>
    </w:p>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t>主要</w:t>
      </w:r>
      <w:r>
        <w:rPr>
          <w:rFonts w:ascii="仿宋_GB2312" w:eastAsia="仿宋_GB2312" w:hAnsi="宋体"/>
        </w:rPr>
        <w:t>依据</w:t>
      </w:r>
      <w:r>
        <w:rPr>
          <w:rFonts w:ascii="仿宋_GB2312" w:eastAsia="仿宋_GB2312" w:hAnsi="宋体" w:hint="eastAsia"/>
        </w:rPr>
        <w:t>《DB45</w:t>
      </w:r>
      <w:r>
        <w:rPr>
          <w:rFonts w:ascii="仿宋_GB2312" w:eastAsia="仿宋_GB2312" w:hAnsi="宋体"/>
        </w:rPr>
        <w:t>/</w:t>
      </w:r>
      <w:r>
        <w:rPr>
          <w:rFonts w:ascii="仿宋_GB2312" w:eastAsia="仿宋_GB2312" w:hAnsi="宋体" w:hint="eastAsia"/>
        </w:rPr>
        <w:t>T 877-2012无公害食品  火龙果生产技术规程》及《一种以多年生野生花生为生草的火龙果栽培方法》专利</w:t>
      </w:r>
      <w:r>
        <w:rPr>
          <w:rFonts w:ascii="仿宋_GB2312" w:eastAsia="仿宋_GB2312" w:hAnsi="宋体"/>
        </w:rPr>
        <w:t>技术</w:t>
      </w:r>
      <w:r>
        <w:rPr>
          <w:rFonts w:ascii="仿宋_GB2312" w:eastAsia="仿宋_GB2312" w:hAnsi="宋体" w:hint="eastAsia"/>
        </w:rPr>
        <w:t>内容</w:t>
      </w:r>
      <w:r>
        <w:rPr>
          <w:rFonts w:ascii="仿宋_GB2312" w:eastAsia="仿宋_GB2312" w:hAnsi="宋体"/>
        </w:rPr>
        <w:t>确定。</w:t>
      </w:r>
      <w:r>
        <w:rPr>
          <w:rFonts w:ascii="仿宋_GB2312" w:eastAsia="仿宋_GB2312" w:hAnsi="宋体" w:hint="eastAsia"/>
        </w:rPr>
        <w:t>明确了火龙果</w:t>
      </w:r>
      <w:r>
        <w:rPr>
          <w:rFonts w:ascii="仿宋_GB2312" w:eastAsia="仿宋_GB2312" w:hAnsi="宋体"/>
        </w:rPr>
        <w:t>品种宜选择</w:t>
      </w:r>
      <w:r>
        <w:rPr>
          <w:rFonts w:ascii="仿宋_GB2312" w:eastAsia="仿宋_GB2312" w:hAnsi="宋体" w:hint="eastAsia"/>
        </w:rPr>
        <w:t>“紫龙</w:t>
      </w:r>
      <w:r w:rsidRPr="00E60B78">
        <w:rPr>
          <w:rFonts w:ascii="仿宋_GB2312" w:eastAsia="仿宋_GB2312" w:hAnsi="宋体" w:hint="eastAsia"/>
        </w:rPr>
        <w:t>”等成熟品种，该品种引进较早，经过种植户和市场检验，产量及性状表现稳定，在试验中偏差较小，同时该品种果肉均匀、甜度适中，呈鲜艳的</w:t>
      </w:r>
      <w:r w:rsidRPr="00E60B78">
        <w:rPr>
          <w:rFonts w:ascii="仿宋_GB2312" w:eastAsia="仿宋_GB2312" w:hAnsi="宋体" w:hint="eastAsia"/>
        </w:rPr>
        <w:lastRenderedPageBreak/>
        <w:t>紫红色等特征更有利于试验观察，并且该品种抗虫抗病能力较强，田间管理相对简单，这样可以尽量减少人为管理因素对试验造成的影响。</w:t>
      </w:r>
      <w:r>
        <w:rPr>
          <w:rFonts w:ascii="仿宋_GB2312" w:eastAsia="仿宋_GB2312" w:hAnsi="宋体" w:hint="eastAsia"/>
        </w:rPr>
        <w:t>明确了野生花生</w:t>
      </w:r>
      <w:r>
        <w:rPr>
          <w:rFonts w:ascii="仿宋_GB2312" w:eastAsia="仿宋_GB2312" w:hAnsi="宋体"/>
        </w:rPr>
        <w:t>品种宜选择</w:t>
      </w:r>
      <w:r>
        <w:rPr>
          <w:rFonts w:ascii="仿宋_GB2312" w:eastAsia="仿宋_GB2312" w:hAnsi="宋体" w:hint="eastAsia"/>
        </w:rPr>
        <w:t>耐荫、生长迅速，且四季常青、防杂草效果显著的野生花生</w:t>
      </w:r>
      <w:r>
        <w:rPr>
          <w:rFonts w:ascii="仿宋_GB2312" w:eastAsia="仿宋_GB2312" w:hAnsi="宋体"/>
        </w:rPr>
        <w:t>品种</w:t>
      </w:r>
      <w:r>
        <w:rPr>
          <w:rFonts w:ascii="仿宋_GB2312" w:eastAsia="仿宋_GB2312" w:hAnsi="宋体" w:hint="eastAsia"/>
        </w:rPr>
        <w:t>如</w:t>
      </w:r>
      <w:r w:rsidRPr="00200B1E">
        <w:rPr>
          <w:rFonts w:ascii="仿宋_GB2312" w:eastAsia="仿宋_GB2312" w:hAnsi="宋体" w:hint="eastAsia"/>
          <w:i/>
          <w:iCs/>
        </w:rPr>
        <w:t>A.glabrata</w:t>
      </w:r>
      <w:r>
        <w:rPr>
          <w:rFonts w:ascii="仿宋_GB2312" w:eastAsia="仿宋_GB2312" w:hAnsi="宋体" w:hint="eastAsia"/>
        </w:rPr>
        <w:t>（PI 262801）</w:t>
      </w:r>
      <w:r>
        <w:rPr>
          <w:rFonts w:ascii="仿宋_GB2312" w:eastAsia="仿宋_GB2312" w:hAnsi="宋体"/>
        </w:rPr>
        <w:t>。</w:t>
      </w:r>
      <w:r>
        <w:rPr>
          <w:rFonts w:ascii="仿宋_GB2312" w:eastAsia="仿宋_GB2312" w:hAnsi="宋体" w:hint="eastAsia"/>
        </w:rPr>
        <w:t xml:space="preserve">广西壮族自治区农业科学院花生团队自 1982 年建立国家花生野生种质南宁分圃、引进野花生开始，一直未间断过对引进保存的 50 多份野花生种质资源进行研究和利用。经长期观察和研究，野花生种质 </w:t>
      </w:r>
      <w:r w:rsidRPr="00200B1E">
        <w:rPr>
          <w:rFonts w:ascii="仿宋_GB2312" w:eastAsia="仿宋_GB2312" w:hAnsi="宋体" w:hint="eastAsia"/>
          <w:i/>
          <w:iCs/>
        </w:rPr>
        <w:t>A.glabrata</w:t>
      </w:r>
      <w:r>
        <w:rPr>
          <w:rFonts w:ascii="仿宋_GB2312" w:eastAsia="仿宋_GB2312" w:hAnsi="宋体" w:hint="eastAsia"/>
        </w:rPr>
        <w:t>（PI 262801）地上茎叶高度 15～20cm、生长旺盛，地下根茎深度约 15cm（见图3），对花生病虫害高抗或免疫，且耐旱、耐瘠，繁殖速度快，在广西南宁移植 3 个月后即可在地面形成覆盖层，年产鲜茎叶可达5994kg/亩，鲜叶蛋白质含量 23.56％，生长过程中产生大量腐烂的茎叶，是迄今发现的花生属植物中最抗病虫、最抗旱、最耐寒、最耐荫的多年生野生种。为了提高野生花生</w:t>
      </w:r>
      <w:r w:rsidRPr="00200B1E">
        <w:rPr>
          <w:rFonts w:ascii="仿宋_GB2312" w:eastAsia="仿宋_GB2312" w:hAnsi="宋体" w:hint="eastAsia"/>
          <w:i/>
          <w:iCs/>
        </w:rPr>
        <w:t>A.glabrata</w:t>
      </w:r>
      <w:r>
        <w:rPr>
          <w:rFonts w:ascii="仿宋_GB2312" w:eastAsia="仿宋_GB2312" w:hAnsi="宋体" w:hint="eastAsia"/>
        </w:rPr>
        <w:t>移栽成活率和成活速度，移栽时野生花生枝条带有3～4cm地下根茎、2～3片叶。</w:t>
      </w:r>
    </w:p>
    <w:p w:rsidR="0082501E" w:rsidRDefault="0082501E" w:rsidP="0082501E">
      <w:pPr>
        <w:pStyle w:val="BodyText2"/>
        <w:spacing w:after="0"/>
        <w:ind w:firstLineChars="200" w:firstLine="640"/>
        <w:rPr>
          <w:rFonts w:ascii="仿宋_GB2312" w:eastAsia="仿宋_GB2312" w:hAnsi="宋体" w:hint="eastAsia"/>
        </w:rPr>
      </w:pPr>
      <w:r>
        <w:rPr>
          <w:rFonts w:ascii="仿宋_GB2312" w:eastAsia="仿宋_GB2312" w:hAnsi="宋体" w:hint="eastAsia"/>
        </w:rPr>
        <w:t>为了研究火龙果园间作多年生野生花生</w:t>
      </w:r>
      <w:r w:rsidRPr="00200B1E">
        <w:rPr>
          <w:rFonts w:ascii="仿宋_GB2312" w:eastAsia="仿宋_GB2312" w:hAnsi="宋体" w:hint="eastAsia"/>
          <w:i/>
          <w:iCs/>
        </w:rPr>
        <w:t>A.glabrata</w:t>
      </w:r>
      <w:r>
        <w:rPr>
          <w:rFonts w:ascii="仿宋_GB2312" w:eastAsia="仿宋_GB2312" w:hAnsi="宋体" w:hint="eastAsia"/>
        </w:rPr>
        <w:t>的栽培模式与清耕模式条件下以及不同绿肥栽培模式下对土壤肥力、酶活性及微生物含量的影响。发明人按照实施例1的栽培方法，于 3 月，在广西农业科学院里建科技示范基地的火龙果园种植了多年生野生花生</w:t>
      </w:r>
      <w:r w:rsidRPr="00200B1E">
        <w:rPr>
          <w:rFonts w:ascii="仿宋_GB2312" w:eastAsia="仿宋_GB2312" w:hAnsi="宋体" w:hint="eastAsia"/>
          <w:i/>
          <w:iCs/>
        </w:rPr>
        <w:t xml:space="preserve"> A.glabrata</w:t>
      </w:r>
      <w:r>
        <w:rPr>
          <w:rFonts w:ascii="仿宋_GB2312" w:eastAsia="仿宋_GB2312" w:hAnsi="宋体" w:hint="eastAsia"/>
        </w:rPr>
        <w:t>、紫花苜蓿、圆叶决明用于果园杂草防治（由于紫花苜蓿、圆叶决明为一年生的，每年3月重新在紫花苜蓿、圆叶决明的种植区分别重新种植紫花苜蓿和圆叶决明），3</w:t>
      </w:r>
      <w:r>
        <w:rPr>
          <w:rFonts w:ascii="仿宋_GB2312" w:eastAsia="仿宋_GB2312" w:hAnsi="宋体" w:hint="eastAsia"/>
        </w:rPr>
        <w:lastRenderedPageBreak/>
        <w:t>个月后野生花生覆盖了整个果园，建立了果园生草栽培模式，杂草防治效果明显，其他两种绿肥也具有一定的成效。次年7 月，取样火龙果园野生花生、火龙果紫花苜蓿、火龙果圆叶决明和清耕四种种栽培模式下 0～5cm、5～10cm、10～20cm 耕作层土壤进行微生物培养、酶活性测定和氮磷钾养分分析，以清耕为对照，野生花生为生草的栽培模式能明显提高果园耕作层土壤的水解性氮、有效磷和有效钾的含量，其中 0～5cm 耕作层最为明显，间作野花生模式水解性氮比清耕提高了30.97%、有效磷提高了143.94%、有效钾提高了150.28%，间作野生花生相比于间作紫花苜蓿、圆叶决明的水解性氮、有效磷、有效钾的增幅更高。在土壤酶活性方面，野生花生栽培条件下 0～5cm和 5～10cm 耕作层土壤脲酶、酸性磷酸酶和过氧化氢酶的活性也显著高于清耕对照，与紫花苜蓿、圆叶决明栽培模式相比，野生花生的土壤脲酶、酸性磷酸酶和过氧化氢酶的活性提高更显著。</w:t>
      </w:r>
    </w:p>
    <w:p w:rsidR="0082501E" w:rsidRDefault="0082501E" w:rsidP="0082501E">
      <w:pPr>
        <w:autoSpaceDE w:val="0"/>
        <w:autoSpaceDN w:val="0"/>
        <w:adjustRightInd w:val="0"/>
        <w:ind w:firstLineChars="200" w:firstLine="643"/>
        <w:rPr>
          <w:rFonts w:ascii="仿宋_GB2312" w:eastAsia="仿宋_GB2312" w:hAnsi="宋体" w:hint="eastAsia"/>
          <w:b/>
          <w:sz w:val="32"/>
          <w:szCs w:val="32"/>
        </w:rPr>
      </w:pPr>
      <w:r>
        <w:rPr>
          <w:rFonts w:ascii="仿宋_GB2312" w:eastAsia="仿宋_GB2312" w:hAnsi="宋体" w:hint="eastAsia"/>
          <w:b/>
          <w:sz w:val="32"/>
          <w:szCs w:val="32"/>
        </w:rPr>
        <w:t>（五）种植前准备</w:t>
      </w:r>
    </w:p>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t>主要</w:t>
      </w:r>
      <w:r>
        <w:rPr>
          <w:rFonts w:ascii="仿宋_GB2312" w:eastAsia="仿宋_GB2312" w:hAnsi="宋体"/>
        </w:rPr>
        <w:t>依据</w:t>
      </w:r>
      <w:r>
        <w:rPr>
          <w:rFonts w:ascii="仿宋_GB2312" w:eastAsia="仿宋_GB2312" w:hAnsi="宋体" w:hint="eastAsia"/>
        </w:rPr>
        <w:t>《一种以多年生野生花生为生草的火龙果栽培方法》专利</w:t>
      </w:r>
      <w:r>
        <w:rPr>
          <w:rFonts w:ascii="仿宋_GB2312" w:eastAsia="仿宋_GB2312" w:hAnsi="宋体"/>
        </w:rPr>
        <w:t>技术</w:t>
      </w:r>
      <w:r>
        <w:rPr>
          <w:rFonts w:ascii="仿宋_GB2312" w:eastAsia="仿宋_GB2312" w:hAnsi="宋体" w:hint="eastAsia"/>
        </w:rPr>
        <w:t>内容确定。</w:t>
      </w:r>
    </w:p>
    <w:p w:rsidR="0082501E" w:rsidRDefault="0082501E" w:rsidP="0082501E">
      <w:pPr>
        <w:pStyle w:val="BodyText2"/>
        <w:spacing w:after="0"/>
        <w:ind w:firstLineChars="200" w:firstLine="643"/>
        <w:rPr>
          <w:rFonts w:ascii="仿宋_GB2312" w:eastAsia="仿宋_GB2312" w:hAnsi="宋体"/>
        </w:rPr>
      </w:pPr>
      <w:r>
        <w:rPr>
          <w:rFonts w:ascii="仿宋_GB2312" w:eastAsia="仿宋_GB2312" w:hAnsi="宋体" w:hint="eastAsia"/>
          <w:b/>
        </w:rPr>
        <w:t>整地</w:t>
      </w:r>
      <w:r>
        <w:rPr>
          <w:rFonts w:ascii="仿宋_GB2312" w:eastAsia="仿宋_GB2312" w:hAnsi="宋体"/>
          <w:b/>
        </w:rPr>
        <w:t>：</w:t>
      </w:r>
      <w:r>
        <w:rPr>
          <w:rFonts w:ascii="仿宋_GB2312" w:eastAsia="仿宋_GB2312" w:hAnsi="宋体" w:hint="eastAsia"/>
        </w:rPr>
        <w:t>整地选择晴天，在播种前1～2天用旋耕犁旋耕1～2遍，做到深、松、细、碎、平。火龙果种植多以宽垄深沟为主，可避免积水。起垄方式分为两种：（1）单垄单行种植，垄面宽2.2米，沟宽0.8米，沟深0.5米，行株距为3米×2.5米。（2）单垄双行种植，垄面宽5米，沟宽2米，沟深1米，行株距为3.5</w:t>
      </w:r>
      <w:r>
        <w:rPr>
          <w:rFonts w:ascii="仿宋_GB2312" w:eastAsia="仿宋_GB2312" w:hAnsi="宋体" w:hint="eastAsia"/>
        </w:rPr>
        <w:lastRenderedPageBreak/>
        <w:t>米×2.5米。</w:t>
      </w:r>
    </w:p>
    <w:p w:rsidR="0082501E" w:rsidRDefault="0082501E" w:rsidP="0082501E">
      <w:pPr>
        <w:pStyle w:val="BodyText2"/>
        <w:spacing w:after="0"/>
        <w:ind w:firstLineChars="200" w:firstLine="643"/>
        <w:rPr>
          <w:rFonts w:hint="eastAsia"/>
        </w:rPr>
      </w:pPr>
      <w:r>
        <w:rPr>
          <w:rFonts w:ascii="仿宋_GB2312" w:eastAsia="仿宋_GB2312" w:hAnsi="宋体" w:hint="eastAsia"/>
          <w:b/>
        </w:rPr>
        <w:t>铺设防草地布：</w:t>
      </w:r>
      <w:r>
        <w:rPr>
          <w:rFonts w:ascii="仿宋_GB2312" w:eastAsia="仿宋_GB2312" w:hAnsi="宋体" w:hint="eastAsia"/>
        </w:rPr>
        <w:t>提前铺设防草地布，采用先铺后种的形式，先将地整好，完成开沟起垄，保证垄面平整，将1米宽的成捆地布延垄面平铺于垄面中间，用地钉固定，然后在垄面中间即地布中间相应位置开孔立柱并开展种植。本实施例中地布的尺寸为1米，其他实施方式中，优选小于1.2米，其目的是在火龙果周边形成50~60cm的隔离区，可以有效防止野生花生由于地上茎部匍匐生长并迅速向下扎根蔓延至火龙果茎基部和根部，影响火龙果根须的生长，而地面上野生花生的枝藤仍然能铺倒在地布上，尽可能的铺满整个果园土壤表面。</w:t>
      </w:r>
    </w:p>
    <w:p w:rsidR="0082501E" w:rsidRDefault="0082501E" w:rsidP="0082501E">
      <w:pPr>
        <w:ind w:firstLineChars="200" w:firstLine="643"/>
        <w:rPr>
          <w:rFonts w:ascii="仿宋_GB2312" w:eastAsia="仿宋_GB2312" w:hAnsi="宋体"/>
          <w:bCs/>
          <w:sz w:val="32"/>
          <w:szCs w:val="32"/>
        </w:rPr>
      </w:pPr>
      <w:r>
        <w:rPr>
          <w:rFonts w:ascii="仿宋_GB2312" w:eastAsia="仿宋_GB2312" w:hAnsi="宋体" w:hint="eastAsia"/>
          <w:b/>
          <w:bCs/>
          <w:sz w:val="32"/>
          <w:szCs w:val="32"/>
        </w:rPr>
        <w:t>打孔立柱：</w:t>
      </w:r>
      <w:r>
        <w:rPr>
          <w:rFonts w:ascii="仿宋_GB2312" w:eastAsia="仿宋_GB2312" w:hAnsi="宋体" w:hint="eastAsia"/>
          <w:bCs/>
          <w:sz w:val="32"/>
          <w:szCs w:val="32"/>
        </w:rPr>
        <w:t>在培育区域合理设置水泥柱，然后在其周边栽培幼苗，待其生长后，沿着水泥柱攀爬，水泥柱的设置原则是平地培育为3m×2.5 m、山地为2.2 m×2.2 m，按立柱的尺寸需求在地布留孔种植火龙果苗。</w:t>
      </w:r>
    </w:p>
    <w:p w:rsidR="0082501E" w:rsidRDefault="0082501E" w:rsidP="0082501E">
      <w:pPr>
        <w:autoSpaceDE w:val="0"/>
        <w:autoSpaceDN w:val="0"/>
        <w:adjustRightInd w:val="0"/>
        <w:ind w:firstLineChars="200" w:firstLine="643"/>
        <w:rPr>
          <w:rFonts w:ascii="仿宋_GB2312" w:eastAsia="仿宋_GB2312" w:hAnsi="宋体" w:hint="eastAsia"/>
          <w:b/>
          <w:sz w:val="32"/>
          <w:szCs w:val="32"/>
        </w:rPr>
      </w:pPr>
      <w:r>
        <w:rPr>
          <w:rFonts w:ascii="仿宋_GB2312" w:eastAsia="仿宋_GB2312" w:hAnsi="宋体" w:hint="eastAsia"/>
          <w:b/>
          <w:sz w:val="32"/>
          <w:szCs w:val="32"/>
        </w:rPr>
        <w:t>（六）种植</w:t>
      </w:r>
    </w:p>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t>主要</w:t>
      </w:r>
      <w:r>
        <w:rPr>
          <w:rFonts w:ascii="仿宋_GB2312" w:eastAsia="仿宋_GB2312" w:hAnsi="宋体"/>
        </w:rPr>
        <w:t>依据</w:t>
      </w:r>
      <w:r>
        <w:rPr>
          <w:rFonts w:ascii="仿宋_GB2312" w:eastAsia="仿宋_GB2312" w:hAnsi="宋体" w:hint="eastAsia"/>
        </w:rPr>
        <w:t>《一种以多年生野生花生为生草的火龙果栽培方法》专利</w:t>
      </w:r>
      <w:r>
        <w:rPr>
          <w:rFonts w:ascii="仿宋_GB2312" w:eastAsia="仿宋_GB2312" w:hAnsi="宋体"/>
        </w:rPr>
        <w:t>技术</w:t>
      </w:r>
      <w:r>
        <w:rPr>
          <w:rFonts w:ascii="仿宋_GB2312" w:eastAsia="仿宋_GB2312" w:hAnsi="宋体" w:hint="eastAsia"/>
        </w:rPr>
        <w:t>内容确定。</w:t>
      </w:r>
    </w:p>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t>火龙果苗采用扦插种植，火龙果苗为品种“紫龙”火龙果苗，气温稳定在15℃以上时开展，选择下雨前后种植，截取火龙果枝条25公分每段，截取后放置12小时收水，种植前可将枝条浸泡在浓度为50mg/kg的ABT生根粉溶液中浸泡时间为2h，生根效果更好，当根系生长到 3～4 cm 时进行移植。</w:t>
      </w:r>
    </w:p>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lastRenderedPageBreak/>
        <w:t>扦插移栽野生花生：扦插野生花生前，对火龙果畦面进行松土，保持土壤疏松，并在扦插沟内撒施每亩复合肥10kg的复合肥；为了提高野生花生</w:t>
      </w:r>
      <w:r w:rsidRPr="00200B1E">
        <w:rPr>
          <w:rFonts w:ascii="仿宋_GB2312" w:eastAsia="仿宋_GB2312" w:hAnsi="宋体" w:hint="eastAsia"/>
          <w:i/>
          <w:iCs/>
        </w:rPr>
        <w:t>A.glabrata</w:t>
      </w:r>
      <w:r>
        <w:rPr>
          <w:rFonts w:ascii="仿宋_GB2312" w:eastAsia="仿宋_GB2312" w:hAnsi="宋体" w:hint="eastAsia"/>
        </w:rPr>
        <w:t>移栽成活率和成活速度，移栽时野生花生枝条带有3～4cm地下根茎、2～3片叶；此外，将枝条浸泡在浓度为50mg/kg的ABT生根粉溶液中，浸泡2h后，将野生花生枝条按照出行距20～25cm、株距15～20cm在扦插在火龙果园的条沟中；按最佳株行距扦插移栽野生花生枝条后，立即淋水并淋透。</w:t>
      </w:r>
      <w:r w:rsidRPr="008F4C63">
        <w:rPr>
          <w:rFonts w:ascii="仿宋_GB2312" w:eastAsia="仿宋_GB2312" w:hAnsi="宋体" w:hint="eastAsia"/>
        </w:rPr>
        <w:t>针对野生花生结英小、生产效率偏低的问题,利用野生花生茎部进行扦插繁殖的方法,可操作性强、成苗率可达</w:t>
      </w:r>
      <w:r>
        <w:rPr>
          <w:rFonts w:ascii="仿宋_GB2312" w:eastAsia="仿宋_GB2312" w:hAnsi="宋体" w:hint="eastAsia"/>
        </w:rPr>
        <w:t>80%</w:t>
      </w:r>
      <w:r w:rsidRPr="008F4C63">
        <w:rPr>
          <w:rFonts w:ascii="仿宋_GB2312" w:eastAsia="仿宋_GB2312" w:hAnsi="宋体" w:hint="eastAsia"/>
        </w:rPr>
        <w:t>以上</w:t>
      </w:r>
      <w:r>
        <w:rPr>
          <w:rFonts w:ascii="仿宋_GB2312" w:eastAsia="仿宋_GB2312" w:hAnsi="宋体" w:hint="eastAsia"/>
        </w:rPr>
        <w:t>。</w:t>
      </w:r>
    </w:p>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t>为了研究扦插枝条方式对成果率和生根速率的影响，起草组在实施例1的基础上设置如下扦插枝条截取方式及处理办法，其结果见下表1。</w:t>
      </w:r>
    </w:p>
    <w:p w:rsidR="0082501E" w:rsidRDefault="0082501E" w:rsidP="0082501E">
      <w:pPr>
        <w:pStyle w:val="BodyText2"/>
        <w:spacing w:after="0"/>
        <w:jc w:val="center"/>
        <w:rPr>
          <w:rFonts w:ascii="仿宋_GB2312" w:eastAsia="仿宋_GB2312" w:hAnsi="宋体"/>
        </w:rPr>
      </w:pPr>
      <w:r>
        <w:rPr>
          <w:rFonts w:ascii="仿宋_GB2312" w:eastAsia="仿宋_GB2312" w:hAnsi="宋体" w:hint="eastAsia"/>
        </w:rPr>
        <w:t>表1</w:t>
      </w:r>
      <w:r>
        <w:rPr>
          <w:rFonts w:ascii="仿宋_GB2312" w:eastAsia="仿宋_GB2312" w:hAnsi="宋体"/>
        </w:rPr>
        <w:t xml:space="preserve">  </w:t>
      </w:r>
      <w:r>
        <w:rPr>
          <w:rFonts w:ascii="仿宋_GB2312" w:eastAsia="仿宋_GB2312" w:hAnsi="宋体" w:hint="eastAsia"/>
        </w:rPr>
        <w:t>扦插枝条方式的成果率和生根速度</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55"/>
        <w:gridCol w:w="2491"/>
        <w:gridCol w:w="1661"/>
        <w:gridCol w:w="2341"/>
      </w:tblGrid>
      <w:tr w:rsidR="0082501E" w:rsidTr="00140795">
        <w:trPr>
          <w:jc w:val="center"/>
        </w:trPr>
        <w:tc>
          <w:tcPr>
            <w:tcW w:w="2764" w:type="pct"/>
            <w:gridSpan w:val="2"/>
            <w:vAlign w:val="center"/>
          </w:tcPr>
          <w:p w:rsidR="0082501E" w:rsidRDefault="0082501E" w:rsidP="00140795">
            <w:pPr>
              <w:pStyle w:val="a3"/>
              <w:jc w:val="center"/>
              <w:rPr>
                <w:color w:val="auto"/>
                <w:sz w:val="24"/>
                <w:szCs w:val="24"/>
              </w:rPr>
            </w:pPr>
            <w:r>
              <w:rPr>
                <w:color w:val="auto"/>
                <w:sz w:val="24"/>
                <w:szCs w:val="24"/>
              </w:rPr>
              <w:t>扦插枝条截取方式及处理办法</w:t>
            </w:r>
          </w:p>
        </w:tc>
        <w:tc>
          <w:tcPr>
            <w:tcW w:w="928" w:type="pct"/>
            <w:vAlign w:val="center"/>
          </w:tcPr>
          <w:p w:rsidR="0082501E" w:rsidRDefault="0082501E" w:rsidP="00140795">
            <w:pPr>
              <w:pStyle w:val="a3"/>
              <w:jc w:val="center"/>
              <w:rPr>
                <w:color w:val="auto"/>
                <w:sz w:val="24"/>
                <w:szCs w:val="24"/>
              </w:rPr>
            </w:pPr>
            <w:r>
              <w:rPr>
                <w:color w:val="auto"/>
                <w:sz w:val="24"/>
                <w:szCs w:val="24"/>
              </w:rPr>
              <w:t>成活率</w:t>
            </w:r>
          </w:p>
        </w:tc>
        <w:tc>
          <w:tcPr>
            <w:tcW w:w="1308" w:type="pct"/>
            <w:vAlign w:val="center"/>
          </w:tcPr>
          <w:p w:rsidR="0082501E" w:rsidRDefault="0082501E" w:rsidP="00140795">
            <w:pPr>
              <w:pStyle w:val="a3"/>
              <w:jc w:val="center"/>
              <w:rPr>
                <w:color w:val="auto"/>
                <w:sz w:val="24"/>
                <w:szCs w:val="24"/>
              </w:rPr>
            </w:pPr>
            <w:r>
              <w:rPr>
                <w:color w:val="auto"/>
                <w:sz w:val="24"/>
                <w:szCs w:val="24"/>
              </w:rPr>
              <w:t>扦插枝条生根的时间</w:t>
            </w:r>
          </w:p>
        </w:tc>
      </w:tr>
      <w:tr w:rsidR="0082501E" w:rsidTr="00140795">
        <w:trPr>
          <w:trHeight w:val="530"/>
          <w:jc w:val="center"/>
        </w:trPr>
        <w:tc>
          <w:tcPr>
            <w:tcW w:w="1372" w:type="pct"/>
            <w:vMerge w:val="restart"/>
            <w:vAlign w:val="center"/>
          </w:tcPr>
          <w:p w:rsidR="0082501E" w:rsidRDefault="0082501E" w:rsidP="00140795">
            <w:pPr>
              <w:pStyle w:val="a3"/>
              <w:jc w:val="center"/>
              <w:rPr>
                <w:color w:val="auto"/>
                <w:sz w:val="24"/>
                <w:szCs w:val="24"/>
              </w:rPr>
            </w:pPr>
            <w:r>
              <w:rPr>
                <w:color w:val="auto"/>
                <w:sz w:val="24"/>
                <w:szCs w:val="24"/>
              </w:rPr>
              <w:t>包括</w:t>
            </w:r>
            <w:r>
              <w:rPr>
                <w:color w:val="auto"/>
                <w:sz w:val="24"/>
                <w:szCs w:val="24"/>
              </w:rPr>
              <w:t>3</w:t>
            </w:r>
            <w:r>
              <w:rPr>
                <w:color w:val="auto"/>
                <w:sz w:val="24"/>
                <w:szCs w:val="24"/>
              </w:rPr>
              <w:t>～</w:t>
            </w:r>
            <w:r>
              <w:rPr>
                <w:color w:val="auto"/>
                <w:sz w:val="24"/>
                <w:szCs w:val="24"/>
              </w:rPr>
              <w:t>4cm</w:t>
            </w:r>
            <w:r>
              <w:rPr>
                <w:color w:val="auto"/>
                <w:sz w:val="24"/>
                <w:szCs w:val="24"/>
              </w:rPr>
              <w:t>地下根茎和</w:t>
            </w:r>
            <w:r>
              <w:rPr>
                <w:color w:val="auto"/>
                <w:sz w:val="24"/>
                <w:szCs w:val="24"/>
              </w:rPr>
              <w:t>2</w:t>
            </w:r>
            <w:r>
              <w:rPr>
                <w:color w:val="auto"/>
                <w:sz w:val="24"/>
                <w:szCs w:val="24"/>
              </w:rPr>
              <w:t>～</w:t>
            </w:r>
            <w:r>
              <w:rPr>
                <w:color w:val="auto"/>
                <w:sz w:val="24"/>
                <w:szCs w:val="24"/>
              </w:rPr>
              <w:t>3</w:t>
            </w:r>
            <w:r>
              <w:rPr>
                <w:color w:val="auto"/>
                <w:sz w:val="24"/>
                <w:szCs w:val="24"/>
              </w:rPr>
              <w:t>片叶的地上茎</w:t>
            </w:r>
          </w:p>
        </w:tc>
        <w:tc>
          <w:tcPr>
            <w:tcW w:w="1391" w:type="pct"/>
            <w:vAlign w:val="center"/>
          </w:tcPr>
          <w:p w:rsidR="0082501E" w:rsidRDefault="0082501E" w:rsidP="00140795">
            <w:pPr>
              <w:pStyle w:val="a3"/>
              <w:jc w:val="center"/>
              <w:rPr>
                <w:color w:val="auto"/>
                <w:sz w:val="24"/>
                <w:szCs w:val="24"/>
              </w:rPr>
            </w:pPr>
            <w:r>
              <w:rPr>
                <w:color w:val="auto"/>
                <w:sz w:val="24"/>
                <w:szCs w:val="24"/>
              </w:rPr>
              <w:t>50mg/kg</w:t>
            </w:r>
            <w:r>
              <w:rPr>
                <w:color w:val="auto"/>
                <w:sz w:val="24"/>
                <w:szCs w:val="24"/>
              </w:rPr>
              <w:t>的</w:t>
            </w:r>
            <w:r>
              <w:rPr>
                <w:color w:val="auto"/>
                <w:sz w:val="24"/>
                <w:szCs w:val="24"/>
              </w:rPr>
              <w:t>ABT</w:t>
            </w:r>
            <w:r>
              <w:rPr>
                <w:color w:val="auto"/>
                <w:sz w:val="24"/>
                <w:szCs w:val="24"/>
              </w:rPr>
              <w:t>生根粉溶液浸泡</w:t>
            </w:r>
            <w:r>
              <w:rPr>
                <w:color w:val="auto"/>
                <w:sz w:val="24"/>
                <w:szCs w:val="24"/>
              </w:rPr>
              <w:t>2</w:t>
            </w:r>
            <w:r>
              <w:rPr>
                <w:color w:val="auto"/>
                <w:sz w:val="24"/>
                <w:szCs w:val="24"/>
              </w:rPr>
              <w:t>～</w:t>
            </w:r>
            <w:r>
              <w:rPr>
                <w:color w:val="auto"/>
                <w:sz w:val="24"/>
                <w:szCs w:val="24"/>
              </w:rPr>
              <w:t>3h</w:t>
            </w:r>
          </w:p>
        </w:tc>
        <w:tc>
          <w:tcPr>
            <w:tcW w:w="928" w:type="pct"/>
            <w:vAlign w:val="center"/>
          </w:tcPr>
          <w:p w:rsidR="0082501E" w:rsidRDefault="0082501E" w:rsidP="00140795">
            <w:pPr>
              <w:pStyle w:val="a3"/>
              <w:jc w:val="center"/>
              <w:rPr>
                <w:color w:val="auto"/>
                <w:sz w:val="24"/>
                <w:szCs w:val="24"/>
              </w:rPr>
            </w:pPr>
            <w:r>
              <w:rPr>
                <w:rFonts w:hint="eastAsia"/>
                <w:color w:val="auto"/>
                <w:sz w:val="24"/>
                <w:szCs w:val="24"/>
              </w:rPr>
              <w:t>&gt;</w:t>
            </w:r>
            <w:r>
              <w:rPr>
                <w:color w:val="auto"/>
                <w:sz w:val="24"/>
                <w:szCs w:val="24"/>
              </w:rPr>
              <w:t>90%</w:t>
            </w:r>
          </w:p>
        </w:tc>
        <w:tc>
          <w:tcPr>
            <w:tcW w:w="1308" w:type="pct"/>
            <w:vAlign w:val="center"/>
          </w:tcPr>
          <w:p w:rsidR="0082501E" w:rsidRDefault="0082501E" w:rsidP="00140795">
            <w:pPr>
              <w:pStyle w:val="a3"/>
              <w:jc w:val="center"/>
              <w:rPr>
                <w:color w:val="auto"/>
                <w:sz w:val="24"/>
                <w:szCs w:val="24"/>
              </w:rPr>
            </w:pPr>
            <w:r>
              <w:rPr>
                <w:color w:val="auto"/>
                <w:sz w:val="24"/>
                <w:szCs w:val="24"/>
              </w:rPr>
              <w:t>7</w:t>
            </w:r>
            <w:r>
              <w:rPr>
                <w:color w:val="auto"/>
                <w:sz w:val="24"/>
                <w:szCs w:val="24"/>
              </w:rPr>
              <w:t>～</w:t>
            </w:r>
            <w:r>
              <w:rPr>
                <w:color w:val="auto"/>
                <w:sz w:val="24"/>
                <w:szCs w:val="24"/>
              </w:rPr>
              <w:t>8</w:t>
            </w:r>
            <w:r>
              <w:rPr>
                <w:color w:val="auto"/>
                <w:sz w:val="24"/>
                <w:szCs w:val="24"/>
              </w:rPr>
              <w:t>天</w:t>
            </w:r>
          </w:p>
        </w:tc>
      </w:tr>
      <w:tr w:rsidR="0082501E" w:rsidTr="00140795">
        <w:trPr>
          <w:trHeight w:val="536"/>
          <w:jc w:val="center"/>
        </w:trPr>
        <w:tc>
          <w:tcPr>
            <w:tcW w:w="1372" w:type="pct"/>
            <w:vMerge/>
            <w:vAlign w:val="center"/>
          </w:tcPr>
          <w:p w:rsidR="0082501E" w:rsidRDefault="0082501E" w:rsidP="00140795">
            <w:pPr>
              <w:pStyle w:val="a3"/>
              <w:jc w:val="center"/>
              <w:rPr>
                <w:color w:val="auto"/>
                <w:sz w:val="24"/>
                <w:szCs w:val="24"/>
              </w:rPr>
            </w:pPr>
          </w:p>
        </w:tc>
        <w:tc>
          <w:tcPr>
            <w:tcW w:w="1391" w:type="pct"/>
            <w:vAlign w:val="center"/>
          </w:tcPr>
          <w:p w:rsidR="0082501E" w:rsidRDefault="0082501E" w:rsidP="00140795">
            <w:pPr>
              <w:pStyle w:val="a3"/>
              <w:jc w:val="center"/>
              <w:rPr>
                <w:color w:val="auto"/>
                <w:sz w:val="24"/>
                <w:szCs w:val="24"/>
              </w:rPr>
            </w:pPr>
            <w:r>
              <w:rPr>
                <w:color w:val="auto"/>
                <w:sz w:val="24"/>
                <w:szCs w:val="24"/>
              </w:rPr>
              <w:t>不用生根粉</w:t>
            </w:r>
          </w:p>
        </w:tc>
        <w:tc>
          <w:tcPr>
            <w:tcW w:w="928" w:type="pct"/>
            <w:vAlign w:val="center"/>
          </w:tcPr>
          <w:p w:rsidR="0082501E" w:rsidRDefault="0082501E" w:rsidP="00140795">
            <w:pPr>
              <w:pStyle w:val="a3"/>
              <w:jc w:val="center"/>
              <w:rPr>
                <w:color w:val="auto"/>
                <w:sz w:val="24"/>
                <w:szCs w:val="24"/>
              </w:rPr>
            </w:pPr>
            <w:r>
              <w:rPr>
                <w:color w:val="auto"/>
                <w:sz w:val="24"/>
                <w:szCs w:val="24"/>
              </w:rPr>
              <w:t>约</w:t>
            </w:r>
            <w:r>
              <w:rPr>
                <w:color w:val="auto"/>
                <w:sz w:val="24"/>
                <w:szCs w:val="24"/>
              </w:rPr>
              <w:t>80%</w:t>
            </w:r>
          </w:p>
        </w:tc>
        <w:tc>
          <w:tcPr>
            <w:tcW w:w="1308" w:type="pct"/>
            <w:vAlign w:val="center"/>
          </w:tcPr>
          <w:p w:rsidR="0082501E" w:rsidRDefault="0082501E" w:rsidP="00140795">
            <w:pPr>
              <w:pStyle w:val="a3"/>
              <w:jc w:val="center"/>
              <w:rPr>
                <w:color w:val="auto"/>
                <w:sz w:val="24"/>
                <w:szCs w:val="24"/>
              </w:rPr>
            </w:pPr>
            <w:r>
              <w:rPr>
                <w:color w:val="auto"/>
                <w:sz w:val="24"/>
                <w:szCs w:val="24"/>
              </w:rPr>
              <w:t>10</w:t>
            </w:r>
            <w:r>
              <w:rPr>
                <w:color w:val="auto"/>
                <w:sz w:val="24"/>
                <w:szCs w:val="24"/>
              </w:rPr>
              <w:t>～</w:t>
            </w:r>
            <w:r>
              <w:rPr>
                <w:color w:val="auto"/>
                <w:sz w:val="24"/>
                <w:szCs w:val="24"/>
              </w:rPr>
              <w:t>1</w:t>
            </w:r>
            <w:r>
              <w:rPr>
                <w:rFonts w:hint="eastAsia"/>
                <w:color w:val="auto"/>
                <w:sz w:val="24"/>
                <w:szCs w:val="24"/>
              </w:rPr>
              <w:t>5</w:t>
            </w:r>
            <w:r>
              <w:rPr>
                <w:color w:val="auto"/>
                <w:sz w:val="24"/>
                <w:szCs w:val="24"/>
              </w:rPr>
              <w:t>天</w:t>
            </w:r>
          </w:p>
        </w:tc>
      </w:tr>
      <w:tr w:rsidR="0082501E" w:rsidTr="00140795">
        <w:trPr>
          <w:trHeight w:val="389"/>
          <w:jc w:val="center"/>
        </w:trPr>
        <w:tc>
          <w:tcPr>
            <w:tcW w:w="1372" w:type="pct"/>
            <w:vMerge w:val="restart"/>
            <w:vAlign w:val="center"/>
          </w:tcPr>
          <w:p w:rsidR="0082501E" w:rsidRDefault="0082501E" w:rsidP="00140795">
            <w:pPr>
              <w:pStyle w:val="a3"/>
              <w:jc w:val="center"/>
              <w:rPr>
                <w:color w:val="auto"/>
                <w:sz w:val="24"/>
                <w:szCs w:val="24"/>
              </w:rPr>
            </w:pPr>
            <w:r>
              <w:rPr>
                <w:color w:val="auto"/>
                <w:sz w:val="24"/>
                <w:szCs w:val="24"/>
              </w:rPr>
              <w:t>只有</w:t>
            </w:r>
            <w:r>
              <w:rPr>
                <w:color w:val="auto"/>
                <w:sz w:val="24"/>
                <w:szCs w:val="24"/>
              </w:rPr>
              <w:t>2</w:t>
            </w:r>
            <w:r>
              <w:rPr>
                <w:color w:val="auto"/>
                <w:sz w:val="24"/>
                <w:szCs w:val="24"/>
              </w:rPr>
              <w:t>～</w:t>
            </w:r>
            <w:r>
              <w:rPr>
                <w:color w:val="auto"/>
                <w:sz w:val="24"/>
                <w:szCs w:val="24"/>
              </w:rPr>
              <w:t>3</w:t>
            </w:r>
            <w:r>
              <w:rPr>
                <w:color w:val="auto"/>
                <w:sz w:val="24"/>
                <w:szCs w:val="24"/>
              </w:rPr>
              <w:t>片叶地上茎</w:t>
            </w:r>
          </w:p>
        </w:tc>
        <w:tc>
          <w:tcPr>
            <w:tcW w:w="1391" w:type="pct"/>
            <w:vAlign w:val="center"/>
          </w:tcPr>
          <w:p w:rsidR="0082501E" w:rsidRDefault="0082501E" w:rsidP="00140795">
            <w:pPr>
              <w:pStyle w:val="a3"/>
              <w:jc w:val="center"/>
              <w:rPr>
                <w:color w:val="auto"/>
                <w:sz w:val="24"/>
                <w:szCs w:val="24"/>
              </w:rPr>
            </w:pPr>
            <w:r>
              <w:rPr>
                <w:color w:val="auto"/>
                <w:sz w:val="24"/>
                <w:szCs w:val="24"/>
              </w:rPr>
              <w:t>50mg/kg</w:t>
            </w:r>
            <w:r>
              <w:rPr>
                <w:color w:val="auto"/>
                <w:sz w:val="24"/>
                <w:szCs w:val="24"/>
              </w:rPr>
              <w:t>的</w:t>
            </w:r>
            <w:r>
              <w:rPr>
                <w:color w:val="auto"/>
                <w:sz w:val="24"/>
                <w:szCs w:val="24"/>
              </w:rPr>
              <w:t>ABT</w:t>
            </w:r>
            <w:r>
              <w:rPr>
                <w:color w:val="auto"/>
                <w:sz w:val="24"/>
                <w:szCs w:val="24"/>
              </w:rPr>
              <w:t>生根粉溶液浸泡</w:t>
            </w:r>
            <w:r>
              <w:rPr>
                <w:color w:val="auto"/>
                <w:sz w:val="24"/>
                <w:szCs w:val="24"/>
              </w:rPr>
              <w:t>2</w:t>
            </w:r>
            <w:r>
              <w:rPr>
                <w:color w:val="auto"/>
                <w:sz w:val="24"/>
                <w:szCs w:val="24"/>
              </w:rPr>
              <w:t>～</w:t>
            </w:r>
            <w:r>
              <w:rPr>
                <w:color w:val="auto"/>
                <w:sz w:val="24"/>
                <w:szCs w:val="24"/>
              </w:rPr>
              <w:t>3h</w:t>
            </w:r>
          </w:p>
        </w:tc>
        <w:tc>
          <w:tcPr>
            <w:tcW w:w="928" w:type="pct"/>
            <w:vAlign w:val="center"/>
          </w:tcPr>
          <w:p w:rsidR="0082501E" w:rsidRDefault="0082501E" w:rsidP="00140795">
            <w:pPr>
              <w:pStyle w:val="a3"/>
              <w:jc w:val="center"/>
              <w:rPr>
                <w:color w:val="auto"/>
                <w:sz w:val="24"/>
                <w:szCs w:val="24"/>
              </w:rPr>
            </w:pPr>
            <w:r>
              <w:rPr>
                <w:color w:val="auto"/>
                <w:sz w:val="24"/>
                <w:szCs w:val="24"/>
              </w:rPr>
              <w:t>60%</w:t>
            </w:r>
            <w:r>
              <w:rPr>
                <w:color w:val="auto"/>
                <w:sz w:val="24"/>
                <w:szCs w:val="24"/>
              </w:rPr>
              <w:t>～</w:t>
            </w:r>
            <w:r>
              <w:rPr>
                <w:color w:val="auto"/>
                <w:sz w:val="24"/>
                <w:szCs w:val="24"/>
              </w:rPr>
              <w:t>70%</w:t>
            </w:r>
          </w:p>
        </w:tc>
        <w:tc>
          <w:tcPr>
            <w:tcW w:w="1308" w:type="pct"/>
            <w:vAlign w:val="center"/>
          </w:tcPr>
          <w:p w:rsidR="0082501E" w:rsidRDefault="0082501E" w:rsidP="00140795">
            <w:pPr>
              <w:pStyle w:val="a3"/>
              <w:jc w:val="center"/>
              <w:rPr>
                <w:color w:val="auto"/>
                <w:sz w:val="24"/>
                <w:szCs w:val="24"/>
              </w:rPr>
            </w:pPr>
            <w:r>
              <w:rPr>
                <w:color w:val="auto"/>
                <w:sz w:val="24"/>
                <w:szCs w:val="24"/>
              </w:rPr>
              <w:t>20</w:t>
            </w:r>
            <w:r>
              <w:rPr>
                <w:color w:val="auto"/>
                <w:sz w:val="24"/>
                <w:szCs w:val="24"/>
              </w:rPr>
              <w:t>～</w:t>
            </w:r>
            <w:r>
              <w:rPr>
                <w:color w:val="auto"/>
                <w:sz w:val="24"/>
                <w:szCs w:val="24"/>
              </w:rPr>
              <w:t>25</w:t>
            </w:r>
            <w:r>
              <w:rPr>
                <w:color w:val="auto"/>
                <w:sz w:val="24"/>
                <w:szCs w:val="24"/>
              </w:rPr>
              <w:t>天</w:t>
            </w:r>
          </w:p>
        </w:tc>
      </w:tr>
      <w:tr w:rsidR="0082501E" w:rsidTr="00140795">
        <w:trPr>
          <w:trHeight w:val="375"/>
          <w:jc w:val="center"/>
        </w:trPr>
        <w:tc>
          <w:tcPr>
            <w:tcW w:w="1372" w:type="pct"/>
            <w:vMerge/>
            <w:vAlign w:val="center"/>
          </w:tcPr>
          <w:p w:rsidR="0082501E" w:rsidRDefault="0082501E" w:rsidP="00140795">
            <w:pPr>
              <w:pStyle w:val="a3"/>
              <w:jc w:val="center"/>
              <w:rPr>
                <w:color w:val="auto"/>
                <w:sz w:val="24"/>
                <w:szCs w:val="24"/>
              </w:rPr>
            </w:pPr>
          </w:p>
        </w:tc>
        <w:tc>
          <w:tcPr>
            <w:tcW w:w="1391" w:type="pct"/>
            <w:vAlign w:val="center"/>
          </w:tcPr>
          <w:p w:rsidR="0082501E" w:rsidRDefault="0082501E" w:rsidP="00140795">
            <w:pPr>
              <w:pStyle w:val="a3"/>
              <w:jc w:val="center"/>
              <w:rPr>
                <w:color w:val="auto"/>
                <w:sz w:val="24"/>
                <w:szCs w:val="24"/>
              </w:rPr>
            </w:pPr>
            <w:r>
              <w:rPr>
                <w:color w:val="auto"/>
                <w:sz w:val="24"/>
                <w:szCs w:val="24"/>
              </w:rPr>
              <w:t>不用生根粉</w:t>
            </w:r>
          </w:p>
        </w:tc>
        <w:tc>
          <w:tcPr>
            <w:tcW w:w="928" w:type="pct"/>
            <w:vAlign w:val="center"/>
          </w:tcPr>
          <w:p w:rsidR="0082501E" w:rsidRDefault="0082501E" w:rsidP="00140795">
            <w:pPr>
              <w:pStyle w:val="a3"/>
              <w:jc w:val="center"/>
              <w:rPr>
                <w:color w:val="auto"/>
                <w:sz w:val="24"/>
                <w:szCs w:val="24"/>
              </w:rPr>
            </w:pPr>
            <w:r>
              <w:rPr>
                <w:color w:val="auto"/>
                <w:sz w:val="24"/>
                <w:szCs w:val="24"/>
              </w:rPr>
              <w:t>25%</w:t>
            </w:r>
            <w:r>
              <w:rPr>
                <w:color w:val="auto"/>
                <w:sz w:val="24"/>
                <w:szCs w:val="24"/>
              </w:rPr>
              <w:t>～</w:t>
            </w:r>
            <w:r>
              <w:rPr>
                <w:color w:val="auto"/>
                <w:sz w:val="24"/>
                <w:szCs w:val="24"/>
              </w:rPr>
              <w:t>30%</w:t>
            </w:r>
          </w:p>
        </w:tc>
        <w:tc>
          <w:tcPr>
            <w:tcW w:w="1308" w:type="pct"/>
            <w:vAlign w:val="center"/>
          </w:tcPr>
          <w:p w:rsidR="0082501E" w:rsidRDefault="0082501E" w:rsidP="00140795">
            <w:pPr>
              <w:pStyle w:val="a3"/>
              <w:jc w:val="center"/>
              <w:rPr>
                <w:color w:val="auto"/>
                <w:sz w:val="24"/>
                <w:szCs w:val="24"/>
              </w:rPr>
            </w:pPr>
            <w:r>
              <w:rPr>
                <w:color w:val="auto"/>
                <w:sz w:val="24"/>
                <w:szCs w:val="24"/>
              </w:rPr>
              <w:t>25</w:t>
            </w:r>
            <w:r>
              <w:rPr>
                <w:color w:val="auto"/>
                <w:sz w:val="24"/>
                <w:szCs w:val="24"/>
              </w:rPr>
              <w:t>～</w:t>
            </w:r>
            <w:r>
              <w:rPr>
                <w:color w:val="auto"/>
                <w:sz w:val="24"/>
                <w:szCs w:val="24"/>
              </w:rPr>
              <w:t>30</w:t>
            </w:r>
            <w:r>
              <w:rPr>
                <w:color w:val="auto"/>
                <w:sz w:val="24"/>
                <w:szCs w:val="24"/>
              </w:rPr>
              <w:t>天</w:t>
            </w:r>
          </w:p>
        </w:tc>
      </w:tr>
    </w:tbl>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t>由表1可知，采用地上的包括3～4cm地下根茎和2～3片叶的地上茎的枝条相比于只有2～3片叶地上茎的枝条，成活率高，使用生根粉之后，生根时间足足提高5天。</w:t>
      </w:r>
    </w:p>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lastRenderedPageBreak/>
        <w:t>研种植密度越大，覆盖果园表面土壤的速度越快，但需要的枝条越多，为了平衡覆盖速度和扦插枝条数量这两个因素响，起草组在实施例1的基础上设置不同的行间距实验，其结果如下表2。</w:t>
      </w:r>
    </w:p>
    <w:p w:rsidR="0082501E" w:rsidRDefault="0082501E" w:rsidP="0082501E">
      <w:pPr>
        <w:pStyle w:val="BodyText2"/>
        <w:spacing w:after="0"/>
        <w:jc w:val="center"/>
        <w:rPr>
          <w:rFonts w:ascii="仿宋_GB2312" w:eastAsia="仿宋_GB2312" w:hAnsi="宋体"/>
        </w:rPr>
      </w:pPr>
      <w:r>
        <w:rPr>
          <w:rFonts w:ascii="仿宋_GB2312" w:eastAsia="仿宋_GB2312" w:hAnsi="宋体" w:hint="eastAsia"/>
        </w:rPr>
        <w:t>表2 株行距和所需枝条数及覆盖果园所需时间</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1"/>
        <w:gridCol w:w="2214"/>
        <w:gridCol w:w="3173"/>
      </w:tblGrid>
      <w:tr w:rsidR="0082501E" w:rsidTr="00140795">
        <w:trPr>
          <w:trHeight w:val="20"/>
          <w:jc w:val="center"/>
        </w:trPr>
        <w:tc>
          <w:tcPr>
            <w:tcW w:w="1990" w:type="pct"/>
            <w:vAlign w:val="center"/>
          </w:tcPr>
          <w:p w:rsidR="0082501E" w:rsidRDefault="0082501E" w:rsidP="00140795">
            <w:pPr>
              <w:pStyle w:val="a3"/>
              <w:jc w:val="center"/>
              <w:rPr>
                <w:color w:val="auto"/>
                <w:sz w:val="24"/>
                <w:szCs w:val="24"/>
              </w:rPr>
            </w:pPr>
            <w:r>
              <w:rPr>
                <w:color w:val="auto"/>
                <w:sz w:val="24"/>
                <w:szCs w:val="24"/>
              </w:rPr>
              <w:t>扦插野生花生株行距</w:t>
            </w:r>
          </w:p>
        </w:tc>
        <w:tc>
          <w:tcPr>
            <w:tcW w:w="1237" w:type="pct"/>
            <w:vAlign w:val="center"/>
          </w:tcPr>
          <w:p w:rsidR="0082501E" w:rsidRDefault="0082501E" w:rsidP="00140795">
            <w:pPr>
              <w:pStyle w:val="a3"/>
              <w:jc w:val="center"/>
              <w:rPr>
                <w:color w:val="auto"/>
                <w:sz w:val="24"/>
                <w:szCs w:val="24"/>
              </w:rPr>
            </w:pPr>
            <w:r>
              <w:rPr>
                <w:color w:val="auto"/>
                <w:sz w:val="24"/>
                <w:szCs w:val="24"/>
              </w:rPr>
              <w:t>每亩所需枝条数</w:t>
            </w:r>
          </w:p>
        </w:tc>
        <w:tc>
          <w:tcPr>
            <w:tcW w:w="1773" w:type="pct"/>
            <w:vAlign w:val="center"/>
          </w:tcPr>
          <w:p w:rsidR="0082501E" w:rsidRDefault="0082501E" w:rsidP="00140795">
            <w:pPr>
              <w:pStyle w:val="a3"/>
              <w:jc w:val="center"/>
              <w:rPr>
                <w:color w:val="auto"/>
                <w:sz w:val="24"/>
                <w:szCs w:val="24"/>
              </w:rPr>
            </w:pPr>
            <w:r>
              <w:rPr>
                <w:color w:val="auto"/>
                <w:sz w:val="24"/>
                <w:szCs w:val="24"/>
              </w:rPr>
              <w:t>覆盖果园土壤表面所需时间</w:t>
            </w:r>
          </w:p>
        </w:tc>
      </w:tr>
      <w:tr w:rsidR="0082501E" w:rsidTr="00140795">
        <w:trPr>
          <w:trHeight w:val="20"/>
          <w:jc w:val="center"/>
        </w:trPr>
        <w:tc>
          <w:tcPr>
            <w:tcW w:w="1990" w:type="pct"/>
            <w:vAlign w:val="center"/>
          </w:tcPr>
          <w:p w:rsidR="0082501E" w:rsidRDefault="0082501E" w:rsidP="00140795">
            <w:pPr>
              <w:pStyle w:val="a3"/>
              <w:jc w:val="center"/>
              <w:rPr>
                <w:color w:val="auto"/>
                <w:sz w:val="24"/>
                <w:szCs w:val="24"/>
              </w:rPr>
            </w:pPr>
            <w:r>
              <w:rPr>
                <w:color w:val="auto"/>
                <w:sz w:val="24"/>
                <w:szCs w:val="24"/>
              </w:rPr>
              <w:t>行距</w:t>
            </w:r>
            <w:r>
              <w:rPr>
                <w:color w:val="auto"/>
                <w:sz w:val="24"/>
                <w:szCs w:val="24"/>
              </w:rPr>
              <w:t>10</w:t>
            </w:r>
            <w:r>
              <w:rPr>
                <w:color w:val="auto"/>
                <w:sz w:val="24"/>
                <w:szCs w:val="24"/>
              </w:rPr>
              <w:t>～</w:t>
            </w:r>
            <w:r>
              <w:rPr>
                <w:color w:val="auto"/>
                <w:sz w:val="24"/>
                <w:szCs w:val="24"/>
              </w:rPr>
              <w:t>15cm</w:t>
            </w:r>
            <w:r>
              <w:rPr>
                <w:color w:val="auto"/>
                <w:sz w:val="24"/>
                <w:szCs w:val="24"/>
              </w:rPr>
              <w:t>、株距</w:t>
            </w:r>
            <w:r>
              <w:rPr>
                <w:color w:val="auto"/>
                <w:sz w:val="24"/>
                <w:szCs w:val="24"/>
              </w:rPr>
              <w:t>5</w:t>
            </w:r>
            <w:r>
              <w:rPr>
                <w:color w:val="auto"/>
                <w:sz w:val="24"/>
                <w:szCs w:val="24"/>
              </w:rPr>
              <w:t>～</w:t>
            </w:r>
            <w:r>
              <w:rPr>
                <w:color w:val="auto"/>
                <w:sz w:val="24"/>
                <w:szCs w:val="24"/>
              </w:rPr>
              <w:t>10cm</w:t>
            </w:r>
          </w:p>
        </w:tc>
        <w:tc>
          <w:tcPr>
            <w:tcW w:w="1237" w:type="pct"/>
            <w:vAlign w:val="center"/>
          </w:tcPr>
          <w:p w:rsidR="0082501E" w:rsidRDefault="0082501E" w:rsidP="00140795">
            <w:pPr>
              <w:pStyle w:val="a3"/>
              <w:jc w:val="center"/>
              <w:rPr>
                <w:color w:val="auto"/>
                <w:sz w:val="24"/>
                <w:szCs w:val="24"/>
              </w:rPr>
            </w:pPr>
            <w:r>
              <w:rPr>
                <w:color w:val="auto"/>
                <w:sz w:val="24"/>
                <w:szCs w:val="24"/>
              </w:rPr>
              <w:t>67</w:t>
            </w:r>
            <w:r>
              <w:rPr>
                <w:color w:val="auto"/>
                <w:sz w:val="24"/>
                <w:szCs w:val="24"/>
              </w:rPr>
              <w:t>～</w:t>
            </w:r>
            <w:r>
              <w:rPr>
                <w:color w:val="auto"/>
                <w:sz w:val="24"/>
                <w:szCs w:val="24"/>
              </w:rPr>
              <w:t>200</w:t>
            </w:r>
            <w:r>
              <w:rPr>
                <w:color w:val="auto"/>
                <w:sz w:val="24"/>
                <w:szCs w:val="24"/>
              </w:rPr>
              <w:t>条</w:t>
            </w:r>
          </w:p>
        </w:tc>
        <w:tc>
          <w:tcPr>
            <w:tcW w:w="1773" w:type="pct"/>
            <w:vAlign w:val="center"/>
          </w:tcPr>
          <w:p w:rsidR="0082501E" w:rsidRDefault="0082501E" w:rsidP="00140795">
            <w:pPr>
              <w:pStyle w:val="a3"/>
              <w:jc w:val="center"/>
              <w:rPr>
                <w:color w:val="auto"/>
                <w:sz w:val="24"/>
                <w:szCs w:val="24"/>
              </w:rPr>
            </w:pPr>
            <w:r>
              <w:rPr>
                <w:color w:val="auto"/>
                <w:sz w:val="24"/>
                <w:szCs w:val="24"/>
              </w:rPr>
              <w:t>约</w:t>
            </w:r>
            <w:r>
              <w:rPr>
                <w:color w:val="auto"/>
                <w:sz w:val="24"/>
                <w:szCs w:val="24"/>
              </w:rPr>
              <w:t>60</w:t>
            </w:r>
            <w:r>
              <w:rPr>
                <w:color w:val="auto"/>
                <w:sz w:val="24"/>
                <w:szCs w:val="24"/>
              </w:rPr>
              <w:t>天</w:t>
            </w:r>
          </w:p>
        </w:tc>
      </w:tr>
      <w:tr w:rsidR="0082501E" w:rsidTr="00140795">
        <w:trPr>
          <w:trHeight w:val="20"/>
          <w:jc w:val="center"/>
        </w:trPr>
        <w:tc>
          <w:tcPr>
            <w:tcW w:w="1990" w:type="pct"/>
            <w:vAlign w:val="center"/>
          </w:tcPr>
          <w:p w:rsidR="0082501E" w:rsidRDefault="0082501E" w:rsidP="00140795">
            <w:pPr>
              <w:pStyle w:val="a3"/>
              <w:jc w:val="center"/>
              <w:rPr>
                <w:color w:val="auto"/>
                <w:sz w:val="24"/>
                <w:szCs w:val="24"/>
              </w:rPr>
            </w:pPr>
            <w:r>
              <w:rPr>
                <w:color w:val="auto"/>
                <w:sz w:val="24"/>
                <w:szCs w:val="24"/>
              </w:rPr>
              <w:t>行距</w:t>
            </w:r>
            <w:r>
              <w:rPr>
                <w:color w:val="auto"/>
                <w:sz w:val="24"/>
                <w:szCs w:val="24"/>
              </w:rPr>
              <w:t>20</w:t>
            </w:r>
            <w:r>
              <w:rPr>
                <w:color w:val="auto"/>
                <w:sz w:val="24"/>
                <w:szCs w:val="24"/>
              </w:rPr>
              <w:t>～</w:t>
            </w:r>
            <w:r>
              <w:rPr>
                <w:color w:val="auto"/>
                <w:sz w:val="24"/>
                <w:szCs w:val="24"/>
              </w:rPr>
              <w:t>25cm</w:t>
            </w:r>
            <w:r>
              <w:rPr>
                <w:color w:val="auto"/>
                <w:sz w:val="24"/>
                <w:szCs w:val="24"/>
              </w:rPr>
              <w:t>、株距</w:t>
            </w:r>
            <w:r>
              <w:rPr>
                <w:color w:val="auto"/>
                <w:sz w:val="24"/>
                <w:szCs w:val="24"/>
              </w:rPr>
              <w:t>15</w:t>
            </w:r>
            <w:r>
              <w:rPr>
                <w:color w:val="auto"/>
                <w:sz w:val="24"/>
                <w:szCs w:val="24"/>
              </w:rPr>
              <w:t>～</w:t>
            </w:r>
            <w:r>
              <w:rPr>
                <w:color w:val="auto"/>
                <w:sz w:val="24"/>
                <w:szCs w:val="24"/>
              </w:rPr>
              <w:t>20cm</w:t>
            </w:r>
          </w:p>
        </w:tc>
        <w:tc>
          <w:tcPr>
            <w:tcW w:w="1237" w:type="pct"/>
            <w:vAlign w:val="center"/>
          </w:tcPr>
          <w:p w:rsidR="0082501E" w:rsidRDefault="0082501E" w:rsidP="00140795">
            <w:pPr>
              <w:pStyle w:val="a3"/>
              <w:jc w:val="center"/>
              <w:rPr>
                <w:color w:val="auto"/>
                <w:sz w:val="24"/>
                <w:szCs w:val="24"/>
              </w:rPr>
            </w:pPr>
            <w:r>
              <w:rPr>
                <w:color w:val="auto"/>
                <w:sz w:val="24"/>
                <w:szCs w:val="24"/>
              </w:rPr>
              <w:t>20</w:t>
            </w:r>
            <w:r>
              <w:rPr>
                <w:color w:val="auto"/>
                <w:sz w:val="24"/>
                <w:szCs w:val="24"/>
              </w:rPr>
              <w:t>～</w:t>
            </w:r>
            <w:r>
              <w:rPr>
                <w:color w:val="auto"/>
                <w:sz w:val="24"/>
                <w:szCs w:val="24"/>
              </w:rPr>
              <w:t>33</w:t>
            </w:r>
            <w:r>
              <w:rPr>
                <w:color w:val="auto"/>
                <w:sz w:val="24"/>
                <w:szCs w:val="24"/>
              </w:rPr>
              <w:t>条</w:t>
            </w:r>
          </w:p>
        </w:tc>
        <w:tc>
          <w:tcPr>
            <w:tcW w:w="1773" w:type="pct"/>
            <w:vAlign w:val="center"/>
          </w:tcPr>
          <w:p w:rsidR="0082501E" w:rsidRDefault="0082501E" w:rsidP="00140795">
            <w:pPr>
              <w:pStyle w:val="a3"/>
              <w:jc w:val="center"/>
              <w:rPr>
                <w:color w:val="auto"/>
                <w:sz w:val="24"/>
                <w:szCs w:val="24"/>
              </w:rPr>
            </w:pPr>
            <w:r>
              <w:rPr>
                <w:color w:val="auto"/>
                <w:sz w:val="24"/>
                <w:szCs w:val="24"/>
              </w:rPr>
              <w:t>约</w:t>
            </w:r>
            <w:r>
              <w:rPr>
                <w:color w:val="auto"/>
                <w:sz w:val="24"/>
                <w:szCs w:val="24"/>
              </w:rPr>
              <w:t>80</w:t>
            </w:r>
            <w:r>
              <w:rPr>
                <w:color w:val="auto"/>
                <w:sz w:val="24"/>
                <w:szCs w:val="24"/>
              </w:rPr>
              <w:t>天</w:t>
            </w:r>
          </w:p>
        </w:tc>
      </w:tr>
      <w:tr w:rsidR="0082501E" w:rsidTr="00140795">
        <w:trPr>
          <w:trHeight w:val="20"/>
          <w:jc w:val="center"/>
        </w:trPr>
        <w:tc>
          <w:tcPr>
            <w:tcW w:w="1990" w:type="pct"/>
            <w:vAlign w:val="center"/>
          </w:tcPr>
          <w:p w:rsidR="0082501E" w:rsidRDefault="0082501E" w:rsidP="00140795">
            <w:pPr>
              <w:pStyle w:val="a3"/>
              <w:jc w:val="center"/>
              <w:rPr>
                <w:color w:val="auto"/>
                <w:sz w:val="24"/>
                <w:szCs w:val="24"/>
              </w:rPr>
            </w:pPr>
            <w:r>
              <w:rPr>
                <w:color w:val="auto"/>
                <w:sz w:val="24"/>
                <w:szCs w:val="24"/>
              </w:rPr>
              <w:t>行距</w:t>
            </w:r>
            <w:r>
              <w:rPr>
                <w:color w:val="auto"/>
                <w:sz w:val="24"/>
                <w:szCs w:val="24"/>
              </w:rPr>
              <w:t>30</w:t>
            </w:r>
            <w:r>
              <w:rPr>
                <w:color w:val="auto"/>
                <w:sz w:val="24"/>
                <w:szCs w:val="24"/>
              </w:rPr>
              <w:t>～</w:t>
            </w:r>
            <w:r>
              <w:rPr>
                <w:color w:val="auto"/>
                <w:sz w:val="24"/>
                <w:szCs w:val="24"/>
              </w:rPr>
              <w:t>35cm</w:t>
            </w:r>
            <w:r>
              <w:rPr>
                <w:color w:val="auto"/>
                <w:sz w:val="24"/>
                <w:szCs w:val="24"/>
              </w:rPr>
              <w:t>、株距</w:t>
            </w:r>
            <w:r>
              <w:rPr>
                <w:color w:val="auto"/>
                <w:sz w:val="24"/>
                <w:szCs w:val="24"/>
              </w:rPr>
              <w:t>25</w:t>
            </w:r>
            <w:r>
              <w:rPr>
                <w:color w:val="auto"/>
                <w:sz w:val="24"/>
                <w:szCs w:val="24"/>
              </w:rPr>
              <w:t>～</w:t>
            </w:r>
            <w:r>
              <w:rPr>
                <w:color w:val="auto"/>
                <w:sz w:val="24"/>
                <w:szCs w:val="24"/>
              </w:rPr>
              <w:t>30cm</w:t>
            </w:r>
          </w:p>
        </w:tc>
        <w:tc>
          <w:tcPr>
            <w:tcW w:w="1237" w:type="pct"/>
            <w:vAlign w:val="center"/>
          </w:tcPr>
          <w:p w:rsidR="0082501E" w:rsidRDefault="0082501E" w:rsidP="00140795">
            <w:pPr>
              <w:pStyle w:val="a3"/>
              <w:jc w:val="center"/>
              <w:rPr>
                <w:color w:val="auto"/>
                <w:sz w:val="24"/>
                <w:szCs w:val="24"/>
              </w:rPr>
            </w:pPr>
            <w:r>
              <w:rPr>
                <w:color w:val="auto"/>
                <w:sz w:val="24"/>
                <w:szCs w:val="24"/>
              </w:rPr>
              <w:t>10</w:t>
            </w:r>
            <w:r>
              <w:rPr>
                <w:color w:val="auto"/>
                <w:sz w:val="24"/>
                <w:szCs w:val="24"/>
              </w:rPr>
              <w:t>～</w:t>
            </w:r>
            <w:r>
              <w:rPr>
                <w:color w:val="auto"/>
                <w:sz w:val="24"/>
                <w:szCs w:val="24"/>
              </w:rPr>
              <w:t>13</w:t>
            </w:r>
            <w:r>
              <w:rPr>
                <w:color w:val="auto"/>
                <w:sz w:val="24"/>
                <w:szCs w:val="24"/>
              </w:rPr>
              <w:t>条</w:t>
            </w:r>
          </w:p>
        </w:tc>
        <w:tc>
          <w:tcPr>
            <w:tcW w:w="1773" w:type="pct"/>
            <w:vAlign w:val="center"/>
          </w:tcPr>
          <w:p w:rsidR="0082501E" w:rsidRDefault="0082501E" w:rsidP="00140795">
            <w:pPr>
              <w:pStyle w:val="a3"/>
              <w:jc w:val="center"/>
              <w:rPr>
                <w:color w:val="auto"/>
                <w:sz w:val="24"/>
                <w:szCs w:val="24"/>
              </w:rPr>
            </w:pPr>
            <w:r>
              <w:rPr>
                <w:color w:val="auto"/>
                <w:sz w:val="24"/>
                <w:szCs w:val="24"/>
              </w:rPr>
              <w:t>约</w:t>
            </w:r>
            <w:r>
              <w:rPr>
                <w:color w:val="auto"/>
                <w:sz w:val="24"/>
                <w:szCs w:val="24"/>
              </w:rPr>
              <w:t>100</w:t>
            </w:r>
            <w:r>
              <w:rPr>
                <w:color w:val="auto"/>
                <w:sz w:val="24"/>
                <w:szCs w:val="24"/>
              </w:rPr>
              <w:t>天</w:t>
            </w:r>
          </w:p>
        </w:tc>
      </w:tr>
      <w:tr w:rsidR="0082501E" w:rsidTr="00140795">
        <w:trPr>
          <w:trHeight w:val="20"/>
          <w:jc w:val="center"/>
        </w:trPr>
        <w:tc>
          <w:tcPr>
            <w:tcW w:w="1990" w:type="pct"/>
            <w:vAlign w:val="center"/>
          </w:tcPr>
          <w:p w:rsidR="0082501E" w:rsidRDefault="0082501E" w:rsidP="00140795">
            <w:pPr>
              <w:pStyle w:val="a3"/>
              <w:jc w:val="center"/>
              <w:rPr>
                <w:color w:val="auto"/>
                <w:sz w:val="24"/>
                <w:szCs w:val="24"/>
              </w:rPr>
            </w:pPr>
            <w:r>
              <w:rPr>
                <w:color w:val="auto"/>
                <w:sz w:val="24"/>
                <w:szCs w:val="24"/>
              </w:rPr>
              <w:t>行距</w:t>
            </w:r>
            <w:r>
              <w:rPr>
                <w:color w:val="auto"/>
                <w:sz w:val="24"/>
                <w:szCs w:val="24"/>
              </w:rPr>
              <w:t>40</w:t>
            </w:r>
            <w:r>
              <w:rPr>
                <w:color w:val="auto"/>
                <w:sz w:val="24"/>
                <w:szCs w:val="24"/>
              </w:rPr>
              <w:t>～</w:t>
            </w:r>
            <w:r>
              <w:rPr>
                <w:color w:val="auto"/>
                <w:sz w:val="24"/>
                <w:szCs w:val="24"/>
              </w:rPr>
              <w:t>45cm</w:t>
            </w:r>
            <w:r>
              <w:rPr>
                <w:color w:val="auto"/>
                <w:sz w:val="24"/>
                <w:szCs w:val="24"/>
              </w:rPr>
              <w:t>、株距</w:t>
            </w:r>
            <w:r>
              <w:rPr>
                <w:color w:val="auto"/>
                <w:sz w:val="24"/>
                <w:szCs w:val="24"/>
              </w:rPr>
              <w:t>35</w:t>
            </w:r>
            <w:r>
              <w:rPr>
                <w:color w:val="auto"/>
                <w:sz w:val="24"/>
                <w:szCs w:val="24"/>
              </w:rPr>
              <w:t>～</w:t>
            </w:r>
            <w:r>
              <w:rPr>
                <w:color w:val="auto"/>
                <w:sz w:val="24"/>
                <w:szCs w:val="24"/>
              </w:rPr>
              <w:t>40cm</w:t>
            </w:r>
          </w:p>
        </w:tc>
        <w:tc>
          <w:tcPr>
            <w:tcW w:w="1237" w:type="pct"/>
            <w:vAlign w:val="center"/>
          </w:tcPr>
          <w:p w:rsidR="0082501E" w:rsidRDefault="0082501E" w:rsidP="00140795">
            <w:pPr>
              <w:pStyle w:val="a3"/>
              <w:jc w:val="center"/>
              <w:rPr>
                <w:color w:val="auto"/>
                <w:sz w:val="24"/>
                <w:szCs w:val="24"/>
              </w:rPr>
            </w:pPr>
            <w:r>
              <w:rPr>
                <w:color w:val="auto"/>
                <w:sz w:val="24"/>
                <w:szCs w:val="24"/>
              </w:rPr>
              <w:t>5</w:t>
            </w:r>
            <w:r>
              <w:rPr>
                <w:color w:val="auto"/>
                <w:sz w:val="24"/>
                <w:szCs w:val="24"/>
              </w:rPr>
              <w:t>～</w:t>
            </w:r>
            <w:r>
              <w:rPr>
                <w:color w:val="auto"/>
                <w:sz w:val="24"/>
                <w:szCs w:val="24"/>
              </w:rPr>
              <w:t>8</w:t>
            </w:r>
            <w:r>
              <w:rPr>
                <w:color w:val="auto"/>
                <w:sz w:val="24"/>
                <w:szCs w:val="24"/>
              </w:rPr>
              <w:t>条</w:t>
            </w:r>
          </w:p>
        </w:tc>
        <w:tc>
          <w:tcPr>
            <w:tcW w:w="1773" w:type="pct"/>
            <w:vAlign w:val="center"/>
          </w:tcPr>
          <w:p w:rsidR="0082501E" w:rsidRDefault="0082501E" w:rsidP="00140795">
            <w:pPr>
              <w:pStyle w:val="a3"/>
              <w:jc w:val="center"/>
              <w:rPr>
                <w:color w:val="auto"/>
                <w:sz w:val="24"/>
                <w:szCs w:val="24"/>
              </w:rPr>
            </w:pPr>
            <w:r>
              <w:rPr>
                <w:color w:val="auto"/>
                <w:sz w:val="24"/>
                <w:szCs w:val="24"/>
              </w:rPr>
              <w:t>&gt;120</w:t>
            </w:r>
            <w:r>
              <w:rPr>
                <w:color w:val="auto"/>
                <w:sz w:val="24"/>
                <w:szCs w:val="24"/>
              </w:rPr>
              <w:t>天</w:t>
            </w:r>
          </w:p>
        </w:tc>
      </w:tr>
    </w:tbl>
    <w:p w:rsidR="0082501E" w:rsidRDefault="0082501E" w:rsidP="0082501E">
      <w:pPr>
        <w:pStyle w:val="BodyText2"/>
        <w:spacing w:after="0"/>
        <w:ind w:firstLineChars="200" w:firstLine="640"/>
        <w:rPr>
          <w:rFonts w:ascii="仿宋_GB2312" w:eastAsia="仿宋_GB2312" w:hAnsi="宋体" w:hint="eastAsia"/>
        </w:rPr>
      </w:pPr>
      <w:r>
        <w:rPr>
          <w:rFonts w:ascii="仿宋_GB2312" w:eastAsia="仿宋_GB2312" w:hAnsi="宋体" w:hint="eastAsia"/>
        </w:rPr>
        <w:t>经过表2的株行距对比试验结果，得出行距20～25cm、株距15～20cm为最佳株行距，即每平方扦插20～33条。为了加速野生花生地下根茎的生长速度以促进快速覆盖果园，根据最佳株行距的实验数据、按“井”字形（规格：15～20× 20～25cm）开扦插沟。</w:t>
      </w:r>
    </w:p>
    <w:p w:rsidR="0082501E" w:rsidRDefault="0082501E" w:rsidP="0082501E">
      <w:pPr>
        <w:ind w:firstLineChars="200" w:firstLine="640"/>
        <w:rPr>
          <w:rFonts w:ascii="仿宋_GB2312" w:eastAsia="仿宋_GB2312" w:hAnsi="宋体"/>
          <w:bCs/>
          <w:sz w:val="32"/>
          <w:szCs w:val="32"/>
        </w:rPr>
      </w:pPr>
      <w:r>
        <w:rPr>
          <w:rFonts w:ascii="仿宋_GB2312" w:eastAsia="仿宋_GB2312" w:hAnsi="宋体" w:hint="eastAsia"/>
          <w:bCs/>
          <w:sz w:val="32"/>
          <w:szCs w:val="32"/>
        </w:rPr>
        <w:t>栽后保苗主要依据</w:t>
      </w:r>
      <w:r>
        <w:rPr>
          <w:rFonts w:ascii="仿宋_GB2312" w:eastAsia="仿宋_GB2312" w:hAnsi="宋体"/>
          <w:bCs/>
          <w:sz w:val="32"/>
          <w:szCs w:val="32"/>
        </w:rPr>
        <w:t>《</w:t>
      </w:r>
      <w:r>
        <w:rPr>
          <w:rFonts w:ascii="仿宋_GB2312" w:eastAsia="仿宋_GB2312" w:hAnsi="宋体" w:hint="eastAsia"/>
          <w:bCs/>
          <w:sz w:val="32"/>
          <w:szCs w:val="32"/>
        </w:rPr>
        <w:t xml:space="preserve">NY/T 5256-2004 </w:t>
      </w:r>
      <w:r>
        <w:rPr>
          <w:rFonts w:ascii="仿宋_GB2312" w:eastAsia="仿宋_GB2312" w:hAnsi="宋体"/>
          <w:bCs/>
          <w:sz w:val="32"/>
          <w:szCs w:val="32"/>
        </w:rPr>
        <w:t xml:space="preserve"> </w:t>
      </w:r>
      <w:r>
        <w:rPr>
          <w:rFonts w:ascii="仿宋_GB2312" w:eastAsia="仿宋_GB2312" w:hAnsi="宋体" w:hint="eastAsia"/>
          <w:bCs/>
          <w:sz w:val="32"/>
          <w:szCs w:val="32"/>
        </w:rPr>
        <w:t>无公害食品 火龙果生产技术规程</w:t>
      </w:r>
      <w:r>
        <w:rPr>
          <w:rFonts w:ascii="仿宋_GB2312" w:eastAsia="仿宋_GB2312" w:hAnsi="宋体"/>
          <w:bCs/>
          <w:sz w:val="32"/>
          <w:szCs w:val="32"/>
        </w:rPr>
        <w:t>》</w:t>
      </w:r>
      <w:r>
        <w:rPr>
          <w:rFonts w:ascii="仿宋_GB2312" w:eastAsia="仿宋_GB2312" w:hAnsi="宋体" w:hint="eastAsia"/>
          <w:bCs/>
          <w:sz w:val="32"/>
          <w:szCs w:val="32"/>
        </w:rPr>
        <w:t>《DB45/T</w:t>
      </w:r>
      <w:r>
        <w:rPr>
          <w:rFonts w:ascii="仿宋_GB2312" w:eastAsia="仿宋_GB2312" w:hAnsi="宋体"/>
          <w:bCs/>
          <w:sz w:val="32"/>
          <w:szCs w:val="32"/>
        </w:rPr>
        <w:t xml:space="preserve"> </w:t>
      </w:r>
      <w:r>
        <w:rPr>
          <w:rFonts w:ascii="仿宋_GB2312" w:eastAsia="仿宋_GB2312" w:hAnsi="宋体" w:hint="eastAsia"/>
          <w:bCs/>
          <w:sz w:val="32"/>
          <w:szCs w:val="32"/>
        </w:rPr>
        <w:t>475-2008绿色食品  火龙果生产技术规程》确定</w:t>
      </w:r>
      <w:r>
        <w:rPr>
          <w:rFonts w:ascii="仿宋_GB2312" w:eastAsia="仿宋_GB2312" w:hAnsi="宋体"/>
          <w:bCs/>
          <w:sz w:val="32"/>
          <w:szCs w:val="32"/>
        </w:rPr>
        <w:t>。</w:t>
      </w:r>
    </w:p>
    <w:p w:rsidR="0082501E" w:rsidRDefault="0082501E" w:rsidP="0082501E">
      <w:pPr>
        <w:pStyle w:val="BodyText2"/>
      </w:pPr>
      <w:r>
        <w:rPr>
          <w:rFonts w:eastAsia="仿宋_GB2312" w:hint="eastAsia"/>
          <w:noProof/>
        </w:rPr>
        <w:lastRenderedPageBreak/>
        <w:drawing>
          <wp:inline distT="0" distB="0" distL="0" distR="0">
            <wp:extent cx="5686425" cy="2514600"/>
            <wp:effectExtent l="0" t="0" r="9525" b="0"/>
            <wp:docPr id="8" name="图片 8" descr="火龙果定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火龙果定植"/>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686425" cy="2514600"/>
                    </a:xfrm>
                    <a:prstGeom prst="rect">
                      <a:avLst/>
                    </a:prstGeom>
                    <a:noFill/>
                    <a:ln>
                      <a:noFill/>
                    </a:ln>
                  </pic:spPr>
                </pic:pic>
              </a:graphicData>
            </a:graphic>
          </wp:inline>
        </w:drawing>
      </w:r>
    </w:p>
    <w:p w:rsidR="0082501E" w:rsidRDefault="0082501E" w:rsidP="0082501E">
      <w:pPr>
        <w:autoSpaceDE w:val="0"/>
        <w:autoSpaceDN w:val="0"/>
        <w:adjustRightInd w:val="0"/>
        <w:ind w:firstLineChars="200" w:firstLine="643"/>
        <w:rPr>
          <w:rFonts w:ascii="仿宋_GB2312" w:eastAsia="仿宋_GB2312" w:hAnsi="宋体" w:hint="eastAsia"/>
          <w:b/>
          <w:sz w:val="32"/>
          <w:szCs w:val="32"/>
        </w:rPr>
      </w:pPr>
      <w:r>
        <w:rPr>
          <w:rFonts w:ascii="仿宋_GB2312" w:eastAsia="仿宋_GB2312" w:hAnsi="宋体" w:hint="eastAsia"/>
          <w:b/>
          <w:sz w:val="32"/>
          <w:szCs w:val="32"/>
        </w:rPr>
        <w:t>（七）田间管理</w:t>
      </w:r>
    </w:p>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t>主要</w:t>
      </w:r>
      <w:r>
        <w:rPr>
          <w:rFonts w:ascii="仿宋_GB2312" w:eastAsia="仿宋_GB2312" w:hAnsi="宋体"/>
        </w:rPr>
        <w:t>依据</w:t>
      </w:r>
      <w:r>
        <w:rPr>
          <w:rFonts w:ascii="仿宋_GB2312" w:eastAsia="仿宋_GB2312" w:hAnsi="宋体" w:hint="eastAsia"/>
        </w:rPr>
        <w:t>《一种以多年生野生花生为生草的火龙果栽培方法》专利</w:t>
      </w:r>
      <w:r>
        <w:rPr>
          <w:rFonts w:ascii="仿宋_GB2312" w:eastAsia="仿宋_GB2312" w:hAnsi="宋体"/>
        </w:rPr>
        <w:t>技术</w:t>
      </w:r>
      <w:r>
        <w:rPr>
          <w:rFonts w:ascii="仿宋_GB2312" w:eastAsia="仿宋_GB2312" w:hAnsi="宋体" w:hint="eastAsia"/>
        </w:rPr>
        <w:t>内容确定。在火龙果苗基部铺设微喷灌，将110mm管颈的 PVC 管沿田边垂直垄面方向铺设，并对应火龙果种植行处预留喷灌接口，将采购的喷灌带顺垄面铺设在火龙果根部，顶端接入预留的喷灌接口，为保证喷灌范围，每条喷灌带长度在 15米以内。火龙果生长过程中需水量较多，应每周定时淋水，每次淋足淋透。在种植前先施农家肥做底肥，自发酵鸡粪农家肥每株施 7.5kg，若是商用成品农家肥每株施15 kg。在火龙果生根后开始追施化肥，挂果前以施尿素和复合肥为主，每月施2次，每株一次施尿素25g，另一次施复合肥50g，两种肥料交替使用，施肥过后及时淋水，加快肥料溶解及吸收速度；当然其他实施方式也可将上述肥料直接溶于水，采取水肥一体的方式进行淋施，每次液态肥约1.5公斤/柱。为促进野生花生快速生长，在野生花生生根后追施化肥一次，即每亩撒施50kg尿素，施肥过后及时淋水淋</w:t>
      </w:r>
      <w:r>
        <w:rPr>
          <w:rFonts w:ascii="仿宋_GB2312" w:eastAsia="仿宋_GB2312" w:hAnsi="宋体" w:hint="eastAsia"/>
        </w:rPr>
        <w:lastRenderedPageBreak/>
        <w:t>透，加快肥料溶解及吸收速度。</w:t>
      </w:r>
    </w:p>
    <w:p w:rsidR="0082501E" w:rsidRDefault="0082501E" w:rsidP="0082501E">
      <w:pPr>
        <w:pStyle w:val="BodyText2"/>
        <w:spacing w:after="0"/>
        <w:rPr>
          <w:rFonts w:eastAsia="仿宋_GB2312"/>
        </w:rPr>
      </w:pPr>
      <w:r>
        <w:rPr>
          <w:rFonts w:eastAsia="仿宋_GB2312" w:hint="eastAsia"/>
          <w:noProof/>
        </w:rPr>
        <w:drawing>
          <wp:inline distT="0" distB="0" distL="0" distR="0">
            <wp:extent cx="5686425" cy="2686050"/>
            <wp:effectExtent l="0" t="0" r="9525" b="0"/>
            <wp:docPr id="7" name="图片 7" descr="火龙果田间管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descr="火龙果田间管理"/>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686425" cy="2686050"/>
                    </a:xfrm>
                    <a:prstGeom prst="rect">
                      <a:avLst/>
                    </a:prstGeom>
                    <a:noFill/>
                    <a:ln>
                      <a:noFill/>
                    </a:ln>
                  </pic:spPr>
                </pic:pic>
              </a:graphicData>
            </a:graphic>
          </wp:inline>
        </w:drawing>
      </w:r>
    </w:p>
    <w:p w:rsidR="0082501E" w:rsidRDefault="0082501E" w:rsidP="0082501E">
      <w:pPr>
        <w:pStyle w:val="BodyText2"/>
        <w:spacing w:after="0"/>
        <w:rPr>
          <w:rFonts w:eastAsia="仿宋_GB2312"/>
        </w:rPr>
      </w:pPr>
    </w:p>
    <w:p w:rsidR="0082501E" w:rsidRDefault="0082501E" w:rsidP="0082501E">
      <w:pPr>
        <w:pStyle w:val="BodyText2"/>
        <w:spacing w:after="0"/>
        <w:rPr>
          <w:rFonts w:eastAsia="仿宋_GB2312"/>
        </w:rPr>
      </w:pPr>
      <w:r>
        <w:rPr>
          <w:rFonts w:eastAsia="仿宋_GB2312" w:hint="eastAsia"/>
          <w:noProof/>
        </w:rPr>
        <w:drawing>
          <wp:inline distT="0" distB="0" distL="0" distR="0">
            <wp:extent cx="5676900" cy="2371725"/>
            <wp:effectExtent l="0" t="0" r="0" b="9525"/>
            <wp:docPr id="6" name="图片 6" descr="火龙果施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火龙果施肥"/>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76900" cy="2371725"/>
                    </a:xfrm>
                    <a:prstGeom prst="rect">
                      <a:avLst/>
                    </a:prstGeom>
                    <a:noFill/>
                    <a:ln>
                      <a:noFill/>
                    </a:ln>
                  </pic:spPr>
                </pic:pic>
              </a:graphicData>
            </a:graphic>
          </wp:inline>
        </w:drawing>
      </w:r>
    </w:p>
    <w:p w:rsidR="0082501E" w:rsidRDefault="0082501E" w:rsidP="0082501E">
      <w:pPr>
        <w:pStyle w:val="BodyText2"/>
        <w:spacing w:after="0"/>
        <w:rPr>
          <w:rFonts w:eastAsia="仿宋_GB2312"/>
        </w:rPr>
      </w:pPr>
      <w:r>
        <w:rPr>
          <w:rFonts w:eastAsia="仿宋_GB2312" w:hint="eastAsia"/>
          <w:noProof/>
        </w:rPr>
        <w:lastRenderedPageBreak/>
        <w:drawing>
          <wp:inline distT="0" distB="0" distL="0" distR="0">
            <wp:extent cx="5686425" cy="3019425"/>
            <wp:effectExtent l="0" t="0" r="9525" b="9525"/>
            <wp:docPr id="5" name="图片 5" descr="火龙果病虫害防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descr="火龙果病虫害防治"/>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86425" cy="3019425"/>
                    </a:xfrm>
                    <a:prstGeom prst="rect">
                      <a:avLst/>
                    </a:prstGeom>
                    <a:noFill/>
                    <a:ln>
                      <a:noFill/>
                    </a:ln>
                  </pic:spPr>
                </pic:pic>
              </a:graphicData>
            </a:graphic>
          </wp:inline>
        </w:drawing>
      </w:r>
    </w:p>
    <w:p w:rsidR="0082501E" w:rsidRDefault="0082501E" w:rsidP="0082501E">
      <w:pPr>
        <w:pStyle w:val="BodyText2"/>
        <w:spacing w:after="0"/>
        <w:rPr>
          <w:rFonts w:ascii="仿宋_GB2312" w:eastAsia="仿宋_GB2312" w:hAnsi="宋体" w:hint="eastAsia"/>
        </w:rPr>
      </w:pPr>
      <w:r>
        <w:rPr>
          <w:rFonts w:eastAsia="仿宋_GB2312" w:hint="eastAsia"/>
          <w:noProof/>
        </w:rPr>
        <w:drawing>
          <wp:inline distT="0" distB="0" distL="0" distR="0">
            <wp:extent cx="5638800" cy="2800350"/>
            <wp:effectExtent l="0" t="0" r="0" b="0"/>
            <wp:docPr id="4" name="图片 4" descr="QQ图片20211229172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QQ图片2021122917292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38800" cy="2800350"/>
                    </a:xfrm>
                    <a:prstGeom prst="rect">
                      <a:avLst/>
                    </a:prstGeom>
                    <a:noFill/>
                    <a:ln>
                      <a:noFill/>
                    </a:ln>
                  </pic:spPr>
                </pic:pic>
              </a:graphicData>
            </a:graphic>
          </wp:inline>
        </w:drawing>
      </w:r>
    </w:p>
    <w:p w:rsidR="0082501E" w:rsidRDefault="0082501E" w:rsidP="0082501E">
      <w:pPr>
        <w:autoSpaceDE w:val="0"/>
        <w:autoSpaceDN w:val="0"/>
        <w:adjustRightInd w:val="0"/>
        <w:ind w:firstLineChars="200" w:firstLine="643"/>
        <w:rPr>
          <w:rFonts w:ascii="仿宋_GB2312" w:eastAsia="仿宋_GB2312" w:hAnsi="宋体" w:hint="eastAsia"/>
          <w:b/>
          <w:sz w:val="32"/>
          <w:szCs w:val="32"/>
        </w:rPr>
      </w:pPr>
      <w:r>
        <w:rPr>
          <w:rFonts w:ascii="仿宋_GB2312" w:eastAsia="仿宋_GB2312" w:hAnsi="宋体" w:hint="eastAsia"/>
          <w:b/>
          <w:sz w:val="32"/>
          <w:szCs w:val="32"/>
        </w:rPr>
        <w:t>（八）整形</w:t>
      </w:r>
      <w:r>
        <w:rPr>
          <w:rFonts w:ascii="仿宋_GB2312" w:eastAsia="仿宋_GB2312" w:hAnsi="宋体"/>
          <w:b/>
          <w:sz w:val="32"/>
          <w:szCs w:val="32"/>
        </w:rPr>
        <w:t>修剪</w:t>
      </w:r>
      <w:r>
        <w:rPr>
          <w:rFonts w:ascii="仿宋_GB2312" w:eastAsia="仿宋_GB2312" w:hAnsi="宋体" w:hint="eastAsia"/>
          <w:b/>
          <w:sz w:val="32"/>
          <w:szCs w:val="32"/>
        </w:rPr>
        <w:t>、</w:t>
      </w:r>
      <w:r>
        <w:rPr>
          <w:rFonts w:ascii="仿宋_GB2312" w:eastAsia="仿宋_GB2312" w:hAnsi="宋体"/>
          <w:b/>
          <w:sz w:val="32"/>
          <w:szCs w:val="32"/>
        </w:rPr>
        <w:t>花果管理</w:t>
      </w:r>
    </w:p>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t>主要</w:t>
      </w:r>
      <w:r>
        <w:rPr>
          <w:rFonts w:ascii="仿宋_GB2312" w:eastAsia="仿宋_GB2312" w:hAnsi="宋体"/>
        </w:rPr>
        <w:t>依据</w:t>
      </w:r>
      <w:r>
        <w:rPr>
          <w:rFonts w:ascii="仿宋_GB2312" w:eastAsia="仿宋_GB2312" w:hAnsi="宋体" w:hint="eastAsia"/>
        </w:rPr>
        <w:t>《T</w:t>
      </w:r>
      <w:r>
        <w:rPr>
          <w:rFonts w:ascii="仿宋_GB2312" w:eastAsia="仿宋_GB2312" w:hAnsi="宋体"/>
        </w:rPr>
        <w:t>/</w:t>
      </w:r>
      <w:r>
        <w:rPr>
          <w:rFonts w:ascii="仿宋_GB2312" w:eastAsia="仿宋_GB2312" w:hAnsi="宋体" w:hint="eastAsia"/>
        </w:rPr>
        <w:t>GXAS 319-2022红肉火龙果一年三茬栽培技术规程》相关规定</w:t>
      </w:r>
      <w:r>
        <w:rPr>
          <w:rFonts w:ascii="仿宋_GB2312" w:eastAsia="仿宋_GB2312" w:hAnsi="宋体"/>
        </w:rPr>
        <w:t>执行</w:t>
      </w:r>
      <w:r>
        <w:rPr>
          <w:rFonts w:ascii="仿宋_GB2312" w:eastAsia="仿宋_GB2312" w:hAnsi="宋体" w:hint="eastAsia"/>
        </w:rPr>
        <w:t>。</w:t>
      </w:r>
    </w:p>
    <w:p w:rsidR="0082501E" w:rsidRDefault="0082501E" w:rsidP="0082501E">
      <w:pPr>
        <w:pStyle w:val="BodyText2"/>
        <w:spacing w:after="0"/>
        <w:rPr>
          <w:rFonts w:eastAsia="仿宋_GB2312"/>
        </w:rPr>
      </w:pPr>
      <w:r>
        <w:rPr>
          <w:rFonts w:eastAsia="仿宋_GB2312" w:hint="eastAsia"/>
          <w:noProof/>
        </w:rPr>
        <w:lastRenderedPageBreak/>
        <w:drawing>
          <wp:inline distT="0" distB="0" distL="0" distR="0">
            <wp:extent cx="5686425" cy="2800350"/>
            <wp:effectExtent l="0" t="0" r="9525" b="0"/>
            <wp:docPr id="3" name="图片 3" descr="火龙果剪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descr="火龙果剪枝"/>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86425" cy="2800350"/>
                    </a:xfrm>
                    <a:prstGeom prst="rect">
                      <a:avLst/>
                    </a:prstGeom>
                    <a:noFill/>
                    <a:ln>
                      <a:noFill/>
                    </a:ln>
                  </pic:spPr>
                </pic:pic>
              </a:graphicData>
            </a:graphic>
          </wp:inline>
        </w:drawing>
      </w:r>
    </w:p>
    <w:p w:rsidR="0082501E" w:rsidRDefault="0082501E" w:rsidP="0082501E">
      <w:pPr>
        <w:pStyle w:val="BodyText2"/>
        <w:spacing w:after="0"/>
        <w:rPr>
          <w:rFonts w:eastAsia="仿宋_GB2312"/>
        </w:rPr>
      </w:pPr>
      <w:r>
        <w:rPr>
          <w:rFonts w:eastAsia="仿宋_GB2312" w:hint="eastAsia"/>
          <w:noProof/>
        </w:rPr>
        <w:drawing>
          <wp:inline distT="0" distB="0" distL="0" distR="0">
            <wp:extent cx="5686425" cy="2571750"/>
            <wp:effectExtent l="0" t="0" r="9525" b="0"/>
            <wp:docPr id="2" name="图片 2" descr="火龙果疏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descr="火龙果疏花"/>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86425" cy="2571750"/>
                    </a:xfrm>
                    <a:prstGeom prst="rect">
                      <a:avLst/>
                    </a:prstGeom>
                    <a:noFill/>
                    <a:ln>
                      <a:noFill/>
                    </a:ln>
                  </pic:spPr>
                </pic:pic>
              </a:graphicData>
            </a:graphic>
          </wp:inline>
        </w:drawing>
      </w:r>
    </w:p>
    <w:p w:rsidR="0082501E" w:rsidRDefault="0082501E" w:rsidP="0082501E">
      <w:pPr>
        <w:autoSpaceDE w:val="0"/>
        <w:autoSpaceDN w:val="0"/>
        <w:adjustRightInd w:val="0"/>
        <w:ind w:firstLineChars="200" w:firstLine="643"/>
        <w:rPr>
          <w:rFonts w:ascii="仿宋_GB2312" w:eastAsia="仿宋_GB2312" w:hAnsi="宋体" w:hint="eastAsia"/>
          <w:b/>
          <w:sz w:val="32"/>
          <w:szCs w:val="32"/>
        </w:rPr>
      </w:pPr>
      <w:r>
        <w:rPr>
          <w:rFonts w:ascii="仿宋_GB2312" w:eastAsia="仿宋_GB2312" w:hAnsi="宋体" w:hint="eastAsia"/>
          <w:b/>
          <w:sz w:val="32"/>
          <w:szCs w:val="32"/>
        </w:rPr>
        <w:t>（九）病虫害防治</w:t>
      </w:r>
    </w:p>
    <w:p w:rsidR="0082501E" w:rsidRDefault="0082501E" w:rsidP="0082501E">
      <w:pPr>
        <w:pStyle w:val="BodyText2"/>
        <w:spacing w:after="0"/>
        <w:ind w:firstLineChars="200" w:firstLine="640"/>
        <w:rPr>
          <w:rFonts w:ascii="仿宋_GB2312" w:eastAsia="仿宋_GB2312" w:hAnsi="宋体"/>
          <w:color w:val="FF0000"/>
        </w:rPr>
      </w:pPr>
      <w:r>
        <w:rPr>
          <w:rFonts w:ascii="仿宋_GB2312" w:eastAsia="仿宋_GB2312" w:hAnsi="宋体" w:hint="eastAsia"/>
        </w:rPr>
        <w:t>主要</w:t>
      </w:r>
      <w:r>
        <w:rPr>
          <w:rFonts w:ascii="仿宋_GB2312" w:eastAsia="仿宋_GB2312" w:hAnsi="宋体"/>
        </w:rPr>
        <w:t>依据</w:t>
      </w:r>
      <w:r>
        <w:rPr>
          <w:rFonts w:ascii="仿宋_GB2312" w:eastAsia="仿宋_GB2312" w:hAnsi="宋体" w:hint="eastAsia"/>
        </w:rPr>
        <w:t>《</w:t>
      </w:r>
      <w:r w:rsidRPr="00744CC9">
        <w:rPr>
          <w:rFonts w:ascii="仿宋_GB2312" w:eastAsia="仿宋_GB2312" w:hAnsi="宋体" w:hint="eastAsia"/>
        </w:rPr>
        <w:t>DB45/T 1019  有机产品  火龙果生产技术规程</w:t>
      </w:r>
      <w:r>
        <w:rPr>
          <w:rFonts w:ascii="仿宋_GB2312" w:eastAsia="仿宋_GB2312" w:hAnsi="宋体" w:hint="eastAsia"/>
        </w:rPr>
        <w:t>》确定</w:t>
      </w:r>
      <w:r>
        <w:rPr>
          <w:rFonts w:ascii="仿宋_GB2312" w:eastAsia="仿宋_GB2312" w:hAnsi="宋体"/>
        </w:rPr>
        <w:t>，</w:t>
      </w:r>
      <w:r>
        <w:rPr>
          <w:rFonts w:ascii="仿宋_GB2312" w:eastAsia="仿宋_GB2312" w:hAnsi="宋体" w:hint="eastAsia"/>
        </w:rPr>
        <w:t>一种以多年生野生花生为生草的火龙果栽培过程中</w:t>
      </w:r>
      <w:r>
        <w:rPr>
          <w:rFonts w:ascii="仿宋_GB2312" w:eastAsia="仿宋_GB2312" w:hAnsi="宋体"/>
        </w:rPr>
        <w:t>，野生花生无病虫害</w:t>
      </w:r>
      <w:r>
        <w:rPr>
          <w:rFonts w:ascii="仿宋_GB2312" w:eastAsia="仿宋_GB2312" w:hAnsi="宋体" w:hint="eastAsia"/>
        </w:rPr>
        <w:t>发生。</w:t>
      </w:r>
    </w:p>
    <w:p w:rsidR="0082501E" w:rsidRDefault="0082501E" w:rsidP="0082501E">
      <w:pPr>
        <w:autoSpaceDE w:val="0"/>
        <w:autoSpaceDN w:val="0"/>
        <w:adjustRightInd w:val="0"/>
        <w:ind w:firstLineChars="200" w:firstLine="643"/>
        <w:rPr>
          <w:rFonts w:ascii="仿宋_GB2312" w:eastAsia="仿宋_GB2312" w:hAnsi="宋体" w:hint="eastAsia"/>
          <w:b/>
          <w:sz w:val="32"/>
          <w:szCs w:val="32"/>
        </w:rPr>
      </w:pPr>
      <w:r>
        <w:rPr>
          <w:rFonts w:ascii="仿宋_GB2312" w:eastAsia="仿宋_GB2312" w:hAnsi="宋体" w:hint="eastAsia"/>
          <w:b/>
          <w:sz w:val="32"/>
          <w:szCs w:val="32"/>
        </w:rPr>
        <w:t>（十）野生</w:t>
      </w:r>
      <w:r>
        <w:rPr>
          <w:rFonts w:ascii="仿宋_GB2312" w:eastAsia="仿宋_GB2312" w:hAnsi="宋体"/>
          <w:b/>
          <w:sz w:val="32"/>
          <w:szCs w:val="32"/>
        </w:rPr>
        <w:t>花生</w:t>
      </w:r>
      <w:r>
        <w:rPr>
          <w:rFonts w:ascii="仿宋_GB2312" w:eastAsia="仿宋_GB2312" w:hAnsi="宋体" w:hint="eastAsia"/>
          <w:b/>
          <w:sz w:val="32"/>
          <w:szCs w:val="32"/>
        </w:rPr>
        <w:t>刈割</w:t>
      </w:r>
    </w:p>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t>主要</w:t>
      </w:r>
      <w:r>
        <w:rPr>
          <w:rFonts w:ascii="仿宋_GB2312" w:eastAsia="仿宋_GB2312" w:hAnsi="宋体"/>
        </w:rPr>
        <w:t>依据</w:t>
      </w:r>
      <w:r>
        <w:rPr>
          <w:rFonts w:ascii="仿宋_GB2312" w:eastAsia="仿宋_GB2312" w:hAnsi="宋体" w:hint="eastAsia"/>
        </w:rPr>
        <w:t>《一种以多年生野生花生为生草的火龙果栽培方法》专利</w:t>
      </w:r>
      <w:r>
        <w:rPr>
          <w:rFonts w:ascii="仿宋_GB2312" w:eastAsia="仿宋_GB2312" w:hAnsi="宋体"/>
        </w:rPr>
        <w:t>技术</w:t>
      </w:r>
      <w:r>
        <w:rPr>
          <w:rFonts w:ascii="仿宋_GB2312" w:eastAsia="仿宋_GB2312" w:hAnsi="宋体" w:hint="eastAsia"/>
        </w:rPr>
        <w:t>内容确定。</w:t>
      </w:r>
    </w:p>
    <w:p w:rsidR="0082501E" w:rsidRDefault="0082501E" w:rsidP="0082501E">
      <w:pPr>
        <w:pStyle w:val="BodyText2"/>
        <w:spacing w:after="0"/>
        <w:ind w:firstLineChars="200" w:firstLine="640"/>
        <w:rPr>
          <w:rFonts w:ascii="仿宋_GB2312" w:eastAsia="仿宋_GB2312" w:hAnsi="宋体" w:hint="eastAsia"/>
        </w:rPr>
      </w:pPr>
      <w:r>
        <w:rPr>
          <w:rFonts w:ascii="仿宋_GB2312" w:eastAsia="仿宋_GB2312" w:hAnsi="宋体" w:hint="eastAsia"/>
        </w:rPr>
        <w:t>为了研究野生花生不同刈割方法对火龙果年度亩产量、平均</w:t>
      </w:r>
      <w:r>
        <w:rPr>
          <w:rFonts w:ascii="仿宋_GB2312" w:eastAsia="仿宋_GB2312" w:hAnsi="宋体" w:hint="eastAsia"/>
        </w:rPr>
        <w:lastRenderedPageBreak/>
        <w:t>单果重、果皮厚度、果实硬度、可溶性固形物、可溶性糖和可滴定酸的影响，发明人在实施例1的基础上设置如下野生花生不同的刈割方法，其结果见下表7：</w:t>
      </w:r>
    </w:p>
    <w:p w:rsidR="0082501E" w:rsidRDefault="0082501E" w:rsidP="0082501E">
      <w:pPr>
        <w:pStyle w:val="BodyText2"/>
        <w:spacing w:after="0"/>
        <w:ind w:firstLineChars="200" w:firstLine="640"/>
        <w:rPr>
          <w:rFonts w:ascii="仿宋_GB2312" w:eastAsia="仿宋_GB2312" w:hAnsi="宋体" w:hint="eastAsia"/>
        </w:rPr>
      </w:pPr>
      <w:r>
        <w:rPr>
          <w:rFonts w:ascii="仿宋_GB2312" w:eastAsia="仿宋_GB2312" w:hAnsi="宋体" w:hint="eastAsia"/>
        </w:rPr>
        <w:t>刈割方式1：第一次刈割为3月初，往后只要野生花生长至高度为18cm即刈割；</w:t>
      </w:r>
    </w:p>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t>刈割方式2：一年分三次刈割，分别三茬果的火龙果盛花后刈割即4月下旬至5月中旬之间刈割、8月上中旬刈割、10月下旬至11月上旬刈割一次。</w:t>
      </w:r>
    </w:p>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t>表7.不同野生花生刈割方法对火龙果产量、品质的影响</w:t>
      </w:r>
    </w:p>
    <w:tbl>
      <w:tblPr>
        <w:tblW w:w="9036" w:type="dxa"/>
        <w:jc w:val="center"/>
        <w:tblCellSpacing w:w="0" w:type="dxa"/>
        <w:tblLayout w:type="fixed"/>
        <w:tblCellMar>
          <w:left w:w="0" w:type="dxa"/>
          <w:right w:w="0" w:type="dxa"/>
        </w:tblCellMar>
        <w:tblLook w:val="0000" w:firstRow="0" w:lastRow="0" w:firstColumn="0" w:lastColumn="0" w:noHBand="0" w:noVBand="0"/>
      </w:tblPr>
      <w:tblGrid>
        <w:gridCol w:w="1074"/>
        <w:gridCol w:w="1327"/>
        <w:gridCol w:w="1327"/>
        <w:gridCol w:w="1327"/>
        <w:gridCol w:w="1327"/>
        <w:gridCol w:w="1327"/>
        <w:gridCol w:w="1327"/>
      </w:tblGrid>
      <w:tr w:rsidR="0082501E" w:rsidTr="00140795">
        <w:trPr>
          <w:trHeight w:val="462"/>
          <w:tblCellSpacing w:w="0" w:type="dxa"/>
          <w:jc w:val="center"/>
        </w:trPr>
        <w:tc>
          <w:tcPr>
            <w:tcW w:w="1074" w:type="dxa"/>
            <w:tcBorders>
              <w:top w:val="single" w:sz="4" w:space="0" w:color="auto"/>
              <w:bottom w:val="single" w:sz="4" w:space="0" w:color="auto"/>
            </w:tcBorders>
            <w:tcMar>
              <w:left w:w="108" w:type="dxa"/>
              <w:right w:w="108" w:type="dxa"/>
            </w:tcMar>
            <w:vAlign w:val="center"/>
          </w:tcPr>
          <w:p w:rsidR="0082501E" w:rsidRDefault="0082501E" w:rsidP="00140795">
            <w:pPr>
              <w:pStyle w:val="a5"/>
              <w:widowControl/>
              <w:spacing w:after="0" w:afterAutospacing="0"/>
              <w:rPr>
                <w:rFonts w:hint="eastAsia"/>
                <w:sz w:val="18"/>
                <w:szCs w:val="18"/>
              </w:rPr>
            </w:pPr>
            <w:r>
              <w:rPr>
                <w:rFonts w:hint="eastAsia"/>
                <w:sz w:val="18"/>
                <w:szCs w:val="18"/>
              </w:rPr>
              <w:t>模式</w:t>
            </w:r>
          </w:p>
        </w:tc>
        <w:tc>
          <w:tcPr>
            <w:tcW w:w="1327" w:type="dxa"/>
            <w:tcBorders>
              <w:top w:val="single" w:sz="4" w:space="0" w:color="auto"/>
              <w:bottom w:val="single" w:sz="4" w:space="0" w:color="auto"/>
            </w:tcBorders>
            <w:tcMar>
              <w:left w:w="108" w:type="dxa"/>
              <w:right w:w="108" w:type="dxa"/>
            </w:tcMar>
            <w:vAlign w:val="center"/>
          </w:tcPr>
          <w:p w:rsidR="0082501E" w:rsidRDefault="0082501E" w:rsidP="00140795">
            <w:pPr>
              <w:pStyle w:val="a5"/>
              <w:widowControl/>
              <w:spacing w:beforeAutospacing="0" w:after="0" w:afterAutospacing="0"/>
              <w:rPr>
                <w:rFonts w:hint="eastAsia"/>
                <w:sz w:val="18"/>
                <w:szCs w:val="18"/>
              </w:rPr>
            </w:pPr>
            <w:r>
              <w:rPr>
                <w:rFonts w:hint="eastAsia"/>
                <w:sz w:val="18"/>
                <w:szCs w:val="18"/>
              </w:rPr>
              <w:t>栽培后第</w:t>
            </w:r>
            <w:r>
              <w:rPr>
                <w:rFonts w:hint="eastAsia"/>
                <w:sz w:val="18"/>
                <w:szCs w:val="18"/>
              </w:rPr>
              <w:t>3</w:t>
            </w:r>
            <w:r>
              <w:rPr>
                <w:rFonts w:hint="eastAsia"/>
                <w:sz w:val="18"/>
                <w:szCs w:val="18"/>
              </w:rPr>
              <w:t>年度产量（</w:t>
            </w:r>
            <w:r>
              <w:rPr>
                <w:rFonts w:hint="eastAsia"/>
                <w:sz w:val="18"/>
                <w:szCs w:val="18"/>
              </w:rPr>
              <w:t>kg/</w:t>
            </w:r>
            <w:r>
              <w:rPr>
                <w:rFonts w:hint="eastAsia"/>
                <w:sz w:val="18"/>
                <w:szCs w:val="18"/>
              </w:rPr>
              <w:t>亩）</w:t>
            </w:r>
          </w:p>
        </w:tc>
        <w:tc>
          <w:tcPr>
            <w:tcW w:w="1327" w:type="dxa"/>
            <w:tcBorders>
              <w:top w:val="single" w:sz="4" w:space="0" w:color="auto"/>
              <w:bottom w:val="single" w:sz="4" w:space="0" w:color="auto"/>
            </w:tcBorders>
            <w:tcMar>
              <w:left w:w="108" w:type="dxa"/>
              <w:right w:w="108" w:type="dxa"/>
            </w:tcMar>
            <w:vAlign w:val="center"/>
          </w:tcPr>
          <w:p w:rsidR="0082501E" w:rsidRDefault="0082501E" w:rsidP="00140795">
            <w:pPr>
              <w:pStyle w:val="a5"/>
              <w:widowControl/>
              <w:spacing w:beforeAutospacing="0" w:after="0" w:afterAutospacing="0"/>
              <w:rPr>
                <w:rFonts w:hint="eastAsia"/>
                <w:sz w:val="18"/>
                <w:szCs w:val="18"/>
              </w:rPr>
            </w:pPr>
            <w:r>
              <w:rPr>
                <w:rFonts w:hint="eastAsia"/>
                <w:sz w:val="18"/>
                <w:szCs w:val="18"/>
              </w:rPr>
              <w:t>平均单果重（</w:t>
            </w:r>
            <w:r>
              <w:rPr>
                <w:rFonts w:hint="eastAsia"/>
                <w:sz w:val="18"/>
                <w:szCs w:val="18"/>
              </w:rPr>
              <w:t>g</w:t>
            </w:r>
            <w:r>
              <w:rPr>
                <w:rFonts w:hint="eastAsia"/>
                <w:sz w:val="18"/>
                <w:szCs w:val="18"/>
              </w:rPr>
              <w:t>）</w:t>
            </w:r>
          </w:p>
        </w:tc>
        <w:tc>
          <w:tcPr>
            <w:tcW w:w="1327" w:type="dxa"/>
            <w:tcBorders>
              <w:top w:val="single" w:sz="4" w:space="0" w:color="auto"/>
              <w:bottom w:val="single" w:sz="4" w:space="0" w:color="auto"/>
            </w:tcBorders>
            <w:tcMar>
              <w:left w:w="108" w:type="dxa"/>
              <w:right w:w="108" w:type="dxa"/>
            </w:tcMar>
            <w:vAlign w:val="center"/>
          </w:tcPr>
          <w:p w:rsidR="0082501E" w:rsidRDefault="0082501E" w:rsidP="00140795">
            <w:pPr>
              <w:pStyle w:val="a5"/>
              <w:widowControl/>
              <w:spacing w:beforeAutospacing="0" w:after="0" w:afterAutospacing="0"/>
              <w:rPr>
                <w:rFonts w:hint="eastAsia"/>
                <w:sz w:val="18"/>
                <w:szCs w:val="18"/>
              </w:rPr>
            </w:pPr>
            <w:r>
              <w:rPr>
                <w:rFonts w:hint="eastAsia"/>
                <w:sz w:val="18"/>
                <w:szCs w:val="18"/>
              </w:rPr>
              <w:t>果皮厚度（㎜）</w:t>
            </w:r>
          </w:p>
        </w:tc>
        <w:tc>
          <w:tcPr>
            <w:tcW w:w="1327" w:type="dxa"/>
            <w:tcBorders>
              <w:top w:val="single" w:sz="4" w:space="0" w:color="auto"/>
              <w:bottom w:val="single" w:sz="4" w:space="0" w:color="auto"/>
            </w:tcBorders>
            <w:tcMar>
              <w:left w:w="108" w:type="dxa"/>
              <w:right w:w="108" w:type="dxa"/>
            </w:tcMar>
            <w:vAlign w:val="center"/>
          </w:tcPr>
          <w:p w:rsidR="0082501E" w:rsidRDefault="0082501E" w:rsidP="00140795">
            <w:pPr>
              <w:pStyle w:val="a5"/>
              <w:widowControl/>
              <w:spacing w:beforeAutospacing="0" w:after="0" w:afterAutospacing="0"/>
              <w:rPr>
                <w:sz w:val="18"/>
                <w:szCs w:val="18"/>
              </w:rPr>
            </w:pPr>
            <w:r>
              <w:rPr>
                <w:rFonts w:hint="eastAsia"/>
                <w:sz w:val="18"/>
                <w:szCs w:val="18"/>
              </w:rPr>
              <w:t>可溶性固形物含量（</w:t>
            </w:r>
            <w:r>
              <w:rPr>
                <w:rFonts w:hint="eastAsia"/>
                <w:sz w:val="18"/>
                <w:szCs w:val="18"/>
              </w:rPr>
              <w:t>%</w:t>
            </w:r>
            <w:r>
              <w:rPr>
                <w:rFonts w:hint="eastAsia"/>
                <w:sz w:val="18"/>
                <w:szCs w:val="18"/>
              </w:rPr>
              <w:t>）</w:t>
            </w:r>
          </w:p>
        </w:tc>
        <w:tc>
          <w:tcPr>
            <w:tcW w:w="1327" w:type="dxa"/>
            <w:tcBorders>
              <w:top w:val="single" w:sz="4" w:space="0" w:color="auto"/>
              <w:bottom w:val="single" w:sz="4" w:space="0" w:color="auto"/>
            </w:tcBorders>
            <w:tcMar>
              <w:left w:w="108" w:type="dxa"/>
              <w:right w:w="108" w:type="dxa"/>
            </w:tcMar>
            <w:vAlign w:val="center"/>
          </w:tcPr>
          <w:p w:rsidR="0082501E" w:rsidRDefault="0082501E" w:rsidP="00140795">
            <w:pPr>
              <w:pStyle w:val="a5"/>
              <w:widowControl/>
              <w:spacing w:beforeAutospacing="0" w:after="0" w:afterAutospacing="0"/>
              <w:rPr>
                <w:rFonts w:hint="eastAsia"/>
                <w:sz w:val="18"/>
                <w:szCs w:val="18"/>
              </w:rPr>
            </w:pPr>
            <w:r>
              <w:rPr>
                <w:rFonts w:hint="eastAsia"/>
                <w:sz w:val="18"/>
                <w:szCs w:val="18"/>
              </w:rPr>
              <w:t>可溶性糖（</w:t>
            </w:r>
            <w:r>
              <w:rPr>
                <w:rFonts w:hint="eastAsia"/>
                <w:sz w:val="18"/>
                <w:szCs w:val="18"/>
              </w:rPr>
              <w:t>g/100g</w:t>
            </w:r>
            <w:r>
              <w:rPr>
                <w:rFonts w:hint="eastAsia"/>
                <w:sz w:val="18"/>
                <w:szCs w:val="18"/>
              </w:rPr>
              <w:t>）</w:t>
            </w:r>
          </w:p>
        </w:tc>
        <w:tc>
          <w:tcPr>
            <w:tcW w:w="1327" w:type="dxa"/>
            <w:tcBorders>
              <w:top w:val="single" w:sz="4" w:space="0" w:color="auto"/>
              <w:bottom w:val="single" w:sz="4" w:space="0" w:color="auto"/>
            </w:tcBorders>
            <w:tcMar>
              <w:left w:w="108" w:type="dxa"/>
              <w:right w:w="108" w:type="dxa"/>
            </w:tcMar>
            <w:vAlign w:val="center"/>
          </w:tcPr>
          <w:p w:rsidR="0082501E" w:rsidRDefault="0082501E" w:rsidP="00140795">
            <w:pPr>
              <w:pStyle w:val="a5"/>
              <w:widowControl/>
              <w:spacing w:beforeAutospacing="0" w:after="0" w:afterAutospacing="0"/>
              <w:rPr>
                <w:rFonts w:hint="eastAsia"/>
                <w:sz w:val="18"/>
                <w:szCs w:val="18"/>
              </w:rPr>
            </w:pPr>
            <w:r>
              <w:rPr>
                <w:rFonts w:hint="eastAsia"/>
                <w:sz w:val="18"/>
                <w:szCs w:val="18"/>
              </w:rPr>
              <w:t>可滴定酸（</w:t>
            </w:r>
            <w:r>
              <w:rPr>
                <w:rFonts w:hint="eastAsia"/>
                <w:sz w:val="18"/>
                <w:szCs w:val="18"/>
              </w:rPr>
              <w:t>g/100g</w:t>
            </w:r>
            <w:r>
              <w:rPr>
                <w:rFonts w:hint="eastAsia"/>
                <w:sz w:val="18"/>
                <w:szCs w:val="18"/>
              </w:rPr>
              <w:t>）</w:t>
            </w:r>
          </w:p>
        </w:tc>
      </w:tr>
      <w:tr w:rsidR="0082501E" w:rsidTr="00140795">
        <w:trPr>
          <w:trHeight w:val="586"/>
          <w:tblCellSpacing w:w="0" w:type="dxa"/>
          <w:jc w:val="center"/>
        </w:trPr>
        <w:tc>
          <w:tcPr>
            <w:tcW w:w="1074" w:type="dxa"/>
            <w:tcMar>
              <w:left w:w="108" w:type="dxa"/>
              <w:right w:w="108" w:type="dxa"/>
            </w:tcMar>
            <w:vAlign w:val="center"/>
          </w:tcPr>
          <w:p w:rsidR="0082501E" w:rsidRDefault="0082501E" w:rsidP="00140795">
            <w:pPr>
              <w:pStyle w:val="a5"/>
              <w:widowControl/>
              <w:spacing w:after="0" w:afterAutospacing="0"/>
              <w:rPr>
                <w:sz w:val="18"/>
                <w:szCs w:val="18"/>
              </w:rPr>
            </w:pPr>
            <w:r>
              <w:rPr>
                <w:rFonts w:hint="eastAsia"/>
                <w:sz w:val="18"/>
                <w:szCs w:val="18"/>
              </w:rPr>
              <w:t>实施例</w:t>
            </w:r>
            <w:r>
              <w:rPr>
                <w:rFonts w:hint="eastAsia"/>
                <w:sz w:val="18"/>
                <w:szCs w:val="18"/>
              </w:rPr>
              <w:t>1</w:t>
            </w:r>
          </w:p>
        </w:tc>
        <w:tc>
          <w:tcPr>
            <w:tcW w:w="1327" w:type="dxa"/>
            <w:tcMar>
              <w:left w:w="108" w:type="dxa"/>
              <w:right w:w="108" w:type="dxa"/>
            </w:tcMar>
            <w:vAlign w:val="center"/>
          </w:tcPr>
          <w:p w:rsidR="0082501E" w:rsidRDefault="0082501E" w:rsidP="00140795">
            <w:pPr>
              <w:pStyle w:val="a5"/>
              <w:spacing w:beforeAutospacing="0" w:after="0" w:afterAutospacing="0"/>
              <w:jc w:val="center"/>
              <w:rPr>
                <w:rFonts w:hint="eastAsia"/>
                <w:sz w:val="18"/>
                <w:szCs w:val="18"/>
              </w:rPr>
            </w:pPr>
            <w:r>
              <w:rPr>
                <w:rFonts w:hint="eastAsia"/>
                <w:sz w:val="18"/>
                <w:szCs w:val="18"/>
              </w:rPr>
              <w:t>2759</w:t>
            </w:r>
          </w:p>
        </w:tc>
        <w:tc>
          <w:tcPr>
            <w:tcW w:w="1327" w:type="dxa"/>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393.20</w:t>
            </w:r>
          </w:p>
        </w:tc>
        <w:tc>
          <w:tcPr>
            <w:tcW w:w="1327" w:type="dxa"/>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1.70</w:t>
            </w:r>
          </w:p>
        </w:tc>
        <w:tc>
          <w:tcPr>
            <w:tcW w:w="1327" w:type="dxa"/>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14.96%</w:t>
            </w:r>
          </w:p>
        </w:tc>
        <w:tc>
          <w:tcPr>
            <w:tcW w:w="1327" w:type="dxa"/>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sz w:val="18"/>
                <w:szCs w:val="18"/>
              </w:rPr>
              <w:t>1</w:t>
            </w:r>
            <w:r>
              <w:rPr>
                <w:sz w:val="18"/>
                <w:szCs w:val="18"/>
              </w:rPr>
              <w:t>1</w:t>
            </w:r>
            <w:r>
              <w:rPr>
                <w:rStyle w:val="a6"/>
                <w:kern w:val="2"/>
                <w:sz w:val="18"/>
                <w:szCs w:val="18"/>
              </w:rPr>
              <w:t>.6</w:t>
            </w:r>
          </w:p>
        </w:tc>
        <w:tc>
          <w:tcPr>
            <w:tcW w:w="1327" w:type="dxa"/>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0.158</w:t>
            </w:r>
          </w:p>
        </w:tc>
      </w:tr>
      <w:tr w:rsidR="0082501E" w:rsidTr="00140795">
        <w:trPr>
          <w:trHeight w:val="586"/>
          <w:tblCellSpacing w:w="0" w:type="dxa"/>
          <w:jc w:val="center"/>
        </w:trPr>
        <w:tc>
          <w:tcPr>
            <w:tcW w:w="1074" w:type="dxa"/>
            <w:tcMar>
              <w:left w:w="108" w:type="dxa"/>
              <w:right w:w="108" w:type="dxa"/>
            </w:tcMar>
            <w:vAlign w:val="center"/>
          </w:tcPr>
          <w:p w:rsidR="0082501E" w:rsidRDefault="0082501E" w:rsidP="00140795">
            <w:pPr>
              <w:pStyle w:val="a5"/>
              <w:widowControl/>
              <w:spacing w:after="0" w:afterAutospacing="0"/>
              <w:rPr>
                <w:rFonts w:hint="eastAsia"/>
                <w:sz w:val="18"/>
                <w:szCs w:val="18"/>
              </w:rPr>
            </w:pPr>
            <w:r>
              <w:rPr>
                <w:rFonts w:hint="eastAsia"/>
                <w:sz w:val="18"/>
                <w:szCs w:val="18"/>
              </w:rPr>
              <w:t>刈割方式</w:t>
            </w:r>
            <w:r>
              <w:rPr>
                <w:rFonts w:hint="eastAsia"/>
                <w:sz w:val="18"/>
                <w:szCs w:val="18"/>
              </w:rPr>
              <w:t>1</w:t>
            </w:r>
          </w:p>
        </w:tc>
        <w:tc>
          <w:tcPr>
            <w:tcW w:w="1327" w:type="dxa"/>
            <w:tcMar>
              <w:left w:w="108" w:type="dxa"/>
              <w:right w:w="108" w:type="dxa"/>
            </w:tcMar>
            <w:vAlign w:val="center"/>
          </w:tcPr>
          <w:p w:rsidR="0082501E" w:rsidRDefault="0082501E" w:rsidP="00140795">
            <w:pPr>
              <w:pStyle w:val="a5"/>
              <w:widowControl/>
              <w:spacing w:beforeAutospacing="0" w:after="0" w:afterAutospacing="0"/>
              <w:jc w:val="center"/>
              <w:rPr>
                <w:sz w:val="18"/>
                <w:szCs w:val="18"/>
              </w:rPr>
            </w:pPr>
            <w:r>
              <w:rPr>
                <w:rFonts w:hint="eastAsia"/>
                <w:sz w:val="18"/>
                <w:szCs w:val="18"/>
              </w:rPr>
              <w:t>2636</w:t>
            </w:r>
          </w:p>
        </w:tc>
        <w:tc>
          <w:tcPr>
            <w:tcW w:w="1327" w:type="dxa"/>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380.24</w:t>
            </w:r>
          </w:p>
        </w:tc>
        <w:tc>
          <w:tcPr>
            <w:tcW w:w="1327" w:type="dxa"/>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1.72</w:t>
            </w:r>
          </w:p>
        </w:tc>
        <w:tc>
          <w:tcPr>
            <w:tcW w:w="1327" w:type="dxa"/>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14.32%</w:t>
            </w:r>
          </w:p>
        </w:tc>
        <w:tc>
          <w:tcPr>
            <w:tcW w:w="1327" w:type="dxa"/>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10.3</w:t>
            </w:r>
          </w:p>
        </w:tc>
        <w:tc>
          <w:tcPr>
            <w:tcW w:w="1327" w:type="dxa"/>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0.163</w:t>
            </w:r>
          </w:p>
        </w:tc>
      </w:tr>
      <w:tr w:rsidR="0082501E" w:rsidTr="00140795">
        <w:trPr>
          <w:trHeight w:val="586"/>
          <w:tblCellSpacing w:w="0" w:type="dxa"/>
          <w:jc w:val="center"/>
        </w:trPr>
        <w:tc>
          <w:tcPr>
            <w:tcW w:w="1074" w:type="dxa"/>
            <w:tcBorders>
              <w:bottom w:val="single" w:sz="4" w:space="0" w:color="auto"/>
            </w:tcBorders>
            <w:tcMar>
              <w:left w:w="108" w:type="dxa"/>
              <w:right w:w="108" w:type="dxa"/>
            </w:tcMar>
            <w:vAlign w:val="center"/>
          </w:tcPr>
          <w:p w:rsidR="0082501E" w:rsidRDefault="0082501E" w:rsidP="00140795">
            <w:pPr>
              <w:pStyle w:val="a5"/>
              <w:widowControl/>
              <w:spacing w:after="0" w:afterAutospacing="0"/>
              <w:rPr>
                <w:rFonts w:hint="eastAsia"/>
                <w:sz w:val="18"/>
                <w:szCs w:val="18"/>
              </w:rPr>
            </w:pPr>
            <w:r>
              <w:rPr>
                <w:rFonts w:hint="eastAsia"/>
                <w:sz w:val="18"/>
                <w:szCs w:val="18"/>
              </w:rPr>
              <w:t>刈割方式</w:t>
            </w:r>
            <w:r>
              <w:rPr>
                <w:rFonts w:hint="eastAsia"/>
                <w:sz w:val="18"/>
                <w:szCs w:val="18"/>
              </w:rPr>
              <w:t>2</w:t>
            </w:r>
          </w:p>
        </w:tc>
        <w:tc>
          <w:tcPr>
            <w:tcW w:w="1327" w:type="dxa"/>
            <w:tcBorders>
              <w:bottom w:val="single" w:sz="4" w:space="0" w:color="auto"/>
            </w:tcBorders>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2584</w:t>
            </w:r>
          </w:p>
        </w:tc>
        <w:tc>
          <w:tcPr>
            <w:tcW w:w="1327" w:type="dxa"/>
            <w:tcBorders>
              <w:bottom w:val="single" w:sz="4" w:space="0" w:color="auto"/>
            </w:tcBorders>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386.06</w:t>
            </w:r>
          </w:p>
        </w:tc>
        <w:tc>
          <w:tcPr>
            <w:tcW w:w="1327" w:type="dxa"/>
            <w:tcBorders>
              <w:bottom w:val="single" w:sz="4" w:space="0" w:color="auto"/>
            </w:tcBorders>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1.73</w:t>
            </w:r>
          </w:p>
        </w:tc>
        <w:tc>
          <w:tcPr>
            <w:tcW w:w="1327" w:type="dxa"/>
            <w:tcBorders>
              <w:bottom w:val="single" w:sz="4" w:space="0" w:color="auto"/>
            </w:tcBorders>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14.40%</w:t>
            </w:r>
          </w:p>
        </w:tc>
        <w:tc>
          <w:tcPr>
            <w:tcW w:w="1327" w:type="dxa"/>
            <w:tcBorders>
              <w:bottom w:val="single" w:sz="4" w:space="0" w:color="auto"/>
            </w:tcBorders>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10.9</w:t>
            </w:r>
          </w:p>
        </w:tc>
        <w:tc>
          <w:tcPr>
            <w:tcW w:w="1327" w:type="dxa"/>
            <w:tcBorders>
              <w:bottom w:val="single" w:sz="4" w:space="0" w:color="auto"/>
            </w:tcBorders>
            <w:tcMar>
              <w:left w:w="108" w:type="dxa"/>
              <w:right w:w="108" w:type="dxa"/>
            </w:tcMar>
            <w:vAlign w:val="center"/>
          </w:tcPr>
          <w:p w:rsidR="0082501E" w:rsidRDefault="0082501E" w:rsidP="00140795">
            <w:pPr>
              <w:pStyle w:val="a5"/>
              <w:widowControl/>
              <w:spacing w:after="0" w:afterAutospacing="0"/>
              <w:jc w:val="center"/>
              <w:rPr>
                <w:kern w:val="2"/>
                <w:sz w:val="18"/>
                <w:szCs w:val="18"/>
              </w:rPr>
            </w:pPr>
            <w:r>
              <w:rPr>
                <w:rFonts w:hint="eastAsia"/>
                <w:kern w:val="2"/>
                <w:sz w:val="18"/>
                <w:szCs w:val="18"/>
              </w:rPr>
              <w:t>0.162</w:t>
            </w:r>
          </w:p>
        </w:tc>
      </w:tr>
    </w:tbl>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t>注：表7中各项数据均是在火龙果栽培后第三年采集，其中平均单果重、果皮厚度、果实硬度、可溶性固形物、可溶性糖和可滴定酸的测定分别从三茬果中取样20个果测定，测定取平均值即得表7中的数据。</w:t>
      </w:r>
    </w:p>
    <w:p w:rsidR="0082501E" w:rsidRDefault="0082501E" w:rsidP="0082501E">
      <w:pPr>
        <w:pStyle w:val="BodyText2"/>
        <w:spacing w:after="0"/>
        <w:ind w:firstLineChars="200" w:firstLine="640"/>
        <w:rPr>
          <w:rFonts w:ascii="仿宋_GB2312" w:eastAsia="仿宋_GB2312" w:hAnsi="宋体" w:hint="eastAsia"/>
        </w:rPr>
      </w:pPr>
      <w:r>
        <w:rPr>
          <w:rFonts w:ascii="仿宋_GB2312" w:eastAsia="仿宋_GB2312" w:hAnsi="宋体" w:hint="eastAsia"/>
        </w:rPr>
        <w:t>由表7可知，本发明刈割方法配合三茬果的管理方法对火龙果的产量、品质最好，而刈割方式1当野生花生长18cm刈割，野生花生植株本身对火龙果的催花、保果影响不大，火龙果数量较高（亩产量/平均单果重），产量略比实施例1低，但是火龙果单</w:t>
      </w:r>
      <w:r>
        <w:rPr>
          <w:rFonts w:ascii="仿宋_GB2312" w:eastAsia="仿宋_GB2312" w:hAnsi="宋体" w:hint="eastAsia"/>
        </w:rPr>
        <w:lastRenderedPageBreak/>
        <w:t>果重、可溶固形物含量、可溶性糖、可滴定酸等指标均比本申请差，发明人猜测这可能是野生花生刈割时，野生花生的植株与当野生花生花朵基本凋谢、叶片颜色整体呈现老绿时的植株腐败后有机质等含量不一致，给火龙果提供的有机肥肥力不一致，也有可能是按照刈割方式1的方法刈割时没能根据亚热带季风性气候条件进行冬季保温、夏季降温所致，还有一个原因可能是刈割前后会改变火龙果的光环境，而刈割方式1改变的光环境可能与火龙果果实发育所需的叶片的光合特性不适宜，因此导致各方面指标变差。而刈割方式2与实施例1相比，亩产量和平均单果重均大大降低，发明人认为，这是因为盛花后才刈割野生花生，野生花生影响了火龙果的催花，且刈割后对火龙果的温度和湿地的调节效果不是最佳的火龙果开花结果、果实生产期所需的环境条件，因此，果实火龙果品质差。</w:t>
      </w:r>
    </w:p>
    <w:p w:rsidR="0082501E" w:rsidRDefault="0082501E" w:rsidP="0082501E">
      <w:pPr>
        <w:autoSpaceDE w:val="0"/>
        <w:autoSpaceDN w:val="0"/>
        <w:adjustRightInd w:val="0"/>
        <w:ind w:firstLineChars="200" w:firstLine="643"/>
        <w:rPr>
          <w:rFonts w:ascii="仿宋_GB2312" w:eastAsia="仿宋_GB2312" w:hAnsi="宋体" w:hint="eastAsia"/>
          <w:b/>
          <w:sz w:val="32"/>
          <w:szCs w:val="32"/>
        </w:rPr>
      </w:pPr>
      <w:r>
        <w:rPr>
          <w:rFonts w:ascii="仿宋_GB2312" w:eastAsia="仿宋_GB2312" w:hAnsi="宋体" w:hint="eastAsia"/>
          <w:b/>
          <w:sz w:val="32"/>
          <w:szCs w:val="32"/>
        </w:rPr>
        <w:t>（十一）火龙果采收</w:t>
      </w:r>
    </w:p>
    <w:p w:rsidR="0082501E" w:rsidRDefault="0082501E" w:rsidP="0082501E">
      <w:pPr>
        <w:pStyle w:val="BodyText2"/>
        <w:spacing w:after="0"/>
        <w:ind w:firstLineChars="200" w:firstLine="640"/>
        <w:rPr>
          <w:rFonts w:ascii="仿宋_GB2312" w:eastAsia="仿宋_GB2312" w:hAnsi="宋体"/>
        </w:rPr>
      </w:pPr>
      <w:r>
        <w:rPr>
          <w:rFonts w:ascii="仿宋_GB2312" w:eastAsia="仿宋_GB2312" w:hAnsi="宋体" w:hint="eastAsia"/>
        </w:rPr>
        <w:t>主要</w:t>
      </w:r>
      <w:r>
        <w:rPr>
          <w:rFonts w:ascii="仿宋_GB2312" w:eastAsia="仿宋_GB2312" w:hAnsi="宋体"/>
        </w:rPr>
        <w:t>依据</w:t>
      </w:r>
      <w:r>
        <w:rPr>
          <w:rFonts w:ascii="仿宋_GB2312" w:eastAsia="仿宋_GB2312" w:hAnsi="宋体" w:hint="eastAsia"/>
        </w:rPr>
        <w:t>《一种以多年生野生花生为生草的火龙果栽培方法》专利</w:t>
      </w:r>
      <w:r>
        <w:rPr>
          <w:rFonts w:ascii="仿宋_GB2312" w:eastAsia="仿宋_GB2312" w:hAnsi="宋体"/>
        </w:rPr>
        <w:t>技术</w:t>
      </w:r>
      <w:r>
        <w:rPr>
          <w:rFonts w:ascii="仿宋_GB2312" w:eastAsia="仿宋_GB2312" w:hAnsi="宋体" w:hint="eastAsia"/>
        </w:rPr>
        <w:t>内容确定。</w:t>
      </w:r>
    </w:p>
    <w:p w:rsidR="0082501E" w:rsidRDefault="0082501E" w:rsidP="0082501E">
      <w:pPr>
        <w:pStyle w:val="BodyText2"/>
        <w:spacing w:after="0"/>
        <w:rPr>
          <w:rFonts w:hint="eastAsia"/>
        </w:rPr>
      </w:pPr>
      <w:r>
        <w:rPr>
          <w:rFonts w:eastAsia="仿宋_GB2312" w:hint="eastAsia"/>
          <w:noProof/>
        </w:rPr>
        <w:drawing>
          <wp:inline distT="0" distB="0" distL="0" distR="0">
            <wp:extent cx="5686425" cy="2295525"/>
            <wp:effectExtent l="0" t="0" r="9525" b="9525"/>
            <wp:docPr id="1" name="图片 1" descr="火龙果收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火龙果收获"/>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86425" cy="2295525"/>
                    </a:xfrm>
                    <a:prstGeom prst="rect">
                      <a:avLst/>
                    </a:prstGeom>
                    <a:noFill/>
                    <a:ln>
                      <a:noFill/>
                    </a:ln>
                  </pic:spPr>
                </pic:pic>
              </a:graphicData>
            </a:graphic>
          </wp:inline>
        </w:drawing>
      </w:r>
    </w:p>
    <w:p w:rsidR="0082501E" w:rsidRDefault="0082501E" w:rsidP="0082501E">
      <w:pPr>
        <w:pStyle w:val="BodyText2"/>
        <w:spacing w:after="0" w:line="560" w:lineRule="exact"/>
        <w:ind w:firstLineChars="200" w:firstLine="643"/>
        <w:rPr>
          <w:rFonts w:ascii="仿宋_GB2312" w:eastAsia="仿宋_GB2312" w:hAnsi="宋体"/>
          <w:b/>
        </w:rPr>
      </w:pPr>
      <w:r>
        <w:rPr>
          <w:rFonts w:ascii="仿宋_GB2312" w:eastAsia="仿宋_GB2312" w:hAnsi="宋体" w:hint="eastAsia"/>
          <w:b/>
        </w:rPr>
        <w:lastRenderedPageBreak/>
        <w:t>（十二）生产</w:t>
      </w:r>
      <w:r>
        <w:rPr>
          <w:rFonts w:ascii="仿宋_GB2312" w:eastAsia="仿宋_GB2312" w:hAnsi="宋体"/>
          <w:b/>
        </w:rPr>
        <w:t>档案</w:t>
      </w:r>
    </w:p>
    <w:p w:rsidR="0082501E" w:rsidRDefault="0082501E" w:rsidP="0082501E">
      <w:pPr>
        <w:pStyle w:val="BodyText2"/>
        <w:spacing w:after="0" w:line="560" w:lineRule="exact"/>
        <w:ind w:firstLineChars="200" w:firstLine="640"/>
        <w:rPr>
          <w:rFonts w:hint="eastAsia"/>
        </w:rPr>
      </w:pPr>
      <w:r>
        <w:rPr>
          <w:rFonts w:ascii="仿宋_GB2312" w:eastAsia="仿宋_GB2312" w:hAnsi="宋体" w:hint="eastAsia"/>
        </w:rPr>
        <w:t>建立田间生产档案，包括投入品的名称、来源、用法、用量和使用、停用的日期及生产技术、病虫害的发生和防治等，</w:t>
      </w:r>
      <w:r>
        <w:rPr>
          <w:rFonts w:ascii="仿宋_GB2312" w:eastAsia="仿宋_GB2312" w:hAnsi="宋体"/>
        </w:rPr>
        <w:t>以便更好的</w:t>
      </w:r>
      <w:r>
        <w:rPr>
          <w:rFonts w:ascii="仿宋_GB2312" w:eastAsia="仿宋_GB2312" w:hAnsi="宋体" w:hint="eastAsia"/>
        </w:rPr>
        <w:t>进行</w:t>
      </w:r>
      <w:r>
        <w:rPr>
          <w:rFonts w:ascii="仿宋_GB2312" w:eastAsia="仿宋_GB2312" w:hAnsi="宋体"/>
        </w:rPr>
        <w:t>产品追溯</w:t>
      </w:r>
      <w:r>
        <w:rPr>
          <w:rFonts w:ascii="仿宋_GB2312" w:eastAsia="仿宋_GB2312" w:hAnsi="宋体" w:hint="eastAsia"/>
        </w:rPr>
        <w:t>。</w:t>
      </w:r>
    </w:p>
    <w:p w:rsidR="0082501E" w:rsidRDefault="0082501E" w:rsidP="0082501E">
      <w:pPr>
        <w:autoSpaceDE w:val="0"/>
        <w:autoSpaceDN w:val="0"/>
        <w:adjustRightInd w:val="0"/>
        <w:spacing w:beforeLines="50" w:before="156" w:afterLines="50" w:after="156" w:line="560" w:lineRule="exact"/>
        <w:ind w:firstLineChars="200" w:firstLine="640"/>
        <w:rPr>
          <w:rFonts w:ascii="黑体" w:eastAsia="黑体" w:hAnsi="黑体" w:cs="仿宋_GB2312" w:hint="eastAsia"/>
          <w:sz w:val="32"/>
          <w:szCs w:val="32"/>
        </w:rPr>
      </w:pPr>
      <w:r>
        <w:rPr>
          <w:rFonts w:ascii="黑体" w:eastAsia="黑体" w:hAnsi="黑体" w:cs="仿宋_GB2312" w:hint="eastAsia"/>
          <w:sz w:val="32"/>
          <w:szCs w:val="32"/>
        </w:rPr>
        <w:t>六、国内同类标准制修订情况及与法律法规、强制性标准关系</w:t>
      </w:r>
    </w:p>
    <w:p w:rsidR="0082501E" w:rsidRDefault="0082501E" w:rsidP="0082501E">
      <w:pPr>
        <w:spacing w:line="560" w:lineRule="exact"/>
        <w:ind w:firstLineChars="200" w:firstLine="640"/>
        <w:rPr>
          <w:rFonts w:ascii="仿宋_GB2312" w:eastAsia="仿宋_GB2312" w:hAnsi="仿宋" w:hint="eastAsia"/>
          <w:bCs/>
          <w:color w:val="000000"/>
          <w:sz w:val="32"/>
          <w:szCs w:val="32"/>
        </w:rPr>
      </w:pPr>
      <w:r>
        <w:rPr>
          <w:rFonts w:ascii="仿宋_GB2312" w:eastAsia="仿宋_GB2312" w:hAnsi="仿宋" w:hint="eastAsia"/>
          <w:bCs/>
          <w:color w:val="000000"/>
          <w:sz w:val="32"/>
          <w:szCs w:val="32"/>
        </w:rPr>
        <w:t>经查阅，与“火龙果栽培”相关的标准有：NY/T 5256-2004  《无公害食品 火龙果生产技术规程》、DB15/T 1824—2020  《日光温室火龙果生产技术规程》、DB2301/T 124-2022  《日光温室红肉火龙果栽培技术规程》、DB21/T 3623-2022  《日光温室火龙果绿色生产技术规程》、DB3207/T 1010-2021  《火龙果设施栽培技术规程》、DB3502/T 075-2021  《火龙果生产技术规程》、DB4116/T 005-2021  《火龙果日光温室栽培技术规程》、DB3305/T 144-2020  《火龙果设施栽培技术规程》、DB44/T 1326-2014  《红肉火龙果生产技术规程》、DB45/T 475-2008  《绿色食品 火龙果生产技术规程》、DB45/T 877-2012  《无公害食品 火龙果生产技术规程》、DB45/T 1019-2014  《有机产品 火龙果生产技术规程》、DB45/T 1465-2016  《火龙果套种马铃薯栽培技术规程》、DB45/T 1865-2018  《火龙果间作花生栽培技术规程》、DB45/T 1869-2018  《火龙果平地果园生产技术规程》、DB52/T 611-2010  《贵州喀斯特山区火龙果生产技术规程》、DB53/T 885-2018  《火龙果生产技术规程》、DB5325/T 97-2020  《石屏火龙果生产技术规程》、DB6105/T 137-2021  《日光温室火龙果生产技术规程》、DB6111/T 164-2021  《火龙果设施生产技术规程。但广西目前未制定有以</w:t>
      </w:r>
      <w:r>
        <w:rPr>
          <w:rFonts w:ascii="仿宋_GB2312" w:eastAsia="仿宋_GB2312" w:hAnsi="仿宋" w:hint="eastAsia"/>
          <w:bCs/>
          <w:color w:val="000000"/>
          <w:sz w:val="32"/>
          <w:szCs w:val="32"/>
        </w:rPr>
        <w:lastRenderedPageBreak/>
        <w:t>多年生野生花生为生草的火龙果栽培标准，上述标准多为以复合肥等有机肥料为主，对生草栽培部分规定较为简单甚至无规定。其中，DB45/T 1865-2018  《火龙果间作花生栽培技术规程》规定了火龙果园间作花生的果园选择、种植区整地、品种选择、备种、间作规格、播种、田间管理、收获与晾晒、秸秆还田、储藏等技术要求；适用于广西境内火龙果间作花生栽培。仅涉及火龙果间作花生相关规定，不涉及以花生做生草栽培相关规定。</w:t>
      </w:r>
    </w:p>
    <w:p w:rsidR="0082501E" w:rsidRDefault="0082501E" w:rsidP="0082501E">
      <w:pPr>
        <w:spacing w:line="560" w:lineRule="exact"/>
        <w:ind w:firstLineChars="200" w:firstLine="640"/>
        <w:rPr>
          <w:rFonts w:ascii="仿宋_GB2312" w:eastAsia="仿宋_GB2312" w:hAnsi="仿宋" w:hint="eastAsia"/>
          <w:bCs/>
          <w:color w:val="000000"/>
          <w:sz w:val="32"/>
          <w:szCs w:val="32"/>
        </w:rPr>
      </w:pPr>
      <w:r>
        <w:rPr>
          <w:rFonts w:ascii="仿宋_GB2312" w:eastAsia="仿宋_GB2312" w:hAnsi="仿宋" w:hint="eastAsia"/>
          <w:bCs/>
          <w:color w:val="000000"/>
          <w:sz w:val="32"/>
          <w:szCs w:val="32"/>
        </w:rPr>
        <w:t>与“花生间种”相关的标准有T/GXAS 242-2021《果蔗间种花生栽培技术规程》，也不涉及火龙果间作花生生草栽培。</w:t>
      </w:r>
    </w:p>
    <w:p w:rsidR="0082501E" w:rsidRDefault="0082501E" w:rsidP="0082501E">
      <w:pPr>
        <w:spacing w:line="560" w:lineRule="exact"/>
        <w:ind w:firstLineChars="200" w:firstLine="640"/>
        <w:rPr>
          <w:rFonts w:ascii="仿宋_GB2312" w:eastAsia="仿宋_GB2312" w:hAnsi="仿宋" w:hint="eastAsia"/>
          <w:bCs/>
          <w:color w:val="000000"/>
          <w:sz w:val="32"/>
          <w:szCs w:val="32"/>
        </w:rPr>
      </w:pPr>
      <w:r>
        <w:rPr>
          <w:rFonts w:ascii="仿宋_GB2312" w:eastAsia="仿宋_GB2312" w:hAnsi="仿宋" w:hint="eastAsia"/>
          <w:bCs/>
          <w:color w:val="000000"/>
          <w:sz w:val="32"/>
          <w:szCs w:val="32"/>
        </w:rPr>
        <w:t>本标准基于广西产地环境、栽培现状并结合起草单位多年实践经验及试验研究，总结了一种以多年生野生花生为生草的火龙果栽培栽培方法。</w:t>
      </w:r>
    </w:p>
    <w:p w:rsidR="0082501E" w:rsidRDefault="0082501E" w:rsidP="0082501E">
      <w:pPr>
        <w:spacing w:line="560" w:lineRule="exact"/>
        <w:ind w:firstLineChars="200" w:firstLine="640"/>
        <w:rPr>
          <w:rFonts w:ascii="仿宋_GB2312" w:eastAsia="仿宋_GB2312" w:hAnsi="仿宋" w:hint="eastAsia"/>
          <w:bCs/>
          <w:color w:val="000000"/>
          <w:sz w:val="32"/>
          <w:szCs w:val="32"/>
        </w:rPr>
      </w:pPr>
      <w:r>
        <w:rPr>
          <w:rFonts w:ascii="仿宋_GB2312" w:eastAsia="仿宋_GB2312" w:hAnsi="仿宋" w:hint="eastAsia"/>
          <w:bCs/>
          <w:color w:val="000000"/>
          <w:sz w:val="32"/>
          <w:szCs w:val="32"/>
        </w:rPr>
        <w:t>火龙果园间作野生花生生草栽培技术克服了现有技术中绿肥多为一年生，生育期一般为4个月左右，需一年内多次种植才能达到整年防治杂草的目的，且有的绿肥不耐高温，夏季高温季节无法生长，生草栽培效果不佳的技术问题，提供一种以多年生野生花生为生草的火龙果栽培方法。规定了“起垄：起垄方式分为两种：（1）单垄单行种植，垄面宽2.2米，沟宽0.8米，沟深0.5米，行株距为3米*2.5米。（2）单垄双行种植，垄面宽5米，沟宽2米，沟深1米，行株距为3.5米*2.5米。”“打孔立柱：泥柱的设置原则是平地培育为 3m×2.5 m、山地为 2.2 m×2.2 m，按立柱的尺寸需求在地布留孔种植火龙果苗。”“水肥管理：在火龙果生根后开始追施化肥，挂果前以施尿素和复合肥为主，每月施2次，每株一次施尿素25g，另一次施复合肥50g，两种肥料交</w:t>
      </w:r>
      <w:r>
        <w:rPr>
          <w:rFonts w:ascii="仿宋_GB2312" w:eastAsia="仿宋_GB2312" w:hAnsi="仿宋" w:hint="eastAsia"/>
          <w:bCs/>
          <w:color w:val="000000"/>
          <w:sz w:val="32"/>
          <w:szCs w:val="32"/>
        </w:rPr>
        <w:lastRenderedPageBreak/>
        <w:t>替使用，施肥过后及时淋水，加快肥料溶解及吸收速度”“刈割：结合亚热带季风气候，季高温、秋季保水、冬季保温保湿，一年分别在3月、6月、9月和11月共刈割4次”等主要技术指标，火龙果园间作野生花生生草栽培企业、种植户等提供了技术指导。</w:t>
      </w:r>
    </w:p>
    <w:p w:rsidR="0082501E" w:rsidRDefault="0082501E" w:rsidP="0082501E">
      <w:pPr>
        <w:spacing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七、重大分歧意见发处理经过和依据</w:t>
      </w:r>
    </w:p>
    <w:p w:rsidR="0082501E" w:rsidRDefault="0082501E" w:rsidP="0082501E">
      <w:pPr>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本标准研制过程中无重大分歧意见。</w:t>
      </w:r>
    </w:p>
    <w:p w:rsidR="0082501E" w:rsidRDefault="0082501E" w:rsidP="0082501E">
      <w:pPr>
        <w:spacing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八</w:t>
      </w:r>
      <w:r>
        <w:rPr>
          <w:rFonts w:ascii="黑体" w:eastAsia="黑体" w:hAnsi="黑体" w:cs="黑体"/>
          <w:bCs/>
          <w:sz w:val="32"/>
          <w:szCs w:val="32"/>
        </w:rPr>
        <w:t>、</w:t>
      </w:r>
      <w:r>
        <w:rPr>
          <w:rFonts w:ascii="黑体" w:eastAsia="黑体" w:hAnsi="黑体" w:cs="黑体" w:hint="eastAsia"/>
          <w:bCs/>
          <w:sz w:val="32"/>
          <w:szCs w:val="32"/>
        </w:rPr>
        <w:t>实施标准的措施</w:t>
      </w:r>
    </w:p>
    <w:p w:rsidR="0082501E" w:rsidRDefault="0082501E" w:rsidP="0082501E">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团体标准《</w:t>
      </w:r>
      <w:r>
        <w:rPr>
          <w:rFonts w:ascii="仿宋_GB2312" w:eastAsia="仿宋_GB2312" w:hAnsi="仿宋_GB2312" w:cs="仿宋_GB2312" w:hint="eastAsia"/>
          <w:color w:val="000000"/>
          <w:sz w:val="32"/>
          <w:szCs w:val="32"/>
        </w:rPr>
        <w:t>火龙果园间作野生花生生草栽培技术规程</w:t>
      </w:r>
      <w:r>
        <w:rPr>
          <w:rFonts w:ascii="仿宋_GB2312" w:eastAsia="仿宋_GB2312" w:hAnsi="宋体" w:hint="eastAsia"/>
          <w:sz w:val="32"/>
          <w:szCs w:val="32"/>
        </w:rPr>
        <w:t>》发布后，积极向火龙果</w:t>
      </w:r>
      <w:r>
        <w:rPr>
          <w:rFonts w:ascii="仿宋_GB2312" w:eastAsia="仿宋_GB2312" w:hAnsi="宋体"/>
          <w:sz w:val="32"/>
          <w:szCs w:val="32"/>
        </w:rPr>
        <w:t>生产</w:t>
      </w:r>
      <w:r>
        <w:rPr>
          <w:rFonts w:ascii="仿宋_GB2312" w:eastAsia="仿宋_GB2312" w:hAnsi="宋体" w:hint="eastAsia"/>
          <w:sz w:val="32"/>
          <w:szCs w:val="32"/>
        </w:rPr>
        <w:t>相关的企事业单位进行宣传并推荐执行本标准。</w:t>
      </w:r>
    </w:p>
    <w:p w:rsidR="0082501E" w:rsidRDefault="0082501E" w:rsidP="0082501E">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由广西壮族自治区农业科学院等</w:t>
      </w:r>
      <w:r>
        <w:rPr>
          <w:rFonts w:ascii="仿宋_GB2312" w:eastAsia="仿宋_GB2312" w:hAnsi="宋体"/>
          <w:sz w:val="32"/>
          <w:szCs w:val="32"/>
        </w:rPr>
        <w:t>提出、起草单位</w:t>
      </w:r>
      <w:r>
        <w:rPr>
          <w:rFonts w:ascii="仿宋_GB2312" w:eastAsia="仿宋_GB2312" w:hAnsi="宋体" w:hint="eastAsia"/>
          <w:sz w:val="32"/>
          <w:szCs w:val="32"/>
        </w:rPr>
        <w:t>组织举办培训班或宣贯会，以促进本标准的贯彻实施。</w:t>
      </w:r>
    </w:p>
    <w:p w:rsidR="0082501E" w:rsidRDefault="0082501E" w:rsidP="0082501E">
      <w:pPr>
        <w:spacing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九、自我承诺</w:t>
      </w:r>
    </w:p>
    <w:p w:rsidR="0082501E" w:rsidRDefault="0082501E" w:rsidP="0082501E">
      <w:pPr>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本标准内容与各项指标不低于强制性标准要求。</w:t>
      </w:r>
    </w:p>
    <w:p w:rsidR="0082501E" w:rsidRDefault="0082501E" w:rsidP="0082501E">
      <w:pPr>
        <w:spacing w:line="560" w:lineRule="exact"/>
        <w:ind w:firstLineChars="200" w:firstLine="640"/>
        <w:rPr>
          <w:rFonts w:ascii="仿宋_GB2312" w:eastAsia="仿宋_GB2312" w:hAnsi="仿宋" w:hint="eastAsia"/>
          <w:bCs/>
          <w:color w:val="000000"/>
          <w:sz w:val="32"/>
          <w:szCs w:val="32"/>
        </w:rPr>
      </w:pPr>
    </w:p>
    <w:p w:rsidR="0082501E" w:rsidRDefault="0082501E" w:rsidP="0082501E">
      <w:pPr>
        <w:spacing w:line="560" w:lineRule="exact"/>
        <w:ind w:right="560"/>
        <w:jc w:val="right"/>
        <w:rPr>
          <w:rFonts w:ascii="仿宋_GB2312" w:eastAsia="仿宋_GB2312" w:hAnsi="仿宋_GB2312" w:cs="仿宋_GB2312" w:hint="eastAsia"/>
          <w:color w:val="000000"/>
          <w:sz w:val="32"/>
          <w:szCs w:val="32"/>
        </w:rPr>
      </w:pPr>
      <w:r>
        <w:rPr>
          <w:rFonts w:ascii="仿宋_GB2312" w:eastAsia="仿宋_GB2312" w:hAnsi="仿宋_GB2312" w:cs="仿宋_GB2312" w:hint="eastAsia"/>
          <w:color w:val="000000"/>
          <w:sz w:val="32"/>
          <w:szCs w:val="32"/>
        </w:rPr>
        <w:t>团体标准《火龙果园间作野生花生生草栽培技术规程》</w:t>
      </w:r>
    </w:p>
    <w:p w:rsidR="0082501E" w:rsidRDefault="0082501E" w:rsidP="0082501E">
      <w:pPr>
        <w:spacing w:line="560" w:lineRule="exact"/>
        <w:ind w:firstLine="200"/>
        <w:jc w:val="center"/>
        <w:rPr>
          <w:rFonts w:ascii="仿宋_GB2312" w:eastAsia="仿宋_GB2312" w:hAnsi="仿宋_GB2312" w:cs="仿宋_GB2312" w:hint="eastAsia"/>
          <w:color w:val="000000"/>
          <w:sz w:val="32"/>
          <w:szCs w:val="32"/>
        </w:rPr>
      </w:pPr>
      <w:r>
        <w:rPr>
          <w:rFonts w:ascii="仿宋_GB2312" w:eastAsia="仿宋_GB2312" w:hAnsi="仿宋_GB2312" w:cs="仿宋_GB2312" w:hint="eastAsia"/>
          <w:color w:val="000000"/>
          <w:sz w:val="32"/>
          <w:szCs w:val="32"/>
        </w:rPr>
        <w:t xml:space="preserve">       标准编制工作组</w:t>
      </w:r>
    </w:p>
    <w:p w:rsidR="0082501E" w:rsidRDefault="0082501E" w:rsidP="0082501E">
      <w:pPr>
        <w:spacing w:line="560" w:lineRule="exact"/>
        <w:ind w:firstLineChars="200" w:firstLine="640"/>
        <w:jc w:val="center"/>
        <w:rPr>
          <w:rFonts w:ascii="仿宋_GB2312" w:eastAsia="仿宋_GB2312" w:hAnsi="仿宋_GB2312" w:cs="仿宋_GB2312"/>
          <w:color w:val="000000"/>
          <w:sz w:val="32"/>
          <w:szCs w:val="32"/>
        </w:rPr>
      </w:pPr>
      <w:r>
        <w:rPr>
          <w:rFonts w:ascii="仿宋_GB2312" w:eastAsia="仿宋_GB2312" w:hAnsi="仿宋_GB2312" w:cs="仿宋_GB2312" w:hint="eastAsia"/>
          <w:color w:val="000000"/>
          <w:sz w:val="32"/>
          <w:szCs w:val="32"/>
        </w:rPr>
        <w:t xml:space="preserve">     2023年</w:t>
      </w:r>
      <w:r>
        <w:rPr>
          <w:rFonts w:ascii="仿宋_GB2312" w:eastAsia="仿宋_GB2312" w:hAnsi="仿宋_GB2312" w:cs="仿宋_GB2312"/>
          <w:color w:val="000000"/>
          <w:sz w:val="32"/>
          <w:szCs w:val="32"/>
        </w:rPr>
        <w:t>9</w:t>
      </w:r>
      <w:r>
        <w:rPr>
          <w:rFonts w:ascii="仿宋_GB2312" w:eastAsia="仿宋_GB2312" w:hAnsi="仿宋_GB2312" w:cs="仿宋_GB2312" w:hint="eastAsia"/>
          <w:color w:val="000000"/>
          <w:sz w:val="32"/>
          <w:szCs w:val="32"/>
        </w:rPr>
        <w:t>月</w:t>
      </w:r>
      <w:r>
        <w:rPr>
          <w:rFonts w:ascii="仿宋_GB2312" w:eastAsia="仿宋_GB2312" w:hAnsi="仿宋_GB2312" w:cs="仿宋_GB2312"/>
          <w:color w:val="000000"/>
          <w:sz w:val="32"/>
          <w:szCs w:val="32"/>
        </w:rPr>
        <w:t>18</w:t>
      </w:r>
      <w:r>
        <w:rPr>
          <w:rFonts w:ascii="仿宋_GB2312" w:eastAsia="仿宋_GB2312" w:hAnsi="仿宋_GB2312" w:cs="仿宋_GB2312" w:hint="eastAsia"/>
          <w:color w:val="000000"/>
          <w:sz w:val="32"/>
          <w:szCs w:val="32"/>
        </w:rPr>
        <w:t>日</w:t>
      </w:r>
    </w:p>
    <w:p w:rsidR="00C03186" w:rsidRDefault="008C7B9D"/>
    <w:sectPr w:rsidR="00C03186" w:rsidSect="0082501E">
      <w:pgSz w:w="11906" w:h="16838"/>
      <w:pgMar w:top="1474" w:right="1474" w:bottom="1474" w:left="1474"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DengXian">
    <w:altName w:val="宋体"/>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方正小标宋简体">
    <w:panose1 w:val="03000509000000000000"/>
    <w:charset w:val="86"/>
    <w:family w:val="script"/>
    <w:pitch w:val="fixed"/>
    <w:sig w:usb0="00000001" w:usb1="080E0000" w:usb2="00000010" w:usb3="00000000" w:csb0="00040000" w:csb1="00000000"/>
  </w:font>
  <w:font w:name="仿宋_GB2312">
    <w:altName w:val="仿宋"/>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等线 Light">
    <w:altName w:val="微软雅黑"/>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4BE18D4"/>
    <w:multiLevelType w:val="multilevel"/>
    <w:tmpl w:val="34BE18D4"/>
    <w:lvl w:ilvl="0">
      <w:start w:val="5"/>
      <w:numFmt w:val="japaneseCounting"/>
      <w:lvlText w:val="%1、"/>
      <w:lvlJc w:val="left"/>
      <w:pPr>
        <w:ind w:left="1360" w:hanging="720"/>
      </w:pPr>
      <w:rPr>
        <w:rFonts w:hint="default"/>
      </w:rPr>
    </w:lvl>
    <w:lvl w:ilvl="1">
      <w:start w:val="1"/>
      <w:numFmt w:val="lowerLetter"/>
      <w:lvlText w:val="%2)"/>
      <w:lvlJc w:val="left"/>
      <w:pPr>
        <w:ind w:left="1480" w:hanging="420"/>
      </w:pPr>
    </w:lvl>
    <w:lvl w:ilvl="2">
      <w:start w:val="1"/>
      <w:numFmt w:val="lowerRoman"/>
      <w:lvlText w:val="%3."/>
      <w:lvlJc w:val="right"/>
      <w:pPr>
        <w:ind w:left="1900" w:hanging="420"/>
      </w:p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abstractNum w:abstractNumId="1" w15:restartNumberingAfterBreak="0">
    <w:nsid w:val="6CEA2025"/>
    <w:multiLevelType w:val="multilevel"/>
    <w:tmpl w:val="6CEA2025"/>
    <w:lvl w:ilvl="0">
      <w:start w:val="1"/>
      <w:numFmt w:val="none"/>
      <w:suff w:val="nothing"/>
      <w:lvlText w:val="%1"/>
      <w:lvlJc w:val="left"/>
      <w:pPr>
        <w:ind w:left="0" w:firstLine="0"/>
      </w:pPr>
    </w:lvl>
    <w:lvl w:ilvl="1">
      <w:start w:val="1"/>
      <w:numFmt w:val="decimal"/>
      <w:suff w:val="nothing"/>
      <w:lvlText w:val="%1%2　"/>
      <w:lvlJc w:val="left"/>
      <w:pPr>
        <w:ind w:left="0" w:firstLine="0"/>
      </w:pPr>
      <w:rPr>
        <w:rFonts w:ascii="黑体" w:eastAsia="黑体" w:hAnsi="Times New Roman" w:hint="eastAsia"/>
        <w:b w:val="0"/>
        <w:i w:val="0"/>
        <w:sz w:val="21"/>
      </w:rPr>
    </w:lvl>
    <w:lvl w:ilvl="2">
      <w:start w:val="1"/>
      <w:numFmt w:val="decimal"/>
      <w:suff w:val="nothing"/>
      <w:lvlText w:val="%1%2.%3　"/>
      <w:lvlJc w:val="left"/>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1985"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51"/>
        </w:tabs>
        <w:ind w:left="3969" w:hanging="1418"/>
      </w:pPr>
    </w:lvl>
    <w:lvl w:ilvl="8">
      <w:start w:val="1"/>
      <w:numFmt w:val="decimal"/>
      <w:lvlText w:val="%1.%2.%3.%4.%5.%6.%7.%8.%9"/>
      <w:lvlJc w:val="left"/>
      <w:pPr>
        <w:tabs>
          <w:tab w:val="num" w:pos="4777"/>
        </w:tabs>
        <w:ind w:left="4677" w:hanging="170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45AD"/>
    <w:rsid w:val="000045AD"/>
    <w:rsid w:val="0082501E"/>
    <w:rsid w:val="008C7B9D"/>
    <w:rsid w:val="00B815A4"/>
    <w:rsid w:val="00C40F1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359690"/>
  <w15:chartTrackingRefBased/>
  <w15:docId w15:val="{29E877B4-B2B6-4F8F-88DD-7AAA5D780C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BodyText2"/>
    <w:qFormat/>
    <w:rsid w:val="0082501E"/>
    <w:pPr>
      <w:widowControl w:val="0"/>
      <w:jc w:val="both"/>
    </w:pPr>
    <w:rPr>
      <w:rFonts w:ascii="Times New Roman" w:eastAsia="宋体" w:hAnsi="Times New Roman"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odyText2">
    <w:name w:val="BodyText2"/>
    <w:basedOn w:val="a"/>
    <w:qFormat/>
    <w:rsid w:val="0082501E"/>
    <w:pPr>
      <w:spacing w:after="120" w:line="480" w:lineRule="auto"/>
      <w:textAlignment w:val="baseline"/>
    </w:pPr>
    <w:rPr>
      <w:sz w:val="32"/>
      <w:szCs w:val="32"/>
    </w:rPr>
  </w:style>
  <w:style w:type="paragraph" w:styleId="a3">
    <w:name w:val="Body Text"/>
    <w:basedOn w:val="a"/>
    <w:link w:val="a4"/>
    <w:rsid w:val="0082501E"/>
    <w:rPr>
      <w:color w:val="FF0000"/>
      <w:szCs w:val="20"/>
    </w:rPr>
  </w:style>
  <w:style w:type="character" w:customStyle="1" w:styleId="a4">
    <w:name w:val="正文文本 字符"/>
    <w:basedOn w:val="a0"/>
    <w:link w:val="a3"/>
    <w:rsid w:val="0082501E"/>
    <w:rPr>
      <w:rFonts w:ascii="Times New Roman" w:eastAsia="宋体" w:hAnsi="Times New Roman" w:cs="Times New Roman"/>
      <w:color w:val="FF0000"/>
      <w:szCs w:val="20"/>
    </w:rPr>
  </w:style>
  <w:style w:type="paragraph" w:styleId="a5">
    <w:name w:val="Normal (Web)"/>
    <w:basedOn w:val="a"/>
    <w:rsid w:val="0082501E"/>
    <w:pPr>
      <w:spacing w:before="100" w:beforeAutospacing="1" w:after="100" w:afterAutospacing="1"/>
      <w:jc w:val="left"/>
    </w:pPr>
    <w:rPr>
      <w:kern w:val="0"/>
      <w:sz w:val="24"/>
    </w:rPr>
  </w:style>
  <w:style w:type="character" w:styleId="a6">
    <w:name w:val="Emphasis"/>
    <w:qFormat/>
    <w:rsid w:val="0082501E"/>
    <w:rPr>
      <w:i w:val="0"/>
      <w:iCs w:val="0"/>
    </w:rPr>
  </w:style>
  <w:style w:type="paragraph" w:customStyle="1" w:styleId="a7">
    <w:name w:val="标准文件_章标题"/>
    <w:next w:val="a"/>
    <w:rsid w:val="0082501E"/>
    <w:pPr>
      <w:numPr>
        <w:ilvl w:val="1"/>
        <w:numId w:val="11"/>
      </w:numPr>
      <w:spacing w:beforeLines="100" w:afterLines="100"/>
      <w:jc w:val="both"/>
      <w:outlineLvl w:val="0"/>
    </w:pPr>
    <w:rPr>
      <w:rFonts w:ascii="黑体" w:eastAsia="黑体" w:hAnsi="Times New Roman" w:cs="Times New Roman"/>
      <w:kern w:val="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24</Pages>
  <Words>1864</Words>
  <Characters>10628</Characters>
  <Application>Microsoft Office Word</Application>
  <DocSecurity>0</DocSecurity>
  <Lines>88</Lines>
  <Paragraphs>24</Paragraphs>
  <ScaleCrop>false</ScaleCrop>
  <Company/>
  <LinksUpToDate>false</LinksUpToDate>
  <CharactersWithSpaces>12468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3</cp:revision>
  <dcterms:created xsi:type="dcterms:W3CDTF">2023-09-20T03:54:00Z</dcterms:created>
  <dcterms:modified xsi:type="dcterms:W3CDTF">2023-09-20T03:55:00Z</dcterms:modified>
</cp:coreProperties>
</file>