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03.200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widowControl w:val="0"/>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研学旅行承办机构服务规范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Guangxi research and travel organization</w:t>
      </w: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Service specification</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（本草案完成时间：2023年9月27日）</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20" w:name="BookMark1"/>
      <w:bookmarkStart w:id="21" w:name="_Toc146635663"/>
      <w:bookmarkStart w:id="22" w:name="_Toc146635334"/>
      <w:bookmarkStart w:id="23" w:name="_Toc146635292"/>
      <w:bookmarkStart w:id="24" w:name="_Toc146635431"/>
      <w:bookmarkStart w:id="25" w:name="_Toc146635256"/>
      <w:bookmarkStart w:id="26" w:name="_Toc146635452"/>
      <w:bookmarkStart w:id="27" w:name="_Toc146635475"/>
      <w:bookmarkStart w:id="28" w:name="_Toc146635355"/>
      <w:bookmarkStart w:id="29" w:name="_Toc146635580"/>
      <w:bookmarkStart w:id="30" w:name="_Toc146635499"/>
      <w:bookmarkStart w:id="31" w:name="_Toc146635738"/>
      <w:bookmarkStart w:id="32" w:name="_Toc146635313"/>
      <w:bookmarkStart w:id="33" w:name="_Toc14663563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"_Toc146815026" </w:instrText>
      </w:r>
      <w:r>
        <w:fldChar w:fldCharType="separate"/>
      </w:r>
      <w:r>
        <w:rPr>
          <w:rStyle w:val="32"/>
        </w:rPr>
        <w:t>前言</w:t>
      </w:r>
      <w:r>
        <w:tab/>
      </w:r>
      <w:r>
        <w:fldChar w:fldCharType="begin"/>
      </w:r>
      <w:r>
        <w:instrText xml:space="preserve"> PAGEREF _Toc146815026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"_Toc146815027" </w:instrText>
      </w:r>
      <w:r>
        <w:fldChar w:fldCharType="separate"/>
      </w:r>
      <w:r>
        <w:rPr>
          <w:rStyle w:val="32"/>
        </w:rPr>
        <w:t>1  范围</w:t>
      </w:r>
      <w:r>
        <w:tab/>
      </w:r>
      <w:r>
        <w:fldChar w:fldCharType="begin"/>
      </w:r>
      <w:r>
        <w:instrText xml:space="preserve"> PAGEREF _Toc146815027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"_Toc146815028" </w:instrText>
      </w:r>
      <w:r>
        <w:fldChar w:fldCharType="separate"/>
      </w:r>
      <w:r>
        <w:rPr>
          <w:rStyle w:val="32"/>
        </w:rPr>
        <w:t>2  规范性引用文件</w:t>
      </w:r>
      <w:r>
        <w:tab/>
      </w:r>
      <w:r>
        <w:fldChar w:fldCharType="begin"/>
      </w:r>
      <w:r>
        <w:instrText xml:space="preserve"> PAGEREF _Toc146815028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"_Toc146815029" </w:instrText>
      </w:r>
      <w:r>
        <w:fldChar w:fldCharType="separate"/>
      </w:r>
      <w:r>
        <w:rPr>
          <w:rStyle w:val="32"/>
        </w:rPr>
        <w:t>3  术语和定义</w:t>
      </w:r>
      <w:r>
        <w:tab/>
      </w:r>
      <w:r>
        <w:fldChar w:fldCharType="begin"/>
      </w:r>
      <w:r>
        <w:instrText xml:space="preserve"> PAGEREF _Toc146815029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"_Toc146815030" </w:instrText>
      </w:r>
      <w:r>
        <w:fldChar w:fldCharType="separate"/>
      </w:r>
      <w:r>
        <w:rPr>
          <w:rStyle w:val="32"/>
        </w:rPr>
        <w:t>4  基本原则</w:t>
      </w:r>
      <w:r>
        <w:tab/>
      </w:r>
      <w:r>
        <w:fldChar w:fldCharType="begin"/>
      </w:r>
      <w:r>
        <w:instrText xml:space="preserve"> PAGEREF _Toc146815030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"_Toc146815031" </w:instrText>
      </w:r>
      <w:r>
        <w:fldChar w:fldCharType="separate"/>
      </w:r>
      <w:r>
        <w:rPr>
          <w:rStyle w:val="32"/>
        </w:rPr>
        <w:t>5  承办机构基本要求</w:t>
      </w:r>
      <w:r>
        <w:tab/>
      </w:r>
      <w:r>
        <w:fldChar w:fldCharType="begin"/>
      </w:r>
      <w:r>
        <w:instrText xml:space="preserve"> PAGEREF _Toc146815031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"_Toc146815032" </w:instrText>
      </w:r>
      <w:r>
        <w:fldChar w:fldCharType="separate"/>
      </w:r>
      <w:r>
        <w:rPr>
          <w:rStyle w:val="32"/>
        </w:rPr>
        <w:t>6  承办机构服务规范</w:t>
      </w:r>
      <w:r>
        <w:tab/>
      </w:r>
      <w:r>
        <w:fldChar w:fldCharType="begin"/>
      </w:r>
      <w:r>
        <w:instrText xml:space="preserve"> PAGEREF _Toc146815032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"_Toc146815033" </w:instrText>
      </w:r>
      <w:r>
        <w:fldChar w:fldCharType="separate"/>
      </w:r>
      <w:r>
        <w:rPr>
          <w:rStyle w:val="32"/>
          <w:rFonts w:hAnsi="黑体"/>
        </w:rPr>
        <w:t>7  安全与紧急预案</w:t>
      </w:r>
      <w:r>
        <w:tab/>
      </w:r>
      <w:r>
        <w:fldChar w:fldCharType="begin"/>
      </w:r>
      <w:r>
        <w:instrText xml:space="preserve"> PAGEREF _Toc146815033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"_Toc146815034" </w:instrText>
      </w:r>
      <w:r>
        <w:fldChar w:fldCharType="separate"/>
      </w:r>
      <w:r>
        <w:rPr>
          <w:rStyle w:val="32"/>
          <w:rFonts w:hAnsi="黑体"/>
        </w:rPr>
        <w:t>8  服务评估与改进</w:t>
      </w:r>
      <w:r>
        <w:tab/>
      </w:r>
      <w:r>
        <w:fldChar w:fldCharType="begin"/>
      </w:r>
      <w:r>
        <w:instrText xml:space="preserve"> PAGEREF _Toc146815034 \h </w:instrText>
      </w:r>
      <w:r>
        <w:fldChar w:fldCharType="separate"/>
      </w:r>
      <w:r>
        <w:t>4</w:t>
      </w:r>
      <w:r>
        <w:fldChar w:fldCharType="end"/>
      </w:r>
      <w:r>
        <w:fldChar w:fldCharType="end"/>
      </w:r>
    </w:p>
    <w:p>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89"/>
        <w:spacing w:before="900" w:after="360"/>
      </w:pPr>
      <w:bookmarkStart w:id="34" w:name="_Toc146815026"/>
      <w:bookmarkStart w:id="35" w:name="BookMark2"/>
      <w:r>
        <w:rPr>
          <w:spacing w:val="320"/>
        </w:rPr>
        <w:t>前</w:t>
      </w:r>
      <w:r>
        <w:t>言</w:t>
      </w:r>
      <w:bookmarkEnd w:id="21"/>
      <w:bookmarkEnd w:id="22"/>
      <w:bookmarkEnd w:id="23"/>
      <w:bookmarkEnd w:id="24"/>
      <w:bookmarkEnd w:id="25"/>
      <w:bookmarkEnd w:id="26"/>
      <w:bookmarkEnd w:id="27"/>
      <w:bookmarkEnd w:id="28"/>
      <w:bookmarkEnd w:id="29"/>
      <w:bookmarkEnd w:id="30"/>
      <w:bookmarkEnd w:id="31"/>
      <w:bookmarkEnd w:id="32"/>
      <w:bookmarkEnd w:id="33"/>
      <w:bookmarkEnd w:id="34"/>
    </w:p>
    <w:p>
      <w:pPr>
        <w:pStyle w:val="56"/>
        <w:ind w:firstLine="420"/>
      </w:pPr>
      <w:r>
        <w:rPr>
          <w:rFonts w:hint="eastAsia"/>
        </w:rPr>
        <w:t>本文件参照GB/T 1.1—2020《标准化工作导则  第1部分：标准化文件的结构和起草规则》的规定起草。</w:t>
      </w:r>
    </w:p>
    <w:p>
      <w:pPr>
        <w:pStyle w:val="56"/>
        <w:ind w:firstLine="420"/>
      </w:pP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本文件由桂林旅游学院、广西旅游协会提出并归口。</w:t>
      </w:r>
    </w:p>
    <w:p>
      <w:pPr>
        <w:pStyle w:val="56"/>
        <w:ind w:firstLine="420"/>
        <w:rPr>
          <w:szCs w:val="21"/>
        </w:rPr>
      </w:pPr>
      <w:r>
        <w:rPr>
          <w:rFonts w:hint="eastAsia"/>
        </w:rPr>
        <w:t>本文件起草单位：</w:t>
      </w:r>
      <w:r>
        <w:rPr>
          <w:rFonts w:hint="eastAsia" w:hAnsi="宋体"/>
        </w:rPr>
        <w:t>桂林旅游学院、广西旅游协会、桂林旅游学院研学旅行教育研究中心、桂林旅游学院继续教育学院、广西师范大学体育与健康学院。</w:t>
      </w:r>
    </w:p>
    <w:p>
      <w:pPr>
        <w:pStyle w:val="56"/>
        <w:ind w:firstLine="420"/>
      </w:pPr>
      <w:r>
        <w:rPr>
          <w:rFonts w:hint="eastAsia"/>
        </w:rPr>
        <w:t>本文件主要起草人：程冰、钟泓、陈炜、陆元兆、陈菊、张小林、冯智明、杨乃桂。</w:t>
      </w:r>
    </w:p>
    <w:p>
      <w:pPr>
        <w:pStyle w:val="56"/>
        <w:ind w:firstLine="420"/>
      </w:pPr>
    </w:p>
    <w:p>
      <w:pPr>
        <w:pStyle w:val="56"/>
        <w:ind w:firstLine="199" w:firstLineChars="95"/>
        <w:sectPr>
          <w:pgSz w:w="11906" w:h="16838"/>
          <w:pgMar w:top="1928" w:right="1134" w:bottom="1134" w:left="1134" w:header="1418" w:footer="1134" w:gutter="284"/>
          <w:pgNumType w:fmt="upperRoman"/>
          <w:cols w:space="425" w:num="1"/>
          <w:formProt w:val="0"/>
          <w:docGrid w:linePitch="312" w:charSpace="0"/>
        </w:sectPr>
      </w:pPr>
    </w:p>
    <w:bookmarkEnd w:id="35"/>
    <w:p>
      <w:pPr>
        <w:spacing w:line="20" w:lineRule="exact"/>
        <w:jc w:val="center"/>
        <w:rPr>
          <w:rFonts w:ascii="黑体" w:hAnsi="黑体" w:eastAsia="黑体"/>
          <w:sz w:val="32"/>
          <w:szCs w:val="32"/>
        </w:rPr>
      </w:pPr>
      <w:bookmarkStart w:id="36" w:name="BookMark4"/>
    </w:p>
    <w:p>
      <w:pPr>
        <w:spacing w:line="20" w:lineRule="exact"/>
        <w:jc w:val="center"/>
        <w:rPr>
          <w:rFonts w:ascii="黑体" w:hAnsi="黑体" w:eastAsia="黑体"/>
          <w:sz w:val="32"/>
          <w:szCs w:val="32"/>
        </w:rPr>
      </w:pPr>
    </w:p>
    <w:sdt>
      <w:sdtPr>
        <w:tag w:val="NEW_STAND_NAME"/>
        <w:id w:val="595910757"/>
        <w:lock w:val="sdtLocked"/>
        <w:placeholder>
          <w:docPart w:val="EBF9D0F7ACB146C6A7A2EC10E329ECFC"/>
        </w:placeholder>
      </w:sdtPr>
      <w:sdtContent>
        <w:p>
          <w:pPr>
            <w:pStyle w:val="177"/>
            <w:wordWrap w:val="0"/>
            <w:spacing w:before="2" w:beforeLines="1" w:after="528" w:afterLines="220"/>
          </w:pPr>
          <w:bookmarkStart w:id="37" w:name="NEW_STAND_NAME"/>
          <w:r>
            <w:rPr>
              <w:rFonts w:hint="eastAsia"/>
            </w:rPr>
            <w:t>研学旅行承办机构服务规范</w:t>
          </w:r>
        </w:p>
      </w:sdtContent>
    </w:sdt>
    <w:bookmarkEnd w:id="37"/>
    <w:p>
      <w:pPr>
        <w:pStyle w:val="104"/>
        <w:spacing w:before="240" w:after="240"/>
      </w:pPr>
      <w:bookmarkStart w:id="38" w:name="_Toc24884218"/>
      <w:bookmarkStart w:id="39" w:name="_Toc26718930"/>
      <w:bookmarkStart w:id="40" w:name="_Toc97192964"/>
      <w:bookmarkStart w:id="41" w:name="_Toc146635664"/>
      <w:bookmarkStart w:id="42" w:name="_Toc146815027"/>
      <w:bookmarkStart w:id="43" w:name="_Toc146635335"/>
      <w:bookmarkStart w:id="44" w:name="_Toc146635432"/>
      <w:bookmarkStart w:id="45" w:name="_Toc146631596"/>
      <w:bookmarkStart w:id="46" w:name="_Toc146635257"/>
      <w:bookmarkStart w:id="47" w:name="_Toc24884211"/>
      <w:bookmarkStart w:id="48" w:name="_Toc26986771"/>
      <w:bookmarkStart w:id="49" w:name="_Toc17233333"/>
      <w:bookmarkStart w:id="50" w:name="_Toc146635476"/>
      <w:bookmarkStart w:id="51" w:name="_Toc146635500"/>
      <w:bookmarkStart w:id="52" w:name="_Toc146635293"/>
      <w:bookmarkStart w:id="53" w:name="_Toc146635632"/>
      <w:bookmarkStart w:id="54" w:name="_Toc146635314"/>
      <w:bookmarkStart w:id="55" w:name="_Toc146635453"/>
      <w:bookmarkStart w:id="56" w:name="_Toc17233325"/>
      <w:bookmarkStart w:id="57" w:name="_Toc26648465"/>
      <w:bookmarkStart w:id="58" w:name="_Toc146635356"/>
      <w:bookmarkStart w:id="59" w:name="_Toc146635581"/>
      <w:bookmarkStart w:id="60" w:name="_Toc146635739"/>
      <w:bookmarkStart w:id="61" w:name="_Toc26986530"/>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pStyle w:val="56"/>
        <w:ind w:firstLine="420"/>
      </w:pPr>
      <w:r>
        <w:rPr>
          <w:rFonts w:hint="eastAsia"/>
        </w:rPr>
        <w:t>本文件规定了广西研学旅行承办机构服务的基本原则、基本要求、服务内容、评价与改进。</w:t>
      </w:r>
    </w:p>
    <w:p>
      <w:pPr>
        <w:pStyle w:val="56"/>
        <w:ind w:firstLine="420"/>
      </w:pPr>
      <w:r>
        <w:rPr>
          <w:rFonts w:hint="eastAsia"/>
        </w:rPr>
        <w:t>本文件适用于广西壮族自治区研学旅行机构的组织实施和评价改进。</w:t>
      </w:r>
      <w:bookmarkStart w:id="62" w:name="_Toc17233334"/>
      <w:bookmarkStart w:id="63" w:name="_Toc24884219"/>
      <w:bookmarkStart w:id="64" w:name="_Toc24884212"/>
      <w:bookmarkStart w:id="65" w:name="_Toc26648466"/>
      <w:bookmarkStart w:id="66" w:name="_Toc17233326"/>
    </w:p>
    <w:p>
      <w:pPr>
        <w:pStyle w:val="104"/>
        <w:spacing w:before="240" w:after="240"/>
      </w:pPr>
      <w:bookmarkStart w:id="67" w:name="_Toc146635501"/>
      <w:bookmarkStart w:id="68" w:name="_Toc146635357"/>
      <w:bookmarkStart w:id="69" w:name="_Toc146635336"/>
      <w:bookmarkStart w:id="70" w:name="_Toc146635633"/>
      <w:bookmarkStart w:id="71" w:name="_Toc97192965"/>
      <w:bookmarkStart w:id="72" w:name="_Toc146635477"/>
      <w:bookmarkStart w:id="73" w:name="_Toc146635433"/>
      <w:bookmarkStart w:id="74" w:name="_Toc146635294"/>
      <w:bookmarkStart w:id="75" w:name="_Toc146631597"/>
      <w:bookmarkStart w:id="76" w:name="_Toc146635582"/>
      <w:bookmarkStart w:id="77" w:name="_Toc146635258"/>
      <w:bookmarkStart w:id="78" w:name="_Toc146635454"/>
      <w:bookmarkStart w:id="79" w:name="_Toc26986772"/>
      <w:bookmarkStart w:id="80" w:name="_Toc146635665"/>
      <w:bookmarkStart w:id="81" w:name="_Toc146635315"/>
      <w:bookmarkStart w:id="82" w:name="_Toc146635740"/>
      <w:bookmarkStart w:id="83" w:name="_Toc146815028"/>
      <w:bookmarkStart w:id="84" w:name="_Toc26986531"/>
      <w:bookmarkStart w:id="85" w:name="_Toc26718931"/>
      <w:r>
        <w:rPr>
          <w:rFonts w:hint="eastAsia"/>
        </w:rPr>
        <w:t>规范性引用文件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sdt>
      <w:sdtPr>
        <w:rPr>
          <w:rFonts w:hint="eastAsia"/>
        </w:rPr>
        <w:id w:val="715848253"/>
        <w:placeholder>
          <w:docPart w:val="A96A246ED04A4C928FE3F570B5FD5E3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GB/T 10001</w:t>
      </w:r>
      <w:r>
        <w:t xml:space="preserve"> </w:t>
      </w:r>
      <w:r>
        <w:rPr>
          <w:rFonts w:hint="eastAsia"/>
          <w:lang w:val="en-US" w:eastAsia="zh-CN"/>
        </w:rPr>
        <w:t xml:space="preserve"> </w:t>
      </w:r>
      <w:r>
        <w:rPr>
          <w:rFonts w:hint="eastAsia"/>
        </w:rPr>
        <w:t>公共信息图形符号</w:t>
      </w:r>
    </w:p>
    <w:p>
      <w:pPr>
        <w:pStyle w:val="56"/>
        <w:ind w:firstLine="420"/>
        <w:rPr>
          <w:rFonts w:hint="eastAsia"/>
        </w:rPr>
      </w:pPr>
      <w:r>
        <w:rPr>
          <w:rFonts w:hint="eastAsia"/>
        </w:rPr>
        <w:t>GB/T 15971  导游服务规范</w:t>
      </w:r>
    </w:p>
    <w:p>
      <w:pPr>
        <w:pStyle w:val="56"/>
        <w:ind w:firstLine="420"/>
        <w:rPr>
          <w:rFonts w:hint="eastAsia"/>
        </w:rPr>
      </w:pPr>
      <w:r>
        <w:rPr>
          <w:rFonts w:hint="eastAsia"/>
        </w:rPr>
        <w:t>GB/T 16890</w:t>
      </w:r>
      <w:r>
        <w:t xml:space="preserve"> </w:t>
      </w:r>
      <w:r>
        <w:rPr>
          <w:rFonts w:hint="eastAsia"/>
          <w:lang w:val="en-US" w:eastAsia="zh-CN"/>
        </w:rPr>
        <w:t xml:space="preserve"> </w:t>
      </w:r>
      <w:r>
        <w:rPr>
          <w:rFonts w:hint="eastAsia"/>
        </w:rPr>
        <w:t>水路客运服务质量要求</w:t>
      </w:r>
      <w:r>
        <w:rPr>
          <w:rFonts w:hint="eastAsia"/>
        </w:rPr>
        <w:tab/>
      </w:r>
    </w:p>
    <w:p>
      <w:pPr>
        <w:pStyle w:val="56"/>
        <w:ind w:firstLine="420"/>
        <w:rPr>
          <w:rFonts w:hint="eastAsia"/>
        </w:rPr>
      </w:pPr>
      <w:r>
        <w:rPr>
          <w:rFonts w:hint="eastAsia"/>
        </w:rPr>
        <w:t xml:space="preserve">GB/T 26359 </w:t>
      </w:r>
      <w:r>
        <w:rPr>
          <w:rFonts w:hint="eastAsia"/>
          <w:lang w:val="en-US" w:eastAsia="zh-CN"/>
        </w:rPr>
        <w:t xml:space="preserve"> </w:t>
      </w:r>
      <w:r>
        <w:rPr>
          <w:rFonts w:hint="eastAsia"/>
        </w:rPr>
        <w:t>旅游客车设施与服务规范</w:t>
      </w:r>
    </w:p>
    <w:p>
      <w:pPr>
        <w:pStyle w:val="56"/>
        <w:ind w:firstLine="420"/>
        <w:rPr>
          <w:rFonts w:hint="eastAsia"/>
        </w:rPr>
      </w:pPr>
      <w:r>
        <w:rPr>
          <w:rFonts w:hint="eastAsia"/>
        </w:rPr>
        <w:t xml:space="preserve">GB/T 31710 </w:t>
      </w:r>
      <w:r>
        <w:rPr>
          <w:rFonts w:hint="eastAsia"/>
          <w:lang w:val="en-US" w:eastAsia="zh-CN"/>
        </w:rPr>
        <w:t xml:space="preserve"> </w:t>
      </w:r>
      <w:r>
        <w:rPr>
          <w:rFonts w:hint="eastAsia"/>
        </w:rPr>
        <w:t>休闲露营地建设与服务规范</w:t>
      </w:r>
    </w:p>
    <w:p>
      <w:pPr>
        <w:pStyle w:val="56"/>
        <w:ind w:firstLine="420"/>
        <w:rPr>
          <w:rFonts w:hint="eastAsia"/>
        </w:rPr>
      </w:pPr>
      <w:r>
        <w:rPr>
          <w:rFonts w:hint="eastAsia"/>
        </w:rPr>
        <w:t>GB/T 31380</w:t>
      </w:r>
      <w:r>
        <w:rPr>
          <w:rFonts w:hint="eastAsia"/>
          <w:lang w:val="en-US" w:eastAsia="zh-CN"/>
        </w:rPr>
        <w:t xml:space="preserve">  </w:t>
      </w:r>
      <w:r>
        <w:rPr>
          <w:rFonts w:hint="eastAsia"/>
        </w:rPr>
        <w:t>旅行社等级的划分与评定</w:t>
      </w:r>
      <w:bookmarkStart w:id="263" w:name="_GoBack"/>
      <w:bookmarkEnd w:id="263"/>
      <w:r>
        <w:rPr>
          <w:rFonts w:hint="eastAsia"/>
        </w:rPr>
        <w:tab/>
      </w:r>
    </w:p>
    <w:p>
      <w:pPr>
        <w:pStyle w:val="56"/>
        <w:ind w:firstLine="420"/>
        <w:rPr>
          <w:rFonts w:hint="eastAsia"/>
        </w:rPr>
      </w:pPr>
      <w:r>
        <w:rPr>
          <w:rFonts w:hint="eastAsia"/>
        </w:rPr>
        <w:t>LB/T 004</w:t>
      </w:r>
      <w:r>
        <w:rPr>
          <w:rFonts w:hint="eastAsia"/>
          <w:lang w:val="en-US" w:eastAsia="zh-CN"/>
        </w:rPr>
        <w:t xml:space="preserve">  </w:t>
      </w:r>
      <w:r>
        <w:rPr>
          <w:rFonts w:hint="eastAsia"/>
        </w:rPr>
        <w:t>旅行社国内旅游服务规范</w:t>
      </w:r>
    </w:p>
    <w:p>
      <w:pPr>
        <w:pStyle w:val="56"/>
        <w:ind w:firstLine="420"/>
      </w:pPr>
      <w:r>
        <w:rPr>
          <w:rFonts w:hint="eastAsia"/>
        </w:rPr>
        <w:t xml:space="preserve">LB/T 008 </w:t>
      </w:r>
      <w:r>
        <w:rPr>
          <w:rFonts w:hint="eastAsia"/>
          <w:lang w:val="en-US" w:eastAsia="zh-CN"/>
        </w:rPr>
        <w:t xml:space="preserve"> </w:t>
      </w:r>
      <w:r>
        <w:rPr>
          <w:rFonts w:hint="eastAsia"/>
        </w:rPr>
        <w:t>旅行社服务通则</w:t>
      </w:r>
    </w:p>
    <w:p>
      <w:pPr>
        <w:pStyle w:val="56"/>
        <w:ind w:firstLine="420"/>
      </w:pPr>
      <w:r>
        <w:rPr>
          <w:rFonts w:hint="eastAsia"/>
        </w:rPr>
        <w:t xml:space="preserve">LB/T 054-2016 </w:t>
      </w:r>
      <w:r>
        <w:rPr>
          <w:rFonts w:hint="eastAsia"/>
          <w:lang w:val="en-US" w:eastAsia="zh-CN"/>
        </w:rPr>
        <w:t xml:space="preserve"> </w:t>
      </w:r>
      <w:r>
        <w:rPr>
          <w:rFonts w:hint="eastAsia"/>
        </w:rPr>
        <w:t>研学旅行服务规范</w:t>
      </w:r>
    </w:p>
    <w:p>
      <w:pPr>
        <w:pStyle w:val="104"/>
        <w:spacing w:before="240" w:after="240"/>
        <w:rPr>
          <w:szCs w:val="21"/>
        </w:rPr>
      </w:pPr>
      <w:bookmarkStart w:id="86" w:name="_Toc146635259"/>
      <w:bookmarkStart w:id="87" w:name="_Toc146635478"/>
      <w:bookmarkStart w:id="88" w:name="_Toc146635358"/>
      <w:bookmarkStart w:id="89" w:name="_Toc146635295"/>
      <w:bookmarkStart w:id="90" w:name="_Toc146635583"/>
      <w:bookmarkStart w:id="91" w:name="_Toc146635434"/>
      <w:bookmarkStart w:id="92" w:name="_Toc146635455"/>
      <w:bookmarkStart w:id="93" w:name="_Toc146635634"/>
      <w:bookmarkStart w:id="94" w:name="_Toc146635316"/>
      <w:bookmarkStart w:id="95" w:name="_Toc146631598"/>
      <w:bookmarkStart w:id="96" w:name="_Toc146635666"/>
      <w:bookmarkStart w:id="97" w:name="_Toc97192966"/>
      <w:bookmarkStart w:id="98" w:name="_Toc146635502"/>
      <w:bookmarkStart w:id="99" w:name="_Toc146635741"/>
      <w:bookmarkStart w:id="100" w:name="_Toc146635337"/>
      <w:bookmarkStart w:id="101" w:name="_Toc146815029"/>
      <w:r>
        <w:rPr>
          <w:rFonts w:hint="eastAsia"/>
          <w:szCs w:val="21"/>
        </w:rPr>
        <w:t>术语和定义</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sdt>
      <w:sdtPr>
        <w:id w:val="-1909835108"/>
        <w:placeholder>
          <w:docPart w:val="7268D22988B14FC1B071B8CD6D53F1E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102" w:name="_Toc26986532"/>
          <w:bookmarkEnd w:id="102"/>
          <w:r>
            <w:t>下列术语和定义适用于本文件。</w:t>
          </w:r>
        </w:p>
      </w:sdtContent>
    </w:sdt>
    <w:p>
      <w:pPr>
        <w:pStyle w:val="223"/>
        <w:rPr>
          <w:rFonts w:ascii="黑体" w:hAnsi="黑体" w:eastAsia="黑体"/>
        </w:rPr>
      </w:pPr>
      <w:r>
        <w:rPr>
          <w:rFonts w:hint="eastAsia" w:ascii="黑体" w:hAnsi="黑体" w:eastAsia="黑体"/>
        </w:rPr>
        <w:t xml:space="preserve">研学旅行 </w:t>
      </w:r>
      <w:r>
        <w:rPr>
          <w:rFonts w:ascii="黑体" w:hAnsi="黑体" w:eastAsia="黑体"/>
        </w:rPr>
        <w:t>Study Travel</w:t>
      </w:r>
    </w:p>
    <w:p>
      <w:pPr>
        <w:pStyle w:val="56"/>
        <w:ind w:firstLine="420"/>
      </w:pPr>
      <w:r>
        <w:rPr>
          <w:rFonts w:hint="eastAsia"/>
        </w:rPr>
        <w:t>研学旅行是以中小学生为主体对象，以集体旅行生活为载体，以提升学生素质为教学目的，依托旅游吸引物等社会资源，进行体验式教育和研究性学习的一种教育旅游活动。</w:t>
      </w:r>
    </w:p>
    <w:p>
      <w:pPr>
        <w:pStyle w:val="223"/>
        <w:rPr>
          <w:rFonts w:ascii="黑体" w:hAnsi="黑体" w:eastAsia="黑体"/>
        </w:rPr>
      </w:pPr>
      <w:r>
        <w:rPr>
          <w:rFonts w:hint="eastAsia" w:ascii="黑体" w:hAnsi="黑体" w:eastAsia="黑体"/>
        </w:rPr>
        <w:t xml:space="preserve">主办方 </w:t>
      </w:r>
      <w:r>
        <w:rPr>
          <w:rFonts w:ascii="黑体" w:hAnsi="黑体" w:eastAsia="黑体"/>
        </w:rPr>
        <w:t>Sponsor</w:t>
      </w:r>
    </w:p>
    <w:p>
      <w:pPr>
        <w:pStyle w:val="56"/>
        <w:ind w:firstLine="420"/>
      </w:pPr>
      <w:r>
        <w:rPr>
          <w:rFonts w:hint="eastAsia"/>
        </w:rPr>
        <w:t>有明确研学旅行主题和教育目的的研学旅行活动组织方。</w:t>
      </w:r>
    </w:p>
    <w:p>
      <w:pPr>
        <w:pStyle w:val="223"/>
        <w:rPr>
          <w:rFonts w:ascii="黑体" w:hAnsi="黑体" w:eastAsia="黑体"/>
        </w:rPr>
      </w:pPr>
      <w:r>
        <w:rPr>
          <w:rFonts w:hint="eastAsia" w:ascii="黑体" w:hAnsi="黑体" w:eastAsia="黑体"/>
        </w:rPr>
        <w:t xml:space="preserve">承办机构 </w:t>
      </w:r>
      <w:r>
        <w:rPr>
          <w:rFonts w:ascii="黑体" w:hAnsi="黑体" w:eastAsia="黑体"/>
        </w:rPr>
        <w:t>Undertaker</w:t>
      </w:r>
    </w:p>
    <w:p>
      <w:pPr>
        <w:pStyle w:val="56"/>
        <w:ind w:firstLine="420"/>
      </w:pPr>
      <w:r>
        <w:rPr>
          <w:rFonts w:hint="eastAsia"/>
        </w:rPr>
        <w:t>与研学旅行活动主办方签订合同，提供教育旅游服务的旅行社。</w:t>
      </w:r>
    </w:p>
    <w:p>
      <w:pPr>
        <w:pStyle w:val="223"/>
        <w:rPr>
          <w:rFonts w:ascii="黑体" w:hAnsi="黑体" w:eastAsia="黑体"/>
        </w:rPr>
      </w:pPr>
      <w:r>
        <w:rPr>
          <w:rFonts w:hint="eastAsia" w:ascii="黑体" w:hAnsi="黑体" w:eastAsia="黑体"/>
        </w:rPr>
        <w:t xml:space="preserve">供应方 </w:t>
      </w:r>
      <w:r>
        <w:rPr>
          <w:rFonts w:ascii="黑体" w:hAnsi="黑体" w:eastAsia="黑体"/>
        </w:rPr>
        <w:t>Supplier</w:t>
      </w:r>
    </w:p>
    <w:p>
      <w:pPr>
        <w:pStyle w:val="56"/>
        <w:ind w:firstLine="420"/>
      </w:pPr>
      <w:r>
        <w:rPr>
          <w:rFonts w:hint="eastAsia"/>
        </w:rPr>
        <w:t>与研学旅行活动承办方签订合同，提供研学旅行课程、交通、住宿、餐饮等服务的研学旅行基地（营地）或机构。</w:t>
      </w:r>
    </w:p>
    <w:p>
      <w:pPr>
        <w:pStyle w:val="104"/>
        <w:spacing w:before="240" w:after="240"/>
      </w:pPr>
      <w:bookmarkStart w:id="103" w:name="_Toc146635635"/>
      <w:bookmarkStart w:id="104" w:name="_Toc146635456"/>
      <w:bookmarkStart w:id="105" w:name="_Toc146635479"/>
      <w:bookmarkStart w:id="106" w:name="_Toc146635667"/>
      <w:bookmarkStart w:id="107" w:name="_Toc146635742"/>
      <w:bookmarkStart w:id="108" w:name="_Toc146635317"/>
      <w:bookmarkStart w:id="109" w:name="_Toc146635338"/>
      <w:bookmarkStart w:id="110" w:name="_Toc146635435"/>
      <w:bookmarkStart w:id="111" w:name="_Toc146635260"/>
      <w:bookmarkStart w:id="112" w:name="_Toc146635359"/>
      <w:bookmarkStart w:id="113" w:name="_Toc146635296"/>
      <w:bookmarkStart w:id="114" w:name="_Toc146815030"/>
      <w:bookmarkStart w:id="115" w:name="_Toc146635503"/>
      <w:bookmarkStart w:id="116" w:name="_Toc146635584"/>
      <w:r>
        <w:rPr>
          <w:rFonts w:hint="eastAsia"/>
        </w:rPr>
        <w:t>基本原则</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pStyle w:val="105"/>
        <w:spacing w:before="120" w:after="120"/>
      </w:pPr>
      <w:bookmarkStart w:id="117" w:name="_Toc146635261"/>
      <w:bookmarkStart w:id="118" w:name="_Toc146635636"/>
      <w:bookmarkStart w:id="119" w:name="_Toc146635360"/>
      <w:r>
        <w:rPr>
          <w:rFonts w:hint="eastAsia"/>
        </w:rPr>
        <w:t>安全性原则</w:t>
      </w:r>
      <w:bookmarkEnd w:id="117"/>
      <w:bookmarkEnd w:id="118"/>
      <w:bookmarkEnd w:id="119"/>
    </w:p>
    <w:p>
      <w:pPr>
        <w:pStyle w:val="56"/>
        <w:ind w:firstLine="420"/>
      </w:pPr>
      <w:r>
        <w:rPr>
          <w:rFonts w:hint="eastAsia"/>
        </w:rPr>
        <w:t>研学旅行活动的承办方应遵循安全第一的原则，全程进行安全防控工作，确保活动安全进行。</w:t>
      </w:r>
    </w:p>
    <w:p>
      <w:pPr>
        <w:pStyle w:val="105"/>
        <w:spacing w:before="120" w:after="120"/>
      </w:pPr>
      <w:bookmarkStart w:id="120" w:name="_Toc146635262"/>
      <w:bookmarkStart w:id="121" w:name="_Toc146635637"/>
      <w:bookmarkStart w:id="122" w:name="_Toc146635361"/>
      <w:r>
        <w:rPr>
          <w:rFonts w:hint="eastAsia"/>
        </w:rPr>
        <w:t>教育性原则</w:t>
      </w:r>
      <w:bookmarkEnd w:id="120"/>
      <w:bookmarkEnd w:id="121"/>
      <w:bookmarkEnd w:id="122"/>
    </w:p>
    <w:p>
      <w:pPr>
        <w:pStyle w:val="56"/>
        <w:ind w:firstLine="420"/>
      </w:pPr>
      <w:r>
        <w:rPr>
          <w:rFonts w:hint="eastAsia"/>
        </w:rPr>
        <w:t>研学旅行活动应寓教于游，着力培养学生的综合素质能力。</w:t>
      </w:r>
    </w:p>
    <w:p>
      <w:pPr>
        <w:pStyle w:val="105"/>
        <w:spacing w:before="120" w:after="120"/>
      </w:pPr>
      <w:bookmarkStart w:id="123" w:name="_Toc146635362"/>
      <w:bookmarkStart w:id="124" w:name="_Toc146635263"/>
      <w:bookmarkStart w:id="125" w:name="_Toc146635638"/>
      <w:r>
        <w:rPr>
          <w:rFonts w:hint="eastAsia"/>
        </w:rPr>
        <w:t>特色性原则</w:t>
      </w:r>
      <w:bookmarkEnd w:id="123"/>
      <w:bookmarkEnd w:id="124"/>
      <w:bookmarkEnd w:id="125"/>
    </w:p>
    <w:p>
      <w:pPr>
        <w:pStyle w:val="56"/>
        <w:ind w:firstLine="420"/>
      </w:pPr>
      <w:r>
        <w:rPr>
          <w:rFonts w:hint="eastAsia"/>
        </w:rPr>
        <w:t>广西研学旅行活动应结合广西特色资源面向以中小学生为主体对象的各类人群，开发特色研学课程，讲述广西故事。</w:t>
      </w:r>
    </w:p>
    <w:p>
      <w:pPr>
        <w:pStyle w:val="104"/>
        <w:spacing w:before="240" w:after="240"/>
      </w:pPr>
      <w:bookmarkStart w:id="126" w:name="_Toc146635504"/>
      <w:bookmarkStart w:id="127" w:name="_Toc146635585"/>
      <w:bookmarkStart w:id="128" w:name="_Toc146635457"/>
      <w:bookmarkStart w:id="129" w:name="_Toc146635668"/>
      <w:bookmarkStart w:id="130" w:name="_Toc146635436"/>
      <w:bookmarkStart w:id="131" w:name="_Toc146635318"/>
      <w:bookmarkStart w:id="132" w:name="_Toc146635339"/>
      <w:bookmarkStart w:id="133" w:name="_Toc146635264"/>
      <w:bookmarkStart w:id="134" w:name="_Toc146635743"/>
      <w:bookmarkStart w:id="135" w:name="_Toc146815031"/>
      <w:bookmarkStart w:id="136" w:name="_Toc146635639"/>
      <w:bookmarkStart w:id="137" w:name="_Toc146635363"/>
      <w:bookmarkStart w:id="138" w:name="_Toc146635297"/>
      <w:bookmarkStart w:id="139" w:name="_Toc146635480"/>
      <w:r>
        <w:rPr>
          <w:rFonts w:hint="eastAsia"/>
        </w:rPr>
        <w:t>承办机构基本要求</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pPr>
        <w:pStyle w:val="105"/>
        <w:spacing w:before="120" w:after="120"/>
      </w:pPr>
      <w:bookmarkStart w:id="140" w:name="_Toc146635265"/>
      <w:bookmarkStart w:id="141" w:name="_Toc146635364"/>
      <w:bookmarkStart w:id="142" w:name="_Toc146635640"/>
      <w:r>
        <w:rPr>
          <w:rFonts w:hint="eastAsia"/>
        </w:rPr>
        <w:t>资质要求</w:t>
      </w:r>
      <w:bookmarkEnd w:id="140"/>
      <w:bookmarkEnd w:id="141"/>
      <w:bookmarkEnd w:id="142"/>
    </w:p>
    <w:p>
      <w:pPr>
        <w:pStyle w:val="65"/>
        <w:spacing w:before="0" w:beforeLines="0" w:after="0" w:afterLines="0"/>
        <w:rPr>
          <w:rFonts w:ascii="宋体" w:hAnsi="宋体" w:eastAsia="宋体"/>
        </w:rPr>
      </w:pPr>
      <w:bookmarkStart w:id="143" w:name="_Toc146635365"/>
      <w:r>
        <w:rPr>
          <w:rFonts w:hint="eastAsia" w:ascii="宋体" w:hAnsi="宋体" w:eastAsia="宋体"/>
        </w:rPr>
        <w:t>应为依法注册的旅行社。</w:t>
      </w:r>
      <w:bookmarkEnd w:id="143"/>
    </w:p>
    <w:p>
      <w:pPr>
        <w:pStyle w:val="65"/>
        <w:spacing w:before="0" w:beforeLines="0" w:after="0" w:afterLines="0"/>
        <w:rPr>
          <w:rFonts w:ascii="宋体" w:hAnsi="宋体" w:eastAsia="宋体"/>
        </w:rPr>
      </w:pPr>
      <w:bookmarkStart w:id="144" w:name="_Toc146635366"/>
      <w:r>
        <w:rPr>
          <w:rFonts w:hint="eastAsia" w:ascii="宋体" w:hAnsi="宋体" w:eastAsia="宋体"/>
        </w:rPr>
        <w:t>有固定的经营和办公场所，经营场所不宜少于200平方米。</w:t>
      </w:r>
      <w:bookmarkEnd w:id="144"/>
    </w:p>
    <w:p>
      <w:pPr>
        <w:pStyle w:val="65"/>
        <w:spacing w:before="0" w:beforeLines="0" w:after="0" w:afterLines="0"/>
        <w:rPr>
          <w:rFonts w:ascii="宋体" w:hAnsi="宋体" w:eastAsia="宋体"/>
        </w:rPr>
      </w:pPr>
      <w:bookmarkStart w:id="145" w:name="_Toc146635367"/>
      <w:r>
        <w:rPr>
          <w:rFonts w:hint="eastAsia" w:ascii="宋体" w:hAnsi="宋体" w:eastAsia="宋体"/>
        </w:rPr>
        <w:t>符合 LB/T 004 和 LB/T 008 的要求，宜具有 AA 及以上等级，并符合 GB/T 31380 的要求。</w:t>
      </w:r>
      <w:bookmarkEnd w:id="145"/>
    </w:p>
    <w:p>
      <w:pPr>
        <w:pStyle w:val="65"/>
        <w:spacing w:before="0" w:beforeLines="0" w:after="0" w:afterLines="0"/>
        <w:rPr>
          <w:rFonts w:ascii="宋体" w:hAnsi="宋体" w:eastAsia="宋体"/>
        </w:rPr>
      </w:pPr>
      <w:bookmarkStart w:id="146" w:name="_Toc146635368"/>
      <w:r>
        <w:rPr>
          <w:rFonts w:hint="eastAsia" w:ascii="宋体" w:hAnsi="宋体" w:eastAsia="宋体"/>
        </w:rPr>
        <w:t>连续三年内无重大质量投诉、不良诚信记录、经济纠纷及重大安全责任事故。</w:t>
      </w:r>
      <w:bookmarkEnd w:id="146"/>
    </w:p>
    <w:p>
      <w:pPr>
        <w:pStyle w:val="65"/>
        <w:spacing w:before="0" w:beforeLines="0" w:after="0" w:afterLines="0"/>
        <w:rPr>
          <w:rFonts w:ascii="宋体" w:hAnsi="宋体" w:eastAsia="宋体"/>
        </w:rPr>
      </w:pPr>
      <w:bookmarkStart w:id="147" w:name="_Toc146635369"/>
      <w:r>
        <w:rPr>
          <w:rFonts w:hint="eastAsia" w:ascii="宋体" w:hAnsi="宋体" w:eastAsia="宋体"/>
        </w:rPr>
        <w:t>应与供应方签订旅游服务合同，按照合同约定履行义务。</w:t>
      </w:r>
      <w:bookmarkEnd w:id="147"/>
    </w:p>
    <w:p>
      <w:pPr>
        <w:pStyle w:val="105"/>
        <w:spacing w:before="120" w:after="120"/>
      </w:pPr>
      <w:bookmarkStart w:id="148" w:name="_Toc146635370"/>
      <w:bookmarkStart w:id="149" w:name="_Toc146635641"/>
      <w:bookmarkStart w:id="150" w:name="_Toc146635266"/>
      <w:r>
        <w:rPr>
          <w:rFonts w:hint="eastAsia"/>
        </w:rPr>
        <w:t>人员配置要求</w:t>
      </w:r>
      <w:bookmarkEnd w:id="148"/>
      <w:bookmarkEnd w:id="149"/>
      <w:bookmarkEnd w:id="150"/>
    </w:p>
    <w:p>
      <w:pPr>
        <w:pStyle w:val="65"/>
        <w:spacing w:before="0" w:beforeLines="0" w:after="0" w:afterLines="0"/>
        <w:rPr>
          <w:rFonts w:ascii="宋体" w:hAnsi="宋体" w:eastAsia="宋体"/>
        </w:rPr>
      </w:pPr>
      <w:bookmarkStart w:id="151" w:name="_Toc146635371"/>
      <w:r>
        <w:rPr>
          <w:rFonts w:hint="eastAsia" w:ascii="宋体" w:hAnsi="宋体" w:eastAsia="宋体"/>
        </w:rPr>
        <w:t>应设立研学旅行的部门，配置有包括项目管理组长、安全员、研学旅行指导师、导游员等人员在内的相关管理团队，每个研学旅行团队要配置完整的项目管理团队。宜有承接300 人以上中小学生旅游团队的经验。</w:t>
      </w:r>
      <w:bookmarkEnd w:id="151"/>
    </w:p>
    <w:p>
      <w:pPr>
        <w:pStyle w:val="65"/>
        <w:spacing w:before="0" w:beforeLines="0" w:after="0" w:afterLines="0"/>
        <w:rPr>
          <w:rFonts w:ascii="宋体" w:hAnsi="宋体" w:eastAsia="宋体"/>
        </w:rPr>
      </w:pPr>
      <w:bookmarkStart w:id="152" w:name="_Toc146635372"/>
      <w:r>
        <w:rPr>
          <w:rFonts w:hint="eastAsia" w:ascii="宋体" w:hAnsi="宋体" w:eastAsia="宋体"/>
        </w:rPr>
        <w:t>研学旅行指导师证、教师资格证、导游证、安全员证等持证人员占总职工人员比例不宜低于30%。</w:t>
      </w:r>
      <w:bookmarkEnd w:id="152"/>
    </w:p>
    <w:p>
      <w:pPr>
        <w:pStyle w:val="65"/>
        <w:spacing w:before="0" w:beforeLines="0" w:after="0" w:afterLines="0"/>
        <w:rPr>
          <w:rFonts w:ascii="宋体" w:hAnsi="宋体" w:eastAsia="宋体"/>
        </w:rPr>
      </w:pPr>
      <w:bookmarkStart w:id="153" w:name="_Toc146635373"/>
      <w:r>
        <w:rPr>
          <w:rFonts w:hint="eastAsia" w:ascii="宋体" w:hAnsi="宋体" w:eastAsia="宋体"/>
        </w:rPr>
        <w:t>项目组长应全程随团活动，负责统筹协调研学旅行各项工作。</w:t>
      </w:r>
      <w:bookmarkEnd w:id="153"/>
    </w:p>
    <w:p>
      <w:pPr>
        <w:pStyle w:val="65"/>
        <w:spacing w:before="0" w:beforeLines="0" w:after="0" w:afterLines="0"/>
        <w:rPr>
          <w:rFonts w:ascii="宋体" w:hAnsi="宋体" w:eastAsia="宋体"/>
        </w:rPr>
      </w:pPr>
      <w:bookmarkStart w:id="154" w:name="_Toc146635374"/>
      <w:r>
        <w:rPr>
          <w:rFonts w:hint="eastAsia" w:ascii="宋体" w:hAnsi="宋体" w:eastAsia="宋体"/>
        </w:rPr>
        <w:t>安全员负责在研学旅行过程中随团开展安全教育和防控工作。</w:t>
      </w:r>
      <w:bookmarkEnd w:id="154"/>
    </w:p>
    <w:p>
      <w:pPr>
        <w:pStyle w:val="65"/>
        <w:spacing w:before="0" w:beforeLines="0" w:after="0" w:afterLines="0"/>
        <w:rPr>
          <w:rFonts w:ascii="宋体" w:hAnsi="宋体" w:eastAsia="宋体"/>
        </w:rPr>
      </w:pPr>
      <w:bookmarkStart w:id="155" w:name="_Toc146635375"/>
      <w:r>
        <w:rPr>
          <w:rFonts w:hint="eastAsia" w:ascii="宋体" w:hAnsi="宋体" w:eastAsia="宋体"/>
        </w:rPr>
        <w:t>研学旅行指导师负责制定研学旅行教育工作计划，在带队老师、导游员等工作人员的配合下提供研学旅行教育服务。</w:t>
      </w:r>
      <w:bookmarkEnd w:id="155"/>
    </w:p>
    <w:p>
      <w:pPr>
        <w:pStyle w:val="65"/>
        <w:spacing w:before="0" w:beforeLines="0" w:after="0" w:afterLines="0"/>
        <w:rPr>
          <w:rFonts w:ascii="宋体" w:hAnsi="宋体" w:eastAsia="宋体"/>
        </w:rPr>
      </w:pPr>
      <w:bookmarkStart w:id="156" w:name="_Toc146635376"/>
      <w:r>
        <w:rPr>
          <w:rFonts w:hint="eastAsia" w:ascii="宋体" w:hAnsi="宋体" w:eastAsia="宋体"/>
        </w:rPr>
        <w:t>导游员负责提供导游服务，并配合相关工作人员提供研学旅行教育服务和生活保障服务。</w:t>
      </w:r>
      <w:bookmarkEnd w:id="156"/>
    </w:p>
    <w:p>
      <w:pPr>
        <w:pStyle w:val="105"/>
        <w:spacing w:before="120" w:after="120"/>
      </w:pPr>
      <w:r>
        <w:rPr>
          <w:rFonts w:hint="eastAsia"/>
        </w:rPr>
        <w:t>管理要求</w:t>
      </w:r>
    </w:p>
    <w:p>
      <w:pPr>
        <w:pStyle w:val="65"/>
        <w:spacing w:before="0" w:beforeLines="0" w:after="0" w:afterLines="0"/>
        <w:rPr>
          <w:rFonts w:ascii="宋体" w:hAnsi="宋体" w:eastAsia="宋体"/>
        </w:rPr>
      </w:pPr>
      <w:r>
        <w:rPr>
          <w:rFonts w:hint="eastAsia" w:ascii="宋体" w:hAnsi="宋体" w:eastAsia="宋体"/>
        </w:rPr>
        <w:t>应建立研学旅行管理制度体系，包括人员考核制度、监督措施、奖惩机制等。</w:t>
      </w:r>
    </w:p>
    <w:p>
      <w:pPr>
        <w:pStyle w:val="65"/>
        <w:spacing w:before="0" w:beforeLines="0" w:after="0" w:afterLines="0"/>
        <w:rPr>
          <w:rFonts w:ascii="宋体" w:hAnsi="宋体" w:eastAsia="宋体"/>
        </w:rPr>
      </w:pPr>
      <w:r>
        <w:rPr>
          <w:rFonts w:hint="eastAsia" w:ascii="宋体" w:hAnsi="宋体" w:eastAsia="宋体"/>
        </w:rPr>
        <w:t>应建立研学旅行课程管理制度，包括课程标准、价格体系等，对研学旅行课程实行规范管理、</w:t>
      </w:r>
    </w:p>
    <w:p>
      <w:pPr>
        <w:pStyle w:val="65"/>
        <w:spacing w:before="0" w:beforeLines="0" w:after="0" w:afterLines="0"/>
        <w:rPr>
          <w:rFonts w:ascii="宋体" w:hAnsi="宋体" w:eastAsia="宋体"/>
        </w:rPr>
      </w:pPr>
      <w:r>
        <w:rPr>
          <w:rFonts w:hint="eastAsia" w:ascii="宋体" w:hAnsi="宋体" w:eastAsia="宋体"/>
        </w:rPr>
        <w:t>全面监督和持续改进。</w:t>
      </w:r>
    </w:p>
    <w:p>
      <w:pPr>
        <w:pStyle w:val="105"/>
        <w:spacing w:before="120" w:after="120"/>
      </w:pPr>
      <w:r>
        <w:rPr>
          <w:rFonts w:hint="eastAsia"/>
        </w:rPr>
        <w:t>资源配置和文化传播</w:t>
      </w:r>
    </w:p>
    <w:p>
      <w:pPr>
        <w:pStyle w:val="65"/>
        <w:spacing w:before="0" w:beforeLines="0" w:after="0" w:afterLines="0"/>
        <w:rPr>
          <w:rFonts w:ascii="宋体" w:hAnsi="宋体" w:eastAsia="宋体"/>
        </w:rPr>
      </w:pPr>
      <w:r>
        <w:rPr>
          <w:rFonts w:hint="eastAsia" w:ascii="宋体" w:hAnsi="宋体" w:eastAsia="宋体"/>
        </w:rPr>
        <w:t>承办机构应有自主开发或联合基地、学校研发研学旅行课程的能力。</w:t>
      </w:r>
    </w:p>
    <w:p>
      <w:pPr>
        <w:pStyle w:val="65"/>
        <w:spacing w:before="0" w:beforeLines="0" w:after="0" w:afterLines="0"/>
        <w:rPr>
          <w:rFonts w:ascii="宋体" w:hAnsi="宋体" w:eastAsia="宋体"/>
        </w:rPr>
      </w:pPr>
      <w:r>
        <w:rPr>
          <w:rFonts w:hint="eastAsia" w:ascii="宋体" w:hAnsi="宋体" w:eastAsia="宋体"/>
        </w:rPr>
        <w:t>宜结合广西红色文化、民族文化、边海文化、非物质文化遗产等特色资源研发研学旅行课程，讲述广西故事，传播广西声音。</w:t>
      </w:r>
    </w:p>
    <w:p>
      <w:pPr>
        <w:pStyle w:val="104"/>
        <w:spacing w:before="240" w:after="240"/>
      </w:pPr>
      <w:bookmarkStart w:id="157" w:name="_Toc146635744"/>
      <w:bookmarkStart w:id="158" w:name="_Toc146635586"/>
      <w:bookmarkStart w:id="159" w:name="_Toc146635481"/>
      <w:bookmarkStart w:id="160" w:name="_Toc146635642"/>
      <w:bookmarkStart w:id="161" w:name="_Toc146635267"/>
      <w:bookmarkStart w:id="162" w:name="_Toc146635437"/>
      <w:bookmarkStart w:id="163" w:name="_Toc146815032"/>
      <w:bookmarkStart w:id="164" w:name="_Toc146635669"/>
      <w:bookmarkStart w:id="165" w:name="_Toc146635298"/>
      <w:bookmarkStart w:id="166" w:name="_Toc146635377"/>
      <w:bookmarkStart w:id="167" w:name="_Toc146635458"/>
      <w:bookmarkStart w:id="168" w:name="_Toc146635505"/>
      <w:bookmarkStart w:id="169" w:name="_Toc146635340"/>
      <w:bookmarkStart w:id="170" w:name="_Toc146635319"/>
      <w:r>
        <w:rPr>
          <w:rFonts w:hint="eastAsia"/>
        </w:rPr>
        <w:t>承办机构服务规范</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pStyle w:val="105"/>
        <w:spacing w:before="120" w:after="120"/>
        <w:rPr>
          <w:rFonts w:hAnsi="黑体"/>
        </w:rPr>
      </w:pPr>
      <w:bookmarkStart w:id="171" w:name="_Toc146635643"/>
      <w:bookmarkStart w:id="172" w:name="_Toc146635268"/>
      <w:bookmarkStart w:id="173" w:name="_Toc146635378"/>
      <w:r>
        <w:rPr>
          <w:rFonts w:hint="eastAsia" w:hAnsi="黑体"/>
        </w:rPr>
        <w:t>产品供应</w:t>
      </w:r>
      <w:bookmarkEnd w:id="171"/>
      <w:bookmarkEnd w:id="172"/>
      <w:bookmarkEnd w:id="173"/>
    </w:p>
    <w:p>
      <w:pPr>
        <w:pStyle w:val="65"/>
        <w:spacing w:before="0" w:beforeLines="0" w:after="0" w:afterLines="0"/>
        <w:rPr>
          <w:rFonts w:ascii="宋体" w:hAnsi="宋体" w:eastAsia="宋体"/>
        </w:rPr>
      </w:pPr>
      <w:bookmarkStart w:id="174" w:name="_Toc146635379"/>
      <w:r>
        <w:rPr>
          <w:rFonts w:hint="eastAsia" w:ascii="宋体" w:hAnsi="宋体" w:eastAsia="宋体"/>
        </w:rPr>
        <w:t>承办机构应根据主办方需求，针对不同学段特点和教育目标，设计研学旅行线路和产品。</w:t>
      </w:r>
      <w:bookmarkEnd w:id="174"/>
    </w:p>
    <w:p>
      <w:pPr>
        <w:pStyle w:val="65"/>
        <w:spacing w:before="0" w:beforeLines="0" w:after="0" w:afterLines="0"/>
        <w:rPr>
          <w:rFonts w:ascii="宋体" w:hAnsi="宋体" w:eastAsia="宋体"/>
        </w:rPr>
      </w:pPr>
      <w:bookmarkStart w:id="175" w:name="_Toc146635380"/>
      <w:r>
        <w:rPr>
          <w:rFonts w:hint="eastAsia" w:ascii="宋体" w:hAnsi="宋体" w:eastAsia="宋体"/>
        </w:rPr>
        <w:t>承办机构应制作并提供研学旅行产品说明书，产品说明书初应符合《中华人民共和国旅游法》和LB/T</w:t>
      </w:r>
      <w:r>
        <w:rPr>
          <w:rFonts w:hint="eastAsia" w:ascii="宋体" w:hAnsi="宋体" w:eastAsia="宋体"/>
          <w:lang w:val="en-US" w:eastAsia="zh-CN"/>
        </w:rPr>
        <w:t xml:space="preserve"> </w:t>
      </w:r>
      <w:r>
        <w:rPr>
          <w:rFonts w:hint="eastAsia" w:ascii="宋体" w:hAnsi="宋体" w:eastAsia="宋体"/>
        </w:rPr>
        <w:t>008中有关规定外，还应包括研学旅行安全防控措施、研学旅行教育服务项目及评价方法、未成年人监护办法。</w:t>
      </w:r>
      <w:bookmarkEnd w:id="175"/>
    </w:p>
    <w:p>
      <w:pPr>
        <w:pStyle w:val="65"/>
        <w:spacing w:before="0" w:beforeLines="0" w:after="0" w:afterLines="0"/>
        <w:rPr>
          <w:rFonts w:ascii="宋体" w:hAnsi="宋体" w:eastAsia="宋体"/>
        </w:rPr>
      </w:pPr>
      <w:r>
        <w:rPr>
          <w:rFonts w:hint="eastAsia" w:ascii="宋体" w:hAnsi="宋体" w:eastAsia="宋体"/>
        </w:rPr>
        <w:t>承办机构应提供服务项目宣传品、研学旅行课程资料、研学产品价目表、与业务有关的研学基地介绍以及研学旅行相关宣传资料。</w:t>
      </w:r>
    </w:p>
    <w:p>
      <w:pPr>
        <w:pStyle w:val="105"/>
        <w:spacing w:before="120" w:after="120"/>
      </w:pPr>
      <w:bookmarkStart w:id="176" w:name="_Toc146635644"/>
      <w:bookmarkStart w:id="177" w:name="_Toc146635269"/>
      <w:bookmarkStart w:id="178" w:name="_Toc146635382"/>
      <w:r>
        <w:rPr>
          <w:rFonts w:hint="eastAsia"/>
        </w:rPr>
        <w:t>教育服务</w:t>
      </w:r>
      <w:bookmarkEnd w:id="176"/>
      <w:bookmarkEnd w:id="177"/>
      <w:bookmarkEnd w:id="178"/>
    </w:p>
    <w:p>
      <w:pPr>
        <w:pStyle w:val="65"/>
        <w:spacing w:before="0" w:beforeLines="0" w:after="0" w:afterLines="0"/>
        <w:rPr>
          <w:rFonts w:ascii="宋体" w:hAnsi="宋体" w:eastAsia="宋体"/>
        </w:rPr>
      </w:pPr>
      <w:bookmarkStart w:id="179" w:name="_Toc146635383"/>
      <w:r>
        <w:rPr>
          <w:rFonts w:hint="eastAsia" w:ascii="宋体" w:hAnsi="宋体" w:eastAsia="宋体"/>
        </w:rPr>
        <w:t>承办机构应与主办方沟通，围绕学校相关教育目标，共同制定研学旅行教育服务计划，明确教育活动目标和内容，针对不同学龄段学生提出相应学时要求，其中每天体验教育课程项目或活动时间应不少于1个小时。</w:t>
      </w:r>
      <w:bookmarkEnd w:id="179"/>
    </w:p>
    <w:p>
      <w:pPr>
        <w:pStyle w:val="65"/>
        <w:spacing w:before="0" w:beforeLines="0" w:after="0" w:afterLines="0"/>
        <w:rPr>
          <w:rFonts w:ascii="宋体" w:hAnsi="宋体" w:eastAsia="宋体"/>
        </w:rPr>
      </w:pPr>
      <w:bookmarkStart w:id="180" w:name="_Toc146635384"/>
      <w:r>
        <w:rPr>
          <w:rFonts w:hint="eastAsia" w:ascii="宋体" w:hAnsi="宋体" w:eastAsia="宋体"/>
        </w:rPr>
        <w:t>应充分做好行前准备工作。开好行前预备会议，做好研学旅行课程方案，检查课程准备工作，关键环节宜实地查看。</w:t>
      </w:r>
      <w:bookmarkEnd w:id="180"/>
    </w:p>
    <w:p>
      <w:pPr>
        <w:pStyle w:val="65"/>
        <w:spacing w:before="0" w:beforeLines="0" w:after="0" w:afterLines="0"/>
        <w:rPr>
          <w:rFonts w:ascii="宋体" w:hAnsi="宋体" w:eastAsia="宋体"/>
        </w:rPr>
      </w:pPr>
      <w:bookmarkStart w:id="181" w:name="_Toc146635385"/>
      <w:r>
        <w:rPr>
          <w:rFonts w:hint="eastAsia" w:ascii="宋体" w:hAnsi="宋体" w:eastAsia="宋体"/>
        </w:rPr>
        <w:t>做好行中组织实施和监督管理工作。应将预先设计的课程内容及活动逐一落实，督促基地营地按方案执行，确保学生安全有序高质量完成研学旅行任务。</w:t>
      </w:r>
      <w:bookmarkEnd w:id="181"/>
    </w:p>
    <w:p>
      <w:pPr>
        <w:pStyle w:val="65"/>
        <w:spacing w:before="0" w:beforeLines="0" w:after="0" w:afterLines="0"/>
        <w:rPr>
          <w:rFonts w:ascii="宋体" w:hAnsi="宋体" w:eastAsia="宋体"/>
        </w:rPr>
      </w:pPr>
      <w:bookmarkStart w:id="182" w:name="_Toc146635386"/>
      <w:r>
        <w:rPr>
          <w:rFonts w:hint="eastAsia" w:ascii="宋体" w:hAnsi="宋体" w:eastAsia="宋体"/>
        </w:rPr>
        <w:t>做好行后总结评价工作。应组织学生完成研学旅行课程成果汇报，包括但不限于撰写研学旅行报告、征文、摄影摄像作品、演讲、艺术展等。应灵活运用多种评价方法，客观公正反馈研学旅行课程效果，利用评价结果促进学生全面发展和健康成长，同时不断完善研学旅行课程方案以及组织工作。</w:t>
      </w:r>
      <w:bookmarkEnd w:id="182"/>
    </w:p>
    <w:p>
      <w:pPr>
        <w:pStyle w:val="65"/>
        <w:spacing w:before="0" w:beforeLines="0" w:after="0" w:afterLines="0"/>
        <w:rPr>
          <w:rFonts w:ascii="宋体" w:hAnsi="宋体" w:eastAsia="宋体"/>
        </w:rPr>
      </w:pPr>
      <w:bookmarkStart w:id="183" w:name="_Toc146635387"/>
      <w:r>
        <w:rPr>
          <w:rFonts w:hint="eastAsia" w:ascii="宋体" w:hAnsi="宋体" w:eastAsia="宋体"/>
        </w:rPr>
        <w:t>应建立与参与者家人的联系沟通机制，协助解决研学旅行活动中发生的各类问题。</w:t>
      </w:r>
      <w:bookmarkEnd w:id="183"/>
    </w:p>
    <w:p>
      <w:pPr>
        <w:pStyle w:val="105"/>
        <w:spacing w:before="120" w:after="120"/>
      </w:pPr>
      <w:bookmarkStart w:id="184" w:name="_Toc146635645"/>
      <w:bookmarkStart w:id="185" w:name="_Toc146635388"/>
      <w:bookmarkStart w:id="186" w:name="_Toc146635270"/>
      <w:r>
        <w:rPr>
          <w:rFonts w:hint="eastAsia"/>
        </w:rPr>
        <w:t>交通服务</w:t>
      </w:r>
      <w:bookmarkEnd w:id="184"/>
      <w:bookmarkEnd w:id="185"/>
      <w:bookmarkEnd w:id="186"/>
    </w:p>
    <w:p>
      <w:pPr>
        <w:pStyle w:val="65"/>
        <w:spacing w:before="0" w:beforeLines="0" w:after="0" w:afterLines="0"/>
        <w:rPr>
          <w:rFonts w:ascii="宋体" w:hAnsi="宋体" w:eastAsia="宋体"/>
        </w:rPr>
      </w:pPr>
      <w:bookmarkStart w:id="187" w:name="_Toc146635389"/>
      <w:r>
        <w:rPr>
          <w:rFonts w:hint="eastAsia" w:ascii="宋体" w:hAnsi="宋体" w:eastAsia="宋体"/>
        </w:rPr>
        <w:t>交通应符合GB/T 16890、GB/T 26359的要求。</w:t>
      </w:r>
      <w:bookmarkEnd w:id="187"/>
    </w:p>
    <w:p>
      <w:pPr>
        <w:pStyle w:val="65"/>
        <w:spacing w:before="0" w:beforeLines="0" w:after="0" w:afterLines="0"/>
        <w:rPr>
          <w:rFonts w:ascii="宋体" w:hAnsi="宋体" w:eastAsia="宋体"/>
        </w:rPr>
      </w:pPr>
      <w:bookmarkStart w:id="188" w:name="_Toc146635390"/>
      <w:r>
        <w:rPr>
          <w:rFonts w:hint="eastAsia" w:ascii="宋体" w:hAnsi="宋体" w:eastAsia="宋体"/>
        </w:rPr>
        <w:t>应按照LB/T 054-2016要求选择交通方式。</w:t>
      </w:r>
      <w:bookmarkEnd w:id="188"/>
    </w:p>
    <w:p>
      <w:pPr>
        <w:pStyle w:val="65"/>
        <w:spacing w:before="0" w:beforeLines="0" w:after="0" w:afterLines="0"/>
        <w:rPr>
          <w:rFonts w:ascii="宋体" w:hAnsi="宋体" w:eastAsia="宋体"/>
        </w:rPr>
      </w:pPr>
      <w:bookmarkStart w:id="189" w:name="_Toc146635391"/>
      <w:r>
        <w:rPr>
          <w:rFonts w:hint="eastAsia" w:ascii="宋体" w:hAnsi="宋体" w:eastAsia="宋体"/>
        </w:rPr>
        <w:t>承办机构应提前告知主办方相关交通信息，以便其掌握乘坐交通工具的类型、时间、地点以及需准备的有关证件。</w:t>
      </w:r>
      <w:bookmarkEnd w:id="189"/>
    </w:p>
    <w:p>
      <w:pPr>
        <w:pStyle w:val="65"/>
        <w:spacing w:before="0" w:beforeLines="0" w:after="0" w:afterLines="0"/>
        <w:rPr>
          <w:rFonts w:ascii="宋体" w:hAnsi="宋体" w:eastAsia="宋体"/>
        </w:rPr>
      </w:pPr>
      <w:bookmarkStart w:id="190" w:name="_Toc146635392"/>
      <w:r>
        <w:rPr>
          <w:rFonts w:hint="eastAsia" w:ascii="宋体" w:hAnsi="宋体" w:eastAsia="宋体"/>
        </w:rPr>
        <w:t>承办机构宜提前与相应交通部门取得工作联系，组织绿色通道或开辟专门的候乘区域。</w:t>
      </w:r>
      <w:bookmarkEnd w:id="190"/>
    </w:p>
    <w:p>
      <w:pPr>
        <w:pStyle w:val="65"/>
        <w:spacing w:before="0" w:beforeLines="0" w:after="0" w:afterLines="0"/>
        <w:rPr>
          <w:rFonts w:ascii="宋体" w:hAnsi="宋体" w:eastAsia="宋体"/>
        </w:rPr>
      </w:pPr>
      <w:bookmarkStart w:id="191" w:name="_Toc146635393"/>
      <w:r>
        <w:rPr>
          <w:rFonts w:hint="eastAsia" w:ascii="宋体" w:hAnsi="宋体" w:eastAsia="宋体"/>
        </w:rPr>
        <w:t>承办机构应加强交通服务环节的安全防范，向学生宣讲交通安全知识和紧急疏散要求，组织学生安全有序乘坐交通工具。</w:t>
      </w:r>
      <w:bookmarkEnd w:id="191"/>
    </w:p>
    <w:p>
      <w:pPr>
        <w:pStyle w:val="65"/>
        <w:spacing w:before="0" w:beforeLines="0" w:after="0" w:afterLines="0"/>
        <w:rPr>
          <w:rFonts w:ascii="宋体" w:hAnsi="宋体" w:eastAsia="宋体"/>
        </w:rPr>
      </w:pPr>
      <w:bookmarkStart w:id="192" w:name="_Toc146635394"/>
      <w:r>
        <w:rPr>
          <w:rFonts w:hint="eastAsia" w:ascii="宋体" w:hAnsi="宋体" w:eastAsia="宋体"/>
        </w:rPr>
        <w:t>承办机构应在承运全程随机开展安全巡查工作，并在学生上、下交通工具时清点人数，防范出现滞留或走失。</w:t>
      </w:r>
      <w:bookmarkEnd w:id="192"/>
    </w:p>
    <w:p>
      <w:pPr>
        <w:pStyle w:val="65"/>
        <w:spacing w:before="0" w:beforeLines="0" w:after="0" w:afterLines="0"/>
        <w:rPr>
          <w:rFonts w:ascii="宋体" w:hAnsi="宋体" w:eastAsia="宋体"/>
        </w:rPr>
      </w:pPr>
      <w:bookmarkStart w:id="193" w:name="_Toc146635395"/>
      <w:r>
        <w:rPr>
          <w:rFonts w:hint="eastAsia" w:ascii="宋体" w:hAnsi="宋体" w:eastAsia="宋体"/>
        </w:rPr>
        <w:t>遭遇恶劣天气时，应认真研判安全风险，及时调整研学旅行行程和交通方式。</w:t>
      </w:r>
      <w:bookmarkEnd w:id="193"/>
    </w:p>
    <w:p>
      <w:pPr>
        <w:pStyle w:val="105"/>
        <w:spacing w:before="120" w:after="120"/>
      </w:pPr>
      <w:bookmarkStart w:id="194" w:name="_Toc146635396"/>
      <w:bookmarkStart w:id="195" w:name="_Toc146635271"/>
      <w:bookmarkStart w:id="196" w:name="_Toc146635646"/>
      <w:r>
        <w:rPr>
          <w:rFonts w:hint="eastAsia"/>
        </w:rPr>
        <w:t>住宿服务</w:t>
      </w:r>
      <w:bookmarkEnd w:id="194"/>
      <w:bookmarkEnd w:id="195"/>
      <w:bookmarkEnd w:id="196"/>
    </w:p>
    <w:p>
      <w:pPr>
        <w:pStyle w:val="65"/>
        <w:spacing w:before="0" w:beforeLines="0" w:after="0" w:afterLines="0"/>
        <w:rPr>
          <w:rFonts w:ascii="宋体" w:hAnsi="宋体" w:eastAsia="宋体"/>
        </w:rPr>
      </w:pPr>
      <w:bookmarkStart w:id="197" w:name="_Toc146635397"/>
      <w:r>
        <w:rPr>
          <w:rFonts w:hint="eastAsia" w:ascii="宋体" w:hAnsi="宋体" w:eastAsia="宋体"/>
        </w:rPr>
        <w:t>承办机构应以安全、卫生和舒适为基本要求，提前对住宿营地进行实地考察，住宿应便于集中管理，应方便承运汽车安全进出、停靠，应有健全的公共信息导向标识，并符合 GB/T 10001 的要求，应有安全逃生通道。</w:t>
      </w:r>
      <w:bookmarkEnd w:id="197"/>
    </w:p>
    <w:p>
      <w:pPr>
        <w:pStyle w:val="65"/>
        <w:spacing w:before="0" w:beforeLines="0" w:after="0" w:afterLines="0"/>
        <w:rPr>
          <w:rFonts w:ascii="宋体" w:hAnsi="宋体" w:eastAsia="宋体"/>
        </w:rPr>
      </w:pPr>
      <w:bookmarkStart w:id="198" w:name="_Toc146635398"/>
      <w:r>
        <w:rPr>
          <w:rFonts w:hint="eastAsia" w:ascii="宋体" w:hAnsi="宋体" w:eastAsia="宋体"/>
        </w:rPr>
        <w:t>应提前将住宿营地相关信息告知主办方，以便做好相关准备工作。</w:t>
      </w:r>
      <w:bookmarkEnd w:id="198"/>
    </w:p>
    <w:p>
      <w:pPr>
        <w:pStyle w:val="65"/>
        <w:spacing w:before="0" w:beforeLines="0" w:after="0" w:afterLines="0"/>
        <w:rPr>
          <w:rFonts w:ascii="宋体" w:hAnsi="宋体" w:eastAsia="宋体"/>
        </w:rPr>
      </w:pPr>
      <w:bookmarkStart w:id="199" w:name="_Toc146635399"/>
      <w:r>
        <w:rPr>
          <w:rFonts w:hint="eastAsia" w:ascii="宋体" w:hAnsi="宋体" w:eastAsia="宋体"/>
        </w:rPr>
        <w:t>应详细告知学生入住注意事项，宣讲住宿安全知识，带领学生熟悉逃生通道。</w:t>
      </w:r>
      <w:bookmarkEnd w:id="199"/>
    </w:p>
    <w:p>
      <w:pPr>
        <w:pStyle w:val="65"/>
        <w:spacing w:before="0" w:beforeLines="0" w:after="0" w:afterLines="0"/>
        <w:rPr>
          <w:rFonts w:ascii="宋体" w:hAnsi="宋体" w:eastAsia="宋体"/>
        </w:rPr>
      </w:pPr>
      <w:bookmarkStart w:id="200" w:name="_Toc146635400"/>
      <w:r>
        <w:rPr>
          <w:rFonts w:hint="eastAsia" w:ascii="宋体" w:hAnsi="宋体" w:eastAsia="宋体"/>
        </w:rPr>
        <w:t>应在学生入住后及时进行首次查房，帮助学生熟悉房间设施，解决相关问题。</w:t>
      </w:r>
      <w:bookmarkEnd w:id="200"/>
    </w:p>
    <w:p>
      <w:pPr>
        <w:pStyle w:val="65"/>
        <w:spacing w:before="0" w:beforeLines="0" w:after="0" w:afterLines="0"/>
        <w:rPr>
          <w:rFonts w:ascii="宋体" w:hAnsi="宋体" w:eastAsia="宋体"/>
        </w:rPr>
      </w:pPr>
      <w:bookmarkStart w:id="201" w:name="_Toc146635401"/>
      <w:r>
        <w:rPr>
          <w:rFonts w:hint="eastAsia" w:ascii="宋体" w:hAnsi="宋体" w:eastAsia="宋体"/>
        </w:rPr>
        <w:t>宜安排男、女学生分区（片）住宿，女生片区管理员应为女性。</w:t>
      </w:r>
      <w:bookmarkEnd w:id="201"/>
    </w:p>
    <w:p>
      <w:pPr>
        <w:pStyle w:val="65"/>
        <w:spacing w:before="0" w:beforeLines="0" w:after="0" w:afterLines="0"/>
        <w:rPr>
          <w:rFonts w:ascii="宋体" w:hAnsi="宋体" w:eastAsia="宋体"/>
        </w:rPr>
      </w:pPr>
      <w:bookmarkStart w:id="202" w:name="_Toc146635402"/>
      <w:r>
        <w:rPr>
          <w:rFonts w:hint="eastAsia" w:ascii="宋体" w:hAnsi="宋体" w:eastAsia="宋体"/>
        </w:rPr>
        <w:t>应制定住宿安全管理制度，开展巡查、夜查工作。</w:t>
      </w:r>
      <w:bookmarkEnd w:id="202"/>
    </w:p>
    <w:p>
      <w:pPr>
        <w:pStyle w:val="65"/>
        <w:spacing w:before="0" w:beforeLines="0" w:after="0" w:afterLines="0"/>
        <w:rPr>
          <w:rFonts w:ascii="宋体" w:hAnsi="宋体" w:eastAsia="宋体"/>
        </w:rPr>
      </w:pPr>
      <w:bookmarkStart w:id="203" w:name="_Toc146635403"/>
      <w:r>
        <w:rPr>
          <w:rFonts w:hint="eastAsia" w:ascii="宋体" w:hAnsi="宋体" w:eastAsia="宋体"/>
        </w:rPr>
        <w:t>选择在露营地住宿时还应达到以下要求：</w:t>
      </w:r>
      <w:bookmarkEnd w:id="203"/>
    </w:p>
    <w:p>
      <w:pPr>
        <w:pStyle w:val="174"/>
      </w:pPr>
      <w:r>
        <w:rPr>
          <w:rFonts w:hint="eastAsia"/>
        </w:rPr>
        <w:t>露营地应符合 GB/T 31710 的要求；</w:t>
      </w:r>
    </w:p>
    <w:p>
      <w:pPr>
        <w:pStyle w:val="174"/>
      </w:pPr>
      <w:r>
        <w:rPr>
          <w:rFonts w:hint="eastAsia"/>
        </w:rPr>
        <w:t>应在实地考察的基础上，对露营地进行安全评估，并充分评价露营接待条件、周边环境和可</w:t>
      </w:r>
    </w:p>
    <w:p>
      <w:pPr>
        <w:pStyle w:val="174"/>
        <w:numPr>
          <w:ilvl w:val="0"/>
          <w:numId w:val="0"/>
        </w:numPr>
        <w:ind w:left="851"/>
      </w:pPr>
      <w:r>
        <w:rPr>
          <w:rFonts w:hint="eastAsia"/>
        </w:rPr>
        <w:t>能发生的自然灾害对学生造成的影响；</w:t>
      </w:r>
    </w:p>
    <w:p>
      <w:pPr>
        <w:pStyle w:val="174"/>
      </w:pPr>
      <w:r>
        <w:rPr>
          <w:rFonts w:hint="eastAsia"/>
        </w:rPr>
        <w:t>应制定露营安全防控专项措施，加强值班、巡查和夜查工作。</w:t>
      </w:r>
    </w:p>
    <w:p>
      <w:pPr>
        <w:pStyle w:val="105"/>
        <w:spacing w:before="120" w:after="120"/>
      </w:pPr>
      <w:bookmarkStart w:id="204" w:name="_Toc146635272"/>
      <w:bookmarkStart w:id="205" w:name="_Toc146635404"/>
      <w:bookmarkStart w:id="206" w:name="_Toc146635647"/>
      <w:r>
        <w:rPr>
          <w:rFonts w:hint="eastAsia"/>
        </w:rPr>
        <w:t>餐饮服务</w:t>
      </w:r>
      <w:bookmarkEnd w:id="204"/>
      <w:bookmarkEnd w:id="205"/>
      <w:bookmarkEnd w:id="206"/>
    </w:p>
    <w:p>
      <w:pPr>
        <w:pStyle w:val="65"/>
        <w:spacing w:before="0" w:beforeLines="0" w:after="0" w:afterLines="0"/>
        <w:rPr>
          <w:rFonts w:ascii="宋体" w:hAnsi="宋体" w:eastAsia="宋体"/>
        </w:rPr>
      </w:pPr>
      <w:bookmarkStart w:id="207" w:name="_Toc146635405"/>
      <w:r>
        <w:rPr>
          <w:rFonts w:hint="eastAsia" w:ascii="宋体" w:hAnsi="宋体" w:eastAsia="宋体"/>
        </w:rPr>
        <w:t>应以食品卫生安全为前提，选择餐饮服务提供方，餐饮宜体现广西饮食文化特色。</w:t>
      </w:r>
      <w:bookmarkEnd w:id="207"/>
    </w:p>
    <w:p>
      <w:pPr>
        <w:pStyle w:val="65"/>
        <w:spacing w:before="0" w:beforeLines="0" w:after="0" w:afterLines="0"/>
        <w:rPr>
          <w:rFonts w:ascii="宋体" w:hAnsi="宋体" w:eastAsia="宋体"/>
        </w:rPr>
      </w:pPr>
      <w:bookmarkStart w:id="208" w:name="_Toc146635406"/>
      <w:r>
        <w:rPr>
          <w:rFonts w:hint="eastAsia" w:ascii="宋体" w:hAnsi="宋体" w:eastAsia="宋体"/>
        </w:rPr>
        <w:t>应提前制定就餐座次表，组织学生有序进餐。</w:t>
      </w:r>
      <w:bookmarkEnd w:id="208"/>
    </w:p>
    <w:p>
      <w:pPr>
        <w:pStyle w:val="65"/>
        <w:spacing w:before="0" w:beforeLines="0" w:after="0" w:afterLines="0"/>
        <w:rPr>
          <w:rFonts w:ascii="宋体" w:hAnsi="宋体" w:eastAsia="宋体"/>
        </w:rPr>
      </w:pPr>
      <w:bookmarkStart w:id="209" w:name="_Toc146635407"/>
      <w:r>
        <w:rPr>
          <w:rFonts w:hint="eastAsia" w:ascii="宋体" w:hAnsi="宋体" w:eastAsia="宋体"/>
        </w:rPr>
        <w:t>应督促餐饮服务提供方按照有关规定，做好食品留样工作。</w:t>
      </w:r>
      <w:bookmarkEnd w:id="209"/>
    </w:p>
    <w:p>
      <w:pPr>
        <w:pStyle w:val="65"/>
        <w:spacing w:before="0" w:beforeLines="0" w:after="0" w:afterLines="0"/>
        <w:rPr>
          <w:rFonts w:ascii="宋体" w:hAnsi="宋体" w:eastAsia="宋体"/>
        </w:rPr>
      </w:pPr>
      <w:bookmarkStart w:id="210" w:name="_Toc146635408"/>
      <w:r>
        <w:rPr>
          <w:rFonts w:hint="eastAsia" w:ascii="宋体" w:hAnsi="宋体" w:eastAsia="宋体"/>
        </w:rPr>
        <w:t>应在学生用餐时做好巡查工作，确保餐饮服务质量。</w:t>
      </w:r>
      <w:bookmarkEnd w:id="210"/>
    </w:p>
    <w:p>
      <w:pPr>
        <w:pStyle w:val="105"/>
        <w:spacing w:before="120" w:after="120"/>
      </w:pPr>
      <w:bookmarkStart w:id="211" w:name="_Toc146635409"/>
      <w:bookmarkStart w:id="212" w:name="_Toc146635273"/>
      <w:bookmarkStart w:id="213" w:name="_Toc146635648"/>
      <w:r>
        <w:rPr>
          <w:rFonts w:hint="eastAsia"/>
        </w:rPr>
        <w:t>讲解服务</w:t>
      </w:r>
      <w:bookmarkEnd w:id="211"/>
      <w:bookmarkEnd w:id="212"/>
      <w:bookmarkEnd w:id="213"/>
    </w:p>
    <w:p>
      <w:pPr>
        <w:pStyle w:val="65"/>
        <w:numPr>
          <w:ilvl w:val="0"/>
          <w:numId w:val="0"/>
        </w:numPr>
        <w:spacing w:before="0" w:beforeLines="0" w:after="0" w:afterLines="0"/>
        <w:rPr>
          <w:rFonts w:ascii="宋体" w:hAnsi="宋体" w:eastAsia="宋体"/>
        </w:rPr>
      </w:pPr>
      <w:bookmarkStart w:id="214" w:name="_Toc146635410"/>
      <w:r>
        <w:rPr>
          <w:rFonts w:hint="eastAsia" w:ascii="宋体" w:hAnsi="宋体" w:eastAsia="宋体"/>
        </w:rPr>
        <w:t>6.6.1 导游讲解服务应符合 GB/T 15971 的要求。</w:t>
      </w:r>
      <w:bookmarkEnd w:id="214"/>
    </w:p>
    <w:p>
      <w:pPr>
        <w:pStyle w:val="65"/>
        <w:numPr>
          <w:ilvl w:val="0"/>
          <w:numId w:val="0"/>
        </w:numPr>
        <w:spacing w:before="0" w:beforeLines="0" w:after="0" w:afterLines="0"/>
        <w:rPr>
          <w:rFonts w:ascii="宋体" w:hAnsi="宋体" w:eastAsia="宋体"/>
        </w:rPr>
      </w:pPr>
      <w:bookmarkStart w:id="215" w:name="_Toc146635411"/>
      <w:r>
        <w:rPr>
          <w:rFonts w:hint="eastAsia" w:ascii="宋体" w:hAnsi="宋体" w:eastAsia="宋体"/>
        </w:rPr>
        <w:t>6.6.2 应将安全知识、文明礼仪作为导游讲解服务的重要内容，随时提醒引导学生安全旅游、文明旅游。</w:t>
      </w:r>
      <w:bookmarkEnd w:id="215"/>
    </w:p>
    <w:p>
      <w:pPr>
        <w:pStyle w:val="65"/>
        <w:numPr>
          <w:ilvl w:val="0"/>
          <w:numId w:val="0"/>
        </w:numPr>
        <w:spacing w:before="0" w:beforeLines="0" w:after="0" w:afterLines="0"/>
        <w:rPr>
          <w:rFonts w:ascii="宋体" w:hAnsi="宋体" w:eastAsia="宋体"/>
        </w:rPr>
      </w:pPr>
      <w:bookmarkStart w:id="216" w:name="_Toc146635412"/>
      <w:r>
        <w:rPr>
          <w:rFonts w:hint="eastAsia" w:ascii="宋体" w:hAnsi="宋体" w:eastAsia="宋体"/>
        </w:rPr>
        <w:t>6.6.3 应结合教育服务要求，提供有针对性、互动性、趣味性、启发性和引导性的讲解服务</w:t>
      </w:r>
      <w:bookmarkEnd w:id="216"/>
      <w:r>
        <w:rPr>
          <w:rFonts w:hint="eastAsia" w:ascii="宋体" w:hAnsi="宋体" w:eastAsia="宋体"/>
        </w:rPr>
        <w:t>。</w:t>
      </w:r>
    </w:p>
    <w:p>
      <w:pPr>
        <w:pStyle w:val="105"/>
        <w:spacing w:before="120" w:after="120"/>
      </w:pPr>
      <w:bookmarkStart w:id="217" w:name="_Toc146635413"/>
      <w:bookmarkStart w:id="218" w:name="_Toc146635649"/>
      <w:bookmarkStart w:id="219" w:name="_Toc146635274"/>
      <w:r>
        <w:rPr>
          <w:rFonts w:hint="eastAsia"/>
        </w:rPr>
        <w:t>医疗及救助服务</w:t>
      </w:r>
      <w:bookmarkEnd w:id="217"/>
      <w:bookmarkEnd w:id="218"/>
      <w:bookmarkEnd w:id="219"/>
    </w:p>
    <w:p>
      <w:pPr>
        <w:pStyle w:val="105"/>
        <w:numPr>
          <w:ilvl w:val="0"/>
          <w:numId w:val="0"/>
        </w:numPr>
        <w:spacing w:before="0" w:beforeLines="0" w:after="0" w:afterLines="0"/>
        <w:rPr>
          <w:rFonts w:ascii="宋体" w:hAnsi="宋体" w:eastAsia="宋体"/>
        </w:rPr>
      </w:pPr>
      <w:bookmarkStart w:id="220" w:name="_Toc146635414"/>
      <w:bookmarkStart w:id="221" w:name="_Toc146635275"/>
      <w:bookmarkStart w:id="222" w:name="_Toc146635650"/>
      <w:r>
        <w:rPr>
          <w:rFonts w:hint="eastAsia" w:ascii="宋体" w:hAnsi="宋体" w:eastAsia="宋体"/>
        </w:rPr>
        <w:t>6.7.1 应提前调研和掌握研学营地周边的医疗及救助资源状况。</w:t>
      </w:r>
      <w:bookmarkEnd w:id="220"/>
      <w:bookmarkEnd w:id="221"/>
      <w:bookmarkEnd w:id="222"/>
    </w:p>
    <w:p>
      <w:pPr>
        <w:pStyle w:val="105"/>
        <w:numPr>
          <w:ilvl w:val="0"/>
          <w:numId w:val="0"/>
        </w:numPr>
        <w:spacing w:before="0" w:beforeLines="0" w:after="0" w:afterLines="0"/>
        <w:rPr>
          <w:rFonts w:ascii="宋体" w:hAnsi="宋体" w:eastAsia="宋体"/>
        </w:rPr>
      </w:pPr>
      <w:bookmarkStart w:id="223" w:name="_Toc146635276"/>
      <w:bookmarkStart w:id="224" w:name="_Toc146635415"/>
      <w:bookmarkStart w:id="225" w:name="_Toc146635651"/>
      <w:r>
        <w:rPr>
          <w:rFonts w:hint="eastAsia" w:ascii="宋体" w:hAnsi="宋体" w:eastAsia="宋体"/>
        </w:rPr>
        <w:t>6.7.2 学生生病或受伤，应及时送往医院或急救中心治疗，妥善保管就诊医疗记录。返程后，应将就诊医疗记录复印并转交家长或带队老师。</w:t>
      </w:r>
      <w:bookmarkEnd w:id="223"/>
      <w:bookmarkEnd w:id="224"/>
      <w:bookmarkEnd w:id="225"/>
    </w:p>
    <w:p>
      <w:pPr>
        <w:pStyle w:val="105"/>
        <w:numPr>
          <w:ilvl w:val="0"/>
          <w:numId w:val="0"/>
        </w:numPr>
        <w:spacing w:before="0" w:beforeLines="0" w:after="0" w:afterLines="0"/>
        <w:rPr>
          <w:rFonts w:ascii="宋体" w:hAnsi="宋体" w:eastAsia="宋体"/>
        </w:rPr>
      </w:pPr>
      <w:bookmarkStart w:id="226" w:name="_Toc146635652"/>
      <w:bookmarkStart w:id="227" w:name="_Toc146635277"/>
      <w:bookmarkStart w:id="228" w:name="_Toc146635416"/>
      <w:r>
        <w:rPr>
          <w:rFonts w:hint="eastAsia" w:ascii="宋体" w:hAnsi="宋体" w:eastAsia="宋体"/>
        </w:rPr>
        <w:t>6.7.3 宜聘请具有职业资格的医护人员随团提供医疗及救助服务。</w:t>
      </w:r>
      <w:bookmarkEnd w:id="226"/>
      <w:bookmarkEnd w:id="227"/>
      <w:bookmarkEnd w:id="228"/>
    </w:p>
    <w:p>
      <w:pPr>
        <w:pStyle w:val="104"/>
        <w:spacing w:before="240" w:after="240"/>
        <w:rPr>
          <w:rFonts w:hAnsi="黑体"/>
        </w:rPr>
      </w:pPr>
      <w:bookmarkStart w:id="229" w:name="_Toc146635482"/>
      <w:bookmarkStart w:id="230" w:name="_Toc146815033"/>
      <w:bookmarkStart w:id="231" w:name="_Toc146635745"/>
      <w:bookmarkStart w:id="232" w:name="_Toc146635653"/>
      <w:bookmarkStart w:id="233" w:name="_Toc146635278"/>
      <w:bookmarkStart w:id="234" w:name="_Toc146635320"/>
      <w:bookmarkStart w:id="235" w:name="_Toc146635417"/>
      <w:bookmarkStart w:id="236" w:name="_Toc146635459"/>
      <w:bookmarkStart w:id="237" w:name="_Toc146635341"/>
      <w:bookmarkStart w:id="238" w:name="_Toc146635506"/>
      <w:bookmarkStart w:id="239" w:name="_Toc146635438"/>
      <w:bookmarkStart w:id="240" w:name="_Toc146635670"/>
      <w:bookmarkStart w:id="241" w:name="_Toc146635299"/>
      <w:bookmarkStart w:id="242" w:name="_Toc146635587"/>
      <w:r>
        <w:rPr>
          <w:rFonts w:hint="eastAsia" w:hAnsi="黑体"/>
        </w:rPr>
        <w:t>安全与紧急预案</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pPr>
        <w:pStyle w:val="105"/>
        <w:spacing w:before="0" w:beforeLines="0" w:after="0" w:afterLines="0"/>
        <w:rPr>
          <w:rFonts w:ascii="宋体" w:hAnsi="宋体" w:eastAsia="宋体"/>
        </w:rPr>
      </w:pPr>
      <w:bookmarkStart w:id="243" w:name="_Toc146635654"/>
      <w:r>
        <w:rPr>
          <w:rFonts w:hint="eastAsia" w:ascii="宋体" w:hAnsi="宋体" w:eastAsia="宋体"/>
        </w:rPr>
        <w:t>主办方、承办方及供应方应按照LB/T 054-2016要求，针对研学旅行活动，分别制定安全管理制度，构建完善有效的安全防控机制。</w:t>
      </w:r>
      <w:bookmarkEnd w:id="243"/>
    </w:p>
    <w:p>
      <w:pPr>
        <w:pStyle w:val="105"/>
        <w:spacing w:before="0" w:beforeLines="0" w:after="0" w:afterLines="0"/>
        <w:rPr>
          <w:rFonts w:ascii="宋体" w:hAnsi="宋体" w:eastAsia="宋体"/>
        </w:rPr>
      </w:pPr>
      <w:bookmarkStart w:id="244" w:name="_Toc146635655"/>
      <w:r>
        <w:rPr>
          <w:rFonts w:hint="eastAsia" w:ascii="宋体" w:hAnsi="宋体" w:eastAsia="宋体"/>
        </w:rPr>
        <w:t>应制定和完善内容包括：地震、火灾、食品卫生、治安事件、设施设备突发故障等在内的各项突发事件应急预案，并定期组织演练。</w:t>
      </w:r>
      <w:bookmarkEnd w:id="244"/>
    </w:p>
    <w:p>
      <w:pPr>
        <w:pStyle w:val="105"/>
        <w:spacing w:before="0" w:beforeLines="0" w:after="0" w:afterLines="0"/>
        <w:rPr>
          <w:rFonts w:ascii="宋体" w:hAnsi="宋体" w:eastAsia="宋体"/>
        </w:rPr>
      </w:pPr>
      <w:bookmarkStart w:id="245" w:name="_Toc146635656"/>
      <w:r>
        <w:rPr>
          <w:rFonts w:hint="eastAsia" w:ascii="宋体" w:hAnsi="宋体" w:eastAsia="宋体"/>
        </w:rPr>
        <w:t>应制定安全教育和安全培训专项工作计划，定期对参与研学旅行活动的工作人员进行培训。培训内容包括：安全管理工作制度、工作职责与要求、应急处置规范与流程等。</w:t>
      </w:r>
      <w:bookmarkEnd w:id="245"/>
    </w:p>
    <w:p>
      <w:pPr>
        <w:pStyle w:val="105"/>
        <w:spacing w:before="0" w:beforeLines="0" w:after="0" w:afterLines="0"/>
        <w:rPr>
          <w:rFonts w:ascii="宋体" w:hAnsi="宋体" w:eastAsia="宋体"/>
        </w:rPr>
      </w:pPr>
      <w:bookmarkStart w:id="246" w:name="_Toc146635657"/>
      <w:r>
        <w:rPr>
          <w:rFonts w:hint="eastAsia" w:ascii="宋体" w:hAnsi="宋体" w:eastAsia="宋体"/>
        </w:rPr>
        <w:t>应加强对学生的全过程安全管理和安全教育，根据行程安排及具体情况及时进行安全提示与警示，强化学生安全防范意识。</w:t>
      </w:r>
      <w:bookmarkEnd w:id="246"/>
    </w:p>
    <w:p>
      <w:pPr>
        <w:pStyle w:val="105"/>
        <w:spacing w:before="0" w:beforeLines="0" w:after="0" w:afterLines="0"/>
        <w:rPr>
          <w:rFonts w:ascii="宋体" w:hAnsi="宋体" w:eastAsia="宋体"/>
        </w:rPr>
      </w:pPr>
      <w:bookmarkStart w:id="247" w:name="_Toc146635658"/>
      <w:r>
        <w:rPr>
          <w:rFonts w:hint="eastAsia" w:ascii="宋体" w:hAnsi="宋体" w:eastAsia="宋体"/>
        </w:rPr>
        <w:t>应购买产品责任险，并为研学旅行参与者购买旅行意外险等相应特色保险。</w:t>
      </w:r>
      <w:bookmarkEnd w:id="247"/>
    </w:p>
    <w:p>
      <w:pPr>
        <w:pStyle w:val="104"/>
        <w:spacing w:before="240" w:after="240"/>
        <w:rPr>
          <w:rFonts w:hAnsi="黑体"/>
        </w:rPr>
      </w:pPr>
      <w:bookmarkStart w:id="248" w:name="_Toc146635465"/>
      <w:bookmarkStart w:id="249" w:name="_Toc146635444"/>
      <w:bookmarkStart w:id="250" w:name="_Toc146635588"/>
      <w:bookmarkStart w:id="251" w:name="_Toc146635659"/>
      <w:bookmarkStart w:id="252" w:name="_Toc146815034"/>
      <w:bookmarkStart w:id="253" w:name="_Toc146635284"/>
      <w:bookmarkStart w:id="254" w:name="_Toc146635507"/>
      <w:bookmarkStart w:id="255" w:name="_Toc146635746"/>
      <w:bookmarkStart w:id="256" w:name="_Toc146635483"/>
      <w:bookmarkStart w:id="257" w:name="_Toc146635671"/>
      <w:bookmarkStart w:id="258" w:name="_Toc146635347"/>
      <w:bookmarkStart w:id="259" w:name="_Toc146635326"/>
      <w:bookmarkStart w:id="260" w:name="_Toc146635305"/>
      <w:bookmarkStart w:id="261" w:name="_Toc146635423"/>
      <w:r>
        <w:rPr>
          <w:rFonts w:hint="eastAsia" w:hAnsi="黑体"/>
        </w:rPr>
        <w:t>服务评估与改进</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pPr>
        <w:pStyle w:val="105"/>
        <w:spacing w:before="120" w:after="120"/>
      </w:pPr>
      <w:r>
        <w:rPr>
          <w:rFonts w:hint="eastAsia"/>
        </w:rPr>
        <w:t>评估方式</w:t>
      </w:r>
    </w:p>
    <w:p>
      <w:pPr>
        <w:pStyle w:val="65"/>
        <w:spacing w:before="0" w:beforeLines="0" w:after="0" w:afterLines="0"/>
        <w:rPr>
          <w:rFonts w:ascii="宋体" w:hAnsi="宋体" w:eastAsia="宋体"/>
        </w:rPr>
      </w:pPr>
      <w:r>
        <w:rPr>
          <w:rFonts w:hint="eastAsia" w:ascii="宋体" w:hAnsi="宋体" w:eastAsia="宋体"/>
        </w:rPr>
        <w:t>建立评价指标体系，细化具体指标的评估分值，评价指标包括但不仅限于研学教育活动总体情况、课程设计、课程目标、研学基（营）地软硬件设施、教学内容、研学流程设置、教学互动、教学点评等指标。</w:t>
      </w:r>
    </w:p>
    <w:p>
      <w:pPr>
        <w:pStyle w:val="65"/>
        <w:spacing w:before="0" w:beforeLines="0" w:after="0" w:afterLines="0"/>
        <w:rPr>
          <w:rFonts w:ascii="宋体" w:hAnsi="宋体" w:eastAsia="宋体"/>
        </w:rPr>
      </w:pPr>
      <w:r>
        <w:rPr>
          <w:rFonts w:hint="eastAsia" w:ascii="宋体" w:hAnsi="宋体" w:eastAsia="宋体"/>
        </w:rPr>
        <w:t>通过自我评价、第三方评价、主办方评价、家长评价等方式建立研学评价机制，重点开展学生评价和研学旅行指导师评价。</w:t>
      </w:r>
    </w:p>
    <w:p>
      <w:pPr>
        <w:pStyle w:val="65"/>
        <w:spacing w:before="0" w:beforeLines="0" w:after="0" w:afterLines="0"/>
        <w:rPr>
          <w:rFonts w:ascii="宋体" w:hAnsi="宋体" w:eastAsia="宋体"/>
        </w:rPr>
      </w:pPr>
      <w:r>
        <w:rPr>
          <w:rFonts w:hint="eastAsia" w:ascii="宋体" w:hAnsi="宋体" w:eastAsia="宋体"/>
        </w:rPr>
        <w:t>根据调查结果进行统计分析和量化评估，做好评价结果分析。</w:t>
      </w:r>
    </w:p>
    <w:p>
      <w:pPr>
        <w:pStyle w:val="65"/>
        <w:spacing w:before="0" w:beforeLines="0" w:after="0" w:afterLines="0"/>
        <w:rPr>
          <w:rFonts w:ascii="宋体" w:hAnsi="宋体" w:eastAsia="宋体"/>
        </w:rPr>
      </w:pPr>
      <w:r>
        <w:rPr>
          <w:rFonts w:hint="eastAsia" w:ascii="宋体" w:hAnsi="宋体" w:eastAsia="宋体"/>
        </w:rPr>
        <w:t>及时将服务评价分析结果反馈给相关岗位工作人员。</w:t>
      </w:r>
    </w:p>
    <w:p>
      <w:pPr>
        <w:pStyle w:val="105"/>
        <w:spacing w:before="120" w:after="120"/>
      </w:pPr>
      <w:r>
        <w:rPr>
          <w:rFonts w:hint="eastAsia"/>
        </w:rPr>
        <w:t>教学改进</w:t>
      </w:r>
    </w:p>
    <w:p>
      <w:pPr>
        <w:pStyle w:val="105"/>
        <w:numPr>
          <w:ilvl w:val="0"/>
          <w:numId w:val="0"/>
        </w:numPr>
        <w:spacing w:before="0" w:beforeLines="0" w:after="0" w:afterLines="0"/>
        <w:ind w:firstLine="420" w:firstLineChars="200"/>
        <w:rPr>
          <w:rFonts w:ascii="宋体" w:hAnsi="宋体" w:eastAsia="宋体"/>
        </w:rPr>
      </w:pPr>
      <w:r>
        <w:rPr>
          <w:rFonts w:hint="eastAsia" w:ascii="宋体" w:hAnsi="宋体" w:eastAsia="宋体"/>
        </w:rPr>
        <w:t>承办机构应对各方面反馈的质量信息及时进行汇总分析，明确产品中的主要缺陷，找准发生质量</w:t>
      </w:r>
    </w:p>
    <w:p>
      <w:pPr>
        <w:pStyle w:val="56"/>
        <w:ind w:firstLine="0" w:firstLineChars="0"/>
      </w:pPr>
      <w:r>
        <w:rPr>
          <w:rFonts w:hint="eastAsia"/>
        </w:rPr>
        <w:t>问题的具体原因，通过健全制度、加强培训、调整供应方、优化产品设计、完善服务要素和运行环节等措施，持续改进研学旅行服务质量。</w:t>
      </w:r>
    </w:p>
    <w:p>
      <w:pPr>
        <w:pStyle w:val="56"/>
        <w:ind w:firstLine="420"/>
      </w:pPr>
    </w:p>
    <w:bookmarkEnd w:id="36"/>
    <w:p>
      <w:pPr>
        <w:pStyle w:val="56"/>
        <w:ind w:firstLine="0" w:firstLineChars="0"/>
        <w:jc w:val="center"/>
      </w:pPr>
      <w:bookmarkStart w:id="262"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62"/>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326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1" w:cryptProviderType="rsaAES" w:cryptAlgorithmClass="hash" w:cryptAlgorithmType="typeAny" w:cryptAlgorithmSid="14" w:cryptSpinCount="100000" w:hash="ixnIMYg0vElcH+oNE43gtWAJHkakXJn9LfiTWDPP4FMnmzdISGmdtdfKv/AuSspZNMABunP1m6ZXRYDwWbAB0w==" w:salt="lbjnriq2tv3n3HZNJ587T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mQxYWI0Y2E1ZGE4YTI3ZGQxMmQ0NzdhNmRjOTUifQ=="/>
  </w:docVars>
  <w:rsids>
    <w:rsidRoot w:val="0099141A"/>
    <w:rsid w:val="0000040A"/>
    <w:rsid w:val="00000A94"/>
    <w:rsid w:val="00001972"/>
    <w:rsid w:val="00001D9A"/>
    <w:rsid w:val="00001E4D"/>
    <w:rsid w:val="00004A5E"/>
    <w:rsid w:val="00007B3A"/>
    <w:rsid w:val="000107E0"/>
    <w:rsid w:val="00011FDE"/>
    <w:rsid w:val="00012FFD"/>
    <w:rsid w:val="00013B75"/>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0B2"/>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0744"/>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5F0"/>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58"/>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795"/>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97CC6"/>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53C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5C5"/>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435"/>
    <w:rsid w:val="00407D39"/>
    <w:rsid w:val="0041477A"/>
    <w:rsid w:val="004167A3"/>
    <w:rsid w:val="00421DCD"/>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474"/>
    <w:rsid w:val="005073F0"/>
    <w:rsid w:val="00510A7B"/>
    <w:rsid w:val="00512E3C"/>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899"/>
    <w:rsid w:val="00545E64"/>
    <w:rsid w:val="005479DA"/>
    <w:rsid w:val="00547BCC"/>
    <w:rsid w:val="0055013B"/>
    <w:rsid w:val="00551F6F"/>
    <w:rsid w:val="00555044"/>
    <w:rsid w:val="00561475"/>
    <w:rsid w:val="00562308"/>
    <w:rsid w:val="00562759"/>
    <w:rsid w:val="0056487B"/>
    <w:rsid w:val="00564FB9"/>
    <w:rsid w:val="00573D9E"/>
    <w:rsid w:val="00575D41"/>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311F"/>
    <w:rsid w:val="005F38E4"/>
    <w:rsid w:val="005F5BF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817"/>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D6E"/>
    <w:rsid w:val="00765C43"/>
    <w:rsid w:val="00765EFB"/>
    <w:rsid w:val="007671CA"/>
    <w:rsid w:val="00767C61"/>
    <w:rsid w:val="0077008A"/>
    <w:rsid w:val="00773C1F"/>
    <w:rsid w:val="00774DA4"/>
    <w:rsid w:val="00776599"/>
    <w:rsid w:val="0078114B"/>
    <w:rsid w:val="00781DD2"/>
    <w:rsid w:val="00783ECF"/>
    <w:rsid w:val="00783FED"/>
    <w:rsid w:val="0078413A"/>
    <w:rsid w:val="007857D6"/>
    <w:rsid w:val="007959E8"/>
    <w:rsid w:val="00795E9C"/>
    <w:rsid w:val="007A0521"/>
    <w:rsid w:val="007A2E12"/>
    <w:rsid w:val="007A3475"/>
    <w:rsid w:val="007A41C8"/>
    <w:rsid w:val="007A4D14"/>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6D27"/>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2753A"/>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2F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41A"/>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B94"/>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1AA3"/>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3E64"/>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6A0"/>
    <w:rsid w:val="00BB5218"/>
    <w:rsid w:val="00BB5F8F"/>
    <w:rsid w:val="00BB657A"/>
    <w:rsid w:val="00BC1A4E"/>
    <w:rsid w:val="00BC5DC7"/>
    <w:rsid w:val="00BC6B8B"/>
    <w:rsid w:val="00BC73D8"/>
    <w:rsid w:val="00BD52D7"/>
    <w:rsid w:val="00BD5AD2"/>
    <w:rsid w:val="00BE22F3"/>
    <w:rsid w:val="00BE5B52"/>
    <w:rsid w:val="00BE6DDD"/>
    <w:rsid w:val="00BE7B8D"/>
    <w:rsid w:val="00BF0993"/>
    <w:rsid w:val="00BF10A9"/>
    <w:rsid w:val="00BF1703"/>
    <w:rsid w:val="00BF231C"/>
    <w:rsid w:val="00BF51E5"/>
    <w:rsid w:val="00BF74A6"/>
    <w:rsid w:val="00C005AE"/>
    <w:rsid w:val="00C013AD"/>
    <w:rsid w:val="00C04904"/>
    <w:rsid w:val="00C0527E"/>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18F"/>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E99"/>
    <w:rsid w:val="00D66846"/>
    <w:rsid w:val="00D675FB"/>
    <w:rsid w:val="00D71F25"/>
    <w:rsid w:val="00D72A9C"/>
    <w:rsid w:val="00D77031"/>
    <w:rsid w:val="00D84941"/>
    <w:rsid w:val="00D84FA1"/>
    <w:rsid w:val="00D851F0"/>
    <w:rsid w:val="00D85563"/>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523"/>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D78"/>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97B"/>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95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6ED8"/>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33E4"/>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08A"/>
    <w:rsid w:val="00FD59EB"/>
    <w:rsid w:val="00FD7299"/>
    <w:rsid w:val="00FE1FBE"/>
    <w:rsid w:val="00FE3901"/>
    <w:rsid w:val="00FE39D3"/>
    <w:rsid w:val="00FE4BCE"/>
    <w:rsid w:val="00FE53F6"/>
    <w:rsid w:val="00FE54AE"/>
    <w:rsid w:val="00FE576A"/>
    <w:rsid w:val="00FE7E79"/>
    <w:rsid w:val="00FF3E7D"/>
    <w:rsid w:val="00FF5B99"/>
    <w:rsid w:val="00FF730C"/>
    <w:rsid w:val="00FF73F4"/>
    <w:rsid w:val="00FF7CE4"/>
    <w:rsid w:val="00FF7E39"/>
    <w:rsid w:val="02A15DDB"/>
    <w:rsid w:val="03B33522"/>
    <w:rsid w:val="0BCC7AB8"/>
    <w:rsid w:val="0FC11AFA"/>
    <w:rsid w:val="21FC0048"/>
    <w:rsid w:val="27296590"/>
    <w:rsid w:val="535008D2"/>
    <w:rsid w:val="56922765"/>
    <w:rsid w:val="5FD24A02"/>
    <w:rsid w:val="662A1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BF9D0F7ACB146C6A7A2EC10E329ECFC"/>
        <w:style w:val=""/>
        <w:category>
          <w:name w:val="常规"/>
          <w:gallery w:val="placeholder"/>
        </w:category>
        <w:types>
          <w:type w:val="bbPlcHdr"/>
        </w:types>
        <w:behaviors>
          <w:behavior w:val="content"/>
        </w:behaviors>
        <w:description w:val=""/>
        <w:guid w:val="{57C1F976-E98A-4E43-A5EC-7748794F2142}"/>
      </w:docPartPr>
      <w:docPartBody>
        <w:p>
          <w:pPr>
            <w:pStyle w:val="5"/>
          </w:pPr>
          <w:r>
            <w:rPr>
              <w:rStyle w:val="4"/>
              <w:rFonts w:hint="eastAsia"/>
            </w:rPr>
            <w:t>单击或点击此处输入文字。</w:t>
          </w:r>
        </w:p>
      </w:docPartBody>
    </w:docPart>
    <w:docPart>
      <w:docPartPr>
        <w:name w:val="A96A246ED04A4C928FE3F570B5FD5E38"/>
        <w:style w:val=""/>
        <w:category>
          <w:name w:val="常规"/>
          <w:gallery w:val="placeholder"/>
        </w:category>
        <w:types>
          <w:type w:val="bbPlcHdr"/>
        </w:types>
        <w:behaviors>
          <w:behavior w:val="content"/>
        </w:behaviors>
        <w:description w:val=""/>
        <w:guid w:val="{1CB3FB73-3FF8-49A6-8C2E-44E3AFDF55E5}"/>
      </w:docPartPr>
      <w:docPartBody>
        <w:p>
          <w:pPr>
            <w:pStyle w:val="6"/>
          </w:pPr>
          <w:r>
            <w:rPr>
              <w:rStyle w:val="4"/>
              <w:rFonts w:hint="eastAsia"/>
            </w:rPr>
            <w:t>选择一项。</w:t>
          </w:r>
        </w:p>
      </w:docPartBody>
    </w:docPart>
    <w:docPart>
      <w:docPartPr>
        <w:name w:val="7268D22988B14FC1B071B8CD6D53F1EB"/>
        <w:style w:val=""/>
        <w:category>
          <w:name w:val="常规"/>
          <w:gallery w:val="placeholder"/>
        </w:category>
        <w:types>
          <w:type w:val="bbPlcHdr"/>
        </w:types>
        <w:behaviors>
          <w:behavior w:val="content"/>
        </w:behaviors>
        <w:description w:val=""/>
        <w:guid w:val="{718BC072-B92A-4F30-B6B0-09057544E1F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392"/>
    <w:rsid w:val="00375CC3"/>
    <w:rsid w:val="003B3E6C"/>
    <w:rsid w:val="004F3CDE"/>
    <w:rsid w:val="0066598D"/>
    <w:rsid w:val="00743392"/>
    <w:rsid w:val="007A7124"/>
    <w:rsid w:val="00827D51"/>
    <w:rsid w:val="008B33B3"/>
    <w:rsid w:val="00A316DC"/>
    <w:rsid w:val="00A95A47"/>
    <w:rsid w:val="00B15AF2"/>
    <w:rsid w:val="00BA6C08"/>
    <w:rsid w:val="00C04605"/>
    <w:rsid w:val="00D23660"/>
    <w:rsid w:val="00D51470"/>
    <w:rsid w:val="00E34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BF9D0F7ACB146C6A7A2EC10E329ECF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96A246ED04A4C928FE3F570B5FD5E3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268D22988B14FC1B071B8CD6D53F1EB"/>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EFB0D5-C5BC-4E84-A0A7-DB3AFE08A2C3}">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3721</Words>
  <Characters>4026</Characters>
  <Lines>36</Lines>
  <Paragraphs>10</Paragraphs>
  <TotalTime>3</TotalTime>
  <ScaleCrop>false</ScaleCrop>
  <LinksUpToDate>false</LinksUpToDate>
  <CharactersWithSpaces>4128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2023-09-26T06:37:00Z</dcterms:created>
  <dc:creator>LENOVO</dc:creator>
  <dc:description>&lt;config cover="true" show_menu="true" version="1.0.0" doctype="SDKXY"&gt;_x000d_
&lt;/config&gt;</dc:description>
  <cp:lastModifiedBy>蒙蒙胧胧</cp:lastModifiedBy>
  <cp:lastPrinted>2021-02-02T08:22:00Z</cp:lastPrinted>
  <dcterms:modified xsi:type="dcterms:W3CDTF">2023-10-17T02:17:41Z</dcterms:modified>
  <dc:title>团体标准</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EB115925374548C99F11F708C421FA04_12</vt:lpwstr>
  </property>
</Properties>
</file>