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ordWrap/>
        <w:topLinePunct w:val="0"/>
        <w:autoSpaceDE/>
        <w:autoSpaceDN/>
        <w:bidi w:val="0"/>
        <w:adjustRightInd/>
        <w:spacing w:line="580" w:lineRule="exact"/>
        <w:jc w:val="center"/>
        <w:textAlignment w:val="auto"/>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团体标准《研学旅行从业人员培训服务规范》（征求意见稿）编制说明</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一、任务来源</w:t>
      </w:r>
    </w:p>
    <w:p>
      <w:pPr>
        <w:pStyle w:val="4"/>
        <w:keepNext w:val="0"/>
        <w:keepLines w:val="0"/>
        <w:pageBreakBefore w:val="0"/>
        <w:kinsoku w:val="0"/>
        <w:wordWrap/>
        <w:overflowPunct w:val="0"/>
        <w:topLinePunct w:val="0"/>
        <w:autoSpaceDE/>
        <w:autoSpaceDN/>
        <w:bidi w:val="0"/>
        <w:adjustRightInd/>
        <w:snapToGrid w:val="0"/>
        <w:spacing w:line="580" w:lineRule="exact"/>
        <w:ind w:firstLine="640" w:firstLineChars="200"/>
        <w:jc w:val="left"/>
        <w:textAlignment w:val="auto"/>
        <w:outlineLvl w:val="0"/>
        <w:rPr>
          <w:rFonts w:hint="eastAsia" w:ascii="Times New Roman" w:hAnsi="Times New Roman" w:eastAsia="仿宋_GB2312" w:cs="Times New Roman"/>
          <w:color w:val="auto"/>
          <w:sz w:val="32"/>
          <w:szCs w:val="32"/>
          <w:highlight w:val="none"/>
          <w:lang w:eastAsia="zh-CN"/>
        </w:rPr>
      </w:pPr>
      <w:r>
        <w:rPr>
          <w:rFonts w:hint="eastAsia" w:ascii="仿宋_GB2312" w:hAnsi="宋体" w:eastAsia="仿宋_GB2312"/>
          <w:sz w:val="32"/>
          <w:szCs w:val="28"/>
          <w:lang w:val="zh-CN"/>
        </w:rPr>
        <w:t>根据</w:t>
      </w:r>
      <w:r>
        <w:rPr>
          <w:rFonts w:hint="eastAsia" w:ascii="仿宋_GB2312" w:hAnsi="宋体" w:eastAsia="仿宋_GB2312"/>
          <w:color w:val="000000" w:themeColor="text1"/>
          <w:sz w:val="32"/>
          <w:szCs w:val="28"/>
          <w:lang w:val="zh-CN"/>
          <w14:textFill>
            <w14:solidFill>
              <w14:schemeClr w14:val="tx1"/>
            </w14:solidFill>
          </w14:textFill>
        </w:rPr>
        <w:t>《广西标准化协会关于下达2023年第三十三批团体标准制修订项目计划的通知》（桂标协</w:t>
      </w:r>
      <w:r>
        <w:rPr>
          <w:rFonts w:hint="eastAsia" w:ascii="仿宋_GB2312" w:hAnsi="微软雅黑" w:eastAsia="仿宋_GB2312" w:cs="微软雅黑"/>
          <w:color w:val="000000" w:themeColor="text1"/>
          <w:sz w:val="32"/>
          <w:szCs w:val="28"/>
          <w:lang w:val="zh-CN"/>
          <w14:textFill>
            <w14:solidFill>
              <w14:schemeClr w14:val="tx1"/>
            </w14:solidFill>
          </w14:textFill>
        </w:rPr>
        <w:t>〔</w:t>
      </w:r>
      <w:r>
        <w:rPr>
          <w:rFonts w:hint="eastAsia" w:ascii="仿宋_GB2312" w:hAnsi="宋体" w:eastAsia="仿宋_GB2312"/>
          <w:color w:val="000000" w:themeColor="text1"/>
          <w:sz w:val="32"/>
          <w:szCs w:val="28"/>
          <w:lang w:val="zh-CN"/>
          <w14:textFill>
            <w14:solidFill>
              <w14:schemeClr w14:val="tx1"/>
            </w14:solidFill>
          </w14:textFill>
        </w:rPr>
        <w:t>202</w:t>
      </w:r>
      <w:r>
        <w:rPr>
          <w:rFonts w:ascii="仿宋_GB2312" w:hAnsi="宋体" w:eastAsia="仿宋_GB2312"/>
          <w:color w:val="000000" w:themeColor="text1"/>
          <w:sz w:val="32"/>
          <w:szCs w:val="28"/>
          <w:lang w:val="zh-CN"/>
          <w14:textFill>
            <w14:solidFill>
              <w14:schemeClr w14:val="tx1"/>
            </w14:solidFill>
          </w14:textFill>
        </w:rPr>
        <w:t>3</w:t>
      </w:r>
      <w:r>
        <w:rPr>
          <w:rFonts w:hint="eastAsia" w:ascii="仿宋_GB2312" w:hAnsi="微软雅黑" w:eastAsia="仿宋_GB2312" w:cs="微软雅黑"/>
          <w:color w:val="000000" w:themeColor="text1"/>
          <w:sz w:val="32"/>
          <w:szCs w:val="28"/>
          <w:lang w:val="zh-CN"/>
          <w14:textFill>
            <w14:solidFill>
              <w14:schemeClr w14:val="tx1"/>
            </w14:solidFill>
          </w14:textFill>
        </w:rPr>
        <w:t>〕</w:t>
      </w:r>
      <w:r>
        <w:rPr>
          <w:rFonts w:hint="eastAsia" w:ascii="仿宋_GB2312" w:hAnsi="宋体" w:eastAsia="仿宋_GB2312"/>
          <w:color w:val="000000" w:themeColor="text1"/>
          <w:sz w:val="32"/>
          <w:szCs w:val="28"/>
          <w:lang w:val="en-US" w:eastAsia="zh-CN"/>
          <w14:textFill>
            <w14:solidFill>
              <w14:schemeClr w14:val="tx1"/>
            </w14:solidFill>
          </w14:textFill>
        </w:rPr>
        <w:t>119</w:t>
      </w:r>
      <w:r>
        <w:rPr>
          <w:rFonts w:hint="eastAsia" w:ascii="仿宋_GB2312" w:hAnsi="宋体" w:eastAsia="仿宋_GB2312"/>
          <w:color w:val="000000" w:themeColor="text1"/>
          <w:sz w:val="32"/>
          <w:szCs w:val="28"/>
          <w:lang w:val="zh-CN"/>
          <w14:textFill>
            <w14:solidFill>
              <w14:schemeClr w14:val="tx1"/>
            </w14:solidFill>
          </w14:textFill>
        </w:rPr>
        <w:t>号）文件精神，由桂林旅游学院、广西旅游协会提出，桂林旅游学院研学旅行教育研究中心、桂林旅游学院继续教育学院、广西师范大学体育与健康学院、广西旅游协会等单位共同起草的团体标准《研学旅行从业人员培训服务规范》</w:t>
      </w:r>
      <w:r>
        <w:rPr>
          <w:rFonts w:hint="eastAsia" w:hAnsi="宋体"/>
          <w:color w:val="000000" w:themeColor="text1"/>
          <w:sz w:val="32"/>
          <w:szCs w:val="28"/>
          <w:lang w:val="zh-CN"/>
          <w14:textFill>
            <w14:solidFill>
              <w14:schemeClr w14:val="tx1"/>
            </w14:solidFill>
          </w14:textFill>
        </w:rPr>
        <w:t>（</w:t>
      </w:r>
      <w:r>
        <w:rPr>
          <w:rFonts w:hint="eastAsia" w:ascii="仿宋_GB2312" w:hAnsi="宋体" w:eastAsia="仿宋_GB2312"/>
          <w:color w:val="000000" w:themeColor="text1"/>
          <w:sz w:val="32"/>
          <w:szCs w:val="28"/>
          <w:lang w:val="zh-CN"/>
          <w14:textFill>
            <w14:solidFill>
              <w14:schemeClr w14:val="tx1"/>
            </w14:solidFill>
          </w14:textFill>
        </w:rPr>
        <w:t>项目编号：2023-</w:t>
      </w:r>
      <w:r>
        <w:rPr>
          <w:rFonts w:hint="eastAsia" w:ascii="仿宋_GB2312" w:hAnsi="宋体" w:eastAsia="仿宋_GB2312"/>
          <w:color w:val="000000" w:themeColor="text1"/>
          <w:sz w:val="32"/>
          <w:szCs w:val="28"/>
          <w:lang w:val="en-US" w:eastAsia="zh-CN"/>
          <w14:textFill>
            <w14:solidFill>
              <w14:schemeClr w14:val="tx1"/>
            </w14:solidFill>
          </w14:textFill>
        </w:rPr>
        <w:t>34</w:t>
      </w:r>
      <w:r>
        <w:rPr>
          <w:rFonts w:hint="eastAsia" w:ascii="仿宋_GB2312" w:hAnsi="宋体" w:eastAsia="仿宋_GB2312"/>
          <w:color w:val="000000" w:themeColor="text1"/>
          <w:sz w:val="32"/>
          <w:szCs w:val="28"/>
          <w:lang w:val="zh-CN"/>
          <w14:textFill>
            <w14:solidFill>
              <w14:schemeClr w14:val="tx1"/>
            </w14:solidFill>
          </w14:textFill>
        </w:rPr>
        <w:t>02</w:t>
      </w:r>
      <w:r>
        <w:rPr>
          <w:rFonts w:hint="eastAsia" w:hAnsi="宋体"/>
          <w:color w:val="000000" w:themeColor="text1"/>
          <w:sz w:val="32"/>
          <w:szCs w:val="28"/>
          <w:lang w:val="zh-CN"/>
          <w14:textFill>
            <w14:solidFill>
              <w14:schemeClr w14:val="tx1"/>
            </w14:solidFill>
          </w14:textFill>
        </w:rPr>
        <w:t>）</w:t>
      </w:r>
      <w:r>
        <w:rPr>
          <w:rFonts w:hint="eastAsia" w:eastAsia="仿宋_GB2312" w:cs="Times New Roman"/>
          <w:color w:val="000000" w:themeColor="text1"/>
          <w:sz w:val="32"/>
          <w:szCs w:val="32"/>
          <w:highlight w:val="none"/>
          <w:lang w:eastAsia="zh-CN"/>
          <w14:textFill>
            <w14:solidFill>
              <w14:schemeClr w14:val="tx1"/>
            </w14:solidFill>
          </w14:textFill>
        </w:rPr>
        <w:t>，</w:t>
      </w:r>
      <w:r>
        <w:rPr>
          <w:rFonts w:ascii="Times New Roman" w:hAnsi="Times New Roman" w:eastAsia="仿宋_GB2312" w:cs="Times New Roman"/>
          <w:color w:val="000000" w:themeColor="text1"/>
          <w:sz w:val="32"/>
          <w:szCs w:val="32"/>
          <w14:textFill>
            <w14:solidFill>
              <w14:schemeClr w14:val="tx1"/>
            </w14:solidFill>
          </w14:textFill>
        </w:rPr>
        <w:t>特制</w:t>
      </w:r>
      <w:r>
        <w:rPr>
          <w:rFonts w:ascii="Times New Roman" w:hAnsi="Times New Roman" w:eastAsia="仿宋_GB2312" w:cs="Times New Roman"/>
          <w:color w:val="auto"/>
          <w:sz w:val="32"/>
          <w:szCs w:val="32"/>
        </w:rPr>
        <w:t>定本</w:t>
      </w:r>
      <w:r>
        <w:rPr>
          <w:rFonts w:hint="eastAsia" w:ascii="Times New Roman" w:hAnsi="Times New Roman" w:eastAsia="仿宋_GB2312" w:cs="Times New Roman"/>
          <w:color w:val="auto"/>
          <w:sz w:val="32"/>
          <w:szCs w:val="32"/>
          <w:highlight w:val="none"/>
          <w:lang w:val="en-US" w:eastAsia="zh-CN"/>
        </w:rPr>
        <w:t>（征求意）编制说明</w:t>
      </w:r>
      <w:r>
        <w:rPr>
          <w:rFonts w:hint="eastAsia" w:ascii="Times New Roman" w:hAnsi="Times New Roman" w:cs="Times New Roman"/>
          <w:color w:val="auto"/>
          <w:sz w:val="32"/>
          <w:szCs w:val="32"/>
          <w:highlight w:val="none"/>
          <w:lang w:val="en-US" w:eastAsia="zh-CN"/>
        </w:rPr>
        <w:t>。</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二、制定标准的必要性和意义</w:t>
      </w:r>
    </w:p>
    <w:p>
      <w:pPr>
        <w:keepNext w:val="0"/>
        <w:keepLines w:val="0"/>
        <w:pageBreakBefore w:val="0"/>
        <w:numPr>
          <w:ilvl w:val="0"/>
          <w:numId w:val="0"/>
        </w:numPr>
        <w:wordWrap/>
        <w:topLinePunct w:val="0"/>
        <w:autoSpaceDE/>
        <w:autoSpaceDN/>
        <w:bidi w:val="0"/>
        <w:adjustRightInd/>
        <w:spacing w:line="580" w:lineRule="exact"/>
        <w:ind w:firstLine="640" w:firstLineChars="200"/>
        <w:textAlignment w:val="auto"/>
        <w:rPr>
          <w:rFonts w:hint="eastAsia" w:ascii="仿宋_GB2312" w:hAnsi="宋体" w:eastAsia="仿宋_GB2312"/>
          <w:color w:val="FF0000"/>
          <w:sz w:val="32"/>
          <w:szCs w:val="28"/>
          <w:lang w:val="zh-CN" w:eastAsia="zh-CN"/>
        </w:rPr>
      </w:pPr>
      <w:r>
        <w:rPr>
          <w:rFonts w:hint="eastAsia" w:ascii="仿宋_GB2312" w:hAnsi="宋体" w:eastAsia="仿宋_GB2312"/>
          <w:sz w:val="32"/>
          <w:szCs w:val="28"/>
          <w:lang w:val="zh-CN"/>
        </w:rPr>
        <w:t>自2016年11月30日，教育部等11部门联合出台《关于推进中小学生研学旅行的意见》。研学旅行有序地在全国堆放实施，在研学旅行的过程中，研学旅行从业人员起着至关重要的作用。</w:t>
      </w:r>
      <w:r>
        <w:rPr>
          <w:rFonts w:hint="eastAsia" w:ascii="仿宋_GB2312" w:hAnsi="宋体" w:eastAsia="仿宋_GB2312"/>
          <w:color w:val="FF0000"/>
          <w:sz w:val="32"/>
          <w:szCs w:val="28"/>
          <w:lang w:val="zh-CN" w:eastAsia="zh-CN"/>
        </w:rPr>
        <w:t>广西积极落实教育部等11部门《关于推进中小学生研学旅行的意见》等文件精神，大力推进研学旅行实践工作，进一步挖掘广西研学实践资源，持续深化研学</w:t>
      </w:r>
      <w:r>
        <w:rPr>
          <w:rFonts w:hint="eastAsia" w:ascii="仿宋_GB2312" w:hAnsi="宋体" w:eastAsia="仿宋_GB2312"/>
          <w:color w:val="FF0000"/>
          <w:sz w:val="32"/>
          <w:szCs w:val="28"/>
          <w:lang w:val="en-US" w:eastAsia="zh-CN"/>
        </w:rPr>
        <w:t>旅行活动</w:t>
      </w:r>
      <w:r>
        <w:rPr>
          <w:rFonts w:hint="eastAsia" w:ascii="仿宋_GB2312" w:hAnsi="宋体" w:eastAsia="仿宋_GB2312"/>
          <w:color w:val="FF0000"/>
          <w:sz w:val="32"/>
          <w:szCs w:val="28"/>
          <w:lang w:val="zh-CN" w:eastAsia="zh-CN"/>
        </w:rPr>
        <w:t>。截至2022年12月，广西建立了覆盖全区包括优秀传统文化教育、革命传统教育、国情教育、国防科工、自然生态等五大板块的中小学生研学实践教育基地、营地共727个，其中国家级基（营）地20个，自治区级基（营）地255个。2022年，协助教育厅推动各地教育部门积极开展研学实践教育基地建设、课程建设；各设区市评出基（营）地452个，接待中小学生近二百万人次。当前常态化开展研学旅行活动下对研学旅行</w:t>
      </w:r>
      <w:r>
        <w:rPr>
          <w:rFonts w:hint="eastAsia" w:ascii="仿宋_GB2312" w:hAnsi="宋体" w:eastAsia="仿宋_GB2312"/>
          <w:color w:val="FF0000"/>
          <w:sz w:val="32"/>
          <w:szCs w:val="28"/>
          <w:lang w:val="en-US" w:eastAsia="zh-CN"/>
        </w:rPr>
        <w:t>从业者</w:t>
      </w:r>
      <w:r>
        <w:rPr>
          <w:rFonts w:hint="eastAsia" w:ascii="仿宋_GB2312" w:hAnsi="宋体" w:eastAsia="仿宋_GB2312"/>
          <w:color w:val="FF0000"/>
          <w:sz w:val="32"/>
          <w:szCs w:val="28"/>
          <w:lang w:val="zh-CN" w:eastAsia="zh-CN"/>
        </w:rPr>
        <w:t>要求不断增加，为满足常态化开展研学旅行需求，通过标准化</w:t>
      </w:r>
      <w:r>
        <w:rPr>
          <w:rFonts w:hint="eastAsia" w:ascii="仿宋_GB2312" w:hAnsi="宋体" w:eastAsia="仿宋_GB2312"/>
          <w:color w:val="FF0000"/>
          <w:sz w:val="32"/>
          <w:szCs w:val="28"/>
          <w:lang w:val="en-US" w:eastAsia="zh-CN"/>
        </w:rPr>
        <w:t>开展研学旅行从业者培训，加快和</w:t>
      </w:r>
      <w:r>
        <w:rPr>
          <w:rFonts w:hint="eastAsia" w:ascii="仿宋_GB2312" w:hAnsi="宋体" w:eastAsia="仿宋_GB2312"/>
          <w:color w:val="FF0000"/>
          <w:sz w:val="32"/>
          <w:szCs w:val="28"/>
          <w:lang w:val="zh-CN" w:eastAsia="zh-CN"/>
        </w:rPr>
        <w:t>丰富研学课程内容和形式、提高</w:t>
      </w:r>
      <w:r>
        <w:rPr>
          <w:rFonts w:hint="eastAsia" w:ascii="仿宋_GB2312" w:hAnsi="宋体" w:eastAsia="仿宋_GB2312"/>
          <w:color w:val="FF0000"/>
          <w:sz w:val="32"/>
          <w:szCs w:val="28"/>
          <w:lang w:val="en-US" w:eastAsia="zh-CN"/>
        </w:rPr>
        <w:t>研学旅行</w:t>
      </w:r>
      <w:r>
        <w:rPr>
          <w:rFonts w:hint="eastAsia" w:ascii="仿宋_GB2312" w:hAnsi="宋体" w:eastAsia="仿宋_GB2312"/>
          <w:color w:val="FF0000"/>
          <w:sz w:val="32"/>
          <w:szCs w:val="28"/>
          <w:lang w:val="zh-CN" w:eastAsia="zh-CN"/>
        </w:rPr>
        <w:t>师队伍质量，</w:t>
      </w:r>
      <w:r>
        <w:rPr>
          <w:rFonts w:hint="eastAsia" w:ascii="仿宋_GB2312" w:hAnsi="宋体" w:eastAsia="仿宋_GB2312"/>
          <w:color w:val="FF0000"/>
          <w:sz w:val="32"/>
          <w:szCs w:val="28"/>
          <w:lang w:val="en-US" w:eastAsia="zh-CN"/>
        </w:rPr>
        <w:t>推进广西研学旅行的健康发展。</w:t>
      </w:r>
    </w:p>
    <w:p>
      <w:pPr>
        <w:keepNext w:val="0"/>
        <w:keepLines w:val="0"/>
        <w:pageBreakBefore w:val="0"/>
        <w:numPr>
          <w:ilvl w:val="0"/>
          <w:numId w:val="0"/>
        </w:numPr>
        <w:wordWrap/>
        <w:topLinePunct w:val="0"/>
        <w:autoSpaceDE/>
        <w:autoSpaceDN/>
        <w:bidi w:val="0"/>
        <w:adjustRightInd/>
        <w:spacing w:line="580" w:lineRule="exact"/>
        <w:ind w:firstLine="643" w:firstLineChars="200"/>
        <w:textAlignment w:val="auto"/>
        <w:rPr>
          <w:rFonts w:hint="eastAsia" w:ascii="楷体" w:hAnsi="楷体" w:eastAsia="楷体"/>
          <w:b/>
          <w:sz w:val="32"/>
          <w:szCs w:val="32"/>
          <w:lang w:val="zh-CN" w:eastAsia="zh-CN"/>
        </w:rPr>
      </w:pPr>
      <w:r>
        <w:rPr>
          <w:rFonts w:hint="eastAsia" w:ascii="楷体" w:hAnsi="楷体" w:eastAsia="楷体"/>
          <w:b/>
          <w:sz w:val="32"/>
          <w:szCs w:val="32"/>
          <w:lang w:val="zh-CN" w:eastAsia="zh-CN"/>
        </w:rPr>
        <w:t>（一）必要性</w:t>
      </w:r>
    </w:p>
    <w:p>
      <w:pPr>
        <w:keepNext w:val="0"/>
        <w:keepLines w:val="0"/>
        <w:pageBreakBefore w:val="0"/>
        <w:numPr>
          <w:ilvl w:val="0"/>
          <w:numId w:val="0"/>
        </w:numPr>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研学旅行从业人员设计策划、制定、实施研学旅行方案，组织、指导开展研学体验活动等。业务范围广、对接环节多、工作要求细，工作岗位也在逐步出现专业化、精细化、标准化趋势发展。作为教育从业者，研学旅行从业人员需要具备良好的身体素质；良好的职业道德，遵守教师与导游职业行为规范；合理的知识结构和渊博的知识内容。就目前研学旅行从业人员来源主要为原旅游从业人员转型居多，这部分人群中大部分缺乏对教育学、心理学的认知；或学校的教师，这部分人群又缺乏活动的组织与实施经验。所以，合格的研学旅行从业人员仍相当不足。因此，有必要对研学旅行从业人员进行系统、规范的要求培训。</w:t>
      </w:r>
    </w:p>
    <w:p>
      <w:pPr>
        <w:keepNext w:val="0"/>
        <w:keepLines w:val="0"/>
        <w:pageBreakBefore w:val="0"/>
        <w:numPr>
          <w:ilvl w:val="0"/>
          <w:numId w:val="6"/>
        </w:numPr>
        <w:wordWrap/>
        <w:topLinePunct w:val="0"/>
        <w:autoSpaceDE/>
        <w:autoSpaceDN/>
        <w:bidi w:val="0"/>
        <w:adjustRightInd/>
        <w:spacing w:line="580" w:lineRule="exact"/>
        <w:ind w:firstLine="643" w:firstLineChars="200"/>
        <w:textAlignment w:val="auto"/>
        <w:rPr>
          <w:rFonts w:hint="eastAsia" w:ascii="楷体" w:hAnsi="楷体" w:eastAsia="楷体"/>
          <w:b/>
          <w:sz w:val="32"/>
          <w:szCs w:val="32"/>
          <w:lang w:val="zh-CN" w:eastAsia="zh-CN"/>
        </w:rPr>
      </w:pPr>
      <w:r>
        <w:rPr>
          <w:rFonts w:hint="eastAsia" w:ascii="楷体" w:hAnsi="楷体" w:eastAsia="楷体"/>
          <w:b/>
          <w:sz w:val="32"/>
          <w:szCs w:val="32"/>
          <w:lang w:val="zh-CN" w:eastAsia="zh-CN"/>
        </w:rPr>
        <w:t>可行性</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color w:val="FF0000"/>
          <w:sz w:val="32"/>
          <w:szCs w:val="28"/>
          <w:lang w:val="en-US" w:eastAsia="zh-CN"/>
        </w:rPr>
      </w:pPr>
      <w:r>
        <w:rPr>
          <w:rFonts w:hint="eastAsia" w:ascii="仿宋_GB2312" w:hAnsi="宋体" w:eastAsia="仿宋_GB2312"/>
          <w:sz w:val="32"/>
          <w:szCs w:val="28"/>
          <w:lang w:val="zh-CN"/>
        </w:rPr>
        <w:t>2022年，桂林旅游学院研学旅行教育研究中心成立，至今已经获批立项省部级课题1项；</w:t>
      </w:r>
      <w:r>
        <w:rPr>
          <w:rFonts w:hint="eastAsia" w:ascii="仿宋_GB2312" w:hAnsi="宋体" w:eastAsia="仿宋_GB2312"/>
          <w:color w:val="FF0000"/>
          <w:sz w:val="32"/>
          <w:szCs w:val="28"/>
          <w:lang w:val="zh-CN"/>
        </w:rPr>
        <w:t>市厅级《教育均衡视域下广西研学旅行资源配置研究》（2022年广西教育科学规划专项课题）</w:t>
      </w:r>
      <w:r>
        <w:rPr>
          <w:rFonts w:hint="eastAsia" w:ascii="仿宋" w:hAnsi="仿宋" w:eastAsia="仿宋"/>
          <w:color w:val="FF0000"/>
          <w:sz w:val="32"/>
          <w:szCs w:val="32"/>
          <w:lang w:eastAsia="zh-CN"/>
        </w:rPr>
        <w:t>《基于“素质洋葱模型”构建广西研学旅行指导师胜任力研究》等</w:t>
      </w:r>
      <w:r>
        <w:rPr>
          <w:rFonts w:hint="eastAsia" w:ascii="仿宋_GB2312" w:hAnsi="宋体" w:eastAsia="仿宋_GB2312"/>
          <w:color w:val="FF0000"/>
          <w:sz w:val="32"/>
          <w:szCs w:val="28"/>
          <w:lang w:val="zh-CN"/>
        </w:rPr>
        <w:t>课题立项7项。</w:t>
      </w:r>
      <w:r>
        <w:rPr>
          <w:rFonts w:hint="eastAsia" w:ascii="仿宋_GB2312" w:hAnsi="宋体" w:eastAsia="仿宋_GB2312"/>
          <w:sz w:val="32"/>
          <w:szCs w:val="28"/>
          <w:lang w:val="zh-CN"/>
        </w:rPr>
        <w:t>学校主办的首届、第二届研学旅行教育发展论坛上发布了《研学旅行培训的“桂旅模式”》《研学旅行的协同融合和创新发展》等研究成果。有丰富的学术研究与标准制定的经验。公开发表了《基于文旅融合初探研学旅行的发展——研学旅行人才培养路径》《研学旅行指导师培训模式研究》《</w:t>
      </w:r>
      <w:r>
        <w:rPr>
          <w:rFonts w:hint="eastAsia" w:ascii="仿宋_GB2312" w:hAnsi="宋体" w:eastAsia="仿宋_GB2312"/>
          <w:sz w:val="32"/>
          <w:szCs w:val="28"/>
          <w:lang w:val="en-US" w:eastAsia="zh-CN"/>
        </w:rPr>
        <w:t>基于网络招聘信息的研学旅行指导师职业岗位能力需求分析与探》等多篇文章。</w:t>
      </w:r>
      <w:r>
        <w:rPr>
          <w:rFonts w:hint="eastAsia" w:ascii="仿宋_GB2312" w:hAnsi="宋体" w:eastAsia="仿宋_GB2312"/>
          <w:color w:val="FF0000"/>
          <w:sz w:val="32"/>
          <w:szCs w:val="28"/>
          <w:lang w:val="en-US" w:eastAsia="zh-CN"/>
        </w:rPr>
        <w:t>近年参与了《研学旅行教育理论与实践》《研学旅行案例选评》编著，2022年立项校级科研项目《基于“素质洋葱模型”构建广西研学旅行指导师胜任力研究》，并通过“问卷星”对广西区内外，研学旅行从业者的现状进行调查和研究。共收集到306份问卷。根据调研情况，拟发表相关文章。</w:t>
      </w:r>
      <w:r>
        <w:rPr>
          <w:rFonts w:hint="eastAsia" w:ascii="仿宋_GB2312" w:hAnsi="宋体" w:eastAsia="仿宋_GB2312"/>
          <w:color w:val="FF0000"/>
          <w:sz w:val="32"/>
          <w:szCs w:val="28"/>
          <w:lang w:val="zh-CN" w:eastAsia="zh-CN"/>
        </w:rPr>
        <w:t>标准编制小组成员将近年的研学</w:t>
      </w:r>
      <w:r>
        <w:rPr>
          <w:rFonts w:hint="eastAsia" w:ascii="仿宋_GB2312" w:hAnsi="宋体" w:eastAsia="仿宋_GB2312"/>
          <w:color w:val="FF0000"/>
          <w:sz w:val="32"/>
          <w:szCs w:val="28"/>
          <w:lang w:val="zh-CN"/>
        </w:rPr>
        <w:t>旅行从业人员培训的经验进行整理，于</w:t>
      </w:r>
      <w:r>
        <w:rPr>
          <w:rFonts w:hint="eastAsia" w:ascii="仿宋_GB2312" w:hAnsi="宋体" w:eastAsia="仿宋_GB2312"/>
          <w:color w:val="FF0000"/>
          <w:sz w:val="32"/>
          <w:szCs w:val="28"/>
          <w:lang w:val="en-US" w:eastAsia="zh-CN"/>
        </w:rPr>
        <w:t>2023年8月由重庆大学出版社出版了《研学旅行培训指南》一书。</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桂林旅游学院于2019年6月获批为中国旅行社协会研学旅行指导师培训基地，截至2023年</w:t>
      </w:r>
      <w:r>
        <w:rPr>
          <w:rFonts w:hint="eastAsia" w:ascii="仿宋_GB2312" w:hAnsi="宋体" w:eastAsia="仿宋_GB2312"/>
          <w:sz w:val="32"/>
          <w:szCs w:val="28"/>
          <w:lang w:val="en-US" w:eastAsia="zh-CN"/>
        </w:rPr>
        <w:t>8</w:t>
      </w:r>
      <w:r>
        <w:rPr>
          <w:rFonts w:hint="eastAsia" w:ascii="仿宋_GB2312" w:hAnsi="宋体" w:eastAsia="仿宋_GB2312"/>
          <w:sz w:val="32"/>
          <w:szCs w:val="28"/>
          <w:lang w:val="zh-CN"/>
        </w:rPr>
        <w:t>月，成功举办1</w:t>
      </w:r>
      <w:r>
        <w:rPr>
          <w:rFonts w:hint="eastAsia" w:ascii="仿宋_GB2312" w:hAnsi="宋体" w:eastAsia="仿宋_GB2312"/>
          <w:sz w:val="32"/>
          <w:szCs w:val="28"/>
          <w:lang w:val="en-US" w:eastAsia="zh-CN"/>
        </w:rPr>
        <w:t>7</w:t>
      </w:r>
      <w:r>
        <w:rPr>
          <w:rFonts w:hint="eastAsia" w:ascii="仿宋_GB2312" w:hAnsi="宋体" w:eastAsia="仿宋_GB2312"/>
          <w:sz w:val="32"/>
          <w:szCs w:val="28"/>
          <w:lang w:val="zh-CN"/>
        </w:rPr>
        <w:t>期研学旅行从业人员培训班、</w:t>
      </w:r>
      <w:r>
        <w:rPr>
          <w:rFonts w:hint="eastAsia" w:ascii="仿宋_GB2312" w:hAnsi="宋体" w:eastAsia="仿宋_GB2312"/>
          <w:color w:val="FF0000"/>
          <w:sz w:val="32"/>
          <w:szCs w:val="28"/>
          <w:lang w:val="en-US" w:eastAsia="zh-CN"/>
        </w:rPr>
        <w:t>1期全国全国研学旅行管理与服务专业师资培训班、1期企业研学旅行专题培训班</w:t>
      </w:r>
      <w:r>
        <w:rPr>
          <w:rFonts w:hint="eastAsia" w:ascii="仿宋_GB2312" w:hAnsi="宋体" w:eastAsia="仿宋_GB2312"/>
          <w:sz w:val="32"/>
          <w:szCs w:val="28"/>
          <w:lang w:val="zh-CN"/>
        </w:rPr>
        <w:t>和1期线上工作坊，学员</w:t>
      </w:r>
      <w:r>
        <w:rPr>
          <w:rFonts w:hint="eastAsia" w:ascii="仿宋_GB2312" w:hAnsi="宋体" w:eastAsia="仿宋_GB2312"/>
          <w:sz w:val="32"/>
          <w:szCs w:val="28"/>
          <w:lang w:val="en-US" w:eastAsia="zh-CN"/>
        </w:rPr>
        <w:t>7</w:t>
      </w:r>
      <w:r>
        <w:rPr>
          <w:rFonts w:hint="eastAsia" w:ascii="仿宋_GB2312" w:hAnsi="宋体" w:eastAsia="仿宋_GB2312"/>
          <w:sz w:val="32"/>
          <w:szCs w:val="28"/>
          <w:lang w:val="zh-CN"/>
        </w:rPr>
        <w:t>00多人，学员来自广东、山东、江苏、云南、重庆、江西、西藏等全国18个省（自治区、直辖市），已经积累了丰富的办班经验，取得了各环节培训服务体会。</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起草单位已经参与了多项标准化制订工作，积累了相关标准化工作经验，此项目的开展完全可行。</w:t>
      </w:r>
    </w:p>
    <w:p>
      <w:pPr>
        <w:keepNext w:val="0"/>
        <w:keepLines w:val="0"/>
        <w:pageBreakBefore w:val="0"/>
        <w:numPr>
          <w:ilvl w:val="0"/>
          <w:numId w:val="6"/>
        </w:numPr>
        <w:wordWrap/>
        <w:topLinePunct w:val="0"/>
        <w:autoSpaceDE/>
        <w:autoSpaceDN/>
        <w:bidi w:val="0"/>
        <w:adjustRightInd/>
        <w:spacing w:line="580" w:lineRule="exact"/>
        <w:ind w:left="0" w:leftChars="0" w:firstLine="643" w:firstLineChars="200"/>
        <w:textAlignment w:val="auto"/>
        <w:rPr>
          <w:rFonts w:hint="eastAsia" w:ascii="楷体" w:hAnsi="楷体" w:eastAsia="楷体"/>
          <w:b/>
          <w:sz w:val="32"/>
          <w:szCs w:val="32"/>
          <w:lang w:val="zh-CN"/>
        </w:rPr>
      </w:pPr>
      <w:r>
        <w:rPr>
          <w:rFonts w:hint="eastAsia" w:ascii="楷体" w:hAnsi="楷体" w:eastAsia="楷体"/>
          <w:b/>
          <w:sz w:val="32"/>
          <w:szCs w:val="32"/>
          <w:lang w:val="zh-CN"/>
        </w:rPr>
        <w:t>紧迫性</w:t>
      </w:r>
    </w:p>
    <w:p>
      <w:pPr>
        <w:keepNext w:val="0"/>
        <w:keepLines w:val="0"/>
        <w:pageBreakBefore w:val="0"/>
        <w:numPr>
          <w:ilvl w:val="0"/>
          <w:numId w:val="0"/>
        </w:numPr>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目前，研学旅行作为旅游业行业发展的新动力，需要庞大研学旅行从业人员作为支撑。因此，引发了研学旅行从业人员培训供给需求，从而要求研学旅行从业人员培训量增大，虽然在2022年6月14日，人社部向社会公示相关新职业信息，其中研学旅行指导师等18个新职业信息作为第一批向社会进行公示。但现在没有研学旅行指导师职业更进一步规范信息。导致目前非教育培训机构也在开展培训业务，相关企业机构缺乏教育教学的认知，培训方案对教育目标设计、教学实施过程、教学活动评价等不规范，出现培训后研学旅行从业人员参差不齐，达不到组织、指导开展研学活动要求。影响研学质量效果。为切实解决研学旅行从业人员培训服务质量问题，应尽快制定《研学旅行从业人员培训服务规范》。进一步解决当前研学旅行从业人员不足、质量不高的问题。对研学旅行行业的发展具有重要的战略意义。</w:t>
      </w:r>
    </w:p>
    <w:p>
      <w:pPr>
        <w:keepNext w:val="0"/>
        <w:keepLines w:val="0"/>
        <w:pageBreakBefore w:val="0"/>
        <w:wordWrap/>
        <w:topLinePunct w:val="0"/>
        <w:autoSpaceDE/>
        <w:autoSpaceDN/>
        <w:bidi w:val="0"/>
        <w:adjustRightInd/>
        <w:spacing w:line="580" w:lineRule="exact"/>
        <w:ind w:firstLine="643" w:firstLineChars="200"/>
        <w:textAlignment w:val="auto"/>
        <w:rPr>
          <w:rFonts w:hint="eastAsia" w:ascii="楷体" w:hAnsi="楷体" w:eastAsia="楷体"/>
          <w:b/>
          <w:sz w:val="32"/>
          <w:szCs w:val="32"/>
          <w:lang w:val="zh-CN" w:eastAsia="zh-CN"/>
        </w:rPr>
      </w:pPr>
      <w:r>
        <w:rPr>
          <w:rFonts w:hint="eastAsia" w:ascii="楷体" w:hAnsi="楷体" w:eastAsia="楷体"/>
          <w:b/>
          <w:sz w:val="32"/>
          <w:szCs w:val="32"/>
          <w:lang w:val="zh-CN"/>
        </w:rPr>
        <w:t>（四）</w:t>
      </w:r>
      <w:r>
        <w:rPr>
          <w:rFonts w:hint="eastAsia" w:ascii="楷体" w:hAnsi="楷体" w:eastAsia="楷体"/>
          <w:b/>
          <w:sz w:val="32"/>
          <w:szCs w:val="32"/>
          <w:lang w:val="zh-CN" w:eastAsia="zh-CN"/>
        </w:rPr>
        <w:t>目的意义</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自2016年11月30日，教育部等11部门联合出台《关于推进中小学生研学旅行的意见》。研学旅行有序地在全国堆放实施，在研学旅行的过程中，研学旅行从业人员起着至关重要的作用。研学旅行的快速发展，人才瓶颈已经凸显出来，据教育部2019年的相关数据，小学、初中、高中的在校学生总数接近1.9亿，按照研学实践的师生比——1:15比例，以及考虑学校研学出行的汇聚比，研学师资的需求数量要超过1330万。加上相关配套产业链的需求，据统计全产业人才缺口超4000万。为满足研学旅行产业发展的人力需求，当前主要的研学旅行从业人员培训机制主要为三类，行业协会联合政府相关部门牵头开展行业专业培训、高校联合社会组织开展岗位技能培训、研学机构组织的辅导培训。自教育部等部门联合印发《关于在院校实施“学历证书+若干职业技能等级证书”制度试点方案》，仅研学旅行方面的职业技能等级证书培训班近年已经举办了约300期培训班。此外各省的研学旅行学（协）会，甚至人口、经济大城市每年几乎均开展了研学旅行从业者人员培训。当前常态化开展研学旅行活动对从业人员的需求在不断增加，为满足常态化开展研学旅行活动从业人员的需求，对研学旅行从业人员的培养、培训是落实研学旅行“立德树人、培养人才”根本目标的关键因素之一。</w:t>
      </w:r>
    </w:p>
    <w:p>
      <w:pPr>
        <w:keepNext w:val="0"/>
        <w:keepLines w:val="0"/>
        <w:pageBreakBefore w:val="0"/>
        <w:numPr>
          <w:ilvl w:val="0"/>
          <w:numId w:val="0"/>
        </w:numPr>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通过制定团体标准《研学旅行从业人员培训服务规范》，以标准为抓手，统一规范</w:t>
      </w:r>
      <w:r>
        <w:rPr>
          <w:rFonts w:hint="eastAsia" w:ascii="仿宋_GB2312" w:hAnsi="宋体" w:eastAsia="仿宋_GB2312"/>
          <w:sz w:val="32"/>
          <w:szCs w:val="28"/>
          <w:lang w:val="en-US" w:eastAsia="zh-CN"/>
        </w:rPr>
        <w:t>培训机构</w:t>
      </w:r>
      <w:r>
        <w:rPr>
          <w:rFonts w:hint="eastAsia" w:ascii="仿宋_GB2312" w:hAnsi="宋体" w:eastAsia="仿宋_GB2312"/>
          <w:sz w:val="32"/>
          <w:szCs w:val="28"/>
          <w:lang w:val="zh-CN"/>
        </w:rPr>
        <w:t>服务的基本要求、教学内容、培训工作流程、教学管理、服务保障、服务评估与改进等方面的要求，用标准化手段，将能更好地指导广西行政区域内研学旅行从业人员培训，对保障区内</w:t>
      </w:r>
      <w:r>
        <w:rPr>
          <w:rFonts w:hint="eastAsia" w:ascii="仿宋_GB2312" w:hAnsi="宋体" w:eastAsia="仿宋_GB2312"/>
          <w:sz w:val="32"/>
          <w:szCs w:val="28"/>
          <w:lang w:val="en-US" w:eastAsia="zh-CN"/>
        </w:rPr>
        <w:t>研学旅行从业人员培训</w:t>
      </w:r>
      <w:r>
        <w:rPr>
          <w:rFonts w:hint="eastAsia" w:ascii="仿宋_GB2312" w:hAnsi="宋体" w:eastAsia="仿宋_GB2312"/>
          <w:sz w:val="32"/>
          <w:szCs w:val="28"/>
          <w:lang w:val="zh-CN"/>
        </w:rPr>
        <w:t>服务质量，促进</w:t>
      </w:r>
      <w:r>
        <w:rPr>
          <w:rFonts w:hint="eastAsia" w:ascii="仿宋_GB2312" w:hAnsi="宋体" w:eastAsia="仿宋_GB2312"/>
          <w:sz w:val="32"/>
          <w:szCs w:val="28"/>
          <w:lang w:val="en-US" w:eastAsia="zh-CN"/>
        </w:rPr>
        <w:t>研学旅行健康</w:t>
      </w:r>
      <w:r>
        <w:rPr>
          <w:rFonts w:hint="eastAsia" w:ascii="仿宋_GB2312" w:hAnsi="宋体" w:eastAsia="仿宋_GB2312"/>
          <w:sz w:val="32"/>
          <w:szCs w:val="28"/>
          <w:lang w:val="zh-CN"/>
        </w:rPr>
        <w:t>发展具有重要意义。</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三、主要起草过程</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（一）成立标准编制工作组</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团体标准《研学旅行从业人员培训服务规范》项目任务下达后，桂林旅游学院、广西旅游协会成立了标准编制工作组，制定了标准编写方案，明确任务职责，确定工作技术路线，开展标准研制工作，具体标准编制工作由</w:t>
      </w:r>
      <w:r>
        <w:rPr>
          <w:rFonts w:hint="eastAsia" w:ascii="Times New Roman" w:hAnsi="Times New Roman" w:eastAsia="仿宋_GB2312" w:cs="Times New Roman"/>
          <w:color w:val="auto"/>
          <w:sz w:val="32"/>
          <w:szCs w:val="32"/>
          <w:lang w:val="en-US" w:eastAsia="zh-CN"/>
        </w:rPr>
        <w:t>桂林旅游学院研学旅行教育研究中心、桂林旅游学院继续教育学院、广西师范大学体育与健康学院、广西旅游协会</w:t>
      </w:r>
      <w:r>
        <w:rPr>
          <w:rFonts w:hint="eastAsia" w:ascii="仿宋_GB2312" w:hAnsi="宋体" w:eastAsia="仿宋_GB2312"/>
          <w:sz w:val="32"/>
          <w:szCs w:val="28"/>
          <w:lang w:val="zh-CN"/>
        </w:rPr>
        <w:t>相关人员配合。编制工作组下设三个小组，分别是资料收集组、草案编写组、标准实施组。</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资料收集组：负责国内关于研学旅行行业及相关服务规范文献资料的查询、收集和整理工作，根据多年的培训工作和实践经验，反复进行研究。查阅现存关于研学旅行相关</w:t>
      </w:r>
      <w:r>
        <w:rPr>
          <w:rFonts w:hint="eastAsia" w:ascii="仿宋_GB2312" w:hAnsi="宋体" w:eastAsia="仿宋_GB2312"/>
          <w:sz w:val="32"/>
          <w:szCs w:val="28"/>
          <w:lang w:val="en-US" w:eastAsia="zh-CN"/>
        </w:rPr>
        <w:t>服务规范</w:t>
      </w:r>
      <w:r>
        <w:rPr>
          <w:rFonts w:hint="eastAsia" w:ascii="仿宋_GB2312" w:hAnsi="宋体" w:eastAsia="仿宋_GB2312"/>
          <w:sz w:val="32"/>
          <w:szCs w:val="28"/>
          <w:lang w:val="zh-CN"/>
        </w:rPr>
        <w:t>的研究以及国内相关标准的制定。</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草案编写组：负责标准立项、征求意见、审定、报批等阶段的标准文本及编制说明的起草工作，包括标准制定过程各阶段标准文本及相关材料的修改和完善。</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标准实施组：负责团体标准《研学旅行从业人员培训服务规范》标准发布后，组织、</w:t>
      </w:r>
      <w:r>
        <w:rPr>
          <w:rFonts w:hint="eastAsia" w:ascii="仿宋_GB2312" w:hAnsi="宋体" w:eastAsia="仿宋_GB2312"/>
          <w:sz w:val="32"/>
          <w:szCs w:val="28"/>
          <w:lang w:val="en-US" w:eastAsia="zh-CN"/>
        </w:rPr>
        <w:t>研学机构、培训机构、高校、中小学校、研学实践教育基（营）地及</w:t>
      </w:r>
      <w:r>
        <w:rPr>
          <w:rFonts w:hint="eastAsia" w:ascii="仿宋_GB2312" w:hAnsi="宋体" w:eastAsia="仿宋_GB2312"/>
          <w:sz w:val="32"/>
          <w:szCs w:val="28"/>
          <w:lang w:val="zh-CN"/>
        </w:rPr>
        <w:t>相关部门等，开展标准宣贯培训会，对标准进行研讨和详细解读，使相关人员了解标准，熟悉标准，并能熟练运用标准；为确保标准的实施效果和综合运用率，对标准实施情况进行总结分析，对标准提出持续改进意见。</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（二）收集整理文献资料</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标准编制工作组收集了</w:t>
      </w:r>
      <w:r>
        <w:rPr>
          <w:rFonts w:hint="eastAsia" w:ascii="仿宋_GB2312" w:hAnsi="宋体" w:eastAsia="仿宋_GB2312"/>
          <w:sz w:val="32"/>
          <w:szCs w:val="28"/>
          <w:lang w:val="en-US" w:eastAsia="zh-CN"/>
        </w:rPr>
        <w:t>研学旅行及旅游业方面</w:t>
      </w:r>
      <w:r>
        <w:rPr>
          <w:rFonts w:hint="eastAsia" w:ascii="仿宋_GB2312" w:hAnsi="宋体" w:eastAsia="仿宋_GB2312"/>
          <w:sz w:val="32"/>
          <w:szCs w:val="28"/>
          <w:lang w:val="zh-CN"/>
        </w:rPr>
        <w:t>相关文献资料。具体列出如下：</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GB/T 15971 导游服务规范</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GB/T 31385 旅行社服务通则</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LB/T 054-2016 研学旅行服务规范</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（三）研讨确定标准主体内容</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标准编制工作组在对收集的资料进行整理研究后，标准编制工作组召开了标准编制会议，对标准的整体框架进行了研究，并对标准的关键性问题进行了初步探讨。经过研究，本文件界定了</w:t>
      </w:r>
      <w:r>
        <w:rPr>
          <w:rFonts w:hint="eastAsia" w:ascii="仿宋_GB2312" w:hAnsi="宋体" w:eastAsia="仿宋_GB2312"/>
          <w:sz w:val="32"/>
          <w:szCs w:val="28"/>
          <w:lang w:val="en-US" w:eastAsia="zh-CN"/>
        </w:rPr>
        <w:t>研学旅行从业人员培训服务</w:t>
      </w:r>
      <w:r>
        <w:rPr>
          <w:rFonts w:hint="eastAsia" w:ascii="仿宋_GB2312" w:hAnsi="宋体" w:eastAsia="仿宋_GB2312"/>
          <w:sz w:val="32"/>
          <w:szCs w:val="28"/>
          <w:lang w:val="zh-CN"/>
        </w:rPr>
        <w:t>涉及的术语和定义，规定了研学旅行从业人员培训服务的基本要求、基本要求、教学内容、培训工作流程、教学管理、服务保障、服务评估与改进的要求。本文件适用于广西行政区域内</w:t>
      </w:r>
      <w:r>
        <w:rPr>
          <w:rFonts w:hint="eastAsia" w:ascii="仿宋_GB2312" w:hAnsi="宋体" w:eastAsia="仿宋_GB2312"/>
          <w:sz w:val="32"/>
          <w:szCs w:val="28"/>
          <w:lang w:val="en-US" w:eastAsia="zh-CN"/>
        </w:rPr>
        <w:t>研学</w:t>
      </w:r>
      <w:r>
        <w:rPr>
          <w:rFonts w:hint="eastAsia" w:ascii="仿宋_GB2312" w:hAnsi="宋体" w:eastAsia="仿宋_GB2312"/>
          <w:sz w:val="32"/>
          <w:szCs w:val="28"/>
          <w:lang w:val="zh-CN"/>
        </w:rPr>
        <w:t>旅行从业人员培训服务。</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（四）调研</w:t>
      </w:r>
      <w:r>
        <w:rPr>
          <w:rFonts w:ascii="楷体" w:hAnsi="楷体" w:eastAsia="楷体"/>
          <w:b/>
          <w:sz w:val="32"/>
          <w:szCs w:val="32"/>
          <w:lang w:val="zh-CN"/>
        </w:rPr>
        <w:t>、</w:t>
      </w:r>
      <w:r>
        <w:rPr>
          <w:rFonts w:hint="eastAsia" w:ascii="楷体" w:hAnsi="楷体" w:eastAsia="楷体"/>
          <w:b/>
          <w:sz w:val="32"/>
          <w:szCs w:val="32"/>
          <w:lang w:val="zh-CN"/>
        </w:rPr>
        <w:t>形成文本草案、征求意见稿</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eastAsia="zh-CN"/>
        </w:rPr>
      </w:pPr>
      <w:r>
        <w:rPr>
          <w:rFonts w:hint="eastAsia" w:ascii="仿宋_GB2312" w:hAnsi="宋体" w:eastAsia="仿宋_GB2312"/>
          <w:color w:val="FF0000"/>
          <w:sz w:val="32"/>
          <w:szCs w:val="28"/>
          <w:lang w:val="zh-CN" w:eastAsia="zh-CN"/>
        </w:rPr>
        <w:t>为广泛的了解研学旅行行业机构及研学基（营）为从业人员的需求，先后对区内对广西育才教育投资集团有限责任公司、广西贺州市岭南教育投资集团有限公司、广西</w:t>
      </w:r>
      <w:r>
        <w:rPr>
          <w:rFonts w:hint="default" w:ascii="仿宋_GB2312" w:hAnsi="宋体" w:eastAsia="仿宋_GB2312"/>
          <w:color w:val="FF0000"/>
          <w:sz w:val="32"/>
          <w:szCs w:val="28"/>
          <w:lang w:val="zh-CN" w:eastAsia="zh-CN"/>
        </w:rPr>
        <w:t>拓荒者研学旅行社有限公司</w:t>
      </w:r>
      <w:r>
        <w:rPr>
          <w:rFonts w:hint="eastAsia" w:ascii="仿宋_GB2312" w:hAnsi="宋体" w:eastAsia="仿宋_GB2312"/>
          <w:color w:val="FF0000"/>
          <w:sz w:val="32"/>
          <w:szCs w:val="28"/>
          <w:lang w:val="zh-CN" w:eastAsia="zh-CN"/>
        </w:rPr>
        <w:t>、南宁万达茂文化产业有限公司、广西南宁大王滩经济开发中心、美丽南方青瓦房古村落、桂平市金田起义博物馆、黄姚乐耘庄园基地、广西五彩田园研学实践与劳动教育营地、广西铜石岭国际旅游度假区中小学生研学实践教育基地、北海市海洋之窗生物科技展览有限公司、柳州市龙潭公园等进行了深入调研，参与</w:t>
      </w:r>
      <w:r>
        <w:rPr>
          <w:rFonts w:hint="eastAsia" w:ascii="仿宋_GB2312" w:hAnsi="宋体" w:eastAsia="仿宋_GB2312"/>
          <w:color w:val="FF0000"/>
          <w:sz w:val="32"/>
          <w:szCs w:val="28"/>
          <w:lang w:val="zh-CN"/>
        </w:rPr>
        <w:t>亲子猫</w:t>
      </w:r>
      <w:r>
        <w:rPr>
          <w:rFonts w:hint="default" w:ascii="仿宋_GB2312" w:hAnsi="宋体" w:eastAsia="仿宋_GB2312"/>
          <w:color w:val="FF0000"/>
          <w:sz w:val="32"/>
          <w:szCs w:val="28"/>
          <w:lang w:val="zh-CN"/>
        </w:rPr>
        <w:t>（北京）国际教育科技有限公司</w:t>
      </w:r>
      <w:r>
        <w:rPr>
          <w:rFonts w:hint="eastAsia" w:ascii="仿宋_GB2312" w:hAnsi="宋体" w:eastAsia="仿宋_GB2312"/>
          <w:color w:val="FF0000"/>
          <w:sz w:val="32"/>
          <w:szCs w:val="28"/>
          <w:lang w:val="zh-CN"/>
        </w:rPr>
        <w:t>组织的研学相关活动，</w:t>
      </w:r>
      <w:r>
        <w:rPr>
          <w:rFonts w:hint="eastAsia" w:ascii="仿宋_GB2312" w:hAnsi="宋体" w:eastAsia="仿宋_GB2312"/>
          <w:color w:val="FF0000"/>
          <w:sz w:val="32"/>
          <w:szCs w:val="28"/>
          <w:lang w:val="en-US" w:eastAsia="zh-CN"/>
        </w:rPr>
        <w:t>并交流了研学旅行从业人员培训的内容、时长、方式方法等，</w:t>
      </w:r>
      <w:r>
        <w:rPr>
          <w:rFonts w:hint="eastAsia" w:ascii="仿宋_GB2312" w:hAnsi="宋体" w:eastAsia="仿宋_GB2312"/>
          <w:color w:val="FF0000"/>
          <w:sz w:val="32"/>
          <w:szCs w:val="28"/>
          <w:lang w:val="zh-CN"/>
        </w:rPr>
        <w:t>对本标准的编制提供研究基础。</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cs="Times New Roman"/>
          <w:sz w:val="32"/>
          <w:szCs w:val="28"/>
          <w:lang w:val="zh-CN"/>
        </w:rPr>
      </w:pPr>
      <w:r>
        <w:rPr>
          <w:rFonts w:hint="eastAsia" w:ascii="仿宋_GB2312" w:hAnsi="宋体" w:eastAsia="仿宋_GB2312"/>
          <w:sz w:val="32"/>
          <w:szCs w:val="28"/>
          <w:lang w:val="zh-CN"/>
        </w:rPr>
        <w:t>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6</w:t>
      </w:r>
      <w:r>
        <w:rPr>
          <w:rFonts w:hint="eastAsia" w:ascii="仿宋_GB2312" w:hAnsi="宋体" w:eastAsia="仿宋_GB2312"/>
          <w:sz w:val="32"/>
          <w:szCs w:val="28"/>
          <w:lang w:val="zh-CN"/>
        </w:rPr>
        <w:t>月～202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7</w:t>
      </w:r>
      <w:r>
        <w:rPr>
          <w:rFonts w:hint="eastAsia" w:ascii="仿宋_GB2312" w:hAnsi="宋体" w:eastAsia="仿宋_GB2312"/>
          <w:sz w:val="32"/>
          <w:szCs w:val="28"/>
          <w:lang w:val="zh-CN"/>
        </w:rPr>
        <w:t>月，标准起草工作小组进行了广泛实地调研工作，曾与桂林市君武小学、桂林柚子皮教育咨询有限公司、桂林有方教育科技有限公司等</w:t>
      </w:r>
      <w:r>
        <w:rPr>
          <w:rFonts w:hint="eastAsia" w:ascii="仿宋_GB2312" w:hAnsi="宋体" w:eastAsia="仿宋_GB2312"/>
          <w:color w:val="000000" w:themeColor="text1"/>
          <w:sz w:val="32"/>
          <w:szCs w:val="28"/>
          <w:lang w:val="zh-CN"/>
          <w14:textFill>
            <w14:solidFill>
              <w14:schemeClr w14:val="tx1"/>
            </w14:solidFill>
          </w14:textFill>
        </w:rPr>
        <w:t>进行交流与探讨</w:t>
      </w:r>
      <w:r>
        <w:rPr>
          <w:rFonts w:hint="eastAsia" w:ascii="仿宋_GB2312" w:hAnsi="宋体" w:eastAsia="仿宋_GB2312"/>
          <w:sz w:val="32"/>
          <w:szCs w:val="28"/>
          <w:lang w:val="zh-CN"/>
        </w:rPr>
        <w:t>，</w:t>
      </w:r>
      <w:r>
        <w:rPr>
          <w:rFonts w:hint="eastAsia" w:ascii="仿宋_GB2312" w:hAnsi="宋体" w:eastAsia="仿宋_GB2312"/>
          <w:color w:val="auto"/>
          <w:sz w:val="32"/>
          <w:szCs w:val="28"/>
          <w:lang w:val="en-US" w:eastAsia="zh-CN"/>
        </w:rPr>
        <w:t>了解到近期</w:t>
      </w:r>
      <w:r>
        <w:rPr>
          <w:rFonts w:hint="eastAsia" w:ascii="仿宋_GB2312" w:hAnsi="宋体" w:eastAsia="仿宋_GB2312" w:cs="Times New Roman"/>
          <w:color w:val="auto"/>
          <w:sz w:val="32"/>
          <w:szCs w:val="28"/>
          <w:lang w:val="zh-CN"/>
        </w:rPr>
        <w:t>研学旅行从业人员</w:t>
      </w:r>
      <w:r>
        <w:rPr>
          <w:rFonts w:hint="eastAsia" w:ascii="仿宋_GB2312" w:hAnsi="宋体" w:eastAsia="仿宋_GB2312" w:cs="Times New Roman"/>
          <w:color w:val="auto"/>
          <w:sz w:val="32"/>
          <w:szCs w:val="28"/>
          <w:lang w:val="en-US" w:eastAsia="zh-CN"/>
        </w:rPr>
        <w:t>工作要求的变化</w:t>
      </w:r>
      <w:r>
        <w:rPr>
          <w:rFonts w:hint="eastAsia" w:ascii="仿宋_GB2312" w:hAnsi="宋体" w:eastAsia="仿宋_GB2312"/>
          <w:color w:val="auto"/>
          <w:sz w:val="32"/>
          <w:szCs w:val="28"/>
          <w:lang w:val="en-US" w:eastAsia="zh-CN"/>
        </w:rPr>
        <w:t>，</w:t>
      </w:r>
      <w:r>
        <w:rPr>
          <w:rFonts w:hint="eastAsia" w:ascii="仿宋_GB2312" w:hAnsi="宋体" w:eastAsia="仿宋_GB2312"/>
          <w:color w:val="auto"/>
          <w:sz w:val="32"/>
          <w:szCs w:val="28"/>
          <w:lang w:val="zh-CN"/>
        </w:rPr>
        <w:t>并查阅了大量的国</w:t>
      </w:r>
      <w:r>
        <w:rPr>
          <w:rFonts w:hint="eastAsia" w:ascii="仿宋_GB2312" w:hAnsi="宋体" w:eastAsia="仿宋_GB2312"/>
          <w:sz w:val="32"/>
          <w:szCs w:val="28"/>
          <w:lang w:val="zh-CN"/>
        </w:rPr>
        <w:t>内外文献资料，</w:t>
      </w:r>
      <w:r>
        <w:rPr>
          <w:rFonts w:hint="eastAsia" w:ascii="仿宋_GB2312" w:hAnsi="宋体" w:eastAsia="仿宋_GB2312" w:cs="Times New Roman"/>
          <w:sz w:val="32"/>
          <w:szCs w:val="28"/>
          <w:lang w:val="zh-CN"/>
        </w:rPr>
        <w:t>对近年开展的研学旅行从业人员培训服务进行系统总结。经编制组反复讨论，形成了标</w:t>
      </w:r>
      <w:r>
        <w:rPr>
          <w:rFonts w:hint="eastAsia" w:ascii="仿宋_GB2312" w:hAnsi="宋体" w:eastAsia="仿宋_GB2312"/>
          <w:sz w:val="32"/>
          <w:szCs w:val="28"/>
          <w:lang w:val="zh-CN"/>
        </w:rPr>
        <w:t>准的基本构架，对主要内容进行了讨论并对项目的工作进行了部署和安排。在前期工作的基础之上，通过理清逻辑脉络，整合已有的参考资料中有</w:t>
      </w:r>
      <w:r>
        <w:rPr>
          <w:rFonts w:hint="eastAsia" w:ascii="仿宋_GB2312" w:hAnsi="宋体" w:eastAsia="仿宋_GB2312" w:cs="Times New Roman"/>
          <w:sz w:val="32"/>
          <w:szCs w:val="28"/>
          <w:lang w:val="zh-CN"/>
        </w:rPr>
        <w:t>关研学旅行从业人员培训服务的内容，并结合研学旅行从业人员培训服务实际要求及前期研究的基础上，按照简化、统一等原则编制完成团体标准《</w:t>
      </w:r>
      <w:r>
        <w:rPr>
          <w:rFonts w:hint="eastAsia" w:ascii="仿宋_GB2312" w:hAnsi="宋体" w:eastAsia="仿宋_GB2312"/>
          <w:sz w:val="32"/>
          <w:szCs w:val="28"/>
          <w:lang w:val="zh-CN"/>
        </w:rPr>
        <w:t>研学旅行从业人员培训服务规范</w:t>
      </w:r>
      <w:r>
        <w:rPr>
          <w:rFonts w:hint="eastAsia" w:ascii="仿宋_GB2312" w:hAnsi="宋体" w:eastAsia="仿宋_GB2312" w:cs="Times New Roman"/>
          <w:sz w:val="32"/>
          <w:szCs w:val="28"/>
          <w:lang w:val="zh-CN"/>
        </w:rPr>
        <w:t>》（草案）。</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6</w:t>
      </w:r>
      <w:r>
        <w:rPr>
          <w:rFonts w:hint="eastAsia" w:ascii="仿宋_GB2312" w:hAnsi="宋体" w:eastAsia="仿宋_GB2312"/>
          <w:sz w:val="32"/>
          <w:szCs w:val="28"/>
          <w:lang w:val="zh-CN"/>
        </w:rPr>
        <w:t>月～202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8</w:t>
      </w:r>
      <w:r>
        <w:rPr>
          <w:rFonts w:hint="eastAsia" w:ascii="仿宋_GB2312" w:hAnsi="宋体" w:eastAsia="仿宋_GB2312"/>
          <w:sz w:val="32"/>
          <w:szCs w:val="28"/>
          <w:lang w:val="zh-CN"/>
        </w:rPr>
        <w:t>月，</w:t>
      </w:r>
      <w:r>
        <w:rPr>
          <w:rFonts w:hint="eastAsia" w:ascii="仿宋_GB2312" w:hAnsi="宋体" w:eastAsia="仿宋_GB2312"/>
          <w:color w:val="000000" w:themeColor="text1"/>
          <w:sz w:val="32"/>
          <w:szCs w:val="28"/>
          <w:lang w:val="zh-CN"/>
          <w14:textFill>
            <w14:solidFill>
              <w14:schemeClr w14:val="tx1"/>
            </w14:solidFill>
          </w14:textFill>
        </w:rPr>
        <w:t>编制组深入</w:t>
      </w:r>
      <w:r>
        <w:rPr>
          <w:rFonts w:hint="eastAsia" w:ascii="仿宋_GB2312" w:hAnsi="宋体" w:eastAsia="仿宋_GB2312"/>
          <w:color w:val="000000" w:themeColor="text1"/>
          <w:sz w:val="32"/>
          <w:szCs w:val="28"/>
          <w:lang w:val="en-US" w:eastAsia="zh-CN"/>
          <w14:textFill>
            <w14:solidFill>
              <w14:schemeClr w14:val="tx1"/>
            </w14:solidFill>
          </w14:textFill>
        </w:rPr>
        <w:t>桂林市七星区文化体育和旅游局、广西师范大学、桂林市中小学生示范性综合实践教育中心</w:t>
      </w:r>
      <w:r>
        <w:rPr>
          <w:rFonts w:hint="eastAsia" w:ascii="仿宋_GB2312" w:hAnsi="宋体" w:eastAsia="仿宋_GB2312"/>
          <w:color w:val="000000" w:themeColor="text1"/>
          <w:sz w:val="32"/>
          <w:szCs w:val="28"/>
          <w:lang w:val="zh-CN"/>
          <w14:textFill>
            <w14:solidFill>
              <w14:schemeClr w14:val="tx1"/>
            </w14:solidFill>
          </w14:textFill>
        </w:rPr>
        <w:t>进行调研，并向</w:t>
      </w:r>
      <w:r>
        <w:rPr>
          <w:rFonts w:hint="eastAsia" w:ascii="仿宋_GB2312" w:hAnsi="宋体" w:eastAsia="仿宋_GB2312"/>
          <w:color w:val="000000" w:themeColor="text1"/>
          <w:sz w:val="32"/>
          <w:szCs w:val="28"/>
          <w:lang w:val="en-US" w:eastAsia="zh-CN"/>
          <w14:textFill>
            <w14:solidFill>
              <w14:schemeClr w14:val="tx1"/>
            </w14:solidFill>
          </w14:textFill>
        </w:rPr>
        <w:t>开展相关培训业务</w:t>
      </w:r>
      <w:r>
        <w:rPr>
          <w:rFonts w:hint="eastAsia" w:ascii="仿宋_GB2312" w:hAnsi="宋体" w:eastAsia="仿宋_GB2312"/>
          <w:color w:val="000000" w:themeColor="text1"/>
          <w:sz w:val="32"/>
          <w:szCs w:val="28"/>
          <w:lang w:val="zh-CN"/>
          <w14:textFill>
            <w14:solidFill>
              <w14:schemeClr w14:val="tx1"/>
            </w14:solidFill>
          </w14:textFill>
        </w:rPr>
        <w:t>的</w:t>
      </w:r>
      <w:r>
        <w:rPr>
          <w:rFonts w:hint="eastAsia" w:ascii="仿宋_GB2312" w:hAnsi="宋体" w:eastAsia="仿宋_GB2312"/>
          <w:color w:val="000000" w:themeColor="text1"/>
          <w:sz w:val="32"/>
          <w:szCs w:val="28"/>
          <w:lang w:val="en-US" w:eastAsia="zh-CN"/>
          <w14:textFill>
            <w14:solidFill>
              <w14:schemeClr w14:val="tx1"/>
            </w14:solidFill>
          </w14:textFill>
        </w:rPr>
        <w:t>机构，深入桂林理工大学附属小学、桂林市靖江王陵文物管理处研学实践教育基地、桂海清岚研学实践教育基地、桂林市观赏石协会地质科普研学实践教育基地、广西桂林会仙喀斯特国家湿地公园研学实践教育基地、东漓古村研学实践教育基地、桂林市独秀峰王城研学实践教育基地、桂林大碧头中小学生研学实践教育营地等</w:t>
      </w:r>
      <w:r>
        <w:rPr>
          <w:rFonts w:hint="eastAsia" w:ascii="仿宋_GB2312" w:hAnsi="宋体" w:eastAsia="仿宋_GB2312"/>
          <w:color w:val="000000" w:themeColor="text1"/>
          <w:sz w:val="32"/>
          <w:szCs w:val="28"/>
          <w:lang w:val="zh-CN"/>
          <w14:textFill>
            <w14:solidFill>
              <w14:schemeClr w14:val="tx1"/>
            </w14:solidFill>
          </w14:textFill>
        </w:rPr>
        <w:t>与研学旅行从业人员进行交流及征求意见。根据反馈意见及试验成果，标准编制工作组多次召开会议，对标准草案进行反复修改和研究讨论，形成团体标准《</w:t>
      </w:r>
      <w:r>
        <w:rPr>
          <w:rFonts w:hint="eastAsia" w:ascii="仿宋_GB2312" w:hAnsi="宋体" w:eastAsia="仿宋_GB2312"/>
          <w:sz w:val="32"/>
          <w:szCs w:val="28"/>
          <w:lang w:val="zh-CN"/>
        </w:rPr>
        <w:t>研学旅行从业人员培训服务规范</w:t>
      </w:r>
      <w:r>
        <w:rPr>
          <w:rFonts w:hint="eastAsia" w:ascii="仿宋_GB2312" w:hAnsi="宋体" w:eastAsia="仿宋_GB2312"/>
          <w:color w:val="000000" w:themeColor="text1"/>
          <w:sz w:val="32"/>
          <w:szCs w:val="28"/>
          <w:lang w:val="zh-CN"/>
          <w14:textFill>
            <w14:solidFill>
              <w14:schemeClr w14:val="tx1"/>
            </w14:solidFill>
          </w14:textFill>
        </w:rPr>
        <w:t>》（征求意见</w:t>
      </w:r>
      <w:r>
        <w:rPr>
          <w:rFonts w:hint="eastAsia" w:ascii="仿宋_GB2312" w:hAnsi="宋体" w:eastAsia="仿宋_GB2312"/>
          <w:sz w:val="32"/>
          <w:szCs w:val="28"/>
          <w:lang w:val="zh-CN"/>
        </w:rPr>
        <w:t>稿）和（征求意见稿）编制说明。</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四、制定标准的原则和依据，与现行</w:t>
      </w:r>
      <w:r>
        <w:rPr>
          <w:rFonts w:hint="eastAsia" w:ascii="黑体" w:hAnsi="黑体" w:eastAsia="黑体" w:cs="黑体"/>
          <w:bCs/>
          <w:sz w:val="32"/>
          <w:szCs w:val="32"/>
          <w:lang w:eastAsia="zh-CN"/>
        </w:rPr>
        <w:t>法律法规</w:t>
      </w:r>
      <w:r>
        <w:rPr>
          <w:rFonts w:hint="eastAsia" w:ascii="黑体" w:hAnsi="黑体" w:eastAsia="黑体" w:cs="黑体"/>
          <w:bCs/>
          <w:sz w:val="32"/>
          <w:szCs w:val="32"/>
        </w:rPr>
        <w:t>的关系，与有关国家标准、行业标准的协调情况</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（一）实用性原则</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color w:val="000000" w:themeColor="text1"/>
          <w:sz w:val="32"/>
          <w:szCs w:val="28"/>
          <w:lang w:val="zh-CN"/>
          <w14:textFill>
            <w14:solidFill>
              <w14:schemeClr w14:val="tx1"/>
            </w14:solidFill>
          </w14:textFill>
        </w:rPr>
      </w:pPr>
      <w:r>
        <w:rPr>
          <w:rFonts w:hint="eastAsia" w:ascii="仿宋_GB2312" w:hAnsi="宋体" w:eastAsia="仿宋_GB2312"/>
          <w:color w:val="000000" w:themeColor="text1"/>
          <w:sz w:val="32"/>
          <w:szCs w:val="28"/>
          <w:lang w:val="zh-CN"/>
          <w14:textFill>
            <w14:solidFill>
              <w14:schemeClr w14:val="tx1"/>
            </w14:solidFill>
          </w14:textFill>
        </w:rPr>
        <w:t>本文件是在充分收集相关资料和文献，分析研学旅行从业人员培训服务现状及特点，调研</w:t>
      </w:r>
      <w:r>
        <w:rPr>
          <w:rFonts w:hint="eastAsia" w:ascii="仿宋_GB2312" w:hAnsi="宋体" w:eastAsia="仿宋_GB2312"/>
          <w:color w:val="000000" w:themeColor="text1"/>
          <w:sz w:val="32"/>
          <w:szCs w:val="28"/>
          <w:lang w:val="en-US" w:eastAsia="zh-CN"/>
          <w14:textFill>
            <w14:solidFill>
              <w14:schemeClr w14:val="tx1"/>
            </w14:solidFill>
          </w14:textFill>
        </w:rPr>
        <w:t>了</w:t>
      </w:r>
      <w:r>
        <w:rPr>
          <w:rFonts w:hint="eastAsia" w:ascii="仿宋_GB2312" w:hAnsi="宋体" w:eastAsia="仿宋_GB2312"/>
          <w:color w:val="000000" w:themeColor="text1"/>
          <w:sz w:val="32"/>
          <w:szCs w:val="28"/>
          <w:lang w:val="zh-CN"/>
          <w14:textFill>
            <w14:solidFill>
              <w14:schemeClr w14:val="tx1"/>
            </w14:solidFill>
          </w14:textFill>
        </w:rPr>
        <w:t>研学旅行从业人员培训服务情况，在现有国家、行业标准相关标准的基础上，结合多年</w:t>
      </w:r>
      <w:r>
        <w:rPr>
          <w:rFonts w:hint="eastAsia" w:ascii="仿宋_GB2312" w:hAnsi="宋体" w:eastAsia="仿宋_GB2312"/>
          <w:color w:val="000000" w:themeColor="text1"/>
          <w:sz w:val="32"/>
          <w:szCs w:val="28"/>
          <w:lang w:val="en-US" w:eastAsia="zh-CN"/>
          <w14:textFill>
            <w14:solidFill>
              <w14:schemeClr w14:val="tx1"/>
            </w14:solidFill>
          </w14:textFill>
        </w:rPr>
        <w:t>实践与</w:t>
      </w:r>
      <w:r>
        <w:rPr>
          <w:rFonts w:hint="eastAsia" w:ascii="仿宋_GB2312" w:hAnsi="宋体" w:eastAsia="仿宋_GB2312"/>
          <w:color w:val="000000" w:themeColor="text1"/>
          <w:sz w:val="32"/>
          <w:szCs w:val="28"/>
          <w:lang w:val="zh-CN"/>
          <w14:textFill>
            <w14:solidFill>
              <w14:schemeClr w14:val="tx1"/>
            </w14:solidFill>
          </w14:textFill>
        </w:rPr>
        <w:t>研究而总结起草的。符合当前研学旅行从业人员培训服务的要求，有利于研学旅行行业的长远发展，有利于研学旅行从业人员培训服务</w:t>
      </w:r>
      <w:r>
        <w:rPr>
          <w:rFonts w:hint="eastAsia" w:ascii="仿宋_GB2312" w:hAnsi="宋体" w:eastAsia="仿宋_GB2312"/>
          <w:color w:val="000000" w:themeColor="text1"/>
          <w:sz w:val="32"/>
          <w:szCs w:val="28"/>
          <w:lang w:val="en-US" w:eastAsia="zh-CN"/>
          <w14:textFill>
            <w14:solidFill>
              <w14:schemeClr w14:val="tx1"/>
            </w14:solidFill>
          </w14:textFill>
        </w:rPr>
        <w:t>规范化发展</w:t>
      </w:r>
      <w:r>
        <w:rPr>
          <w:rFonts w:hint="eastAsia" w:ascii="仿宋_GB2312" w:hAnsi="宋体" w:eastAsia="仿宋_GB2312"/>
          <w:color w:val="000000" w:themeColor="text1"/>
          <w:sz w:val="32"/>
          <w:szCs w:val="28"/>
          <w:lang w:val="zh-CN"/>
          <w14:textFill>
            <w14:solidFill>
              <w14:schemeClr w14:val="tx1"/>
            </w14:solidFill>
          </w14:textFill>
        </w:rPr>
        <w:t>，推动培训健康发展，具有较强的实用性和可操作性。</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（二）协调性原则</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color w:val="FF0000"/>
          <w:sz w:val="32"/>
          <w:szCs w:val="28"/>
          <w:lang w:val="zh-CN"/>
        </w:rPr>
      </w:pPr>
      <w:r>
        <w:rPr>
          <w:rFonts w:hint="eastAsia" w:ascii="仿宋_GB2312" w:hAnsi="宋体" w:eastAsia="仿宋_GB2312"/>
          <w:color w:val="FF0000"/>
          <w:sz w:val="32"/>
          <w:szCs w:val="28"/>
          <w:lang w:val="zh-CN"/>
        </w:rPr>
        <w:t>经调研分析，《研学旅行从业人员培训服务规范》标准符合《中华人民共和国标准化法》（主席令第78号）《中华人民共和国标准化法实施条例》（国务院令第53号）等相关法律法规。</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color w:val="FF0000"/>
          <w:sz w:val="32"/>
          <w:szCs w:val="28"/>
          <w:lang w:val="zh-CN"/>
        </w:rPr>
      </w:pPr>
      <w:r>
        <w:rPr>
          <w:rFonts w:hint="eastAsia" w:ascii="仿宋_GB2312" w:hAnsi="宋体" w:eastAsia="仿宋_GB2312"/>
          <w:color w:val="FF0000"/>
          <w:sz w:val="32"/>
          <w:szCs w:val="28"/>
          <w:lang w:val="zh-CN"/>
        </w:rPr>
        <w:t>本文件编写过程中注意了与研学旅行目的地相关的国内、国外法律法规的协调问题，在内容上引用了所有适用的国内标准，与国内、国外现行法律法规、标准协调一致。</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（三）规范性原则</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本文件严格按照GB/T 1.1—2020《标准化工作导则 第1部分：标准的结构和编写》的要求和规定编写本标准的内容，保证标准的编写质量。</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（四）前瞻性原则</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color w:val="000000" w:themeColor="text1"/>
          <w:sz w:val="32"/>
          <w:szCs w:val="28"/>
          <w:lang w:val="zh-CN"/>
          <w14:textFill>
            <w14:solidFill>
              <w14:schemeClr w14:val="tx1"/>
            </w14:solidFill>
          </w14:textFill>
        </w:rPr>
      </w:pPr>
      <w:r>
        <w:rPr>
          <w:rFonts w:hint="eastAsia" w:ascii="仿宋_GB2312" w:hAnsi="宋体" w:eastAsia="仿宋_GB2312"/>
          <w:sz w:val="32"/>
          <w:szCs w:val="28"/>
          <w:lang w:val="zh-CN"/>
        </w:rPr>
        <w:t>本文件在兼顾当</w:t>
      </w:r>
      <w:r>
        <w:rPr>
          <w:rFonts w:hint="eastAsia" w:ascii="仿宋_GB2312" w:hAnsi="宋体" w:eastAsia="仿宋_GB2312"/>
          <w:color w:val="000000" w:themeColor="text1"/>
          <w:sz w:val="32"/>
          <w:szCs w:val="28"/>
          <w:lang w:val="zh-CN"/>
          <w14:textFill>
            <w14:solidFill>
              <w14:schemeClr w14:val="tx1"/>
            </w14:solidFill>
          </w14:textFill>
        </w:rPr>
        <w:t>前区内研学旅行从业人员培训服务现实情况的同时，根据当前广西区内研学旅行从业人员培训服务</w:t>
      </w:r>
      <w:r>
        <w:rPr>
          <w:rFonts w:ascii="仿宋_GB2312" w:hAnsi="宋体" w:eastAsia="仿宋_GB2312"/>
          <w:color w:val="000000" w:themeColor="text1"/>
          <w:sz w:val="32"/>
          <w:szCs w:val="28"/>
          <w:lang w:val="zh-CN"/>
          <w14:textFill>
            <w14:solidFill>
              <w14:schemeClr w14:val="tx1"/>
            </w14:solidFill>
          </w14:textFill>
        </w:rPr>
        <w:t>无标准进行</w:t>
      </w:r>
      <w:r>
        <w:rPr>
          <w:rFonts w:hint="eastAsia" w:ascii="仿宋_GB2312" w:hAnsi="宋体" w:eastAsia="仿宋_GB2312"/>
          <w:color w:val="000000" w:themeColor="text1"/>
          <w:sz w:val="32"/>
          <w:szCs w:val="28"/>
          <w:lang w:val="zh-CN"/>
          <w14:textFill>
            <w14:solidFill>
              <w14:schemeClr w14:val="tx1"/>
            </w14:solidFill>
          </w14:textFill>
        </w:rPr>
        <w:t>统一</w:t>
      </w:r>
      <w:r>
        <w:rPr>
          <w:rFonts w:ascii="仿宋_GB2312" w:hAnsi="宋体" w:eastAsia="仿宋_GB2312"/>
          <w:color w:val="000000" w:themeColor="text1"/>
          <w:sz w:val="32"/>
          <w:szCs w:val="28"/>
          <w:lang w:val="zh-CN"/>
          <w14:textFill>
            <w14:solidFill>
              <w14:schemeClr w14:val="tx1"/>
            </w14:solidFill>
          </w14:textFill>
        </w:rPr>
        <w:t>规范</w:t>
      </w:r>
      <w:r>
        <w:rPr>
          <w:rFonts w:hint="eastAsia" w:ascii="仿宋_GB2312" w:hAnsi="宋体" w:eastAsia="仿宋_GB2312"/>
          <w:color w:val="000000" w:themeColor="text1"/>
          <w:sz w:val="32"/>
          <w:szCs w:val="28"/>
          <w:lang w:val="zh-CN"/>
          <w14:textFill>
            <w14:solidFill>
              <w14:schemeClr w14:val="tx1"/>
            </w14:solidFill>
          </w14:textFill>
        </w:rPr>
        <w:t>的现状，还考虑到了研学旅行从业人员培训服务发展需要，在标准中体现了个别特色性、前瞻性和先进性条款，作为对培训</w:t>
      </w:r>
      <w:r>
        <w:rPr>
          <w:rFonts w:hint="eastAsia" w:ascii="仿宋_GB2312" w:hAnsi="宋体" w:eastAsia="仿宋_GB2312"/>
          <w:color w:val="000000" w:themeColor="text1"/>
          <w:sz w:val="32"/>
          <w:szCs w:val="28"/>
          <w:lang w:val="en-US" w:eastAsia="zh-CN"/>
          <w14:textFill>
            <w14:solidFill>
              <w14:schemeClr w14:val="tx1"/>
            </w14:solidFill>
          </w14:textFill>
        </w:rPr>
        <w:t>开展业务工作</w:t>
      </w:r>
      <w:r>
        <w:rPr>
          <w:rFonts w:hint="eastAsia" w:ascii="仿宋_GB2312" w:hAnsi="宋体" w:eastAsia="仿宋_GB2312"/>
          <w:color w:val="000000" w:themeColor="text1"/>
          <w:sz w:val="32"/>
          <w:szCs w:val="28"/>
          <w:lang w:val="zh-CN"/>
          <w14:textFill>
            <w14:solidFill>
              <w14:schemeClr w14:val="tx1"/>
            </w14:solidFill>
          </w14:textFill>
        </w:rPr>
        <w:t>的指导。</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五、主要条款的说明，主要技术指标、参数、试验验证的论述</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团体标准</w:t>
      </w:r>
      <w:r>
        <w:rPr>
          <w:rFonts w:hint="eastAsia" w:ascii="仿宋_GB2312" w:hAnsi="宋体" w:eastAsia="仿宋_GB2312"/>
          <w:color w:val="000000" w:themeColor="text1"/>
          <w:sz w:val="32"/>
          <w:szCs w:val="28"/>
          <w:lang w:val="zh-CN"/>
          <w14:textFill>
            <w14:solidFill>
              <w14:schemeClr w14:val="tx1"/>
            </w14:solidFill>
          </w14:textFill>
        </w:rPr>
        <w:t>《</w:t>
      </w:r>
      <w:r>
        <w:rPr>
          <w:rFonts w:hint="eastAsia" w:ascii="仿宋_GB2312" w:hAnsi="宋体" w:eastAsia="仿宋_GB2312"/>
          <w:sz w:val="32"/>
          <w:szCs w:val="28"/>
          <w:lang w:val="zh-CN"/>
        </w:rPr>
        <w:t>研学旅行从业人员培训服务规范</w:t>
      </w:r>
      <w:r>
        <w:rPr>
          <w:rFonts w:hint="eastAsia" w:ascii="仿宋_GB2312" w:hAnsi="宋体" w:eastAsia="仿宋_GB2312"/>
          <w:color w:val="000000" w:themeColor="text1"/>
          <w:sz w:val="32"/>
          <w:szCs w:val="28"/>
          <w:lang w:val="zh-CN"/>
          <w14:textFill>
            <w14:solidFill>
              <w14:schemeClr w14:val="tx1"/>
            </w14:solidFill>
          </w14:textFill>
        </w:rPr>
        <w:t>》界定了研学旅行从业人员培训服务涉及的术语和定义，规定了研学旅行从业人员培训服务的基本要求、教学内容、培训工作流程、教学管理、服务保障、服务评估与改进等方面的要求。本文件适用于广西区内外研学旅行从业人员培训</w:t>
      </w:r>
      <w:r>
        <w:rPr>
          <w:rFonts w:hint="eastAsia" w:ascii="仿宋_GB2312" w:hAnsi="宋体" w:eastAsia="仿宋_GB2312"/>
          <w:color w:val="000000" w:themeColor="text1"/>
          <w:sz w:val="32"/>
          <w:szCs w:val="28"/>
          <w:lang w:val="en-US" w:eastAsia="zh-CN"/>
          <w14:textFill>
            <w14:solidFill>
              <w14:schemeClr w14:val="tx1"/>
            </w14:solidFill>
          </w14:textFill>
        </w:rPr>
        <w:t>服务规范</w:t>
      </w:r>
      <w:r>
        <w:rPr>
          <w:rFonts w:hint="eastAsia" w:ascii="仿宋_GB2312" w:hAnsi="宋体" w:eastAsia="仿宋_GB2312"/>
          <w:color w:val="000000" w:themeColor="text1"/>
          <w:sz w:val="32"/>
          <w:szCs w:val="28"/>
          <w:lang w:val="zh-CN"/>
          <w14:textFill>
            <w14:solidFill>
              <w14:schemeClr w14:val="tx1"/>
            </w14:solidFill>
          </w14:textFill>
        </w:rPr>
        <w:t>。</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（一）术语和定义</w:t>
      </w:r>
    </w:p>
    <w:p>
      <w:pPr>
        <w:keepNext w:val="0"/>
        <w:keepLines w:val="0"/>
        <w:pageBreakBefore w:val="0"/>
        <w:wordWrap/>
        <w:topLinePunct w:val="0"/>
        <w:autoSpaceDE/>
        <w:autoSpaceDN/>
        <w:bidi w:val="0"/>
        <w:adjustRightInd/>
        <w:spacing w:line="580" w:lineRule="exact"/>
        <w:ind w:firstLine="640"/>
        <w:jc w:val="left"/>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主要</w:t>
      </w:r>
      <w:r>
        <w:rPr>
          <w:rFonts w:ascii="仿宋_GB2312" w:hAnsi="宋体" w:eastAsia="仿宋_GB2312"/>
          <w:sz w:val="32"/>
          <w:szCs w:val="28"/>
          <w:lang w:val="zh-CN"/>
        </w:rPr>
        <w:t>明</w:t>
      </w:r>
      <w:r>
        <w:rPr>
          <w:rFonts w:ascii="仿宋_GB2312" w:hAnsi="宋体" w:eastAsia="仿宋_GB2312"/>
          <w:color w:val="000000" w:themeColor="text1"/>
          <w:sz w:val="32"/>
          <w:szCs w:val="28"/>
          <w:lang w:val="zh-CN"/>
          <w14:textFill>
            <w14:solidFill>
              <w14:schemeClr w14:val="tx1"/>
            </w14:solidFill>
          </w14:textFill>
        </w:rPr>
        <w:t>确了</w:t>
      </w:r>
      <w:r>
        <w:rPr>
          <w:rFonts w:hint="eastAsia" w:ascii="仿宋_GB2312" w:hAnsi="宋体" w:eastAsia="仿宋_GB2312"/>
          <w:color w:val="000000" w:themeColor="text1"/>
          <w:sz w:val="32"/>
          <w:szCs w:val="28"/>
          <w:lang w:val="zh-CN"/>
          <w14:textFill>
            <w14:solidFill>
              <w14:schemeClr w14:val="tx1"/>
            </w14:solidFill>
          </w14:textFill>
        </w:rPr>
        <w:t>“研学旅行”“研学旅行从业人员”“</w:t>
      </w:r>
      <w:r>
        <w:rPr>
          <w:rFonts w:hint="eastAsia" w:ascii="仿宋_GB2312" w:hAnsi="宋体" w:eastAsia="仿宋_GB2312"/>
          <w:color w:val="000000" w:themeColor="text1"/>
          <w:sz w:val="32"/>
          <w:szCs w:val="28"/>
          <w:lang w:val="en-US" w:eastAsia="zh-CN"/>
          <w14:textFill>
            <w14:solidFill>
              <w14:schemeClr w14:val="tx1"/>
            </w14:solidFill>
          </w14:textFill>
        </w:rPr>
        <w:t>培训机构</w:t>
      </w:r>
      <w:r>
        <w:rPr>
          <w:rFonts w:hint="eastAsia" w:ascii="宋体" w:hAnsi="宋体" w:cs="宋体"/>
          <w:b/>
          <w:bCs/>
          <w:color w:val="000000" w:themeColor="text1"/>
          <w:sz w:val="22"/>
          <w:szCs w:val="21"/>
          <w:lang w:val="en-US" w:eastAsia="zh-CN"/>
          <w14:textFill>
            <w14:solidFill>
              <w14:schemeClr w14:val="tx1"/>
            </w14:solidFill>
          </w14:textFill>
        </w:rPr>
        <w:t>”</w:t>
      </w:r>
      <w:r>
        <w:rPr>
          <w:rFonts w:hint="eastAsia" w:ascii="仿宋_GB2312" w:hAnsi="宋体" w:eastAsia="仿宋_GB2312"/>
          <w:color w:val="000000" w:themeColor="text1"/>
          <w:sz w:val="32"/>
          <w:szCs w:val="28"/>
          <w:lang w:val="zh-CN"/>
          <w14:textFill>
            <w14:solidFill>
              <w14:schemeClr w14:val="tx1"/>
            </w14:solidFill>
          </w14:textFill>
        </w:rPr>
        <w:t>的定义</w:t>
      </w:r>
      <w:r>
        <w:rPr>
          <w:rFonts w:ascii="仿宋_GB2312" w:hAnsi="宋体" w:eastAsia="仿宋_GB2312"/>
          <w:color w:val="000000" w:themeColor="text1"/>
          <w:sz w:val="32"/>
          <w:szCs w:val="28"/>
          <w:lang w:val="zh-CN"/>
          <w14:textFill>
            <w14:solidFill>
              <w14:schemeClr w14:val="tx1"/>
            </w14:solidFill>
          </w14:textFill>
        </w:rPr>
        <w:t>。</w:t>
      </w:r>
      <w:r>
        <w:rPr>
          <w:rFonts w:hint="eastAsia" w:ascii="仿宋_GB2312" w:hAnsi="宋体" w:eastAsia="仿宋_GB2312"/>
          <w:color w:val="000000" w:themeColor="text1"/>
          <w:sz w:val="32"/>
          <w:szCs w:val="28"/>
          <w:lang w:val="zh-CN"/>
          <w14:textFill>
            <w14:solidFill>
              <w14:schemeClr w14:val="tx1"/>
            </w14:solidFill>
          </w14:textFill>
        </w:rPr>
        <w:t>主要</w:t>
      </w:r>
      <w:r>
        <w:rPr>
          <w:rFonts w:ascii="仿宋_GB2312" w:hAnsi="宋体" w:eastAsia="仿宋_GB2312"/>
          <w:color w:val="000000" w:themeColor="text1"/>
          <w:sz w:val="32"/>
          <w:szCs w:val="28"/>
          <w:lang w:val="zh-CN"/>
          <w14:textFill>
            <w14:solidFill>
              <w14:schemeClr w14:val="tx1"/>
            </w14:solidFill>
          </w14:textFill>
        </w:rPr>
        <w:t>在参考</w:t>
      </w:r>
      <w:r>
        <w:rPr>
          <w:rFonts w:hint="eastAsia" w:ascii="仿宋_GB2312" w:hAnsi="宋体" w:eastAsia="仿宋_GB2312"/>
          <w:color w:val="000000" w:themeColor="text1"/>
          <w:sz w:val="32"/>
          <w:szCs w:val="28"/>
          <w:lang w:val="zh-CN"/>
          <w14:textFill>
            <w14:solidFill>
              <w14:schemeClr w14:val="tx1"/>
            </w14:solidFill>
          </w14:textFill>
        </w:rPr>
        <w:t>《LB/T 054-2016 研学旅行服务规范》等</w:t>
      </w:r>
      <w:r>
        <w:rPr>
          <w:rFonts w:ascii="仿宋_GB2312" w:hAnsi="宋体" w:eastAsia="仿宋_GB2312"/>
          <w:color w:val="000000" w:themeColor="text1"/>
          <w:sz w:val="32"/>
          <w:szCs w:val="28"/>
          <w:lang w:val="zh-CN"/>
          <w14:textFill>
            <w14:solidFill>
              <w14:schemeClr w14:val="tx1"/>
            </w14:solidFill>
          </w14:textFill>
        </w:rPr>
        <w:t>文</w:t>
      </w:r>
      <w:r>
        <w:rPr>
          <w:rFonts w:ascii="仿宋_GB2312" w:hAnsi="宋体" w:eastAsia="仿宋_GB2312"/>
          <w:sz w:val="32"/>
          <w:szCs w:val="28"/>
          <w:lang w:val="zh-CN"/>
        </w:rPr>
        <w:t>件的基础上，结合</w:t>
      </w:r>
      <w:r>
        <w:rPr>
          <w:rFonts w:hint="eastAsia" w:ascii="仿宋_GB2312" w:hAnsi="宋体" w:eastAsia="仿宋_GB2312"/>
          <w:sz w:val="32"/>
          <w:szCs w:val="28"/>
          <w:lang w:val="zh-CN"/>
        </w:rPr>
        <w:t>广西区内外相关研学旅行从业人员培训服务</w:t>
      </w:r>
      <w:r>
        <w:rPr>
          <w:rFonts w:ascii="仿宋_GB2312" w:hAnsi="宋体" w:eastAsia="仿宋_GB2312"/>
          <w:sz w:val="32"/>
          <w:szCs w:val="28"/>
          <w:lang w:val="zh-CN"/>
        </w:rPr>
        <w:t>确定</w:t>
      </w:r>
      <w:r>
        <w:rPr>
          <w:rFonts w:hint="eastAsia" w:ascii="仿宋_GB2312" w:hAnsi="宋体" w:eastAsia="仿宋_GB2312"/>
          <w:sz w:val="32"/>
          <w:szCs w:val="28"/>
          <w:lang w:val="zh-CN"/>
        </w:rPr>
        <w:t>。</w:t>
      </w:r>
    </w:p>
    <w:p>
      <w:pPr>
        <w:keepNext w:val="0"/>
        <w:keepLines w:val="0"/>
        <w:pageBreakBefore w:val="0"/>
        <w:wordWrap/>
        <w:topLinePunct w:val="0"/>
        <w:autoSpaceDE/>
        <w:autoSpaceDN/>
        <w:bidi w:val="0"/>
        <w:adjustRightInd/>
        <w:spacing w:line="240" w:lineRule="auto"/>
        <w:ind w:firstLine="640"/>
        <w:jc w:val="left"/>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drawing>
          <wp:inline distT="0" distB="0" distL="114300" distR="114300">
            <wp:extent cx="5684520" cy="947420"/>
            <wp:effectExtent l="0" t="0" r="0" b="12700"/>
            <wp:docPr id="3" name="图片 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2"/>
                    <pic:cNvPicPr>
                      <a:picLocks noChangeAspect="1"/>
                    </pic:cNvPicPr>
                  </pic:nvPicPr>
                  <pic:blipFill>
                    <a:blip r:embed="rId5"/>
                    <a:stretch>
                      <a:fillRect/>
                    </a:stretch>
                  </pic:blipFill>
                  <pic:spPr>
                    <a:xfrm>
                      <a:off x="0" y="0"/>
                      <a:ext cx="5684520" cy="947420"/>
                    </a:xfrm>
                    <a:prstGeom prst="rect">
                      <a:avLst/>
                    </a:prstGeom>
                  </pic:spPr>
                </pic:pic>
              </a:graphicData>
            </a:graphic>
          </wp:inline>
        </w:drawing>
      </w:r>
    </w:p>
    <w:p>
      <w:pPr>
        <w:keepNext w:val="0"/>
        <w:keepLines w:val="0"/>
        <w:pageBreakBefore w:val="0"/>
        <w:widowControl/>
        <w:suppressLineNumbers w:val="0"/>
        <w:wordWrap/>
        <w:topLinePunct w:val="0"/>
        <w:autoSpaceDE/>
        <w:autoSpaceDN/>
        <w:bidi w:val="0"/>
        <w:adjustRightInd/>
        <w:spacing w:line="580" w:lineRule="exact"/>
        <w:jc w:val="center"/>
        <w:textAlignment w:val="auto"/>
        <w:rPr>
          <w:rFonts w:hint="eastAsia" w:ascii="黑体" w:hAnsi="黑体" w:eastAsia="黑体"/>
          <w:szCs w:val="28"/>
          <w:lang w:val="zh-CN"/>
        </w:rPr>
      </w:pPr>
      <w:r>
        <w:rPr>
          <w:rFonts w:hint="eastAsia" w:ascii="黑体" w:hAnsi="黑体" w:eastAsia="黑体"/>
          <w:szCs w:val="28"/>
          <w:lang w:val="en-US" w:eastAsia="zh-CN"/>
        </w:rPr>
        <w:t>来源：</w:t>
      </w:r>
      <w:r>
        <w:rPr>
          <w:rFonts w:hint="eastAsia" w:ascii="黑体" w:hAnsi="黑体" w:eastAsia="黑体"/>
          <w:szCs w:val="28"/>
          <w:lang w:val="zh-CN"/>
        </w:rPr>
        <w:t>《LB/T 054-2016 研学旅行服务规范》</w:t>
      </w:r>
    </w:p>
    <w:p>
      <w:pPr>
        <w:keepNext w:val="0"/>
        <w:keepLines w:val="0"/>
        <w:pageBreakBefore w:val="0"/>
        <w:wordWrap/>
        <w:topLinePunct w:val="0"/>
        <w:autoSpaceDE/>
        <w:autoSpaceDN/>
        <w:bidi w:val="0"/>
        <w:adjustRightInd/>
        <w:spacing w:line="580" w:lineRule="exact"/>
        <w:ind w:firstLine="643" w:firstLineChars="200"/>
        <w:textAlignment w:val="auto"/>
        <w:rPr>
          <w:rFonts w:ascii="楷体" w:hAnsi="楷体" w:eastAsia="楷体"/>
          <w:b/>
          <w:sz w:val="32"/>
          <w:szCs w:val="32"/>
          <w:lang w:val="zh-CN"/>
        </w:rPr>
      </w:pPr>
      <w:r>
        <w:rPr>
          <w:rFonts w:hint="eastAsia" w:ascii="楷体" w:hAnsi="楷体" w:eastAsia="楷体"/>
          <w:b/>
          <w:sz w:val="32"/>
          <w:szCs w:val="32"/>
          <w:lang w:val="zh-CN"/>
        </w:rPr>
        <w:t>（二）基本要求</w:t>
      </w:r>
    </w:p>
    <w:p>
      <w:pPr>
        <w:keepNext w:val="0"/>
        <w:keepLines w:val="0"/>
        <w:pageBreakBefore w:val="0"/>
        <w:widowControl/>
        <w:suppressLineNumbers w:val="0"/>
        <w:wordWrap/>
        <w:topLinePunct w:val="0"/>
        <w:autoSpaceDE/>
        <w:autoSpaceDN/>
        <w:bidi w:val="0"/>
        <w:adjustRightInd/>
        <w:spacing w:line="580" w:lineRule="exact"/>
        <w:jc w:val="left"/>
        <w:textAlignment w:val="auto"/>
      </w:pPr>
      <w:r>
        <w:rPr>
          <w:rFonts w:ascii="宋体" w:hAnsi="宋体" w:eastAsia="宋体" w:cs="宋体"/>
          <w:kern w:val="0"/>
          <w:sz w:val="24"/>
          <w:szCs w:val="24"/>
          <w:lang w:val="en-US" w:eastAsia="zh-CN" w:bidi="ar"/>
        </w:rPr>
        <w:drawing>
          <wp:inline distT="0" distB="0" distL="114300" distR="114300">
            <wp:extent cx="5909945" cy="721360"/>
            <wp:effectExtent l="0" t="0" r="8255" b="2540"/>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6"/>
                    <a:stretch>
                      <a:fillRect/>
                    </a:stretch>
                  </pic:blipFill>
                  <pic:spPr>
                    <a:xfrm>
                      <a:off x="0" y="0"/>
                      <a:ext cx="5909945" cy="721360"/>
                    </a:xfrm>
                    <a:prstGeom prst="rect">
                      <a:avLst/>
                    </a:prstGeom>
                    <a:noFill/>
                    <a:ln w="9525">
                      <a:noFill/>
                    </a:ln>
                  </pic:spPr>
                </pic:pic>
              </a:graphicData>
            </a:graphic>
          </wp:inline>
        </w:drawing>
      </w:r>
    </w:p>
    <w:p>
      <w:pPr>
        <w:keepNext w:val="0"/>
        <w:keepLines w:val="0"/>
        <w:pageBreakBefore w:val="0"/>
        <w:wordWrap/>
        <w:topLinePunct w:val="0"/>
        <w:autoSpaceDE/>
        <w:autoSpaceDN/>
        <w:bidi w:val="0"/>
        <w:adjustRightInd/>
        <w:spacing w:line="580" w:lineRule="exact"/>
        <w:ind w:firstLine="640"/>
        <w:jc w:val="center"/>
        <w:textAlignment w:val="auto"/>
        <w:rPr>
          <w:rFonts w:ascii="仿宋_GB2312" w:hAnsi="宋体" w:eastAsia="仿宋_GB2312"/>
          <w:sz w:val="32"/>
          <w:szCs w:val="28"/>
          <w:lang w:val="zh-CN"/>
        </w:rPr>
      </w:pPr>
      <w:r>
        <w:rPr>
          <w:rFonts w:hint="eastAsia" w:ascii="黑体" w:hAnsi="黑体" w:eastAsia="黑体"/>
          <w:szCs w:val="28"/>
          <w:lang w:val="en-US" w:eastAsia="zh-CN"/>
        </w:rPr>
        <w:t>来源：</w:t>
      </w:r>
      <w:r>
        <w:rPr>
          <w:rFonts w:hint="eastAsia" w:ascii="黑体" w:hAnsi="黑体" w:eastAsia="黑体"/>
          <w:szCs w:val="28"/>
          <w:lang w:val="zh-CN"/>
        </w:rPr>
        <w:t>《广西壮族自治区人民政府关于印发广西教育事业发展“十四五”规划的通知》（桂政发〔2021〕35号）</w:t>
      </w:r>
    </w:p>
    <w:p>
      <w:pPr>
        <w:keepNext w:val="0"/>
        <w:keepLines w:val="0"/>
        <w:pageBreakBefore w:val="0"/>
        <w:wordWrap/>
        <w:topLinePunct w:val="0"/>
        <w:autoSpaceDE/>
        <w:autoSpaceDN/>
        <w:bidi w:val="0"/>
        <w:adjustRightInd/>
        <w:spacing w:line="580" w:lineRule="exact"/>
        <w:ind w:firstLine="640" w:firstLineChars="200"/>
        <w:textAlignment w:val="auto"/>
        <w:rPr>
          <w:rFonts w:hint="default" w:ascii="仿宋_GB2312" w:hAnsi="宋体" w:eastAsia="仿宋_GB2312"/>
          <w:sz w:val="32"/>
          <w:szCs w:val="28"/>
          <w:lang w:val="en-US" w:eastAsia="zh-CN"/>
        </w:rPr>
      </w:pPr>
      <w:r>
        <w:rPr>
          <w:rFonts w:hint="eastAsia" w:ascii="仿宋_GB2312" w:hAnsi="宋体" w:eastAsia="仿宋_GB2312"/>
          <w:color w:val="FF0000"/>
          <w:sz w:val="32"/>
          <w:szCs w:val="28"/>
          <w:lang w:val="en-US" w:eastAsia="zh-CN"/>
        </w:rPr>
        <w:t>主要参照了《广西壮族自治区人民政府关于印发广西教育事业发展“十四五”规划的通知》（桂政发〔2021〕35号），深入开展中小学研学实践教育活动，推广一批研学精品线路和课程。结合近年广西的研学旅行开展及研学旅行从业人员培训工作，提出应充分依据广西独特的自然和文化资源，突出广西当地历史文化和生态文化，培养一批能“讲好广西故事”研学从业者；注重教学品质提升，彰显出研学旅行服务品质。所以标准化的“培训服务规范”是基础，是培养研学旅行从业人员的前提。</w:t>
      </w:r>
      <w:r>
        <w:rPr>
          <w:rFonts w:hint="eastAsia" w:ascii="仿宋_GB2312" w:hAnsi="宋体" w:eastAsia="仿宋_GB2312"/>
          <w:sz w:val="32"/>
          <w:szCs w:val="28"/>
          <w:lang w:val="en-US" w:eastAsia="zh-CN"/>
        </w:rPr>
        <w:t>要求：“</w:t>
      </w:r>
      <w:r>
        <w:rPr>
          <w:rFonts w:hint="eastAsia" w:ascii="仿宋_GB2312" w:hAnsi="宋体" w:eastAsia="仿宋_GB2312"/>
          <w:sz w:val="32"/>
          <w:szCs w:val="28"/>
          <w:lang w:val="zh-CN"/>
        </w:rPr>
        <w:t>经营管理和服务项目应符合相关法律法规规定；应能够提供符合要求的培训场所、师资等条件的机构，包括：高等院校、科研院所、其他机关培训中心或符合培训要求的大型企业等；应符合安全、消防等有关要求</w:t>
      </w:r>
      <w:r>
        <w:rPr>
          <w:rFonts w:hint="eastAsia" w:ascii="仿宋_GB2312" w:hAnsi="宋体" w:eastAsia="仿宋_GB2312"/>
          <w:sz w:val="32"/>
          <w:szCs w:val="28"/>
          <w:lang w:val="en-US" w:eastAsia="zh-CN"/>
        </w:rPr>
        <w:t>；教学设备齐全、</w:t>
      </w:r>
      <w:r>
        <w:rPr>
          <w:rFonts w:hint="eastAsia" w:ascii="仿宋_GB2312" w:hAnsi="宋体" w:eastAsia="仿宋_GB2312"/>
          <w:sz w:val="32"/>
          <w:szCs w:val="28"/>
          <w:lang w:val="zh-CN"/>
        </w:rPr>
        <w:t>管理制度</w:t>
      </w:r>
      <w:r>
        <w:rPr>
          <w:rFonts w:hint="eastAsia" w:ascii="仿宋_GB2312" w:hAnsi="宋体" w:eastAsia="仿宋_GB2312"/>
          <w:sz w:val="32"/>
          <w:szCs w:val="28"/>
          <w:lang w:val="en-US" w:eastAsia="zh-CN"/>
        </w:rPr>
        <w:t>完善、人员配备合理。应具备适应教学要求的基础性设施，应配有电脑、投影仪或LED屏、音响、麦克风等,为适应数字化的发展，应建设有信息化培训管理平台；应具备教育培训组织管理制度，建立管理组织架构，设置工作岗位，明确部门、人员配比、分工，制定工作标准。”</w:t>
      </w:r>
    </w:p>
    <w:p>
      <w:pPr>
        <w:keepNext w:val="0"/>
        <w:keepLines w:val="0"/>
        <w:pageBreakBefore w:val="0"/>
        <w:wordWrap/>
        <w:topLinePunct w:val="0"/>
        <w:autoSpaceDE/>
        <w:autoSpaceDN/>
        <w:bidi w:val="0"/>
        <w:adjustRightInd/>
        <w:spacing w:before="156" w:beforeLines="50" w:after="156" w:afterLines="50" w:line="580" w:lineRule="exact"/>
        <w:ind w:firstLine="643" w:firstLineChars="200"/>
        <w:textAlignment w:val="auto"/>
        <w:outlineLvl w:val="1"/>
        <w:rPr>
          <w:rFonts w:ascii="楷体" w:hAnsi="楷体" w:eastAsia="楷体"/>
          <w:b/>
          <w:bCs/>
          <w:sz w:val="32"/>
          <w:szCs w:val="32"/>
          <w:lang w:val="zh-CN"/>
        </w:rPr>
      </w:pPr>
      <w:r>
        <w:rPr>
          <w:rFonts w:hint="eastAsia" w:ascii="楷体" w:hAnsi="楷体" w:eastAsia="楷体"/>
          <w:b/>
          <w:bCs/>
          <w:sz w:val="32"/>
          <w:szCs w:val="32"/>
          <w:lang w:val="zh-CN"/>
        </w:rPr>
        <w:t>（三）教学内容</w:t>
      </w:r>
    </w:p>
    <w:p>
      <w:pPr>
        <w:keepNext w:val="0"/>
        <w:keepLines w:val="0"/>
        <w:pageBreakBefore w:val="0"/>
        <w:wordWrap/>
        <w:topLinePunct w:val="0"/>
        <w:autoSpaceDE/>
        <w:autoSpaceDN/>
        <w:bidi w:val="0"/>
        <w:adjustRightInd/>
        <w:spacing w:line="580" w:lineRule="exact"/>
        <w:ind w:firstLine="648" w:firstLineChars="200"/>
        <w:textAlignment w:val="auto"/>
        <w:rPr>
          <w:rFonts w:ascii="仿宋_GB2312" w:hAnsi="宋体" w:eastAsia="仿宋_GB2312"/>
          <w:sz w:val="32"/>
          <w:szCs w:val="32"/>
          <w:lang w:val="zh-CN"/>
        </w:rPr>
      </w:pPr>
      <w:r>
        <w:rPr>
          <w:rFonts w:hint="eastAsia" w:ascii="仿宋_GB2312" w:hAnsi="仿宋_GB2312" w:eastAsia="仿宋_GB2312" w:cs="Times New Roman"/>
          <w:color w:val="FF0000"/>
          <w:spacing w:val="2"/>
          <w:kern w:val="0"/>
          <w:sz w:val="32"/>
          <w:szCs w:val="24"/>
          <w:lang w:val="en-US" w:eastAsia="zh-CN" w:bidi="ar-SA"/>
        </w:rPr>
        <w:t>参照“广西壮族自治区2023年中小学生研学实践教育精品课程(线路)评选工作，提出要推动地方充分挖掘广西研学资源优势,科学研发和推介一批具有广西特色、育人效果突出的精品课程和线路,加快构建‘八桂’系列研学精品课程(线路)服务体系”。因此，高水平的研学旅行从业者是研学旅行课程保障的基础，本文件明确了</w:t>
      </w:r>
      <w:r>
        <w:rPr>
          <w:rFonts w:hint="eastAsia" w:ascii="仿宋_GB2312" w:hAnsi="宋体" w:eastAsia="仿宋_GB2312"/>
          <w:sz w:val="32"/>
          <w:szCs w:val="32"/>
          <w:lang w:val="zh-CN"/>
        </w:rPr>
        <w:t>培训目的、</w:t>
      </w:r>
      <w:r>
        <w:rPr>
          <w:rFonts w:hint="eastAsia" w:ascii="仿宋_GB2312" w:hAnsi="宋体" w:eastAsia="仿宋_GB2312"/>
          <w:color w:val="000000" w:themeColor="text1"/>
          <w:sz w:val="32"/>
          <w:szCs w:val="32"/>
          <w:lang w:val="zh-CN"/>
          <w14:textFill>
            <w14:solidFill>
              <w14:schemeClr w14:val="tx1"/>
            </w14:solidFill>
          </w14:textFill>
        </w:rPr>
        <w:t>教学内容等方面的要求。研学旅行从业人员培训服务作为</w:t>
      </w:r>
      <w:r>
        <w:rPr>
          <w:rFonts w:hint="eastAsia" w:ascii="仿宋_GB2312" w:hAnsi="宋体" w:eastAsia="仿宋_GB2312"/>
          <w:color w:val="000000" w:themeColor="text1"/>
          <w:sz w:val="32"/>
          <w:szCs w:val="32"/>
          <w:lang w:val="en-US" w:eastAsia="zh-CN"/>
          <w14:textFill>
            <w14:solidFill>
              <w14:schemeClr w14:val="tx1"/>
            </w14:solidFill>
          </w14:textFill>
        </w:rPr>
        <w:t>培养</w:t>
      </w:r>
      <w:r>
        <w:rPr>
          <w:rFonts w:hint="eastAsia" w:ascii="仿宋_GB2312" w:hAnsi="宋体" w:eastAsia="仿宋_GB2312"/>
          <w:color w:val="000000" w:themeColor="text1"/>
          <w:sz w:val="32"/>
          <w:szCs w:val="32"/>
          <w:lang w:val="zh-CN"/>
          <w14:textFill>
            <w14:solidFill>
              <w14:schemeClr w14:val="tx1"/>
            </w14:solidFill>
          </w14:textFill>
        </w:rPr>
        <w:t>面向</w:t>
      </w:r>
      <w:r>
        <w:rPr>
          <w:rFonts w:ascii="仿宋_GB2312" w:hAnsi="宋体" w:eastAsia="仿宋_GB2312"/>
          <w:color w:val="000000" w:themeColor="text1"/>
          <w:sz w:val="32"/>
          <w:szCs w:val="32"/>
          <w:lang w:val="zh-CN"/>
          <w14:textFill>
            <w14:solidFill>
              <w14:schemeClr w14:val="tx1"/>
            </w14:solidFill>
          </w14:textFill>
        </w:rPr>
        <w:t>中小学生</w:t>
      </w:r>
      <w:r>
        <w:rPr>
          <w:rFonts w:hint="eastAsia" w:ascii="仿宋_GB2312" w:hAnsi="宋体" w:eastAsia="仿宋_GB2312"/>
          <w:color w:val="000000" w:themeColor="text1"/>
          <w:sz w:val="32"/>
          <w:szCs w:val="32"/>
          <w:lang w:val="en-US" w:eastAsia="zh-CN"/>
          <w14:textFill>
            <w14:solidFill>
              <w14:schemeClr w14:val="tx1"/>
            </w14:solidFill>
          </w14:textFill>
        </w:rPr>
        <w:t>群体</w:t>
      </w:r>
      <w:r>
        <w:rPr>
          <w:rFonts w:ascii="仿宋_GB2312" w:hAnsi="宋体" w:eastAsia="仿宋_GB2312"/>
          <w:color w:val="000000" w:themeColor="text1"/>
          <w:sz w:val="32"/>
          <w:szCs w:val="32"/>
          <w:lang w:val="zh-CN"/>
          <w14:textFill>
            <w14:solidFill>
              <w14:schemeClr w14:val="tx1"/>
            </w14:solidFill>
          </w14:textFill>
        </w:rPr>
        <w:t>的</w:t>
      </w:r>
      <w:r>
        <w:rPr>
          <w:rFonts w:hint="eastAsia" w:ascii="仿宋_GB2312" w:hAnsi="宋体" w:eastAsia="仿宋_GB2312"/>
          <w:color w:val="000000" w:themeColor="text1"/>
          <w:sz w:val="32"/>
          <w:szCs w:val="32"/>
          <w:lang w:val="en-US" w:eastAsia="zh-CN"/>
          <w14:textFill>
            <w14:solidFill>
              <w14:schemeClr w14:val="tx1"/>
            </w14:solidFill>
          </w14:textFill>
        </w:rPr>
        <w:t>行业培训机构</w:t>
      </w:r>
      <w:r>
        <w:rPr>
          <w:rFonts w:hint="eastAsia" w:ascii="仿宋_GB2312" w:hAnsi="宋体" w:eastAsia="仿宋_GB2312"/>
          <w:color w:val="000000" w:themeColor="text1"/>
          <w:sz w:val="32"/>
          <w:szCs w:val="32"/>
          <w:lang w:val="zh-CN"/>
          <w14:textFill>
            <w14:solidFill>
              <w14:schemeClr w14:val="tx1"/>
            </w14:solidFill>
          </w14:textFill>
        </w:rPr>
        <w:t>，服务对</w:t>
      </w:r>
      <w:r>
        <w:rPr>
          <w:rFonts w:ascii="仿宋_GB2312" w:hAnsi="宋体" w:eastAsia="仿宋_GB2312"/>
          <w:color w:val="000000" w:themeColor="text1"/>
          <w:sz w:val="32"/>
          <w:szCs w:val="32"/>
          <w:lang w:val="zh-CN"/>
          <w14:textFill>
            <w14:solidFill>
              <w14:schemeClr w14:val="tx1"/>
            </w14:solidFill>
          </w14:textFill>
        </w:rPr>
        <w:t>学生</w:t>
      </w:r>
      <w:r>
        <w:rPr>
          <w:rFonts w:hint="eastAsia" w:ascii="仿宋_GB2312" w:hAnsi="宋体" w:eastAsia="仿宋_GB2312"/>
          <w:color w:val="000000" w:themeColor="text1"/>
          <w:sz w:val="32"/>
          <w:szCs w:val="32"/>
          <w:lang w:val="zh-CN"/>
          <w14:textFill>
            <w14:solidFill>
              <w14:schemeClr w14:val="tx1"/>
            </w14:solidFill>
          </w14:textFill>
        </w:rPr>
        <w:t>教育教学、人身</w:t>
      </w:r>
      <w:r>
        <w:rPr>
          <w:rFonts w:ascii="仿宋_GB2312" w:hAnsi="宋体" w:eastAsia="仿宋_GB2312"/>
          <w:color w:val="000000" w:themeColor="text1"/>
          <w:sz w:val="32"/>
          <w:szCs w:val="32"/>
          <w:lang w:val="zh-CN"/>
          <w14:textFill>
            <w14:solidFill>
              <w14:schemeClr w14:val="tx1"/>
            </w14:solidFill>
          </w14:textFill>
        </w:rPr>
        <w:t>安全、饮食安全等的</w:t>
      </w:r>
      <w:r>
        <w:rPr>
          <w:rFonts w:ascii="仿宋_GB2312" w:hAnsi="宋体" w:eastAsia="仿宋_GB2312"/>
          <w:sz w:val="32"/>
          <w:szCs w:val="32"/>
          <w:lang w:val="zh-CN"/>
        </w:rPr>
        <w:t>管理</w:t>
      </w:r>
      <w:r>
        <w:rPr>
          <w:rFonts w:hint="eastAsia" w:ascii="仿宋_GB2312" w:hAnsi="宋体" w:eastAsia="仿宋_GB2312"/>
          <w:sz w:val="32"/>
          <w:szCs w:val="32"/>
          <w:lang w:val="zh-CN"/>
        </w:rPr>
        <w:t>非常重要，</w:t>
      </w:r>
      <w:r>
        <w:rPr>
          <w:rFonts w:ascii="仿宋_GB2312" w:hAnsi="宋体" w:eastAsia="仿宋_GB2312"/>
          <w:sz w:val="32"/>
          <w:szCs w:val="32"/>
          <w:lang w:val="zh-CN"/>
        </w:rPr>
        <w:t>因此</w:t>
      </w:r>
      <w:r>
        <w:rPr>
          <w:rFonts w:hint="eastAsia" w:ascii="仿宋_GB2312" w:hAnsi="宋体" w:eastAsia="仿宋_GB2312"/>
          <w:sz w:val="32"/>
          <w:szCs w:val="32"/>
          <w:lang w:val="zh-CN"/>
        </w:rPr>
        <w:t>明确了：</w:t>
      </w:r>
      <w:r>
        <w:rPr>
          <w:rFonts w:ascii="仿宋_GB2312" w:hAnsi="宋体" w:eastAsia="仿宋_GB2312"/>
          <w:sz w:val="32"/>
          <w:szCs w:val="32"/>
          <w:lang w:val="zh-CN"/>
        </w:rPr>
        <w:t>“</w:t>
      </w:r>
      <w:r>
        <w:rPr>
          <w:rFonts w:hint="eastAsia" w:ascii="仿宋_GB2312" w:hAnsi="宋体" w:eastAsia="仿宋_GB2312"/>
          <w:sz w:val="32"/>
          <w:szCs w:val="32"/>
          <w:lang w:val="zh-CN"/>
        </w:rPr>
        <w:t>进一步提高研学旅行从业人员的专业理论和实践技能水平，应使参训者具有扎实的科学文化基础和研学旅行课程设计与实施、教育及旅游常识</w:t>
      </w:r>
      <w:r>
        <w:rPr>
          <w:rFonts w:hint="eastAsia" w:ascii="仿宋_GB2312" w:hAnsi="宋体" w:eastAsia="仿宋_GB2312"/>
          <w:sz w:val="32"/>
          <w:szCs w:val="32"/>
          <w:lang w:val="en-US" w:eastAsia="zh-CN"/>
        </w:rPr>
        <w:t>；</w:t>
      </w:r>
      <w:r>
        <w:rPr>
          <w:rFonts w:hint="eastAsia" w:ascii="仿宋_GB2312" w:hAnsi="宋体" w:eastAsia="仿宋_GB2312"/>
          <w:sz w:val="32"/>
          <w:szCs w:val="32"/>
          <w:lang w:val="zh-CN"/>
        </w:rPr>
        <w:t>具有立德树人意识，能胜任研学旅行活动策划、设计、执行等各项工作</w:t>
      </w:r>
      <w:r>
        <w:rPr>
          <w:rFonts w:ascii="仿宋_GB2312" w:hAnsi="宋体" w:eastAsia="仿宋_GB2312"/>
          <w:sz w:val="32"/>
          <w:szCs w:val="32"/>
          <w:lang w:val="zh-CN"/>
        </w:rPr>
        <w:t>”</w:t>
      </w:r>
      <w:r>
        <w:rPr>
          <w:rFonts w:hint="eastAsia" w:ascii="仿宋_GB2312" w:hAnsi="宋体" w:eastAsia="仿宋_GB2312"/>
          <w:sz w:val="32"/>
          <w:szCs w:val="32"/>
          <w:lang w:val="zh-CN"/>
        </w:rPr>
        <w:t>等</w:t>
      </w:r>
      <w:r>
        <w:rPr>
          <w:rFonts w:ascii="仿宋_GB2312" w:hAnsi="宋体" w:eastAsia="仿宋_GB2312"/>
          <w:sz w:val="32"/>
          <w:szCs w:val="32"/>
          <w:lang w:val="zh-CN"/>
        </w:rPr>
        <w:t>要求。</w:t>
      </w:r>
    </w:p>
    <w:p>
      <w:pPr>
        <w:keepNext w:val="0"/>
        <w:keepLines w:val="0"/>
        <w:pageBreakBefore w:val="0"/>
        <w:wordWrap/>
        <w:topLinePunct w:val="0"/>
        <w:autoSpaceDE/>
        <w:autoSpaceDN/>
        <w:bidi w:val="0"/>
        <w:adjustRightInd/>
        <w:spacing w:line="240" w:lineRule="auto"/>
        <w:ind w:firstLine="640" w:firstLineChars="200"/>
        <w:textAlignment w:val="auto"/>
        <w:rPr>
          <w:rFonts w:ascii="仿宋_GB2312" w:hAnsi="宋体" w:eastAsia="仿宋_GB2312"/>
          <w:sz w:val="32"/>
          <w:szCs w:val="32"/>
          <w:lang w:val="zh-CN"/>
        </w:rPr>
      </w:pPr>
      <w:r>
        <w:rPr>
          <w:rFonts w:ascii="仿宋_GB2312" w:hAnsi="宋体" w:eastAsia="仿宋_GB2312"/>
          <w:sz w:val="32"/>
          <w:szCs w:val="32"/>
          <w:lang w:val="zh-CN"/>
        </w:rPr>
        <w:drawing>
          <wp:inline distT="0" distB="0" distL="114300" distR="114300">
            <wp:extent cx="5683885" cy="1113790"/>
            <wp:effectExtent l="0" t="0" r="635" b="13970"/>
            <wp:docPr id="2"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1"/>
                    <pic:cNvPicPr>
                      <a:picLocks noChangeAspect="1"/>
                    </pic:cNvPicPr>
                  </pic:nvPicPr>
                  <pic:blipFill>
                    <a:blip r:embed="rId7"/>
                    <a:stretch>
                      <a:fillRect/>
                    </a:stretch>
                  </pic:blipFill>
                  <pic:spPr>
                    <a:xfrm>
                      <a:off x="0" y="0"/>
                      <a:ext cx="5683885" cy="1113790"/>
                    </a:xfrm>
                    <a:prstGeom prst="rect">
                      <a:avLst/>
                    </a:prstGeom>
                  </pic:spPr>
                </pic:pic>
              </a:graphicData>
            </a:graphic>
          </wp:inline>
        </w:drawing>
      </w:r>
    </w:p>
    <w:p>
      <w:pPr>
        <w:keepNext w:val="0"/>
        <w:keepLines w:val="0"/>
        <w:pageBreakBefore w:val="0"/>
        <w:wordWrap/>
        <w:topLinePunct w:val="0"/>
        <w:autoSpaceDE/>
        <w:autoSpaceDN/>
        <w:bidi w:val="0"/>
        <w:adjustRightInd/>
        <w:spacing w:line="580" w:lineRule="exact"/>
        <w:jc w:val="center"/>
        <w:textAlignment w:val="auto"/>
        <w:rPr>
          <w:rFonts w:hint="eastAsia" w:ascii="黑体" w:hAnsi="黑体" w:eastAsia="黑体"/>
          <w:szCs w:val="28"/>
          <w:lang w:val="zh-CN" w:eastAsia="zh-CN"/>
        </w:rPr>
      </w:pPr>
      <w:r>
        <w:rPr>
          <w:rFonts w:hint="eastAsia" w:ascii="黑体" w:hAnsi="黑体" w:eastAsia="黑体"/>
          <w:szCs w:val="28"/>
          <w:lang w:val="en-US" w:eastAsia="zh-CN"/>
        </w:rPr>
        <w:t>来源：《关于对拟发布机器人工程技术人员等职业信息进行公示的公告》</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color w:val="FF0000"/>
          <w:sz w:val="32"/>
          <w:szCs w:val="32"/>
          <w:lang w:val="zh-CN"/>
        </w:rPr>
      </w:pPr>
      <w:r>
        <w:rPr>
          <w:rFonts w:hint="eastAsia" w:ascii="仿宋_GB2312" w:hAnsi="宋体" w:eastAsia="仿宋_GB2312"/>
          <w:sz w:val="32"/>
          <w:szCs w:val="32"/>
          <w:lang w:val="zh-CN"/>
        </w:rPr>
        <w:t>规定了</w:t>
      </w:r>
      <w:r>
        <w:rPr>
          <w:rFonts w:ascii="仿宋_GB2312" w:hAnsi="宋体" w:eastAsia="仿宋_GB2312"/>
          <w:sz w:val="32"/>
          <w:szCs w:val="32"/>
          <w:lang w:val="zh-CN"/>
        </w:rPr>
        <w:t>“</w:t>
      </w:r>
      <w:r>
        <w:rPr>
          <w:rFonts w:hint="eastAsia" w:ascii="仿宋_GB2312" w:hAnsi="宋体" w:eastAsia="仿宋_GB2312"/>
          <w:sz w:val="32"/>
          <w:szCs w:val="32"/>
          <w:lang w:val="zh-CN"/>
        </w:rPr>
        <w:t>教育相关法律法规知识、研学旅行知识、教育教学知识、研学旅行课程开发与设计、研学旅行组织与实施、研学旅行营销与品牌管理</w:t>
      </w:r>
      <w:r>
        <w:rPr>
          <w:rFonts w:hint="eastAsia" w:ascii="仿宋_GB2312" w:hAnsi="宋体" w:eastAsia="仿宋_GB2312"/>
          <w:sz w:val="32"/>
          <w:szCs w:val="32"/>
          <w:lang w:val="en-US" w:eastAsia="zh-CN"/>
        </w:rPr>
        <w:t>；旅游常识、通识性知识；安全保障知识、风险管理知识及基本应急常识。</w:t>
      </w:r>
      <w:r>
        <w:rPr>
          <w:rFonts w:hint="eastAsia" w:ascii="仿宋_GB2312" w:hAnsi="宋体" w:eastAsia="仿宋_GB2312"/>
          <w:sz w:val="32"/>
          <w:szCs w:val="32"/>
          <w:lang w:val="zh-CN"/>
        </w:rPr>
        <w:t>”的要求</w:t>
      </w:r>
      <w:r>
        <w:rPr>
          <w:rFonts w:ascii="仿宋_GB2312" w:hAnsi="宋体" w:eastAsia="仿宋_GB2312"/>
          <w:sz w:val="32"/>
          <w:szCs w:val="32"/>
          <w:lang w:val="zh-CN"/>
        </w:rPr>
        <w:t>，</w:t>
      </w:r>
      <w:r>
        <w:rPr>
          <w:rFonts w:ascii="仿宋_GB2312" w:hAnsi="宋体" w:eastAsia="仿宋_GB2312"/>
          <w:color w:val="FF0000"/>
          <w:sz w:val="32"/>
          <w:szCs w:val="32"/>
          <w:lang w:val="zh-CN"/>
        </w:rPr>
        <w:t>主要依据</w:t>
      </w:r>
      <w:r>
        <w:rPr>
          <w:rFonts w:hint="eastAsia" w:ascii="仿宋_GB2312" w:hAnsi="宋体" w:eastAsia="仿宋_GB2312"/>
          <w:color w:val="FF0000"/>
          <w:sz w:val="32"/>
          <w:szCs w:val="32"/>
          <w:lang w:val="zh-CN"/>
        </w:rPr>
        <w:t>人力资源和社会保障部《关于对拟发布机器人工程技术人员等职业信息进行公示的公告》</w:t>
      </w:r>
      <w:r>
        <w:rPr>
          <w:rFonts w:hint="eastAsia" w:ascii="仿宋_GB2312" w:hAnsi="宋体" w:eastAsia="仿宋_GB2312"/>
          <w:color w:val="FF0000"/>
          <w:sz w:val="32"/>
          <w:szCs w:val="32"/>
          <w:lang w:val="en-US" w:eastAsia="zh-CN"/>
        </w:rPr>
        <w:t>对研学旅行指导师的定义</w:t>
      </w:r>
      <w:r>
        <w:rPr>
          <w:rFonts w:hint="eastAsia" w:ascii="仿宋_GB2312" w:hAnsi="宋体" w:eastAsia="仿宋_GB2312"/>
          <w:color w:val="FF0000"/>
          <w:sz w:val="32"/>
          <w:szCs w:val="32"/>
          <w:lang w:val="zh-CN"/>
        </w:rPr>
        <w:t>：</w:t>
      </w:r>
      <w:r>
        <w:rPr>
          <w:rFonts w:ascii="仿宋_GB2312" w:hAnsi="宋体" w:eastAsia="仿宋_GB2312"/>
          <w:color w:val="FF0000"/>
          <w:sz w:val="32"/>
          <w:szCs w:val="32"/>
          <w:lang w:val="zh-CN"/>
        </w:rPr>
        <w:t>“</w:t>
      </w:r>
      <w:r>
        <w:rPr>
          <w:rFonts w:hint="eastAsia" w:ascii="仿宋_GB2312" w:hAnsi="宋体" w:eastAsia="仿宋_GB2312"/>
          <w:color w:val="FF0000"/>
          <w:sz w:val="32"/>
          <w:szCs w:val="32"/>
          <w:lang w:val="zh-CN"/>
        </w:rPr>
        <w:t>策划、制订、实施研学旅行方案，组织、指导开展研学体验活动的人员</w:t>
      </w:r>
      <w:r>
        <w:rPr>
          <w:rFonts w:ascii="仿宋_GB2312" w:hAnsi="宋体" w:eastAsia="仿宋_GB2312"/>
          <w:color w:val="FF0000"/>
          <w:sz w:val="32"/>
          <w:szCs w:val="32"/>
          <w:lang w:val="zh-CN"/>
        </w:rPr>
        <w:t>”</w:t>
      </w:r>
      <w:r>
        <w:rPr>
          <w:rFonts w:hint="eastAsia" w:ascii="仿宋_GB2312" w:hAnsi="宋体" w:eastAsia="仿宋_GB2312"/>
          <w:color w:val="FF0000"/>
          <w:sz w:val="32"/>
          <w:szCs w:val="32"/>
          <w:lang w:val="zh-CN"/>
        </w:rPr>
        <w:t>确定</w:t>
      </w:r>
      <w:r>
        <w:rPr>
          <w:rFonts w:ascii="仿宋_GB2312" w:hAnsi="宋体" w:eastAsia="仿宋_GB2312"/>
          <w:color w:val="FF0000"/>
          <w:sz w:val="32"/>
          <w:szCs w:val="32"/>
          <w:lang w:val="zh-CN"/>
        </w:rPr>
        <w:t>。</w:t>
      </w:r>
      <w:r>
        <w:rPr>
          <w:rFonts w:hint="eastAsia" w:ascii="仿宋_GB2312" w:hAnsi="宋体" w:eastAsia="仿宋_GB2312"/>
          <w:sz w:val="32"/>
          <w:szCs w:val="32"/>
          <w:lang w:val="zh-CN"/>
        </w:rPr>
        <w:t>研学旅行指导师是研学旅行行业核心人员，除研学旅行指导师外，协助开展研学旅行活动的讲解员、辅导员等均为研学旅行从业人员，因为研学旅行从业人员比研学旅行指导师更为宽泛。</w:t>
      </w:r>
    </w:p>
    <w:p>
      <w:pPr>
        <w:keepNext w:val="0"/>
        <w:keepLines w:val="0"/>
        <w:pageBreakBefore w:val="0"/>
        <w:wordWrap/>
        <w:topLinePunct w:val="0"/>
        <w:autoSpaceDE/>
        <w:autoSpaceDN/>
        <w:bidi w:val="0"/>
        <w:adjustRightInd/>
        <w:spacing w:before="156" w:beforeLines="50" w:after="156" w:afterLines="50" w:line="580" w:lineRule="exact"/>
        <w:ind w:firstLine="643" w:firstLineChars="200"/>
        <w:textAlignment w:val="auto"/>
        <w:outlineLvl w:val="1"/>
        <w:rPr>
          <w:rFonts w:ascii="楷体" w:hAnsi="楷体" w:eastAsia="楷体"/>
          <w:b/>
          <w:bCs/>
          <w:sz w:val="32"/>
          <w:szCs w:val="32"/>
          <w:lang w:val="zh-CN"/>
        </w:rPr>
      </w:pPr>
      <w:r>
        <w:rPr>
          <w:rFonts w:hint="eastAsia" w:ascii="楷体" w:hAnsi="楷体" w:eastAsia="楷体"/>
          <w:b/>
          <w:bCs/>
          <w:sz w:val="32"/>
          <w:szCs w:val="32"/>
          <w:lang w:val="zh-CN"/>
        </w:rPr>
        <w:t>（四）培训工作流程</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32"/>
          <w:lang w:val="en-US" w:eastAsia="zh-CN"/>
        </w:rPr>
      </w:pPr>
      <w:bookmarkStart w:id="0" w:name="_Hlk91497121"/>
      <w:r>
        <w:rPr>
          <w:rFonts w:hint="eastAsia" w:ascii="仿宋_GB2312" w:hAnsi="宋体" w:eastAsia="仿宋_GB2312"/>
          <w:sz w:val="32"/>
          <w:szCs w:val="32"/>
          <w:lang w:val="en-US" w:eastAsia="zh-CN"/>
        </w:rPr>
        <w:t>主要依据培训工作前、中、后各阶段的工作内容进行确定。规定了“培训策划”“培训准备”“培训过程”“培训总结”各阶段的工作内容，根据多年的培训工作和实践经验确定培训工作流程内容。</w:t>
      </w:r>
      <w:r>
        <w:rPr>
          <w:rFonts w:hint="eastAsia" w:ascii="仿宋_GB2312" w:hAnsi="宋体" w:eastAsia="仿宋_GB2312"/>
          <w:color w:val="FF0000"/>
          <w:sz w:val="32"/>
          <w:szCs w:val="32"/>
          <w:lang w:val="en-US" w:eastAsia="zh-CN"/>
        </w:rPr>
        <w:t>《广西壮族自治区人力资源和社会保障厅关于进一步做好农村劳动力职业技能培训提升工作质效的通知》（桂人社函〔2023〕58号）“加强培训前调查摸底”，结合研学旅行从业人员培养要求，</w:t>
      </w:r>
      <w:r>
        <w:rPr>
          <w:rFonts w:hint="eastAsia" w:ascii="仿宋_GB2312" w:hAnsi="宋体" w:eastAsia="仿宋_GB2312"/>
          <w:sz w:val="32"/>
          <w:szCs w:val="32"/>
          <w:lang w:val="en-US" w:eastAsia="zh-CN"/>
        </w:rPr>
        <w:t>明确了培训策划：“应做好接待沟通服务，开展学员基本情况调查，了解参训者需求并作培训方案；应根据调查情况结果，分析社会、行业需求，结合参训者实际明确培训目标。”</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明确了培训过程：“为增强仪式感，激励参训者的积极性，应举行开班仪式。应按教学计划实施培训（含现场教学工作）。应加强班级管理，做好学员考勤考核。为加深对培训的意义重要性的认识，应举行结业仪式。”</w:t>
      </w:r>
    </w:p>
    <w:p>
      <w:pPr>
        <w:keepNext w:val="0"/>
        <w:keepLines w:val="0"/>
        <w:pageBreakBefore w:val="0"/>
        <w:wordWrap/>
        <w:topLinePunct w:val="0"/>
        <w:autoSpaceDE/>
        <w:autoSpaceDN/>
        <w:bidi w:val="0"/>
        <w:adjustRightInd/>
        <w:spacing w:line="580" w:lineRule="exact"/>
        <w:ind w:firstLine="640" w:firstLineChars="200"/>
        <w:textAlignment w:val="auto"/>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规定了培训总结：“应及时回收、归还培训过程的各类物料；为提高服务质量，通过调查问卷统计培训情况，针对参训者提出的意见建议，及时作出调整和改善。”</w:t>
      </w:r>
    </w:p>
    <w:bookmarkEnd w:id="0"/>
    <w:p>
      <w:pPr>
        <w:keepNext w:val="0"/>
        <w:keepLines w:val="0"/>
        <w:pageBreakBefore w:val="0"/>
        <w:wordWrap/>
        <w:topLinePunct w:val="0"/>
        <w:autoSpaceDE/>
        <w:autoSpaceDN/>
        <w:bidi w:val="0"/>
        <w:adjustRightInd/>
        <w:spacing w:before="156" w:beforeLines="50" w:after="156" w:afterLines="50" w:line="580" w:lineRule="exact"/>
        <w:ind w:firstLine="643" w:firstLineChars="200"/>
        <w:textAlignment w:val="auto"/>
        <w:outlineLvl w:val="1"/>
        <w:rPr>
          <w:rFonts w:ascii="楷体" w:hAnsi="楷体" w:eastAsia="楷体"/>
          <w:b/>
          <w:bCs/>
          <w:sz w:val="32"/>
          <w:szCs w:val="32"/>
          <w:lang w:val="zh-CN"/>
        </w:rPr>
      </w:pPr>
      <w:r>
        <w:rPr>
          <w:rFonts w:hint="eastAsia" w:ascii="楷体" w:hAnsi="楷体" w:eastAsia="楷体"/>
          <w:b/>
          <w:bCs/>
          <w:sz w:val="32"/>
          <w:szCs w:val="32"/>
          <w:lang w:val="zh-CN"/>
        </w:rPr>
        <w:t>（五）教学管理</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color w:val="FF0000"/>
          <w:sz w:val="32"/>
          <w:szCs w:val="32"/>
          <w:lang w:val="en-US" w:eastAsia="zh-CN"/>
        </w:rPr>
      </w:pPr>
      <w:r>
        <w:rPr>
          <w:rFonts w:hint="eastAsia" w:ascii="仿宋_GB2312" w:hAnsi="宋体" w:eastAsia="仿宋_GB2312"/>
          <w:color w:val="FF0000"/>
          <w:sz w:val="32"/>
          <w:szCs w:val="32"/>
          <w:lang w:val="zh-CN"/>
        </w:rPr>
        <w:t>教学方式方法</w:t>
      </w:r>
      <w:r>
        <w:rPr>
          <w:rFonts w:hint="eastAsia" w:ascii="仿宋_GB2312" w:hAnsi="宋体" w:eastAsia="仿宋_GB2312"/>
          <w:color w:val="FF0000"/>
          <w:sz w:val="32"/>
          <w:szCs w:val="32"/>
          <w:lang w:val="en-US" w:eastAsia="zh-CN"/>
        </w:rPr>
        <w:t>是</w:t>
      </w:r>
      <w:r>
        <w:rPr>
          <w:rFonts w:hint="eastAsia" w:ascii="仿宋_GB2312" w:hAnsi="宋体" w:eastAsia="仿宋_GB2312"/>
          <w:color w:val="FF0000"/>
          <w:sz w:val="32"/>
          <w:szCs w:val="32"/>
          <w:lang w:val="zh-CN"/>
        </w:rPr>
        <w:t>教学活动</w:t>
      </w:r>
      <w:r>
        <w:rPr>
          <w:rFonts w:hint="eastAsia" w:ascii="仿宋_GB2312" w:hAnsi="宋体" w:eastAsia="仿宋_GB2312"/>
          <w:color w:val="FF0000"/>
          <w:sz w:val="32"/>
          <w:szCs w:val="32"/>
          <w:lang w:val="en-US" w:eastAsia="zh-CN"/>
        </w:rPr>
        <w:t>具体的</w:t>
      </w:r>
      <w:r>
        <w:rPr>
          <w:rFonts w:hint="eastAsia" w:ascii="仿宋_GB2312" w:hAnsi="宋体" w:eastAsia="仿宋_GB2312"/>
          <w:color w:val="FF0000"/>
          <w:sz w:val="32"/>
          <w:szCs w:val="32"/>
          <w:lang w:val="zh-CN"/>
        </w:rPr>
        <w:t>呈现形式，《干部教育培训工作条例》（</w:t>
      </w:r>
      <w:r>
        <w:rPr>
          <w:rFonts w:hint="eastAsia" w:ascii="仿宋_GB2312" w:hAnsi="宋体" w:eastAsia="仿宋_GB2312"/>
          <w:color w:val="FF0000"/>
          <w:sz w:val="32"/>
          <w:szCs w:val="32"/>
          <w:lang w:val="en-US" w:eastAsia="zh-CN"/>
        </w:rPr>
        <w:t>2015年）版</w:t>
      </w:r>
      <w:r>
        <w:rPr>
          <w:rFonts w:hint="eastAsia" w:ascii="仿宋_GB2312" w:hAnsi="宋体" w:eastAsia="仿宋_GB2312"/>
          <w:color w:val="FF0000"/>
          <w:sz w:val="32"/>
          <w:szCs w:val="32"/>
          <w:lang w:val="zh-CN"/>
        </w:rPr>
        <w:t>第二十七条“干部教育培训应当根据内容要求和干部特点，综合运用讲授式、研讨式、案例式、模拟式、体验式、访谈式、行动学习等方法，实现教学相长、学学相长。”</w:t>
      </w:r>
    </w:p>
    <w:p>
      <w:pPr>
        <w:keepNext w:val="0"/>
        <w:keepLines w:val="0"/>
        <w:pageBreakBefore w:val="0"/>
        <w:wordWrap/>
        <w:topLinePunct w:val="0"/>
        <w:autoSpaceDE/>
        <w:autoSpaceDN/>
        <w:bidi w:val="0"/>
        <w:adjustRightInd/>
        <w:spacing w:line="580" w:lineRule="exact"/>
        <w:textAlignment w:val="auto"/>
        <w:rPr>
          <w:rFonts w:hint="eastAsia" w:ascii="仿宋_GB2312" w:hAnsi="宋体" w:eastAsia="仿宋_GB2312"/>
          <w:sz w:val="32"/>
          <w:szCs w:val="32"/>
          <w:lang w:val="en-US" w:eastAsia="zh-CN"/>
        </w:rPr>
      </w:pPr>
      <w:r>
        <w:rPr>
          <w:rFonts w:hint="eastAsia" w:ascii="仿宋_GB2312" w:hAnsi="宋体" w:eastAsia="仿宋_GB2312"/>
          <w:color w:val="FF0000"/>
          <w:sz w:val="32"/>
          <w:szCs w:val="32"/>
          <w:lang w:val="zh-CN"/>
        </w:rPr>
        <w:t>明确了“教学方式方法”“班级管理”“财务管理”“案管理”“师资管理”“安全管理”等</w:t>
      </w:r>
      <w:r>
        <w:rPr>
          <w:rFonts w:hint="eastAsia" w:ascii="仿宋_GB2312" w:hAnsi="宋体" w:eastAsia="仿宋_GB2312"/>
          <w:color w:val="FF0000"/>
          <w:sz w:val="32"/>
          <w:szCs w:val="32"/>
          <w:lang w:val="en-US" w:eastAsia="zh-CN"/>
        </w:rPr>
        <w:t>6个方面</w:t>
      </w:r>
      <w:r>
        <w:rPr>
          <w:rFonts w:hint="eastAsia" w:ascii="仿宋_GB2312" w:hAnsi="宋体" w:eastAsia="仿宋_GB2312"/>
          <w:color w:val="FF0000"/>
          <w:sz w:val="32"/>
          <w:szCs w:val="32"/>
          <w:lang w:val="zh-CN"/>
        </w:rPr>
        <w:t>的要求。</w:t>
      </w:r>
      <w:r>
        <w:rPr>
          <w:rFonts w:hint="eastAsia" w:ascii="仿宋_GB2312" w:hAnsi="宋体" w:eastAsia="仿宋_GB2312"/>
          <w:color w:val="FF0000"/>
          <w:sz w:val="32"/>
          <w:szCs w:val="32"/>
          <w:lang w:val="en-US" w:eastAsia="zh-CN"/>
        </w:rPr>
        <w:t>结合近年在</w:t>
      </w:r>
      <w:r>
        <w:rPr>
          <w:rFonts w:hint="eastAsia" w:ascii="仿宋_GB2312" w:hAnsi="宋体" w:eastAsia="仿宋_GB2312"/>
          <w:color w:val="FF0000"/>
          <w:sz w:val="32"/>
          <w:szCs w:val="32"/>
          <w:lang w:val="zh-CN" w:eastAsia="zh-CN"/>
        </w:rPr>
        <w:t>广西</w:t>
      </w:r>
      <w:r>
        <w:rPr>
          <w:rFonts w:hint="default" w:ascii="仿宋_GB2312" w:hAnsi="宋体" w:eastAsia="仿宋_GB2312"/>
          <w:color w:val="FF0000"/>
          <w:sz w:val="32"/>
          <w:szCs w:val="32"/>
          <w:lang w:val="zh-CN" w:eastAsia="zh-CN"/>
        </w:rPr>
        <w:t>拓荒者研学旅行社有限公司</w:t>
      </w:r>
      <w:r>
        <w:rPr>
          <w:rFonts w:hint="eastAsia" w:ascii="仿宋_GB2312" w:hAnsi="宋体" w:eastAsia="仿宋_GB2312"/>
          <w:color w:val="FF0000"/>
          <w:sz w:val="32"/>
          <w:szCs w:val="32"/>
          <w:lang w:val="zh-CN" w:eastAsia="zh-CN"/>
        </w:rPr>
        <w:t>、南宁万达茂文化产业有限公司、广西南宁大王滩经济开发中心、美丽南方青瓦房古村落、桂平市金田起义博物馆、黄姚乐耘庄园基地、广西五彩田园研学实践与劳动教育营地、广西铜石岭国际旅游度假区中小学生研学实践教育基地</w:t>
      </w:r>
      <w:r>
        <w:rPr>
          <w:rFonts w:hint="eastAsia" w:ascii="仿宋_GB2312" w:hAnsi="宋体" w:eastAsia="仿宋_GB2312"/>
          <w:color w:val="FF0000"/>
          <w:sz w:val="32"/>
          <w:szCs w:val="32"/>
          <w:lang w:val="en-US" w:eastAsia="zh-CN"/>
        </w:rPr>
        <w:t>调研的</w:t>
      </w:r>
      <w:r>
        <w:rPr>
          <w:rFonts w:hint="eastAsia" w:ascii="仿宋_GB2312" w:hAnsi="宋体" w:eastAsia="仿宋_GB2312"/>
          <w:color w:val="FF0000"/>
          <w:sz w:val="32"/>
          <w:szCs w:val="32"/>
          <w:lang w:val="en-US" w:eastAsia="zh-CN"/>
        </w:rPr>
        <w:t>研学旅行指导师培训班的实际情况发现，教学方式多元化，培训均为线上与线下相结合、专题授课与现场教学相结合的方式；采用讲授法、讨论法、演示法、练习法、任务驱动法、现场教学法、参观教学法等多种教学方法。并且有明确的班级管理制度、财务管理制度、档案管理制度等等。</w:t>
      </w:r>
      <w:bookmarkStart w:id="1" w:name="_GoBack"/>
      <w:bookmarkEnd w:id="1"/>
      <w:r>
        <w:rPr>
          <w:rFonts w:hint="eastAsia" w:ascii="仿宋_GB2312" w:hAnsi="宋体" w:eastAsia="仿宋_GB2312"/>
          <w:sz w:val="32"/>
          <w:szCs w:val="32"/>
          <w:lang w:val="en-US" w:eastAsia="zh-CN"/>
        </w:rPr>
        <w:t>因此本文件在教学方式方法方面规定了：“应以教学场地为依托，以‘理论教学及实践操作’为主要手段，开展面授培训及现场教学；应利用技术手段，搭建学习资源平台，为学员提供在线直播、书籍资料、课程音视频，电子课件等资料在，平台建设、运行、维护等符合国家法律法规及技术要求；应综合运用讲授法、讨论法、演示法、练习法、任务驱动法、现场教学法、参观教学法进行教学活动。”</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班级管理明确了：“应建立班级群，并发布报到通知、课程预告等短信；应根据学员结构情况进行分组，落实班委成员、组长；应通过班级群对学员进行学业跟踪。”</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规定了</w:t>
      </w:r>
      <w:r>
        <w:rPr>
          <w:rFonts w:hint="default" w:ascii="仿宋_GB2312" w:hAnsi="宋体" w:eastAsia="仿宋_GB2312"/>
          <w:sz w:val="32"/>
          <w:szCs w:val="32"/>
          <w:lang w:val="en-US" w:eastAsia="zh-CN"/>
        </w:rPr>
        <w:t>财务管理</w:t>
      </w:r>
      <w:r>
        <w:rPr>
          <w:rFonts w:hint="eastAsia" w:ascii="仿宋_GB2312" w:hAnsi="宋体" w:eastAsia="仿宋_GB2312"/>
          <w:sz w:val="32"/>
          <w:szCs w:val="32"/>
          <w:lang w:val="en-US" w:eastAsia="zh-CN"/>
        </w:rPr>
        <w:t>：“</w:t>
      </w:r>
      <w:r>
        <w:rPr>
          <w:rFonts w:hint="default" w:ascii="仿宋_GB2312" w:hAnsi="宋体" w:eastAsia="仿宋_GB2312"/>
          <w:sz w:val="32"/>
          <w:szCs w:val="32"/>
          <w:lang w:val="en-US" w:eastAsia="zh-CN"/>
        </w:rPr>
        <w:t>应根据财务部门报销制度要求，收集、整理办班票据。应根据财务部门报销制度进行费用报销工作。</w:t>
      </w:r>
      <w:r>
        <w:rPr>
          <w:rFonts w:hint="eastAsia" w:ascii="仿宋_GB2312" w:hAnsi="宋体" w:eastAsia="仿宋_GB2312"/>
          <w:sz w:val="32"/>
          <w:szCs w:val="32"/>
          <w:lang w:val="en-US" w:eastAsia="zh-CN"/>
        </w:rPr>
        <w:t>”</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明确了</w:t>
      </w:r>
      <w:r>
        <w:rPr>
          <w:rFonts w:hint="default" w:ascii="仿宋_GB2312" w:hAnsi="宋体" w:eastAsia="仿宋_GB2312"/>
          <w:sz w:val="32"/>
          <w:szCs w:val="32"/>
          <w:lang w:val="en-US" w:eastAsia="zh-CN"/>
        </w:rPr>
        <w:t>档案管理</w:t>
      </w:r>
      <w:r>
        <w:rPr>
          <w:rFonts w:hint="eastAsia" w:ascii="仿宋_GB2312" w:hAnsi="宋体" w:eastAsia="仿宋_GB2312"/>
          <w:sz w:val="32"/>
          <w:szCs w:val="32"/>
          <w:lang w:val="en-US" w:eastAsia="zh-CN"/>
        </w:rPr>
        <w:t>：“</w:t>
      </w:r>
      <w:r>
        <w:rPr>
          <w:rFonts w:hint="default" w:ascii="仿宋_GB2312" w:hAnsi="宋体" w:eastAsia="仿宋_GB2312"/>
          <w:sz w:val="32"/>
          <w:szCs w:val="32"/>
          <w:lang w:val="en-US" w:eastAsia="zh-CN"/>
        </w:rPr>
        <w:t>应收集培训过程材料，撰写培训总结。应按照档案管理制度要求做好档案整理，并提交档案管理员进行归档，确保档案的完整性、准确性和系统性。</w:t>
      </w:r>
      <w:r>
        <w:rPr>
          <w:rFonts w:hint="eastAsia" w:ascii="仿宋_GB2312" w:hAnsi="宋体" w:eastAsia="仿宋_GB2312"/>
          <w:sz w:val="32"/>
          <w:szCs w:val="32"/>
          <w:lang w:val="en-US" w:eastAsia="zh-CN"/>
        </w:rPr>
        <w:t>”</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规定了师资管理：“应制定师资队伍建设制度，建设一支职业素质好、业务精良、结构合理、有一定科研能力充满活力的师资队伍。应具相应教师资格或专业技术资格，具有一定年限相关工作经验及具有相当影响力的研学旅行研究成果等，能够满足理论培训和实践教学需要。培训师资应具备较强语言表达能力和不断更新知识学习能力。为提高教学质量，适应时代发展的需要，应开展交流学习、集体备课、共同磨课等活动。具备培训需求分析、培训项目策划、设计、执行管理，辅助及保障培训服务工作的专业人员队伍。”</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明确了安全管理：“应制定和完善包括：地震、火灾、食品卫生、治安事件、设施设备突发故障等在内的各项突发事件应急预案，并定期组织演练。应构建完善有效的安全保障机制，在教学活动中全程做好安全防范措施，确保参与教学活动的师生的人身安全与财产安全。应为参与教学活动的师生购置意外伤害及医疗保障责任保险。”</w:t>
      </w:r>
    </w:p>
    <w:p>
      <w:pPr>
        <w:keepNext w:val="0"/>
        <w:keepLines w:val="0"/>
        <w:pageBreakBefore w:val="0"/>
        <w:wordWrap/>
        <w:topLinePunct w:val="0"/>
        <w:autoSpaceDE/>
        <w:autoSpaceDN/>
        <w:bidi w:val="0"/>
        <w:adjustRightInd/>
        <w:spacing w:before="156" w:beforeLines="50" w:after="156" w:afterLines="50" w:line="580" w:lineRule="exact"/>
        <w:ind w:firstLine="643" w:firstLineChars="200"/>
        <w:textAlignment w:val="auto"/>
        <w:outlineLvl w:val="1"/>
        <w:rPr>
          <w:rFonts w:ascii="楷体" w:hAnsi="楷体" w:eastAsia="楷体"/>
          <w:b/>
          <w:bCs/>
          <w:sz w:val="32"/>
          <w:szCs w:val="32"/>
          <w:lang w:val="zh-CN"/>
        </w:rPr>
      </w:pPr>
      <w:r>
        <w:rPr>
          <w:rFonts w:hint="eastAsia" w:ascii="楷体" w:hAnsi="楷体" w:eastAsia="楷体"/>
          <w:b/>
          <w:bCs/>
          <w:sz w:val="32"/>
          <w:szCs w:val="32"/>
          <w:lang w:val="zh-CN"/>
        </w:rPr>
        <w:t>（六）服务保障</w:t>
      </w:r>
    </w:p>
    <w:p>
      <w:pPr>
        <w:keepNext w:val="0"/>
        <w:keepLines w:val="0"/>
        <w:pageBreakBefore w:val="0"/>
        <w:wordWrap/>
        <w:topLinePunct w:val="0"/>
        <w:autoSpaceDE/>
        <w:autoSpaceDN/>
        <w:bidi w:val="0"/>
        <w:adjustRightInd/>
        <w:spacing w:line="580" w:lineRule="exact"/>
        <w:ind w:firstLine="648" w:firstLineChars="200"/>
        <w:textAlignment w:val="auto"/>
        <w:rPr>
          <w:rFonts w:ascii="仿宋_GB2312" w:hAnsi="宋体" w:eastAsia="仿宋_GB2312"/>
          <w:sz w:val="32"/>
          <w:szCs w:val="32"/>
          <w:lang w:val="zh-CN"/>
        </w:rPr>
      </w:pPr>
      <w:r>
        <w:rPr>
          <w:rFonts w:hint="eastAsia" w:ascii="仿宋_GB2312" w:hAnsi="仿宋_GB2312" w:eastAsia="仿宋_GB2312" w:cs="Times New Roman"/>
          <w:color w:val="FF0000"/>
          <w:spacing w:val="2"/>
          <w:kern w:val="0"/>
          <w:sz w:val="32"/>
          <w:szCs w:val="24"/>
          <w:lang w:val="en-US" w:eastAsia="zh-CN" w:bidi="ar-SA"/>
        </w:rPr>
        <w:t>依据</w:t>
      </w:r>
      <w:r>
        <w:rPr>
          <w:rFonts w:hint="eastAsia" w:ascii="仿宋_GB2312" w:hAnsi="宋体" w:eastAsia="仿宋_GB2312"/>
          <w:color w:val="FF0000"/>
          <w:sz w:val="32"/>
          <w:szCs w:val="32"/>
          <w:lang w:val="en-US" w:eastAsia="zh-CN"/>
        </w:rPr>
        <w:t>《关于推进中小学生研学旅行的意见》“</w:t>
      </w:r>
      <w:r>
        <w:rPr>
          <w:rFonts w:hint="eastAsia" w:ascii="仿宋_GB2312" w:hAnsi="宋体" w:eastAsia="仿宋_GB2312"/>
          <w:color w:val="FF0000"/>
          <w:sz w:val="32"/>
          <w:szCs w:val="32"/>
          <w:lang w:val="zh-CN" w:eastAsia="zh-CN"/>
        </w:rPr>
        <w:t>组织保障，</w:t>
      </w:r>
      <w:r>
        <w:rPr>
          <w:rFonts w:hint="eastAsia" w:ascii="仿宋_GB2312" w:hAnsi="宋体" w:eastAsia="仿宋_GB2312"/>
          <w:color w:val="FF0000"/>
          <w:sz w:val="32"/>
          <w:szCs w:val="32"/>
          <w:lang w:val="en-US" w:eastAsia="zh-CN"/>
        </w:rPr>
        <w:t>结合本地实际情况制订相应工作方案</w:t>
      </w:r>
      <w:r>
        <w:rPr>
          <w:rFonts w:hint="eastAsia" w:ascii="仿宋_GB2312" w:hAnsi="宋体" w:eastAsia="仿宋_GB2312"/>
          <w:color w:val="FF0000"/>
          <w:sz w:val="32"/>
          <w:szCs w:val="32"/>
          <w:lang w:val="zh-CN" w:eastAsia="zh-CN"/>
        </w:rPr>
        <w:t>”为</w:t>
      </w:r>
      <w:r>
        <w:rPr>
          <w:rFonts w:hint="eastAsia" w:ascii="仿宋_GB2312" w:hAnsi="宋体" w:eastAsia="仿宋_GB2312"/>
          <w:color w:val="FF0000"/>
          <w:sz w:val="32"/>
          <w:szCs w:val="32"/>
          <w:lang w:val="en-US" w:eastAsia="zh-CN"/>
        </w:rPr>
        <w:t>研学旅行从业人员培训</w:t>
      </w:r>
      <w:r>
        <w:rPr>
          <w:rFonts w:hint="eastAsia" w:ascii="仿宋_GB2312" w:hAnsi="宋体" w:eastAsia="仿宋_GB2312"/>
          <w:color w:val="FF0000"/>
          <w:sz w:val="32"/>
          <w:szCs w:val="32"/>
          <w:lang w:val="zh-CN"/>
        </w:rPr>
        <w:t>工作有序开展,高质量地</w:t>
      </w:r>
      <w:r>
        <w:rPr>
          <w:rFonts w:hint="eastAsia" w:ascii="仿宋_GB2312" w:hAnsi="宋体" w:eastAsia="仿宋_GB2312"/>
          <w:color w:val="FF0000"/>
          <w:sz w:val="32"/>
          <w:szCs w:val="32"/>
          <w:lang w:val="en-US" w:eastAsia="zh-CN"/>
        </w:rPr>
        <w:t>做好</w:t>
      </w:r>
      <w:r>
        <w:rPr>
          <w:rFonts w:hint="eastAsia" w:ascii="仿宋_GB2312" w:hAnsi="宋体" w:eastAsia="仿宋_GB2312"/>
          <w:color w:val="FF0000"/>
          <w:sz w:val="32"/>
          <w:szCs w:val="32"/>
          <w:lang w:val="zh-CN"/>
        </w:rPr>
        <w:t>服务保障</w:t>
      </w:r>
      <w:r>
        <w:rPr>
          <w:rFonts w:hint="eastAsia" w:ascii="仿宋_GB2312" w:hAnsi="宋体" w:eastAsia="仿宋_GB2312"/>
          <w:color w:val="FF0000"/>
          <w:sz w:val="32"/>
          <w:szCs w:val="32"/>
          <w:lang w:val="en-US" w:eastAsia="zh-CN"/>
        </w:rPr>
        <w:t>实施</w:t>
      </w:r>
      <w:r>
        <w:rPr>
          <w:rFonts w:hint="eastAsia" w:ascii="仿宋_GB2312" w:hAnsi="宋体" w:eastAsia="仿宋_GB2312"/>
          <w:color w:val="FF0000"/>
          <w:sz w:val="32"/>
          <w:szCs w:val="32"/>
          <w:lang w:val="zh-CN"/>
        </w:rPr>
        <w:t>工作</w:t>
      </w:r>
      <w:r>
        <w:rPr>
          <w:rFonts w:hint="eastAsia" w:ascii="仿宋_GB2312" w:hAnsi="宋体" w:eastAsia="仿宋_GB2312"/>
          <w:color w:val="FF0000"/>
          <w:sz w:val="32"/>
          <w:szCs w:val="32"/>
          <w:lang w:val="en-US" w:eastAsia="zh-CN"/>
        </w:rPr>
        <w:t>的有力保障，研学旅行从业人员涉及户外工作，需要开展户外的现场教学，广西被誉为“八山一水一分田”,地形复杂，因此近年的实践经验，</w:t>
      </w:r>
      <w:r>
        <w:rPr>
          <w:rFonts w:hint="eastAsia" w:ascii="仿宋_GB2312" w:hAnsi="宋体" w:eastAsia="仿宋_GB2312"/>
          <w:color w:val="FF0000"/>
          <w:sz w:val="32"/>
          <w:szCs w:val="32"/>
          <w:lang w:val="zh-CN"/>
        </w:rPr>
        <w:t>服务</w:t>
      </w:r>
      <w:r>
        <w:rPr>
          <w:rFonts w:hint="eastAsia" w:ascii="仿宋_GB2312" w:hAnsi="宋体" w:eastAsia="仿宋_GB2312"/>
          <w:color w:val="FF0000"/>
          <w:sz w:val="32"/>
          <w:szCs w:val="32"/>
          <w:lang w:val="en-US" w:eastAsia="zh-CN"/>
        </w:rPr>
        <w:t>保障</w:t>
      </w:r>
      <w:r>
        <w:rPr>
          <w:rFonts w:ascii="仿宋_GB2312" w:hAnsi="宋体" w:eastAsia="仿宋_GB2312"/>
          <w:color w:val="FF0000"/>
          <w:sz w:val="32"/>
          <w:szCs w:val="32"/>
          <w:lang w:val="zh-CN"/>
        </w:rPr>
        <w:t>践确定</w:t>
      </w:r>
      <w:r>
        <w:rPr>
          <w:rFonts w:hint="eastAsia" w:ascii="仿宋_GB2312" w:hAnsi="宋体" w:eastAsia="仿宋_GB2312"/>
          <w:color w:val="FF0000"/>
          <w:sz w:val="32"/>
          <w:szCs w:val="32"/>
          <w:lang w:val="en-US" w:eastAsia="zh-CN"/>
        </w:rPr>
        <w:t>了</w:t>
      </w:r>
      <w:r>
        <w:rPr>
          <w:rFonts w:hint="eastAsia" w:ascii="仿宋_GB2312" w:hAnsi="宋体" w:eastAsia="仿宋_GB2312"/>
          <w:color w:val="FF0000"/>
          <w:sz w:val="32"/>
          <w:szCs w:val="32"/>
          <w:lang w:val="zh-CN"/>
        </w:rPr>
        <w:t>。</w:t>
      </w:r>
      <w:r>
        <w:rPr>
          <w:rFonts w:hint="eastAsia" w:ascii="仿宋_GB2312" w:hAnsi="宋体" w:eastAsia="仿宋_GB2312"/>
          <w:sz w:val="32"/>
          <w:szCs w:val="32"/>
          <w:lang w:val="en-US" w:eastAsia="zh-CN"/>
        </w:rPr>
        <w:t>要求</w:t>
      </w:r>
      <w:r>
        <w:rPr>
          <w:rFonts w:hint="eastAsia" w:ascii="仿宋_GB2312" w:hAnsi="宋体" w:eastAsia="仿宋_GB2312"/>
          <w:sz w:val="32"/>
          <w:szCs w:val="32"/>
          <w:lang w:val="zh-CN"/>
        </w:rPr>
        <w:t>：“应根据参训需求和服务方案，签订服务合同；应签订的服务合同包括但不限于食宿、交通等。”</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32"/>
          <w:lang w:val="zh-CN"/>
        </w:rPr>
      </w:pPr>
      <w:r>
        <w:rPr>
          <w:rFonts w:hint="eastAsia" w:ascii="仿宋_GB2312" w:hAnsi="宋体" w:eastAsia="仿宋_GB2312"/>
          <w:sz w:val="32"/>
          <w:szCs w:val="32"/>
          <w:lang w:val="zh-CN"/>
        </w:rPr>
        <w:t>服务</w:t>
      </w:r>
      <w:r>
        <w:rPr>
          <w:rFonts w:hint="eastAsia" w:ascii="仿宋_GB2312" w:hAnsi="宋体" w:eastAsia="仿宋_GB2312"/>
          <w:sz w:val="32"/>
          <w:szCs w:val="32"/>
          <w:lang w:val="en-US" w:eastAsia="zh-CN"/>
        </w:rPr>
        <w:t>内容</w:t>
      </w:r>
      <w:r>
        <w:rPr>
          <w:rFonts w:hint="eastAsia" w:ascii="仿宋_GB2312" w:hAnsi="宋体" w:eastAsia="仿宋_GB2312"/>
          <w:sz w:val="32"/>
          <w:szCs w:val="32"/>
          <w:lang w:val="zh-CN"/>
        </w:rPr>
        <w:t>主要</w:t>
      </w:r>
      <w:r>
        <w:rPr>
          <w:rFonts w:ascii="仿宋_GB2312" w:hAnsi="宋体" w:eastAsia="仿宋_GB2312"/>
          <w:sz w:val="32"/>
          <w:szCs w:val="32"/>
          <w:lang w:val="zh-CN"/>
        </w:rPr>
        <w:t>依据</w:t>
      </w:r>
      <w:r>
        <w:rPr>
          <w:rFonts w:hint="eastAsia" w:ascii="仿宋_GB2312" w:hAnsi="宋体" w:eastAsia="仿宋_GB2312"/>
          <w:sz w:val="32"/>
          <w:szCs w:val="32"/>
          <w:lang w:val="zh-CN"/>
        </w:rPr>
        <w:t>起草</w:t>
      </w:r>
      <w:r>
        <w:rPr>
          <w:rFonts w:ascii="仿宋_GB2312" w:hAnsi="宋体" w:eastAsia="仿宋_GB2312"/>
          <w:sz w:val="32"/>
          <w:szCs w:val="32"/>
          <w:lang w:val="zh-CN"/>
        </w:rPr>
        <w:t>单位实际操作要求确定，</w:t>
      </w:r>
      <w:r>
        <w:rPr>
          <w:rFonts w:hint="eastAsia" w:ascii="仿宋_GB2312" w:hAnsi="宋体" w:eastAsia="仿宋_GB2312"/>
          <w:sz w:val="32"/>
          <w:szCs w:val="32"/>
          <w:lang w:val="zh-CN"/>
        </w:rPr>
        <w:t>以</w:t>
      </w:r>
      <w:r>
        <w:rPr>
          <w:rFonts w:ascii="仿宋_GB2312" w:hAnsi="宋体" w:eastAsia="仿宋_GB2312"/>
          <w:sz w:val="32"/>
          <w:szCs w:val="32"/>
          <w:lang w:val="zh-CN"/>
        </w:rPr>
        <w:t>保障</w:t>
      </w:r>
      <w:r>
        <w:rPr>
          <w:rFonts w:hint="eastAsia" w:ascii="仿宋_GB2312" w:hAnsi="宋体" w:eastAsia="仿宋_GB2312"/>
          <w:sz w:val="32"/>
          <w:szCs w:val="32"/>
          <w:lang w:val="zh-CN"/>
        </w:rPr>
        <w:t>研学旅行从业人员培训</w:t>
      </w:r>
      <w:r>
        <w:rPr>
          <w:rFonts w:hint="eastAsia" w:ascii="仿宋_GB2312" w:hAnsi="宋体" w:eastAsia="仿宋_GB2312"/>
          <w:sz w:val="32"/>
          <w:szCs w:val="32"/>
          <w:lang w:val="en-US" w:eastAsia="zh-CN"/>
        </w:rPr>
        <w:t>服务</w:t>
      </w:r>
      <w:r>
        <w:rPr>
          <w:rFonts w:hint="eastAsia" w:ascii="仿宋_GB2312" w:hAnsi="宋体" w:eastAsia="仿宋_GB2312"/>
          <w:sz w:val="32"/>
          <w:szCs w:val="32"/>
          <w:lang w:val="zh-CN"/>
        </w:rPr>
        <w:t>及</w:t>
      </w:r>
      <w:r>
        <w:rPr>
          <w:rFonts w:hint="eastAsia" w:ascii="仿宋_GB2312" w:hAnsi="宋体" w:eastAsia="仿宋_GB2312"/>
          <w:sz w:val="32"/>
          <w:szCs w:val="32"/>
          <w:lang w:val="en-US" w:eastAsia="zh-CN"/>
        </w:rPr>
        <w:t>参训者的</w:t>
      </w:r>
      <w:r>
        <w:rPr>
          <w:rFonts w:ascii="仿宋_GB2312" w:hAnsi="宋体" w:eastAsia="仿宋_GB2312"/>
          <w:sz w:val="32"/>
          <w:szCs w:val="32"/>
          <w:lang w:val="zh-CN"/>
        </w:rPr>
        <w:t>权益。</w:t>
      </w:r>
    </w:p>
    <w:p>
      <w:pPr>
        <w:keepNext w:val="0"/>
        <w:keepLines w:val="0"/>
        <w:pageBreakBefore w:val="0"/>
        <w:wordWrap/>
        <w:topLinePunct w:val="0"/>
        <w:autoSpaceDE/>
        <w:autoSpaceDN/>
        <w:bidi w:val="0"/>
        <w:adjustRightInd/>
        <w:spacing w:before="156" w:beforeLines="50" w:after="156" w:afterLines="50" w:line="580" w:lineRule="exact"/>
        <w:ind w:firstLine="643" w:firstLineChars="200"/>
        <w:textAlignment w:val="auto"/>
        <w:outlineLvl w:val="1"/>
        <w:rPr>
          <w:rFonts w:ascii="楷体" w:hAnsi="楷体" w:eastAsia="楷体"/>
          <w:b/>
          <w:bCs/>
          <w:sz w:val="32"/>
          <w:szCs w:val="32"/>
          <w:lang w:val="zh-CN"/>
        </w:rPr>
      </w:pPr>
      <w:r>
        <w:rPr>
          <w:rFonts w:hint="eastAsia" w:ascii="楷体" w:hAnsi="楷体" w:eastAsia="楷体"/>
          <w:b/>
          <w:bCs/>
          <w:sz w:val="32"/>
          <w:szCs w:val="32"/>
          <w:lang w:val="zh-CN"/>
        </w:rPr>
        <w:t>（七）服务评估与改进</w:t>
      </w:r>
    </w:p>
    <w:p>
      <w:pPr>
        <w:keepNext w:val="0"/>
        <w:keepLines w:val="0"/>
        <w:pageBreakBefore w:val="0"/>
        <w:wordWrap/>
        <w:topLinePunct w:val="0"/>
        <w:autoSpaceDE/>
        <w:autoSpaceDN/>
        <w:bidi w:val="0"/>
        <w:adjustRightInd/>
        <w:spacing w:line="580" w:lineRule="exact"/>
        <w:ind w:firstLine="648" w:firstLineChars="200"/>
        <w:textAlignment w:val="auto"/>
        <w:rPr>
          <w:rFonts w:hint="eastAsia" w:ascii="仿宋_GB2312" w:hAnsi="宋体" w:eastAsia="仿宋_GB2312"/>
          <w:sz w:val="32"/>
          <w:szCs w:val="32"/>
          <w:lang w:val="zh-CN"/>
        </w:rPr>
      </w:pPr>
      <w:r>
        <w:rPr>
          <w:rFonts w:hint="eastAsia" w:ascii="仿宋_GB2312" w:hAnsi="仿宋_GB2312" w:eastAsia="仿宋_GB2312" w:cs="Times New Roman"/>
          <w:color w:val="FF0000"/>
          <w:spacing w:val="2"/>
          <w:kern w:val="0"/>
          <w:sz w:val="32"/>
          <w:szCs w:val="24"/>
          <w:lang w:val="en-US" w:eastAsia="zh-CN" w:bidi="ar-SA"/>
        </w:rPr>
        <w:t>依据《关于推进中小学生研学旅行的意见》“强化督查评价。各地要建立健全中小学生参加研学旅行的评价机制，”明确了应在研学旅行活动结束后开展满意度调查，对调查结果进行分析，科学研判存在的问题，并提出相应的整改措施；同时建立完善的质量监督保证体系与信息反馈和投诉处理机制，及时处理投诉、档案记录完整、不定期抽查，不断提升研学旅行从业人员培训服务品质。</w:t>
      </w:r>
      <w:r>
        <w:rPr>
          <w:rFonts w:hint="eastAsia" w:ascii="仿宋_GB2312" w:hAnsi="宋体" w:eastAsia="仿宋_GB2312"/>
          <w:sz w:val="32"/>
          <w:szCs w:val="32"/>
          <w:lang w:val="zh-CN"/>
        </w:rPr>
        <w:t>主要明确了评估方式与教学改进</w:t>
      </w:r>
      <w:r>
        <w:rPr>
          <w:rFonts w:hint="eastAsia" w:ascii="仿宋_GB2312" w:hAnsi="宋体" w:eastAsia="仿宋_GB2312"/>
          <w:sz w:val="32"/>
          <w:szCs w:val="32"/>
          <w:lang w:val="en-US" w:eastAsia="zh-CN"/>
        </w:rPr>
        <w:t>内容。</w:t>
      </w:r>
      <w:r>
        <w:rPr>
          <w:rFonts w:hint="eastAsia" w:ascii="仿宋_GB2312" w:hAnsi="宋体" w:eastAsia="仿宋_GB2312"/>
          <w:sz w:val="32"/>
          <w:szCs w:val="32"/>
          <w:lang w:val="zh-CN"/>
        </w:rPr>
        <w:t>主要考虑</w:t>
      </w:r>
      <w:r>
        <w:rPr>
          <w:rFonts w:ascii="仿宋_GB2312" w:hAnsi="宋体" w:eastAsia="仿宋_GB2312"/>
          <w:sz w:val="32"/>
          <w:szCs w:val="32"/>
          <w:lang w:val="zh-CN"/>
        </w:rPr>
        <w:t>到</w:t>
      </w:r>
      <w:r>
        <w:rPr>
          <w:rFonts w:hint="eastAsia" w:ascii="仿宋_GB2312" w:hAnsi="宋体" w:eastAsia="仿宋_GB2312"/>
          <w:sz w:val="32"/>
          <w:szCs w:val="32"/>
          <w:lang w:val="en-US" w:eastAsia="zh-CN"/>
        </w:rPr>
        <w:t>培训工作复杂性与重复性</w:t>
      </w:r>
      <w:r>
        <w:rPr>
          <w:rFonts w:hint="eastAsia" w:ascii="仿宋_GB2312" w:hAnsi="宋体" w:eastAsia="仿宋_GB2312"/>
          <w:sz w:val="32"/>
          <w:szCs w:val="32"/>
          <w:lang w:val="zh-CN"/>
        </w:rPr>
        <w:t>等</w:t>
      </w:r>
      <w:r>
        <w:rPr>
          <w:rFonts w:ascii="仿宋_GB2312" w:hAnsi="宋体" w:eastAsia="仿宋_GB2312"/>
          <w:sz w:val="32"/>
          <w:szCs w:val="32"/>
          <w:lang w:val="zh-CN"/>
        </w:rPr>
        <w:t>方面进行了规定</w:t>
      </w:r>
      <w:r>
        <w:rPr>
          <w:rFonts w:hint="eastAsia" w:ascii="仿宋_GB2312" w:hAnsi="宋体" w:eastAsia="仿宋_GB2312"/>
          <w:sz w:val="32"/>
          <w:szCs w:val="32"/>
          <w:lang w:val="zh-CN"/>
        </w:rPr>
        <w:t>。</w:t>
      </w:r>
      <w:r>
        <w:rPr>
          <w:rFonts w:hint="eastAsia" w:ascii="仿宋_GB2312" w:hAnsi="宋体" w:eastAsia="仿宋_GB2312"/>
          <w:sz w:val="32"/>
          <w:szCs w:val="32"/>
          <w:lang w:val="en-US" w:eastAsia="zh-CN"/>
        </w:rPr>
        <w:t>评估方式规定了：“应</w:t>
      </w:r>
      <w:r>
        <w:rPr>
          <w:rFonts w:hint="eastAsia" w:ascii="仿宋_GB2312" w:hAnsi="宋体" w:eastAsia="仿宋_GB2312"/>
          <w:sz w:val="32"/>
          <w:szCs w:val="32"/>
          <w:lang w:val="zh-CN"/>
        </w:rPr>
        <w:t>建立评价指标体系，细化具体指标的评估分值，评价指标包括但不仅限于研学旅行教育活动总体情况、课程设计、课程目标、教学内容、教学流程设置、教学互动、教学点评、现场教学、教学管理及教师评价等指标；应通过自我评价、第三方评价、培训学员及培训教师等方式建立研学评价机制，重点开展培训质量评价和培训教师评价；应根据调查结果进行统计分析和量化评估，做好评价结果分析；应及时将服务评价分析结果反馈给相关岗位工作人员。”</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32"/>
          <w:lang w:val="zh-CN"/>
        </w:rPr>
      </w:pPr>
      <w:r>
        <w:rPr>
          <w:rFonts w:hint="eastAsia" w:ascii="仿宋_GB2312" w:hAnsi="宋体" w:eastAsia="仿宋_GB2312"/>
          <w:sz w:val="32"/>
          <w:szCs w:val="32"/>
          <w:lang w:val="zh-CN"/>
        </w:rPr>
        <w:t>教学改进</w:t>
      </w:r>
      <w:r>
        <w:rPr>
          <w:rFonts w:hint="eastAsia" w:ascii="仿宋_GB2312" w:hAnsi="宋体" w:eastAsia="仿宋_GB2312"/>
          <w:sz w:val="32"/>
          <w:szCs w:val="32"/>
          <w:lang w:val="en-US" w:eastAsia="zh-CN"/>
        </w:rPr>
        <w:t>明确了：“</w:t>
      </w:r>
      <w:r>
        <w:rPr>
          <w:rFonts w:hint="eastAsia" w:ascii="仿宋_GB2312" w:hAnsi="宋体" w:eastAsia="仿宋_GB2312"/>
          <w:sz w:val="32"/>
          <w:szCs w:val="32"/>
          <w:lang w:val="zh-CN"/>
        </w:rPr>
        <w:t>根据评估结果，应做好培训班的复盘工作；应根据反馈情况及存在的薄弱环节进行分析，找出发生或潜在发生质量问题的根本原因，采取纠正或预防措施以消除该根本原因，同时对改进情况进行跟踪，并持续做好提升服务工作。应对各方面反馈的质量信息及时进行汇总分析，明确产品中的主要缺陷，找准发生质量问题的具体原因，通过健全制度、加强培训、调整供应方、优化产品设计、完善服务要素和运行环节等措施，持续改进研学旅行从业人员培训服务。</w:t>
      </w:r>
      <w:r>
        <w:rPr>
          <w:rFonts w:hint="default" w:ascii="仿宋_GB2312" w:hAnsi="宋体" w:eastAsia="仿宋_GB2312"/>
          <w:sz w:val="32"/>
          <w:szCs w:val="32"/>
          <w:lang w:val="en-US" w:eastAsia="zh-CN"/>
        </w:rPr>
        <w:t>”</w:t>
      </w:r>
      <w:r>
        <w:rPr>
          <w:rFonts w:hint="eastAsia" w:ascii="仿宋_GB2312" w:hAnsi="宋体" w:eastAsia="仿宋_GB2312"/>
          <w:sz w:val="32"/>
          <w:szCs w:val="32"/>
          <w:lang w:val="en-US" w:eastAsia="zh-CN"/>
        </w:rPr>
        <w:t>最终目的是</w:t>
      </w:r>
      <w:r>
        <w:rPr>
          <w:rFonts w:hint="eastAsia" w:ascii="仿宋_GB2312" w:hAnsi="宋体" w:eastAsia="仿宋_GB2312"/>
          <w:sz w:val="32"/>
          <w:szCs w:val="32"/>
          <w:lang w:val="zh-CN"/>
        </w:rPr>
        <w:t>根据</w:t>
      </w:r>
      <w:r>
        <w:rPr>
          <w:rFonts w:ascii="仿宋_GB2312" w:hAnsi="宋体" w:eastAsia="仿宋_GB2312"/>
          <w:sz w:val="32"/>
          <w:szCs w:val="32"/>
          <w:lang w:val="zh-CN"/>
        </w:rPr>
        <w:t>反馈的意见或建议不断改进</w:t>
      </w:r>
      <w:r>
        <w:rPr>
          <w:rFonts w:hint="eastAsia" w:ascii="仿宋_GB2312" w:hAnsi="宋体" w:eastAsia="仿宋_GB2312"/>
          <w:sz w:val="32"/>
          <w:szCs w:val="32"/>
          <w:lang w:val="zh-CN"/>
        </w:rPr>
        <w:t>，</w:t>
      </w:r>
      <w:r>
        <w:rPr>
          <w:rFonts w:ascii="仿宋_GB2312" w:hAnsi="宋体" w:eastAsia="仿宋_GB2312"/>
          <w:sz w:val="32"/>
          <w:szCs w:val="32"/>
          <w:lang w:val="zh-CN"/>
        </w:rPr>
        <w:t>提高服务质量</w:t>
      </w:r>
      <w:r>
        <w:rPr>
          <w:rFonts w:hint="eastAsia" w:ascii="仿宋_GB2312" w:hAnsi="宋体" w:eastAsia="仿宋_GB2312"/>
          <w:sz w:val="32"/>
          <w:szCs w:val="32"/>
          <w:lang w:val="zh-CN"/>
        </w:rPr>
        <w:t>。</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六、国内外标准制修订情况</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经查阅，区内外现未有与“研学旅行从业人员培训服务规范”有关的标准。</w:t>
      </w:r>
    </w:p>
    <w:p>
      <w:pPr>
        <w:keepNext w:val="0"/>
        <w:keepLines w:val="0"/>
        <w:pageBreakBefore w:val="0"/>
        <w:wordWrap/>
        <w:topLinePunct w:val="0"/>
        <w:autoSpaceDE/>
        <w:autoSpaceDN/>
        <w:bidi w:val="0"/>
        <w:adjustRightInd/>
        <w:spacing w:line="58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中国旅行社协会分别在2016年12月19日发布了LB/T 054-2016《研学旅行服务规范》，在2019年3月12日发布了T/CATS 001—2019《研学旅行指导师（中小学）专业标准》、T/CATS 002—2019《研学旅行基地（营地）设施与服务规范》；安徽省在2016年12月30日发布了DB34/T 2768-2016《研学旅行者组织与服务规范》；山西省在2020年9月18日发布了DB14/T 2168-2020《研学旅行导师专业要求》；上海市在2021年10月29日发布了DB31/T 1326-2021《研学旅行服务规范》；辽宁省在2022年11月30日发布了DB21/T 3655—2022《研学旅行机构服务与管理规范》。国内对研学旅行的研究主要集中在研学旅行的服务规范、基地规范等方面。</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color w:val="FF0000"/>
          <w:sz w:val="32"/>
          <w:szCs w:val="28"/>
          <w:lang w:val="zh-CN"/>
        </w:rPr>
      </w:pPr>
      <w:r>
        <w:rPr>
          <w:rFonts w:hint="eastAsia" w:ascii="仿宋_GB2312" w:hAnsi="宋体" w:eastAsia="仿宋_GB2312"/>
          <w:sz w:val="32"/>
          <w:szCs w:val="28"/>
          <w:lang w:val="zh-CN"/>
        </w:rPr>
        <w:t>与之相比，本标准从研学旅行从业人员的培训服务规范进行研究。研学旅行从业人员培训业务工作执行规范是研学旅行</w:t>
      </w:r>
      <w:r>
        <w:rPr>
          <w:rFonts w:hint="eastAsia" w:ascii="仿宋_GB2312" w:hAnsi="宋体" w:eastAsia="仿宋_GB2312"/>
          <w:sz w:val="32"/>
          <w:szCs w:val="28"/>
          <w:lang w:val="en-US" w:eastAsia="zh-CN"/>
        </w:rPr>
        <w:t>从业人员培训</w:t>
      </w:r>
      <w:r>
        <w:rPr>
          <w:rFonts w:hint="eastAsia" w:ascii="仿宋_GB2312" w:hAnsi="宋体" w:eastAsia="仿宋_GB2312"/>
          <w:sz w:val="32"/>
          <w:szCs w:val="28"/>
          <w:lang w:val="zh-CN"/>
        </w:rPr>
        <w:t>服务规范的基础与保障。目前，国内尚未发现有《研学旅行从业人员培训服务规范》。</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七、重大分歧意见发处理经过和依据</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本标准研制过程中无重大分歧意见。</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八</w:t>
      </w:r>
      <w:r>
        <w:rPr>
          <w:rFonts w:ascii="黑体" w:hAnsi="黑体" w:eastAsia="黑体" w:cs="黑体"/>
          <w:bCs/>
          <w:sz w:val="32"/>
          <w:szCs w:val="32"/>
        </w:rPr>
        <w:t>、</w:t>
      </w:r>
      <w:r>
        <w:rPr>
          <w:rFonts w:hint="eastAsia" w:ascii="黑体" w:hAnsi="黑体" w:eastAsia="黑体" w:cs="黑体"/>
          <w:bCs/>
          <w:sz w:val="32"/>
          <w:szCs w:val="32"/>
        </w:rPr>
        <w:t>实施标准的措施</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w:t>
      </w:r>
      <w:r>
        <w:rPr>
          <w:rFonts w:hint="eastAsia" w:ascii="仿宋_GB2312" w:hAnsi="宋体" w:eastAsia="仿宋_GB2312"/>
          <w:sz w:val="32"/>
          <w:szCs w:val="28"/>
          <w:lang w:val="en-US" w:eastAsia="zh-CN"/>
        </w:rPr>
        <w:t>一）</w:t>
      </w:r>
      <w:r>
        <w:rPr>
          <w:rFonts w:hint="eastAsia" w:ascii="仿宋_GB2312" w:hAnsi="宋体" w:eastAsia="仿宋_GB2312"/>
          <w:sz w:val="32"/>
          <w:szCs w:val="28"/>
          <w:lang w:val="zh-CN"/>
        </w:rPr>
        <w:t>团体标准《研学旅行从业人员培训服务规范》发布后，积极向</w:t>
      </w:r>
      <w:r>
        <w:rPr>
          <w:rFonts w:hint="eastAsia" w:ascii="仿宋_GB2312" w:hAnsi="宋体" w:eastAsia="仿宋_GB2312"/>
          <w:sz w:val="32"/>
          <w:szCs w:val="28"/>
          <w:lang w:val="en-US" w:eastAsia="zh-CN"/>
        </w:rPr>
        <w:t>开展研学旅行从业人员培训机构、</w:t>
      </w:r>
      <w:r>
        <w:rPr>
          <w:rFonts w:hint="eastAsia" w:ascii="仿宋_GB2312" w:hAnsi="宋体" w:eastAsia="仿宋_GB2312"/>
          <w:sz w:val="32"/>
          <w:szCs w:val="28"/>
          <w:lang w:val="zh-CN"/>
        </w:rPr>
        <w:t>相关的企事业单位进行宣传并推荐执行本标准。</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w:t>
      </w:r>
      <w:r>
        <w:rPr>
          <w:rFonts w:hint="eastAsia" w:ascii="仿宋_GB2312" w:hAnsi="宋体" w:eastAsia="仿宋_GB2312"/>
          <w:sz w:val="32"/>
          <w:szCs w:val="28"/>
          <w:lang w:val="en-US" w:eastAsia="zh-CN"/>
        </w:rPr>
        <w:t>二）</w:t>
      </w:r>
      <w:r>
        <w:rPr>
          <w:rFonts w:hint="eastAsia" w:ascii="仿宋_GB2312" w:hAnsi="宋体" w:eastAsia="仿宋_GB2312"/>
          <w:sz w:val="32"/>
          <w:szCs w:val="28"/>
          <w:lang w:val="zh-CN"/>
        </w:rPr>
        <w:t>由牵头起草单位、主要起草单位和核心成员举办专题培训班，以促进本标准的贯彻实施。</w:t>
      </w:r>
    </w:p>
    <w:p>
      <w:pPr>
        <w:keepNext w:val="0"/>
        <w:keepLines w:val="0"/>
        <w:pageBreakBefore w:val="0"/>
        <w:wordWrap/>
        <w:topLinePunct w:val="0"/>
        <w:autoSpaceDE/>
        <w:autoSpaceDN/>
        <w:bidi w:val="0"/>
        <w:adjustRightInd/>
        <w:spacing w:line="58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rPr>
        <w:t>九、自我承诺</w:t>
      </w:r>
    </w:p>
    <w:p>
      <w:pPr>
        <w:keepNext w:val="0"/>
        <w:keepLines w:val="0"/>
        <w:pageBreakBefore w:val="0"/>
        <w:wordWrap/>
        <w:topLinePunct w:val="0"/>
        <w:autoSpaceDE/>
        <w:autoSpaceDN/>
        <w:bidi w:val="0"/>
        <w:adjustRightInd/>
        <w:spacing w:line="58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本标准内容与各项指标不低于强制性标准要求。</w:t>
      </w:r>
    </w:p>
    <w:p>
      <w:pPr>
        <w:keepNext w:val="0"/>
        <w:keepLines w:val="0"/>
        <w:pageBreakBefore w:val="0"/>
        <w:wordWrap/>
        <w:topLinePunct w:val="0"/>
        <w:autoSpaceDE/>
        <w:autoSpaceDN/>
        <w:bidi w:val="0"/>
        <w:adjustRightInd/>
        <w:spacing w:line="580" w:lineRule="exact"/>
        <w:jc w:val="right"/>
        <w:textAlignment w:val="auto"/>
        <w:rPr>
          <w:rFonts w:ascii="仿宋_GB2312" w:hAnsi="宋体" w:eastAsia="仿宋_GB2312"/>
          <w:sz w:val="32"/>
          <w:szCs w:val="28"/>
          <w:lang w:val="zh-CN"/>
        </w:rPr>
      </w:pPr>
      <w:r>
        <w:rPr>
          <w:rFonts w:hint="eastAsia" w:ascii="仿宋_GB2312" w:hAnsi="宋体" w:eastAsia="仿宋_GB2312"/>
          <w:sz w:val="32"/>
          <w:szCs w:val="28"/>
          <w:lang w:val="zh-CN"/>
        </w:rPr>
        <w:t>团体标准《研学旅行从业人员培训服务规范》标准编制小组</w:t>
      </w:r>
    </w:p>
    <w:p>
      <w:pPr>
        <w:keepNext w:val="0"/>
        <w:keepLines w:val="0"/>
        <w:pageBreakBefore w:val="0"/>
        <w:wordWrap/>
        <w:topLinePunct w:val="0"/>
        <w:autoSpaceDE/>
        <w:autoSpaceDN/>
        <w:bidi w:val="0"/>
        <w:adjustRightInd/>
        <w:spacing w:line="580" w:lineRule="exact"/>
        <w:ind w:firstLine="640" w:firstLineChars="200"/>
        <w:jc w:val="right"/>
        <w:textAlignment w:val="auto"/>
        <w:rPr>
          <w:rFonts w:ascii="仿宋_GB2312" w:hAnsi="宋体" w:eastAsia="仿宋_GB2312"/>
          <w:sz w:val="32"/>
          <w:szCs w:val="28"/>
          <w:lang w:val="zh-CN"/>
        </w:rPr>
      </w:pPr>
      <w:r>
        <w:rPr>
          <w:rFonts w:hint="eastAsia" w:ascii="仿宋_GB2312" w:hAnsi="宋体" w:eastAsia="仿宋_GB2312"/>
          <w:sz w:val="32"/>
          <w:szCs w:val="28"/>
          <w:lang w:val="zh-CN"/>
        </w:rPr>
        <w:t xml:space="preserve">                     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10</w:t>
      </w:r>
      <w:r>
        <w:rPr>
          <w:rFonts w:hint="eastAsia" w:ascii="仿宋_GB2312" w:hAnsi="宋体" w:eastAsia="仿宋_GB2312"/>
          <w:sz w:val="32"/>
          <w:szCs w:val="28"/>
          <w:lang w:val="zh-CN"/>
        </w:rPr>
        <w:t>月</w:t>
      </w:r>
      <w:r>
        <w:rPr>
          <w:rFonts w:hint="eastAsia" w:ascii="仿宋_GB2312" w:hAnsi="宋体" w:eastAsia="仿宋_GB2312"/>
          <w:sz w:val="32"/>
          <w:szCs w:val="28"/>
          <w:lang w:val="en-US" w:eastAsia="zh-CN"/>
        </w:rPr>
        <w:t>13</w:t>
      </w:r>
      <w:r>
        <w:rPr>
          <w:rFonts w:hint="eastAsia" w:ascii="仿宋_GB2312" w:hAnsi="宋体" w:eastAsia="仿宋_GB2312"/>
          <w:sz w:val="32"/>
          <w:szCs w:val="28"/>
          <w:lang w:val="zh-CN"/>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ACF3C50" w:usb2="00000016" w:usb3="00000000" w:csb0="0004001F" w:csb1="00000000"/>
  </w:font>
  <w:font w:name="方正小标宋简体">
    <w:altName w:val="黑体"/>
    <w:panose1 w:val="03000509000000000000"/>
    <w:charset w:val="86"/>
    <w:family w:val="auto"/>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212968"/>
    </w:sdtPr>
    <w:sdtContent>
      <w:p>
        <w:pPr>
          <w:pStyle w:val="6"/>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Pr>
            <w:rFonts w:ascii="宋体" w:hAnsi="宋体"/>
            <w:sz w:val="32"/>
            <w:szCs w:val="32"/>
            <w:lang w:val="zh-CN"/>
          </w:rPr>
          <w:t>18</w:t>
        </w:r>
        <w:r>
          <w:rPr>
            <w:rFonts w:ascii="宋体" w:hAnsi="宋体"/>
            <w:sz w:val="32"/>
            <w:szCs w:val="32"/>
          </w:rPr>
          <w:fldChar w:fldCharType="end"/>
        </w:r>
      </w:p>
    </w:sdtContent>
  </w:sdt>
  <w:p>
    <w:pPr>
      <w:pStyle w:val="6"/>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7EC27CF"/>
    <w:multiLevelType w:val="singleLevel"/>
    <w:tmpl w:val="F7EC27CF"/>
    <w:lvl w:ilvl="0" w:tentative="0">
      <w:start w:val="4"/>
      <w:numFmt w:val="chineseCounting"/>
      <w:suff w:val="nothing"/>
      <w:lvlText w:val="（%1）"/>
      <w:lvlJc w:val="left"/>
      <w:rPr>
        <w:rFonts w:hint="eastAsia"/>
      </w:rPr>
    </w:lvl>
  </w:abstractNum>
  <w:abstractNum w:abstractNumId="1">
    <w:nsid w:val="1FC91163"/>
    <w:multiLevelType w:val="multilevel"/>
    <w:tmpl w:val="1FC91163"/>
    <w:lvl w:ilvl="0" w:tentative="0">
      <w:start w:val="1"/>
      <w:numFmt w:val="decimal"/>
      <w:pStyle w:val="34"/>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33"/>
      <w:suff w:val="nothing"/>
      <w:lvlText w:val="%1.%2　"/>
      <w:lvlJc w:val="left"/>
      <w:pPr>
        <w:ind w:left="0"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35"/>
      <w:suff w:val="nothing"/>
      <w:lvlText w:val="%1.%2.%3　"/>
      <w:lvlJc w:val="left"/>
      <w:pPr>
        <w:ind w:left="4361" w:firstLine="0"/>
      </w:pPr>
      <w:rPr>
        <w:rFonts w:hint="eastAsia" w:ascii="黑体" w:hAnsi="Times New Roman" w:eastAsia="黑体"/>
        <w:b w:val="0"/>
        <w:i w:val="0"/>
        <w:sz w:val="21"/>
      </w:rPr>
    </w:lvl>
    <w:lvl w:ilvl="3" w:tentative="0">
      <w:start w:val="1"/>
      <w:numFmt w:val="decimal"/>
      <w:pStyle w:val="36"/>
      <w:suff w:val="nothing"/>
      <w:lvlText w:val="%1.%2.%3.%4　"/>
      <w:lvlJc w:val="left"/>
      <w:pPr>
        <w:ind w:left="0" w:firstLine="0"/>
      </w:pPr>
      <w:rPr>
        <w:rFonts w:hint="eastAsia" w:ascii="黑体" w:hAnsi="Times New Roman" w:eastAsia="黑体"/>
        <w:b w:val="0"/>
        <w:i w:val="0"/>
        <w:sz w:val="21"/>
      </w:rPr>
    </w:lvl>
    <w:lvl w:ilvl="4" w:tentative="0">
      <w:start w:val="1"/>
      <w:numFmt w:val="decimal"/>
      <w:pStyle w:val="37"/>
      <w:suff w:val="nothing"/>
      <w:lvlText w:val="%1.%2.%3.%4.%5　"/>
      <w:lvlJc w:val="left"/>
      <w:pPr>
        <w:ind w:left="840" w:firstLine="0"/>
      </w:pPr>
      <w:rPr>
        <w:rFonts w:hint="eastAsia" w:ascii="黑体" w:hAnsi="Times New Roman" w:eastAsia="黑体"/>
        <w:b w:val="0"/>
        <w:i w:val="0"/>
        <w:sz w:val="21"/>
      </w:rPr>
    </w:lvl>
    <w:lvl w:ilvl="5" w:tentative="0">
      <w:start w:val="1"/>
      <w:numFmt w:val="decimal"/>
      <w:pStyle w:val="38"/>
      <w:suff w:val="nothing"/>
      <w:lvlText w:val="%1.%2.%3.%4.%5.%6　"/>
      <w:lvlJc w:val="left"/>
      <w:pPr>
        <w:ind w:left="-420" w:firstLine="0"/>
      </w:pPr>
      <w:rPr>
        <w:rFonts w:hint="eastAsia" w:ascii="黑体" w:hAnsi="Times New Roman" w:eastAsia="黑体"/>
        <w:b w:val="0"/>
        <w:i w:val="0"/>
        <w:sz w:val="21"/>
      </w:rPr>
    </w:lvl>
    <w:lvl w:ilvl="6" w:tentative="0">
      <w:start w:val="1"/>
      <w:numFmt w:val="decimal"/>
      <w:suff w:val="nothing"/>
      <w:lvlText w:val="%1%2.%3.%4.%5.%6.%7　"/>
      <w:lvlJc w:val="left"/>
      <w:pPr>
        <w:ind w:left="-420" w:firstLine="0"/>
      </w:pPr>
      <w:rPr>
        <w:rFonts w:hint="eastAsia" w:ascii="黑体" w:hAnsi="Times New Roman" w:eastAsia="黑体"/>
        <w:b w:val="0"/>
        <w:i w:val="0"/>
        <w:sz w:val="21"/>
      </w:rPr>
    </w:lvl>
    <w:lvl w:ilvl="7" w:tentative="0">
      <w:start w:val="1"/>
      <w:numFmt w:val="decimal"/>
      <w:lvlText w:val="%1.%2.%3.%4.%5.%6.%7.%8"/>
      <w:lvlJc w:val="left"/>
      <w:pPr>
        <w:tabs>
          <w:tab w:val="left" w:pos="3931"/>
        </w:tabs>
        <w:ind w:left="3549" w:hanging="1418"/>
      </w:pPr>
      <w:rPr>
        <w:rFonts w:hint="eastAsia"/>
      </w:rPr>
    </w:lvl>
    <w:lvl w:ilvl="8" w:tentative="0">
      <w:start w:val="1"/>
      <w:numFmt w:val="decimal"/>
      <w:lvlText w:val="%1.%2.%3.%4.%5.%6.%7.%8.%9"/>
      <w:lvlJc w:val="left"/>
      <w:pPr>
        <w:tabs>
          <w:tab w:val="left" w:pos="4357"/>
        </w:tabs>
        <w:ind w:left="4257" w:hanging="1700"/>
      </w:pPr>
      <w:rPr>
        <w:rFonts w:hint="eastAsia"/>
      </w:rPr>
    </w:lvl>
  </w:abstractNum>
  <w:abstractNum w:abstractNumId="2">
    <w:nsid w:val="5603797C"/>
    <w:multiLevelType w:val="multilevel"/>
    <w:tmpl w:val="5603797C"/>
    <w:lvl w:ilvl="0" w:tentative="0">
      <w:start w:val="1"/>
      <w:numFmt w:val="upperLetter"/>
      <w:pStyle w:val="47"/>
      <w:suff w:val="space"/>
      <w:lvlText w:val="%1"/>
      <w:lvlJc w:val="left"/>
      <w:pPr>
        <w:ind w:left="425" w:hanging="425"/>
      </w:pPr>
      <w:rPr>
        <w:rFonts w:hint="eastAsia"/>
      </w:rPr>
    </w:lvl>
    <w:lvl w:ilvl="1" w:tentative="0">
      <w:start w:val="1"/>
      <w:numFmt w:val="decimal"/>
      <w:pStyle w:val="46"/>
      <w:suff w:val="space"/>
      <w:lvlText w:val="表%1.%2"/>
      <w:lvlJc w:val="center"/>
      <w:pPr>
        <w:ind w:left="0" w:firstLine="0"/>
      </w:pPr>
      <w:rPr>
        <w:rFonts w:hint="eastAsia" w:ascii="黑体" w:eastAsia="黑体"/>
        <w:sz w:val="21"/>
        <w:lang w:val="en-US"/>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3">
    <w:nsid w:val="5A9B3736"/>
    <w:multiLevelType w:val="singleLevel"/>
    <w:tmpl w:val="5A9B3736"/>
    <w:lvl w:ilvl="0" w:tentative="0">
      <w:start w:val="2"/>
      <w:numFmt w:val="chineseCounting"/>
      <w:suff w:val="nothing"/>
      <w:lvlText w:val="（%1）"/>
      <w:lvlJc w:val="left"/>
      <w:rPr>
        <w:rFonts w:hint="eastAsia"/>
      </w:rPr>
    </w:lvl>
  </w:abstractNum>
  <w:abstractNum w:abstractNumId="4">
    <w:nsid w:val="646260FA"/>
    <w:multiLevelType w:val="multilevel"/>
    <w:tmpl w:val="646260FA"/>
    <w:lvl w:ilvl="0" w:tentative="0">
      <w:start w:val="1"/>
      <w:numFmt w:val="decimal"/>
      <w:pStyle w:val="44"/>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5">
    <w:nsid w:val="6CEA2025"/>
    <w:multiLevelType w:val="multilevel"/>
    <w:tmpl w:val="6CEA2025"/>
    <w:lvl w:ilvl="0" w:tentative="0">
      <w:start w:val="1"/>
      <w:numFmt w:val="none"/>
      <w:pStyle w:val="29"/>
      <w:suff w:val="nothing"/>
      <w:lvlText w:val="%1"/>
      <w:lvlJc w:val="left"/>
      <w:pPr>
        <w:ind w:left="0" w:firstLine="0"/>
      </w:pPr>
      <w:rPr>
        <w:rFonts w:hint="eastAsia"/>
      </w:rPr>
    </w:lvl>
    <w:lvl w:ilvl="1" w:tentative="0">
      <w:start w:val="1"/>
      <w:numFmt w:val="decimal"/>
      <w:pStyle w:val="27"/>
      <w:suff w:val="nothing"/>
      <w:lvlText w:val="%1%2　"/>
      <w:lvlJc w:val="left"/>
      <w:pPr>
        <w:ind w:left="0" w:firstLine="0"/>
      </w:pPr>
      <w:rPr>
        <w:rFonts w:hint="eastAsia" w:ascii="黑体" w:eastAsia="黑体"/>
        <w:b w:val="0"/>
        <w:i w:val="0"/>
        <w:sz w:val="21"/>
      </w:rPr>
    </w:lvl>
    <w:lvl w:ilvl="2" w:tentative="0">
      <w:start w:val="1"/>
      <w:numFmt w:val="decimal"/>
      <w:pStyle w:val="28"/>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23"/>
      <w:suff w:val="nothing"/>
      <w:lvlText w:val="%1%2.%3.%4　"/>
      <w:lvlJc w:val="left"/>
      <w:pPr>
        <w:ind w:left="0" w:firstLine="0"/>
      </w:pPr>
      <w:rPr>
        <w:rFonts w:hint="eastAsia" w:ascii="黑体" w:eastAsia="黑体"/>
        <w:b w:val="0"/>
        <w:i w:val="0"/>
        <w:sz w:val="21"/>
      </w:rPr>
    </w:lvl>
    <w:lvl w:ilvl="4" w:tentative="0">
      <w:start w:val="1"/>
      <w:numFmt w:val="decimal"/>
      <w:pStyle w:val="24"/>
      <w:suff w:val="nothing"/>
      <w:lvlText w:val="%1%2.%3.%4.%5　"/>
      <w:lvlJc w:val="left"/>
      <w:pPr>
        <w:ind w:left="0" w:firstLine="0"/>
      </w:pPr>
      <w:rPr>
        <w:rFonts w:hint="eastAsia" w:ascii="黑体" w:eastAsia="黑体"/>
        <w:b w:val="0"/>
        <w:i w:val="0"/>
        <w:sz w:val="21"/>
      </w:rPr>
    </w:lvl>
    <w:lvl w:ilvl="5" w:tentative="0">
      <w:start w:val="1"/>
      <w:numFmt w:val="decimal"/>
      <w:pStyle w:val="25"/>
      <w:suff w:val="nothing"/>
      <w:lvlText w:val="%1%2.%3.%4.%5.%6　"/>
      <w:lvlJc w:val="left"/>
      <w:pPr>
        <w:ind w:left="0" w:firstLine="0"/>
      </w:pPr>
      <w:rPr>
        <w:rFonts w:hint="eastAsia" w:ascii="黑体" w:eastAsia="黑体"/>
        <w:b w:val="0"/>
        <w:i w:val="0"/>
        <w:sz w:val="21"/>
      </w:rPr>
    </w:lvl>
    <w:lvl w:ilvl="6" w:tentative="0">
      <w:start w:val="1"/>
      <w:numFmt w:val="decimal"/>
      <w:pStyle w:val="26"/>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5"/>
  </w:num>
  <w:num w:numId="2">
    <w:abstractNumId w:val="1"/>
  </w:num>
  <w:num w:numId="3">
    <w:abstractNumId w:val="0"/>
  </w:num>
  <w:num w:numId="4">
    <w:abstractNumId w:val="4"/>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IzNmQxYWI0Y2E1ZGE4YTI3ZGQxMmQ0NzdhNmRjOTUifQ=="/>
  </w:docVars>
  <w:rsids>
    <w:rsidRoot w:val="52F40A7A"/>
    <w:rsid w:val="00002030"/>
    <w:rsid w:val="000041EB"/>
    <w:rsid w:val="00004B01"/>
    <w:rsid w:val="00004C4A"/>
    <w:rsid w:val="000073E2"/>
    <w:rsid w:val="00007D69"/>
    <w:rsid w:val="00010E6E"/>
    <w:rsid w:val="0001162D"/>
    <w:rsid w:val="0001346F"/>
    <w:rsid w:val="000172E1"/>
    <w:rsid w:val="00020135"/>
    <w:rsid w:val="0002105B"/>
    <w:rsid w:val="00021C3C"/>
    <w:rsid w:val="00022A5F"/>
    <w:rsid w:val="00023225"/>
    <w:rsid w:val="00024C74"/>
    <w:rsid w:val="000252AF"/>
    <w:rsid w:val="000255B1"/>
    <w:rsid w:val="00031C67"/>
    <w:rsid w:val="0003397B"/>
    <w:rsid w:val="00037159"/>
    <w:rsid w:val="00045D6D"/>
    <w:rsid w:val="00050D8A"/>
    <w:rsid w:val="00052EF2"/>
    <w:rsid w:val="00057AD3"/>
    <w:rsid w:val="00062E3D"/>
    <w:rsid w:val="00065E30"/>
    <w:rsid w:val="00070361"/>
    <w:rsid w:val="00072AE1"/>
    <w:rsid w:val="00073A89"/>
    <w:rsid w:val="00074C76"/>
    <w:rsid w:val="00075056"/>
    <w:rsid w:val="00077D9B"/>
    <w:rsid w:val="0008496D"/>
    <w:rsid w:val="0008582A"/>
    <w:rsid w:val="000877AB"/>
    <w:rsid w:val="00092DCE"/>
    <w:rsid w:val="00093AAD"/>
    <w:rsid w:val="00094586"/>
    <w:rsid w:val="00095094"/>
    <w:rsid w:val="0009682A"/>
    <w:rsid w:val="00096BF2"/>
    <w:rsid w:val="000A029B"/>
    <w:rsid w:val="000A1420"/>
    <w:rsid w:val="000A1CDA"/>
    <w:rsid w:val="000A3879"/>
    <w:rsid w:val="000A42FE"/>
    <w:rsid w:val="000A63E7"/>
    <w:rsid w:val="000A7A8C"/>
    <w:rsid w:val="000A7D1E"/>
    <w:rsid w:val="000B14A3"/>
    <w:rsid w:val="000B15F9"/>
    <w:rsid w:val="000B25F0"/>
    <w:rsid w:val="000C183D"/>
    <w:rsid w:val="000C1B17"/>
    <w:rsid w:val="000C3CC7"/>
    <w:rsid w:val="000C5234"/>
    <w:rsid w:val="000C76D4"/>
    <w:rsid w:val="000C7AC0"/>
    <w:rsid w:val="000C7B94"/>
    <w:rsid w:val="000D092D"/>
    <w:rsid w:val="000D0936"/>
    <w:rsid w:val="000D1825"/>
    <w:rsid w:val="000D2085"/>
    <w:rsid w:val="000D2512"/>
    <w:rsid w:val="000D4AA2"/>
    <w:rsid w:val="000D5D37"/>
    <w:rsid w:val="000D7675"/>
    <w:rsid w:val="000D7FC2"/>
    <w:rsid w:val="000E68F4"/>
    <w:rsid w:val="000E6DEA"/>
    <w:rsid w:val="000F124B"/>
    <w:rsid w:val="000F195C"/>
    <w:rsid w:val="000F31C2"/>
    <w:rsid w:val="000F3C96"/>
    <w:rsid w:val="000F4342"/>
    <w:rsid w:val="000F51A4"/>
    <w:rsid w:val="000F5CC1"/>
    <w:rsid w:val="000F6FC5"/>
    <w:rsid w:val="000F7431"/>
    <w:rsid w:val="000F77A5"/>
    <w:rsid w:val="0010044B"/>
    <w:rsid w:val="001024A4"/>
    <w:rsid w:val="00106E48"/>
    <w:rsid w:val="00106F5E"/>
    <w:rsid w:val="001074C4"/>
    <w:rsid w:val="00113834"/>
    <w:rsid w:val="00113C15"/>
    <w:rsid w:val="00113EE6"/>
    <w:rsid w:val="00116641"/>
    <w:rsid w:val="001171DF"/>
    <w:rsid w:val="0011771D"/>
    <w:rsid w:val="00122E28"/>
    <w:rsid w:val="00122F32"/>
    <w:rsid w:val="00123812"/>
    <w:rsid w:val="001240E5"/>
    <w:rsid w:val="001278AE"/>
    <w:rsid w:val="00127C38"/>
    <w:rsid w:val="00127DA2"/>
    <w:rsid w:val="0013283F"/>
    <w:rsid w:val="001330CB"/>
    <w:rsid w:val="00133676"/>
    <w:rsid w:val="001348F8"/>
    <w:rsid w:val="0014292D"/>
    <w:rsid w:val="00144CFD"/>
    <w:rsid w:val="00146AF3"/>
    <w:rsid w:val="00146E1F"/>
    <w:rsid w:val="00147F6F"/>
    <w:rsid w:val="00151C6D"/>
    <w:rsid w:val="00151FAB"/>
    <w:rsid w:val="00152E1B"/>
    <w:rsid w:val="00164EB5"/>
    <w:rsid w:val="001670A9"/>
    <w:rsid w:val="00171248"/>
    <w:rsid w:val="00171BE7"/>
    <w:rsid w:val="00172B0C"/>
    <w:rsid w:val="0017337C"/>
    <w:rsid w:val="0017654D"/>
    <w:rsid w:val="00176C27"/>
    <w:rsid w:val="001804FB"/>
    <w:rsid w:val="001814C2"/>
    <w:rsid w:val="00184228"/>
    <w:rsid w:val="00186C68"/>
    <w:rsid w:val="0018717F"/>
    <w:rsid w:val="001901B7"/>
    <w:rsid w:val="00193030"/>
    <w:rsid w:val="00193D3F"/>
    <w:rsid w:val="00195F6C"/>
    <w:rsid w:val="001A129A"/>
    <w:rsid w:val="001A2C3B"/>
    <w:rsid w:val="001A44D7"/>
    <w:rsid w:val="001A4509"/>
    <w:rsid w:val="001A5698"/>
    <w:rsid w:val="001A60A2"/>
    <w:rsid w:val="001A7A69"/>
    <w:rsid w:val="001B03C8"/>
    <w:rsid w:val="001B08A5"/>
    <w:rsid w:val="001B08C8"/>
    <w:rsid w:val="001B28B9"/>
    <w:rsid w:val="001B5C73"/>
    <w:rsid w:val="001C067E"/>
    <w:rsid w:val="001C0ABF"/>
    <w:rsid w:val="001C2136"/>
    <w:rsid w:val="001C4BEF"/>
    <w:rsid w:val="001C600B"/>
    <w:rsid w:val="001C7C32"/>
    <w:rsid w:val="001D0215"/>
    <w:rsid w:val="001D0A9B"/>
    <w:rsid w:val="001D0E14"/>
    <w:rsid w:val="001D2B2E"/>
    <w:rsid w:val="001D5FF5"/>
    <w:rsid w:val="001D6C52"/>
    <w:rsid w:val="001D6DFB"/>
    <w:rsid w:val="001E0A61"/>
    <w:rsid w:val="001E2028"/>
    <w:rsid w:val="001E25AC"/>
    <w:rsid w:val="001E35AB"/>
    <w:rsid w:val="001E5046"/>
    <w:rsid w:val="0020008A"/>
    <w:rsid w:val="002008BD"/>
    <w:rsid w:val="002052DF"/>
    <w:rsid w:val="00205A58"/>
    <w:rsid w:val="002118F0"/>
    <w:rsid w:val="00211B65"/>
    <w:rsid w:val="002139BA"/>
    <w:rsid w:val="00214A8A"/>
    <w:rsid w:val="0021627C"/>
    <w:rsid w:val="00217C67"/>
    <w:rsid w:val="00221824"/>
    <w:rsid w:val="00221C3A"/>
    <w:rsid w:val="002224E2"/>
    <w:rsid w:val="002242A4"/>
    <w:rsid w:val="00224C22"/>
    <w:rsid w:val="0022611B"/>
    <w:rsid w:val="002324AB"/>
    <w:rsid w:val="00235E57"/>
    <w:rsid w:val="002362C7"/>
    <w:rsid w:val="00240DD0"/>
    <w:rsid w:val="0024176B"/>
    <w:rsid w:val="00243502"/>
    <w:rsid w:val="00244076"/>
    <w:rsid w:val="00246898"/>
    <w:rsid w:val="0025067D"/>
    <w:rsid w:val="00255B2D"/>
    <w:rsid w:val="00255EA8"/>
    <w:rsid w:val="0025708A"/>
    <w:rsid w:val="00263F21"/>
    <w:rsid w:val="00264617"/>
    <w:rsid w:val="00265259"/>
    <w:rsid w:val="002670AC"/>
    <w:rsid w:val="0026773E"/>
    <w:rsid w:val="002722E9"/>
    <w:rsid w:val="00272A4F"/>
    <w:rsid w:val="00273C57"/>
    <w:rsid w:val="00274817"/>
    <w:rsid w:val="002770E7"/>
    <w:rsid w:val="002776A7"/>
    <w:rsid w:val="00277974"/>
    <w:rsid w:val="0028089D"/>
    <w:rsid w:val="00281384"/>
    <w:rsid w:val="00281D62"/>
    <w:rsid w:val="00282335"/>
    <w:rsid w:val="0028519C"/>
    <w:rsid w:val="00286F69"/>
    <w:rsid w:val="00293585"/>
    <w:rsid w:val="00294913"/>
    <w:rsid w:val="00297CC4"/>
    <w:rsid w:val="002A0B63"/>
    <w:rsid w:val="002A1BAA"/>
    <w:rsid w:val="002A1E5E"/>
    <w:rsid w:val="002A26BA"/>
    <w:rsid w:val="002A32D5"/>
    <w:rsid w:val="002A58A4"/>
    <w:rsid w:val="002A7EEE"/>
    <w:rsid w:val="002B1D74"/>
    <w:rsid w:val="002B656B"/>
    <w:rsid w:val="002C0A09"/>
    <w:rsid w:val="002C0A5C"/>
    <w:rsid w:val="002C18A8"/>
    <w:rsid w:val="002C322D"/>
    <w:rsid w:val="002C36A8"/>
    <w:rsid w:val="002C36D2"/>
    <w:rsid w:val="002C500F"/>
    <w:rsid w:val="002C5836"/>
    <w:rsid w:val="002D4945"/>
    <w:rsid w:val="002D5C6B"/>
    <w:rsid w:val="002D6E7D"/>
    <w:rsid w:val="002D7CF5"/>
    <w:rsid w:val="002E3C13"/>
    <w:rsid w:val="002E4A0C"/>
    <w:rsid w:val="002E4CF8"/>
    <w:rsid w:val="002E5233"/>
    <w:rsid w:val="002E6378"/>
    <w:rsid w:val="002E6395"/>
    <w:rsid w:val="002F1363"/>
    <w:rsid w:val="002F247A"/>
    <w:rsid w:val="002F2C24"/>
    <w:rsid w:val="002F336E"/>
    <w:rsid w:val="002F35C1"/>
    <w:rsid w:val="002F4F22"/>
    <w:rsid w:val="003036C3"/>
    <w:rsid w:val="00303E90"/>
    <w:rsid w:val="00304C6D"/>
    <w:rsid w:val="00305AE4"/>
    <w:rsid w:val="0030658C"/>
    <w:rsid w:val="00306B56"/>
    <w:rsid w:val="003070BD"/>
    <w:rsid w:val="0031037A"/>
    <w:rsid w:val="00310580"/>
    <w:rsid w:val="00313604"/>
    <w:rsid w:val="00316685"/>
    <w:rsid w:val="00320404"/>
    <w:rsid w:val="00321377"/>
    <w:rsid w:val="003230C1"/>
    <w:rsid w:val="00323615"/>
    <w:rsid w:val="00324F71"/>
    <w:rsid w:val="0032577A"/>
    <w:rsid w:val="00332A60"/>
    <w:rsid w:val="00332B0D"/>
    <w:rsid w:val="00332CD2"/>
    <w:rsid w:val="0033374E"/>
    <w:rsid w:val="0033381E"/>
    <w:rsid w:val="00333ADC"/>
    <w:rsid w:val="00333E2F"/>
    <w:rsid w:val="00340A57"/>
    <w:rsid w:val="00340AA6"/>
    <w:rsid w:val="003438F5"/>
    <w:rsid w:val="0034456A"/>
    <w:rsid w:val="00350201"/>
    <w:rsid w:val="003502AD"/>
    <w:rsid w:val="00350542"/>
    <w:rsid w:val="0035100C"/>
    <w:rsid w:val="00351603"/>
    <w:rsid w:val="003538EC"/>
    <w:rsid w:val="00360A77"/>
    <w:rsid w:val="00361165"/>
    <w:rsid w:val="003613DB"/>
    <w:rsid w:val="00363FD4"/>
    <w:rsid w:val="0036513E"/>
    <w:rsid w:val="003654A3"/>
    <w:rsid w:val="00365FBF"/>
    <w:rsid w:val="00371733"/>
    <w:rsid w:val="00373871"/>
    <w:rsid w:val="00374FC5"/>
    <w:rsid w:val="0038114E"/>
    <w:rsid w:val="003815B1"/>
    <w:rsid w:val="00381F2D"/>
    <w:rsid w:val="00382BD1"/>
    <w:rsid w:val="00382CF3"/>
    <w:rsid w:val="00384E7B"/>
    <w:rsid w:val="003855F8"/>
    <w:rsid w:val="00386773"/>
    <w:rsid w:val="00387783"/>
    <w:rsid w:val="0039067E"/>
    <w:rsid w:val="00390F2E"/>
    <w:rsid w:val="003A0912"/>
    <w:rsid w:val="003A6B0D"/>
    <w:rsid w:val="003A6D22"/>
    <w:rsid w:val="003A7270"/>
    <w:rsid w:val="003B2175"/>
    <w:rsid w:val="003B3A8E"/>
    <w:rsid w:val="003B431A"/>
    <w:rsid w:val="003B5E20"/>
    <w:rsid w:val="003B624C"/>
    <w:rsid w:val="003C045A"/>
    <w:rsid w:val="003C0F86"/>
    <w:rsid w:val="003C2D88"/>
    <w:rsid w:val="003C35AC"/>
    <w:rsid w:val="003C400C"/>
    <w:rsid w:val="003C65D1"/>
    <w:rsid w:val="003D35F5"/>
    <w:rsid w:val="003D593D"/>
    <w:rsid w:val="003E3F3F"/>
    <w:rsid w:val="003E3F52"/>
    <w:rsid w:val="003E42C1"/>
    <w:rsid w:val="003F0FBB"/>
    <w:rsid w:val="003F19E1"/>
    <w:rsid w:val="003F206F"/>
    <w:rsid w:val="003F7245"/>
    <w:rsid w:val="003F76C4"/>
    <w:rsid w:val="004000B9"/>
    <w:rsid w:val="00403C1F"/>
    <w:rsid w:val="00403F42"/>
    <w:rsid w:val="00404D85"/>
    <w:rsid w:val="004057CB"/>
    <w:rsid w:val="00406ABB"/>
    <w:rsid w:val="004071AD"/>
    <w:rsid w:val="00414772"/>
    <w:rsid w:val="00416771"/>
    <w:rsid w:val="00417A70"/>
    <w:rsid w:val="0042060E"/>
    <w:rsid w:val="004226CF"/>
    <w:rsid w:val="00423B26"/>
    <w:rsid w:val="00423DBE"/>
    <w:rsid w:val="0042532E"/>
    <w:rsid w:val="00426989"/>
    <w:rsid w:val="00427AB0"/>
    <w:rsid w:val="00427E5F"/>
    <w:rsid w:val="00430FDB"/>
    <w:rsid w:val="00431613"/>
    <w:rsid w:val="00431F05"/>
    <w:rsid w:val="004334C2"/>
    <w:rsid w:val="004364E4"/>
    <w:rsid w:val="004427FE"/>
    <w:rsid w:val="00443C8F"/>
    <w:rsid w:val="00444309"/>
    <w:rsid w:val="00444343"/>
    <w:rsid w:val="004456FA"/>
    <w:rsid w:val="004460F2"/>
    <w:rsid w:val="004464EA"/>
    <w:rsid w:val="00446864"/>
    <w:rsid w:val="004476EC"/>
    <w:rsid w:val="0045080E"/>
    <w:rsid w:val="00451334"/>
    <w:rsid w:val="00455DDE"/>
    <w:rsid w:val="00457091"/>
    <w:rsid w:val="00457D76"/>
    <w:rsid w:val="00464835"/>
    <w:rsid w:val="00465543"/>
    <w:rsid w:val="00466243"/>
    <w:rsid w:val="0046797D"/>
    <w:rsid w:val="00467F5A"/>
    <w:rsid w:val="004714EA"/>
    <w:rsid w:val="00472AF8"/>
    <w:rsid w:val="00476F73"/>
    <w:rsid w:val="00483264"/>
    <w:rsid w:val="00484ADF"/>
    <w:rsid w:val="00485BB9"/>
    <w:rsid w:val="00487AD3"/>
    <w:rsid w:val="00487CD5"/>
    <w:rsid w:val="00490B58"/>
    <w:rsid w:val="00495B49"/>
    <w:rsid w:val="0049669D"/>
    <w:rsid w:val="004A02FC"/>
    <w:rsid w:val="004A085B"/>
    <w:rsid w:val="004A4386"/>
    <w:rsid w:val="004A558B"/>
    <w:rsid w:val="004A67D6"/>
    <w:rsid w:val="004A70D3"/>
    <w:rsid w:val="004B056F"/>
    <w:rsid w:val="004B3E07"/>
    <w:rsid w:val="004B6881"/>
    <w:rsid w:val="004B7836"/>
    <w:rsid w:val="004C0DEB"/>
    <w:rsid w:val="004C0F0C"/>
    <w:rsid w:val="004C13CE"/>
    <w:rsid w:val="004C39C4"/>
    <w:rsid w:val="004C3D65"/>
    <w:rsid w:val="004C4192"/>
    <w:rsid w:val="004C6640"/>
    <w:rsid w:val="004C6D83"/>
    <w:rsid w:val="004D0734"/>
    <w:rsid w:val="004D08F0"/>
    <w:rsid w:val="004D1A39"/>
    <w:rsid w:val="004E0324"/>
    <w:rsid w:val="004E16F1"/>
    <w:rsid w:val="004E174F"/>
    <w:rsid w:val="004E2A80"/>
    <w:rsid w:val="004F0FD2"/>
    <w:rsid w:val="004F35E4"/>
    <w:rsid w:val="004F632C"/>
    <w:rsid w:val="004F6563"/>
    <w:rsid w:val="004F6860"/>
    <w:rsid w:val="0050199E"/>
    <w:rsid w:val="00501A2C"/>
    <w:rsid w:val="00503679"/>
    <w:rsid w:val="00505174"/>
    <w:rsid w:val="00506E71"/>
    <w:rsid w:val="0050799A"/>
    <w:rsid w:val="00507F69"/>
    <w:rsid w:val="00514899"/>
    <w:rsid w:val="0052061F"/>
    <w:rsid w:val="00531BFC"/>
    <w:rsid w:val="00531E86"/>
    <w:rsid w:val="005328B1"/>
    <w:rsid w:val="00533090"/>
    <w:rsid w:val="005334DC"/>
    <w:rsid w:val="00533F2A"/>
    <w:rsid w:val="00534C7A"/>
    <w:rsid w:val="00534E76"/>
    <w:rsid w:val="0054263E"/>
    <w:rsid w:val="00543432"/>
    <w:rsid w:val="00543CD4"/>
    <w:rsid w:val="00546648"/>
    <w:rsid w:val="00550AA4"/>
    <w:rsid w:val="00550FEA"/>
    <w:rsid w:val="00552387"/>
    <w:rsid w:val="00553AEC"/>
    <w:rsid w:val="0055581B"/>
    <w:rsid w:val="00555B17"/>
    <w:rsid w:val="00556950"/>
    <w:rsid w:val="0055791F"/>
    <w:rsid w:val="005601DA"/>
    <w:rsid w:val="00562871"/>
    <w:rsid w:val="00563897"/>
    <w:rsid w:val="00563A69"/>
    <w:rsid w:val="005742A0"/>
    <w:rsid w:val="00575CAC"/>
    <w:rsid w:val="0058057F"/>
    <w:rsid w:val="0058330F"/>
    <w:rsid w:val="0058419F"/>
    <w:rsid w:val="00584AE2"/>
    <w:rsid w:val="00584E25"/>
    <w:rsid w:val="00585D6E"/>
    <w:rsid w:val="00586270"/>
    <w:rsid w:val="00586E05"/>
    <w:rsid w:val="00587573"/>
    <w:rsid w:val="00596018"/>
    <w:rsid w:val="00597DBE"/>
    <w:rsid w:val="005A03D0"/>
    <w:rsid w:val="005A22BD"/>
    <w:rsid w:val="005A4217"/>
    <w:rsid w:val="005A47E5"/>
    <w:rsid w:val="005A4D84"/>
    <w:rsid w:val="005A56FC"/>
    <w:rsid w:val="005A6498"/>
    <w:rsid w:val="005A79B7"/>
    <w:rsid w:val="005B08D7"/>
    <w:rsid w:val="005B1C23"/>
    <w:rsid w:val="005B2C83"/>
    <w:rsid w:val="005B4F6A"/>
    <w:rsid w:val="005B59D7"/>
    <w:rsid w:val="005B683A"/>
    <w:rsid w:val="005C01D0"/>
    <w:rsid w:val="005C1C18"/>
    <w:rsid w:val="005C240D"/>
    <w:rsid w:val="005C47B8"/>
    <w:rsid w:val="005D0A0A"/>
    <w:rsid w:val="005D0EE5"/>
    <w:rsid w:val="005D2A55"/>
    <w:rsid w:val="005D5823"/>
    <w:rsid w:val="005D75B9"/>
    <w:rsid w:val="005E18D3"/>
    <w:rsid w:val="005E2388"/>
    <w:rsid w:val="005E2FE1"/>
    <w:rsid w:val="005E509C"/>
    <w:rsid w:val="005F02EE"/>
    <w:rsid w:val="005F42EB"/>
    <w:rsid w:val="005F5327"/>
    <w:rsid w:val="00600D73"/>
    <w:rsid w:val="00601416"/>
    <w:rsid w:val="00603C54"/>
    <w:rsid w:val="006041EA"/>
    <w:rsid w:val="00604982"/>
    <w:rsid w:val="00605579"/>
    <w:rsid w:val="00606685"/>
    <w:rsid w:val="006076B6"/>
    <w:rsid w:val="00607BD6"/>
    <w:rsid w:val="006114E5"/>
    <w:rsid w:val="006117A9"/>
    <w:rsid w:val="00614BD3"/>
    <w:rsid w:val="00615534"/>
    <w:rsid w:val="006179DF"/>
    <w:rsid w:val="00621C0F"/>
    <w:rsid w:val="006251E7"/>
    <w:rsid w:val="006255F6"/>
    <w:rsid w:val="006255FF"/>
    <w:rsid w:val="0062579B"/>
    <w:rsid w:val="00625952"/>
    <w:rsid w:val="00630831"/>
    <w:rsid w:val="00630EE0"/>
    <w:rsid w:val="006322F0"/>
    <w:rsid w:val="006325D8"/>
    <w:rsid w:val="0063304D"/>
    <w:rsid w:val="00634F18"/>
    <w:rsid w:val="0063510B"/>
    <w:rsid w:val="006374FE"/>
    <w:rsid w:val="00637B80"/>
    <w:rsid w:val="00637EE1"/>
    <w:rsid w:val="00643931"/>
    <w:rsid w:val="00643DC2"/>
    <w:rsid w:val="00645B65"/>
    <w:rsid w:val="00647A52"/>
    <w:rsid w:val="00652B6E"/>
    <w:rsid w:val="00657118"/>
    <w:rsid w:val="00657EE4"/>
    <w:rsid w:val="00663A2D"/>
    <w:rsid w:val="006651FC"/>
    <w:rsid w:val="00672136"/>
    <w:rsid w:val="00676521"/>
    <w:rsid w:val="00676728"/>
    <w:rsid w:val="00676AA0"/>
    <w:rsid w:val="00683E8F"/>
    <w:rsid w:val="00685A02"/>
    <w:rsid w:val="006867A4"/>
    <w:rsid w:val="00692466"/>
    <w:rsid w:val="00694147"/>
    <w:rsid w:val="006947E9"/>
    <w:rsid w:val="006A089E"/>
    <w:rsid w:val="006A1643"/>
    <w:rsid w:val="006A4180"/>
    <w:rsid w:val="006A558C"/>
    <w:rsid w:val="006A5D51"/>
    <w:rsid w:val="006A6C12"/>
    <w:rsid w:val="006A6C6E"/>
    <w:rsid w:val="006B0AB3"/>
    <w:rsid w:val="006B4686"/>
    <w:rsid w:val="006B5247"/>
    <w:rsid w:val="006B55BE"/>
    <w:rsid w:val="006C0B35"/>
    <w:rsid w:val="006C2D86"/>
    <w:rsid w:val="006C5D24"/>
    <w:rsid w:val="006C6978"/>
    <w:rsid w:val="006D0ABD"/>
    <w:rsid w:val="006D2529"/>
    <w:rsid w:val="006D4CAF"/>
    <w:rsid w:val="006D6842"/>
    <w:rsid w:val="006D7035"/>
    <w:rsid w:val="006E0EAE"/>
    <w:rsid w:val="006E1546"/>
    <w:rsid w:val="006E3F49"/>
    <w:rsid w:val="006E45F0"/>
    <w:rsid w:val="006E5D11"/>
    <w:rsid w:val="006E719E"/>
    <w:rsid w:val="006E72AA"/>
    <w:rsid w:val="006E7B72"/>
    <w:rsid w:val="006E7C98"/>
    <w:rsid w:val="006F3084"/>
    <w:rsid w:val="006F33AE"/>
    <w:rsid w:val="006F36AF"/>
    <w:rsid w:val="006F3E37"/>
    <w:rsid w:val="006F4B78"/>
    <w:rsid w:val="006F579F"/>
    <w:rsid w:val="006F61DC"/>
    <w:rsid w:val="00700027"/>
    <w:rsid w:val="00705791"/>
    <w:rsid w:val="00707310"/>
    <w:rsid w:val="00710555"/>
    <w:rsid w:val="00715575"/>
    <w:rsid w:val="007211EB"/>
    <w:rsid w:val="00725661"/>
    <w:rsid w:val="0072647B"/>
    <w:rsid w:val="007275D3"/>
    <w:rsid w:val="007317AF"/>
    <w:rsid w:val="00734925"/>
    <w:rsid w:val="0073717B"/>
    <w:rsid w:val="00741817"/>
    <w:rsid w:val="00743324"/>
    <w:rsid w:val="00743BE7"/>
    <w:rsid w:val="007464D8"/>
    <w:rsid w:val="007473CE"/>
    <w:rsid w:val="00750917"/>
    <w:rsid w:val="00750BB2"/>
    <w:rsid w:val="0075225E"/>
    <w:rsid w:val="0075538B"/>
    <w:rsid w:val="0075569C"/>
    <w:rsid w:val="0075649E"/>
    <w:rsid w:val="00756B7A"/>
    <w:rsid w:val="0076135D"/>
    <w:rsid w:val="007658D5"/>
    <w:rsid w:val="00771254"/>
    <w:rsid w:val="007723F1"/>
    <w:rsid w:val="0077257B"/>
    <w:rsid w:val="0077269F"/>
    <w:rsid w:val="00773D4E"/>
    <w:rsid w:val="0077456E"/>
    <w:rsid w:val="0077484C"/>
    <w:rsid w:val="00774A09"/>
    <w:rsid w:val="00777662"/>
    <w:rsid w:val="00777B57"/>
    <w:rsid w:val="00782FF7"/>
    <w:rsid w:val="00783975"/>
    <w:rsid w:val="00786E8E"/>
    <w:rsid w:val="00787D15"/>
    <w:rsid w:val="007908FC"/>
    <w:rsid w:val="00790E94"/>
    <w:rsid w:val="00795E8F"/>
    <w:rsid w:val="007A09CF"/>
    <w:rsid w:val="007A486B"/>
    <w:rsid w:val="007A5147"/>
    <w:rsid w:val="007A6CE9"/>
    <w:rsid w:val="007B161D"/>
    <w:rsid w:val="007B2072"/>
    <w:rsid w:val="007B26C3"/>
    <w:rsid w:val="007B3222"/>
    <w:rsid w:val="007B7084"/>
    <w:rsid w:val="007B7D2B"/>
    <w:rsid w:val="007C05E2"/>
    <w:rsid w:val="007C06D1"/>
    <w:rsid w:val="007C14D0"/>
    <w:rsid w:val="007C4BD4"/>
    <w:rsid w:val="007C52E4"/>
    <w:rsid w:val="007D2E45"/>
    <w:rsid w:val="007D54D4"/>
    <w:rsid w:val="007D630D"/>
    <w:rsid w:val="007D7246"/>
    <w:rsid w:val="007F37EE"/>
    <w:rsid w:val="007F5AD7"/>
    <w:rsid w:val="007F6F3A"/>
    <w:rsid w:val="007F7265"/>
    <w:rsid w:val="007F7AFC"/>
    <w:rsid w:val="007F7C5A"/>
    <w:rsid w:val="0080076E"/>
    <w:rsid w:val="008033FD"/>
    <w:rsid w:val="0080432C"/>
    <w:rsid w:val="00805B57"/>
    <w:rsid w:val="008064A0"/>
    <w:rsid w:val="00810133"/>
    <w:rsid w:val="00812F89"/>
    <w:rsid w:val="00815E3D"/>
    <w:rsid w:val="00816C6C"/>
    <w:rsid w:val="00817D5D"/>
    <w:rsid w:val="00817DA2"/>
    <w:rsid w:val="00817EEE"/>
    <w:rsid w:val="00823A17"/>
    <w:rsid w:val="008252D1"/>
    <w:rsid w:val="008253D5"/>
    <w:rsid w:val="00827B75"/>
    <w:rsid w:val="00830741"/>
    <w:rsid w:val="008401FA"/>
    <w:rsid w:val="008451F4"/>
    <w:rsid w:val="00846662"/>
    <w:rsid w:val="00846B43"/>
    <w:rsid w:val="00846C7D"/>
    <w:rsid w:val="00847950"/>
    <w:rsid w:val="00850119"/>
    <w:rsid w:val="008507CD"/>
    <w:rsid w:val="00853B04"/>
    <w:rsid w:val="008540BE"/>
    <w:rsid w:val="00854E95"/>
    <w:rsid w:val="00861BB7"/>
    <w:rsid w:val="00862976"/>
    <w:rsid w:val="00862A1E"/>
    <w:rsid w:val="0086324C"/>
    <w:rsid w:val="00863A2F"/>
    <w:rsid w:val="0086486C"/>
    <w:rsid w:val="008668A8"/>
    <w:rsid w:val="00866934"/>
    <w:rsid w:val="00867D19"/>
    <w:rsid w:val="00870824"/>
    <w:rsid w:val="0087147C"/>
    <w:rsid w:val="00871FCF"/>
    <w:rsid w:val="008762C2"/>
    <w:rsid w:val="0087635B"/>
    <w:rsid w:val="0087672B"/>
    <w:rsid w:val="00877AC9"/>
    <w:rsid w:val="008807A4"/>
    <w:rsid w:val="008816F1"/>
    <w:rsid w:val="008907C2"/>
    <w:rsid w:val="00892C1C"/>
    <w:rsid w:val="00893050"/>
    <w:rsid w:val="00897050"/>
    <w:rsid w:val="008A137F"/>
    <w:rsid w:val="008A3597"/>
    <w:rsid w:val="008A35AD"/>
    <w:rsid w:val="008A3C22"/>
    <w:rsid w:val="008A5747"/>
    <w:rsid w:val="008A5EFE"/>
    <w:rsid w:val="008B16C5"/>
    <w:rsid w:val="008B26B0"/>
    <w:rsid w:val="008B2DBE"/>
    <w:rsid w:val="008B3B87"/>
    <w:rsid w:val="008B5643"/>
    <w:rsid w:val="008B680D"/>
    <w:rsid w:val="008B6C66"/>
    <w:rsid w:val="008B75DD"/>
    <w:rsid w:val="008C3A06"/>
    <w:rsid w:val="008C441E"/>
    <w:rsid w:val="008C55F8"/>
    <w:rsid w:val="008C65ED"/>
    <w:rsid w:val="008C682F"/>
    <w:rsid w:val="008C6AC7"/>
    <w:rsid w:val="008C6BD8"/>
    <w:rsid w:val="008D053D"/>
    <w:rsid w:val="008D1373"/>
    <w:rsid w:val="008D4E14"/>
    <w:rsid w:val="008E00E7"/>
    <w:rsid w:val="008E168B"/>
    <w:rsid w:val="008E2021"/>
    <w:rsid w:val="008E2646"/>
    <w:rsid w:val="008E3E24"/>
    <w:rsid w:val="008E7F8F"/>
    <w:rsid w:val="008F1848"/>
    <w:rsid w:val="008F2DF4"/>
    <w:rsid w:val="008F2F90"/>
    <w:rsid w:val="008F40B5"/>
    <w:rsid w:val="008F598D"/>
    <w:rsid w:val="008F7DCA"/>
    <w:rsid w:val="00900EAB"/>
    <w:rsid w:val="009032F6"/>
    <w:rsid w:val="00904023"/>
    <w:rsid w:val="00905603"/>
    <w:rsid w:val="009111EA"/>
    <w:rsid w:val="009132BF"/>
    <w:rsid w:val="00917977"/>
    <w:rsid w:val="00923F57"/>
    <w:rsid w:val="00927804"/>
    <w:rsid w:val="00930650"/>
    <w:rsid w:val="009309AA"/>
    <w:rsid w:val="00936DB8"/>
    <w:rsid w:val="00946233"/>
    <w:rsid w:val="00946400"/>
    <w:rsid w:val="009522D3"/>
    <w:rsid w:val="00956904"/>
    <w:rsid w:val="00965A51"/>
    <w:rsid w:val="009671CA"/>
    <w:rsid w:val="0097004C"/>
    <w:rsid w:val="0097074C"/>
    <w:rsid w:val="009710A2"/>
    <w:rsid w:val="00972962"/>
    <w:rsid w:val="00972FC5"/>
    <w:rsid w:val="00974279"/>
    <w:rsid w:val="00976BAF"/>
    <w:rsid w:val="00981956"/>
    <w:rsid w:val="00982BD5"/>
    <w:rsid w:val="00982F45"/>
    <w:rsid w:val="00983918"/>
    <w:rsid w:val="00990A30"/>
    <w:rsid w:val="009918CC"/>
    <w:rsid w:val="0099345D"/>
    <w:rsid w:val="00996984"/>
    <w:rsid w:val="00996C24"/>
    <w:rsid w:val="009A0290"/>
    <w:rsid w:val="009A3C5F"/>
    <w:rsid w:val="009A770B"/>
    <w:rsid w:val="009A7AE8"/>
    <w:rsid w:val="009B05F8"/>
    <w:rsid w:val="009B0913"/>
    <w:rsid w:val="009B0F1C"/>
    <w:rsid w:val="009B3475"/>
    <w:rsid w:val="009B40A7"/>
    <w:rsid w:val="009B5DAD"/>
    <w:rsid w:val="009B6147"/>
    <w:rsid w:val="009B62A8"/>
    <w:rsid w:val="009B7915"/>
    <w:rsid w:val="009C01B4"/>
    <w:rsid w:val="009C266D"/>
    <w:rsid w:val="009C3228"/>
    <w:rsid w:val="009C4D74"/>
    <w:rsid w:val="009C725B"/>
    <w:rsid w:val="009D1F4A"/>
    <w:rsid w:val="009D23FA"/>
    <w:rsid w:val="009D266B"/>
    <w:rsid w:val="009D2B29"/>
    <w:rsid w:val="009D61BA"/>
    <w:rsid w:val="009D6AE8"/>
    <w:rsid w:val="009E02E5"/>
    <w:rsid w:val="009E0340"/>
    <w:rsid w:val="009E0987"/>
    <w:rsid w:val="009E21D2"/>
    <w:rsid w:val="009E36D8"/>
    <w:rsid w:val="009E4104"/>
    <w:rsid w:val="009E6753"/>
    <w:rsid w:val="009E6834"/>
    <w:rsid w:val="009E6BEE"/>
    <w:rsid w:val="009E6E38"/>
    <w:rsid w:val="009F0A3C"/>
    <w:rsid w:val="009F4A3B"/>
    <w:rsid w:val="00A00ABF"/>
    <w:rsid w:val="00A01127"/>
    <w:rsid w:val="00A01F1F"/>
    <w:rsid w:val="00A06C3F"/>
    <w:rsid w:val="00A070A1"/>
    <w:rsid w:val="00A07E0F"/>
    <w:rsid w:val="00A1382F"/>
    <w:rsid w:val="00A14D87"/>
    <w:rsid w:val="00A1543E"/>
    <w:rsid w:val="00A15EF5"/>
    <w:rsid w:val="00A173F3"/>
    <w:rsid w:val="00A1751A"/>
    <w:rsid w:val="00A178B0"/>
    <w:rsid w:val="00A17F31"/>
    <w:rsid w:val="00A24BF5"/>
    <w:rsid w:val="00A24FDF"/>
    <w:rsid w:val="00A26021"/>
    <w:rsid w:val="00A32B67"/>
    <w:rsid w:val="00A33BC3"/>
    <w:rsid w:val="00A341BE"/>
    <w:rsid w:val="00A3695A"/>
    <w:rsid w:val="00A417A3"/>
    <w:rsid w:val="00A41B29"/>
    <w:rsid w:val="00A427B6"/>
    <w:rsid w:val="00A46E24"/>
    <w:rsid w:val="00A51DFD"/>
    <w:rsid w:val="00A53EF2"/>
    <w:rsid w:val="00A556A2"/>
    <w:rsid w:val="00A56182"/>
    <w:rsid w:val="00A57903"/>
    <w:rsid w:val="00A60B45"/>
    <w:rsid w:val="00A614F7"/>
    <w:rsid w:val="00A6380F"/>
    <w:rsid w:val="00A64BD4"/>
    <w:rsid w:val="00A71B1C"/>
    <w:rsid w:val="00A72752"/>
    <w:rsid w:val="00A72BE0"/>
    <w:rsid w:val="00A72F2B"/>
    <w:rsid w:val="00A746B4"/>
    <w:rsid w:val="00A74EE5"/>
    <w:rsid w:val="00A761E4"/>
    <w:rsid w:val="00A76C72"/>
    <w:rsid w:val="00A775A4"/>
    <w:rsid w:val="00A81374"/>
    <w:rsid w:val="00A819DE"/>
    <w:rsid w:val="00A905AF"/>
    <w:rsid w:val="00A912E4"/>
    <w:rsid w:val="00A92404"/>
    <w:rsid w:val="00A93605"/>
    <w:rsid w:val="00A96B83"/>
    <w:rsid w:val="00A9764A"/>
    <w:rsid w:val="00A977B8"/>
    <w:rsid w:val="00AA0C10"/>
    <w:rsid w:val="00AA376B"/>
    <w:rsid w:val="00AA3BE7"/>
    <w:rsid w:val="00AA5BAF"/>
    <w:rsid w:val="00AB06B2"/>
    <w:rsid w:val="00AB2DA5"/>
    <w:rsid w:val="00AB436B"/>
    <w:rsid w:val="00AB6D03"/>
    <w:rsid w:val="00AC1E2A"/>
    <w:rsid w:val="00AC2853"/>
    <w:rsid w:val="00AC62A5"/>
    <w:rsid w:val="00AC7B93"/>
    <w:rsid w:val="00AD03AD"/>
    <w:rsid w:val="00AD6406"/>
    <w:rsid w:val="00AE0409"/>
    <w:rsid w:val="00AE0CC7"/>
    <w:rsid w:val="00AE2E1C"/>
    <w:rsid w:val="00AE3D7A"/>
    <w:rsid w:val="00AE6884"/>
    <w:rsid w:val="00AE6EDA"/>
    <w:rsid w:val="00AE7736"/>
    <w:rsid w:val="00AE7C04"/>
    <w:rsid w:val="00AF1AB0"/>
    <w:rsid w:val="00AF3C29"/>
    <w:rsid w:val="00B001F4"/>
    <w:rsid w:val="00B0296E"/>
    <w:rsid w:val="00B02CCE"/>
    <w:rsid w:val="00B02E7D"/>
    <w:rsid w:val="00B02FEA"/>
    <w:rsid w:val="00B030F3"/>
    <w:rsid w:val="00B0342F"/>
    <w:rsid w:val="00B03ACD"/>
    <w:rsid w:val="00B0442A"/>
    <w:rsid w:val="00B120A2"/>
    <w:rsid w:val="00B123DB"/>
    <w:rsid w:val="00B13EFE"/>
    <w:rsid w:val="00B160C4"/>
    <w:rsid w:val="00B16697"/>
    <w:rsid w:val="00B17E02"/>
    <w:rsid w:val="00B26217"/>
    <w:rsid w:val="00B268CE"/>
    <w:rsid w:val="00B27310"/>
    <w:rsid w:val="00B27F04"/>
    <w:rsid w:val="00B3000B"/>
    <w:rsid w:val="00B301A1"/>
    <w:rsid w:val="00B34676"/>
    <w:rsid w:val="00B35959"/>
    <w:rsid w:val="00B3776F"/>
    <w:rsid w:val="00B42781"/>
    <w:rsid w:val="00B42D63"/>
    <w:rsid w:val="00B43123"/>
    <w:rsid w:val="00B43B12"/>
    <w:rsid w:val="00B45996"/>
    <w:rsid w:val="00B466E0"/>
    <w:rsid w:val="00B4703E"/>
    <w:rsid w:val="00B50F53"/>
    <w:rsid w:val="00B53FB2"/>
    <w:rsid w:val="00B540BC"/>
    <w:rsid w:val="00B54EC2"/>
    <w:rsid w:val="00B57D99"/>
    <w:rsid w:val="00B604A5"/>
    <w:rsid w:val="00B613A1"/>
    <w:rsid w:val="00B6358F"/>
    <w:rsid w:val="00B6365B"/>
    <w:rsid w:val="00B636A3"/>
    <w:rsid w:val="00B668A6"/>
    <w:rsid w:val="00B7141F"/>
    <w:rsid w:val="00B72EE1"/>
    <w:rsid w:val="00B76AA4"/>
    <w:rsid w:val="00B77C58"/>
    <w:rsid w:val="00B80E71"/>
    <w:rsid w:val="00B82DBE"/>
    <w:rsid w:val="00B84806"/>
    <w:rsid w:val="00B85E93"/>
    <w:rsid w:val="00B90BCC"/>
    <w:rsid w:val="00B9179A"/>
    <w:rsid w:val="00B925F3"/>
    <w:rsid w:val="00B92C8F"/>
    <w:rsid w:val="00B93B35"/>
    <w:rsid w:val="00B97929"/>
    <w:rsid w:val="00BA5ED2"/>
    <w:rsid w:val="00BA67BC"/>
    <w:rsid w:val="00BB174F"/>
    <w:rsid w:val="00BB2250"/>
    <w:rsid w:val="00BB479C"/>
    <w:rsid w:val="00BB6D2B"/>
    <w:rsid w:val="00BB6FF5"/>
    <w:rsid w:val="00BC05FC"/>
    <w:rsid w:val="00BC171F"/>
    <w:rsid w:val="00BC2F6B"/>
    <w:rsid w:val="00BC369E"/>
    <w:rsid w:val="00BC4455"/>
    <w:rsid w:val="00BC491A"/>
    <w:rsid w:val="00BC501A"/>
    <w:rsid w:val="00BC6D80"/>
    <w:rsid w:val="00BD0E64"/>
    <w:rsid w:val="00BD10BC"/>
    <w:rsid w:val="00BD2791"/>
    <w:rsid w:val="00BD2CBA"/>
    <w:rsid w:val="00BD3E2E"/>
    <w:rsid w:val="00BD4165"/>
    <w:rsid w:val="00BD4E78"/>
    <w:rsid w:val="00BD62CB"/>
    <w:rsid w:val="00BD7550"/>
    <w:rsid w:val="00BE0CF0"/>
    <w:rsid w:val="00BE5140"/>
    <w:rsid w:val="00BE5372"/>
    <w:rsid w:val="00BE7BC2"/>
    <w:rsid w:val="00BF0016"/>
    <w:rsid w:val="00BF1091"/>
    <w:rsid w:val="00BF5764"/>
    <w:rsid w:val="00BF743C"/>
    <w:rsid w:val="00C01769"/>
    <w:rsid w:val="00C03202"/>
    <w:rsid w:val="00C07225"/>
    <w:rsid w:val="00C10E58"/>
    <w:rsid w:val="00C13235"/>
    <w:rsid w:val="00C1367B"/>
    <w:rsid w:val="00C13F3F"/>
    <w:rsid w:val="00C16CBA"/>
    <w:rsid w:val="00C1730E"/>
    <w:rsid w:val="00C17CA3"/>
    <w:rsid w:val="00C2083A"/>
    <w:rsid w:val="00C22B79"/>
    <w:rsid w:val="00C2476C"/>
    <w:rsid w:val="00C262F0"/>
    <w:rsid w:val="00C31177"/>
    <w:rsid w:val="00C3262B"/>
    <w:rsid w:val="00C3291B"/>
    <w:rsid w:val="00C3316E"/>
    <w:rsid w:val="00C332A3"/>
    <w:rsid w:val="00C339A3"/>
    <w:rsid w:val="00C360F8"/>
    <w:rsid w:val="00C37F62"/>
    <w:rsid w:val="00C4029B"/>
    <w:rsid w:val="00C4082F"/>
    <w:rsid w:val="00C40FC6"/>
    <w:rsid w:val="00C42251"/>
    <w:rsid w:val="00C468FA"/>
    <w:rsid w:val="00C46D76"/>
    <w:rsid w:val="00C512F4"/>
    <w:rsid w:val="00C53498"/>
    <w:rsid w:val="00C53C8B"/>
    <w:rsid w:val="00C552A1"/>
    <w:rsid w:val="00C576EA"/>
    <w:rsid w:val="00C604B3"/>
    <w:rsid w:val="00C62B66"/>
    <w:rsid w:val="00C62E00"/>
    <w:rsid w:val="00C70187"/>
    <w:rsid w:val="00C70FFD"/>
    <w:rsid w:val="00C71A2A"/>
    <w:rsid w:val="00C729D5"/>
    <w:rsid w:val="00C74827"/>
    <w:rsid w:val="00C751EC"/>
    <w:rsid w:val="00C77D35"/>
    <w:rsid w:val="00C81E0F"/>
    <w:rsid w:val="00C86E93"/>
    <w:rsid w:val="00C90932"/>
    <w:rsid w:val="00C91A6A"/>
    <w:rsid w:val="00C93DB8"/>
    <w:rsid w:val="00CA2FEF"/>
    <w:rsid w:val="00CA5949"/>
    <w:rsid w:val="00CB013D"/>
    <w:rsid w:val="00CB0F8D"/>
    <w:rsid w:val="00CB23BC"/>
    <w:rsid w:val="00CB23D2"/>
    <w:rsid w:val="00CB5B89"/>
    <w:rsid w:val="00CB6D3C"/>
    <w:rsid w:val="00CC2F39"/>
    <w:rsid w:val="00CC315E"/>
    <w:rsid w:val="00CC35A5"/>
    <w:rsid w:val="00CC3E87"/>
    <w:rsid w:val="00CC6A91"/>
    <w:rsid w:val="00CD2054"/>
    <w:rsid w:val="00CD6DD2"/>
    <w:rsid w:val="00CD7F88"/>
    <w:rsid w:val="00CE0644"/>
    <w:rsid w:val="00CE0EE1"/>
    <w:rsid w:val="00CE2C95"/>
    <w:rsid w:val="00CE4E86"/>
    <w:rsid w:val="00CE7965"/>
    <w:rsid w:val="00CF0C38"/>
    <w:rsid w:val="00CF3ECE"/>
    <w:rsid w:val="00CF45E1"/>
    <w:rsid w:val="00CF65E6"/>
    <w:rsid w:val="00CF746A"/>
    <w:rsid w:val="00D007BE"/>
    <w:rsid w:val="00D0154F"/>
    <w:rsid w:val="00D0373B"/>
    <w:rsid w:val="00D0397F"/>
    <w:rsid w:val="00D0439E"/>
    <w:rsid w:val="00D04BBD"/>
    <w:rsid w:val="00D04C92"/>
    <w:rsid w:val="00D127DD"/>
    <w:rsid w:val="00D129C1"/>
    <w:rsid w:val="00D27CA2"/>
    <w:rsid w:val="00D31BF2"/>
    <w:rsid w:val="00D31E19"/>
    <w:rsid w:val="00D350A2"/>
    <w:rsid w:val="00D35563"/>
    <w:rsid w:val="00D35FFB"/>
    <w:rsid w:val="00D4017B"/>
    <w:rsid w:val="00D41CDC"/>
    <w:rsid w:val="00D41F6E"/>
    <w:rsid w:val="00D44366"/>
    <w:rsid w:val="00D45485"/>
    <w:rsid w:val="00D45A60"/>
    <w:rsid w:val="00D523C7"/>
    <w:rsid w:val="00D52670"/>
    <w:rsid w:val="00D52D3A"/>
    <w:rsid w:val="00D55C2B"/>
    <w:rsid w:val="00D55E67"/>
    <w:rsid w:val="00D570E4"/>
    <w:rsid w:val="00D603FD"/>
    <w:rsid w:val="00D61555"/>
    <w:rsid w:val="00D64185"/>
    <w:rsid w:val="00D6448D"/>
    <w:rsid w:val="00D6621F"/>
    <w:rsid w:val="00D672A8"/>
    <w:rsid w:val="00D7044A"/>
    <w:rsid w:val="00D726C9"/>
    <w:rsid w:val="00D73229"/>
    <w:rsid w:val="00D732B5"/>
    <w:rsid w:val="00D74029"/>
    <w:rsid w:val="00D7417D"/>
    <w:rsid w:val="00D74A6A"/>
    <w:rsid w:val="00D77F0F"/>
    <w:rsid w:val="00D82FE6"/>
    <w:rsid w:val="00D85C2E"/>
    <w:rsid w:val="00D866AD"/>
    <w:rsid w:val="00D8683C"/>
    <w:rsid w:val="00D86F7A"/>
    <w:rsid w:val="00D901D5"/>
    <w:rsid w:val="00D91693"/>
    <w:rsid w:val="00D91AD3"/>
    <w:rsid w:val="00D93C24"/>
    <w:rsid w:val="00D94810"/>
    <w:rsid w:val="00DA0E02"/>
    <w:rsid w:val="00DA36F2"/>
    <w:rsid w:val="00DA3732"/>
    <w:rsid w:val="00DA41B3"/>
    <w:rsid w:val="00DA53DF"/>
    <w:rsid w:val="00DB1B1A"/>
    <w:rsid w:val="00DB7104"/>
    <w:rsid w:val="00DC0876"/>
    <w:rsid w:val="00DC3084"/>
    <w:rsid w:val="00DC325A"/>
    <w:rsid w:val="00DC5650"/>
    <w:rsid w:val="00DC6C80"/>
    <w:rsid w:val="00DC6D0F"/>
    <w:rsid w:val="00DD1CB6"/>
    <w:rsid w:val="00DD203B"/>
    <w:rsid w:val="00DD3B16"/>
    <w:rsid w:val="00DD50F5"/>
    <w:rsid w:val="00DD6458"/>
    <w:rsid w:val="00DD6B7B"/>
    <w:rsid w:val="00DD7159"/>
    <w:rsid w:val="00DE3986"/>
    <w:rsid w:val="00DF12C6"/>
    <w:rsid w:val="00DF15FE"/>
    <w:rsid w:val="00DF3ABD"/>
    <w:rsid w:val="00DF5055"/>
    <w:rsid w:val="00DF5A2F"/>
    <w:rsid w:val="00DF6063"/>
    <w:rsid w:val="00DF671D"/>
    <w:rsid w:val="00E00B30"/>
    <w:rsid w:val="00E01EB8"/>
    <w:rsid w:val="00E0472E"/>
    <w:rsid w:val="00E0755C"/>
    <w:rsid w:val="00E0763C"/>
    <w:rsid w:val="00E077CA"/>
    <w:rsid w:val="00E07FDA"/>
    <w:rsid w:val="00E10D4E"/>
    <w:rsid w:val="00E114CE"/>
    <w:rsid w:val="00E153B5"/>
    <w:rsid w:val="00E165A6"/>
    <w:rsid w:val="00E2048F"/>
    <w:rsid w:val="00E204DC"/>
    <w:rsid w:val="00E20618"/>
    <w:rsid w:val="00E223F7"/>
    <w:rsid w:val="00E22B90"/>
    <w:rsid w:val="00E2551E"/>
    <w:rsid w:val="00E2587A"/>
    <w:rsid w:val="00E266E5"/>
    <w:rsid w:val="00E30F4E"/>
    <w:rsid w:val="00E311BA"/>
    <w:rsid w:val="00E332FD"/>
    <w:rsid w:val="00E33BFF"/>
    <w:rsid w:val="00E34012"/>
    <w:rsid w:val="00E34597"/>
    <w:rsid w:val="00E352F7"/>
    <w:rsid w:val="00E353BA"/>
    <w:rsid w:val="00E40928"/>
    <w:rsid w:val="00E44931"/>
    <w:rsid w:val="00E44E39"/>
    <w:rsid w:val="00E4727E"/>
    <w:rsid w:val="00E505F5"/>
    <w:rsid w:val="00E50B46"/>
    <w:rsid w:val="00E53D6D"/>
    <w:rsid w:val="00E54082"/>
    <w:rsid w:val="00E55B1A"/>
    <w:rsid w:val="00E5637B"/>
    <w:rsid w:val="00E56995"/>
    <w:rsid w:val="00E57E03"/>
    <w:rsid w:val="00E57F20"/>
    <w:rsid w:val="00E613C2"/>
    <w:rsid w:val="00E725F4"/>
    <w:rsid w:val="00E73D07"/>
    <w:rsid w:val="00E74813"/>
    <w:rsid w:val="00E75003"/>
    <w:rsid w:val="00E769C9"/>
    <w:rsid w:val="00E77A73"/>
    <w:rsid w:val="00E801DC"/>
    <w:rsid w:val="00E81384"/>
    <w:rsid w:val="00E81AAB"/>
    <w:rsid w:val="00E82889"/>
    <w:rsid w:val="00E8468A"/>
    <w:rsid w:val="00E857AA"/>
    <w:rsid w:val="00E85B5D"/>
    <w:rsid w:val="00E85C45"/>
    <w:rsid w:val="00E87031"/>
    <w:rsid w:val="00E92834"/>
    <w:rsid w:val="00E92C34"/>
    <w:rsid w:val="00E93D18"/>
    <w:rsid w:val="00E94F0D"/>
    <w:rsid w:val="00EA04C0"/>
    <w:rsid w:val="00EA1BA5"/>
    <w:rsid w:val="00EB013C"/>
    <w:rsid w:val="00EB341E"/>
    <w:rsid w:val="00EB360A"/>
    <w:rsid w:val="00EB5476"/>
    <w:rsid w:val="00EB701C"/>
    <w:rsid w:val="00EB7532"/>
    <w:rsid w:val="00EC06F7"/>
    <w:rsid w:val="00EC0EE4"/>
    <w:rsid w:val="00EC126A"/>
    <w:rsid w:val="00EC22A2"/>
    <w:rsid w:val="00EC2F31"/>
    <w:rsid w:val="00EC5B56"/>
    <w:rsid w:val="00ED0847"/>
    <w:rsid w:val="00ED0EB5"/>
    <w:rsid w:val="00ED1D5B"/>
    <w:rsid w:val="00ED206A"/>
    <w:rsid w:val="00ED5650"/>
    <w:rsid w:val="00ED7809"/>
    <w:rsid w:val="00EE49F6"/>
    <w:rsid w:val="00EE4D8C"/>
    <w:rsid w:val="00EE572D"/>
    <w:rsid w:val="00EE745B"/>
    <w:rsid w:val="00EE78B6"/>
    <w:rsid w:val="00EE7D57"/>
    <w:rsid w:val="00EF252F"/>
    <w:rsid w:val="00F01A20"/>
    <w:rsid w:val="00F0301A"/>
    <w:rsid w:val="00F042E7"/>
    <w:rsid w:val="00F07A04"/>
    <w:rsid w:val="00F10E6D"/>
    <w:rsid w:val="00F115C7"/>
    <w:rsid w:val="00F13400"/>
    <w:rsid w:val="00F16D31"/>
    <w:rsid w:val="00F17D73"/>
    <w:rsid w:val="00F22218"/>
    <w:rsid w:val="00F23CA7"/>
    <w:rsid w:val="00F24FBB"/>
    <w:rsid w:val="00F26D9C"/>
    <w:rsid w:val="00F27C9E"/>
    <w:rsid w:val="00F313B7"/>
    <w:rsid w:val="00F3374D"/>
    <w:rsid w:val="00F33B63"/>
    <w:rsid w:val="00F3656A"/>
    <w:rsid w:val="00F4170F"/>
    <w:rsid w:val="00F432CB"/>
    <w:rsid w:val="00F43E2B"/>
    <w:rsid w:val="00F51980"/>
    <w:rsid w:val="00F55E54"/>
    <w:rsid w:val="00F611D7"/>
    <w:rsid w:val="00F64F67"/>
    <w:rsid w:val="00F67BB0"/>
    <w:rsid w:val="00F70249"/>
    <w:rsid w:val="00F70FCD"/>
    <w:rsid w:val="00F718EB"/>
    <w:rsid w:val="00F732E3"/>
    <w:rsid w:val="00F73D6A"/>
    <w:rsid w:val="00F755BF"/>
    <w:rsid w:val="00F77801"/>
    <w:rsid w:val="00F77D16"/>
    <w:rsid w:val="00F804F9"/>
    <w:rsid w:val="00F83DDB"/>
    <w:rsid w:val="00F86482"/>
    <w:rsid w:val="00F8690F"/>
    <w:rsid w:val="00F87298"/>
    <w:rsid w:val="00F8731F"/>
    <w:rsid w:val="00F900BE"/>
    <w:rsid w:val="00F91ED4"/>
    <w:rsid w:val="00F9435B"/>
    <w:rsid w:val="00F9468E"/>
    <w:rsid w:val="00F94882"/>
    <w:rsid w:val="00F96349"/>
    <w:rsid w:val="00F972A0"/>
    <w:rsid w:val="00FA2720"/>
    <w:rsid w:val="00FA77B1"/>
    <w:rsid w:val="00FB0075"/>
    <w:rsid w:val="00FB047A"/>
    <w:rsid w:val="00FB0E82"/>
    <w:rsid w:val="00FB6697"/>
    <w:rsid w:val="00FC1F81"/>
    <w:rsid w:val="00FC524F"/>
    <w:rsid w:val="00FC599D"/>
    <w:rsid w:val="00FC68A8"/>
    <w:rsid w:val="00FC7BA5"/>
    <w:rsid w:val="00FD0D18"/>
    <w:rsid w:val="00FD15E7"/>
    <w:rsid w:val="00FD16A7"/>
    <w:rsid w:val="00FD19C3"/>
    <w:rsid w:val="00FD3708"/>
    <w:rsid w:val="00FD482A"/>
    <w:rsid w:val="00FD4A9E"/>
    <w:rsid w:val="00FE06D8"/>
    <w:rsid w:val="00FE0981"/>
    <w:rsid w:val="00FE19BD"/>
    <w:rsid w:val="00FE253C"/>
    <w:rsid w:val="00FE377D"/>
    <w:rsid w:val="00FE4B17"/>
    <w:rsid w:val="00FF0EF1"/>
    <w:rsid w:val="00FF1C92"/>
    <w:rsid w:val="00FF3472"/>
    <w:rsid w:val="00FF455E"/>
    <w:rsid w:val="00FF6348"/>
    <w:rsid w:val="00FF683B"/>
    <w:rsid w:val="012073A2"/>
    <w:rsid w:val="01973053"/>
    <w:rsid w:val="027E74CA"/>
    <w:rsid w:val="034B5463"/>
    <w:rsid w:val="039D29B9"/>
    <w:rsid w:val="04DB3C44"/>
    <w:rsid w:val="07B87A7D"/>
    <w:rsid w:val="080F2CF6"/>
    <w:rsid w:val="09DA6CE8"/>
    <w:rsid w:val="0B6B4077"/>
    <w:rsid w:val="0CF43C8A"/>
    <w:rsid w:val="0D4967B3"/>
    <w:rsid w:val="0DA87EC0"/>
    <w:rsid w:val="0E8F602D"/>
    <w:rsid w:val="0F447B05"/>
    <w:rsid w:val="0FBC0831"/>
    <w:rsid w:val="0FEC3E14"/>
    <w:rsid w:val="11E701D0"/>
    <w:rsid w:val="12A53D1F"/>
    <w:rsid w:val="131D492F"/>
    <w:rsid w:val="134C146A"/>
    <w:rsid w:val="13D50476"/>
    <w:rsid w:val="14377FD0"/>
    <w:rsid w:val="14856F74"/>
    <w:rsid w:val="15C0748F"/>
    <w:rsid w:val="16174E54"/>
    <w:rsid w:val="16770F42"/>
    <w:rsid w:val="16BE53A8"/>
    <w:rsid w:val="17A35DDF"/>
    <w:rsid w:val="18787EC5"/>
    <w:rsid w:val="19E84073"/>
    <w:rsid w:val="1AEF3D03"/>
    <w:rsid w:val="1B7E0E69"/>
    <w:rsid w:val="1C136E65"/>
    <w:rsid w:val="1CBA32EA"/>
    <w:rsid w:val="1CC031EA"/>
    <w:rsid w:val="1D990F18"/>
    <w:rsid w:val="1DDD030F"/>
    <w:rsid w:val="1EFA407E"/>
    <w:rsid w:val="1F126151"/>
    <w:rsid w:val="21604DF6"/>
    <w:rsid w:val="21B878C1"/>
    <w:rsid w:val="22723962"/>
    <w:rsid w:val="23201794"/>
    <w:rsid w:val="241C4DDC"/>
    <w:rsid w:val="24CD0EEF"/>
    <w:rsid w:val="24D067A5"/>
    <w:rsid w:val="27640417"/>
    <w:rsid w:val="28F05539"/>
    <w:rsid w:val="29204D61"/>
    <w:rsid w:val="29F563F0"/>
    <w:rsid w:val="2B97780B"/>
    <w:rsid w:val="2CCB46E5"/>
    <w:rsid w:val="2CF577ED"/>
    <w:rsid w:val="2E2A5CB9"/>
    <w:rsid w:val="2E6073FD"/>
    <w:rsid w:val="2F24002C"/>
    <w:rsid w:val="2F8948A7"/>
    <w:rsid w:val="31AE15C3"/>
    <w:rsid w:val="31FF6CE2"/>
    <w:rsid w:val="35BB3EF4"/>
    <w:rsid w:val="35F96927"/>
    <w:rsid w:val="369C4E13"/>
    <w:rsid w:val="386B0FD9"/>
    <w:rsid w:val="3933479C"/>
    <w:rsid w:val="396D1326"/>
    <w:rsid w:val="3B97665A"/>
    <w:rsid w:val="3E046715"/>
    <w:rsid w:val="3E355E9B"/>
    <w:rsid w:val="3EE2552D"/>
    <w:rsid w:val="46ED03C2"/>
    <w:rsid w:val="47355406"/>
    <w:rsid w:val="475D6795"/>
    <w:rsid w:val="484F252F"/>
    <w:rsid w:val="4A8A1CA2"/>
    <w:rsid w:val="4B011028"/>
    <w:rsid w:val="4C661C38"/>
    <w:rsid w:val="4C7A40F0"/>
    <w:rsid w:val="4C8B5602"/>
    <w:rsid w:val="4C9A5EA5"/>
    <w:rsid w:val="4EE2079C"/>
    <w:rsid w:val="4F4E509D"/>
    <w:rsid w:val="50D543D0"/>
    <w:rsid w:val="51885345"/>
    <w:rsid w:val="52F40A7A"/>
    <w:rsid w:val="53AB37CE"/>
    <w:rsid w:val="555F515E"/>
    <w:rsid w:val="565655D2"/>
    <w:rsid w:val="579529A0"/>
    <w:rsid w:val="5B20154B"/>
    <w:rsid w:val="5B2737C9"/>
    <w:rsid w:val="5C5F0E26"/>
    <w:rsid w:val="5D5207F9"/>
    <w:rsid w:val="5DB11630"/>
    <w:rsid w:val="5EB85928"/>
    <w:rsid w:val="5F7F05A5"/>
    <w:rsid w:val="60090E87"/>
    <w:rsid w:val="616855EF"/>
    <w:rsid w:val="62E269BE"/>
    <w:rsid w:val="63273FE2"/>
    <w:rsid w:val="633C4553"/>
    <w:rsid w:val="635E1DC8"/>
    <w:rsid w:val="63F8153B"/>
    <w:rsid w:val="66896827"/>
    <w:rsid w:val="66BF71C4"/>
    <w:rsid w:val="68A1291D"/>
    <w:rsid w:val="68B76BCA"/>
    <w:rsid w:val="68D12C7B"/>
    <w:rsid w:val="6920282A"/>
    <w:rsid w:val="693646B5"/>
    <w:rsid w:val="69604790"/>
    <w:rsid w:val="6BF93DBC"/>
    <w:rsid w:val="6E7B7012"/>
    <w:rsid w:val="6F100594"/>
    <w:rsid w:val="6FB05B67"/>
    <w:rsid w:val="6FF2313D"/>
    <w:rsid w:val="70241AA7"/>
    <w:rsid w:val="705B6535"/>
    <w:rsid w:val="70B675AC"/>
    <w:rsid w:val="7221670E"/>
    <w:rsid w:val="73222030"/>
    <w:rsid w:val="74B64137"/>
    <w:rsid w:val="76552FDB"/>
    <w:rsid w:val="77A46809"/>
    <w:rsid w:val="793E45B1"/>
    <w:rsid w:val="79826936"/>
    <w:rsid w:val="7A5B26E7"/>
    <w:rsid w:val="7A610B9B"/>
    <w:rsid w:val="7AFA5663"/>
    <w:rsid w:val="7DAB739D"/>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iPriority="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iPriority="99"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3"/>
    <w:basedOn w:val="1"/>
    <w:next w:val="1"/>
    <w:semiHidden/>
    <w:unhideWhenUsed/>
    <w:qFormat/>
    <w:uiPriority w:val="0"/>
    <w:pPr>
      <w:spacing w:beforeAutospacing="1" w:afterAutospacing="1"/>
      <w:jc w:val="left"/>
      <w:outlineLvl w:val="2"/>
    </w:pPr>
    <w:rPr>
      <w:rFonts w:hint="eastAsia" w:ascii="宋体" w:hAnsi="宋体"/>
      <w:b/>
      <w:kern w:val="0"/>
      <w:sz w:val="27"/>
      <w:szCs w:val="27"/>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48"/>
    <w:semiHidden/>
    <w:unhideWhenUsed/>
    <w:qFormat/>
    <w:uiPriority w:val="0"/>
    <w:pPr>
      <w:jc w:val="left"/>
    </w:pPr>
  </w:style>
  <w:style w:type="paragraph" w:styleId="4">
    <w:name w:val="Body Text"/>
    <w:basedOn w:val="1"/>
    <w:link w:val="43"/>
    <w:unhideWhenUsed/>
    <w:qFormat/>
    <w:uiPriority w:val="99"/>
    <w:pPr>
      <w:ind w:left="109"/>
    </w:pPr>
    <w:rPr>
      <w:rFonts w:ascii="仿宋_GB2312" w:hAnsi="仿宋_GB2312" w:eastAsia="仿宋_GB2312" w:cs="Calibri"/>
      <w:sz w:val="32"/>
    </w:rPr>
  </w:style>
  <w:style w:type="paragraph" w:styleId="5">
    <w:name w:val="Balloon Text"/>
    <w:basedOn w:val="1"/>
    <w:link w:val="22"/>
    <w:qFormat/>
    <w:uiPriority w:val="0"/>
    <w:rPr>
      <w:sz w:val="18"/>
      <w:szCs w:val="18"/>
    </w:rPr>
  </w:style>
  <w:style w:type="paragraph" w:styleId="6">
    <w:name w:val="footer"/>
    <w:basedOn w:val="1"/>
    <w:link w:val="21"/>
    <w:qFormat/>
    <w:uiPriority w:val="99"/>
    <w:pPr>
      <w:tabs>
        <w:tab w:val="center" w:pos="4153"/>
        <w:tab w:val="right" w:pos="8306"/>
      </w:tabs>
      <w:snapToGrid w:val="0"/>
      <w:jc w:val="left"/>
    </w:pPr>
    <w:rPr>
      <w:sz w:val="18"/>
      <w:szCs w:val="18"/>
    </w:rPr>
  </w:style>
  <w:style w:type="paragraph" w:styleId="7">
    <w:name w:val="header"/>
    <w:basedOn w:val="1"/>
    <w:link w:val="20"/>
    <w:qFormat/>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link w:val="41"/>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9">
    <w:name w:val="annotation subject"/>
    <w:basedOn w:val="3"/>
    <w:next w:val="3"/>
    <w:link w:val="49"/>
    <w:semiHidden/>
    <w:unhideWhenUsed/>
    <w:qFormat/>
    <w:uiPriority w:val="0"/>
    <w:rPr>
      <w:b/>
      <w:bCs/>
    </w:rPr>
  </w:style>
  <w:style w:type="table" w:styleId="11">
    <w:name w:val="Table Grid"/>
    <w:basedOn w:val="10"/>
    <w:qFormat/>
    <w:uiPriority w:val="39"/>
    <w:rPr>
      <w:rFonts w:asciiTheme="minorHAnsi" w:hAnsiTheme="minorHAnsi" w:eastAsiaTheme="minorEastAsia" w:cstheme="minorBid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basedOn w:val="12"/>
    <w:qFormat/>
    <w:uiPriority w:val="0"/>
    <w:rPr>
      <w:b/>
    </w:rPr>
  </w:style>
  <w:style w:type="character" w:styleId="14">
    <w:name w:val="Emphasis"/>
    <w:basedOn w:val="12"/>
    <w:qFormat/>
    <w:uiPriority w:val="0"/>
    <w:rPr>
      <w:i/>
    </w:rPr>
  </w:style>
  <w:style w:type="character" w:styleId="15">
    <w:name w:val="Hyperlink"/>
    <w:basedOn w:val="12"/>
    <w:unhideWhenUsed/>
    <w:qFormat/>
    <w:uiPriority w:val="99"/>
    <w:rPr>
      <w:color w:val="0000FF"/>
      <w:u w:val="single"/>
    </w:rPr>
  </w:style>
  <w:style w:type="character" w:styleId="16">
    <w:name w:val="annotation reference"/>
    <w:basedOn w:val="12"/>
    <w:semiHidden/>
    <w:unhideWhenUsed/>
    <w:qFormat/>
    <w:uiPriority w:val="0"/>
    <w:rPr>
      <w:sz w:val="21"/>
      <w:szCs w:val="21"/>
    </w:rPr>
  </w:style>
  <w:style w:type="paragraph" w:styleId="17">
    <w:name w:val="List Paragraph"/>
    <w:basedOn w:val="1"/>
    <w:qFormat/>
    <w:uiPriority w:val="0"/>
    <w:pPr>
      <w:ind w:firstLine="420" w:firstLineChars="200"/>
    </w:pPr>
    <w:rPr>
      <w:szCs w:val="22"/>
    </w:rPr>
  </w:style>
  <w:style w:type="paragraph" w:customStyle="1" w:styleId="18">
    <w:name w:val="标准文件_段"/>
    <w:link w:val="19"/>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19">
    <w:name w:val="标准文件_段 Char"/>
    <w:link w:val="18"/>
    <w:qFormat/>
    <w:uiPriority w:val="0"/>
    <w:rPr>
      <w:rFonts w:ascii="宋体"/>
      <w:sz w:val="21"/>
    </w:rPr>
  </w:style>
  <w:style w:type="character" w:customStyle="1" w:styleId="20">
    <w:name w:val="页眉 字符"/>
    <w:basedOn w:val="12"/>
    <w:link w:val="7"/>
    <w:qFormat/>
    <w:uiPriority w:val="0"/>
    <w:rPr>
      <w:rFonts w:ascii="Times New Roman" w:hAnsi="Times New Roman"/>
      <w:kern w:val="2"/>
      <w:sz w:val="18"/>
      <w:szCs w:val="18"/>
    </w:rPr>
  </w:style>
  <w:style w:type="character" w:customStyle="1" w:styleId="21">
    <w:name w:val="页脚 字符"/>
    <w:basedOn w:val="12"/>
    <w:link w:val="6"/>
    <w:qFormat/>
    <w:uiPriority w:val="99"/>
    <w:rPr>
      <w:rFonts w:ascii="Times New Roman" w:hAnsi="Times New Roman"/>
      <w:kern w:val="2"/>
      <w:sz w:val="18"/>
      <w:szCs w:val="18"/>
    </w:rPr>
  </w:style>
  <w:style w:type="character" w:customStyle="1" w:styleId="22">
    <w:name w:val="批注框文本 字符"/>
    <w:basedOn w:val="12"/>
    <w:link w:val="5"/>
    <w:qFormat/>
    <w:uiPriority w:val="0"/>
    <w:rPr>
      <w:rFonts w:ascii="Times New Roman" w:hAnsi="Times New Roman"/>
      <w:kern w:val="2"/>
      <w:sz w:val="18"/>
      <w:szCs w:val="18"/>
    </w:rPr>
  </w:style>
  <w:style w:type="paragraph" w:customStyle="1" w:styleId="23">
    <w:name w:val="标准文件_二级条标题"/>
    <w:next w:val="18"/>
    <w:qFormat/>
    <w:uiPriority w:val="0"/>
    <w:pPr>
      <w:widowControl w:val="0"/>
      <w:numPr>
        <w:ilvl w:val="3"/>
        <w:numId w:val="1"/>
      </w:numPr>
      <w:spacing w:beforeLines="50" w:afterLines="50"/>
      <w:jc w:val="both"/>
      <w:outlineLvl w:val="2"/>
    </w:pPr>
    <w:rPr>
      <w:rFonts w:ascii="黑体" w:hAnsi="Times New Roman" w:eastAsia="黑体" w:cs="Times New Roman"/>
      <w:sz w:val="21"/>
      <w:lang w:val="en-US" w:eastAsia="zh-CN" w:bidi="ar-SA"/>
    </w:rPr>
  </w:style>
  <w:style w:type="paragraph" w:customStyle="1" w:styleId="24">
    <w:name w:val="标准文件_三级条标题"/>
    <w:basedOn w:val="23"/>
    <w:next w:val="18"/>
    <w:qFormat/>
    <w:uiPriority w:val="0"/>
    <w:pPr>
      <w:widowControl/>
      <w:numPr>
        <w:ilvl w:val="4"/>
      </w:numPr>
      <w:outlineLvl w:val="3"/>
    </w:pPr>
  </w:style>
  <w:style w:type="paragraph" w:customStyle="1" w:styleId="25">
    <w:name w:val="标准文件_四级条标题"/>
    <w:next w:val="18"/>
    <w:qFormat/>
    <w:uiPriority w:val="0"/>
    <w:pPr>
      <w:widowControl w:val="0"/>
      <w:numPr>
        <w:ilvl w:val="5"/>
        <w:numId w:val="1"/>
      </w:numPr>
      <w:spacing w:beforeLines="50" w:afterLines="50"/>
      <w:jc w:val="both"/>
      <w:outlineLvl w:val="4"/>
    </w:pPr>
    <w:rPr>
      <w:rFonts w:ascii="黑体" w:hAnsi="Times New Roman" w:eastAsia="黑体" w:cs="Times New Roman"/>
      <w:sz w:val="21"/>
      <w:lang w:val="en-US" w:eastAsia="zh-CN" w:bidi="ar-SA"/>
    </w:rPr>
  </w:style>
  <w:style w:type="paragraph" w:customStyle="1" w:styleId="26">
    <w:name w:val="标准文件_五级条标题"/>
    <w:next w:val="18"/>
    <w:qFormat/>
    <w:uiPriority w:val="0"/>
    <w:pPr>
      <w:widowControl w:val="0"/>
      <w:numPr>
        <w:ilvl w:val="6"/>
        <w:numId w:val="1"/>
      </w:numPr>
      <w:spacing w:beforeLines="50" w:afterLines="50"/>
      <w:jc w:val="both"/>
      <w:outlineLvl w:val="5"/>
    </w:pPr>
    <w:rPr>
      <w:rFonts w:ascii="黑体" w:hAnsi="Times New Roman" w:eastAsia="黑体" w:cs="Times New Roman"/>
      <w:sz w:val="21"/>
      <w:lang w:val="en-US" w:eastAsia="zh-CN" w:bidi="ar-SA"/>
    </w:rPr>
  </w:style>
  <w:style w:type="paragraph" w:customStyle="1" w:styleId="27">
    <w:name w:val="标准文件_章标题"/>
    <w:next w:val="18"/>
    <w:qFormat/>
    <w:uiPriority w:val="0"/>
    <w:pPr>
      <w:numPr>
        <w:ilvl w:val="1"/>
        <w:numId w:val="1"/>
      </w:numPr>
      <w:spacing w:beforeLines="100" w:afterLines="100"/>
      <w:jc w:val="both"/>
      <w:outlineLvl w:val="0"/>
    </w:pPr>
    <w:rPr>
      <w:rFonts w:ascii="黑体" w:hAnsi="Times New Roman" w:eastAsia="黑体" w:cs="Times New Roman"/>
      <w:sz w:val="21"/>
      <w:lang w:val="en-US" w:eastAsia="zh-CN" w:bidi="ar-SA"/>
    </w:rPr>
  </w:style>
  <w:style w:type="paragraph" w:customStyle="1" w:styleId="28">
    <w:name w:val="标准文件_一级条标题"/>
    <w:basedOn w:val="27"/>
    <w:next w:val="18"/>
    <w:qFormat/>
    <w:uiPriority w:val="0"/>
    <w:pPr>
      <w:numPr>
        <w:ilvl w:val="2"/>
      </w:numPr>
      <w:spacing w:beforeLines="50" w:afterLines="50"/>
      <w:outlineLvl w:val="1"/>
    </w:pPr>
  </w:style>
  <w:style w:type="paragraph" w:customStyle="1" w:styleId="29">
    <w:name w:val="前言标题"/>
    <w:next w:val="1"/>
    <w:qFormat/>
    <w:uiPriority w:val="0"/>
    <w:pPr>
      <w:numPr>
        <w:ilvl w:val="0"/>
        <w:numId w:val="1"/>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30">
    <w:name w:val="标准文件_二级无标题"/>
    <w:basedOn w:val="23"/>
    <w:qFormat/>
    <w:uiPriority w:val="0"/>
    <w:pPr>
      <w:spacing w:beforeLines="0" w:afterLines="0"/>
      <w:outlineLvl w:val="9"/>
    </w:pPr>
    <w:rPr>
      <w:rFonts w:ascii="宋体" w:eastAsia="宋体"/>
    </w:rPr>
  </w:style>
  <w:style w:type="character" w:customStyle="1" w:styleId="31">
    <w:name w:val="段 Char"/>
    <w:link w:val="32"/>
    <w:qFormat/>
    <w:uiPriority w:val="0"/>
    <w:rPr>
      <w:rFonts w:ascii="宋体"/>
      <w:sz w:val="21"/>
    </w:rPr>
  </w:style>
  <w:style w:type="paragraph" w:customStyle="1" w:styleId="32">
    <w:name w:val="段"/>
    <w:link w:val="31"/>
    <w:qFormat/>
    <w:uiPriority w:val="0"/>
    <w:pPr>
      <w:autoSpaceDE w:val="0"/>
      <w:autoSpaceDN w:val="0"/>
      <w:ind w:firstLine="200" w:firstLineChars="200"/>
      <w:jc w:val="both"/>
    </w:pPr>
    <w:rPr>
      <w:rFonts w:ascii="宋体" w:hAnsi="Calibri" w:eastAsia="宋体" w:cs="Times New Roman"/>
      <w:sz w:val="21"/>
      <w:lang w:val="en-US" w:eastAsia="zh-CN" w:bidi="ar-SA"/>
    </w:rPr>
  </w:style>
  <w:style w:type="paragraph" w:customStyle="1" w:styleId="33">
    <w:name w:val="一级条标题"/>
    <w:next w:val="32"/>
    <w:qFormat/>
    <w:uiPriority w:val="0"/>
    <w:pPr>
      <w:numPr>
        <w:ilvl w:val="1"/>
        <w:numId w:val="2"/>
      </w:numPr>
      <w:spacing w:beforeLines="50" w:afterLines="50"/>
      <w:outlineLvl w:val="2"/>
    </w:pPr>
    <w:rPr>
      <w:rFonts w:ascii="黑体" w:hAnsi="Times New Roman" w:eastAsia="黑体" w:cs="Times New Roman"/>
      <w:sz w:val="21"/>
      <w:szCs w:val="21"/>
      <w:lang w:val="en-US" w:eastAsia="zh-CN" w:bidi="ar-SA"/>
    </w:rPr>
  </w:style>
  <w:style w:type="paragraph" w:customStyle="1" w:styleId="34">
    <w:name w:val="章标题"/>
    <w:next w:val="32"/>
    <w:qFormat/>
    <w:uiPriority w:val="0"/>
    <w:pPr>
      <w:numPr>
        <w:ilvl w:val="0"/>
        <w:numId w:val="2"/>
      </w:numPr>
      <w:spacing w:beforeLines="100" w:afterLines="100"/>
      <w:jc w:val="both"/>
      <w:outlineLvl w:val="1"/>
    </w:pPr>
    <w:rPr>
      <w:rFonts w:ascii="黑体" w:hAnsi="Times New Roman" w:eastAsia="黑体" w:cs="Times New Roman"/>
      <w:sz w:val="21"/>
      <w:lang w:val="en-US" w:eastAsia="zh-CN" w:bidi="ar-SA"/>
    </w:rPr>
  </w:style>
  <w:style w:type="paragraph" w:customStyle="1" w:styleId="35">
    <w:name w:val="二级条标题"/>
    <w:basedOn w:val="33"/>
    <w:next w:val="32"/>
    <w:qFormat/>
    <w:uiPriority w:val="0"/>
    <w:pPr>
      <w:numPr>
        <w:ilvl w:val="2"/>
      </w:numPr>
      <w:spacing w:before="50" w:after="50"/>
      <w:outlineLvl w:val="3"/>
    </w:pPr>
  </w:style>
  <w:style w:type="paragraph" w:customStyle="1" w:styleId="36">
    <w:name w:val="三级条标题"/>
    <w:basedOn w:val="35"/>
    <w:next w:val="32"/>
    <w:qFormat/>
    <w:uiPriority w:val="0"/>
    <w:pPr>
      <w:numPr>
        <w:ilvl w:val="3"/>
      </w:numPr>
      <w:outlineLvl w:val="4"/>
    </w:pPr>
  </w:style>
  <w:style w:type="paragraph" w:customStyle="1" w:styleId="37">
    <w:name w:val="四级条标题"/>
    <w:basedOn w:val="36"/>
    <w:next w:val="32"/>
    <w:qFormat/>
    <w:uiPriority w:val="0"/>
    <w:pPr>
      <w:numPr>
        <w:ilvl w:val="4"/>
      </w:numPr>
      <w:outlineLvl w:val="5"/>
    </w:pPr>
  </w:style>
  <w:style w:type="paragraph" w:customStyle="1" w:styleId="38">
    <w:name w:val="五级条标题"/>
    <w:basedOn w:val="37"/>
    <w:next w:val="32"/>
    <w:qFormat/>
    <w:uiPriority w:val="0"/>
    <w:pPr>
      <w:numPr>
        <w:ilvl w:val="5"/>
      </w:numPr>
      <w:outlineLvl w:val="6"/>
    </w:pPr>
  </w:style>
  <w:style w:type="paragraph" w:customStyle="1" w:styleId="39">
    <w:name w:val="标准文件_术语条一"/>
    <w:basedOn w:val="1"/>
    <w:next w:val="18"/>
    <w:qFormat/>
    <w:uiPriority w:val="0"/>
    <w:pPr>
      <w:widowControl/>
      <w:numPr>
        <w:ilvl w:val="2"/>
        <w:numId w:val="3"/>
      </w:numPr>
    </w:pPr>
    <w:rPr>
      <w:rFonts w:ascii="宋体"/>
      <w:kern w:val="0"/>
      <w:szCs w:val="20"/>
    </w:rPr>
  </w:style>
  <w:style w:type="paragraph" w:customStyle="1" w:styleId="40">
    <w:name w:val="正文1"/>
    <w:qFormat/>
    <w:uiPriority w:val="0"/>
    <w:pPr>
      <w:jc w:val="both"/>
    </w:pPr>
    <w:rPr>
      <w:rFonts w:ascii="Times New Roman" w:hAnsi="Times New Roman" w:eastAsia="宋体" w:cs="Times New Roman"/>
      <w:kern w:val="2"/>
      <w:sz w:val="21"/>
      <w:szCs w:val="21"/>
      <w:lang w:val="en-US" w:eastAsia="zh-CN" w:bidi="ar-SA"/>
    </w:rPr>
  </w:style>
  <w:style w:type="character" w:customStyle="1" w:styleId="41">
    <w:name w:val="HTML 预设格式 字符"/>
    <w:basedOn w:val="12"/>
    <w:link w:val="8"/>
    <w:qFormat/>
    <w:uiPriority w:val="99"/>
    <w:rPr>
      <w:rFonts w:ascii="宋体" w:hAnsi="宋体" w:cs="宋体"/>
      <w:sz w:val="24"/>
      <w:szCs w:val="24"/>
    </w:rPr>
  </w:style>
  <w:style w:type="paragraph" w:styleId="42">
    <w:name w:val="No Spacing"/>
    <w:qFormat/>
    <w:uiPriority w:val="1"/>
    <w:pPr>
      <w:adjustRightInd w:val="0"/>
      <w:snapToGrid w:val="0"/>
    </w:pPr>
    <w:rPr>
      <w:rFonts w:ascii="Tahoma" w:hAnsi="Tahoma" w:eastAsia="微软雅黑" w:cs="Times New Roman"/>
      <w:sz w:val="22"/>
      <w:szCs w:val="22"/>
      <w:lang w:val="en-US" w:eastAsia="zh-CN" w:bidi="ar-SA"/>
    </w:rPr>
  </w:style>
  <w:style w:type="character" w:customStyle="1" w:styleId="43">
    <w:name w:val="正文文本 字符"/>
    <w:basedOn w:val="12"/>
    <w:link w:val="4"/>
    <w:qFormat/>
    <w:uiPriority w:val="99"/>
    <w:rPr>
      <w:rFonts w:ascii="仿宋_GB2312" w:hAnsi="仿宋_GB2312" w:eastAsia="仿宋_GB2312" w:cs="Calibri"/>
      <w:kern w:val="2"/>
      <w:sz w:val="32"/>
      <w:szCs w:val="24"/>
    </w:rPr>
  </w:style>
  <w:style w:type="paragraph" w:customStyle="1" w:styleId="44">
    <w:name w:val="标准文件_正文表标题"/>
    <w:next w:val="18"/>
    <w:qFormat/>
    <w:uiPriority w:val="0"/>
    <w:pPr>
      <w:numPr>
        <w:ilvl w:val="0"/>
        <w:numId w:val="4"/>
      </w:numPr>
      <w:tabs>
        <w:tab w:val="left" w:pos="0"/>
      </w:tabs>
      <w:spacing w:beforeLines="50" w:afterLines="50"/>
      <w:jc w:val="center"/>
    </w:pPr>
    <w:rPr>
      <w:rFonts w:ascii="黑体" w:hAnsi="Times New Roman" w:eastAsia="黑体" w:cs="Times New Roman"/>
      <w:sz w:val="21"/>
      <w:lang w:val="en-US" w:eastAsia="zh-CN" w:bidi="ar-SA"/>
    </w:rPr>
  </w:style>
  <w:style w:type="paragraph" w:customStyle="1" w:styleId="45">
    <w:name w:val="标准文件_表格"/>
    <w:basedOn w:val="18"/>
    <w:qFormat/>
    <w:uiPriority w:val="0"/>
    <w:pPr>
      <w:ind w:firstLine="0" w:firstLineChars="0"/>
      <w:jc w:val="center"/>
    </w:pPr>
    <w:rPr>
      <w:sz w:val="18"/>
    </w:rPr>
  </w:style>
  <w:style w:type="paragraph" w:customStyle="1" w:styleId="46">
    <w:name w:val="标准文件_附录表标题"/>
    <w:next w:val="18"/>
    <w:qFormat/>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47">
    <w:name w:val="标准文件_附录表标号"/>
    <w:basedOn w:val="18"/>
    <w:next w:val="18"/>
    <w:qFormat/>
    <w:uiPriority w:val="0"/>
    <w:pPr>
      <w:numPr>
        <w:ilvl w:val="0"/>
        <w:numId w:val="5"/>
      </w:numPr>
      <w:spacing w:line="14" w:lineRule="exact"/>
      <w:ind w:firstLine="0" w:firstLineChars="0"/>
      <w:jc w:val="center"/>
    </w:pPr>
    <w:rPr>
      <w:rFonts w:eastAsia="黑体"/>
      <w:vanish/>
      <w:sz w:val="2"/>
    </w:rPr>
  </w:style>
  <w:style w:type="character" w:customStyle="1" w:styleId="48">
    <w:name w:val="批注文字 字符"/>
    <w:basedOn w:val="12"/>
    <w:link w:val="3"/>
    <w:semiHidden/>
    <w:qFormat/>
    <w:uiPriority w:val="0"/>
    <w:rPr>
      <w:rFonts w:ascii="Times New Roman" w:hAnsi="Times New Roman"/>
      <w:kern w:val="2"/>
      <w:sz w:val="21"/>
      <w:szCs w:val="24"/>
    </w:rPr>
  </w:style>
  <w:style w:type="character" w:customStyle="1" w:styleId="49">
    <w:name w:val="批注主题 字符"/>
    <w:basedOn w:val="48"/>
    <w:link w:val="9"/>
    <w:semiHidden/>
    <w:qFormat/>
    <w:uiPriority w:val="0"/>
    <w:rPr>
      <w:rFonts w:ascii="Times New Roman" w:hAnsi="Times New Roman"/>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numbering" Target="numbering.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556273-7795-4098-B375-E1FF59F02BC5}">
  <ds:schemaRefs/>
</ds:datastoreItem>
</file>

<file path=docProps/app.xml><?xml version="1.0" encoding="utf-8"?>
<Properties xmlns="http://schemas.openxmlformats.org/officeDocument/2006/extended-properties" xmlns:vt="http://schemas.openxmlformats.org/officeDocument/2006/docPropsVTypes">
  <Template>Normal</Template>
  <Pages>19</Pages>
  <Words>5480</Words>
  <Characters>6852</Characters>
  <Lines>1142</Lines>
  <Paragraphs>1027</Paragraphs>
  <TotalTime>12</TotalTime>
  <ScaleCrop>false</ScaleCrop>
  <LinksUpToDate>false</LinksUpToDate>
  <CharactersWithSpaces>11305</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2020-12-08T06:37:00Z</dcterms:created>
  <dc:creator>Administrator</dc:creator>
  <cp:lastModifiedBy>蒙蒙胧胧</cp:lastModifiedBy>
  <dcterms:modified xsi:type="dcterms:W3CDTF">2023-10-17T03:02:36Z</dcterms:modified>
  <cp:revision>585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2ED6E6FC76CA48A893B497C273FCA8E1_13</vt:lpwstr>
  </property>
</Properties>
</file>