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黑体" w:hAnsi="黑体" w:eastAsia="黑体" w:cs="黑体"/>
          <w:sz w:val="36"/>
          <w:szCs w:val="36"/>
        </w:rPr>
      </w:pPr>
      <w:r>
        <w:rPr>
          <w:rFonts w:hint="eastAsia" w:ascii="黑体" w:hAnsi="黑体" w:eastAsia="黑体" w:cs="黑体"/>
          <w:sz w:val="36"/>
          <w:szCs w:val="36"/>
        </w:rPr>
        <w:t>团体标准《研学旅行基地运营规范》（征求意见稿）编制说明</w:t>
      </w:r>
    </w:p>
    <w:p>
      <w:pPr>
        <w:spacing w:line="360" w:lineRule="auto"/>
        <w:jc w:val="center"/>
        <w:rPr>
          <w:rFonts w:ascii="黑体" w:hAnsi="黑体" w:eastAsia="黑体" w:cs="Times New Roman"/>
          <w:b/>
          <w:bCs/>
          <w:sz w:val="36"/>
          <w:szCs w:val="36"/>
        </w:rPr>
      </w:pPr>
    </w:p>
    <w:p>
      <w:pPr>
        <w:pStyle w:val="2"/>
        <w:rPr>
          <w:b/>
          <w:bCs/>
        </w:rPr>
      </w:pPr>
      <w:r>
        <w:rPr>
          <w:rFonts w:hint="eastAsia"/>
        </w:rPr>
        <w:t>一、项目来源</w:t>
      </w:r>
    </w:p>
    <w:p>
      <w:pPr>
        <w:spacing w:line="360" w:lineRule="auto"/>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根据《</w:t>
      </w:r>
      <w:r>
        <w:rPr>
          <w:rFonts w:hint="eastAsia" w:ascii="Times New Roman" w:hAnsi="Times New Roman" w:eastAsia="仿宋_GB2312" w:cs="Times New Roman"/>
          <w:sz w:val="32"/>
          <w:szCs w:val="32"/>
        </w:rPr>
        <w:t>广西标准化协会关于下达2023年第三十三批团体标准制修订项目计划的通知</w:t>
      </w:r>
      <w:r>
        <w:rPr>
          <w:rFonts w:ascii="Times New Roman" w:hAnsi="Times New Roman" w:eastAsia="仿宋_GB2312" w:cs="Times New Roman"/>
          <w:sz w:val="32"/>
          <w:szCs w:val="32"/>
        </w:rPr>
        <w:t>》（桂标协〔202</w:t>
      </w:r>
      <w:r>
        <w:rPr>
          <w:rFonts w:hint="eastAsia" w:ascii="Times New Roman" w:hAnsi="Times New Roman" w:eastAsia="仿宋_GB2312" w:cs="Times New Roman"/>
          <w:sz w:val="32"/>
          <w:szCs w:val="32"/>
        </w:rPr>
        <w:t>3</w:t>
      </w: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119</w:t>
      </w:r>
      <w:r>
        <w:rPr>
          <w:rFonts w:ascii="Times New Roman" w:hAnsi="Times New Roman" w:eastAsia="仿宋_GB2312" w:cs="Times New Roman"/>
          <w:sz w:val="32"/>
          <w:szCs w:val="32"/>
        </w:rPr>
        <w:t>号）精神，由</w:t>
      </w:r>
      <w:r>
        <w:rPr>
          <w:rFonts w:hint="eastAsia" w:ascii="Times New Roman" w:hAnsi="Times New Roman" w:eastAsia="仿宋_GB2312" w:cs="Times New Roman"/>
          <w:sz w:val="32"/>
          <w:szCs w:val="32"/>
        </w:rPr>
        <w:t>桂林旅游学院、广西旅游协会共同</w:t>
      </w:r>
      <w:r>
        <w:rPr>
          <w:rFonts w:ascii="Times New Roman" w:hAnsi="Times New Roman" w:eastAsia="仿宋_GB2312" w:cs="Times New Roman"/>
          <w:sz w:val="32"/>
          <w:szCs w:val="32"/>
        </w:rPr>
        <w:t>提出，</w:t>
      </w:r>
      <w:r>
        <w:rPr>
          <w:rFonts w:hint="eastAsia" w:ascii="Times New Roman" w:hAnsi="Times New Roman" w:eastAsia="仿宋_GB2312" w:cs="Times New Roman"/>
          <w:sz w:val="32"/>
          <w:szCs w:val="32"/>
        </w:rPr>
        <w:t>桂林旅游学院研学旅行教育研究中心、桂林旅游学院继续教育学院、广西师范大学体育与健康学院、广西旅游协会</w:t>
      </w:r>
      <w:r>
        <w:rPr>
          <w:rFonts w:ascii="Times New Roman" w:hAnsi="Times New Roman" w:eastAsia="仿宋_GB2312" w:cs="Times New Roman"/>
          <w:sz w:val="32"/>
          <w:szCs w:val="32"/>
        </w:rPr>
        <w:t>共同起草的团体标准</w:t>
      </w:r>
      <w:r>
        <w:rPr>
          <w:rFonts w:hint="eastAsia" w:ascii="Times New Roman" w:hAnsi="Times New Roman" w:eastAsia="仿宋_GB2312" w:cs="Times New Roman"/>
          <w:sz w:val="32"/>
          <w:szCs w:val="32"/>
        </w:rPr>
        <w:t>《研学旅行基地运营规范》（项目编号2023-3403</w:t>
      </w:r>
      <w:r>
        <w:rPr>
          <w:rFonts w:ascii="Times New Roman" w:hAnsi="Times New Roman" w:eastAsia="仿宋_GB2312" w:cs="Times New Roman"/>
          <w:sz w:val="32"/>
          <w:szCs w:val="32"/>
        </w:rPr>
        <w:t>，特制定本</w:t>
      </w:r>
      <w:r>
        <w:rPr>
          <w:rFonts w:hint="eastAsia" w:ascii="Times New Roman" w:hAnsi="Times New Roman" w:eastAsia="仿宋_GB2312" w:cs="Times New Roman"/>
          <w:sz w:val="32"/>
          <w:szCs w:val="32"/>
        </w:rPr>
        <w:t>编制说明。</w:t>
      </w:r>
    </w:p>
    <w:p>
      <w:pPr>
        <w:pStyle w:val="2"/>
        <w:rPr>
          <w:b/>
          <w:bCs/>
        </w:rPr>
      </w:pPr>
      <w:r>
        <w:rPr>
          <w:rFonts w:hint="eastAsia"/>
        </w:rPr>
        <w:t>二、标准制定的背景</w:t>
      </w:r>
    </w:p>
    <w:p>
      <w:pPr>
        <w:spacing w:line="360" w:lineRule="auto"/>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2016年11月，教育部等11部委联合印发《关于推进</w:t>
      </w:r>
      <w:r>
        <w:rPr>
          <w:rFonts w:hint="eastAsia" w:ascii="Times New Roman" w:hAnsi="Times New Roman" w:eastAsia="仿宋_GB2312" w:cs="Times New Roman"/>
          <w:sz w:val="32"/>
          <w:szCs w:val="32"/>
        </w:rPr>
        <w:t>中小学生研学旅行的意见》中明确指出：“中小学生研学旅行是由教育部门和学校有计划地组织安排，通过集体旅行、集中食宿等方式开展的研究性学习和旅行体验相结合的校外教育活动”。2</w:t>
      </w:r>
      <w:r>
        <w:rPr>
          <w:rFonts w:ascii="Times New Roman" w:hAnsi="Times New Roman" w:eastAsia="仿宋_GB2312" w:cs="Times New Roman"/>
          <w:sz w:val="32"/>
          <w:szCs w:val="32"/>
        </w:rPr>
        <w:t>023</w:t>
      </w:r>
      <w:r>
        <w:rPr>
          <w:rFonts w:hint="eastAsia" w:ascii="Times New Roman" w:hAnsi="Times New Roman" w:eastAsia="仿宋_GB2312" w:cs="Times New Roman"/>
          <w:sz w:val="32"/>
          <w:szCs w:val="32"/>
        </w:rPr>
        <w:t>年1月，广西自治区政府办公厅《关于加快文化旅游业全面恢复振兴的若干政策措施》文件提出，应实现“文旅</w:t>
      </w:r>
      <w:r>
        <w:rPr>
          <w:rFonts w:ascii="Times New Roman" w:hAnsi="Times New Roman" w:eastAsia="仿宋_GB2312" w:cs="Times New Roman"/>
          <w:sz w:val="32"/>
          <w:szCs w:val="32"/>
        </w:rPr>
        <w:t>+”深度融合，推动全区研学旅行市场繁荣发展</w:t>
      </w:r>
      <w:r>
        <w:rPr>
          <w:rFonts w:hint="eastAsia" w:ascii="Times New Roman" w:hAnsi="Times New Roman" w:eastAsia="仿宋_GB2312" w:cs="Times New Roman"/>
          <w:sz w:val="32"/>
          <w:szCs w:val="32"/>
        </w:rPr>
        <w:t>。研学旅行基地是开展研学旅行的核心承载空间，当前，在研学旅行热度下，全国研学基地建设正处于“跑马圈地”式的扩张生长中，体育、文博、工业等领域主题营地增长明显。广西有着独特的自然与文化研学旅行资源优势，截至2022年1</w:t>
      </w:r>
      <w:r>
        <w:rPr>
          <w:rFonts w:ascii="Times New Roman" w:hAnsi="Times New Roman" w:eastAsia="仿宋_GB2312" w:cs="Times New Roman"/>
          <w:sz w:val="32"/>
          <w:szCs w:val="32"/>
        </w:rPr>
        <w:t>2</w:t>
      </w:r>
      <w:r>
        <w:rPr>
          <w:rFonts w:hint="eastAsia" w:ascii="Times New Roman" w:hAnsi="Times New Roman" w:eastAsia="仿宋_GB2312" w:cs="Times New Roman"/>
          <w:sz w:val="32"/>
          <w:szCs w:val="32"/>
        </w:rPr>
        <w:t>月，广西共建立优秀传统文化教育、革命传统教育、国情教育、国防科工、自然生态等中小学生研学实践教育基地、营地727个，其中国家级基（营）地20个，自治区级基（营）地255个，接待中小学生近二百万人次。这些研学旅行基地承载着广西研学旅行发展的使命和蓝图，其有序运营对于广西研学旅行行业高质量发展意义重大。在研学旅行活动常态化背景下，本规范将从基本运营条件与要求，运营管理、服务内容与要求、运营质量保障等方面展开，以规范研学旅行运营市场，助推研学旅行基地可持续发展。</w:t>
      </w:r>
    </w:p>
    <w:p>
      <w:pPr>
        <w:pStyle w:val="2"/>
        <w:rPr>
          <w:b/>
          <w:bCs/>
        </w:rPr>
      </w:pPr>
      <w:r>
        <w:rPr>
          <w:rFonts w:hint="eastAsia"/>
        </w:rPr>
        <w:t>三、标准制定的目的和意义</w:t>
      </w:r>
    </w:p>
    <w:p>
      <w:pPr>
        <w:pStyle w:val="3"/>
        <w:ind w:firstLine="643"/>
        <w:rPr>
          <w:rFonts w:ascii="楷体" w:hAnsi="楷体" w:eastAsia="楷体" w:cs="楷体"/>
          <w:sz w:val="32"/>
          <w:szCs w:val="32"/>
        </w:rPr>
      </w:pPr>
      <w:r>
        <w:rPr>
          <w:rFonts w:hint="eastAsia" w:ascii="楷体" w:hAnsi="楷体" w:eastAsia="楷体" w:cs="楷体"/>
          <w:sz w:val="32"/>
          <w:szCs w:val="32"/>
        </w:rPr>
        <w:t>（一）研学旅行基地运营亟需标准化运营规范</w:t>
      </w:r>
    </w:p>
    <w:p>
      <w:pPr>
        <w:spacing w:line="360" w:lineRule="auto"/>
        <w:ind w:firstLine="640" w:firstLineChars="200"/>
        <w:jc w:val="left"/>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研学旅行基地运营规范及标准化建设是对当前研学基地营地“跑马圈地”式扩张现象的具体应对与解决路径，其目的在于确保营地安全、提升教学质量、提高管理效率以及增强品牌形象。只有通过制定和执行规范化的运营规范，研学旅行基地才能更好地发挥其教育功能，保证其产品服务质量，为研学旅行者提供更全面、丰富的实践学习环境，进而推动研学旅行市场的健康可持续发展。</w:t>
      </w:r>
    </w:p>
    <w:p>
      <w:pPr>
        <w:pStyle w:val="3"/>
        <w:ind w:firstLine="643"/>
        <w:rPr>
          <w:rFonts w:ascii="楷体" w:hAnsi="楷体" w:eastAsia="楷体" w:cs="楷体"/>
          <w:sz w:val="32"/>
          <w:szCs w:val="32"/>
        </w:rPr>
      </w:pPr>
      <w:r>
        <w:rPr>
          <w:rFonts w:hint="eastAsia" w:ascii="楷体" w:hAnsi="楷体" w:eastAsia="楷体" w:cs="楷体"/>
          <w:sz w:val="32"/>
          <w:szCs w:val="32"/>
        </w:rPr>
        <w:t>（二）迎合广西资源优势，打造高质量研学模式</w:t>
      </w:r>
    </w:p>
    <w:p>
      <w:pPr>
        <w:pStyle w:val="13"/>
        <w:ind w:firstLine="640"/>
        <w:rPr>
          <w:rFonts w:ascii="Times New Roman" w:hAnsi="Times New Roman" w:eastAsia="仿宋_GB2312"/>
          <w:kern w:val="2"/>
          <w:sz w:val="32"/>
          <w:szCs w:val="32"/>
        </w:rPr>
      </w:pPr>
      <w:r>
        <w:rPr>
          <w:rFonts w:hint="eastAsia" w:ascii="Times New Roman" w:hAnsi="Times New Roman" w:eastAsia="仿宋_GB2312"/>
          <w:kern w:val="2"/>
          <w:sz w:val="32"/>
          <w:szCs w:val="32"/>
        </w:rPr>
        <w:t>广西有着独特的自然与文化研学旅行资源优势，如南宁市生态环境优越，有“中国绿城”的美称，自然观赏型研学资源丰富。桂林市作为世界著名山水旅游城市，山水研学资源极为丰富。另外柳州的工业研学、北海的滨海研学、百色的红色研学等各具特色和优势。以此为依托，广西近年来持续着力打造以“研学+生态旅游”“研学+文化艺术”“研学+田园体验”“研学+科技”“研学+乡村旅游”等模式运行的研学旅行基地，推出了大量个性化、定制化的研学产品与服务。基于以上背景，编制和发布《研学旅行基地运营规范》，有助于形成广西研学旅行基地标准化、高质量研学运营模式，推动研学旅行在广西的长期可持续发展。</w:t>
      </w:r>
    </w:p>
    <w:p>
      <w:pPr>
        <w:pStyle w:val="2"/>
      </w:pPr>
      <w:r>
        <w:rPr>
          <w:rFonts w:hint="eastAsia"/>
        </w:rPr>
        <w:t>四、标准制定的依据</w:t>
      </w:r>
    </w:p>
    <w:p>
      <w:pPr>
        <w:spacing w:line="360" w:lineRule="auto"/>
        <w:ind w:firstLine="648" w:firstLineChars="200"/>
        <w:rPr>
          <w:rFonts w:ascii="Times New Roman" w:hAnsi="Times New Roman" w:eastAsia="仿宋_GB2312"/>
          <w:sz w:val="32"/>
          <w:szCs w:val="32"/>
        </w:rPr>
      </w:pPr>
      <w:r>
        <w:rPr>
          <w:rFonts w:hint="eastAsia" w:ascii="仿宋_GB2312" w:hAnsi="仿宋_GB2312" w:eastAsia="仿宋_GB2312"/>
          <w:spacing w:val="2"/>
          <w:sz w:val="32"/>
        </w:rPr>
        <w:t>本标准制定以LB/T 054-2016《研学旅行服务规范》为基本依据，充分考虑研学旅行基地</w:t>
      </w:r>
      <w:r>
        <w:rPr>
          <w:rFonts w:hint="eastAsia" w:ascii="Times New Roman" w:hAnsi="Times New Roman" w:eastAsia="仿宋_GB2312" w:cs="Times New Roman"/>
          <w:sz w:val="32"/>
          <w:szCs w:val="32"/>
        </w:rPr>
        <w:t>本运营条件与要求，运营管理、服务内容与要求、运营质量保障</w:t>
      </w:r>
      <w:r>
        <w:rPr>
          <w:rFonts w:hint="eastAsia" w:ascii="仿宋_GB2312" w:hAnsi="仿宋_GB2312" w:eastAsia="仿宋_GB2312"/>
          <w:spacing w:val="2"/>
          <w:sz w:val="32"/>
        </w:rPr>
        <w:t>，以研学旅行基地运营建设为基础，以研学旅行高质量发展为主题，持续规范研学旅行市场，积极培育多元基地主体，推动产业结构优化，助力广西当地经济发展。</w:t>
      </w:r>
    </w:p>
    <w:p>
      <w:pPr>
        <w:pStyle w:val="2"/>
        <w:rPr>
          <w:b/>
          <w:bCs/>
        </w:rPr>
      </w:pPr>
      <w:r>
        <w:rPr>
          <w:rFonts w:hint="eastAsia"/>
        </w:rPr>
        <w:t>五、主要起草过程</w:t>
      </w:r>
    </w:p>
    <w:p>
      <w:pPr>
        <w:spacing w:line="560" w:lineRule="exact"/>
        <w:ind w:firstLine="643" w:firstLineChars="200"/>
        <w:rPr>
          <w:rFonts w:ascii="楷体" w:hAnsi="楷体" w:eastAsia="楷体"/>
          <w:b/>
          <w:sz w:val="32"/>
          <w:szCs w:val="32"/>
          <w:lang w:val="zh-CN"/>
        </w:rPr>
      </w:pPr>
      <w:r>
        <w:rPr>
          <w:rFonts w:hint="eastAsia" w:ascii="楷体" w:hAnsi="楷体" w:eastAsia="楷体"/>
          <w:b/>
          <w:sz w:val="32"/>
          <w:szCs w:val="32"/>
          <w:lang w:val="zh-CN"/>
        </w:rPr>
        <w:t>（一）成立标准编制工作组</w:t>
      </w:r>
    </w:p>
    <w:p>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团体标准《</w:t>
      </w:r>
      <w:r>
        <w:rPr>
          <w:rFonts w:hint="eastAsia" w:ascii="Times New Roman" w:hAnsi="Times New Roman" w:eastAsia="仿宋_GB2312" w:cs="Times New Roman"/>
          <w:sz w:val="32"/>
          <w:szCs w:val="32"/>
        </w:rPr>
        <w:t>研学旅行基地运营规范</w:t>
      </w:r>
      <w:r>
        <w:rPr>
          <w:rFonts w:hint="eastAsia" w:ascii="仿宋_GB2312" w:hAnsi="宋体" w:eastAsia="仿宋_GB2312"/>
          <w:sz w:val="32"/>
          <w:szCs w:val="28"/>
          <w:lang w:val="zh-CN"/>
        </w:rPr>
        <w:t>》项目任务下达后，桂林旅游学院、广西旅游协会成立了标准编制工作组，制定了标准编写方案，明确任务职责，确定工作技术路线，开展标准研制工作，具体标准编制工作由</w:t>
      </w:r>
      <w:r>
        <w:rPr>
          <w:rFonts w:hint="eastAsia" w:ascii="Times New Roman" w:hAnsi="Times New Roman" w:eastAsia="仿宋_GB2312" w:cs="Times New Roman"/>
          <w:sz w:val="32"/>
          <w:szCs w:val="32"/>
        </w:rPr>
        <w:t>桂林旅游学院研学旅行教育研究中心、广西研学旅行产业研究中心、桂林旅游学院继续教育学院、广西师范大学体育与健康学院、广西旅游协会</w:t>
      </w:r>
      <w:r>
        <w:rPr>
          <w:rFonts w:hint="eastAsia" w:ascii="仿宋_GB2312" w:hAnsi="宋体" w:eastAsia="仿宋_GB2312"/>
          <w:sz w:val="32"/>
          <w:szCs w:val="28"/>
          <w:lang w:val="zh-CN"/>
        </w:rPr>
        <w:t>相关人员配合。编制工作组下设三个小组，分别是资料收集组、草案编写组、标准实施组。</w:t>
      </w:r>
    </w:p>
    <w:p>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资料收集组：负责国内关于研学旅行基地运营及相关服务规范文献资料的查询、收集和整理工作，根据多年的培训工作和实践经验，反复进行研究。查阅现存关于研学旅行基地运营规范的研究以及国内相关标准的制定。</w:t>
      </w:r>
    </w:p>
    <w:p>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草案编写组：负责标准立项、征求意见、审定、报批等阶段的标准文本及编制说明的起草工作，包括标准制定过程各阶段标准文本及相关材料的修改和完善。</w:t>
      </w:r>
    </w:p>
    <w:p>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标准实施组：负责团体标准《</w:t>
      </w:r>
      <w:r>
        <w:rPr>
          <w:rFonts w:hint="eastAsia" w:ascii="Times New Roman" w:hAnsi="Times New Roman" w:eastAsia="仿宋_GB2312" w:cs="Times New Roman"/>
          <w:sz w:val="32"/>
          <w:szCs w:val="32"/>
        </w:rPr>
        <w:t>研学旅行基地运营规范</w:t>
      </w:r>
      <w:r>
        <w:rPr>
          <w:rFonts w:hint="eastAsia" w:ascii="仿宋_GB2312" w:hAnsi="宋体" w:eastAsia="仿宋_GB2312"/>
          <w:sz w:val="32"/>
          <w:szCs w:val="28"/>
          <w:lang w:val="zh-CN"/>
        </w:rPr>
        <w:t>》标准发布后，组织、</w:t>
      </w:r>
      <w:r>
        <w:rPr>
          <w:rFonts w:hint="eastAsia" w:ascii="仿宋_GB2312" w:hAnsi="宋体" w:eastAsia="仿宋_GB2312"/>
          <w:sz w:val="32"/>
          <w:szCs w:val="28"/>
        </w:rPr>
        <w:t>研学机构、培训机构、高校、中小学校、研学实践教育基（营）地及</w:t>
      </w:r>
      <w:r>
        <w:rPr>
          <w:rFonts w:hint="eastAsia" w:ascii="仿宋_GB2312" w:hAnsi="宋体" w:eastAsia="仿宋_GB2312"/>
          <w:sz w:val="32"/>
          <w:szCs w:val="28"/>
          <w:lang w:val="zh-CN"/>
        </w:rPr>
        <w:t>相关部门等，开展标准宣贯培训会，对标准进行研讨和详细解读，使相关人员了解标准，熟悉标准，并能熟练运用标准；为确保标准的实施效果和综合运用率，对标准实施情况进行总结分析，对标准提出持续改进意见。</w:t>
      </w:r>
    </w:p>
    <w:p>
      <w:pPr>
        <w:spacing w:line="560" w:lineRule="exact"/>
        <w:ind w:firstLine="643" w:firstLineChars="200"/>
        <w:rPr>
          <w:rFonts w:ascii="楷体" w:hAnsi="楷体" w:eastAsia="楷体"/>
          <w:b/>
          <w:sz w:val="32"/>
          <w:szCs w:val="32"/>
          <w:lang w:val="zh-CN"/>
        </w:rPr>
      </w:pPr>
      <w:r>
        <w:rPr>
          <w:rFonts w:hint="eastAsia" w:ascii="楷体" w:hAnsi="楷体" w:eastAsia="楷体"/>
          <w:b/>
          <w:sz w:val="32"/>
          <w:szCs w:val="32"/>
          <w:lang w:val="zh-CN"/>
        </w:rPr>
        <w:t>（二）收集整理文献资料</w:t>
      </w:r>
    </w:p>
    <w:p>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标准编制工作组收集了</w:t>
      </w:r>
      <w:r>
        <w:rPr>
          <w:rFonts w:hint="eastAsia" w:ascii="仿宋_GB2312" w:hAnsi="宋体" w:eastAsia="仿宋_GB2312"/>
          <w:sz w:val="32"/>
          <w:szCs w:val="28"/>
        </w:rPr>
        <w:t>研学旅行及旅游业方面</w:t>
      </w:r>
      <w:r>
        <w:rPr>
          <w:rFonts w:hint="eastAsia" w:ascii="仿宋_GB2312" w:hAnsi="宋体" w:eastAsia="仿宋_GB2312"/>
          <w:sz w:val="32"/>
          <w:szCs w:val="28"/>
          <w:lang w:val="zh-CN"/>
        </w:rPr>
        <w:t>相关文献资料。具体列出如下：</w:t>
      </w:r>
    </w:p>
    <w:p>
      <w:pPr>
        <w:spacing w:line="560" w:lineRule="exact"/>
        <w:ind w:firstLine="640" w:firstLineChars="200"/>
        <w:rPr>
          <w:rFonts w:ascii="Times New Roman" w:hAnsi="Times New Roman" w:eastAsia="仿宋_GB2312" w:cs="Times New Roman"/>
          <w:sz w:val="32"/>
          <w:szCs w:val="32"/>
        </w:rPr>
      </w:pPr>
      <w:r>
        <w:rPr>
          <w:rFonts w:hint="eastAsia" w:ascii="仿宋_GB2312" w:hAnsi="宋体" w:eastAsia="仿宋_GB2312"/>
          <w:sz w:val="32"/>
          <w:szCs w:val="28"/>
          <w:lang w:val="zh-CN"/>
        </w:rPr>
        <w:t>1</w:t>
      </w:r>
      <w:r>
        <w:rPr>
          <w:rFonts w:ascii="仿宋_GB2312" w:hAnsi="宋体" w:eastAsia="仿宋_GB2312"/>
          <w:sz w:val="32"/>
          <w:szCs w:val="28"/>
          <w:lang w:val="zh-CN"/>
        </w:rPr>
        <w:t>.</w:t>
      </w:r>
      <w:r>
        <w:rPr>
          <w:rFonts w:hint="eastAsia" w:ascii="仿宋_GB2312" w:hAnsi="宋体" w:eastAsia="仿宋_GB2312"/>
          <w:sz w:val="32"/>
          <w:szCs w:val="28"/>
          <w:lang w:val="zh-CN"/>
        </w:rPr>
        <w:t>标准类：</w:t>
      </w:r>
      <w:bookmarkStart w:id="0" w:name="_Hlk148365174"/>
      <w:r>
        <w:rPr>
          <w:rFonts w:ascii="Times New Roman" w:hAnsi="Times New Roman" w:eastAsia="仿宋_GB2312" w:cs="Times New Roman"/>
          <w:sz w:val="32"/>
          <w:szCs w:val="32"/>
        </w:rPr>
        <w:t>GB/T 31710.3-2015 休闲露营地建设与服务规范</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GB/T 18973-2016 旅游厕所质量等级划分与评定</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GB/T 15971-2010 导游服务规范</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GB 3095-2012 环境空气质量标准</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GB 3096-2008 声环境质量标准</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GB 8978 污水综合排放标准</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LB/T 054-2016 研学旅行服务规范</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LB/T 025-2013 风景旅游道路及其游憩服务设施要求</w:t>
      </w:r>
      <w:bookmarkEnd w:id="0"/>
      <w:r>
        <w:rPr>
          <w:rFonts w:hint="eastAsia" w:ascii="Times New Roman" w:hAnsi="Times New Roman" w:eastAsia="仿宋_GB2312" w:cs="Times New Roman"/>
          <w:sz w:val="32"/>
          <w:szCs w:val="32"/>
        </w:rPr>
        <w:t>。</w:t>
      </w:r>
    </w:p>
    <w:p>
      <w:pPr>
        <w:spacing w:line="360" w:lineRule="auto"/>
        <w:ind w:firstLine="640" w:firstLineChars="200"/>
        <w:rPr>
          <w:rFonts w:ascii="Times New Roman" w:hAnsi="Times New Roman" w:eastAsia="仿宋_GB2312" w:cs="Times New Roman"/>
          <w:sz w:val="32"/>
          <w:szCs w:val="32"/>
        </w:rPr>
      </w:pPr>
      <w:r>
        <w:rPr>
          <w:rFonts w:ascii="仿宋_GB2312" w:hAnsi="宋体" w:eastAsia="仿宋_GB2312"/>
          <w:sz w:val="32"/>
          <w:szCs w:val="28"/>
          <w:lang w:val="zh-CN"/>
        </w:rPr>
        <w:t>2.</w:t>
      </w:r>
      <w:r>
        <w:rPr>
          <w:rFonts w:hint="eastAsia" w:ascii="仿宋_GB2312" w:hAnsi="宋体" w:eastAsia="仿宋_GB2312"/>
          <w:sz w:val="32"/>
          <w:szCs w:val="28"/>
          <w:lang w:val="zh-CN"/>
        </w:rPr>
        <w:t>科技文献类</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课程.教材.教法</w:t>
      </w:r>
      <w:r>
        <w:rPr>
          <w:rFonts w:hint="eastAsia" w:ascii="Times New Roman" w:hAnsi="Times New Roman" w:eastAsia="仿宋_GB2312" w:cs="Times New Roman"/>
          <w:sz w:val="32"/>
          <w:szCs w:val="32"/>
        </w:rPr>
        <w:t>》期刊发表的《</w:t>
      </w:r>
      <w:r>
        <w:rPr>
          <w:rFonts w:ascii="Times New Roman" w:hAnsi="Times New Roman" w:eastAsia="仿宋_GB2312" w:cs="Times New Roman"/>
          <w:sz w:val="32"/>
          <w:szCs w:val="32"/>
        </w:rPr>
        <w:t>研学旅行的内涵、类型与实施策略</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资源开发与市场</w:t>
      </w:r>
      <w:r>
        <w:rPr>
          <w:rFonts w:hint="eastAsia" w:ascii="Times New Roman" w:hAnsi="Times New Roman" w:eastAsia="仿宋_GB2312" w:cs="Times New Roman"/>
          <w:sz w:val="32"/>
          <w:szCs w:val="32"/>
        </w:rPr>
        <w:t>》期刊发表的《</w:t>
      </w:r>
      <w:r>
        <w:rPr>
          <w:rFonts w:ascii="Times New Roman" w:hAnsi="Times New Roman" w:eastAsia="仿宋_GB2312" w:cs="Times New Roman"/>
          <w:sz w:val="32"/>
          <w:szCs w:val="32"/>
        </w:rPr>
        <w:t>新时代研学旅行的运营模式与优化发展路径——以云南省为例</w:t>
      </w:r>
      <w:r>
        <w:rPr>
          <w:rFonts w:hint="eastAsia" w:ascii="Times New Roman" w:hAnsi="Times New Roman" w:eastAsia="仿宋_GB2312" w:cs="Times New Roman"/>
          <w:sz w:val="32"/>
          <w:szCs w:val="32"/>
        </w:rPr>
        <w:t>》、《武汉商学院学报》发表的《</w:t>
      </w:r>
      <w:r>
        <w:rPr>
          <w:rFonts w:ascii="Times New Roman" w:hAnsi="Times New Roman" w:eastAsia="仿宋_GB2312" w:cs="Times New Roman"/>
          <w:sz w:val="32"/>
          <w:szCs w:val="32"/>
        </w:rPr>
        <w:t>我国研学旅行基地营地的内涵与建设要素探讨</w:t>
      </w:r>
      <w:r>
        <w:rPr>
          <w:rFonts w:hint="eastAsia" w:ascii="Times New Roman" w:hAnsi="Times New Roman" w:eastAsia="仿宋_GB2312" w:cs="Times New Roman"/>
          <w:sz w:val="32"/>
          <w:szCs w:val="32"/>
        </w:rPr>
        <w:t>》等文献。</w:t>
      </w:r>
    </w:p>
    <w:p>
      <w:pPr>
        <w:spacing w:line="560" w:lineRule="exact"/>
        <w:ind w:firstLine="643" w:firstLineChars="200"/>
        <w:rPr>
          <w:rFonts w:ascii="楷体" w:hAnsi="楷体" w:eastAsia="楷体"/>
          <w:b/>
          <w:sz w:val="32"/>
          <w:szCs w:val="32"/>
          <w:lang w:val="zh-CN"/>
        </w:rPr>
      </w:pPr>
      <w:r>
        <w:rPr>
          <w:rFonts w:hint="eastAsia" w:ascii="楷体" w:hAnsi="楷体" w:eastAsia="楷体"/>
          <w:b/>
          <w:sz w:val="32"/>
          <w:szCs w:val="32"/>
          <w:lang w:val="zh-CN"/>
        </w:rPr>
        <w:t>（三）研讨确定标准主体内容</w:t>
      </w:r>
    </w:p>
    <w:p>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标准编制工作组在对收集的资料进行整理研究后，标准编制工作组召开了标准编制会议，对标准的整体框架进行了研究，并对标准的关键性问题进行了初步探讨。经过研究，本文件界定了</w:t>
      </w:r>
      <w:r>
        <w:rPr>
          <w:rFonts w:hint="eastAsia" w:ascii="Times New Roman" w:hAnsi="Times New Roman" w:eastAsia="仿宋_GB2312" w:cs="Times New Roman"/>
          <w:sz w:val="32"/>
          <w:szCs w:val="32"/>
        </w:rPr>
        <w:t>研学旅行基地运营</w:t>
      </w:r>
      <w:r>
        <w:rPr>
          <w:rFonts w:hint="eastAsia" w:ascii="仿宋_GB2312" w:hAnsi="宋体" w:eastAsia="仿宋_GB2312"/>
          <w:sz w:val="32"/>
          <w:szCs w:val="28"/>
          <w:lang w:val="zh-CN"/>
        </w:rPr>
        <w:t>涉及的术语和定义，规定了</w:t>
      </w:r>
      <w:r>
        <w:rPr>
          <w:rFonts w:hint="eastAsia" w:ascii="Times New Roman" w:hAnsi="Times New Roman" w:eastAsia="仿宋_GB2312" w:cs="Times New Roman"/>
          <w:sz w:val="32"/>
          <w:szCs w:val="32"/>
        </w:rPr>
        <w:t>研学旅行基地运营</w:t>
      </w:r>
      <w:r>
        <w:rPr>
          <w:rFonts w:hint="eastAsia" w:ascii="仿宋_GB2312" w:hAnsi="宋体" w:eastAsia="仿宋_GB2312"/>
          <w:sz w:val="32"/>
          <w:szCs w:val="28"/>
          <w:lang w:val="zh-CN"/>
        </w:rPr>
        <w:t>服务的基本要求、基本要求、教学内容、培训工作流程、教学管理、服务保障、服务评估与改进的要求。本文件适用于广西行政区域内</w:t>
      </w:r>
      <w:r>
        <w:rPr>
          <w:rFonts w:hint="eastAsia" w:ascii="Times New Roman" w:hAnsi="Times New Roman" w:eastAsia="仿宋_GB2312" w:cs="Times New Roman"/>
          <w:sz w:val="32"/>
          <w:szCs w:val="32"/>
        </w:rPr>
        <w:t>研学旅行基地运营</w:t>
      </w:r>
      <w:r>
        <w:rPr>
          <w:rFonts w:hint="eastAsia" w:ascii="仿宋_GB2312" w:hAnsi="宋体" w:eastAsia="仿宋_GB2312"/>
          <w:sz w:val="32"/>
          <w:szCs w:val="28"/>
          <w:lang w:val="zh-CN"/>
        </w:rPr>
        <w:t>服务。</w:t>
      </w:r>
    </w:p>
    <w:p>
      <w:pPr>
        <w:spacing w:line="560" w:lineRule="exact"/>
        <w:ind w:firstLine="643" w:firstLineChars="200"/>
        <w:rPr>
          <w:rFonts w:ascii="楷体" w:hAnsi="楷体" w:eastAsia="楷体"/>
          <w:b/>
          <w:sz w:val="32"/>
          <w:szCs w:val="32"/>
          <w:lang w:val="zh-CN"/>
        </w:rPr>
      </w:pPr>
      <w:r>
        <w:rPr>
          <w:rFonts w:hint="eastAsia" w:ascii="楷体" w:hAnsi="楷体" w:eastAsia="楷体"/>
          <w:b/>
          <w:sz w:val="32"/>
          <w:szCs w:val="32"/>
          <w:lang w:val="zh-CN"/>
        </w:rPr>
        <w:t>（四）调研</w:t>
      </w:r>
      <w:r>
        <w:rPr>
          <w:rFonts w:ascii="楷体" w:hAnsi="楷体" w:eastAsia="楷体"/>
          <w:b/>
          <w:sz w:val="32"/>
          <w:szCs w:val="32"/>
          <w:lang w:val="zh-CN"/>
        </w:rPr>
        <w:t>、</w:t>
      </w:r>
      <w:r>
        <w:rPr>
          <w:rFonts w:hint="eastAsia" w:ascii="楷体" w:hAnsi="楷体" w:eastAsia="楷体"/>
          <w:b/>
          <w:sz w:val="32"/>
          <w:szCs w:val="32"/>
          <w:lang w:val="zh-CN"/>
        </w:rPr>
        <w:t>形成文本草案、征求意见稿</w:t>
      </w:r>
    </w:p>
    <w:p>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color w:val="FF0000"/>
          <w:sz w:val="32"/>
          <w:szCs w:val="28"/>
          <w:lang w:val="zh-CN"/>
        </w:rPr>
        <w:t>近期经在区内进行了广泛的实地调研工作，曾对南宁万达茂文化产业有限公司、广西南宁大王滩经济开发中心、美丽南方青瓦房古村落、桂平市金田起义博物馆、黄姚乐耘庄园基地、广西五彩田园研学实践与劳动教育营地、广西铜石岭国际旅游度假区中小学生研学实践教育基地、北海市海洋之窗生物科技展览有限公司、柳州市龙潭公园等进行了深入调研，取得了研学旅行基地运营相关信息，对本标准的编制提供研究基础。</w:t>
      </w:r>
    </w:p>
    <w:p>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202</w:t>
      </w:r>
      <w:r>
        <w:rPr>
          <w:rFonts w:ascii="仿宋_GB2312" w:hAnsi="宋体" w:eastAsia="仿宋_GB2312"/>
          <w:sz w:val="32"/>
          <w:szCs w:val="28"/>
          <w:lang w:val="zh-CN"/>
        </w:rPr>
        <w:t>3</w:t>
      </w:r>
      <w:r>
        <w:rPr>
          <w:rFonts w:hint="eastAsia" w:ascii="仿宋_GB2312" w:hAnsi="宋体" w:eastAsia="仿宋_GB2312"/>
          <w:sz w:val="32"/>
          <w:szCs w:val="28"/>
          <w:lang w:val="zh-CN"/>
        </w:rPr>
        <w:t>年</w:t>
      </w:r>
      <w:r>
        <w:rPr>
          <w:rFonts w:hint="eastAsia" w:ascii="仿宋_GB2312" w:hAnsi="宋体" w:eastAsia="仿宋_GB2312"/>
          <w:sz w:val="32"/>
          <w:szCs w:val="28"/>
        </w:rPr>
        <w:t>6</w:t>
      </w:r>
      <w:r>
        <w:rPr>
          <w:rFonts w:hint="eastAsia" w:ascii="仿宋_GB2312" w:hAnsi="宋体" w:eastAsia="仿宋_GB2312"/>
          <w:sz w:val="32"/>
          <w:szCs w:val="28"/>
          <w:lang w:val="zh-CN"/>
        </w:rPr>
        <w:t>月～202</w:t>
      </w:r>
      <w:r>
        <w:rPr>
          <w:rFonts w:ascii="仿宋_GB2312" w:hAnsi="宋体" w:eastAsia="仿宋_GB2312"/>
          <w:sz w:val="32"/>
          <w:szCs w:val="28"/>
          <w:lang w:val="zh-CN"/>
        </w:rPr>
        <w:t>3</w:t>
      </w:r>
      <w:r>
        <w:rPr>
          <w:rFonts w:hint="eastAsia" w:ascii="仿宋_GB2312" w:hAnsi="宋体" w:eastAsia="仿宋_GB2312"/>
          <w:sz w:val="32"/>
          <w:szCs w:val="28"/>
          <w:lang w:val="zh-CN"/>
        </w:rPr>
        <w:t>年</w:t>
      </w:r>
      <w:r>
        <w:rPr>
          <w:rFonts w:hint="eastAsia" w:ascii="仿宋_GB2312" w:hAnsi="宋体" w:eastAsia="仿宋_GB2312"/>
          <w:sz w:val="32"/>
          <w:szCs w:val="28"/>
        </w:rPr>
        <w:t>7</w:t>
      </w:r>
      <w:r>
        <w:rPr>
          <w:rFonts w:hint="eastAsia" w:ascii="仿宋_GB2312" w:hAnsi="宋体" w:eastAsia="仿宋_GB2312"/>
          <w:sz w:val="32"/>
          <w:szCs w:val="28"/>
          <w:lang w:val="zh-CN"/>
        </w:rPr>
        <w:t>月，标准起草工作小组进行了广泛实地调研工作，曾与桂林市君武小学、桂林柚子皮教育咨询有限公司、桂林有方教育科技有限公司等</w:t>
      </w:r>
      <w:r>
        <w:rPr>
          <w:rFonts w:hint="eastAsia" w:ascii="仿宋_GB2312" w:hAnsi="宋体" w:eastAsia="仿宋_GB2312"/>
          <w:color w:val="000000" w:themeColor="text1"/>
          <w:sz w:val="32"/>
          <w:szCs w:val="28"/>
          <w:lang w:val="zh-CN"/>
          <w14:textFill>
            <w14:solidFill>
              <w14:schemeClr w14:val="tx1"/>
            </w14:solidFill>
          </w14:textFill>
        </w:rPr>
        <w:t>进行交流与探讨</w:t>
      </w:r>
      <w:r>
        <w:rPr>
          <w:rFonts w:hint="eastAsia" w:ascii="仿宋_GB2312" w:hAnsi="宋体" w:eastAsia="仿宋_GB2312"/>
          <w:sz w:val="32"/>
          <w:szCs w:val="28"/>
          <w:lang w:val="zh-CN"/>
        </w:rPr>
        <w:t>，并查阅了大量的国内外文献资料，</w:t>
      </w:r>
      <w:r>
        <w:rPr>
          <w:rFonts w:hint="eastAsia" w:ascii="仿宋_GB2312" w:hAnsi="宋体" w:eastAsia="仿宋_GB2312" w:cs="Times New Roman"/>
          <w:sz w:val="32"/>
          <w:szCs w:val="28"/>
          <w:lang w:val="zh-CN"/>
        </w:rPr>
        <w:t>对近年开展的研学旅行从业人员培训服务进行系统总结。经编制组反复讨论，形成了标</w:t>
      </w:r>
      <w:r>
        <w:rPr>
          <w:rFonts w:hint="eastAsia" w:ascii="仿宋_GB2312" w:hAnsi="宋体" w:eastAsia="仿宋_GB2312"/>
          <w:sz w:val="32"/>
          <w:szCs w:val="28"/>
          <w:lang w:val="zh-CN"/>
        </w:rPr>
        <w:t>准的基本构架，对主要内容进行了讨论并对项目的工作进行了部署和安排。在前期工作的基础之上，通过理清逻辑脉络，整合已有的参考资料中有</w:t>
      </w:r>
      <w:r>
        <w:rPr>
          <w:rFonts w:hint="eastAsia" w:ascii="仿宋_GB2312" w:hAnsi="宋体" w:eastAsia="仿宋_GB2312" w:cs="Times New Roman"/>
          <w:sz w:val="32"/>
          <w:szCs w:val="28"/>
          <w:lang w:val="zh-CN"/>
        </w:rPr>
        <w:t>关</w:t>
      </w:r>
      <w:r>
        <w:rPr>
          <w:rFonts w:hint="eastAsia" w:ascii="Times New Roman" w:hAnsi="Times New Roman" w:eastAsia="仿宋_GB2312" w:cs="Times New Roman"/>
          <w:sz w:val="32"/>
          <w:szCs w:val="32"/>
        </w:rPr>
        <w:t>研学旅行基地运营规范</w:t>
      </w:r>
      <w:r>
        <w:rPr>
          <w:rFonts w:hint="eastAsia" w:ascii="仿宋_GB2312" w:hAnsi="宋体" w:eastAsia="仿宋_GB2312" w:cs="Times New Roman"/>
          <w:sz w:val="32"/>
          <w:szCs w:val="28"/>
          <w:lang w:val="zh-CN"/>
        </w:rPr>
        <w:t>服务的内容，并结合研学旅行基基地运营实际要求及前期研究的基础上，按照简化、统一等原则编制完成团体标准《</w:t>
      </w:r>
      <w:r>
        <w:rPr>
          <w:rFonts w:hint="eastAsia" w:ascii="Times New Roman" w:hAnsi="Times New Roman" w:eastAsia="仿宋_GB2312" w:cs="Times New Roman"/>
          <w:sz w:val="32"/>
          <w:szCs w:val="32"/>
        </w:rPr>
        <w:t>研学旅行基地运营规范</w:t>
      </w:r>
      <w:r>
        <w:rPr>
          <w:rFonts w:hint="eastAsia" w:ascii="仿宋_GB2312" w:hAnsi="宋体" w:eastAsia="仿宋_GB2312" w:cs="Times New Roman"/>
          <w:sz w:val="32"/>
          <w:szCs w:val="28"/>
          <w:lang w:val="zh-CN"/>
        </w:rPr>
        <w:t>》（草案）。</w:t>
      </w:r>
    </w:p>
    <w:p>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202</w:t>
      </w:r>
      <w:r>
        <w:rPr>
          <w:rFonts w:ascii="仿宋_GB2312" w:hAnsi="宋体" w:eastAsia="仿宋_GB2312"/>
          <w:sz w:val="32"/>
          <w:szCs w:val="28"/>
          <w:lang w:val="zh-CN"/>
        </w:rPr>
        <w:t>3</w:t>
      </w:r>
      <w:r>
        <w:rPr>
          <w:rFonts w:hint="eastAsia" w:ascii="仿宋_GB2312" w:hAnsi="宋体" w:eastAsia="仿宋_GB2312"/>
          <w:sz w:val="32"/>
          <w:szCs w:val="28"/>
          <w:lang w:val="zh-CN"/>
        </w:rPr>
        <w:t>年</w:t>
      </w:r>
      <w:r>
        <w:rPr>
          <w:rFonts w:hint="eastAsia" w:ascii="仿宋_GB2312" w:hAnsi="宋体" w:eastAsia="仿宋_GB2312"/>
          <w:sz w:val="32"/>
          <w:szCs w:val="28"/>
        </w:rPr>
        <w:t>6</w:t>
      </w:r>
      <w:r>
        <w:rPr>
          <w:rFonts w:hint="eastAsia" w:ascii="仿宋_GB2312" w:hAnsi="宋体" w:eastAsia="仿宋_GB2312"/>
          <w:sz w:val="32"/>
          <w:szCs w:val="28"/>
          <w:lang w:val="zh-CN"/>
        </w:rPr>
        <w:t>月～202</w:t>
      </w:r>
      <w:r>
        <w:rPr>
          <w:rFonts w:ascii="仿宋_GB2312" w:hAnsi="宋体" w:eastAsia="仿宋_GB2312"/>
          <w:sz w:val="32"/>
          <w:szCs w:val="28"/>
          <w:lang w:val="zh-CN"/>
        </w:rPr>
        <w:t>3</w:t>
      </w:r>
      <w:r>
        <w:rPr>
          <w:rFonts w:hint="eastAsia" w:ascii="仿宋_GB2312" w:hAnsi="宋体" w:eastAsia="仿宋_GB2312"/>
          <w:sz w:val="32"/>
          <w:szCs w:val="28"/>
          <w:lang w:val="zh-CN"/>
        </w:rPr>
        <w:t>年</w:t>
      </w:r>
      <w:r>
        <w:rPr>
          <w:rFonts w:hint="eastAsia" w:ascii="仿宋_GB2312" w:hAnsi="宋体" w:eastAsia="仿宋_GB2312"/>
          <w:sz w:val="32"/>
          <w:szCs w:val="28"/>
        </w:rPr>
        <w:t>8</w:t>
      </w:r>
      <w:r>
        <w:rPr>
          <w:rFonts w:hint="eastAsia" w:ascii="仿宋_GB2312" w:hAnsi="宋体" w:eastAsia="仿宋_GB2312"/>
          <w:sz w:val="32"/>
          <w:szCs w:val="28"/>
          <w:lang w:val="zh-CN"/>
        </w:rPr>
        <w:t>月，</w:t>
      </w:r>
      <w:r>
        <w:rPr>
          <w:rFonts w:hint="eastAsia" w:ascii="仿宋_GB2312" w:hAnsi="宋体" w:eastAsia="仿宋_GB2312"/>
          <w:color w:val="000000" w:themeColor="text1"/>
          <w:sz w:val="32"/>
          <w:szCs w:val="28"/>
          <w:lang w:val="zh-CN"/>
          <w14:textFill>
            <w14:solidFill>
              <w14:schemeClr w14:val="tx1"/>
            </w14:solidFill>
          </w14:textFill>
        </w:rPr>
        <w:t>编制组深入</w:t>
      </w:r>
      <w:r>
        <w:rPr>
          <w:rFonts w:hint="eastAsia" w:ascii="仿宋_GB2312" w:hAnsi="宋体" w:eastAsia="仿宋_GB2312"/>
          <w:color w:val="000000" w:themeColor="text1"/>
          <w:sz w:val="32"/>
          <w:szCs w:val="28"/>
          <w14:textFill>
            <w14:solidFill>
              <w14:schemeClr w14:val="tx1"/>
            </w14:solidFill>
          </w14:textFill>
        </w:rPr>
        <w:t>桂林市七星区文化体育和旅游局、广西师范大学、桂林市中小学生示范性综合实践教育中心</w:t>
      </w:r>
      <w:r>
        <w:rPr>
          <w:rFonts w:hint="eastAsia" w:ascii="仿宋_GB2312" w:hAnsi="宋体" w:eastAsia="仿宋_GB2312"/>
          <w:color w:val="000000" w:themeColor="text1"/>
          <w:sz w:val="32"/>
          <w:szCs w:val="28"/>
          <w:lang w:val="zh-CN"/>
          <w14:textFill>
            <w14:solidFill>
              <w14:schemeClr w14:val="tx1"/>
            </w14:solidFill>
          </w14:textFill>
        </w:rPr>
        <w:t>进行调研，并向</w:t>
      </w:r>
      <w:r>
        <w:rPr>
          <w:rFonts w:hint="eastAsia" w:ascii="仿宋_GB2312" w:hAnsi="宋体" w:eastAsia="仿宋_GB2312"/>
          <w:color w:val="000000" w:themeColor="text1"/>
          <w:sz w:val="32"/>
          <w:szCs w:val="28"/>
          <w14:textFill>
            <w14:solidFill>
              <w14:schemeClr w14:val="tx1"/>
            </w14:solidFill>
          </w14:textFill>
        </w:rPr>
        <w:t>开展相关培训业务</w:t>
      </w:r>
      <w:r>
        <w:rPr>
          <w:rFonts w:hint="eastAsia" w:ascii="仿宋_GB2312" w:hAnsi="宋体" w:eastAsia="仿宋_GB2312"/>
          <w:color w:val="000000" w:themeColor="text1"/>
          <w:sz w:val="32"/>
          <w:szCs w:val="28"/>
          <w:lang w:val="zh-CN"/>
          <w14:textFill>
            <w14:solidFill>
              <w14:schemeClr w14:val="tx1"/>
            </w14:solidFill>
          </w14:textFill>
        </w:rPr>
        <w:t>的</w:t>
      </w:r>
      <w:r>
        <w:rPr>
          <w:rFonts w:hint="eastAsia" w:ascii="仿宋_GB2312" w:hAnsi="宋体" w:eastAsia="仿宋_GB2312"/>
          <w:color w:val="000000" w:themeColor="text1"/>
          <w:sz w:val="32"/>
          <w:szCs w:val="28"/>
          <w14:textFill>
            <w14:solidFill>
              <w14:schemeClr w14:val="tx1"/>
            </w14:solidFill>
          </w14:textFill>
        </w:rPr>
        <w:t>机构，深入桂林理工大学附属小学、桂林市靖江王陵文物管理处研学实践教育基地、桂海清岚研学实践教育基地、桂林市观赏石协会地质科普研学实践教育基地、广西桂林会仙喀斯特国家湿地公园研学实践教育基地、东漓古村研学实践教育基地、桂林市独秀峰王城研学实践教育基地、桂林大碧头中小学生研学实践教育营地等</w:t>
      </w:r>
      <w:r>
        <w:rPr>
          <w:rFonts w:hint="eastAsia" w:ascii="仿宋_GB2312" w:hAnsi="宋体" w:eastAsia="仿宋_GB2312"/>
          <w:color w:val="000000" w:themeColor="text1"/>
          <w:sz w:val="32"/>
          <w:szCs w:val="28"/>
          <w:lang w:val="zh-CN"/>
          <w14:textFill>
            <w14:solidFill>
              <w14:schemeClr w14:val="tx1"/>
            </w14:solidFill>
          </w14:textFill>
        </w:rPr>
        <w:t>与研学旅行从业人员进行交流及征求意见。根据反馈意见及试验成果，标准编制工作组多次召开会议，对标准草案进行反复修改和研究讨论，形成团体标准《</w:t>
      </w:r>
      <w:r>
        <w:rPr>
          <w:rFonts w:hint="eastAsia" w:ascii="Times New Roman" w:hAnsi="Times New Roman" w:eastAsia="仿宋_GB2312" w:cs="Times New Roman"/>
          <w:sz w:val="32"/>
          <w:szCs w:val="32"/>
        </w:rPr>
        <w:t>研学旅行基地运营规范</w:t>
      </w:r>
      <w:r>
        <w:rPr>
          <w:rFonts w:hint="eastAsia" w:ascii="仿宋_GB2312" w:hAnsi="宋体" w:eastAsia="仿宋_GB2312"/>
          <w:color w:val="000000" w:themeColor="text1"/>
          <w:sz w:val="32"/>
          <w:szCs w:val="28"/>
          <w:lang w:val="zh-CN"/>
          <w14:textFill>
            <w14:solidFill>
              <w14:schemeClr w14:val="tx1"/>
            </w14:solidFill>
          </w14:textFill>
        </w:rPr>
        <w:t>》（征求意见</w:t>
      </w:r>
      <w:r>
        <w:rPr>
          <w:rFonts w:hint="eastAsia" w:ascii="仿宋_GB2312" w:hAnsi="宋体" w:eastAsia="仿宋_GB2312"/>
          <w:sz w:val="32"/>
          <w:szCs w:val="28"/>
          <w:lang w:val="zh-CN"/>
        </w:rPr>
        <w:t>稿）和（征求意见稿）编制说明。</w:t>
      </w:r>
    </w:p>
    <w:p>
      <w:pPr>
        <w:pStyle w:val="2"/>
      </w:pPr>
      <w:r>
        <w:rPr>
          <w:rFonts w:hint="eastAsia"/>
        </w:rPr>
        <w:t>五、制定标准的原则和依据</w:t>
      </w:r>
    </w:p>
    <w:p>
      <w:pPr>
        <w:pStyle w:val="3"/>
        <w:ind w:firstLine="281" w:firstLineChars="100"/>
      </w:pPr>
      <w:r>
        <w:rPr>
          <w:rFonts w:hint="eastAsia"/>
        </w:rPr>
        <w:t>（一）实用性原则</w:t>
      </w:r>
    </w:p>
    <w:p>
      <w:pPr>
        <w:spacing w:line="360" w:lineRule="auto"/>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本文件是在充分收集相关资料和文献，分析广西近年来研学旅行基地运营过程中出现的新要素、新需求、新情景。针对广西“山青、水秀、洞奇、石美”的资源特点，如</w:t>
      </w:r>
      <w:r>
        <w:rPr>
          <w:rFonts w:ascii="仿宋_GB2312" w:hAnsi="宋体" w:eastAsia="仿宋_GB2312"/>
          <w:sz w:val="32"/>
          <w:szCs w:val="28"/>
          <w:lang w:val="zh-CN"/>
        </w:rPr>
        <w:t>南宁青秀山、桂林漓江、桂平西山、宁明花山</w:t>
      </w:r>
      <w:r>
        <w:rPr>
          <w:rFonts w:hint="eastAsia" w:ascii="仿宋_GB2312" w:hAnsi="宋体" w:eastAsia="仿宋_GB2312"/>
          <w:sz w:val="32"/>
          <w:szCs w:val="28"/>
          <w:lang w:val="zh-CN"/>
        </w:rPr>
        <w:t>以及</w:t>
      </w:r>
      <w:r>
        <w:rPr>
          <w:rFonts w:ascii="仿宋_GB2312" w:hAnsi="宋体" w:eastAsia="仿宋_GB2312"/>
          <w:sz w:val="32"/>
          <w:szCs w:val="28"/>
          <w:lang w:val="zh-CN"/>
        </w:rPr>
        <w:t>北海银滩</w:t>
      </w:r>
      <w:r>
        <w:rPr>
          <w:rFonts w:hint="eastAsia" w:ascii="仿宋_GB2312" w:hAnsi="宋体" w:eastAsia="仿宋_GB2312"/>
          <w:sz w:val="32"/>
          <w:szCs w:val="28"/>
          <w:lang w:val="zh-CN"/>
        </w:rPr>
        <w:t>等风景特色，结合广西研学旅行现实需要，特此制定广西区内研学旅行基地运营规范。该文件符合当前广西研学旅行发展的方向与需求，有利于提高广西研学旅行品牌在国内的规范性和权威性，对推动广西研学旅行产业高质量发展，具有较强的实用性和可操作性。</w:t>
      </w:r>
    </w:p>
    <w:p>
      <w:pPr>
        <w:pStyle w:val="3"/>
      </w:pPr>
      <w:r>
        <w:rPr>
          <w:rFonts w:hint="eastAsia"/>
        </w:rPr>
        <w:t>（二）协调性原则</w:t>
      </w:r>
    </w:p>
    <w:p>
      <w:pPr>
        <w:spacing w:line="360" w:lineRule="auto"/>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经调研分析，《研学旅行基地运营规范》标准符合《中华人民共和国标准化法》（主席令第78号）《中华人民共和国标准化法实施条例》（国务院令第 53 号）等相关法律法规及强制性标准。本文件编写过程中注意了与研学旅行基地运营规范相关的国内、国外法律法规的协调问题，在内容上引用了所有适用的国内标准，与国内、国外现行法律法规、标准协调一致。</w:t>
      </w:r>
    </w:p>
    <w:p>
      <w:pPr>
        <w:pStyle w:val="3"/>
      </w:pPr>
      <w:r>
        <w:rPr>
          <w:rFonts w:hint="eastAsia"/>
        </w:rPr>
        <w:t>（三）规范性原则</w:t>
      </w:r>
    </w:p>
    <w:p>
      <w:pPr>
        <w:spacing w:line="360" w:lineRule="auto"/>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本文件严格按照 GB/T 1.1—2020《标准化工作导则 第1 部分：标准化文件的结构和起草规则》的要求和规定编写本标准的内容，保证标准的编写质量。</w:t>
      </w:r>
    </w:p>
    <w:p>
      <w:pPr>
        <w:pStyle w:val="3"/>
      </w:pPr>
      <w:r>
        <w:rPr>
          <w:rFonts w:hint="eastAsia"/>
        </w:rPr>
        <w:t>（四）前瞻性原则</w:t>
      </w:r>
    </w:p>
    <w:p>
      <w:pPr>
        <w:spacing w:line="360" w:lineRule="auto"/>
        <w:ind w:firstLine="640" w:firstLineChars="200"/>
        <w:rPr>
          <w:rFonts w:ascii="Times New Roman" w:hAnsi="Times New Roman" w:eastAsia="仿宋_GB2312" w:cs="Times New Roman"/>
          <w:kern w:val="0"/>
          <w:sz w:val="28"/>
          <w:szCs w:val="28"/>
        </w:rPr>
      </w:pPr>
      <w:r>
        <w:rPr>
          <w:rFonts w:hint="eastAsia" w:ascii="仿宋_GB2312" w:hAnsi="宋体" w:eastAsia="仿宋_GB2312"/>
          <w:sz w:val="32"/>
          <w:szCs w:val="28"/>
          <w:lang w:val="zh-CN"/>
        </w:rPr>
        <w:t>本文件在兼顾当前区内研学旅行发展现实的同时，同时考虑到广西研学旅行独特的研学旅行资源和民族特色，如北海北部湾亚热带滨海资源、中越边关风貌，汉、壮、瑶、苗、侗、京等</w:t>
      </w:r>
      <w:r>
        <w:rPr>
          <w:rFonts w:ascii="仿宋_GB2312" w:hAnsi="宋体" w:eastAsia="仿宋_GB2312"/>
          <w:sz w:val="32"/>
          <w:szCs w:val="28"/>
          <w:lang w:val="zh-CN"/>
        </w:rPr>
        <w:t>12个民族</w:t>
      </w:r>
      <w:r>
        <w:rPr>
          <w:rFonts w:hint="eastAsia" w:ascii="仿宋_GB2312" w:hAnsi="宋体" w:eastAsia="仿宋_GB2312"/>
          <w:sz w:val="32"/>
          <w:szCs w:val="28"/>
          <w:lang w:val="zh-CN"/>
        </w:rPr>
        <w:t>文化等，具体考虑未来研学旅行发展需要，在标准中体现了个别特色性、前瞻性和先进性条款，作为对广西研学旅行发展的指导</w:t>
      </w:r>
      <w:r>
        <w:rPr>
          <w:rFonts w:hint="eastAsia" w:ascii="Times New Roman" w:hAnsi="Times New Roman" w:eastAsia="仿宋_GB2312" w:cs="Times New Roman"/>
          <w:kern w:val="0"/>
          <w:sz w:val="28"/>
          <w:szCs w:val="28"/>
        </w:rPr>
        <w:t>。</w:t>
      </w:r>
    </w:p>
    <w:p>
      <w:pPr>
        <w:pStyle w:val="2"/>
      </w:pPr>
      <w:r>
        <w:rPr>
          <w:rFonts w:hint="eastAsia"/>
        </w:rPr>
        <w:t>七、</w:t>
      </w:r>
      <w:r>
        <w:rPr>
          <w:rFonts w:hint="eastAsia" w:cs="Times New Roman"/>
        </w:rPr>
        <w:t>标准</w:t>
      </w:r>
      <w:r>
        <w:rPr>
          <w:rFonts w:hint="eastAsia"/>
        </w:rPr>
        <w:t>的框架和主要内容说明</w:t>
      </w:r>
    </w:p>
    <w:p>
      <w:pPr>
        <w:spacing w:line="560" w:lineRule="exact"/>
        <w:ind w:firstLine="640" w:firstLineChars="200"/>
        <w:rPr>
          <w:rFonts w:ascii="仿宋_GB2312" w:hAnsi="宋体" w:eastAsia="仿宋_GB2312"/>
          <w:color w:val="000000" w:themeColor="text1"/>
          <w:sz w:val="32"/>
          <w:szCs w:val="28"/>
          <w:lang w:val="zh-CN"/>
          <w14:textFill>
            <w14:solidFill>
              <w14:schemeClr w14:val="tx1"/>
            </w14:solidFill>
          </w14:textFill>
        </w:rPr>
      </w:pPr>
      <w:r>
        <w:rPr>
          <w:rFonts w:hint="eastAsia" w:ascii="仿宋_GB2312" w:hAnsi="宋体" w:eastAsia="仿宋_GB2312"/>
          <w:sz w:val="32"/>
          <w:szCs w:val="28"/>
          <w:lang w:val="zh-CN"/>
        </w:rPr>
        <w:t>团体标准</w:t>
      </w:r>
      <w:r>
        <w:rPr>
          <w:rFonts w:hint="eastAsia" w:ascii="仿宋_GB2312" w:hAnsi="宋体" w:eastAsia="仿宋_GB2312"/>
          <w:color w:val="000000" w:themeColor="text1"/>
          <w:sz w:val="32"/>
          <w:szCs w:val="28"/>
          <w:lang w:val="zh-CN"/>
          <w14:textFill>
            <w14:solidFill>
              <w14:schemeClr w14:val="tx1"/>
            </w14:solidFill>
          </w14:textFill>
        </w:rPr>
        <w:t>《</w:t>
      </w:r>
      <w:bookmarkStart w:id="1" w:name="_Hlk147590057"/>
      <w:r>
        <w:rPr>
          <w:rFonts w:hint="eastAsia" w:ascii="仿宋_GB2312" w:hAnsi="宋体" w:eastAsia="仿宋_GB2312"/>
          <w:sz w:val="32"/>
          <w:szCs w:val="28"/>
          <w:lang w:val="zh-CN"/>
        </w:rPr>
        <w:t>研学旅行基地运营规范</w:t>
      </w:r>
      <w:bookmarkEnd w:id="1"/>
      <w:r>
        <w:rPr>
          <w:rFonts w:hint="eastAsia" w:ascii="仿宋_GB2312" w:hAnsi="宋体" w:eastAsia="仿宋_GB2312"/>
          <w:color w:val="000000" w:themeColor="text1"/>
          <w:sz w:val="32"/>
          <w:szCs w:val="28"/>
          <w:lang w:val="zh-CN"/>
          <w14:textFill>
            <w14:solidFill>
              <w14:schemeClr w14:val="tx1"/>
            </w14:solidFill>
          </w14:textFill>
        </w:rPr>
        <w:t>》界定了研学</w:t>
      </w:r>
      <w:r>
        <w:rPr>
          <w:rFonts w:hint="eastAsia" w:ascii="仿宋_GB2312" w:hAnsi="宋体" w:eastAsia="仿宋_GB2312"/>
          <w:sz w:val="32"/>
          <w:szCs w:val="28"/>
          <w:lang w:val="zh-CN"/>
        </w:rPr>
        <w:t>研学旅行基地运营涉及</w:t>
      </w:r>
      <w:r>
        <w:rPr>
          <w:rFonts w:hint="eastAsia" w:ascii="仿宋_GB2312" w:hAnsi="宋体" w:eastAsia="仿宋_GB2312"/>
          <w:color w:val="000000" w:themeColor="text1"/>
          <w:sz w:val="32"/>
          <w:szCs w:val="28"/>
          <w:lang w:val="zh-CN"/>
          <w14:textFill>
            <w14:solidFill>
              <w14:schemeClr w14:val="tx1"/>
            </w14:solidFill>
          </w14:textFill>
        </w:rPr>
        <w:t>的术语和定义，规定了</w:t>
      </w:r>
      <w:r>
        <w:rPr>
          <w:rFonts w:hint="eastAsia" w:ascii="仿宋_GB2312" w:hAnsi="宋体" w:eastAsia="仿宋_GB2312"/>
          <w:sz w:val="32"/>
          <w:szCs w:val="28"/>
          <w:lang w:val="zh-CN"/>
        </w:rPr>
        <w:t>研学旅行基地运营</w:t>
      </w:r>
      <w:r>
        <w:rPr>
          <w:rFonts w:hint="eastAsia" w:ascii="仿宋_GB2312" w:hAnsi="宋体" w:eastAsia="仿宋_GB2312"/>
          <w:color w:val="000000" w:themeColor="text1"/>
          <w:sz w:val="32"/>
          <w:szCs w:val="28"/>
          <w:lang w:val="zh-CN"/>
          <w14:textFill>
            <w14:solidFill>
              <w14:schemeClr w14:val="tx1"/>
            </w14:solidFill>
          </w14:textFill>
        </w:rPr>
        <w:t>的运营原则、运营条件要求、运营管理与服务要求、运营质量保障等内容。</w:t>
      </w:r>
    </w:p>
    <w:p>
      <w:pPr>
        <w:pStyle w:val="3"/>
      </w:pPr>
      <w:r>
        <w:rPr>
          <w:rFonts w:hint="eastAsia"/>
        </w:rPr>
        <w:t>（一）规范性引用文件</w:t>
      </w:r>
    </w:p>
    <w:p>
      <w:pPr>
        <w:pStyle w:val="13"/>
        <w:tabs>
          <w:tab w:val="center" w:pos="4201"/>
          <w:tab w:val="right" w:leader="dot" w:pos="9298"/>
        </w:tabs>
        <w:ind w:left="638" w:leftChars="304" w:firstLine="0" w:firstLineChars="0"/>
        <w:rPr>
          <w:rFonts w:hint="eastAsia" w:ascii="仿宋_GB2312" w:hAnsi="宋体" w:eastAsia="仿宋_GB2312" w:cstheme="minorBidi"/>
          <w:color w:val="000000" w:themeColor="text1"/>
          <w:kern w:val="2"/>
          <w:sz w:val="32"/>
          <w:szCs w:val="28"/>
          <w:lang w:val="zh-CN" w:eastAsia="zh-CN" w:bidi="ar-SA"/>
          <w14:textFill>
            <w14:solidFill>
              <w14:schemeClr w14:val="tx1"/>
            </w14:solidFill>
          </w14:textFill>
        </w:rPr>
      </w:pPr>
      <w:r>
        <w:rPr>
          <w:rFonts w:hint="eastAsia" w:ascii="仿宋_GB2312" w:hAnsi="仿宋_GB2312" w:eastAsia="仿宋_GB2312"/>
          <w:spacing w:val="2"/>
          <w:sz w:val="32"/>
          <w:szCs w:val="24"/>
        </w:rPr>
        <w:t>列举了《</w:t>
      </w:r>
      <w:r>
        <w:rPr>
          <w:rFonts w:hint="eastAsia" w:ascii="仿宋_GB2312" w:hAnsi="宋体" w:eastAsia="仿宋_GB2312"/>
          <w:sz w:val="32"/>
          <w:szCs w:val="28"/>
          <w:lang w:val="zh-CN"/>
        </w:rPr>
        <w:t>研学旅行基地运营规范</w:t>
      </w:r>
      <w:r>
        <w:rPr>
          <w:rFonts w:hint="eastAsia" w:ascii="仿宋_GB2312" w:hAnsi="仿宋_GB2312" w:eastAsia="仿宋_GB2312"/>
          <w:spacing w:val="2"/>
          <w:sz w:val="32"/>
          <w:szCs w:val="24"/>
        </w:rPr>
        <w:t>》引用的规范性文件，</w:t>
      </w:r>
      <w:r>
        <w:rPr>
          <w:rFonts w:hint="eastAsia" w:ascii="仿宋_GB2312" w:hAnsi="宋体" w:eastAsia="仿宋_GB2312" w:cstheme="minorBidi"/>
          <w:color w:val="000000" w:themeColor="text1"/>
          <w:kern w:val="2"/>
          <w:sz w:val="32"/>
          <w:szCs w:val="28"/>
          <w:lang w:val="zh-CN" w:eastAsia="zh-CN" w:bidi="ar-SA"/>
          <w14:textFill>
            <w14:solidFill>
              <w14:schemeClr w14:val="tx1"/>
            </w14:solidFill>
          </w14:textFill>
        </w:rPr>
        <w:t>GB 3095-2012 《环境空气质量标准》</w:t>
      </w:r>
    </w:p>
    <w:p>
      <w:pPr>
        <w:pStyle w:val="13"/>
        <w:tabs>
          <w:tab w:val="center" w:pos="4201"/>
          <w:tab w:val="right" w:leader="dot" w:pos="9298"/>
        </w:tabs>
        <w:rPr>
          <w:rFonts w:hint="eastAsia" w:ascii="仿宋_GB2312" w:hAnsi="宋体" w:eastAsia="仿宋_GB2312" w:cstheme="minorBidi"/>
          <w:kern w:val="2"/>
          <w:sz w:val="32"/>
          <w:szCs w:val="28"/>
          <w:lang w:val="zh-CN" w:eastAsia="zh-CN" w:bidi="ar-SA"/>
        </w:rPr>
      </w:pPr>
      <w:r>
        <w:rPr>
          <w:rFonts w:hint="eastAsia" w:ascii="仿宋_GB2312" w:hAnsi="宋体" w:eastAsia="仿宋_GB2312" w:cstheme="minorBidi"/>
          <w:kern w:val="2"/>
          <w:sz w:val="32"/>
          <w:szCs w:val="28"/>
          <w:lang w:val="zh-CN" w:eastAsia="zh-CN" w:bidi="ar-SA"/>
        </w:rPr>
        <w:t>GB 3096-2008 《声环境质量标准》</w:t>
      </w:r>
    </w:p>
    <w:p>
      <w:pPr>
        <w:pStyle w:val="20"/>
        <w:ind w:firstLine="420"/>
        <w:rPr>
          <w:rFonts w:hint="eastAsia" w:ascii="仿宋_GB2312" w:hAnsi="宋体" w:eastAsia="仿宋_GB2312" w:cstheme="minorBidi"/>
          <w:kern w:val="2"/>
          <w:sz w:val="32"/>
          <w:szCs w:val="28"/>
          <w:lang w:val="zh-CN" w:eastAsia="zh-CN" w:bidi="ar-SA"/>
        </w:rPr>
      </w:pPr>
      <w:r>
        <w:rPr>
          <w:rFonts w:hint="eastAsia" w:ascii="仿宋_GB2312" w:hAnsi="宋体" w:eastAsia="仿宋_GB2312" w:cstheme="minorBidi"/>
          <w:kern w:val="2"/>
          <w:sz w:val="32"/>
          <w:szCs w:val="28"/>
          <w:lang w:val="zh-CN" w:eastAsia="zh-CN" w:bidi="ar-SA"/>
        </w:rPr>
        <w:t>GB 8978 《污水综合排放标准》</w:t>
      </w:r>
    </w:p>
    <w:p>
      <w:pPr>
        <w:pStyle w:val="13"/>
        <w:tabs>
          <w:tab w:val="center" w:pos="4201"/>
          <w:tab w:val="right" w:leader="dot" w:pos="9298"/>
        </w:tabs>
        <w:rPr>
          <w:rFonts w:hint="eastAsia" w:ascii="仿宋_GB2312" w:hAnsi="宋体" w:eastAsia="仿宋_GB2312" w:cstheme="minorBidi"/>
          <w:color w:val="000000" w:themeColor="text1"/>
          <w:kern w:val="2"/>
          <w:sz w:val="32"/>
          <w:szCs w:val="28"/>
          <w:lang w:val="zh-CN" w:eastAsia="zh-CN" w:bidi="ar-SA"/>
          <w14:textFill>
            <w14:solidFill>
              <w14:schemeClr w14:val="tx1"/>
            </w14:solidFill>
          </w14:textFill>
        </w:rPr>
      </w:pPr>
      <w:r>
        <w:rPr>
          <w:rFonts w:hint="eastAsia" w:ascii="仿宋_GB2312" w:hAnsi="宋体" w:eastAsia="仿宋_GB2312" w:cstheme="minorBidi"/>
          <w:color w:val="000000" w:themeColor="text1"/>
          <w:kern w:val="2"/>
          <w:sz w:val="32"/>
          <w:szCs w:val="28"/>
          <w:lang w:val="zh-CN" w:eastAsia="zh-CN" w:bidi="ar-SA"/>
          <w14:textFill>
            <w14:solidFill>
              <w14:schemeClr w14:val="tx1"/>
            </w14:solidFill>
          </w14:textFill>
        </w:rPr>
        <w:t>GB/T 15971-2010 《导游服务规范》</w:t>
      </w:r>
    </w:p>
    <w:p>
      <w:pPr>
        <w:pStyle w:val="13"/>
        <w:tabs>
          <w:tab w:val="center" w:pos="4201"/>
          <w:tab w:val="right" w:leader="dot" w:pos="9298"/>
        </w:tabs>
        <w:rPr>
          <w:rFonts w:hint="eastAsia" w:ascii="仿宋_GB2312" w:hAnsi="宋体" w:eastAsia="仿宋_GB2312" w:cstheme="minorBidi"/>
          <w:color w:val="000000" w:themeColor="text1"/>
          <w:kern w:val="2"/>
          <w:sz w:val="32"/>
          <w:szCs w:val="28"/>
          <w:lang w:val="zh-CN" w:eastAsia="zh-CN" w:bidi="ar-SA"/>
          <w14:textFill>
            <w14:solidFill>
              <w14:schemeClr w14:val="tx1"/>
            </w14:solidFill>
          </w14:textFill>
        </w:rPr>
      </w:pPr>
      <w:r>
        <w:rPr>
          <w:rFonts w:hint="eastAsia" w:ascii="仿宋_GB2312" w:hAnsi="宋体" w:eastAsia="仿宋_GB2312" w:cstheme="minorBidi"/>
          <w:color w:val="000000" w:themeColor="text1"/>
          <w:kern w:val="2"/>
          <w:sz w:val="32"/>
          <w:szCs w:val="28"/>
          <w:lang w:val="zh-CN" w:eastAsia="zh-CN" w:bidi="ar-SA"/>
          <w14:textFill>
            <w14:solidFill>
              <w14:schemeClr w14:val="tx1"/>
            </w14:solidFill>
          </w14:textFill>
        </w:rPr>
        <w:t>GB/T 18973-2016 《旅游厕所质量等级划分与评定》</w:t>
      </w:r>
    </w:p>
    <w:p>
      <w:pPr>
        <w:pStyle w:val="13"/>
        <w:tabs>
          <w:tab w:val="center" w:pos="4201"/>
          <w:tab w:val="right" w:leader="dot" w:pos="9298"/>
        </w:tabs>
        <w:rPr>
          <w:rFonts w:hint="eastAsia" w:ascii="仿宋_GB2312" w:hAnsi="宋体" w:eastAsia="仿宋_GB2312" w:cstheme="minorBidi"/>
          <w:color w:val="000000" w:themeColor="text1"/>
          <w:kern w:val="2"/>
          <w:sz w:val="32"/>
          <w:szCs w:val="28"/>
          <w:lang w:val="zh-CN" w:eastAsia="zh-CN" w:bidi="ar-SA"/>
          <w14:textFill>
            <w14:solidFill>
              <w14:schemeClr w14:val="tx1"/>
            </w14:solidFill>
          </w14:textFill>
        </w:rPr>
      </w:pPr>
      <w:r>
        <w:rPr>
          <w:rFonts w:hint="eastAsia" w:ascii="仿宋_GB2312" w:hAnsi="宋体" w:eastAsia="仿宋_GB2312" w:cstheme="minorBidi"/>
          <w:color w:val="000000" w:themeColor="text1"/>
          <w:kern w:val="2"/>
          <w:sz w:val="32"/>
          <w:szCs w:val="28"/>
          <w:lang w:val="zh-CN" w:eastAsia="zh-CN" w:bidi="ar-SA"/>
          <w14:textFill>
            <w14:solidFill>
              <w14:schemeClr w14:val="tx1"/>
            </w14:solidFill>
          </w14:textFill>
        </w:rPr>
        <w:t>GB/T 31710.3-2015 《休闲露营地建设与服务规范》</w:t>
      </w:r>
    </w:p>
    <w:p>
      <w:pPr>
        <w:pStyle w:val="13"/>
        <w:tabs>
          <w:tab w:val="center" w:pos="4201"/>
          <w:tab w:val="right" w:leader="dot" w:pos="9298"/>
        </w:tabs>
        <w:rPr>
          <w:rFonts w:hint="eastAsia" w:ascii="仿宋_GB2312" w:hAnsi="宋体" w:eastAsia="仿宋_GB2312" w:cstheme="minorBidi"/>
          <w:color w:val="000000" w:themeColor="text1"/>
          <w:kern w:val="2"/>
          <w:sz w:val="32"/>
          <w:szCs w:val="28"/>
          <w:lang w:val="zh-CN" w:eastAsia="zh-CN" w:bidi="ar-SA"/>
          <w14:textFill>
            <w14:solidFill>
              <w14:schemeClr w14:val="tx1"/>
            </w14:solidFill>
          </w14:textFill>
        </w:rPr>
      </w:pPr>
      <w:r>
        <w:rPr>
          <w:rFonts w:hint="eastAsia" w:ascii="仿宋_GB2312" w:hAnsi="宋体" w:eastAsia="仿宋_GB2312" w:cstheme="minorBidi"/>
          <w:color w:val="000000" w:themeColor="text1"/>
          <w:kern w:val="2"/>
          <w:sz w:val="32"/>
          <w:szCs w:val="28"/>
          <w:lang w:val="zh-CN" w:eastAsia="zh-CN" w:bidi="ar-SA"/>
          <w14:textFill>
            <w14:solidFill>
              <w14:schemeClr w14:val="tx1"/>
            </w14:solidFill>
          </w14:textFill>
        </w:rPr>
        <w:t>LB/T 025-2013 《风景旅游道路及其游憩服务设施要求》</w:t>
      </w:r>
    </w:p>
    <w:p>
      <w:pPr>
        <w:pStyle w:val="13"/>
        <w:tabs>
          <w:tab w:val="center" w:pos="4201"/>
          <w:tab w:val="right" w:leader="dot" w:pos="9298"/>
        </w:tabs>
        <w:rPr>
          <w:rFonts w:hint="eastAsia" w:ascii="仿宋_GB2312" w:hAnsi="宋体" w:eastAsia="仿宋_GB2312" w:cstheme="minorBidi"/>
          <w:color w:val="000000" w:themeColor="text1"/>
          <w:kern w:val="2"/>
          <w:sz w:val="32"/>
          <w:szCs w:val="28"/>
          <w:lang w:val="zh-CN" w:eastAsia="zh-CN" w:bidi="ar-SA"/>
          <w14:textFill>
            <w14:solidFill>
              <w14:schemeClr w14:val="tx1"/>
            </w14:solidFill>
          </w14:textFill>
        </w:rPr>
      </w:pPr>
      <w:r>
        <w:rPr>
          <w:rFonts w:hint="eastAsia" w:ascii="仿宋_GB2312" w:hAnsi="宋体" w:eastAsia="仿宋_GB2312" w:cstheme="minorBidi"/>
          <w:color w:val="000000" w:themeColor="text1"/>
          <w:kern w:val="2"/>
          <w:sz w:val="32"/>
          <w:szCs w:val="28"/>
          <w:lang w:val="zh-CN" w:eastAsia="zh-CN" w:bidi="ar-SA"/>
          <w14:textFill>
            <w14:solidFill>
              <w14:schemeClr w14:val="tx1"/>
            </w14:solidFill>
          </w14:textFill>
        </w:rPr>
        <w:t>LB/T 054-2016 《研学旅行服务规范。》</w:t>
      </w:r>
      <w:bookmarkStart w:id="8" w:name="_GoBack"/>
      <w:bookmarkEnd w:id="8"/>
    </w:p>
    <w:p>
      <w:pPr>
        <w:pStyle w:val="3"/>
        <w:rPr>
          <w:lang w:val="zh-CN"/>
        </w:rPr>
      </w:pPr>
      <w:r>
        <w:rPr>
          <w:rFonts w:hint="eastAsia"/>
          <w:lang w:val="zh-CN"/>
        </w:rPr>
        <w:t>（二）术语和定义</w:t>
      </w:r>
    </w:p>
    <w:p>
      <w:pPr>
        <w:ind w:firstLine="640"/>
        <w:jc w:val="left"/>
        <w:rPr>
          <w:rFonts w:ascii="仿宋_GB2312" w:hAnsi="宋体" w:eastAsia="仿宋_GB2312"/>
          <w:sz w:val="32"/>
          <w:szCs w:val="28"/>
          <w:lang w:val="zh-CN"/>
        </w:rPr>
      </w:pPr>
      <w:r>
        <w:rPr>
          <w:rFonts w:hint="eastAsia" w:ascii="仿宋_GB2312" w:hAnsi="宋体" w:eastAsia="仿宋_GB2312"/>
          <w:sz w:val="32"/>
          <w:szCs w:val="28"/>
          <w:lang w:val="zh-CN"/>
        </w:rPr>
        <w:t>在参考了行业标准</w:t>
      </w:r>
      <w:r>
        <w:rPr>
          <w:rFonts w:ascii="仿宋_GB2312" w:hAnsi="宋体" w:eastAsia="仿宋_GB2312"/>
          <w:sz w:val="32"/>
          <w:szCs w:val="28"/>
          <w:lang w:val="zh-CN"/>
        </w:rPr>
        <w:t>LB/T 054-2016 《研学旅行服务规范》的基础上，</w:t>
      </w:r>
      <w:r>
        <w:rPr>
          <w:rFonts w:hint="eastAsia" w:ascii="仿宋_GB2312" w:hAnsi="宋体" w:eastAsia="仿宋_GB2312"/>
          <w:sz w:val="32"/>
          <w:szCs w:val="28"/>
          <w:lang w:val="zh-CN"/>
        </w:rPr>
        <w:t>结合杨晓教授在《</w:t>
      </w:r>
      <w:r>
        <w:rPr>
          <w:rFonts w:ascii="Times New Roman" w:hAnsi="Times New Roman" w:eastAsia="仿宋_GB2312" w:cs="Times New Roman"/>
          <w:sz w:val="32"/>
          <w:szCs w:val="32"/>
        </w:rPr>
        <w:t>研学旅行的内涵、类型与实施策略</w:t>
      </w:r>
      <w:r>
        <w:rPr>
          <w:rFonts w:hint="eastAsia" w:ascii="Times New Roman" w:hAnsi="Times New Roman" w:eastAsia="仿宋_GB2312" w:cs="Times New Roman"/>
          <w:sz w:val="32"/>
          <w:szCs w:val="32"/>
        </w:rPr>
        <w:t>》中的相关概念，对研学旅行、研学旅行基地进行了解释</w:t>
      </w:r>
      <w:r>
        <w:rPr>
          <w:rFonts w:ascii="仿宋_GB2312" w:hAnsi="宋体" w:eastAsia="仿宋_GB2312"/>
          <w:sz w:val="32"/>
          <w:szCs w:val="28"/>
          <w:lang w:val="zh-CN"/>
        </w:rPr>
        <w:t>。</w:t>
      </w:r>
    </w:p>
    <w:p>
      <w:pPr>
        <w:widowControl/>
        <w:jc w:val="left"/>
      </w:pPr>
      <w:r>
        <w:drawing>
          <wp:inline distT="0" distB="0" distL="0" distR="0">
            <wp:extent cx="5274310" cy="1069975"/>
            <wp:effectExtent l="19050" t="19050" r="21590" b="15875"/>
            <wp:docPr id="5240097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00974" name="图片 1"/>
                    <pic:cNvPicPr>
                      <a:picLocks noChangeAspect="1"/>
                    </pic:cNvPicPr>
                  </pic:nvPicPr>
                  <pic:blipFill>
                    <a:blip r:embed="rId4"/>
                    <a:stretch>
                      <a:fillRect/>
                    </a:stretch>
                  </pic:blipFill>
                  <pic:spPr>
                    <a:xfrm>
                      <a:off x="0" y="0"/>
                      <a:ext cx="5274310" cy="1069975"/>
                    </a:xfrm>
                    <a:prstGeom prst="rect">
                      <a:avLst/>
                    </a:prstGeom>
                    <a:ln>
                      <a:solidFill>
                        <a:schemeClr val="tx1"/>
                      </a:solidFill>
                    </a:ln>
                  </pic:spPr>
                </pic:pic>
              </a:graphicData>
            </a:graphic>
          </wp:inline>
        </w:drawing>
      </w:r>
    </w:p>
    <w:p>
      <w:pPr>
        <w:pStyle w:val="6"/>
        <w:kinsoku w:val="0"/>
        <w:overflowPunct w:val="0"/>
        <w:topLinePunct/>
        <w:autoSpaceDE/>
        <w:autoSpaceDN/>
        <w:adjustRightInd/>
        <w:spacing w:line="560" w:lineRule="exact"/>
        <w:ind w:left="0" w:firstLine="428" w:firstLineChars="200"/>
        <w:jc w:val="center"/>
        <w:rPr>
          <w:rFonts w:ascii="黑体" w:hAnsi="黑体" w:eastAsia="黑体" w:cs="黑体"/>
          <w:spacing w:val="2"/>
          <w:sz w:val="21"/>
          <w:szCs w:val="21"/>
        </w:rPr>
      </w:pPr>
      <w:r>
        <w:rPr>
          <w:rFonts w:hint="eastAsia" w:ascii="黑体" w:hAnsi="黑体" w:eastAsia="黑体" w:cs="黑体"/>
          <w:spacing w:val="2"/>
          <w:sz w:val="21"/>
          <w:szCs w:val="21"/>
        </w:rPr>
        <w:t>来源：中华人民共和国旅游业行业标准《研学旅行服务规范》（</w:t>
      </w:r>
      <w:r>
        <w:rPr>
          <w:rFonts w:ascii="黑体" w:hAnsi="黑体" w:eastAsia="黑体" w:cs="黑体"/>
          <w:spacing w:val="2"/>
          <w:sz w:val="21"/>
          <w:szCs w:val="21"/>
        </w:rPr>
        <w:t>LB/T 054-2016</w:t>
      </w:r>
      <w:r>
        <w:rPr>
          <w:rFonts w:hint="eastAsia" w:ascii="黑体" w:hAnsi="黑体" w:eastAsia="黑体" w:cs="黑体"/>
          <w:spacing w:val="2"/>
          <w:sz w:val="21"/>
          <w:szCs w:val="21"/>
        </w:rPr>
        <w:t>）</w:t>
      </w:r>
    </w:p>
    <w:p>
      <w:pPr>
        <w:pStyle w:val="3"/>
        <w:rPr>
          <w:rFonts w:ascii="仿宋_GB2312" w:hAnsi="宋体"/>
          <w:lang w:val="zh-CN"/>
          <w14:textOutline w14:w="9525" w14:cap="rnd" w14:cmpd="sng" w14:algn="ctr">
            <w14:solidFill>
              <w14:schemeClr w14:val="accent1"/>
            </w14:solidFill>
            <w14:prstDash w14:val="solid"/>
            <w14:bevel/>
          </w14:textOutline>
        </w:rPr>
      </w:pPr>
      <w:r>
        <w:rPr>
          <w:rFonts w:hint="eastAsia"/>
          <w:lang w:val="zh-CN"/>
        </w:rPr>
        <w:t>（二）基本运营条件和要求</w:t>
      </w:r>
    </w:p>
    <w:p>
      <w:pPr>
        <w:ind w:firstLine="648" w:firstLineChars="200"/>
        <w:rPr>
          <w:rFonts w:ascii="仿宋_GB2312" w:hAnsi="宋体" w:eastAsia="仿宋_GB2312"/>
          <w:sz w:val="32"/>
          <w:szCs w:val="32"/>
          <w:lang w:val="zh-CN"/>
        </w:rPr>
      </w:pPr>
      <w:r>
        <w:rPr>
          <w:rFonts w:hint="eastAsia" w:ascii="仿宋_GB2312" w:hAnsi="仿宋_GB2312" w:eastAsia="仿宋_GB2312"/>
          <w:spacing w:val="2"/>
          <w:sz w:val="32"/>
        </w:rPr>
        <w:t>主要参照了《关于推进中小学生研学旅行的意见》与《</w:t>
      </w:r>
      <w:r>
        <w:rPr>
          <w:rFonts w:ascii="仿宋_GB2312" w:hAnsi="宋体" w:eastAsia="仿宋_GB2312"/>
          <w:sz w:val="32"/>
          <w:szCs w:val="28"/>
          <w:lang w:val="zh-CN"/>
        </w:rPr>
        <w:t>研学旅行服务规范》</w:t>
      </w:r>
      <w:r>
        <w:rPr>
          <w:rFonts w:hint="eastAsia" w:ascii="仿宋_GB2312" w:hAnsi="仿宋_GB2312" w:eastAsia="仿宋_GB2312"/>
          <w:spacing w:val="2"/>
          <w:sz w:val="32"/>
        </w:rPr>
        <w:t>，明确了研学旅行基地运营</w:t>
      </w:r>
      <w:r>
        <w:rPr>
          <w:rFonts w:hint="eastAsia" w:ascii="仿宋_GB2312" w:hAnsi="宋体" w:eastAsia="仿宋_GB2312"/>
          <w:sz w:val="32"/>
          <w:szCs w:val="32"/>
          <w:lang w:val="zh-CN"/>
        </w:rPr>
        <w:t>应考虑的资质、环境、人员等相关条件，在运营主体资质条件上提出“</w:t>
      </w:r>
      <w:r>
        <w:rPr>
          <w:rFonts w:ascii="仿宋_GB2312" w:hAnsi="宋体" w:eastAsia="仿宋_GB2312"/>
          <w:sz w:val="32"/>
          <w:szCs w:val="32"/>
          <w:lang w:val="zh-CN"/>
        </w:rPr>
        <w:t>运营主体应具备法人资质</w:t>
      </w:r>
      <w:r>
        <w:rPr>
          <w:rFonts w:hint="eastAsia" w:ascii="仿宋_GB2312" w:hAnsi="宋体" w:eastAsia="仿宋_GB2312"/>
          <w:sz w:val="32"/>
          <w:szCs w:val="32"/>
          <w:lang w:val="zh-CN"/>
        </w:rPr>
        <w:t>；</w:t>
      </w:r>
      <w:r>
        <w:rPr>
          <w:rFonts w:ascii="仿宋_GB2312" w:hAnsi="宋体" w:eastAsia="仿宋_GB2312"/>
          <w:sz w:val="32"/>
          <w:szCs w:val="32"/>
          <w:lang w:val="zh-CN"/>
        </w:rPr>
        <w:t>应具备提供研学服务的基本场地和设施</w:t>
      </w:r>
      <w:r>
        <w:rPr>
          <w:rFonts w:hint="eastAsia" w:ascii="仿宋_GB2312" w:hAnsi="宋体" w:eastAsia="仿宋_GB2312"/>
          <w:sz w:val="32"/>
          <w:szCs w:val="32"/>
          <w:lang w:val="zh-CN"/>
        </w:rPr>
        <w:t>；其</w:t>
      </w:r>
      <w:r>
        <w:rPr>
          <w:rFonts w:ascii="仿宋_GB2312" w:hAnsi="宋体" w:eastAsia="仿宋_GB2312"/>
          <w:sz w:val="32"/>
          <w:szCs w:val="32"/>
          <w:lang w:val="zh-CN"/>
        </w:rPr>
        <w:t>基地无产权纠纷、场地和运营手续合法合规</w:t>
      </w:r>
      <w:r>
        <w:rPr>
          <w:rFonts w:hint="eastAsia" w:ascii="仿宋_GB2312" w:hAnsi="宋体" w:eastAsia="仿宋_GB2312"/>
          <w:sz w:val="32"/>
          <w:szCs w:val="32"/>
          <w:lang w:val="zh-CN"/>
        </w:rPr>
        <w:t>“等内容</w:t>
      </w:r>
      <w:r>
        <w:rPr>
          <w:rFonts w:ascii="仿宋_GB2312" w:hAnsi="宋体" w:eastAsia="仿宋_GB2312"/>
          <w:sz w:val="32"/>
          <w:szCs w:val="32"/>
          <w:lang w:val="zh-CN"/>
        </w:rPr>
        <w:t>，</w:t>
      </w:r>
      <w:r>
        <w:rPr>
          <w:rFonts w:hint="eastAsia" w:ascii="仿宋_GB2312" w:hAnsi="宋体" w:eastAsia="仿宋_GB2312"/>
          <w:sz w:val="32"/>
          <w:szCs w:val="32"/>
          <w:lang w:val="zh-CN"/>
        </w:rPr>
        <w:t>并结合广西地域特点，建议运营主体”</w:t>
      </w:r>
      <w:r>
        <w:rPr>
          <w:rFonts w:ascii="仿宋_GB2312" w:hAnsi="宋体" w:eastAsia="仿宋_GB2312"/>
          <w:sz w:val="32"/>
          <w:szCs w:val="32"/>
          <w:lang w:val="zh-CN"/>
        </w:rPr>
        <w:t>宜取得省、市级行政主管部门或行业协会获批的研学旅行基地运营目录。</w:t>
      </w:r>
      <w:r>
        <w:rPr>
          <w:rFonts w:hint="eastAsia" w:ascii="仿宋_GB2312" w:hAnsi="宋体" w:eastAsia="仿宋_GB2312"/>
          <w:sz w:val="32"/>
          <w:szCs w:val="32"/>
          <w:lang w:val="zh-CN"/>
        </w:rPr>
        <w:t>”</w:t>
      </w:r>
    </w:p>
    <w:p>
      <w:pPr>
        <w:ind w:firstLine="640" w:firstLineChars="200"/>
        <w:rPr>
          <w:rFonts w:ascii="仿宋_GB2312" w:hAnsi="宋体" w:eastAsia="仿宋_GB2312"/>
          <w:sz w:val="32"/>
          <w:szCs w:val="32"/>
          <w:lang w:val="zh-CN"/>
        </w:rPr>
      </w:pPr>
      <w:r>
        <w:rPr>
          <w:rFonts w:hint="eastAsia" w:ascii="仿宋_GB2312" w:hAnsi="宋体" w:eastAsia="仿宋_GB2312"/>
          <w:sz w:val="32"/>
          <w:szCs w:val="32"/>
          <w:lang w:val="zh-CN"/>
        </w:rPr>
        <w:t>在环境卫生条件上，为确保广西山水资源长久可持续发展，对运营主体提出了“</w:t>
      </w:r>
      <w:r>
        <w:rPr>
          <w:rFonts w:ascii="仿宋_GB2312" w:hAnsi="宋体" w:eastAsia="仿宋_GB2312"/>
          <w:sz w:val="32"/>
          <w:szCs w:val="32"/>
          <w:lang w:val="zh-CN"/>
        </w:rPr>
        <w:t>应具备良好的生态环境，应符合国家和当地的生态、湿地、风景名胜等管理规范</w:t>
      </w:r>
      <w:r>
        <w:rPr>
          <w:rFonts w:hint="eastAsia" w:ascii="仿宋_GB2312" w:hAnsi="宋体" w:eastAsia="仿宋_GB2312"/>
          <w:sz w:val="32"/>
          <w:szCs w:val="32"/>
          <w:lang w:val="zh-CN"/>
        </w:rPr>
        <w:t>；</w:t>
      </w:r>
      <w:r>
        <w:rPr>
          <w:rFonts w:ascii="仿宋_GB2312" w:hAnsi="宋体" w:eastAsia="仿宋_GB2312"/>
          <w:sz w:val="32"/>
          <w:szCs w:val="32"/>
          <w:lang w:val="zh-CN"/>
        </w:rPr>
        <w:t>环境空气质量应符合</w:t>
      </w:r>
      <w:bookmarkStart w:id="2" w:name="_Hlk148367971"/>
      <w:r>
        <w:rPr>
          <w:rFonts w:ascii="仿宋_GB2312" w:hAnsi="宋体" w:eastAsia="仿宋_GB2312"/>
          <w:sz w:val="32"/>
          <w:szCs w:val="32"/>
          <w:lang w:val="zh-CN"/>
        </w:rPr>
        <w:t>GB 3095-2012</w:t>
      </w:r>
      <w:bookmarkEnd w:id="2"/>
      <w:r>
        <w:rPr>
          <w:rFonts w:ascii="仿宋_GB2312" w:hAnsi="宋体" w:eastAsia="仿宋_GB2312"/>
          <w:sz w:val="32"/>
          <w:szCs w:val="32"/>
          <w:lang w:val="zh-CN"/>
        </w:rPr>
        <w:t>的要求</w:t>
      </w:r>
      <w:r>
        <w:rPr>
          <w:rFonts w:hint="eastAsia" w:ascii="仿宋_GB2312" w:hAnsi="宋体" w:eastAsia="仿宋_GB2312"/>
          <w:sz w:val="32"/>
          <w:szCs w:val="32"/>
          <w:lang w:val="zh-CN"/>
        </w:rPr>
        <w:t>；</w:t>
      </w:r>
      <w:r>
        <w:rPr>
          <w:rFonts w:ascii="仿宋_GB2312" w:hAnsi="宋体" w:eastAsia="仿宋_GB2312"/>
          <w:sz w:val="32"/>
          <w:szCs w:val="32"/>
          <w:lang w:val="zh-CN"/>
        </w:rPr>
        <w:t xml:space="preserve">污水排放应符合GB </w:t>
      </w:r>
      <w:bookmarkStart w:id="3" w:name="_Hlk148368102"/>
      <w:r>
        <w:rPr>
          <w:rFonts w:ascii="仿宋_GB2312" w:hAnsi="宋体" w:eastAsia="仿宋_GB2312"/>
          <w:sz w:val="32"/>
          <w:szCs w:val="32"/>
          <w:lang w:val="zh-CN"/>
        </w:rPr>
        <w:t>8978</w:t>
      </w:r>
      <w:bookmarkEnd w:id="3"/>
      <w:r>
        <w:rPr>
          <w:rFonts w:ascii="仿宋_GB2312" w:hAnsi="宋体" w:eastAsia="仿宋_GB2312"/>
          <w:sz w:val="32"/>
          <w:szCs w:val="32"/>
          <w:lang w:val="zh-CN"/>
        </w:rPr>
        <w:t>的要求</w:t>
      </w:r>
      <w:r>
        <w:rPr>
          <w:rFonts w:hint="eastAsia" w:ascii="仿宋_GB2312" w:hAnsi="宋体" w:eastAsia="仿宋_GB2312"/>
          <w:sz w:val="32"/>
          <w:szCs w:val="32"/>
          <w:lang w:val="zh-CN"/>
        </w:rPr>
        <w:t>“等。</w:t>
      </w:r>
    </w:p>
    <w:p>
      <w:pPr>
        <w:ind w:firstLine="640" w:firstLineChars="200"/>
        <w:rPr>
          <w:rFonts w:ascii="仿宋_GB2312" w:hAnsi="宋体" w:eastAsia="仿宋_GB2312"/>
          <w:sz w:val="32"/>
          <w:szCs w:val="32"/>
          <w:lang w:val="zh-CN"/>
        </w:rPr>
      </w:pPr>
      <w:r>
        <w:rPr>
          <w:rFonts w:hint="eastAsia" w:ascii="仿宋_GB2312" w:hAnsi="宋体" w:eastAsia="仿宋_GB2312"/>
          <w:sz w:val="32"/>
          <w:szCs w:val="32"/>
          <w:lang w:val="zh-CN"/>
        </w:rPr>
        <w:t>在人员要求上，</w:t>
      </w:r>
      <w:r>
        <w:rPr>
          <w:rFonts w:ascii="仿宋_GB2312" w:hAnsi="仿宋_GB2312" w:eastAsia="仿宋_GB2312"/>
          <w:spacing w:val="2"/>
          <w:sz w:val="32"/>
          <w:szCs w:val="24"/>
        </w:rPr>
        <w:t>主要依据文化和旅游部《文化和旅游标准化工作管理办法》中人才队伍建设的内容</w:t>
      </w:r>
      <w:r>
        <w:rPr>
          <w:rFonts w:hint="eastAsia" w:ascii="仿宋_GB2312" w:hAnsi="仿宋_GB2312" w:eastAsia="仿宋_GB2312"/>
          <w:spacing w:val="2"/>
          <w:sz w:val="32"/>
          <w:szCs w:val="24"/>
        </w:rPr>
        <w:t>，明确</w:t>
      </w:r>
      <w:r>
        <w:rPr>
          <w:rFonts w:hint="eastAsia" w:ascii="仿宋_GB2312" w:hAnsi="宋体" w:eastAsia="仿宋_GB2312"/>
          <w:sz w:val="32"/>
          <w:szCs w:val="32"/>
          <w:lang w:val="zh-CN"/>
        </w:rPr>
        <w:t>了基地运营中专业人员的所需条件，即“</w:t>
      </w:r>
      <w:r>
        <w:rPr>
          <w:rFonts w:ascii="仿宋_GB2312" w:hAnsi="宋体" w:eastAsia="仿宋_GB2312"/>
          <w:sz w:val="32"/>
          <w:szCs w:val="32"/>
          <w:lang w:val="zh-CN"/>
        </w:rPr>
        <w:t>应有与研学消费规模相匹配的，能为其提供各类研学旅行相关配套服务的专业服务团队</w:t>
      </w:r>
      <w:r>
        <w:rPr>
          <w:rFonts w:hint="eastAsia" w:ascii="仿宋_GB2312" w:hAnsi="宋体" w:eastAsia="仿宋_GB2312"/>
          <w:sz w:val="32"/>
          <w:szCs w:val="32"/>
          <w:lang w:val="zh-CN"/>
        </w:rPr>
        <w:t>；</w:t>
      </w:r>
      <w:r>
        <w:rPr>
          <w:rFonts w:ascii="仿宋_GB2312" w:hAnsi="宋体" w:eastAsia="仿宋_GB2312"/>
          <w:sz w:val="32"/>
          <w:szCs w:val="32"/>
          <w:lang w:val="zh-CN"/>
        </w:rPr>
        <w:t>应掌握基本的研学旅行规范、法律常识、宗教信仰和民族习惯等方面的知识</w:t>
      </w:r>
      <w:r>
        <w:rPr>
          <w:rFonts w:hint="eastAsia" w:ascii="仿宋_GB2312" w:hAnsi="宋体" w:eastAsia="仿宋_GB2312"/>
          <w:sz w:val="32"/>
          <w:szCs w:val="32"/>
          <w:lang w:val="zh-CN"/>
        </w:rPr>
        <w:t>；</w:t>
      </w:r>
      <w:r>
        <w:rPr>
          <w:rFonts w:ascii="仿宋_GB2312" w:hAnsi="宋体" w:eastAsia="仿宋_GB2312"/>
          <w:sz w:val="32"/>
          <w:szCs w:val="32"/>
          <w:lang w:val="zh-CN"/>
        </w:rPr>
        <w:t>应掌握一定的医学知识与灾害应急常识，熟悉基地内的医疗服务点、紧急避险通道</w:t>
      </w:r>
      <w:r>
        <w:rPr>
          <w:rFonts w:hint="eastAsia" w:ascii="仿宋_GB2312" w:hAnsi="宋体" w:eastAsia="仿宋_GB2312"/>
          <w:sz w:val="32"/>
          <w:szCs w:val="32"/>
          <w:lang w:val="zh-CN"/>
        </w:rPr>
        <w:t>”</w:t>
      </w:r>
      <w:r>
        <w:rPr>
          <w:rFonts w:ascii="仿宋_GB2312" w:hAnsi="宋体" w:eastAsia="仿宋_GB2312"/>
          <w:sz w:val="32"/>
          <w:szCs w:val="32"/>
          <w:lang w:val="zh-CN"/>
        </w:rPr>
        <w:t xml:space="preserve"> 等</w:t>
      </w:r>
      <w:r>
        <w:rPr>
          <w:rFonts w:hint="eastAsia" w:ascii="仿宋_GB2312" w:hAnsi="宋体" w:eastAsia="仿宋_GB2312"/>
          <w:sz w:val="32"/>
          <w:szCs w:val="32"/>
          <w:lang w:val="zh-CN"/>
        </w:rPr>
        <w:t>，以实现规范运营。</w:t>
      </w:r>
    </w:p>
    <w:p>
      <w:pPr>
        <w:rPr>
          <w:rFonts w:ascii="仿宋_GB2312" w:hAnsi="宋体" w:eastAsia="仿宋_GB2312"/>
          <w:sz w:val="32"/>
          <w:szCs w:val="32"/>
          <w:lang w:val="zh-CN"/>
        </w:rPr>
      </w:pPr>
      <w:r>
        <w:drawing>
          <wp:inline distT="0" distB="0" distL="0" distR="0">
            <wp:extent cx="5274310" cy="3751580"/>
            <wp:effectExtent l="19050" t="19050" r="21590" b="20320"/>
            <wp:docPr id="86644375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6443758" name="图片 1"/>
                    <pic:cNvPicPr>
                      <a:picLocks noChangeAspect="1"/>
                    </pic:cNvPicPr>
                  </pic:nvPicPr>
                  <pic:blipFill>
                    <a:blip r:embed="rId5"/>
                    <a:stretch>
                      <a:fillRect/>
                    </a:stretch>
                  </pic:blipFill>
                  <pic:spPr>
                    <a:xfrm>
                      <a:off x="0" y="0"/>
                      <a:ext cx="5274310" cy="3751580"/>
                    </a:xfrm>
                    <a:prstGeom prst="rect">
                      <a:avLst/>
                    </a:prstGeom>
                    <a:ln>
                      <a:solidFill>
                        <a:schemeClr val="tx1"/>
                      </a:solidFill>
                    </a:ln>
                  </pic:spPr>
                </pic:pic>
              </a:graphicData>
            </a:graphic>
          </wp:inline>
        </w:drawing>
      </w:r>
    </w:p>
    <w:p>
      <w:pPr>
        <w:pStyle w:val="6"/>
        <w:kinsoku w:val="0"/>
        <w:overflowPunct w:val="0"/>
        <w:topLinePunct/>
        <w:autoSpaceDE/>
        <w:autoSpaceDN/>
        <w:adjustRightInd/>
        <w:spacing w:line="560" w:lineRule="exact"/>
        <w:ind w:left="0" w:firstLine="428" w:firstLineChars="200"/>
        <w:jc w:val="center"/>
        <w:rPr>
          <w:rFonts w:ascii="黑体" w:hAnsi="黑体" w:eastAsia="黑体" w:cs="黑体"/>
          <w:spacing w:val="2"/>
          <w:sz w:val="21"/>
          <w:szCs w:val="21"/>
        </w:rPr>
      </w:pPr>
      <w:r>
        <w:rPr>
          <w:rFonts w:hint="eastAsia" w:ascii="黑体" w:hAnsi="黑体" w:eastAsia="黑体" w:cs="黑体"/>
          <w:spacing w:val="2"/>
          <w:sz w:val="21"/>
          <w:szCs w:val="21"/>
        </w:rPr>
        <w:t>来源：中华人民共和国旅游业行业标准《研学旅行服务规范》（</w:t>
      </w:r>
      <w:r>
        <w:rPr>
          <w:rFonts w:ascii="黑体" w:hAnsi="黑体" w:eastAsia="黑体" w:cs="黑体"/>
          <w:spacing w:val="2"/>
          <w:sz w:val="21"/>
          <w:szCs w:val="21"/>
        </w:rPr>
        <w:t>LB/T 054-2016</w:t>
      </w:r>
      <w:r>
        <w:rPr>
          <w:rFonts w:hint="eastAsia" w:ascii="黑体" w:hAnsi="黑体" w:eastAsia="黑体" w:cs="黑体"/>
          <w:spacing w:val="2"/>
          <w:sz w:val="21"/>
          <w:szCs w:val="21"/>
        </w:rPr>
        <w:t>）</w:t>
      </w:r>
    </w:p>
    <w:p>
      <w:pPr>
        <w:rPr>
          <w:rFonts w:ascii="仿宋_GB2312" w:hAnsi="宋体" w:eastAsia="仿宋_GB2312"/>
          <w:sz w:val="32"/>
          <w:szCs w:val="32"/>
        </w:rPr>
      </w:pPr>
      <w:r>
        <w:drawing>
          <wp:inline distT="0" distB="0" distL="0" distR="0">
            <wp:extent cx="5274310" cy="5255895"/>
            <wp:effectExtent l="19050" t="19050" r="21590" b="20955"/>
            <wp:docPr id="100617070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170700" name="图片 1"/>
                    <pic:cNvPicPr>
                      <a:picLocks noChangeAspect="1"/>
                    </pic:cNvPicPr>
                  </pic:nvPicPr>
                  <pic:blipFill>
                    <a:blip r:embed="rId6"/>
                    <a:stretch>
                      <a:fillRect/>
                    </a:stretch>
                  </pic:blipFill>
                  <pic:spPr>
                    <a:xfrm>
                      <a:off x="0" y="0"/>
                      <a:ext cx="5274310" cy="5255895"/>
                    </a:xfrm>
                    <a:prstGeom prst="rect">
                      <a:avLst/>
                    </a:prstGeom>
                    <a:ln>
                      <a:solidFill>
                        <a:schemeClr val="tx1"/>
                      </a:solidFill>
                    </a:ln>
                  </pic:spPr>
                </pic:pic>
              </a:graphicData>
            </a:graphic>
          </wp:inline>
        </w:drawing>
      </w:r>
    </w:p>
    <w:p>
      <w:pPr>
        <w:pStyle w:val="6"/>
        <w:kinsoku w:val="0"/>
        <w:overflowPunct w:val="0"/>
        <w:topLinePunct/>
        <w:autoSpaceDE/>
        <w:autoSpaceDN/>
        <w:adjustRightInd/>
        <w:spacing w:line="560" w:lineRule="exact"/>
        <w:ind w:left="0" w:firstLine="428" w:firstLineChars="200"/>
        <w:jc w:val="center"/>
        <w:rPr>
          <w:rFonts w:ascii="黑体" w:hAnsi="黑体" w:eastAsia="黑体" w:cs="黑体"/>
          <w:spacing w:val="2"/>
          <w:sz w:val="21"/>
          <w:szCs w:val="21"/>
        </w:rPr>
      </w:pPr>
      <w:r>
        <w:rPr>
          <w:rFonts w:hint="eastAsia" w:ascii="黑体" w:hAnsi="黑体" w:eastAsia="黑体" w:cs="黑体"/>
          <w:spacing w:val="2"/>
          <w:sz w:val="21"/>
          <w:szCs w:val="21"/>
        </w:rPr>
        <w:t>来源：中华人民共和国国家标准《环境空气质量标准》（</w:t>
      </w:r>
      <w:r>
        <w:rPr>
          <w:rFonts w:ascii="黑体" w:hAnsi="黑体" w:eastAsia="黑体" w:cs="黑体"/>
          <w:spacing w:val="2"/>
          <w:sz w:val="21"/>
          <w:szCs w:val="21"/>
        </w:rPr>
        <w:t>GB 3095-2012</w:t>
      </w:r>
      <w:r>
        <w:rPr>
          <w:rFonts w:hint="eastAsia" w:ascii="黑体" w:hAnsi="黑体" w:eastAsia="黑体" w:cs="黑体"/>
          <w:spacing w:val="2"/>
          <w:sz w:val="21"/>
          <w:szCs w:val="21"/>
        </w:rPr>
        <w:t>）</w:t>
      </w:r>
    </w:p>
    <w:p>
      <w:pPr>
        <w:rPr>
          <w:rFonts w:ascii="仿宋_GB2312" w:hAnsi="宋体" w:eastAsia="仿宋_GB2312"/>
          <w:sz w:val="32"/>
          <w:szCs w:val="32"/>
        </w:rPr>
      </w:pPr>
      <w:r>
        <w:drawing>
          <wp:inline distT="0" distB="0" distL="0" distR="0">
            <wp:extent cx="5274310" cy="3246755"/>
            <wp:effectExtent l="19050" t="19050" r="21590" b="10795"/>
            <wp:docPr id="3291534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153493" name="图片 1"/>
                    <pic:cNvPicPr>
                      <a:picLocks noChangeAspect="1"/>
                    </pic:cNvPicPr>
                  </pic:nvPicPr>
                  <pic:blipFill>
                    <a:blip r:embed="rId7"/>
                    <a:stretch>
                      <a:fillRect/>
                    </a:stretch>
                  </pic:blipFill>
                  <pic:spPr>
                    <a:xfrm>
                      <a:off x="0" y="0"/>
                      <a:ext cx="5274310" cy="3246755"/>
                    </a:xfrm>
                    <a:prstGeom prst="rect">
                      <a:avLst/>
                    </a:prstGeom>
                    <a:ln>
                      <a:solidFill>
                        <a:schemeClr val="tx1"/>
                      </a:solidFill>
                    </a:ln>
                  </pic:spPr>
                </pic:pic>
              </a:graphicData>
            </a:graphic>
          </wp:inline>
        </w:drawing>
      </w:r>
    </w:p>
    <w:p>
      <w:pPr>
        <w:pStyle w:val="6"/>
        <w:kinsoku w:val="0"/>
        <w:overflowPunct w:val="0"/>
        <w:topLinePunct/>
        <w:autoSpaceDE/>
        <w:autoSpaceDN/>
        <w:adjustRightInd/>
        <w:spacing w:line="560" w:lineRule="exact"/>
        <w:ind w:left="0" w:firstLine="640" w:firstLineChars="200"/>
        <w:jc w:val="center"/>
        <w:rPr>
          <w:rFonts w:ascii="黑体" w:hAnsi="黑体" w:eastAsia="黑体" w:cs="黑体"/>
          <w:spacing w:val="2"/>
          <w:sz w:val="21"/>
          <w:szCs w:val="21"/>
        </w:rPr>
      </w:pPr>
      <w:r>
        <w:drawing>
          <wp:anchor distT="0" distB="0" distL="114300" distR="114300" simplePos="0" relativeHeight="251659264" behindDoc="1" locked="0" layoutInCell="1" allowOverlap="1">
            <wp:simplePos x="0" y="0"/>
            <wp:positionH relativeFrom="column">
              <wp:posOffset>16510</wp:posOffset>
            </wp:positionH>
            <wp:positionV relativeFrom="paragraph">
              <wp:posOffset>535305</wp:posOffset>
            </wp:positionV>
            <wp:extent cx="5274310" cy="459740"/>
            <wp:effectExtent l="19050" t="19050" r="21590" b="16510"/>
            <wp:wrapTight wrapText="bothSides">
              <wp:wrapPolygon>
                <wp:start x="-78" y="-895"/>
                <wp:lineTo x="-78" y="21481"/>
                <wp:lineTo x="21610" y="21481"/>
                <wp:lineTo x="21610" y="-895"/>
                <wp:lineTo x="-78" y="-895"/>
              </wp:wrapPolygon>
            </wp:wrapTight>
            <wp:docPr id="9254765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5476515" name="图片 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5274310" cy="459740"/>
                    </a:xfrm>
                    <a:prstGeom prst="rect">
                      <a:avLst/>
                    </a:prstGeom>
                    <a:ln>
                      <a:solidFill>
                        <a:schemeClr val="tx1"/>
                      </a:solidFill>
                    </a:ln>
                  </pic:spPr>
                </pic:pic>
              </a:graphicData>
            </a:graphic>
          </wp:anchor>
        </w:drawing>
      </w:r>
      <w:r>
        <w:rPr>
          <w:rFonts w:hint="eastAsia" w:ascii="黑体" w:hAnsi="黑体" w:eastAsia="黑体" w:cs="黑体"/>
          <w:spacing w:val="2"/>
          <w:sz w:val="21"/>
          <w:szCs w:val="21"/>
        </w:rPr>
        <w:t>来源：中华人民共和国国家标准《污水综合排放标准》（</w:t>
      </w:r>
      <w:r>
        <w:rPr>
          <w:rFonts w:ascii="黑体" w:hAnsi="黑体" w:eastAsia="黑体" w:cs="黑体"/>
          <w:spacing w:val="2"/>
          <w:sz w:val="21"/>
          <w:szCs w:val="21"/>
        </w:rPr>
        <w:t>GB 8978</w:t>
      </w:r>
      <w:r>
        <w:rPr>
          <w:rFonts w:hint="eastAsia" w:ascii="黑体" w:hAnsi="黑体" w:eastAsia="黑体" w:cs="黑体"/>
          <w:spacing w:val="2"/>
          <w:sz w:val="21"/>
          <w:szCs w:val="21"/>
        </w:rPr>
        <w:t>）</w:t>
      </w:r>
    </w:p>
    <w:p>
      <w:pPr>
        <w:pStyle w:val="6"/>
        <w:kinsoku w:val="0"/>
        <w:overflowPunct w:val="0"/>
        <w:topLinePunct/>
        <w:autoSpaceDE/>
        <w:autoSpaceDN/>
        <w:adjustRightInd/>
        <w:ind w:left="0" w:firstLine="642" w:firstLineChars="300"/>
        <w:rPr>
          <w:rFonts w:ascii="黑体" w:hAnsi="黑体" w:eastAsia="黑体" w:cs="黑体"/>
          <w:spacing w:val="2"/>
          <w:sz w:val="21"/>
          <w:szCs w:val="21"/>
        </w:rPr>
      </w:pPr>
      <w:r>
        <w:rPr>
          <w:rFonts w:hint="eastAsia" w:ascii="黑体" w:hAnsi="黑体" w:eastAsia="黑体" w:cs="黑体"/>
          <w:spacing w:val="2"/>
          <w:sz w:val="21"/>
          <w:szCs w:val="21"/>
        </w:rPr>
        <w:t>来源：文化和旅游部关于印发《文化和旅游标准化工作管理办法》的通知（</w:t>
      </w:r>
      <w:r>
        <w:rPr>
          <w:rFonts w:ascii="黑体" w:hAnsi="黑体" w:eastAsia="黑体" w:cs="黑体"/>
          <w:spacing w:val="2"/>
          <w:sz w:val="21"/>
          <w:szCs w:val="21"/>
        </w:rPr>
        <w:t>文旅科教发〔2023〕28号</w:t>
      </w:r>
      <w:r>
        <w:rPr>
          <w:rFonts w:hint="eastAsia" w:ascii="黑体" w:hAnsi="黑体" w:eastAsia="黑体" w:cs="黑体"/>
          <w:spacing w:val="2"/>
          <w:sz w:val="21"/>
          <w:szCs w:val="21"/>
        </w:rPr>
        <w:t>）</w:t>
      </w:r>
    </w:p>
    <w:p>
      <w:pPr>
        <w:pStyle w:val="3"/>
        <w:rPr>
          <w:lang w:val="zh-CN"/>
        </w:rPr>
      </w:pPr>
      <w:r>
        <w:rPr>
          <w:rFonts w:hint="eastAsia"/>
          <w:lang w:val="zh-CN"/>
        </w:rPr>
        <w:t>（四）</w:t>
      </w:r>
      <w:bookmarkStart w:id="4" w:name="_Hlk147590086"/>
      <w:r>
        <w:rPr>
          <w:rFonts w:hint="eastAsia"/>
          <w:lang w:val="zh-CN"/>
        </w:rPr>
        <w:t>运营管理</w:t>
      </w:r>
      <w:bookmarkEnd w:id="4"/>
    </w:p>
    <w:p>
      <w:pPr>
        <w:ind w:firstLine="640" w:firstLineChars="200"/>
        <w:rPr>
          <w:rFonts w:ascii="仿宋_GB2312" w:hAnsi="宋体" w:eastAsia="仿宋_GB2312"/>
          <w:sz w:val="32"/>
          <w:szCs w:val="32"/>
          <w:lang w:val="zh-CN"/>
        </w:rPr>
      </w:pPr>
      <w:r>
        <w:rPr>
          <w:rFonts w:ascii="仿宋_GB2312" w:hAnsi="宋体" w:eastAsia="仿宋_GB2312"/>
          <w:color w:val="000000" w:themeColor="text1"/>
          <w:sz w:val="32"/>
          <w:szCs w:val="28"/>
          <w14:textFill>
            <w14:solidFill>
              <w14:schemeClr w14:val="tx1"/>
            </w14:solidFill>
          </w14:textFill>
        </w:rPr>
        <w:t>通过</w:t>
      </w:r>
      <w:r>
        <w:rPr>
          <w:rFonts w:ascii="仿宋_GB2312" w:hAnsi="仿宋_GB2312" w:eastAsia="仿宋_GB2312"/>
          <w:spacing w:val="2"/>
          <w:sz w:val="32"/>
          <w:szCs w:val="24"/>
        </w:rPr>
        <w:t>深入</w:t>
      </w:r>
      <w:r>
        <w:rPr>
          <w:rFonts w:ascii="仿宋_GB2312" w:hAnsi="宋体" w:eastAsia="仿宋_GB2312"/>
          <w:sz w:val="32"/>
          <w:szCs w:val="28"/>
          <w:lang w:val="zh-CN"/>
        </w:rPr>
        <w:t>南宁万达茂文化产业有限公司、广西南宁大王滩经济开发中心、美丽南方青瓦房古村落、桂平市金田起义博物馆、黄姚乐耘庄园基地、广西五彩田园研学实践与劳动教育营地、</w:t>
      </w:r>
      <w:r>
        <w:rPr>
          <w:rFonts w:ascii="仿宋_GB2312" w:hAnsi="宋体" w:eastAsia="仿宋_GB2312"/>
          <w:color w:val="000000" w:themeColor="text1"/>
          <w:sz w:val="32"/>
          <w:szCs w:val="28"/>
          <w14:textFill>
            <w14:solidFill>
              <w14:schemeClr w14:val="tx1"/>
            </w14:solidFill>
          </w14:textFill>
        </w:rPr>
        <w:t>桂林市七星区文化体育和旅游局、广西师范大学、桂林市中小学生示范性综合实践教育中心、桂林市靖江王陵文物管理处研学实践教育基地、桂海清岚研学实践教育基地、桂林市观赏石协会地质科普研学实践教育基地等地，对研学旅行</w:t>
      </w:r>
      <w:r>
        <w:rPr>
          <w:rFonts w:hint="eastAsia" w:ascii="仿宋_GB2312" w:hAnsi="宋体" w:eastAsia="仿宋_GB2312"/>
          <w:color w:val="000000" w:themeColor="text1"/>
          <w:sz w:val="32"/>
          <w:szCs w:val="28"/>
          <w14:textFill>
            <w14:solidFill>
              <w14:schemeClr w14:val="tx1"/>
            </w14:solidFill>
          </w14:textFill>
        </w:rPr>
        <w:t>基地运营情况</w:t>
      </w:r>
      <w:r>
        <w:rPr>
          <w:rFonts w:ascii="仿宋_GB2312" w:hAnsi="宋体" w:eastAsia="仿宋_GB2312"/>
          <w:color w:val="000000" w:themeColor="text1"/>
          <w:sz w:val="32"/>
          <w:szCs w:val="28"/>
          <w14:textFill>
            <w14:solidFill>
              <w14:schemeClr w14:val="tx1"/>
            </w14:solidFill>
          </w14:textFill>
        </w:rPr>
        <w:t>进行实地调研，结合实际讨论，明确了</w:t>
      </w:r>
      <w:r>
        <w:rPr>
          <w:rFonts w:hint="eastAsia" w:ascii="仿宋_GB2312" w:hAnsi="宋体" w:eastAsia="仿宋_GB2312"/>
          <w:color w:val="000000" w:themeColor="text1"/>
          <w:sz w:val="32"/>
          <w:szCs w:val="28"/>
          <w14:textFill>
            <w14:solidFill>
              <w14:schemeClr w14:val="tx1"/>
            </w14:solidFill>
          </w14:textFill>
        </w:rPr>
        <w:t>运营主体应具备</w:t>
      </w:r>
      <w:r>
        <w:rPr>
          <w:rFonts w:hint="eastAsia" w:ascii="仿宋_GB2312" w:hAnsi="宋体" w:eastAsia="仿宋_GB2312"/>
          <w:sz w:val="32"/>
          <w:szCs w:val="32"/>
          <w:lang w:val="zh-CN"/>
        </w:rPr>
        <w:t>“配备设施”“</w:t>
      </w:r>
      <w:r>
        <w:rPr>
          <w:rFonts w:ascii="仿宋_GB2312" w:hAnsi="宋体" w:eastAsia="仿宋_GB2312"/>
          <w:sz w:val="32"/>
          <w:szCs w:val="32"/>
          <w:lang w:val="zh-CN"/>
        </w:rPr>
        <w:t>产品设计</w:t>
      </w:r>
      <w:r>
        <w:rPr>
          <w:rFonts w:hint="eastAsia" w:ascii="仿宋_GB2312" w:hAnsi="宋体" w:eastAsia="仿宋_GB2312"/>
          <w:sz w:val="32"/>
          <w:szCs w:val="32"/>
          <w:lang w:val="zh-CN"/>
        </w:rPr>
        <w:t>”“</w:t>
      </w:r>
      <w:r>
        <w:rPr>
          <w:rFonts w:ascii="仿宋_GB2312" w:hAnsi="宋体" w:eastAsia="仿宋_GB2312"/>
          <w:sz w:val="32"/>
          <w:szCs w:val="32"/>
          <w:lang w:val="zh-CN"/>
        </w:rPr>
        <w:t>管理制度</w:t>
      </w:r>
      <w:r>
        <w:rPr>
          <w:rFonts w:hint="eastAsia" w:ascii="仿宋_GB2312" w:hAnsi="宋体" w:eastAsia="仿宋_GB2312"/>
          <w:sz w:val="32"/>
          <w:szCs w:val="32"/>
          <w:lang w:val="zh-CN"/>
        </w:rPr>
        <w:t>”等运营条件</w:t>
      </w:r>
      <w:r>
        <w:rPr>
          <w:rFonts w:ascii="仿宋_GB2312" w:hAnsi="宋体" w:eastAsia="仿宋_GB2312"/>
          <w:sz w:val="32"/>
          <w:szCs w:val="32"/>
          <w:lang w:val="zh-CN"/>
        </w:rPr>
        <w:t>。</w:t>
      </w:r>
    </w:p>
    <w:p>
      <w:pPr>
        <w:ind w:firstLine="640" w:firstLineChars="200"/>
        <w:rPr>
          <w:rFonts w:ascii="仿宋_GB2312" w:hAnsi="宋体" w:eastAsia="仿宋_GB2312"/>
          <w:sz w:val="32"/>
          <w:szCs w:val="32"/>
          <w:lang w:val="zh-CN"/>
        </w:rPr>
      </w:pPr>
      <w:r>
        <w:rPr>
          <w:rFonts w:hint="eastAsia" w:ascii="仿宋_GB2312" w:hAnsi="宋体" w:eastAsia="仿宋_GB2312"/>
          <w:sz w:val="32"/>
          <w:szCs w:val="32"/>
          <w:lang w:val="zh-CN"/>
        </w:rPr>
        <w:t>在配备设施管理方面，参照广西《自治区教育厅关于开展广西第五批中小学生研学实践教育基（营）地推荐工作的通知》中对于基地推荐条件等相关配套设施建设的要求，从“教学辅助设施“”标识标牌“”交通导览设施“”线路设置导览设施“等方面明确了了研学旅行基地运营主体的设施设置，并建议“</w:t>
      </w:r>
      <w:r>
        <w:rPr>
          <w:rFonts w:ascii="仿宋_GB2312" w:hAnsi="宋体" w:eastAsia="仿宋_GB2312"/>
          <w:sz w:val="32"/>
          <w:szCs w:val="32"/>
          <w:lang w:val="zh-CN"/>
        </w:rPr>
        <w:t>基地教育区、卫生区、用火区、就餐区、娱乐区、用水区(盥洗)等应有相应的安全距离，并合理规划和设置</w:t>
      </w:r>
      <w:r>
        <w:rPr>
          <w:rFonts w:hint="eastAsia" w:ascii="仿宋_GB2312" w:hAnsi="宋体" w:eastAsia="仿宋_GB2312"/>
          <w:sz w:val="32"/>
          <w:szCs w:val="32"/>
          <w:lang w:val="zh-CN"/>
        </w:rPr>
        <w:t>”，以及“</w:t>
      </w:r>
      <w:r>
        <w:rPr>
          <w:rFonts w:ascii="仿宋_GB2312" w:hAnsi="宋体" w:eastAsia="仿宋_GB2312"/>
          <w:sz w:val="32"/>
          <w:szCs w:val="32"/>
          <w:lang w:val="zh-CN"/>
        </w:rPr>
        <w:t>宜建立结构合理的专职、兼职、志愿者等相结合的基地安全管理队伍</w:t>
      </w:r>
      <w:r>
        <w:rPr>
          <w:rFonts w:hint="eastAsia" w:ascii="仿宋_GB2312" w:hAnsi="宋体" w:eastAsia="仿宋_GB2312"/>
          <w:sz w:val="32"/>
          <w:szCs w:val="32"/>
          <w:lang w:val="zh-CN"/>
        </w:rPr>
        <w:t>”。</w:t>
      </w:r>
    </w:p>
    <w:p>
      <w:pPr>
        <w:rPr>
          <w:rFonts w:ascii="仿宋_GB2312" w:hAnsi="宋体" w:eastAsia="仿宋_GB2312"/>
          <w:sz w:val="32"/>
          <w:szCs w:val="32"/>
          <w:lang w:val="zh-CN"/>
        </w:rPr>
      </w:pPr>
      <w:r>
        <w:drawing>
          <wp:inline distT="0" distB="0" distL="0" distR="0">
            <wp:extent cx="5274310" cy="3283585"/>
            <wp:effectExtent l="19050" t="19050" r="21590" b="12065"/>
            <wp:docPr id="42925958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259582" name="图片 1"/>
                    <pic:cNvPicPr>
                      <a:picLocks noChangeAspect="1"/>
                    </pic:cNvPicPr>
                  </pic:nvPicPr>
                  <pic:blipFill>
                    <a:blip r:embed="rId9"/>
                    <a:stretch>
                      <a:fillRect/>
                    </a:stretch>
                  </pic:blipFill>
                  <pic:spPr>
                    <a:xfrm>
                      <a:off x="0" y="0"/>
                      <a:ext cx="5274310" cy="3283585"/>
                    </a:xfrm>
                    <a:prstGeom prst="rect">
                      <a:avLst/>
                    </a:prstGeom>
                    <a:ln>
                      <a:solidFill>
                        <a:schemeClr val="tx1"/>
                      </a:solidFill>
                    </a:ln>
                  </pic:spPr>
                </pic:pic>
              </a:graphicData>
            </a:graphic>
          </wp:inline>
        </w:drawing>
      </w:r>
    </w:p>
    <w:p>
      <w:pPr>
        <w:pStyle w:val="6"/>
        <w:kinsoku w:val="0"/>
        <w:overflowPunct w:val="0"/>
        <w:topLinePunct/>
        <w:autoSpaceDE/>
        <w:autoSpaceDN/>
        <w:adjustRightInd/>
        <w:ind w:left="0" w:firstLine="642" w:firstLineChars="300"/>
        <w:rPr>
          <w:rFonts w:ascii="黑体" w:hAnsi="黑体" w:eastAsia="黑体" w:cs="黑体"/>
          <w:spacing w:val="2"/>
          <w:sz w:val="21"/>
          <w:szCs w:val="21"/>
        </w:rPr>
      </w:pPr>
      <w:r>
        <w:rPr>
          <w:rFonts w:hint="eastAsia" w:ascii="黑体" w:hAnsi="黑体" w:eastAsia="黑体" w:cs="黑体"/>
          <w:spacing w:val="2"/>
          <w:sz w:val="21"/>
          <w:szCs w:val="21"/>
        </w:rPr>
        <w:t>来源：自治区教育厅关于开展广西第五批中小学生研学实践教育基（营）地推荐工作的通知（桂教基教〔</w:t>
      </w:r>
      <w:r>
        <w:rPr>
          <w:rFonts w:ascii="黑体" w:hAnsi="黑体" w:eastAsia="黑体" w:cs="黑体"/>
          <w:spacing w:val="2"/>
          <w:sz w:val="21"/>
          <w:szCs w:val="21"/>
        </w:rPr>
        <w:t>2023〕25号</w:t>
      </w:r>
      <w:r>
        <w:rPr>
          <w:rFonts w:hint="eastAsia" w:ascii="黑体" w:hAnsi="黑体" w:eastAsia="黑体" w:cs="黑体"/>
          <w:spacing w:val="2"/>
          <w:sz w:val="21"/>
          <w:szCs w:val="21"/>
        </w:rPr>
        <w:t>）</w:t>
      </w:r>
    </w:p>
    <w:p>
      <w:pPr>
        <w:ind w:firstLine="640" w:firstLineChars="200"/>
        <w:rPr>
          <w:rFonts w:ascii="仿宋_GB2312" w:hAnsi="宋体" w:eastAsia="仿宋_GB2312"/>
          <w:sz w:val="32"/>
          <w:szCs w:val="32"/>
          <w:lang w:val="zh-CN"/>
        </w:rPr>
      </w:pPr>
      <w:r>
        <w:rPr>
          <w:rFonts w:hint="eastAsia" w:ascii="仿宋_GB2312" w:hAnsi="宋体" w:eastAsia="仿宋_GB2312"/>
          <w:sz w:val="32"/>
          <w:szCs w:val="32"/>
          <w:lang w:val="zh-CN"/>
        </w:rPr>
        <w:t>在产品设计方面，参照《国务院关于印发“十四五”旅游业发展规划的通知》中“推动研学实践活动发展，创建一批研学资源丰富、课程体系健全、活动特色鲜明与安全措施完善的研学实践活动基地，为中小学生有组织开展研学实践活动提供必要保障及支持“的意见要求，提出”应</w:t>
      </w:r>
      <w:r>
        <w:rPr>
          <w:rFonts w:ascii="仿宋_GB2312" w:hAnsi="宋体" w:eastAsia="仿宋_GB2312"/>
          <w:sz w:val="32"/>
          <w:szCs w:val="32"/>
          <w:lang w:val="zh-CN"/>
        </w:rPr>
        <w:t>结合研学旅行目标和需求推出课程体系，针对不同人群特点，设计研学旅行产品，凸显区域资源或文化特色</w:t>
      </w:r>
      <w:r>
        <w:rPr>
          <w:rFonts w:hint="eastAsia" w:ascii="仿宋_GB2312" w:hAnsi="宋体" w:eastAsia="仿宋_GB2312"/>
          <w:sz w:val="32"/>
          <w:szCs w:val="32"/>
          <w:lang w:val="zh-CN"/>
        </w:rPr>
        <w:t>；</w:t>
      </w:r>
      <w:r>
        <w:rPr>
          <w:rFonts w:ascii="仿宋_GB2312" w:hAnsi="宋体" w:eastAsia="仿宋_GB2312"/>
          <w:sz w:val="32"/>
          <w:szCs w:val="32"/>
          <w:lang w:val="zh-CN"/>
        </w:rPr>
        <w:t>充分利用研学旅行基地所在区域的山水风光、体育运动、历史文化、革命传统、科教、人文等资源优势，开发特色优势研学旅行线路和产品</w:t>
      </w:r>
      <w:r>
        <w:rPr>
          <w:rFonts w:hint="eastAsia" w:ascii="仿宋_GB2312" w:hAnsi="宋体" w:eastAsia="仿宋_GB2312"/>
          <w:sz w:val="32"/>
          <w:szCs w:val="32"/>
          <w:lang w:val="zh-CN"/>
        </w:rPr>
        <w:t>“；参照《文化和旅游部办公厅</w:t>
      </w:r>
      <w:r>
        <w:rPr>
          <w:rFonts w:ascii="仿宋_GB2312" w:hAnsi="宋体" w:eastAsia="仿宋_GB2312"/>
          <w:sz w:val="32"/>
          <w:szCs w:val="32"/>
          <w:lang w:val="zh-CN"/>
        </w:rPr>
        <w:t xml:space="preserve"> 教育部办公厅 国家文物局办公室关于利用文化和旅游资源、文物资源提升青少年精神素养的通知》</w:t>
      </w:r>
      <w:r>
        <w:rPr>
          <w:rFonts w:hint="eastAsia" w:ascii="仿宋_GB2312" w:hAnsi="宋体" w:eastAsia="仿宋_GB2312"/>
          <w:sz w:val="32"/>
          <w:szCs w:val="32"/>
          <w:lang w:val="zh-CN"/>
        </w:rPr>
        <w:t>中“以博物馆、纪念馆、开放的文物保护单位、考古遗址公园和、红色旅游景区等设计</w:t>
      </w:r>
      <w:r>
        <w:rPr>
          <w:rFonts w:ascii="仿宋_GB2312" w:hAnsi="宋体" w:eastAsia="仿宋_GB2312"/>
          <w:sz w:val="32"/>
          <w:szCs w:val="32"/>
          <w:lang w:val="zh-CN"/>
        </w:rPr>
        <w:t>精品研学旅行路线</w:t>
      </w:r>
      <w:r>
        <w:rPr>
          <w:rFonts w:hint="eastAsia" w:ascii="仿宋_GB2312" w:hAnsi="宋体" w:eastAsia="仿宋_GB2312"/>
          <w:sz w:val="32"/>
          <w:szCs w:val="32"/>
          <w:lang w:val="zh-CN"/>
        </w:rPr>
        <w:t>“等意见，充分考虑广西的地域、文化、历史等特点，提出”</w:t>
      </w:r>
      <w:r>
        <w:rPr>
          <w:rFonts w:ascii="仿宋_GB2312" w:hAnsi="宋体" w:eastAsia="仿宋_GB2312"/>
          <w:sz w:val="32"/>
          <w:szCs w:val="32"/>
          <w:lang w:val="zh-CN"/>
        </w:rPr>
        <w:t>研学旅行产品策划，应融入理想信念教育、爱国主义教育、革命传统教育、国情市情教育、文化传承教育、学科实践教育、劳动教育等内容</w:t>
      </w:r>
      <w:r>
        <w:rPr>
          <w:rFonts w:hint="eastAsia" w:ascii="仿宋_GB2312" w:hAnsi="宋体" w:eastAsia="仿宋_GB2312"/>
          <w:sz w:val="32"/>
          <w:szCs w:val="32"/>
          <w:lang w:val="zh-CN"/>
        </w:rPr>
        <w:t>“”宜加强与研究教育研究机构合作，重视市场调研分析，积极研发符合市场需求和具有区域人文、自然、历史、生态等特征的研学产品体系”。</w:t>
      </w:r>
    </w:p>
    <w:p>
      <w:pPr>
        <w:rPr>
          <w:rFonts w:ascii="仿宋_GB2312" w:hAnsi="宋体" w:eastAsia="仿宋_GB2312"/>
          <w:sz w:val="32"/>
          <w:szCs w:val="32"/>
          <w:lang w:val="zh-CN"/>
        </w:rPr>
      </w:pPr>
      <w:r>
        <w:drawing>
          <wp:inline distT="0" distB="0" distL="0" distR="0">
            <wp:extent cx="5274310" cy="525145"/>
            <wp:effectExtent l="19050" t="19050" r="21590" b="27305"/>
            <wp:docPr id="3931390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139011" name="图片 1"/>
                    <pic:cNvPicPr>
                      <a:picLocks noChangeAspect="1"/>
                    </pic:cNvPicPr>
                  </pic:nvPicPr>
                  <pic:blipFill>
                    <a:blip r:embed="rId10"/>
                    <a:stretch>
                      <a:fillRect/>
                    </a:stretch>
                  </pic:blipFill>
                  <pic:spPr>
                    <a:xfrm>
                      <a:off x="0" y="0"/>
                      <a:ext cx="5274310" cy="525145"/>
                    </a:xfrm>
                    <a:prstGeom prst="rect">
                      <a:avLst/>
                    </a:prstGeom>
                    <a:ln>
                      <a:solidFill>
                        <a:schemeClr val="tx1"/>
                      </a:solidFill>
                    </a:ln>
                  </pic:spPr>
                </pic:pic>
              </a:graphicData>
            </a:graphic>
          </wp:inline>
        </w:drawing>
      </w:r>
    </w:p>
    <w:p>
      <w:pPr>
        <w:ind w:firstLine="428" w:firstLineChars="200"/>
        <w:rPr>
          <w:rFonts w:ascii="仿宋_GB2312" w:hAnsi="宋体" w:eastAsia="仿宋_GB2312"/>
          <w:sz w:val="32"/>
          <w:szCs w:val="32"/>
          <w:lang w:val="zh-CN"/>
        </w:rPr>
      </w:pPr>
      <w:r>
        <w:rPr>
          <w:rFonts w:hint="eastAsia" w:ascii="黑体" w:hAnsi="黑体" w:eastAsia="黑体" w:cs="黑体"/>
          <w:spacing w:val="2"/>
          <w:szCs w:val="21"/>
        </w:rPr>
        <w:t>来源：国务院关于印发“十四五”旅游业发展规划的通知（国发〔</w:t>
      </w:r>
      <w:r>
        <w:rPr>
          <w:rFonts w:ascii="黑体" w:hAnsi="黑体" w:eastAsia="黑体" w:cs="黑体"/>
          <w:spacing w:val="2"/>
          <w:szCs w:val="21"/>
        </w:rPr>
        <w:t>2021〕32号</w:t>
      </w:r>
      <w:r>
        <w:rPr>
          <w:rFonts w:hint="eastAsia" w:ascii="黑体" w:hAnsi="黑体" w:eastAsia="黑体" w:cs="黑体"/>
          <w:spacing w:val="2"/>
          <w:szCs w:val="21"/>
        </w:rPr>
        <w:t>）</w:t>
      </w:r>
    </w:p>
    <w:p>
      <w:pPr>
        <w:rPr>
          <w:rFonts w:ascii="仿宋_GB2312" w:hAnsi="宋体" w:eastAsia="仿宋_GB2312"/>
          <w:sz w:val="32"/>
          <w:szCs w:val="32"/>
          <w:lang w:val="zh-CN"/>
        </w:rPr>
      </w:pPr>
      <w:r>
        <w:drawing>
          <wp:inline distT="0" distB="0" distL="0" distR="0">
            <wp:extent cx="5274310" cy="1271270"/>
            <wp:effectExtent l="19050" t="19050" r="21590" b="24130"/>
            <wp:docPr id="20181540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154093" name="图片 1"/>
                    <pic:cNvPicPr>
                      <a:picLocks noChangeAspect="1"/>
                    </pic:cNvPicPr>
                  </pic:nvPicPr>
                  <pic:blipFill>
                    <a:blip r:embed="rId11"/>
                    <a:stretch>
                      <a:fillRect/>
                    </a:stretch>
                  </pic:blipFill>
                  <pic:spPr>
                    <a:xfrm>
                      <a:off x="0" y="0"/>
                      <a:ext cx="5274310" cy="1271270"/>
                    </a:xfrm>
                    <a:prstGeom prst="rect">
                      <a:avLst/>
                    </a:prstGeom>
                    <a:ln>
                      <a:solidFill>
                        <a:schemeClr val="tx1"/>
                      </a:solidFill>
                    </a:ln>
                  </pic:spPr>
                </pic:pic>
              </a:graphicData>
            </a:graphic>
          </wp:inline>
        </w:drawing>
      </w:r>
    </w:p>
    <w:p>
      <w:pPr>
        <w:ind w:firstLine="428" w:firstLineChars="200"/>
        <w:rPr>
          <w:rFonts w:ascii="仿宋_GB2312" w:hAnsi="宋体" w:eastAsia="仿宋_GB2312"/>
          <w:sz w:val="32"/>
          <w:szCs w:val="32"/>
          <w:lang w:val="zh-CN"/>
        </w:rPr>
      </w:pPr>
      <w:r>
        <w:rPr>
          <w:rFonts w:hint="eastAsia" w:ascii="黑体" w:hAnsi="黑体" w:eastAsia="黑体" w:cs="黑体"/>
          <w:spacing w:val="2"/>
          <w:szCs w:val="21"/>
        </w:rPr>
        <w:t>来源：</w:t>
      </w:r>
      <w:bookmarkStart w:id="5" w:name="_Hlk148369859"/>
      <w:r>
        <w:rPr>
          <w:rFonts w:hint="eastAsia" w:ascii="黑体" w:hAnsi="黑体" w:eastAsia="黑体" w:cs="黑体"/>
          <w:spacing w:val="2"/>
          <w:szCs w:val="21"/>
        </w:rPr>
        <w:t>文化和旅游部办公厅</w:t>
      </w:r>
      <w:r>
        <w:rPr>
          <w:rFonts w:ascii="黑体" w:hAnsi="黑体" w:eastAsia="黑体" w:cs="黑体"/>
          <w:spacing w:val="2"/>
          <w:szCs w:val="21"/>
        </w:rPr>
        <w:t xml:space="preserve"> 教育部办公厅 国家文物局办公室关于利用文化和旅游资源、文物资源提升青少年精神素养的通知</w:t>
      </w:r>
      <w:bookmarkEnd w:id="5"/>
      <w:r>
        <w:rPr>
          <w:rFonts w:hint="eastAsia" w:ascii="黑体" w:hAnsi="黑体" w:eastAsia="黑体" w:cs="黑体"/>
          <w:spacing w:val="2"/>
          <w:szCs w:val="21"/>
        </w:rPr>
        <w:t>（办公共发〔</w:t>
      </w:r>
      <w:r>
        <w:rPr>
          <w:rFonts w:ascii="黑体" w:hAnsi="黑体" w:eastAsia="黑体" w:cs="黑体"/>
          <w:spacing w:val="2"/>
          <w:szCs w:val="21"/>
        </w:rPr>
        <w:t>2022〕29号</w:t>
      </w:r>
      <w:r>
        <w:rPr>
          <w:rFonts w:hint="eastAsia" w:ascii="黑体" w:hAnsi="黑体" w:eastAsia="黑体" w:cs="黑体"/>
          <w:spacing w:val="2"/>
          <w:szCs w:val="21"/>
        </w:rPr>
        <w:t>）</w:t>
      </w:r>
    </w:p>
    <w:p>
      <w:pPr>
        <w:ind w:firstLine="640" w:firstLineChars="200"/>
        <w:rPr>
          <w:rFonts w:ascii="仿宋_GB2312" w:hAnsi="宋体" w:eastAsia="仿宋_GB2312"/>
          <w:sz w:val="32"/>
          <w:szCs w:val="32"/>
          <w:lang w:val="zh-CN"/>
        </w:rPr>
      </w:pPr>
      <w:r>
        <w:rPr>
          <w:rFonts w:hint="eastAsia" w:ascii="仿宋_GB2312" w:hAnsi="宋体" w:eastAsia="仿宋_GB2312"/>
          <w:sz w:val="32"/>
          <w:szCs w:val="32"/>
          <w:lang w:val="zh-CN"/>
        </w:rPr>
        <w:t>在管理制定方面，参照《教育部等</w:t>
      </w:r>
      <w:r>
        <w:rPr>
          <w:rFonts w:ascii="仿宋_GB2312" w:hAnsi="宋体" w:eastAsia="仿宋_GB2312"/>
          <w:sz w:val="32"/>
          <w:szCs w:val="32"/>
          <w:lang w:val="zh-CN"/>
        </w:rPr>
        <w:t>11部门关于推进中小学生</w:t>
      </w:r>
      <w:r>
        <w:rPr>
          <w:rFonts w:hint="eastAsia" w:ascii="仿宋_GB2312" w:hAnsi="宋体" w:eastAsia="仿宋_GB2312"/>
          <w:sz w:val="32"/>
          <w:szCs w:val="32"/>
          <w:lang w:val="zh-CN"/>
        </w:rPr>
        <w:t>研学旅行的意见》中对于研学旅行主要任务的意见，从“</w:t>
      </w:r>
      <w:r>
        <w:rPr>
          <w:rFonts w:ascii="仿宋_GB2312" w:hAnsi="宋体" w:eastAsia="仿宋_GB2312"/>
          <w:sz w:val="32"/>
          <w:szCs w:val="32"/>
          <w:lang w:val="zh-CN"/>
        </w:rPr>
        <w:t>安全预警机制和应急预案</w:t>
      </w:r>
      <w:r>
        <w:rPr>
          <w:rFonts w:hint="eastAsia" w:ascii="仿宋_GB2312" w:hAnsi="宋体" w:eastAsia="仿宋_GB2312"/>
          <w:sz w:val="32"/>
          <w:szCs w:val="32"/>
          <w:lang w:val="zh-CN"/>
        </w:rPr>
        <w:t>“”</w:t>
      </w:r>
      <w:r>
        <w:rPr>
          <w:rFonts w:ascii="仿宋_GB2312" w:hAnsi="宋体" w:eastAsia="仿宋_GB2312"/>
          <w:sz w:val="32"/>
          <w:szCs w:val="32"/>
          <w:lang w:val="zh-CN"/>
        </w:rPr>
        <w:t>安全责任机制</w:t>
      </w:r>
      <w:r>
        <w:rPr>
          <w:rFonts w:hint="eastAsia" w:ascii="仿宋_GB2312" w:hAnsi="宋体" w:eastAsia="仿宋_GB2312"/>
          <w:sz w:val="32"/>
          <w:szCs w:val="32"/>
          <w:lang w:val="zh-CN"/>
        </w:rPr>
        <w:t>“”</w:t>
      </w:r>
      <w:r>
        <w:rPr>
          <w:rFonts w:ascii="仿宋_GB2312" w:hAnsi="宋体" w:eastAsia="仿宋_GB2312"/>
          <w:sz w:val="32"/>
          <w:szCs w:val="32"/>
          <w:lang w:val="zh-CN"/>
        </w:rPr>
        <w:t>安全管理机构</w:t>
      </w:r>
      <w:r>
        <w:rPr>
          <w:rFonts w:hint="eastAsia" w:ascii="仿宋_GB2312" w:hAnsi="宋体" w:eastAsia="仿宋_GB2312"/>
          <w:sz w:val="32"/>
          <w:szCs w:val="32"/>
          <w:lang w:val="zh-CN"/>
        </w:rPr>
        <w:t>“等方面确定安全</w:t>
      </w:r>
      <w:r>
        <w:rPr>
          <w:rFonts w:ascii="仿宋_GB2312" w:hAnsi="宋体" w:eastAsia="仿宋_GB2312"/>
          <w:sz w:val="32"/>
          <w:szCs w:val="32"/>
          <w:lang w:val="zh-CN"/>
        </w:rPr>
        <w:t>管理</w:t>
      </w:r>
      <w:r>
        <w:rPr>
          <w:rFonts w:hint="eastAsia" w:ascii="仿宋_GB2312" w:hAnsi="宋体" w:eastAsia="仿宋_GB2312"/>
          <w:sz w:val="32"/>
          <w:szCs w:val="32"/>
          <w:lang w:val="zh-CN"/>
        </w:rPr>
        <w:t>责任，并建议运营主体</w:t>
      </w:r>
      <w:r>
        <w:rPr>
          <w:rFonts w:ascii="仿宋_GB2312" w:hAnsi="宋体" w:eastAsia="仿宋_GB2312"/>
          <w:sz w:val="32"/>
          <w:szCs w:val="32"/>
          <w:lang w:val="zh-CN"/>
        </w:rPr>
        <w:t>为研学旅行</w:t>
      </w:r>
      <w:r>
        <w:rPr>
          <w:rFonts w:hint="eastAsia" w:ascii="仿宋_GB2312" w:hAnsi="宋体" w:eastAsia="仿宋_GB2312"/>
          <w:sz w:val="32"/>
          <w:szCs w:val="32"/>
          <w:lang w:val="zh-CN"/>
        </w:rPr>
        <w:t>参与者购买在基地活动的公共责任险,并可根据活动风险特征、行业规范要求和实际需求购买相应特色保险</w:t>
      </w:r>
      <w:r>
        <w:rPr>
          <w:rFonts w:ascii="仿宋_GB2312" w:hAnsi="宋体" w:eastAsia="仿宋_GB2312"/>
          <w:sz w:val="32"/>
          <w:szCs w:val="32"/>
          <w:lang w:val="zh-CN"/>
        </w:rPr>
        <w:t>。</w:t>
      </w:r>
    </w:p>
    <w:p>
      <w:pPr>
        <w:rPr>
          <w:rFonts w:ascii="仿宋_GB2312" w:hAnsi="宋体" w:eastAsia="仿宋_GB2312"/>
          <w:sz w:val="32"/>
          <w:szCs w:val="32"/>
          <w:lang w:val="zh-CN"/>
        </w:rPr>
      </w:pPr>
      <w:r>
        <w:drawing>
          <wp:inline distT="0" distB="0" distL="0" distR="0">
            <wp:extent cx="5274310" cy="1732280"/>
            <wp:effectExtent l="19050" t="19050" r="21590" b="20320"/>
            <wp:docPr id="5003060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306015" name="图片 1"/>
                    <pic:cNvPicPr>
                      <a:picLocks noChangeAspect="1"/>
                    </pic:cNvPicPr>
                  </pic:nvPicPr>
                  <pic:blipFill>
                    <a:blip r:embed="rId12"/>
                    <a:stretch>
                      <a:fillRect/>
                    </a:stretch>
                  </pic:blipFill>
                  <pic:spPr>
                    <a:xfrm>
                      <a:off x="0" y="0"/>
                      <a:ext cx="5274310" cy="1732280"/>
                    </a:xfrm>
                    <a:prstGeom prst="rect">
                      <a:avLst/>
                    </a:prstGeom>
                    <a:ln>
                      <a:solidFill>
                        <a:schemeClr val="tx1"/>
                      </a:solidFill>
                    </a:ln>
                  </pic:spPr>
                </pic:pic>
              </a:graphicData>
            </a:graphic>
          </wp:inline>
        </w:drawing>
      </w:r>
    </w:p>
    <w:p>
      <w:pPr>
        <w:ind w:firstLine="428" w:firstLineChars="200"/>
        <w:rPr>
          <w:rFonts w:ascii="仿宋_GB2312" w:hAnsi="宋体" w:eastAsia="仿宋_GB2312"/>
          <w:sz w:val="32"/>
          <w:szCs w:val="32"/>
          <w:lang w:val="zh-CN"/>
        </w:rPr>
      </w:pPr>
      <w:r>
        <w:rPr>
          <w:rFonts w:hint="eastAsia" w:ascii="黑体" w:hAnsi="黑体" w:eastAsia="黑体" w:cs="黑体"/>
          <w:spacing w:val="2"/>
          <w:szCs w:val="21"/>
        </w:rPr>
        <w:t>来源：教育部等</w:t>
      </w:r>
      <w:r>
        <w:rPr>
          <w:rFonts w:ascii="黑体" w:hAnsi="黑体" w:eastAsia="黑体" w:cs="黑体"/>
          <w:spacing w:val="2"/>
          <w:szCs w:val="21"/>
        </w:rPr>
        <w:t>11部门关于推进中小学生</w:t>
      </w:r>
      <w:r>
        <w:rPr>
          <w:rFonts w:hint="eastAsia" w:ascii="黑体" w:hAnsi="黑体" w:eastAsia="黑体" w:cs="黑体"/>
          <w:spacing w:val="2"/>
          <w:szCs w:val="21"/>
        </w:rPr>
        <w:t>研学旅行的意见（教基一〔</w:t>
      </w:r>
      <w:r>
        <w:rPr>
          <w:rFonts w:ascii="黑体" w:hAnsi="黑体" w:eastAsia="黑体" w:cs="黑体"/>
          <w:spacing w:val="2"/>
          <w:szCs w:val="21"/>
        </w:rPr>
        <w:t>2016〕8号</w:t>
      </w:r>
      <w:r>
        <w:rPr>
          <w:rFonts w:hint="eastAsia" w:ascii="黑体" w:hAnsi="黑体" w:eastAsia="黑体" w:cs="黑体"/>
          <w:spacing w:val="2"/>
          <w:szCs w:val="21"/>
        </w:rPr>
        <w:t>）</w:t>
      </w:r>
    </w:p>
    <w:p>
      <w:pPr>
        <w:pStyle w:val="3"/>
        <w:rPr>
          <w:lang w:val="zh-CN"/>
        </w:rPr>
      </w:pPr>
      <w:r>
        <w:rPr>
          <w:rFonts w:hint="eastAsia"/>
          <w:lang w:val="zh-CN"/>
        </w:rPr>
        <w:t>（四）服务内容与要求</w:t>
      </w:r>
    </w:p>
    <w:p>
      <w:pPr>
        <w:ind w:firstLine="640" w:firstLineChars="200"/>
        <w:rPr>
          <w:rFonts w:ascii="仿宋_GB2312" w:hAnsi="宋体" w:eastAsia="仿宋_GB2312"/>
          <w:color w:val="000000" w:themeColor="text1"/>
          <w:sz w:val="32"/>
          <w:szCs w:val="32"/>
          <w:lang w:val="zh-CN"/>
          <w14:textFill>
            <w14:solidFill>
              <w14:schemeClr w14:val="tx1"/>
            </w14:solidFill>
          </w14:textFill>
        </w:rPr>
      </w:pPr>
      <w:r>
        <w:rPr>
          <w:rFonts w:hint="eastAsia" w:ascii="仿宋_GB2312" w:hAnsi="宋体" w:eastAsia="仿宋_GB2312"/>
          <w:sz w:val="32"/>
          <w:szCs w:val="32"/>
          <w:lang w:val="zh-CN"/>
        </w:rPr>
        <w:t>主要明确了</w:t>
      </w:r>
      <w:r>
        <w:rPr>
          <w:rFonts w:ascii="仿宋_GB2312" w:hAnsi="宋体" w:eastAsia="仿宋_GB2312"/>
          <w:sz w:val="32"/>
          <w:szCs w:val="32"/>
          <w:lang w:val="zh-CN"/>
        </w:rPr>
        <w:t>研学旅行活动服务准备</w:t>
      </w:r>
      <w:r>
        <w:rPr>
          <w:rFonts w:hint="eastAsia" w:ascii="仿宋_GB2312" w:hAnsi="宋体" w:eastAsia="仿宋_GB2312"/>
          <w:sz w:val="32"/>
          <w:szCs w:val="32"/>
          <w:lang w:val="zh-CN"/>
        </w:rPr>
        <w:t>、</w:t>
      </w:r>
      <w:r>
        <w:rPr>
          <w:rFonts w:ascii="仿宋_GB2312" w:hAnsi="宋体" w:eastAsia="仿宋_GB2312"/>
          <w:sz w:val="32"/>
          <w:szCs w:val="32"/>
        </w:rPr>
        <w:t>研学旅行活动内容</w:t>
      </w:r>
      <w:r>
        <w:rPr>
          <w:rFonts w:hint="eastAsia" w:ascii="仿宋_GB2312" w:hAnsi="宋体" w:eastAsia="仿宋_GB2312"/>
          <w:sz w:val="32"/>
          <w:szCs w:val="32"/>
        </w:rPr>
        <w:t>、</w:t>
      </w:r>
      <w:r>
        <w:rPr>
          <w:rFonts w:ascii="仿宋_GB2312" w:hAnsi="宋体" w:eastAsia="仿宋_GB2312"/>
          <w:sz w:val="32"/>
          <w:szCs w:val="32"/>
        </w:rPr>
        <w:t>研学旅行安排</w:t>
      </w:r>
      <w:r>
        <w:rPr>
          <w:rFonts w:hint="eastAsia" w:ascii="仿宋_GB2312" w:hAnsi="宋体" w:eastAsia="仿宋_GB2312"/>
          <w:sz w:val="32"/>
          <w:szCs w:val="32"/>
        </w:rPr>
        <w:t>、研学旅行线路、研学旅行品牌和营销</w:t>
      </w:r>
      <w:r>
        <w:rPr>
          <w:rFonts w:hint="eastAsia" w:ascii="仿宋_GB2312" w:hAnsi="宋体" w:eastAsia="仿宋_GB2312"/>
          <w:color w:val="000000" w:themeColor="text1"/>
          <w:sz w:val="32"/>
          <w:szCs w:val="32"/>
          <w:lang w:val="zh-CN"/>
          <w14:textFill>
            <w14:solidFill>
              <w14:schemeClr w14:val="tx1"/>
            </w14:solidFill>
          </w14:textFill>
        </w:rPr>
        <w:t>等方面的要求。研学旅行基地作为学生实践和体验式学习的场所，其运营规范对于保证学生参观体验的质量和安全具有非常重要的意义。</w:t>
      </w:r>
    </w:p>
    <w:p>
      <w:pPr>
        <w:ind w:firstLine="640" w:firstLineChars="200"/>
        <w:rPr>
          <w:rFonts w:ascii="仿宋_GB2312" w:hAnsi="宋体" w:eastAsia="仿宋_GB2312"/>
          <w:color w:val="000000" w:themeColor="text1"/>
          <w:sz w:val="32"/>
          <w:szCs w:val="32"/>
          <w:lang w:val="zh-CN"/>
          <w14:textFill>
            <w14:solidFill>
              <w14:schemeClr w14:val="tx1"/>
            </w14:solidFill>
          </w14:textFill>
        </w:rPr>
      </w:pPr>
      <w:r>
        <w:rPr>
          <w:rFonts w:hint="eastAsia" w:ascii="仿宋_GB2312" w:hAnsi="宋体" w:eastAsia="仿宋_GB2312"/>
          <w:color w:val="000000" w:themeColor="text1"/>
          <w:sz w:val="32"/>
          <w:szCs w:val="32"/>
          <w:lang w:val="zh-CN"/>
          <w14:textFill>
            <w14:solidFill>
              <w14:schemeClr w14:val="tx1"/>
            </w14:solidFill>
          </w14:textFill>
        </w:rPr>
        <w:t>在</w:t>
      </w:r>
      <w:r>
        <w:rPr>
          <w:rFonts w:ascii="仿宋_GB2312" w:hAnsi="宋体" w:eastAsia="仿宋_GB2312"/>
          <w:color w:val="000000" w:themeColor="text1"/>
          <w:sz w:val="32"/>
          <w:szCs w:val="32"/>
          <w:lang w:val="zh-CN"/>
          <w14:textFill>
            <w14:solidFill>
              <w14:schemeClr w14:val="tx1"/>
            </w14:solidFill>
          </w14:textFill>
        </w:rPr>
        <w:t>研学旅行活动服务准备</w:t>
      </w:r>
      <w:r>
        <w:rPr>
          <w:rFonts w:hint="eastAsia" w:ascii="仿宋_GB2312" w:hAnsi="宋体" w:eastAsia="仿宋_GB2312"/>
          <w:color w:val="000000" w:themeColor="text1"/>
          <w:sz w:val="32"/>
          <w:szCs w:val="32"/>
          <w:lang w:val="zh-CN"/>
          <w14:textFill>
            <w14:solidFill>
              <w14:schemeClr w14:val="tx1"/>
            </w14:solidFill>
          </w14:textFill>
        </w:rPr>
        <w:t>上，明确了运营主体应“熟悉每次研学旅行活动内容及配套项目信息”“</w:t>
      </w:r>
      <w:r>
        <w:rPr>
          <w:rFonts w:ascii="仿宋_GB2312" w:hAnsi="宋体" w:eastAsia="仿宋_GB2312"/>
          <w:color w:val="000000" w:themeColor="text1"/>
          <w:sz w:val="32"/>
          <w:szCs w:val="32"/>
          <w:lang w:val="zh-CN"/>
          <w14:textFill>
            <w14:solidFill>
              <w14:schemeClr w14:val="tx1"/>
            </w14:solidFill>
          </w14:textFill>
        </w:rPr>
        <w:t>做好服务预案工作，制定研学旅行活动及配套现场各项服务方案</w:t>
      </w:r>
      <w:r>
        <w:rPr>
          <w:rFonts w:hint="eastAsia" w:ascii="仿宋_GB2312" w:hAnsi="宋体" w:eastAsia="仿宋_GB2312"/>
          <w:color w:val="000000" w:themeColor="text1"/>
          <w:sz w:val="32"/>
          <w:szCs w:val="32"/>
          <w:lang w:val="zh-CN"/>
          <w14:textFill>
            <w14:solidFill>
              <w14:schemeClr w14:val="tx1"/>
            </w14:solidFill>
          </w14:textFill>
        </w:rPr>
        <w:t>”，并建议</w:t>
      </w:r>
      <w:r>
        <w:rPr>
          <w:rFonts w:ascii="仿宋_GB2312" w:hAnsi="宋体" w:eastAsia="仿宋_GB2312"/>
          <w:color w:val="000000" w:themeColor="text1"/>
          <w:sz w:val="32"/>
          <w:szCs w:val="32"/>
          <w:lang w:val="zh-CN"/>
          <w14:textFill>
            <w14:solidFill>
              <w14:schemeClr w14:val="tx1"/>
            </w14:solidFill>
          </w14:textFill>
        </w:rPr>
        <w:t>做好其他服务工作</w:t>
      </w:r>
      <w:r>
        <w:rPr>
          <w:rFonts w:hint="eastAsia" w:ascii="仿宋_GB2312" w:hAnsi="宋体" w:eastAsia="仿宋_GB2312"/>
          <w:color w:val="000000" w:themeColor="text1"/>
          <w:sz w:val="32"/>
          <w:szCs w:val="32"/>
          <w:lang w:val="zh-CN"/>
          <w14:textFill>
            <w14:solidFill>
              <w14:schemeClr w14:val="tx1"/>
            </w14:solidFill>
          </w14:textFill>
        </w:rPr>
        <w:t>。</w:t>
      </w:r>
    </w:p>
    <w:p>
      <w:pPr>
        <w:ind w:firstLine="640" w:firstLineChars="200"/>
        <w:rPr>
          <w:rFonts w:ascii="仿宋_GB2312" w:hAnsi="宋体" w:eastAsia="仿宋_GB2312"/>
          <w:color w:val="000000" w:themeColor="text1"/>
          <w:sz w:val="32"/>
          <w:szCs w:val="32"/>
          <w:lang w:val="zh-CN"/>
          <w14:textFill>
            <w14:solidFill>
              <w14:schemeClr w14:val="tx1"/>
            </w14:solidFill>
          </w14:textFill>
        </w:rPr>
      </w:pPr>
      <w:r>
        <w:rPr>
          <w:rFonts w:hint="eastAsia" w:ascii="仿宋_GB2312" w:hAnsi="宋体" w:eastAsia="仿宋_GB2312"/>
          <w:color w:val="000000" w:themeColor="text1"/>
          <w:sz w:val="32"/>
          <w:szCs w:val="32"/>
          <w:lang w:val="zh-CN"/>
          <w14:textFill>
            <w14:solidFill>
              <w14:schemeClr w14:val="tx1"/>
            </w14:solidFill>
          </w14:textFill>
        </w:rPr>
        <w:t>在</w:t>
      </w:r>
      <w:r>
        <w:rPr>
          <w:rFonts w:ascii="仿宋_GB2312" w:hAnsi="宋体" w:eastAsia="仿宋_GB2312"/>
          <w:color w:val="000000" w:themeColor="text1"/>
          <w:sz w:val="32"/>
          <w:szCs w:val="32"/>
          <w:lang w:val="zh-CN"/>
          <w14:textFill>
            <w14:solidFill>
              <w14:schemeClr w14:val="tx1"/>
            </w14:solidFill>
          </w14:textFill>
        </w:rPr>
        <w:t>研学旅行活动内容</w:t>
      </w:r>
      <w:r>
        <w:rPr>
          <w:rFonts w:hint="eastAsia" w:ascii="仿宋_GB2312" w:hAnsi="宋体" w:eastAsia="仿宋_GB2312"/>
          <w:color w:val="000000" w:themeColor="text1"/>
          <w:sz w:val="32"/>
          <w:szCs w:val="32"/>
          <w:lang w:val="zh-CN"/>
          <w14:textFill>
            <w14:solidFill>
              <w14:schemeClr w14:val="tx1"/>
            </w14:solidFill>
          </w14:textFill>
        </w:rPr>
        <w:t>上，参照《广西壮族自治区教育厅等</w:t>
      </w:r>
      <w:r>
        <w:rPr>
          <w:rFonts w:ascii="仿宋_GB2312" w:hAnsi="宋体" w:eastAsia="仿宋_GB2312"/>
          <w:color w:val="000000" w:themeColor="text1"/>
          <w:sz w:val="32"/>
          <w:szCs w:val="32"/>
          <w:lang w:val="zh-CN"/>
          <w14:textFill>
            <w14:solidFill>
              <w14:schemeClr w14:val="tx1"/>
            </w14:solidFill>
          </w14:textFill>
        </w:rPr>
        <w:t>12部门关于推进中小学生研学旅行的实施意见</w:t>
      </w:r>
      <w:r>
        <w:rPr>
          <w:rFonts w:hint="eastAsia" w:ascii="仿宋_GB2312" w:hAnsi="宋体" w:eastAsia="仿宋_GB2312"/>
          <w:color w:val="000000" w:themeColor="text1"/>
          <w:sz w:val="32"/>
          <w:szCs w:val="32"/>
          <w:lang w:val="zh-CN"/>
          <w14:textFill>
            <w14:solidFill>
              <w14:schemeClr w14:val="tx1"/>
            </w14:solidFill>
          </w14:textFill>
        </w:rPr>
        <w:t>》，规定了运营主体</w:t>
      </w:r>
      <w:r>
        <w:rPr>
          <w:rFonts w:ascii="仿宋_GB2312" w:hAnsi="宋体" w:eastAsia="仿宋_GB2312"/>
          <w:color w:val="000000" w:themeColor="text1"/>
          <w:sz w:val="32"/>
          <w:szCs w:val="32"/>
          <w:lang w:val="zh-CN"/>
          <w14:textFill>
            <w14:solidFill>
              <w14:schemeClr w14:val="tx1"/>
            </w14:solidFill>
          </w14:textFill>
        </w:rPr>
        <w:t>研学旅行</w:t>
      </w:r>
      <w:r>
        <w:rPr>
          <w:rFonts w:hint="eastAsia" w:ascii="仿宋_GB2312" w:hAnsi="宋体" w:eastAsia="仿宋_GB2312"/>
          <w:color w:val="000000" w:themeColor="text1"/>
          <w:sz w:val="32"/>
          <w:szCs w:val="32"/>
          <w:lang w:val="zh-CN"/>
          <w14:textFill>
            <w14:solidFill>
              <w14:schemeClr w14:val="tx1"/>
            </w14:solidFill>
          </w14:textFill>
        </w:rPr>
        <w:t>的</w:t>
      </w:r>
      <w:r>
        <w:rPr>
          <w:rFonts w:ascii="仿宋_GB2312" w:hAnsi="宋体" w:eastAsia="仿宋_GB2312"/>
          <w:color w:val="000000" w:themeColor="text1"/>
          <w:sz w:val="32"/>
          <w:szCs w:val="32"/>
          <w:lang w:val="zh-CN"/>
          <w14:textFill>
            <w14:solidFill>
              <w14:schemeClr w14:val="tx1"/>
            </w14:solidFill>
          </w14:textFill>
        </w:rPr>
        <w:t>活动内容</w:t>
      </w:r>
      <w:r>
        <w:rPr>
          <w:rFonts w:hint="eastAsia" w:ascii="仿宋_GB2312" w:hAnsi="宋体" w:eastAsia="仿宋_GB2312"/>
          <w:color w:val="000000" w:themeColor="text1"/>
          <w:sz w:val="32"/>
          <w:szCs w:val="32"/>
          <w:lang w:val="zh-CN"/>
          <w14:textFill>
            <w14:solidFill>
              <w14:schemeClr w14:val="tx1"/>
            </w14:solidFill>
          </w14:textFill>
        </w:rPr>
        <w:t>，如 “应</w:t>
      </w:r>
      <w:r>
        <w:rPr>
          <w:rFonts w:ascii="仿宋_GB2312" w:hAnsi="宋体" w:eastAsia="仿宋_GB2312"/>
          <w:color w:val="000000" w:themeColor="text1"/>
          <w:sz w:val="32"/>
          <w:szCs w:val="32"/>
          <w:lang w:val="zh-CN"/>
          <w14:textFill>
            <w14:solidFill>
              <w14:schemeClr w14:val="tx1"/>
            </w14:solidFill>
          </w14:textFill>
        </w:rPr>
        <w:t>引导研学旅行活动实施主体将知识、能力和情感（价值观）等目标体现在基地研学旅行课程方案中，并能融合在研学旅行的行前、行中和行后各个阶段</w:t>
      </w:r>
      <w:r>
        <w:rPr>
          <w:rFonts w:hint="eastAsia" w:ascii="仿宋_GB2312" w:hAnsi="宋体" w:eastAsia="仿宋_GB2312"/>
          <w:color w:val="000000" w:themeColor="text1"/>
          <w:sz w:val="32"/>
          <w:szCs w:val="32"/>
          <w:lang w:val="zh-CN"/>
          <w14:textFill>
            <w14:solidFill>
              <w14:schemeClr w14:val="tx1"/>
            </w14:solidFill>
          </w14:textFill>
        </w:rPr>
        <w:t>；</w:t>
      </w:r>
      <w:r>
        <w:rPr>
          <w:rFonts w:ascii="仿宋_GB2312" w:hAnsi="宋体" w:eastAsia="仿宋_GB2312"/>
          <w:color w:val="000000" w:themeColor="text1"/>
          <w:sz w:val="32"/>
          <w:szCs w:val="32"/>
          <w:lang w:val="zh-CN"/>
          <w14:textFill>
            <w14:solidFill>
              <w14:schemeClr w14:val="tx1"/>
            </w14:solidFill>
          </w14:textFill>
        </w:rPr>
        <w:t>应遵循导向性、探索性、体验性、安全性原则设计研学旅行课程方案，积极鼓励和引导研学旅行者参与产品设计</w:t>
      </w:r>
      <w:r>
        <w:rPr>
          <w:rFonts w:hint="eastAsia" w:ascii="仿宋_GB2312" w:hAnsi="宋体" w:eastAsia="仿宋_GB2312"/>
          <w:color w:val="000000" w:themeColor="text1"/>
          <w:sz w:val="32"/>
          <w:szCs w:val="32"/>
          <w:lang w:val="zh-CN"/>
          <w14:textFill>
            <w14:solidFill>
              <w14:schemeClr w14:val="tx1"/>
            </w14:solidFill>
          </w14:textFill>
        </w:rPr>
        <w:t>“。同时建议运营主体从</w:t>
      </w:r>
      <w:r>
        <w:rPr>
          <w:rFonts w:ascii="仿宋_GB2312" w:hAnsi="宋体" w:eastAsia="仿宋_GB2312"/>
          <w:color w:val="000000" w:themeColor="text1"/>
          <w:sz w:val="32"/>
          <w:szCs w:val="32"/>
          <w:lang w:val="zh-CN"/>
          <w14:textFill>
            <w14:solidFill>
              <w14:schemeClr w14:val="tx1"/>
            </w14:solidFill>
          </w14:textFill>
        </w:rPr>
        <w:t>学情和乡土乡情、县情市情、省情国情出发，合理利用各种资源，开发多种研学活动。</w:t>
      </w:r>
    </w:p>
    <w:p>
      <w:pPr>
        <w:rPr>
          <w:rFonts w:ascii="仿宋_GB2312" w:hAnsi="宋体" w:eastAsia="仿宋_GB2312"/>
          <w:color w:val="000000" w:themeColor="text1"/>
          <w:sz w:val="32"/>
          <w:szCs w:val="32"/>
          <w:lang w:val="zh-CN"/>
          <w14:textFill>
            <w14:solidFill>
              <w14:schemeClr w14:val="tx1"/>
            </w14:solidFill>
          </w14:textFill>
        </w:rPr>
      </w:pPr>
      <w:r>
        <w:rPr>
          <w:rFonts w:ascii="仿宋_GB2312" w:hAnsi="宋体" w:eastAsia="仿宋_GB2312"/>
          <w:color w:val="000000" w:themeColor="text1"/>
          <w:sz w:val="32"/>
          <w:szCs w:val="32"/>
          <w14:textFill>
            <w14:solidFill>
              <w14:schemeClr w14:val="tx1"/>
            </w14:solidFill>
          </w14:textFill>
        </w:rPr>
        <w:drawing>
          <wp:inline distT="0" distB="0" distL="114300" distR="114300">
            <wp:extent cx="5264150" cy="1870710"/>
            <wp:effectExtent l="19050" t="19050" r="12700" b="15240"/>
            <wp:docPr id="14" name="图片 14" descr="微信图片_20231016171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微信图片_20231016171951"/>
                    <pic:cNvPicPr>
                      <a:picLocks noChangeAspect="1"/>
                    </pic:cNvPicPr>
                  </pic:nvPicPr>
                  <pic:blipFill>
                    <a:blip r:embed="rId13"/>
                    <a:srcRect l="1353"/>
                    <a:stretch>
                      <a:fillRect/>
                    </a:stretch>
                  </pic:blipFill>
                  <pic:spPr>
                    <a:xfrm>
                      <a:off x="0" y="0"/>
                      <a:ext cx="5264150" cy="1870710"/>
                    </a:xfrm>
                    <a:prstGeom prst="rect">
                      <a:avLst/>
                    </a:prstGeom>
                    <a:ln>
                      <a:solidFill>
                        <a:schemeClr val="tx1"/>
                      </a:solidFill>
                    </a:ln>
                  </pic:spPr>
                </pic:pic>
              </a:graphicData>
            </a:graphic>
          </wp:inline>
        </w:drawing>
      </w:r>
    </w:p>
    <w:p>
      <w:pPr>
        <w:ind w:firstLine="428" w:firstLineChars="200"/>
        <w:rPr>
          <w:rFonts w:ascii="仿宋_GB2312" w:hAnsi="宋体" w:eastAsia="仿宋_GB2312"/>
          <w:sz w:val="32"/>
          <w:szCs w:val="32"/>
        </w:rPr>
      </w:pPr>
      <w:r>
        <w:rPr>
          <w:rFonts w:hint="eastAsia" w:ascii="黑体" w:hAnsi="黑体" w:eastAsia="黑体" w:cs="黑体"/>
          <w:spacing w:val="2"/>
          <w:szCs w:val="21"/>
        </w:rPr>
        <w:t>来源：广西壮族自治区教育厅等</w:t>
      </w:r>
      <w:r>
        <w:rPr>
          <w:rFonts w:ascii="黑体" w:hAnsi="黑体" w:eastAsia="黑体" w:cs="黑体"/>
          <w:spacing w:val="2"/>
          <w:szCs w:val="21"/>
        </w:rPr>
        <w:t>12部门关于推进中小学生研学旅行的实施意见</w:t>
      </w:r>
      <w:r>
        <w:rPr>
          <w:rFonts w:hint="eastAsia" w:ascii="黑体" w:hAnsi="黑体" w:eastAsia="黑体" w:cs="黑体"/>
          <w:spacing w:val="2"/>
          <w:szCs w:val="21"/>
        </w:rPr>
        <w:t>(</w:t>
      </w:r>
      <w:r>
        <w:rPr>
          <w:rFonts w:ascii="黑体" w:hAnsi="黑体" w:eastAsia="黑体" w:cs="黑体"/>
          <w:spacing w:val="2"/>
          <w:szCs w:val="21"/>
        </w:rPr>
        <w:t>〔2019〕9号</w:t>
      </w:r>
      <w:r>
        <w:rPr>
          <w:rFonts w:hint="eastAsia" w:ascii="黑体" w:hAnsi="黑体" w:eastAsia="黑体" w:cs="黑体"/>
          <w:spacing w:val="2"/>
          <w:szCs w:val="21"/>
        </w:rPr>
        <w:t>)</w:t>
      </w:r>
    </w:p>
    <w:p>
      <w:pPr>
        <w:ind w:firstLine="640" w:firstLineChars="200"/>
        <w:rPr>
          <w:rFonts w:ascii="仿宋_GB2312" w:hAnsi="宋体" w:eastAsia="仿宋_GB2312"/>
          <w:color w:val="000000" w:themeColor="text1"/>
          <w:sz w:val="32"/>
          <w:szCs w:val="32"/>
          <w:lang w:val="zh-CN"/>
          <w14:textFill>
            <w14:solidFill>
              <w14:schemeClr w14:val="tx1"/>
            </w14:solidFill>
          </w14:textFill>
        </w:rPr>
      </w:pPr>
      <w:r>
        <w:rPr>
          <w:rFonts w:hint="eastAsia" w:ascii="仿宋_GB2312" w:hAnsi="宋体" w:eastAsia="仿宋_GB2312"/>
          <w:color w:val="000000" w:themeColor="text1"/>
          <w:sz w:val="32"/>
          <w:szCs w:val="32"/>
          <w:lang w:val="zh-CN"/>
          <w14:textFill>
            <w14:solidFill>
              <w14:schemeClr w14:val="tx1"/>
            </w14:solidFill>
          </w14:textFill>
        </w:rPr>
        <w:t>在</w:t>
      </w:r>
      <w:r>
        <w:rPr>
          <w:rFonts w:ascii="仿宋_GB2312" w:hAnsi="宋体" w:eastAsia="仿宋_GB2312"/>
          <w:color w:val="000000" w:themeColor="text1"/>
          <w:sz w:val="32"/>
          <w:szCs w:val="32"/>
          <w:lang w:val="zh-CN"/>
          <w14:textFill>
            <w14:solidFill>
              <w14:schemeClr w14:val="tx1"/>
            </w14:solidFill>
          </w14:textFill>
        </w:rPr>
        <w:t>研学旅行安排</w:t>
      </w:r>
      <w:r>
        <w:rPr>
          <w:rFonts w:hint="eastAsia" w:ascii="仿宋_GB2312" w:hAnsi="宋体" w:eastAsia="仿宋_GB2312"/>
          <w:color w:val="000000" w:themeColor="text1"/>
          <w:sz w:val="32"/>
          <w:szCs w:val="32"/>
          <w:lang w:val="zh-CN"/>
          <w14:textFill>
            <w14:solidFill>
              <w14:schemeClr w14:val="tx1"/>
            </w14:solidFill>
          </w14:textFill>
        </w:rPr>
        <w:t>上及</w:t>
      </w:r>
      <w:r>
        <w:rPr>
          <w:rFonts w:ascii="仿宋_GB2312" w:hAnsi="宋体" w:eastAsia="仿宋_GB2312"/>
          <w:color w:val="000000" w:themeColor="text1"/>
          <w:sz w:val="32"/>
          <w:szCs w:val="32"/>
          <w:lang w:val="zh-CN"/>
          <w14:textFill>
            <w14:solidFill>
              <w14:schemeClr w14:val="tx1"/>
            </w14:solidFill>
          </w14:textFill>
        </w:rPr>
        <w:t>研学旅行线路</w:t>
      </w:r>
      <w:r>
        <w:rPr>
          <w:rFonts w:hint="eastAsia" w:ascii="仿宋_GB2312" w:hAnsi="宋体" w:eastAsia="仿宋_GB2312"/>
          <w:color w:val="000000" w:themeColor="text1"/>
          <w:sz w:val="32"/>
          <w:szCs w:val="32"/>
          <w:lang w:val="zh-CN"/>
          <w14:textFill>
            <w14:solidFill>
              <w14:schemeClr w14:val="tx1"/>
            </w14:solidFill>
          </w14:textFill>
        </w:rPr>
        <w:t>上，参照中共中央办公厅</w:t>
      </w:r>
      <w:r>
        <w:rPr>
          <w:rFonts w:ascii="仿宋_GB2312" w:hAnsi="宋体" w:eastAsia="仿宋_GB2312"/>
          <w:color w:val="000000" w:themeColor="text1"/>
          <w:sz w:val="32"/>
          <w:szCs w:val="32"/>
          <w:lang w:val="zh-CN"/>
          <w14:textFill>
            <w14:solidFill>
              <w14:schemeClr w14:val="tx1"/>
            </w14:solidFill>
          </w14:textFill>
        </w:rPr>
        <w:t xml:space="preserve"> 国务院办公厅印发《关于进一步加强非物质文化遗产保护工作的意见》</w:t>
      </w:r>
      <w:r>
        <w:rPr>
          <w:rFonts w:hint="eastAsia" w:ascii="仿宋_GB2312" w:hAnsi="宋体" w:eastAsia="仿宋_GB2312"/>
          <w:color w:val="000000" w:themeColor="text1"/>
          <w:sz w:val="32"/>
          <w:szCs w:val="32"/>
          <w:lang w:val="zh-CN"/>
          <w14:textFill>
            <w14:solidFill>
              <w14:schemeClr w14:val="tx1"/>
            </w14:solidFill>
          </w14:textFill>
        </w:rPr>
        <w:t>，提出“</w:t>
      </w:r>
      <w:r>
        <w:rPr>
          <w:rFonts w:ascii="仿宋_GB2312" w:hAnsi="宋体" w:eastAsia="仿宋_GB2312"/>
          <w:color w:val="000000" w:themeColor="text1"/>
          <w:sz w:val="32"/>
          <w:szCs w:val="32"/>
          <w:lang w:val="zh-CN"/>
          <w14:textFill>
            <w14:solidFill>
              <w14:schemeClr w14:val="tx1"/>
            </w14:solidFill>
          </w14:textFill>
        </w:rPr>
        <w:t>应结合自身地理位置和周边资源，规划设计出基地自身特色和优势的研学旅行路线产品</w:t>
      </w:r>
      <w:r>
        <w:rPr>
          <w:rFonts w:hint="eastAsia" w:ascii="仿宋_GB2312" w:hAnsi="宋体" w:eastAsia="仿宋_GB2312"/>
          <w:color w:val="000000" w:themeColor="text1"/>
          <w:sz w:val="32"/>
          <w:szCs w:val="32"/>
          <w:lang w:val="zh-CN"/>
          <w14:textFill>
            <w14:solidFill>
              <w14:schemeClr w14:val="tx1"/>
            </w14:solidFill>
          </w14:textFill>
        </w:rPr>
        <w:t>“，例如，可在基地内组织徒步或骑行活动，带领研学旅行者探索广西的山水之间；设计自然生态观察或保护教育项目，让研学旅行者更好地了解广西的自然资源和环境保护。</w:t>
      </w:r>
    </w:p>
    <w:p>
      <w:pPr>
        <w:rPr>
          <w:rFonts w:ascii="仿宋_GB2312" w:hAnsi="宋体" w:eastAsia="仿宋_GB2312"/>
          <w:color w:val="000000" w:themeColor="text1"/>
          <w:sz w:val="32"/>
          <w:szCs w:val="32"/>
          <w:lang w:val="zh-CN"/>
          <w14:textFill>
            <w14:solidFill>
              <w14:schemeClr w14:val="tx1"/>
            </w14:solidFill>
          </w14:textFill>
        </w:rPr>
      </w:pPr>
      <w:r>
        <w:drawing>
          <wp:inline distT="0" distB="0" distL="0" distR="0">
            <wp:extent cx="5274310" cy="875665"/>
            <wp:effectExtent l="19050" t="19050" r="21590" b="19685"/>
            <wp:docPr id="8870723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7072322" name="图片 1"/>
                    <pic:cNvPicPr>
                      <a:picLocks noChangeAspect="1"/>
                    </pic:cNvPicPr>
                  </pic:nvPicPr>
                  <pic:blipFill>
                    <a:blip r:embed="rId14"/>
                    <a:stretch>
                      <a:fillRect/>
                    </a:stretch>
                  </pic:blipFill>
                  <pic:spPr>
                    <a:xfrm>
                      <a:off x="0" y="0"/>
                      <a:ext cx="5274310" cy="875665"/>
                    </a:xfrm>
                    <a:prstGeom prst="rect">
                      <a:avLst/>
                    </a:prstGeom>
                    <a:ln>
                      <a:solidFill>
                        <a:schemeClr val="tx1"/>
                      </a:solidFill>
                    </a:ln>
                  </pic:spPr>
                </pic:pic>
              </a:graphicData>
            </a:graphic>
          </wp:inline>
        </w:drawing>
      </w:r>
    </w:p>
    <w:p>
      <w:pPr>
        <w:ind w:firstLine="428" w:firstLineChars="200"/>
        <w:rPr>
          <w:rFonts w:ascii="仿宋_GB2312" w:hAnsi="宋体" w:eastAsia="仿宋_GB2312"/>
          <w:color w:val="000000" w:themeColor="text1"/>
          <w:sz w:val="32"/>
          <w:szCs w:val="32"/>
          <w14:textFill>
            <w14:solidFill>
              <w14:schemeClr w14:val="tx1"/>
            </w14:solidFill>
          </w14:textFill>
        </w:rPr>
      </w:pPr>
      <w:r>
        <w:rPr>
          <w:rFonts w:hint="eastAsia" w:ascii="黑体" w:hAnsi="黑体" w:eastAsia="黑体" w:cs="黑体"/>
          <w:spacing w:val="2"/>
          <w:szCs w:val="21"/>
        </w:rPr>
        <w:t>来源：关于进一步加强非物质文化遗产保护工作的意见</w:t>
      </w:r>
    </w:p>
    <w:p>
      <w:pPr>
        <w:ind w:firstLine="640" w:firstLineChars="200"/>
        <w:rPr>
          <w:rFonts w:ascii="仿宋_GB2312" w:hAnsi="宋体" w:eastAsia="仿宋_GB2312"/>
          <w:color w:val="000000" w:themeColor="text1"/>
          <w:sz w:val="32"/>
          <w:szCs w:val="32"/>
          <w:lang w:val="zh-CN"/>
          <w14:textFill>
            <w14:solidFill>
              <w14:schemeClr w14:val="tx1"/>
            </w14:solidFill>
          </w14:textFill>
        </w:rPr>
      </w:pPr>
      <w:r>
        <w:rPr>
          <w:rFonts w:hint="eastAsia" w:ascii="仿宋_GB2312" w:hAnsi="宋体" w:eastAsia="仿宋_GB2312"/>
          <w:color w:val="000000" w:themeColor="text1"/>
          <w:sz w:val="32"/>
          <w:szCs w:val="32"/>
          <w:lang w:val="zh-CN"/>
          <w14:textFill>
            <w14:solidFill>
              <w14:schemeClr w14:val="tx1"/>
            </w14:solidFill>
          </w14:textFill>
        </w:rPr>
        <w:t>在研学旅行品牌和营销策略中，参照文化和旅游部、</w:t>
      </w:r>
      <w:r>
        <w:rPr>
          <w:rFonts w:ascii="仿宋_GB2312" w:hAnsi="宋体" w:eastAsia="仿宋_GB2312"/>
          <w:color w:val="000000" w:themeColor="text1"/>
          <w:sz w:val="32"/>
          <w:szCs w:val="32"/>
          <w:lang w:val="zh-CN"/>
          <w14:textFill>
            <w14:solidFill>
              <w14:schemeClr w14:val="tx1"/>
            </w14:solidFill>
          </w14:textFill>
        </w:rPr>
        <w:t>教育部</w:t>
      </w:r>
      <w:r>
        <w:rPr>
          <w:rFonts w:hint="eastAsia" w:ascii="仿宋_GB2312" w:hAnsi="宋体" w:eastAsia="仿宋_GB2312"/>
          <w:color w:val="000000" w:themeColor="text1"/>
          <w:sz w:val="32"/>
          <w:szCs w:val="32"/>
          <w:lang w:val="zh-CN"/>
          <w14:textFill>
            <w14:solidFill>
              <w14:schemeClr w14:val="tx1"/>
            </w14:solidFill>
          </w14:textFill>
        </w:rPr>
        <w:t>、</w:t>
      </w:r>
      <w:r>
        <w:rPr>
          <w:rFonts w:ascii="仿宋_GB2312" w:hAnsi="宋体" w:eastAsia="仿宋_GB2312"/>
          <w:color w:val="000000" w:themeColor="text1"/>
          <w:sz w:val="32"/>
          <w:szCs w:val="32"/>
          <w:lang w:val="zh-CN"/>
          <w14:textFill>
            <w14:solidFill>
              <w14:schemeClr w14:val="tx1"/>
            </w14:solidFill>
          </w14:textFill>
        </w:rPr>
        <w:t>自然资源部</w:t>
      </w:r>
      <w:r>
        <w:rPr>
          <w:rFonts w:hint="eastAsia" w:ascii="仿宋_GB2312" w:hAnsi="宋体" w:eastAsia="仿宋_GB2312"/>
          <w:color w:val="000000" w:themeColor="text1"/>
          <w:sz w:val="32"/>
          <w:szCs w:val="32"/>
          <w:lang w:val="zh-CN"/>
          <w14:textFill>
            <w14:solidFill>
              <w14:schemeClr w14:val="tx1"/>
            </w14:solidFill>
          </w14:textFill>
        </w:rPr>
        <w:t>、</w:t>
      </w:r>
      <w:r>
        <w:rPr>
          <w:rFonts w:ascii="仿宋_GB2312" w:hAnsi="宋体" w:eastAsia="仿宋_GB2312"/>
          <w:color w:val="000000" w:themeColor="text1"/>
          <w:sz w:val="32"/>
          <w:szCs w:val="32"/>
          <w:lang w:val="zh-CN"/>
          <w14:textFill>
            <w14:solidFill>
              <w14:schemeClr w14:val="tx1"/>
            </w14:solidFill>
          </w14:textFill>
        </w:rPr>
        <w:t>农业农村部</w:t>
      </w:r>
      <w:r>
        <w:rPr>
          <w:rFonts w:hint="eastAsia" w:ascii="仿宋_GB2312" w:hAnsi="宋体" w:eastAsia="仿宋_GB2312"/>
          <w:color w:val="000000" w:themeColor="text1"/>
          <w:sz w:val="32"/>
          <w:szCs w:val="32"/>
          <w:lang w:val="zh-CN"/>
          <w14:textFill>
            <w14:solidFill>
              <w14:schemeClr w14:val="tx1"/>
            </w14:solidFill>
          </w14:textFill>
        </w:rPr>
        <w:t>、</w:t>
      </w:r>
      <w:r>
        <w:rPr>
          <w:rFonts w:ascii="仿宋_GB2312" w:hAnsi="宋体" w:eastAsia="仿宋_GB2312"/>
          <w:color w:val="000000" w:themeColor="text1"/>
          <w:sz w:val="32"/>
          <w:szCs w:val="32"/>
          <w:lang w:val="zh-CN"/>
          <w14:textFill>
            <w14:solidFill>
              <w14:schemeClr w14:val="tx1"/>
            </w14:solidFill>
          </w14:textFill>
        </w:rPr>
        <w:t>国家乡村振兴局</w:t>
      </w:r>
      <w:r>
        <w:rPr>
          <w:rFonts w:hint="eastAsia" w:ascii="仿宋_GB2312" w:hAnsi="宋体" w:eastAsia="仿宋_GB2312"/>
          <w:color w:val="000000" w:themeColor="text1"/>
          <w:sz w:val="32"/>
          <w:szCs w:val="32"/>
          <w:lang w:val="zh-CN"/>
          <w14:textFill>
            <w14:solidFill>
              <w14:schemeClr w14:val="tx1"/>
            </w14:solidFill>
          </w14:textFill>
        </w:rPr>
        <w:t>、</w:t>
      </w:r>
      <w:r>
        <w:rPr>
          <w:rFonts w:ascii="仿宋_GB2312" w:hAnsi="宋体" w:eastAsia="仿宋_GB2312"/>
          <w:color w:val="000000" w:themeColor="text1"/>
          <w:sz w:val="32"/>
          <w:szCs w:val="32"/>
          <w:lang w:val="zh-CN"/>
          <w14:textFill>
            <w14:solidFill>
              <w14:schemeClr w14:val="tx1"/>
            </w14:solidFill>
          </w14:textFill>
        </w:rPr>
        <w:t>国家开发银行印发</w:t>
      </w:r>
      <w:r>
        <w:rPr>
          <w:rFonts w:hint="eastAsia" w:ascii="仿宋_GB2312" w:hAnsi="宋体" w:eastAsia="仿宋_GB2312"/>
          <w:color w:val="000000" w:themeColor="text1"/>
          <w:sz w:val="32"/>
          <w:szCs w:val="32"/>
          <w:lang w:val="zh-CN"/>
          <w14:textFill>
            <w14:solidFill>
              <w14:schemeClr w14:val="tx1"/>
            </w14:solidFill>
          </w14:textFill>
        </w:rPr>
        <w:t>的《关于推动文化产业赋能乡村振兴的意见》，提出了“</w:t>
      </w:r>
      <w:r>
        <w:rPr>
          <w:rFonts w:ascii="仿宋_GB2312" w:hAnsi="宋体" w:eastAsia="仿宋_GB2312"/>
          <w:color w:val="000000" w:themeColor="text1"/>
          <w:sz w:val="32"/>
          <w:szCs w:val="32"/>
          <w:lang w:val="zh-CN"/>
          <w14:textFill>
            <w14:solidFill>
              <w14:schemeClr w14:val="tx1"/>
            </w14:solidFill>
          </w14:textFill>
        </w:rPr>
        <w:t>根据基地规划定位﹑基地管理政策,制定符合基地发展规划与定位的品牌战略</w:t>
      </w:r>
      <w:r>
        <w:rPr>
          <w:rFonts w:hint="eastAsia" w:ascii="仿宋_GB2312" w:hAnsi="宋体" w:eastAsia="仿宋_GB2312"/>
          <w:color w:val="000000" w:themeColor="text1"/>
          <w:sz w:val="32"/>
          <w:szCs w:val="32"/>
          <w:lang w:val="zh-CN"/>
          <w14:textFill>
            <w14:solidFill>
              <w14:schemeClr w14:val="tx1"/>
            </w14:solidFill>
          </w14:textFill>
        </w:rPr>
        <w:t>；</w:t>
      </w:r>
      <w:r>
        <w:rPr>
          <w:rFonts w:ascii="仿宋_GB2312" w:hAnsi="宋体" w:eastAsia="仿宋_GB2312"/>
          <w:color w:val="000000" w:themeColor="text1"/>
          <w:sz w:val="32"/>
          <w:szCs w:val="32"/>
          <w:lang w:val="zh-CN"/>
          <w14:textFill>
            <w14:solidFill>
              <w14:schemeClr w14:val="tx1"/>
            </w14:solidFill>
          </w14:textFill>
        </w:rPr>
        <w:t>根据基地品牌战略,制定基地营销计划,建立品牌标识和传播体系</w:t>
      </w:r>
      <w:r>
        <w:rPr>
          <w:rFonts w:hint="eastAsia" w:ascii="仿宋_GB2312" w:hAnsi="宋体" w:eastAsia="仿宋_GB2312"/>
          <w:color w:val="000000" w:themeColor="text1"/>
          <w:sz w:val="32"/>
          <w:szCs w:val="32"/>
          <w:lang w:val="zh-CN"/>
          <w14:textFill>
            <w14:solidFill>
              <w14:schemeClr w14:val="tx1"/>
            </w14:solidFill>
          </w14:textFill>
        </w:rPr>
        <w:t>”；在宣传材料与数字营销上面，“</w:t>
      </w:r>
      <w:r>
        <w:rPr>
          <w:rFonts w:ascii="仿宋_GB2312" w:hAnsi="宋体" w:eastAsia="仿宋_GB2312"/>
          <w:color w:val="000000" w:themeColor="text1"/>
          <w:sz w:val="32"/>
          <w:szCs w:val="32"/>
          <w:lang w:val="zh-CN"/>
          <w14:textFill>
            <w14:solidFill>
              <w14:schemeClr w14:val="tx1"/>
            </w14:solidFill>
          </w14:textFill>
        </w:rPr>
        <w:t>应设有“线上＋线下”咨询接待服务与宣传方案,设置专岗为消费者提供便捷咨询服务，建立新媒体传播平台</w:t>
      </w:r>
      <w:r>
        <w:rPr>
          <w:rFonts w:hint="eastAsia" w:ascii="仿宋_GB2312" w:hAnsi="宋体" w:eastAsia="仿宋_GB2312"/>
          <w:color w:val="000000" w:themeColor="text1"/>
          <w:sz w:val="32"/>
          <w:szCs w:val="32"/>
          <w:lang w:val="zh-CN"/>
          <w14:textFill>
            <w14:solidFill>
              <w14:schemeClr w14:val="tx1"/>
            </w14:solidFill>
          </w14:textFill>
        </w:rPr>
        <w:t>”，善于利用互联网和社交媒体平台，结合广西特色的照片、视频和故事，发布有趣而引人入胜的内容，吸引更多的目标受众参与和关注。</w:t>
      </w:r>
    </w:p>
    <w:p>
      <w:pPr>
        <w:rPr>
          <w:rFonts w:ascii="仿宋_GB2312" w:hAnsi="宋体" w:eastAsia="仿宋_GB2312"/>
          <w:color w:val="000000" w:themeColor="text1"/>
          <w:sz w:val="32"/>
          <w:szCs w:val="32"/>
          <w:lang w:val="zh-CN"/>
          <w14:textFill>
            <w14:solidFill>
              <w14:schemeClr w14:val="tx1"/>
            </w14:solidFill>
          </w14:textFill>
        </w:rPr>
      </w:pPr>
      <w:r>
        <w:drawing>
          <wp:inline distT="0" distB="0" distL="0" distR="0">
            <wp:extent cx="5274310" cy="1235710"/>
            <wp:effectExtent l="19050" t="19050" r="21590" b="21590"/>
            <wp:docPr id="2146005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00515" name="图片 1"/>
                    <pic:cNvPicPr>
                      <a:picLocks noChangeAspect="1"/>
                    </pic:cNvPicPr>
                  </pic:nvPicPr>
                  <pic:blipFill>
                    <a:blip r:embed="rId15"/>
                    <a:stretch>
                      <a:fillRect/>
                    </a:stretch>
                  </pic:blipFill>
                  <pic:spPr>
                    <a:xfrm>
                      <a:off x="0" y="0"/>
                      <a:ext cx="5274310" cy="1235710"/>
                    </a:xfrm>
                    <a:prstGeom prst="rect">
                      <a:avLst/>
                    </a:prstGeom>
                    <a:ln>
                      <a:solidFill>
                        <a:schemeClr val="tx1"/>
                      </a:solidFill>
                    </a:ln>
                  </pic:spPr>
                </pic:pic>
              </a:graphicData>
            </a:graphic>
          </wp:inline>
        </w:drawing>
      </w:r>
    </w:p>
    <w:p>
      <w:pPr>
        <w:ind w:firstLine="428" w:firstLineChars="200"/>
        <w:rPr>
          <w:rFonts w:ascii="仿宋_GB2312" w:hAnsi="宋体" w:eastAsia="仿宋_GB2312"/>
          <w:color w:val="000000" w:themeColor="text1"/>
          <w:sz w:val="32"/>
          <w:szCs w:val="32"/>
          <w14:textFill>
            <w14:solidFill>
              <w14:schemeClr w14:val="tx1"/>
            </w14:solidFill>
          </w14:textFill>
        </w:rPr>
      </w:pPr>
      <w:r>
        <w:rPr>
          <w:rFonts w:hint="eastAsia" w:ascii="黑体" w:hAnsi="黑体" w:eastAsia="黑体" w:cs="黑体"/>
          <w:spacing w:val="2"/>
          <w:szCs w:val="21"/>
        </w:rPr>
        <w:t>来源：关于推动文化产业赋能乡村振兴的意见（文旅产业发〔</w:t>
      </w:r>
      <w:r>
        <w:rPr>
          <w:rFonts w:ascii="黑体" w:hAnsi="黑体" w:eastAsia="黑体" w:cs="黑体"/>
          <w:spacing w:val="2"/>
          <w:szCs w:val="21"/>
        </w:rPr>
        <w:t>2022〕33号</w:t>
      </w:r>
      <w:r>
        <w:rPr>
          <w:rFonts w:hint="eastAsia" w:ascii="黑体" w:hAnsi="黑体" w:eastAsia="黑体" w:cs="黑体"/>
          <w:spacing w:val="2"/>
          <w:szCs w:val="21"/>
        </w:rPr>
        <w:t>）</w:t>
      </w:r>
    </w:p>
    <w:p>
      <w:pPr>
        <w:pStyle w:val="3"/>
        <w:rPr>
          <w:lang w:val="zh-CN"/>
        </w:rPr>
      </w:pPr>
      <w:r>
        <w:rPr>
          <w:rFonts w:hint="eastAsia"/>
          <w:lang w:val="zh-CN"/>
        </w:rPr>
        <w:t>（五）</w:t>
      </w:r>
      <w:bookmarkStart w:id="6" w:name="_Hlk147592240"/>
      <w:r>
        <w:rPr>
          <w:lang w:val="zh-CN"/>
        </w:rPr>
        <w:t>运营质量保障</w:t>
      </w:r>
      <w:bookmarkEnd w:id="6"/>
    </w:p>
    <w:p>
      <w:pPr>
        <w:spacing w:line="560" w:lineRule="exact"/>
        <w:ind w:firstLine="640" w:firstLineChars="200"/>
        <w:rPr>
          <w:rFonts w:ascii="仿宋_GB2312" w:hAnsi="宋体" w:eastAsia="仿宋_GB2312"/>
          <w:sz w:val="32"/>
          <w:szCs w:val="32"/>
          <w:lang w:val="zh-CN"/>
        </w:rPr>
      </w:pPr>
      <w:r>
        <w:rPr>
          <w:rFonts w:hint="eastAsia" w:ascii="仿宋_GB2312" w:hAnsi="宋体" w:eastAsia="仿宋_GB2312"/>
          <w:sz w:val="32"/>
          <w:szCs w:val="32"/>
          <w:lang w:val="zh-CN"/>
        </w:rPr>
        <w:t>在研学旅行基地运营规范制定的过程中，应当注重提高运营质量，保障研学旅行者的安全和服务质量。参照《教育部等</w:t>
      </w:r>
      <w:r>
        <w:rPr>
          <w:rFonts w:ascii="仿宋_GB2312" w:hAnsi="宋体" w:eastAsia="仿宋_GB2312"/>
          <w:sz w:val="32"/>
          <w:szCs w:val="32"/>
          <w:lang w:val="zh-CN"/>
        </w:rPr>
        <w:t>11部门关于推进中小学生研学旅行的意见</w:t>
      </w:r>
      <w:r>
        <w:rPr>
          <w:rFonts w:hint="eastAsia" w:ascii="仿宋_GB2312" w:hAnsi="宋体" w:eastAsia="仿宋_GB2312"/>
          <w:sz w:val="32"/>
          <w:szCs w:val="32"/>
          <w:lang w:val="zh-CN"/>
        </w:rPr>
        <w:t>》以及广西自治区教育厅《关于开展广西第五批中小学生研学实践教育基（营）地推荐工作的通知》等相关文件要求，提出：“应</w:t>
      </w:r>
      <w:r>
        <w:rPr>
          <w:rFonts w:ascii="仿宋_GB2312" w:hAnsi="宋体" w:eastAsia="仿宋_GB2312"/>
          <w:sz w:val="32"/>
          <w:szCs w:val="32"/>
          <w:lang w:val="zh-CN"/>
        </w:rPr>
        <w:t>建立研学旅行的效果测评制度，真实反映研学旅行者的知识、技能的掌握情况，持续改进服务体系</w:t>
      </w:r>
      <w:r>
        <w:rPr>
          <w:rFonts w:hint="eastAsia" w:ascii="仿宋_GB2312" w:hAnsi="宋体" w:eastAsia="仿宋_GB2312"/>
          <w:sz w:val="32"/>
          <w:szCs w:val="32"/>
          <w:lang w:val="zh-CN"/>
        </w:rPr>
        <w:t>”，如在民俗体验中，可建立民俗文化调研评价，通过听取研学旅行者对当地民俗文化的感受和建议，</w:t>
      </w:r>
      <w:r>
        <w:rPr>
          <w:rFonts w:ascii="仿宋_GB2312" w:hAnsi="宋体" w:eastAsia="仿宋_GB2312"/>
          <w:sz w:val="32"/>
          <w:szCs w:val="32"/>
          <w:lang w:val="zh-CN"/>
        </w:rPr>
        <w:t>持续改进服务体系</w:t>
      </w:r>
      <w:r>
        <w:rPr>
          <w:rFonts w:hint="eastAsia" w:ascii="仿宋_GB2312" w:hAnsi="宋体" w:eastAsia="仿宋_GB2312"/>
          <w:sz w:val="32"/>
          <w:szCs w:val="32"/>
          <w:lang w:val="zh-CN"/>
        </w:rPr>
        <w:t>，营造出更加融洽、包容的文化氛围。</w:t>
      </w:r>
    </w:p>
    <w:p>
      <w:pPr>
        <w:spacing w:line="560" w:lineRule="exact"/>
        <w:ind w:firstLine="640" w:firstLineChars="200"/>
        <w:rPr>
          <w:rFonts w:ascii="仿宋_GB2312" w:hAnsi="宋体" w:eastAsia="仿宋_GB2312"/>
          <w:sz w:val="32"/>
          <w:szCs w:val="32"/>
          <w:lang w:val="zh-CN"/>
        </w:rPr>
      </w:pPr>
      <w:r>
        <w:rPr>
          <w:rFonts w:hint="eastAsia" w:ascii="仿宋_GB2312" w:hAnsi="宋体" w:eastAsia="仿宋_GB2312"/>
          <w:sz w:val="32"/>
          <w:szCs w:val="32"/>
          <w:lang w:val="zh-CN"/>
        </w:rPr>
        <w:t>并建议“</w:t>
      </w:r>
      <w:r>
        <w:rPr>
          <w:rFonts w:ascii="仿宋_GB2312" w:hAnsi="宋体" w:eastAsia="仿宋_GB2312"/>
          <w:sz w:val="32"/>
          <w:szCs w:val="32"/>
          <w:lang w:val="zh-CN"/>
        </w:rPr>
        <w:t>建立研学旅行的多元评价体系，评价主体、评价对象、评价内容应多元化，对研学旅行者的研学态度、研学能力和方法、研学结果等方面进行综合性评价</w:t>
      </w:r>
      <w:r>
        <w:rPr>
          <w:rFonts w:hint="eastAsia" w:ascii="仿宋_GB2312" w:hAnsi="宋体" w:eastAsia="仿宋_GB2312"/>
          <w:sz w:val="32"/>
          <w:szCs w:val="32"/>
          <w:lang w:val="zh-CN"/>
        </w:rPr>
        <w:t>”。此外，本文件还建议“</w:t>
      </w:r>
      <w:r>
        <w:rPr>
          <w:rFonts w:ascii="仿宋_GB2312" w:hAnsi="宋体" w:eastAsia="仿宋_GB2312"/>
          <w:sz w:val="32"/>
          <w:szCs w:val="32"/>
          <w:lang w:val="zh-CN"/>
        </w:rPr>
        <w:t>建立健全服务质量监督保障体系，明确服务质量标准和岗位责任制度</w:t>
      </w:r>
      <w:r>
        <w:rPr>
          <w:rFonts w:hint="eastAsia" w:ascii="仿宋_GB2312" w:hAnsi="宋体" w:eastAsia="仿宋_GB2312"/>
          <w:sz w:val="32"/>
          <w:szCs w:val="32"/>
          <w:lang w:val="zh-CN"/>
        </w:rPr>
        <w:t>，</w:t>
      </w:r>
      <w:r>
        <w:rPr>
          <w:rFonts w:ascii="仿宋_GB2312" w:hAnsi="宋体" w:eastAsia="仿宋_GB2312"/>
          <w:sz w:val="32"/>
          <w:szCs w:val="32"/>
          <w:lang w:val="zh-CN"/>
        </w:rPr>
        <w:t>建立健全的投诉与处理制度，保证投诉处理及时、公开、妥善，档案记录完整</w:t>
      </w:r>
      <w:r>
        <w:rPr>
          <w:rFonts w:hint="eastAsia" w:ascii="仿宋_GB2312" w:hAnsi="宋体" w:eastAsia="仿宋_GB2312"/>
          <w:sz w:val="32"/>
          <w:szCs w:val="32"/>
          <w:lang w:val="zh-CN"/>
        </w:rPr>
        <w:t>“</w:t>
      </w:r>
      <w:r>
        <w:rPr>
          <w:rFonts w:ascii="仿宋_GB2312" w:hAnsi="宋体" w:eastAsia="仿宋_GB2312"/>
          <w:sz w:val="32"/>
          <w:szCs w:val="32"/>
          <w:lang w:val="zh-CN"/>
        </w:rPr>
        <w:t>。</w:t>
      </w:r>
      <w:r>
        <w:rPr>
          <w:rFonts w:hint="eastAsia" w:ascii="仿宋_GB2312" w:hAnsi="宋体" w:eastAsia="仿宋_GB2312"/>
          <w:sz w:val="32"/>
          <w:szCs w:val="32"/>
          <w:lang w:val="zh-CN"/>
        </w:rPr>
        <w:t>进而更好地保障研学旅行者的权益和满意度，同时也为研学旅行基地的整体提升和发展打下基础。</w:t>
      </w:r>
    </w:p>
    <w:p>
      <w:pPr>
        <w:rPr>
          <w:rFonts w:ascii="仿宋_GB2312" w:hAnsi="宋体" w:eastAsia="仿宋_GB2312"/>
          <w:sz w:val="32"/>
          <w:szCs w:val="32"/>
          <w:lang w:val="zh-CN"/>
        </w:rPr>
      </w:pPr>
      <w:r>
        <w:drawing>
          <wp:inline distT="0" distB="0" distL="0" distR="0">
            <wp:extent cx="5274310" cy="1732280"/>
            <wp:effectExtent l="19050" t="19050" r="21590" b="20320"/>
            <wp:docPr id="2115034370" name="图片 2115034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5034370" name="图片 2115034370"/>
                    <pic:cNvPicPr>
                      <a:picLocks noChangeAspect="1"/>
                    </pic:cNvPicPr>
                  </pic:nvPicPr>
                  <pic:blipFill>
                    <a:blip r:embed="rId12"/>
                    <a:stretch>
                      <a:fillRect/>
                    </a:stretch>
                  </pic:blipFill>
                  <pic:spPr>
                    <a:xfrm>
                      <a:off x="0" y="0"/>
                      <a:ext cx="5274310" cy="1732280"/>
                    </a:xfrm>
                    <a:prstGeom prst="rect">
                      <a:avLst/>
                    </a:prstGeom>
                    <a:ln>
                      <a:solidFill>
                        <a:schemeClr val="tx1"/>
                      </a:solidFill>
                    </a:ln>
                  </pic:spPr>
                </pic:pic>
              </a:graphicData>
            </a:graphic>
          </wp:inline>
        </w:drawing>
      </w:r>
    </w:p>
    <w:p>
      <w:pPr>
        <w:ind w:firstLine="428" w:firstLineChars="200"/>
        <w:rPr>
          <w:rFonts w:ascii="仿宋_GB2312" w:hAnsi="宋体" w:eastAsia="仿宋_GB2312"/>
          <w:sz w:val="32"/>
          <w:szCs w:val="32"/>
          <w:lang w:val="zh-CN"/>
        </w:rPr>
      </w:pPr>
      <w:r>
        <w:rPr>
          <w:rFonts w:hint="eastAsia" w:ascii="黑体" w:hAnsi="黑体" w:eastAsia="黑体" w:cs="黑体"/>
          <w:spacing w:val="2"/>
          <w:szCs w:val="21"/>
        </w:rPr>
        <w:t>来源：教育部等</w:t>
      </w:r>
      <w:r>
        <w:rPr>
          <w:rFonts w:ascii="黑体" w:hAnsi="黑体" w:eastAsia="黑体" w:cs="黑体"/>
          <w:spacing w:val="2"/>
          <w:szCs w:val="21"/>
        </w:rPr>
        <w:t>11部门关于推进中小学生</w:t>
      </w:r>
      <w:r>
        <w:rPr>
          <w:rFonts w:hint="eastAsia" w:ascii="黑体" w:hAnsi="黑体" w:eastAsia="黑体" w:cs="黑体"/>
          <w:spacing w:val="2"/>
          <w:szCs w:val="21"/>
        </w:rPr>
        <w:t>研学旅行的意见（教基一〔</w:t>
      </w:r>
      <w:r>
        <w:rPr>
          <w:rFonts w:ascii="黑体" w:hAnsi="黑体" w:eastAsia="黑体" w:cs="黑体"/>
          <w:spacing w:val="2"/>
          <w:szCs w:val="21"/>
        </w:rPr>
        <w:t>2016〕8号</w:t>
      </w:r>
      <w:r>
        <w:rPr>
          <w:rFonts w:hint="eastAsia" w:ascii="黑体" w:hAnsi="黑体" w:eastAsia="黑体" w:cs="黑体"/>
          <w:spacing w:val="2"/>
          <w:szCs w:val="21"/>
        </w:rPr>
        <w:t>）</w:t>
      </w:r>
    </w:p>
    <w:p>
      <w:pPr>
        <w:rPr>
          <w:rFonts w:ascii="仿宋_GB2312" w:hAnsi="宋体" w:eastAsia="仿宋_GB2312"/>
          <w:sz w:val="32"/>
          <w:szCs w:val="32"/>
          <w:lang w:val="zh-CN"/>
        </w:rPr>
      </w:pPr>
      <w:r>
        <w:drawing>
          <wp:inline distT="0" distB="0" distL="0" distR="0">
            <wp:extent cx="5274310" cy="1221740"/>
            <wp:effectExtent l="19050" t="19050" r="21590" b="16510"/>
            <wp:docPr id="19879622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962245" name="图片 1"/>
                    <pic:cNvPicPr>
                      <a:picLocks noChangeAspect="1"/>
                    </pic:cNvPicPr>
                  </pic:nvPicPr>
                  <pic:blipFill>
                    <a:blip r:embed="rId16"/>
                    <a:stretch>
                      <a:fillRect/>
                    </a:stretch>
                  </pic:blipFill>
                  <pic:spPr>
                    <a:xfrm>
                      <a:off x="0" y="0"/>
                      <a:ext cx="5274310" cy="1221740"/>
                    </a:xfrm>
                    <a:prstGeom prst="rect">
                      <a:avLst/>
                    </a:prstGeom>
                    <a:ln>
                      <a:solidFill>
                        <a:schemeClr val="tx1"/>
                      </a:solidFill>
                    </a:ln>
                  </pic:spPr>
                </pic:pic>
              </a:graphicData>
            </a:graphic>
          </wp:inline>
        </w:drawing>
      </w:r>
    </w:p>
    <w:p>
      <w:pPr>
        <w:ind w:firstLine="428" w:firstLineChars="200"/>
        <w:rPr>
          <w:rFonts w:ascii="仿宋_GB2312" w:hAnsi="宋体" w:eastAsia="仿宋_GB2312"/>
          <w:sz w:val="32"/>
          <w:szCs w:val="32"/>
          <w:lang w:val="zh-CN"/>
        </w:rPr>
      </w:pPr>
      <w:r>
        <w:rPr>
          <w:rFonts w:hint="eastAsia" w:ascii="黑体" w:hAnsi="黑体" w:eastAsia="黑体" w:cs="黑体"/>
          <w:spacing w:val="2"/>
          <w:szCs w:val="21"/>
        </w:rPr>
        <w:t>来源：教育部等</w:t>
      </w:r>
      <w:r>
        <w:rPr>
          <w:rFonts w:ascii="黑体" w:hAnsi="黑体" w:eastAsia="黑体" w:cs="黑体"/>
          <w:spacing w:val="2"/>
          <w:szCs w:val="21"/>
        </w:rPr>
        <w:t>11部门关于推进中小学生</w:t>
      </w:r>
      <w:r>
        <w:rPr>
          <w:rFonts w:hint="eastAsia" w:ascii="黑体" w:hAnsi="黑体" w:eastAsia="黑体" w:cs="黑体"/>
          <w:spacing w:val="2"/>
          <w:szCs w:val="21"/>
        </w:rPr>
        <w:t>研学旅行的意见（教基一〔</w:t>
      </w:r>
      <w:r>
        <w:rPr>
          <w:rFonts w:ascii="黑体" w:hAnsi="黑体" w:eastAsia="黑体" w:cs="黑体"/>
          <w:spacing w:val="2"/>
          <w:szCs w:val="21"/>
        </w:rPr>
        <w:t>2016〕8号</w:t>
      </w:r>
      <w:r>
        <w:rPr>
          <w:rFonts w:hint="eastAsia" w:ascii="黑体" w:hAnsi="黑体" w:eastAsia="黑体" w:cs="黑体"/>
          <w:spacing w:val="2"/>
          <w:szCs w:val="21"/>
        </w:rPr>
        <w:t>）</w:t>
      </w:r>
    </w:p>
    <w:p>
      <w:pPr>
        <w:spacing w:line="560" w:lineRule="exact"/>
        <w:rPr>
          <w:rFonts w:ascii="仿宋_GB2312" w:hAnsi="宋体" w:eastAsia="仿宋_GB2312"/>
          <w:sz w:val="32"/>
          <w:szCs w:val="32"/>
          <w:lang w:val="zh-CN"/>
        </w:rPr>
      </w:pPr>
      <w:r>
        <w:drawing>
          <wp:anchor distT="0" distB="0" distL="114300" distR="114300" simplePos="0" relativeHeight="251660288" behindDoc="0" locked="0" layoutInCell="1" allowOverlap="1">
            <wp:simplePos x="0" y="0"/>
            <wp:positionH relativeFrom="column">
              <wp:posOffset>27305</wp:posOffset>
            </wp:positionH>
            <wp:positionV relativeFrom="paragraph">
              <wp:posOffset>142875</wp:posOffset>
            </wp:positionV>
            <wp:extent cx="5274310" cy="904240"/>
            <wp:effectExtent l="19050" t="19050" r="21590" b="10160"/>
            <wp:wrapNone/>
            <wp:docPr id="145867344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8673444" name="图片 1"/>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74310" cy="904240"/>
                    </a:xfrm>
                    <a:prstGeom prst="rect">
                      <a:avLst/>
                    </a:prstGeom>
                    <a:ln>
                      <a:solidFill>
                        <a:schemeClr val="tx1"/>
                      </a:solidFill>
                    </a:ln>
                  </pic:spPr>
                </pic:pic>
              </a:graphicData>
            </a:graphic>
          </wp:anchor>
        </w:drawing>
      </w:r>
    </w:p>
    <w:p>
      <w:pPr>
        <w:spacing w:line="560" w:lineRule="exact"/>
        <w:rPr>
          <w:rFonts w:ascii="仿宋_GB2312" w:hAnsi="宋体" w:eastAsia="仿宋_GB2312"/>
          <w:sz w:val="32"/>
          <w:szCs w:val="32"/>
          <w:lang w:val="zh-CN"/>
        </w:rPr>
      </w:pPr>
    </w:p>
    <w:p>
      <w:pPr>
        <w:spacing w:line="560" w:lineRule="exact"/>
        <w:rPr>
          <w:rFonts w:ascii="仿宋_GB2312" w:hAnsi="宋体" w:eastAsia="仿宋_GB2312"/>
          <w:sz w:val="32"/>
          <w:szCs w:val="32"/>
          <w:lang w:val="zh-CN"/>
        </w:rPr>
      </w:pPr>
    </w:p>
    <w:p>
      <w:pPr>
        <w:ind w:firstLine="428" w:firstLineChars="200"/>
        <w:rPr>
          <w:rFonts w:ascii="仿宋_GB2312" w:hAnsi="宋体" w:eastAsia="仿宋_GB2312"/>
          <w:sz w:val="32"/>
          <w:szCs w:val="32"/>
          <w:lang w:val="zh-CN"/>
        </w:rPr>
      </w:pPr>
      <w:bookmarkStart w:id="7" w:name="_Hlk148373028"/>
      <w:r>
        <w:rPr>
          <w:rFonts w:hint="eastAsia" w:ascii="黑体" w:hAnsi="黑体" w:eastAsia="黑体" w:cs="黑体"/>
          <w:spacing w:val="2"/>
          <w:szCs w:val="21"/>
        </w:rPr>
        <w:t>来源：自治区教育厅关于开展广西第五批中小学生研学实践教育基（营）地推荐工作的通知（桂教基教〔</w:t>
      </w:r>
      <w:r>
        <w:rPr>
          <w:rFonts w:ascii="黑体" w:hAnsi="黑体" w:eastAsia="黑体" w:cs="黑体"/>
          <w:spacing w:val="2"/>
          <w:szCs w:val="21"/>
        </w:rPr>
        <w:t>2023〕25 号</w:t>
      </w:r>
      <w:r>
        <w:rPr>
          <w:rFonts w:hint="eastAsia" w:ascii="黑体" w:hAnsi="黑体" w:eastAsia="黑体" w:cs="黑体"/>
          <w:spacing w:val="2"/>
          <w:szCs w:val="21"/>
        </w:rPr>
        <w:t>）</w:t>
      </w:r>
      <w:bookmarkEnd w:id="7"/>
    </w:p>
    <w:p>
      <w:pPr>
        <w:pStyle w:val="2"/>
        <w:rPr>
          <w:lang w:val="zh-CN"/>
        </w:rPr>
      </w:pPr>
      <w:r>
        <w:rPr>
          <w:rFonts w:hint="eastAsia"/>
          <w:lang w:val="zh-CN"/>
        </w:rPr>
        <w:t>八、国内外标准制修订情况</w:t>
      </w:r>
    </w:p>
    <w:p>
      <w:pPr>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经查阅，区内外现未有与“研学旅行基地运营规范”有关的标准。</w:t>
      </w:r>
    </w:p>
    <w:p>
      <w:pPr>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中国旅行社协会分别在</w:t>
      </w:r>
      <w:r>
        <w:rPr>
          <w:rFonts w:ascii="仿宋_GB2312" w:hAnsi="宋体" w:eastAsia="仿宋_GB2312"/>
          <w:sz w:val="32"/>
          <w:szCs w:val="28"/>
          <w:lang w:val="zh-CN"/>
        </w:rPr>
        <w:t>2016年12月19日发布了LB/T 054-2016《研学旅行服务规范》，在2019年3月12日发布了T/CATS 001—2019《研学旅行指导师（中小学）专业标准》、T/CATS 002—2019《研学旅行基地（营地）设施与服务规范》；安徽省在2016年3月2日发布了DB34/T 2604-2016《</w:t>
      </w:r>
      <w:r>
        <w:rPr>
          <w:rFonts w:hint="eastAsia" w:ascii="仿宋_GB2312" w:hAnsi="宋体" w:eastAsia="仿宋_GB2312"/>
          <w:sz w:val="32"/>
          <w:szCs w:val="28"/>
          <w:lang w:val="zh-CN"/>
        </w:rPr>
        <w:t>研学旅行基地建设与服务规范</w:t>
      </w:r>
      <w:r>
        <w:rPr>
          <w:rFonts w:ascii="仿宋_GB2312" w:hAnsi="宋体" w:eastAsia="仿宋_GB2312"/>
          <w:sz w:val="32"/>
          <w:szCs w:val="28"/>
          <w:lang w:val="zh-CN"/>
        </w:rPr>
        <w:t>》；</w:t>
      </w:r>
      <w:r>
        <w:rPr>
          <w:rFonts w:hint="eastAsia" w:ascii="仿宋_GB2312" w:hAnsi="宋体" w:eastAsia="仿宋_GB2312"/>
          <w:sz w:val="32"/>
          <w:szCs w:val="28"/>
          <w:lang w:val="zh-CN"/>
        </w:rPr>
        <w:t>河北省在</w:t>
      </w:r>
      <w:r>
        <w:rPr>
          <w:rFonts w:ascii="仿宋_GB2312" w:hAnsi="宋体" w:eastAsia="仿宋_GB2312"/>
          <w:sz w:val="32"/>
          <w:szCs w:val="28"/>
          <w:lang w:val="zh-CN"/>
        </w:rPr>
        <w:t>2017</w:t>
      </w:r>
      <w:r>
        <w:rPr>
          <w:rFonts w:hint="eastAsia" w:ascii="仿宋_GB2312" w:hAnsi="宋体" w:eastAsia="仿宋_GB2312"/>
          <w:sz w:val="32"/>
          <w:szCs w:val="28"/>
          <w:lang w:val="zh-CN"/>
        </w:rPr>
        <w:t>年</w:t>
      </w:r>
      <w:r>
        <w:rPr>
          <w:rFonts w:ascii="仿宋_GB2312" w:hAnsi="宋体" w:eastAsia="仿宋_GB2312"/>
          <w:sz w:val="32"/>
          <w:szCs w:val="28"/>
          <w:lang w:val="zh-CN"/>
        </w:rPr>
        <w:t>12</w:t>
      </w:r>
      <w:r>
        <w:rPr>
          <w:rFonts w:hint="eastAsia" w:ascii="仿宋_GB2312" w:hAnsi="宋体" w:eastAsia="仿宋_GB2312"/>
          <w:sz w:val="32"/>
          <w:szCs w:val="28"/>
          <w:lang w:val="zh-CN"/>
        </w:rPr>
        <w:t>月</w:t>
      </w:r>
      <w:r>
        <w:rPr>
          <w:rFonts w:ascii="仿宋_GB2312" w:hAnsi="宋体" w:eastAsia="仿宋_GB2312"/>
          <w:sz w:val="32"/>
          <w:szCs w:val="28"/>
          <w:lang w:val="zh-CN"/>
        </w:rPr>
        <w:t>22</w:t>
      </w:r>
      <w:r>
        <w:rPr>
          <w:rFonts w:hint="eastAsia" w:ascii="仿宋_GB2312" w:hAnsi="宋体" w:eastAsia="仿宋_GB2312"/>
          <w:sz w:val="32"/>
          <w:szCs w:val="28"/>
          <w:lang w:val="zh-CN"/>
        </w:rPr>
        <w:t>日发布了</w:t>
      </w:r>
      <w:r>
        <w:rPr>
          <w:rFonts w:ascii="仿宋_GB2312" w:hAnsi="宋体" w:eastAsia="仿宋_GB2312"/>
          <w:sz w:val="32"/>
          <w:szCs w:val="28"/>
          <w:lang w:val="zh-CN"/>
        </w:rPr>
        <w:t>DB13/T 2629-2017</w:t>
      </w:r>
      <w:r>
        <w:rPr>
          <w:rFonts w:hint="eastAsia" w:ascii="仿宋_GB2312" w:hAnsi="宋体" w:eastAsia="仿宋_GB2312"/>
          <w:sz w:val="32"/>
          <w:szCs w:val="28"/>
          <w:lang w:val="zh-CN"/>
        </w:rPr>
        <w:t>《研学旅行基地服务规范》；大连市在</w:t>
      </w:r>
      <w:r>
        <w:rPr>
          <w:rFonts w:ascii="仿宋_GB2312" w:hAnsi="宋体" w:eastAsia="仿宋_GB2312"/>
          <w:sz w:val="32"/>
          <w:szCs w:val="28"/>
          <w:lang w:val="zh-CN"/>
        </w:rPr>
        <w:t>2020</w:t>
      </w:r>
      <w:r>
        <w:rPr>
          <w:rFonts w:hint="eastAsia" w:ascii="仿宋_GB2312" w:hAnsi="宋体" w:eastAsia="仿宋_GB2312"/>
          <w:sz w:val="32"/>
          <w:szCs w:val="28"/>
          <w:lang w:val="zh-CN"/>
        </w:rPr>
        <w:t>年</w:t>
      </w:r>
      <w:r>
        <w:rPr>
          <w:rFonts w:ascii="仿宋_GB2312" w:hAnsi="宋体" w:eastAsia="仿宋_GB2312"/>
          <w:sz w:val="32"/>
          <w:szCs w:val="28"/>
          <w:lang w:val="zh-CN"/>
        </w:rPr>
        <w:t>11</w:t>
      </w:r>
      <w:r>
        <w:rPr>
          <w:rFonts w:hint="eastAsia" w:ascii="仿宋_GB2312" w:hAnsi="宋体" w:eastAsia="仿宋_GB2312"/>
          <w:sz w:val="32"/>
          <w:szCs w:val="28"/>
          <w:lang w:val="zh-CN"/>
        </w:rPr>
        <w:t>月</w:t>
      </w:r>
      <w:r>
        <w:rPr>
          <w:rFonts w:ascii="仿宋_GB2312" w:hAnsi="宋体" w:eastAsia="仿宋_GB2312"/>
          <w:sz w:val="32"/>
          <w:szCs w:val="28"/>
          <w:lang w:val="zh-CN"/>
        </w:rPr>
        <w:t>29</w:t>
      </w:r>
      <w:r>
        <w:rPr>
          <w:rFonts w:hint="eastAsia" w:ascii="仿宋_GB2312" w:hAnsi="宋体" w:eastAsia="仿宋_GB2312"/>
          <w:sz w:val="32"/>
          <w:szCs w:val="28"/>
          <w:lang w:val="zh-CN"/>
        </w:rPr>
        <w:t>日发布了</w:t>
      </w:r>
      <w:r>
        <w:rPr>
          <w:rFonts w:ascii="仿宋_GB2312" w:hAnsi="宋体" w:eastAsia="仿宋_GB2312"/>
          <w:sz w:val="32"/>
          <w:szCs w:val="28"/>
          <w:lang w:val="zh-CN"/>
        </w:rPr>
        <w:t>DB2102/T 0006-2020</w:t>
      </w:r>
      <w:r>
        <w:rPr>
          <w:rFonts w:hint="eastAsia" w:ascii="仿宋_GB2312" w:hAnsi="宋体" w:eastAsia="仿宋_GB2312"/>
          <w:sz w:val="32"/>
          <w:szCs w:val="28"/>
          <w:lang w:val="zh-CN"/>
        </w:rPr>
        <w:t>《研学旅行基地建设与服务管理规范》；</w:t>
      </w:r>
      <w:r>
        <w:rPr>
          <w:rFonts w:ascii="仿宋_GB2312" w:hAnsi="宋体" w:eastAsia="仿宋_GB2312"/>
          <w:sz w:val="32"/>
          <w:szCs w:val="28"/>
          <w:lang w:val="zh-CN"/>
        </w:rPr>
        <w:tab/>
      </w:r>
      <w:r>
        <w:rPr>
          <w:rFonts w:ascii="仿宋_GB2312" w:hAnsi="宋体" w:eastAsia="仿宋_GB2312"/>
          <w:sz w:val="32"/>
          <w:szCs w:val="28"/>
          <w:lang w:val="zh-CN"/>
        </w:rPr>
        <w:t>四川省</w:t>
      </w:r>
      <w:r>
        <w:rPr>
          <w:rFonts w:hint="eastAsia" w:ascii="仿宋_GB2312" w:hAnsi="宋体" w:eastAsia="仿宋_GB2312"/>
          <w:sz w:val="32"/>
          <w:szCs w:val="28"/>
          <w:lang w:val="zh-CN"/>
        </w:rPr>
        <w:t>在</w:t>
      </w:r>
      <w:r>
        <w:rPr>
          <w:rFonts w:ascii="仿宋_GB2312" w:hAnsi="宋体" w:eastAsia="仿宋_GB2312"/>
          <w:sz w:val="32"/>
          <w:szCs w:val="28"/>
          <w:lang w:val="zh-CN"/>
        </w:rPr>
        <w:t>2021</w:t>
      </w:r>
      <w:r>
        <w:rPr>
          <w:rFonts w:hint="eastAsia" w:ascii="仿宋_GB2312" w:hAnsi="宋体" w:eastAsia="仿宋_GB2312"/>
          <w:sz w:val="32"/>
          <w:szCs w:val="28"/>
          <w:lang w:val="zh-CN"/>
        </w:rPr>
        <w:t>年</w:t>
      </w:r>
      <w:r>
        <w:rPr>
          <w:rFonts w:ascii="仿宋_GB2312" w:hAnsi="宋体" w:eastAsia="仿宋_GB2312"/>
          <w:sz w:val="32"/>
          <w:szCs w:val="28"/>
          <w:lang w:val="zh-CN"/>
        </w:rPr>
        <w:t>6</w:t>
      </w:r>
      <w:r>
        <w:rPr>
          <w:rFonts w:hint="eastAsia" w:ascii="仿宋_GB2312" w:hAnsi="宋体" w:eastAsia="仿宋_GB2312"/>
          <w:sz w:val="32"/>
          <w:szCs w:val="28"/>
          <w:lang w:val="zh-CN"/>
        </w:rPr>
        <w:t>月</w:t>
      </w:r>
      <w:r>
        <w:rPr>
          <w:rFonts w:ascii="仿宋_GB2312" w:hAnsi="宋体" w:eastAsia="仿宋_GB2312"/>
          <w:sz w:val="32"/>
          <w:szCs w:val="28"/>
          <w:lang w:val="zh-CN"/>
        </w:rPr>
        <w:t>1</w:t>
      </w:r>
      <w:r>
        <w:rPr>
          <w:rFonts w:hint="eastAsia" w:ascii="仿宋_GB2312" w:hAnsi="宋体" w:eastAsia="仿宋_GB2312"/>
          <w:sz w:val="32"/>
          <w:szCs w:val="28"/>
          <w:lang w:val="zh-CN"/>
        </w:rPr>
        <w:t>日发布了</w:t>
      </w:r>
      <w:r>
        <w:rPr>
          <w:rFonts w:ascii="仿宋_GB2312" w:hAnsi="宋体" w:eastAsia="仿宋_GB2312"/>
          <w:sz w:val="32"/>
          <w:szCs w:val="28"/>
          <w:lang w:val="zh-CN"/>
        </w:rPr>
        <w:t>DB51/T 2786-2021</w:t>
      </w:r>
      <w:r>
        <w:rPr>
          <w:rFonts w:hint="eastAsia" w:ascii="仿宋_GB2312" w:hAnsi="宋体" w:eastAsia="仿宋_GB2312"/>
          <w:sz w:val="32"/>
          <w:szCs w:val="28"/>
          <w:lang w:val="zh-CN"/>
        </w:rPr>
        <w:t>《研学旅行基地（营地）设施与服务规范》；重庆市在</w:t>
      </w:r>
      <w:r>
        <w:rPr>
          <w:rFonts w:ascii="仿宋_GB2312" w:hAnsi="宋体" w:eastAsia="仿宋_GB2312"/>
          <w:sz w:val="32"/>
          <w:szCs w:val="28"/>
          <w:lang w:val="zh-CN"/>
        </w:rPr>
        <w:t>2023</w:t>
      </w:r>
      <w:r>
        <w:rPr>
          <w:rFonts w:hint="eastAsia" w:ascii="仿宋_GB2312" w:hAnsi="宋体" w:eastAsia="仿宋_GB2312"/>
          <w:sz w:val="32"/>
          <w:szCs w:val="28"/>
          <w:lang w:val="zh-CN"/>
        </w:rPr>
        <w:t>年</w:t>
      </w:r>
      <w:r>
        <w:rPr>
          <w:rFonts w:ascii="仿宋_GB2312" w:hAnsi="宋体" w:eastAsia="仿宋_GB2312"/>
          <w:sz w:val="32"/>
          <w:szCs w:val="28"/>
          <w:lang w:val="zh-CN"/>
        </w:rPr>
        <w:t>5</w:t>
      </w:r>
      <w:r>
        <w:rPr>
          <w:rFonts w:hint="eastAsia" w:ascii="仿宋_GB2312" w:hAnsi="宋体" w:eastAsia="仿宋_GB2312"/>
          <w:sz w:val="32"/>
          <w:szCs w:val="28"/>
          <w:lang w:val="zh-CN"/>
        </w:rPr>
        <w:t>月</w:t>
      </w:r>
      <w:r>
        <w:rPr>
          <w:rFonts w:ascii="仿宋_GB2312" w:hAnsi="宋体" w:eastAsia="仿宋_GB2312"/>
          <w:sz w:val="32"/>
          <w:szCs w:val="28"/>
          <w:lang w:val="zh-CN"/>
        </w:rPr>
        <w:t>15</w:t>
      </w:r>
      <w:r>
        <w:rPr>
          <w:rFonts w:hint="eastAsia" w:ascii="仿宋_GB2312" w:hAnsi="宋体" w:eastAsia="仿宋_GB2312"/>
          <w:sz w:val="32"/>
          <w:szCs w:val="28"/>
          <w:lang w:val="zh-CN"/>
        </w:rPr>
        <w:t>日发布了</w:t>
      </w:r>
      <w:r>
        <w:rPr>
          <w:rFonts w:ascii="仿宋_GB2312" w:hAnsi="宋体" w:eastAsia="仿宋_GB2312"/>
          <w:sz w:val="32"/>
          <w:szCs w:val="28"/>
          <w:lang w:val="zh-CN"/>
        </w:rPr>
        <w:t>DB50/T 1373-2023</w:t>
      </w:r>
      <w:r>
        <w:rPr>
          <w:rFonts w:hint="eastAsia" w:ascii="仿宋_GB2312" w:hAnsi="宋体" w:eastAsia="仿宋_GB2312"/>
          <w:sz w:val="32"/>
          <w:szCs w:val="28"/>
          <w:lang w:val="zh-CN"/>
        </w:rPr>
        <w:t>《研学旅行基地等级划分与评定》；长春市在</w:t>
      </w:r>
      <w:r>
        <w:rPr>
          <w:rFonts w:ascii="仿宋_GB2312" w:hAnsi="宋体" w:eastAsia="仿宋_GB2312"/>
          <w:sz w:val="32"/>
          <w:szCs w:val="28"/>
          <w:lang w:val="zh-CN"/>
        </w:rPr>
        <w:t>2023</w:t>
      </w:r>
      <w:r>
        <w:rPr>
          <w:rFonts w:hint="eastAsia" w:ascii="仿宋_GB2312" w:hAnsi="宋体" w:eastAsia="仿宋_GB2312"/>
          <w:sz w:val="32"/>
          <w:szCs w:val="28"/>
          <w:lang w:val="zh-CN"/>
        </w:rPr>
        <w:t>年</w:t>
      </w:r>
      <w:r>
        <w:rPr>
          <w:rFonts w:ascii="仿宋_GB2312" w:hAnsi="宋体" w:eastAsia="仿宋_GB2312"/>
          <w:sz w:val="32"/>
          <w:szCs w:val="28"/>
          <w:lang w:val="zh-CN"/>
        </w:rPr>
        <w:t>5</w:t>
      </w:r>
      <w:r>
        <w:rPr>
          <w:rFonts w:hint="eastAsia" w:ascii="仿宋_GB2312" w:hAnsi="宋体" w:eastAsia="仿宋_GB2312"/>
          <w:sz w:val="32"/>
          <w:szCs w:val="28"/>
          <w:lang w:val="zh-CN"/>
        </w:rPr>
        <w:t>月</w:t>
      </w:r>
      <w:r>
        <w:rPr>
          <w:rFonts w:ascii="仿宋_GB2312" w:hAnsi="宋体" w:eastAsia="仿宋_GB2312"/>
          <w:sz w:val="32"/>
          <w:szCs w:val="28"/>
          <w:lang w:val="zh-CN"/>
        </w:rPr>
        <w:t>1</w:t>
      </w:r>
      <w:r>
        <w:rPr>
          <w:rFonts w:hint="eastAsia" w:ascii="仿宋_GB2312" w:hAnsi="宋体" w:eastAsia="仿宋_GB2312"/>
          <w:sz w:val="32"/>
          <w:szCs w:val="28"/>
          <w:lang w:val="zh-CN"/>
        </w:rPr>
        <w:t>日发布了</w:t>
      </w:r>
      <w:r>
        <w:rPr>
          <w:rFonts w:ascii="仿宋_GB2312" w:hAnsi="宋体" w:eastAsia="仿宋_GB2312"/>
          <w:sz w:val="32"/>
          <w:szCs w:val="28"/>
          <w:lang w:val="zh-CN"/>
        </w:rPr>
        <w:t>DB2201/T 41-2023</w:t>
      </w:r>
      <w:r>
        <w:rPr>
          <w:rFonts w:hint="eastAsia" w:ascii="仿宋_GB2312" w:hAnsi="宋体" w:eastAsia="仿宋_GB2312"/>
          <w:sz w:val="32"/>
          <w:szCs w:val="28"/>
          <w:lang w:val="zh-CN"/>
        </w:rPr>
        <w:t>《研学旅行基地基本要求与评价》。综合而言，</w:t>
      </w:r>
      <w:r>
        <w:rPr>
          <w:rFonts w:ascii="仿宋_GB2312" w:hAnsi="宋体" w:eastAsia="仿宋_GB2312"/>
          <w:sz w:val="32"/>
          <w:szCs w:val="28"/>
          <w:lang w:val="zh-CN"/>
        </w:rPr>
        <w:t>国内对研学旅行</w:t>
      </w:r>
      <w:r>
        <w:rPr>
          <w:rFonts w:hint="eastAsia" w:ascii="仿宋_GB2312" w:hAnsi="宋体" w:eastAsia="仿宋_GB2312"/>
          <w:sz w:val="32"/>
          <w:szCs w:val="28"/>
          <w:lang w:val="zh-CN"/>
        </w:rPr>
        <w:t>基地</w:t>
      </w:r>
      <w:r>
        <w:rPr>
          <w:rFonts w:ascii="仿宋_GB2312" w:hAnsi="宋体" w:eastAsia="仿宋_GB2312"/>
          <w:sz w:val="32"/>
          <w:szCs w:val="28"/>
          <w:lang w:val="zh-CN"/>
        </w:rPr>
        <w:t>的研究主要集中在研学旅行</w:t>
      </w:r>
      <w:r>
        <w:rPr>
          <w:rFonts w:hint="eastAsia" w:ascii="仿宋_GB2312" w:hAnsi="宋体" w:eastAsia="仿宋_GB2312"/>
          <w:sz w:val="32"/>
          <w:szCs w:val="28"/>
          <w:lang w:val="zh-CN"/>
        </w:rPr>
        <w:t>基地</w:t>
      </w:r>
      <w:r>
        <w:rPr>
          <w:rFonts w:ascii="仿宋_GB2312" w:hAnsi="宋体" w:eastAsia="仿宋_GB2312"/>
          <w:sz w:val="32"/>
          <w:szCs w:val="28"/>
          <w:lang w:val="zh-CN"/>
        </w:rPr>
        <w:t>服务规范</w:t>
      </w:r>
      <w:r>
        <w:rPr>
          <w:rFonts w:hint="eastAsia" w:ascii="仿宋_GB2312" w:hAnsi="宋体" w:eastAsia="仿宋_GB2312"/>
          <w:sz w:val="32"/>
          <w:szCs w:val="28"/>
          <w:lang w:val="zh-CN"/>
        </w:rPr>
        <w:t>与管理</w:t>
      </w:r>
      <w:r>
        <w:rPr>
          <w:rFonts w:ascii="仿宋_GB2312" w:hAnsi="宋体" w:eastAsia="仿宋_GB2312"/>
          <w:sz w:val="32"/>
          <w:szCs w:val="28"/>
          <w:lang w:val="zh-CN"/>
        </w:rPr>
        <w:t>规范等方面。</w:t>
      </w:r>
    </w:p>
    <w:p>
      <w:pPr>
        <w:ind w:firstLine="640" w:firstLineChars="200"/>
      </w:pPr>
      <w:r>
        <w:rPr>
          <w:rFonts w:hint="eastAsia" w:ascii="仿宋_GB2312" w:hAnsi="宋体" w:eastAsia="仿宋_GB2312"/>
          <w:sz w:val="32"/>
          <w:szCs w:val="28"/>
          <w:lang w:val="zh-CN"/>
        </w:rPr>
        <w:t>与之相比，本标准从</w:t>
      </w:r>
      <w:r>
        <w:rPr>
          <w:rFonts w:hint="eastAsia" w:ascii="Times New Roman" w:hAnsi="Times New Roman" w:eastAsia="仿宋_GB2312" w:cs="Times New Roman"/>
          <w:sz w:val="32"/>
          <w:szCs w:val="32"/>
        </w:rPr>
        <w:t>研学旅行基地运营</w:t>
      </w:r>
      <w:r>
        <w:rPr>
          <w:rFonts w:hint="eastAsia" w:ascii="仿宋_GB2312" w:hAnsi="宋体" w:eastAsia="仿宋_GB2312"/>
          <w:sz w:val="32"/>
          <w:szCs w:val="28"/>
          <w:lang w:val="zh-CN"/>
        </w:rPr>
        <w:t>规范进行研究。</w:t>
      </w:r>
      <w:r>
        <w:rPr>
          <w:rFonts w:hint="eastAsia" w:ascii="Times New Roman" w:hAnsi="Times New Roman" w:eastAsia="仿宋_GB2312" w:cs="Times New Roman"/>
          <w:sz w:val="32"/>
          <w:szCs w:val="32"/>
        </w:rPr>
        <w:t>通过制定和执行规范化的运营规范，进而保障研学旅行产品的服务质量</w:t>
      </w:r>
      <w:r>
        <w:rPr>
          <w:rFonts w:hint="eastAsia" w:ascii="仿宋_GB2312" w:hAnsi="宋体" w:eastAsia="仿宋_GB2312"/>
          <w:sz w:val="32"/>
          <w:szCs w:val="28"/>
          <w:lang w:val="zh-CN"/>
        </w:rPr>
        <w:t>。</w:t>
      </w:r>
    </w:p>
    <w:p>
      <w:pPr>
        <w:pStyle w:val="2"/>
      </w:pPr>
      <w:r>
        <w:rPr>
          <w:rFonts w:hint="eastAsia"/>
        </w:rPr>
        <w:t>九、重大意见分歧</w:t>
      </w:r>
    </w:p>
    <w:p>
      <w:pPr>
        <w:spacing w:line="360" w:lineRule="auto"/>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本标准研制过程中无重大分歧意见。</w:t>
      </w:r>
    </w:p>
    <w:p>
      <w:pPr>
        <w:pStyle w:val="2"/>
      </w:pPr>
      <w:r>
        <w:rPr>
          <w:rFonts w:hint="eastAsia"/>
        </w:rPr>
        <w:t>十、实施标准的措施</w:t>
      </w:r>
    </w:p>
    <w:p>
      <w:pPr>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1、团体标准《研学旅行基地运营规范》发布后，积极向研学旅行相关学校、政府、涉旅企业等介绍标准的立意构想、原则、要求、注意事项等进行宣讲，以利于执行。</w:t>
      </w:r>
    </w:p>
    <w:p>
      <w:pPr>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2、由牵头起草单位、主要起草单位和核心成员举办专题培训班，以促进本标准的贯彻实施。</w:t>
      </w:r>
    </w:p>
    <w:p>
      <w:pPr>
        <w:pStyle w:val="2"/>
      </w:pPr>
      <w:r>
        <w:rPr>
          <w:rFonts w:hint="eastAsia"/>
        </w:rPr>
        <w:t>十一、自我承诺</w:t>
      </w:r>
    </w:p>
    <w:p>
      <w:pPr>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本标准内容与各项指标不低于强制性标准要求。</w:t>
      </w:r>
    </w:p>
    <w:p>
      <w:pPr>
        <w:ind w:firstLine="640" w:firstLineChars="200"/>
        <w:rPr>
          <w:rFonts w:ascii="仿宋_GB2312" w:hAnsi="宋体" w:eastAsia="仿宋_GB2312"/>
          <w:sz w:val="32"/>
          <w:szCs w:val="28"/>
          <w:lang w:val="zh-CN"/>
        </w:rPr>
      </w:pPr>
    </w:p>
    <w:p>
      <w:pPr>
        <w:jc w:val="right"/>
        <w:rPr>
          <w:rFonts w:ascii="仿宋_GB2312" w:hAnsi="宋体" w:eastAsia="仿宋_GB2312"/>
          <w:sz w:val="32"/>
          <w:szCs w:val="28"/>
          <w:lang w:val="zh-CN"/>
        </w:rPr>
      </w:pPr>
      <w:r>
        <w:rPr>
          <w:rFonts w:hint="eastAsia" w:ascii="仿宋_GB2312" w:hAnsi="宋体" w:eastAsia="仿宋_GB2312"/>
          <w:sz w:val="32"/>
          <w:szCs w:val="28"/>
          <w:lang w:val="zh-CN"/>
        </w:rPr>
        <w:t>团体标准《研学旅行基地运营规范》标准编制小组</w:t>
      </w:r>
    </w:p>
    <w:p>
      <w:pPr>
        <w:spacing w:before="312" w:beforeLines="100" w:after="312" w:afterLines="100" w:line="20" w:lineRule="atLeast"/>
        <w:ind w:right="420" w:rightChars="200"/>
        <w:jc w:val="right"/>
        <w:rPr>
          <w:rFonts w:ascii="Times New Roman" w:hAnsi="Times New Roman" w:eastAsia="仿宋_GB2312" w:cs="Times New Roman"/>
          <w:sz w:val="32"/>
          <w:szCs w:val="32"/>
        </w:rPr>
      </w:pPr>
      <w:r>
        <w:rPr>
          <w:rFonts w:hint="eastAsia" w:ascii="仿宋_GB2312" w:hAnsi="宋体" w:eastAsia="仿宋_GB2312"/>
          <w:sz w:val="32"/>
          <w:szCs w:val="28"/>
          <w:lang w:val="zh-CN"/>
        </w:rPr>
        <w:t xml:space="preserve">                </w:t>
      </w:r>
      <w:r>
        <w:rPr>
          <w:rFonts w:hint="eastAsia" w:ascii="仿宋_GB2312" w:hAnsi="宋体" w:eastAsia="仿宋_GB2312"/>
          <w:sz w:val="32"/>
          <w:szCs w:val="28"/>
        </w:rPr>
        <w:t xml:space="preserve">     </w:t>
      </w:r>
      <w:r>
        <w:rPr>
          <w:rFonts w:hint="eastAsia" w:ascii="仿宋_GB2312" w:hAnsi="宋体" w:eastAsia="仿宋_GB2312"/>
          <w:sz w:val="32"/>
          <w:szCs w:val="28"/>
          <w:lang w:val="zh-CN"/>
        </w:rPr>
        <w:t xml:space="preserve">     202</w:t>
      </w:r>
      <w:r>
        <w:rPr>
          <w:rFonts w:ascii="仿宋_GB2312" w:hAnsi="宋体" w:eastAsia="仿宋_GB2312"/>
          <w:sz w:val="32"/>
          <w:szCs w:val="28"/>
          <w:lang w:val="zh-CN"/>
        </w:rPr>
        <w:t>3</w:t>
      </w:r>
      <w:r>
        <w:rPr>
          <w:rFonts w:hint="eastAsia" w:ascii="仿宋_GB2312" w:hAnsi="宋体" w:eastAsia="仿宋_GB2312"/>
          <w:sz w:val="32"/>
          <w:szCs w:val="28"/>
          <w:lang w:val="zh-CN"/>
        </w:rPr>
        <w:t>年</w:t>
      </w:r>
      <w:r>
        <w:rPr>
          <w:rFonts w:hint="eastAsia" w:ascii="仿宋_GB2312" w:hAnsi="宋体" w:eastAsia="仿宋_GB2312"/>
          <w:sz w:val="32"/>
          <w:szCs w:val="28"/>
        </w:rPr>
        <w:t>9</w:t>
      </w:r>
      <w:r>
        <w:rPr>
          <w:rFonts w:hint="eastAsia" w:ascii="仿宋_GB2312" w:hAnsi="宋体" w:eastAsia="仿宋_GB2312"/>
          <w:sz w:val="32"/>
          <w:szCs w:val="28"/>
          <w:lang w:val="zh-CN"/>
        </w:rPr>
        <w:t>月</w:t>
      </w:r>
      <w:r>
        <w:rPr>
          <w:rFonts w:hint="eastAsia" w:ascii="仿宋_GB2312" w:hAnsi="宋体" w:eastAsia="仿宋_GB2312"/>
          <w:sz w:val="32"/>
          <w:szCs w:val="28"/>
        </w:rPr>
        <w:t>27</w:t>
      </w:r>
      <w:r>
        <w:rPr>
          <w:rFonts w:hint="eastAsia" w:ascii="仿宋_GB2312" w:hAnsi="宋体" w:eastAsia="仿宋_GB2312"/>
          <w:sz w:val="32"/>
          <w:szCs w:val="28"/>
          <w:lang w:val="zh-CN"/>
        </w:rPr>
        <w:t>日</w:t>
      </w:r>
    </w:p>
    <w:p>
      <w:pPr>
        <w:spacing w:line="360" w:lineRule="auto"/>
        <w:ind w:firstLine="560" w:firstLineChars="200"/>
        <w:jc w:val="right"/>
        <w:rPr>
          <w:rFonts w:ascii="Times New Roman" w:hAnsi="Times New Roman" w:eastAsia="仿宋_GB2312" w:cs="Times New Roman"/>
          <w:kern w:val="0"/>
          <w:sz w:val="28"/>
          <w:szCs w:val="28"/>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仿宋_GB2312">
    <w:altName w:val="仿宋"/>
    <w:panose1 w:val="02010609030101010101"/>
    <w:charset w:val="86"/>
    <w:family w:val="auto"/>
    <w:pitch w:val="default"/>
    <w:sig w:usb0="00000000" w:usb1="00000000" w:usb2="00000000" w:usb3="00000000" w:csb0="00040000" w:csb1="00000000"/>
  </w:font>
  <w:font w:name="等线 Light">
    <w:panose1 w:val="02010600030101010101"/>
    <w:charset w:val="86"/>
    <w:family w:val="auto"/>
    <w:pitch w:val="default"/>
    <w:sig w:usb0="A00002BF" w:usb1="38CF7CFA" w:usb2="00000016" w:usb3="00000000" w:csb0="0004000F" w:csb1="0000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 w:name="仿宋_GB2312">
    <w:altName w:val="仿宋"/>
    <w:panose1 w:val="00000000000000000000"/>
    <w:charset w:val="00"/>
    <w:family w:val="auto"/>
    <w:pitch w:val="default"/>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IzNmQxYWI0Y2E1ZGE4YTI3ZGQxMmQ0NzdhNmRjOTUifQ=="/>
  </w:docVars>
  <w:rsids>
    <w:rsidRoot w:val="0053487B"/>
    <w:rsid w:val="00002675"/>
    <w:rsid w:val="00053403"/>
    <w:rsid w:val="00073BA3"/>
    <w:rsid w:val="00083609"/>
    <w:rsid w:val="00095FBC"/>
    <w:rsid w:val="00097A9B"/>
    <w:rsid w:val="000B097D"/>
    <w:rsid w:val="000D6CE4"/>
    <w:rsid w:val="00107D0B"/>
    <w:rsid w:val="001411AC"/>
    <w:rsid w:val="001433FA"/>
    <w:rsid w:val="00146081"/>
    <w:rsid w:val="0017706C"/>
    <w:rsid w:val="00191C38"/>
    <w:rsid w:val="001C0069"/>
    <w:rsid w:val="00200580"/>
    <w:rsid w:val="00203A19"/>
    <w:rsid w:val="00227356"/>
    <w:rsid w:val="002314C0"/>
    <w:rsid w:val="0023379E"/>
    <w:rsid w:val="00234238"/>
    <w:rsid w:val="00234683"/>
    <w:rsid w:val="002878D0"/>
    <w:rsid w:val="002A4338"/>
    <w:rsid w:val="002C5F2A"/>
    <w:rsid w:val="002F3ED3"/>
    <w:rsid w:val="00334ED7"/>
    <w:rsid w:val="003361F6"/>
    <w:rsid w:val="0033636D"/>
    <w:rsid w:val="00386355"/>
    <w:rsid w:val="003A0596"/>
    <w:rsid w:val="00413550"/>
    <w:rsid w:val="00423FB2"/>
    <w:rsid w:val="004247D1"/>
    <w:rsid w:val="00457063"/>
    <w:rsid w:val="00464580"/>
    <w:rsid w:val="004645B7"/>
    <w:rsid w:val="00495AD5"/>
    <w:rsid w:val="004B72B5"/>
    <w:rsid w:val="004D30CA"/>
    <w:rsid w:val="004F0FEF"/>
    <w:rsid w:val="0053487B"/>
    <w:rsid w:val="005529E2"/>
    <w:rsid w:val="0057651F"/>
    <w:rsid w:val="005E0E67"/>
    <w:rsid w:val="005E3ECD"/>
    <w:rsid w:val="005E6137"/>
    <w:rsid w:val="005E792B"/>
    <w:rsid w:val="00601F0E"/>
    <w:rsid w:val="00617D4E"/>
    <w:rsid w:val="00657A7C"/>
    <w:rsid w:val="006A32CD"/>
    <w:rsid w:val="00734A4C"/>
    <w:rsid w:val="007A69A7"/>
    <w:rsid w:val="007D692C"/>
    <w:rsid w:val="00807001"/>
    <w:rsid w:val="00812F95"/>
    <w:rsid w:val="00875659"/>
    <w:rsid w:val="00890481"/>
    <w:rsid w:val="008B309B"/>
    <w:rsid w:val="008B373E"/>
    <w:rsid w:val="008F4A08"/>
    <w:rsid w:val="00906617"/>
    <w:rsid w:val="00947EFC"/>
    <w:rsid w:val="00951872"/>
    <w:rsid w:val="009534C7"/>
    <w:rsid w:val="00955B4A"/>
    <w:rsid w:val="00964604"/>
    <w:rsid w:val="00987B82"/>
    <w:rsid w:val="00990ADA"/>
    <w:rsid w:val="009B7715"/>
    <w:rsid w:val="00A64FC8"/>
    <w:rsid w:val="00A667D8"/>
    <w:rsid w:val="00A72B3C"/>
    <w:rsid w:val="00AB388D"/>
    <w:rsid w:val="00B44B5F"/>
    <w:rsid w:val="00B452F3"/>
    <w:rsid w:val="00B6528E"/>
    <w:rsid w:val="00B77823"/>
    <w:rsid w:val="00B865E1"/>
    <w:rsid w:val="00B903C2"/>
    <w:rsid w:val="00BC4959"/>
    <w:rsid w:val="00BE6541"/>
    <w:rsid w:val="00C278D5"/>
    <w:rsid w:val="00C65468"/>
    <w:rsid w:val="00C6625E"/>
    <w:rsid w:val="00C91E5D"/>
    <w:rsid w:val="00CA44DE"/>
    <w:rsid w:val="00CD3A55"/>
    <w:rsid w:val="00CE0888"/>
    <w:rsid w:val="00D16204"/>
    <w:rsid w:val="00D41E64"/>
    <w:rsid w:val="00D47FA9"/>
    <w:rsid w:val="00D600A0"/>
    <w:rsid w:val="00E544F5"/>
    <w:rsid w:val="00EC79D9"/>
    <w:rsid w:val="00EF0A05"/>
    <w:rsid w:val="00F93808"/>
    <w:rsid w:val="00FE0F39"/>
    <w:rsid w:val="00FF5954"/>
    <w:rsid w:val="1DB64655"/>
    <w:rsid w:val="22946ABB"/>
    <w:rsid w:val="2DCC0C85"/>
    <w:rsid w:val="2F413D59"/>
    <w:rsid w:val="44B30491"/>
    <w:rsid w:val="4E9E77FD"/>
    <w:rsid w:val="5FD430B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2"/>
    <w:qFormat/>
    <w:uiPriority w:val="9"/>
    <w:pPr>
      <w:topLinePunct/>
      <w:snapToGrid w:val="0"/>
      <w:spacing w:before="156" w:beforeLines="50" w:after="156" w:afterLines="50" w:line="560" w:lineRule="exact"/>
      <w:ind w:firstLine="640" w:firstLineChars="200"/>
      <w:outlineLvl w:val="0"/>
    </w:pPr>
    <w:rPr>
      <w:rFonts w:ascii="黑体" w:hAnsi="宋体" w:eastAsia="黑体"/>
      <w:color w:val="000000"/>
      <w:sz w:val="32"/>
    </w:rPr>
  </w:style>
  <w:style w:type="paragraph" w:styleId="3">
    <w:name w:val="heading 2"/>
    <w:basedOn w:val="1"/>
    <w:next w:val="1"/>
    <w:link w:val="14"/>
    <w:unhideWhenUsed/>
    <w:qFormat/>
    <w:uiPriority w:val="9"/>
    <w:pPr>
      <w:spacing w:line="360" w:lineRule="auto"/>
      <w:ind w:firstLine="560" w:firstLineChars="200"/>
      <w:outlineLvl w:val="1"/>
    </w:pPr>
    <w:rPr>
      <w:rFonts w:ascii="Times New Roman" w:hAnsi="Times New Roman" w:eastAsia="仿宋_GB2312" w:cs="Times New Roman"/>
      <w:b/>
      <w:bCs/>
      <w:sz w:val="28"/>
      <w:szCs w:val="28"/>
    </w:rPr>
  </w:style>
  <w:style w:type="paragraph" w:styleId="4">
    <w:name w:val="heading 3"/>
    <w:basedOn w:val="1"/>
    <w:next w:val="1"/>
    <w:link w:val="15"/>
    <w:unhideWhenUsed/>
    <w:qFormat/>
    <w:uiPriority w:val="9"/>
    <w:pPr>
      <w:spacing w:line="360" w:lineRule="auto"/>
      <w:outlineLvl w:val="2"/>
    </w:pPr>
    <w:rPr>
      <w:rFonts w:ascii="Times New Roman" w:hAnsi="Times New Roman" w:eastAsia="仿宋_GB2312" w:cs="Times New Roman"/>
      <w:b/>
      <w:bCs/>
      <w:kern w:val="0"/>
      <w:sz w:val="28"/>
      <w:szCs w:val="28"/>
    </w:rPr>
  </w:style>
  <w:style w:type="paragraph" w:styleId="5">
    <w:name w:val="heading 4"/>
    <w:basedOn w:val="1"/>
    <w:next w:val="1"/>
    <w:link w:val="11"/>
    <w:unhideWhenUsed/>
    <w:qFormat/>
    <w:uiPriority w:val="0"/>
    <w:pPr>
      <w:keepNext/>
      <w:keepLines/>
      <w:spacing w:before="280" w:after="290" w:line="376" w:lineRule="auto"/>
      <w:jc w:val="center"/>
      <w:outlineLvl w:val="3"/>
    </w:pPr>
    <w:rPr>
      <w:rFonts w:asciiTheme="majorHAnsi" w:hAnsiTheme="majorHAnsi" w:eastAsiaTheme="majorEastAsia" w:cstheme="majorBidi"/>
      <w:b/>
      <w:bCs/>
      <w:color w:val="000000"/>
      <w:sz w:val="28"/>
      <w:szCs w:val="28"/>
      <w14:textFill>
        <w14:solidFill>
          <w14:srgbClr w14:val="000000">
            <w14:alpha w14:val="1000"/>
          </w14:srgbClr>
        </w14:solidFill>
      </w14:textFill>
    </w:rPr>
  </w:style>
  <w:style w:type="character" w:default="1" w:styleId="10">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6">
    <w:name w:val="Body Text"/>
    <w:basedOn w:val="1"/>
    <w:link w:val="19"/>
    <w:qFormat/>
    <w:uiPriority w:val="99"/>
    <w:pPr>
      <w:autoSpaceDE w:val="0"/>
      <w:autoSpaceDN w:val="0"/>
      <w:adjustRightInd w:val="0"/>
      <w:ind w:left="109"/>
      <w:jc w:val="left"/>
    </w:pPr>
    <w:rPr>
      <w:rFonts w:ascii="仿宋_GB2312" w:hAnsi="仿宋_GB2312" w:eastAsia="仿宋_GB2312" w:cs="Times New Roman"/>
      <w:kern w:val="0"/>
      <w:sz w:val="32"/>
      <w:szCs w:val="24"/>
    </w:rPr>
  </w:style>
  <w:style w:type="paragraph" w:styleId="7">
    <w:name w:val="footer"/>
    <w:basedOn w:val="1"/>
    <w:link w:val="17"/>
    <w:unhideWhenUsed/>
    <w:qFormat/>
    <w:uiPriority w:val="99"/>
    <w:pPr>
      <w:tabs>
        <w:tab w:val="center" w:pos="4153"/>
        <w:tab w:val="right" w:pos="8306"/>
      </w:tabs>
      <w:snapToGrid w:val="0"/>
      <w:jc w:val="left"/>
    </w:pPr>
    <w:rPr>
      <w:sz w:val="18"/>
      <w:szCs w:val="18"/>
    </w:rPr>
  </w:style>
  <w:style w:type="paragraph" w:styleId="8">
    <w:name w:val="header"/>
    <w:basedOn w:val="1"/>
    <w:link w:val="16"/>
    <w:unhideWhenUsed/>
    <w:qFormat/>
    <w:uiPriority w:val="99"/>
    <w:pPr>
      <w:tabs>
        <w:tab w:val="center" w:pos="4153"/>
        <w:tab w:val="right" w:pos="8306"/>
      </w:tabs>
      <w:snapToGrid w:val="0"/>
      <w:jc w:val="center"/>
    </w:pPr>
    <w:rPr>
      <w:sz w:val="18"/>
      <w:szCs w:val="18"/>
    </w:rPr>
  </w:style>
  <w:style w:type="character" w:customStyle="1" w:styleId="11">
    <w:name w:val="标题 4 字符"/>
    <w:basedOn w:val="10"/>
    <w:link w:val="5"/>
    <w:qFormat/>
    <w:uiPriority w:val="0"/>
    <w:rPr>
      <w:rFonts w:asciiTheme="majorHAnsi" w:hAnsiTheme="majorHAnsi" w:eastAsiaTheme="majorEastAsia" w:cstheme="majorBidi"/>
      <w:b/>
      <w:bCs/>
      <w:color w:val="000000"/>
      <w:sz w:val="28"/>
      <w:szCs w:val="28"/>
      <w14:textFill>
        <w14:solidFill>
          <w14:srgbClr w14:val="000000">
            <w14:alpha w14:val="1000"/>
          </w14:srgbClr>
        </w14:solidFill>
      </w14:textFill>
    </w:rPr>
  </w:style>
  <w:style w:type="character" w:customStyle="1" w:styleId="12">
    <w:name w:val="标题 1 字符"/>
    <w:basedOn w:val="10"/>
    <w:link w:val="2"/>
    <w:qFormat/>
    <w:uiPriority w:val="9"/>
    <w:rPr>
      <w:rFonts w:ascii="黑体" w:hAnsi="宋体" w:eastAsia="黑体"/>
      <w:color w:val="000000"/>
      <w:kern w:val="2"/>
      <w:sz w:val="32"/>
      <w:szCs w:val="22"/>
    </w:rPr>
  </w:style>
  <w:style w:type="paragraph" w:customStyle="1" w:styleId="13">
    <w:name w:val="段"/>
    <w:qFormat/>
    <w:uiPriority w:val="0"/>
    <w:pPr>
      <w:autoSpaceDE w:val="0"/>
      <w:autoSpaceDN w:val="0"/>
      <w:ind w:firstLine="200" w:firstLineChars="200"/>
      <w:jc w:val="both"/>
    </w:pPr>
    <w:rPr>
      <w:rFonts w:ascii="宋体" w:hAnsi="Calibri" w:eastAsia="宋体" w:cs="Times New Roman"/>
      <w:sz w:val="21"/>
      <w:lang w:val="en-US" w:eastAsia="zh-CN" w:bidi="ar-SA"/>
    </w:rPr>
  </w:style>
  <w:style w:type="character" w:customStyle="1" w:styleId="14">
    <w:name w:val="标题 2 字符"/>
    <w:basedOn w:val="10"/>
    <w:link w:val="3"/>
    <w:qFormat/>
    <w:uiPriority w:val="9"/>
    <w:rPr>
      <w:rFonts w:ascii="Times New Roman" w:hAnsi="Times New Roman" w:eastAsia="仿宋_GB2312" w:cs="Times New Roman"/>
      <w:b/>
      <w:bCs/>
      <w:sz w:val="28"/>
      <w:szCs w:val="28"/>
    </w:rPr>
  </w:style>
  <w:style w:type="character" w:customStyle="1" w:styleId="15">
    <w:name w:val="标题 3 字符"/>
    <w:basedOn w:val="10"/>
    <w:link w:val="4"/>
    <w:qFormat/>
    <w:uiPriority w:val="9"/>
    <w:rPr>
      <w:rFonts w:ascii="Times New Roman" w:hAnsi="Times New Roman" w:eastAsia="仿宋_GB2312" w:cs="Times New Roman"/>
      <w:b/>
      <w:bCs/>
      <w:kern w:val="0"/>
      <w:sz w:val="28"/>
      <w:szCs w:val="28"/>
    </w:rPr>
  </w:style>
  <w:style w:type="character" w:customStyle="1" w:styleId="16">
    <w:name w:val="页眉 字符"/>
    <w:basedOn w:val="10"/>
    <w:link w:val="8"/>
    <w:qFormat/>
    <w:uiPriority w:val="99"/>
    <w:rPr>
      <w:kern w:val="2"/>
      <w:sz w:val="18"/>
      <w:szCs w:val="18"/>
    </w:rPr>
  </w:style>
  <w:style w:type="character" w:customStyle="1" w:styleId="17">
    <w:name w:val="页脚 字符"/>
    <w:basedOn w:val="10"/>
    <w:link w:val="7"/>
    <w:qFormat/>
    <w:uiPriority w:val="99"/>
    <w:rPr>
      <w:kern w:val="2"/>
      <w:sz w:val="18"/>
      <w:szCs w:val="18"/>
    </w:rPr>
  </w:style>
  <w:style w:type="paragraph" w:styleId="18">
    <w:name w:val="List Paragraph"/>
    <w:basedOn w:val="1"/>
    <w:unhideWhenUsed/>
    <w:qFormat/>
    <w:uiPriority w:val="99"/>
    <w:pPr>
      <w:ind w:firstLine="420" w:firstLineChars="200"/>
    </w:pPr>
  </w:style>
  <w:style w:type="character" w:customStyle="1" w:styleId="19">
    <w:name w:val="正文文本 字符"/>
    <w:basedOn w:val="10"/>
    <w:link w:val="6"/>
    <w:qFormat/>
    <w:uiPriority w:val="99"/>
    <w:rPr>
      <w:rFonts w:ascii="仿宋_GB2312" w:hAnsi="仿宋_GB2312" w:eastAsia="仿宋_GB2312" w:cs="Times New Roman"/>
      <w:sz w:val="32"/>
      <w:szCs w:val="24"/>
    </w:rPr>
  </w:style>
  <w:style w:type="paragraph" w:customStyle="1" w:styleId="20">
    <w:name w:val="标准文件_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21</Pages>
  <Words>1322</Words>
  <Characters>7540</Characters>
  <Lines>62</Lines>
  <Paragraphs>17</Paragraphs>
  <TotalTime>1</TotalTime>
  <ScaleCrop>false</ScaleCrop>
  <LinksUpToDate>false</LinksUpToDate>
  <CharactersWithSpaces>8845</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2023-10-16T08:00:00Z</dcterms:created>
  <dc:creator>崔小狍</dc:creator>
  <cp:lastModifiedBy>蒙蒙胧胧</cp:lastModifiedBy>
  <dcterms:modified xsi:type="dcterms:W3CDTF">2023-10-17T03:07:12Z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850BB66C7468440EA8795D9E8E763991_12</vt:lpwstr>
  </property>
</Properties>
</file>