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6"/>
        <w:keepNext w:val="0"/>
        <w:keepLines w:val="0"/>
        <w:pageBreakBefore w:val="0"/>
        <w:kinsoku w:val="0"/>
        <w:wordWrap/>
        <w:overflowPunct w:val="0"/>
        <w:bidi w:val="0"/>
        <w:snapToGrid w:val="0"/>
        <w:spacing w:line="560" w:lineRule="exact"/>
        <w:ind w:firstLine="720" w:firstLineChars="200"/>
        <w:jc w:val="center"/>
        <w:textAlignment w:val="auto"/>
        <w:outlineLvl w:val="0"/>
        <w:rPr>
          <w:rFonts w:hint="eastAsia" w:ascii="黑体" w:hAnsi="宋体" w:eastAsia="黑体" w:cs="Times New Roman"/>
          <w:color w:val="000000"/>
          <w:sz w:val="36"/>
          <w:szCs w:val="36"/>
        </w:rPr>
      </w:pPr>
      <w:r>
        <w:rPr>
          <w:rFonts w:hint="eastAsia" w:ascii="黑体" w:hAnsi="宋体" w:eastAsia="黑体" w:cs="Times New Roman"/>
          <w:color w:val="000000"/>
          <w:sz w:val="36"/>
          <w:szCs w:val="36"/>
        </w:rPr>
        <w:t>团体标准《研学旅行承办机构服务</w:t>
      </w:r>
      <w:r>
        <w:rPr>
          <w:rFonts w:hint="eastAsia" w:ascii="黑体" w:hAnsi="宋体" w:eastAsia="黑体" w:cs="Times New Roman"/>
          <w:color w:val="000000"/>
          <w:sz w:val="36"/>
          <w:szCs w:val="36"/>
          <w:lang w:val="en-US" w:eastAsia="zh-CN"/>
        </w:rPr>
        <w:t>规范</w:t>
      </w:r>
      <w:r>
        <w:rPr>
          <w:rFonts w:hint="eastAsia" w:ascii="黑体" w:hAnsi="宋体" w:eastAsia="黑体" w:cs="Times New Roman"/>
          <w:color w:val="000000"/>
          <w:sz w:val="36"/>
          <w:szCs w:val="36"/>
        </w:rPr>
        <w:t>》</w:t>
      </w:r>
    </w:p>
    <w:p>
      <w:pPr>
        <w:pStyle w:val="6"/>
        <w:keepNext w:val="0"/>
        <w:keepLines w:val="0"/>
        <w:pageBreakBefore w:val="0"/>
        <w:kinsoku w:val="0"/>
        <w:wordWrap/>
        <w:overflowPunct w:val="0"/>
        <w:bidi w:val="0"/>
        <w:snapToGrid w:val="0"/>
        <w:spacing w:line="560" w:lineRule="exact"/>
        <w:ind w:firstLine="720" w:firstLineChars="200"/>
        <w:jc w:val="center"/>
        <w:textAlignment w:val="auto"/>
        <w:outlineLvl w:val="0"/>
        <w:rPr>
          <w:rFonts w:hint="eastAsia" w:ascii="黑体" w:hAnsi="宋体" w:eastAsia="黑体" w:cs="Times New Roman"/>
          <w:color w:val="000000"/>
          <w:sz w:val="36"/>
          <w:szCs w:val="36"/>
        </w:rPr>
      </w:pPr>
      <w:r>
        <w:rPr>
          <w:rFonts w:hint="eastAsia" w:ascii="黑体" w:hAnsi="宋体" w:eastAsia="黑体"/>
          <w:color w:val="000000"/>
          <w:sz w:val="36"/>
          <w:szCs w:val="36"/>
        </w:rPr>
        <w:t>（</w:t>
      </w:r>
      <w:r>
        <w:rPr>
          <w:rFonts w:hint="eastAsia" w:ascii="黑体" w:hAnsi="宋体" w:eastAsia="黑体"/>
          <w:color w:val="000000"/>
          <w:sz w:val="36"/>
          <w:szCs w:val="36"/>
          <w:lang w:val="en-US" w:eastAsia="zh-CN"/>
        </w:rPr>
        <w:t>征求意见稿</w:t>
      </w:r>
      <w:r>
        <w:rPr>
          <w:rFonts w:hint="eastAsia" w:ascii="黑体" w:hAnsi="宋体" w:eastAsia="黑体"/>
          <w:color w:val="000000"/>
          <w:sz w:val="36"/>
          <w:szCs w:val="36"/>
        </w:rPr>
        <w:t>）</w:t>
      </w:r>
      <w:r>
        <w:rPr>
          <w:rFonts w:hint="eastAsia" w:ascii="黑体" w:hAnsi="宋体" w:eastAsia="黑体" w:cs="Times New Roman"/>
          <w:color w:val="000000"/>
          <w:sz w:val="36"/>
          <w:szCs w:val="36"/>
        </w:rPr>
        <w:t>编制说明</w:t>
      </w:r>
    </w:p>
    <w:p>
      <w:pPr>
        <w:keepNext w:val="0"/>
        <w:keepLines w:val="0"/>
        <w:pageBreakBefore w:val="0"/>
        <w:widowControl w:val="0"/>
        <w:numPr>
          <w:ilvl w:val="0"/>
          <w:numId w:val="0"/>
        </w:numPr>
        <w:kinsoku/>
        <w:wordWrap/>
        <w:overflowPunct/>
        <w:topLinePunct/>
        <w:autoSpaceDE/>
        <w:autoSpaceDN/>
        <w:bidi w:val="0"/>
        <w:adjustRightInd w:val="0"/>
        <w:snapToGrid w:val="0"/>
        <w:spacing w:beforeLines="50" w:afterLines="50" w:line="560" w:lineRule="exact"/>
        <w:ind w:firstLine="640" w:firstLineChars="200"/>
        <w:jc w:val="both"/>
        <w:textAlignment w:val="auto"/>
        <w:outlineLvl w:val="0"/>
        <w:rPr>
          <w:rFonts w:hint="eastAsia" w:ascii="黑体" w:hAnsi="宋体" w:eastAsia="黑体"/>
          <w:color w:val="000000"/>
          <w:sz w:val="32"/>
        </w:rPr>
      </w:pPr>
      <w:r>
        <w:rPr>
          <w:rFonts w:hint="eastAsia" w:ascii="黑体" w:hAnsi="宋体" w:eastAsia="黑体"/>
          <w:color w:val="000000"/>
          <w:sz w:val="32"/>
          <w:lang w:eastAsia="zh-CN"/>
        </w:rPr>
        <w:t>一、</w:t>
      </w:r>
      <w:r>
        <w:rPr>
          <w:rFonts w:hint="eastAsia" w:ascii="黑体" w:hAnsi="宋体" w:eastAsia="黑体"/>
          <w:color w:val="000000"/>
          <w:sz w:val="32"/>
        </w:rPr>
        <w:t>项目来源</w:t>
      </w:r>
    </w:p>
    <w:p>
      <w:pPr>
        <w:pStyle w:val="6"/>
        <w:keepNext w:val="0"/>
        <w:keepLines w:val="0"/>
        <w:pageBreakBefore w:val="0"/>
        <w:kinsoku w:val="0"/>
        <w:wordWrap/>
        <w:overflowPunct w:val="0"/>
        <w:bidi w:val="0"/>
        <w:snapToGrid w:val="0"/>
        <w:spacing w:line="560" w:lineRule="exact"/>
        <w:ind w:left="0" w:firstLine="640" w:firstLineChars="200"/>
        <w:jc w:val="left"/>
        <w:textAlignment w:val="auto"/>
        <w:outlineLvl w:val="0"/>
        <w:rPr>
          <w:rFonts w:hint="eastAsia" w:ascii="Times New Roman" w:hAnsi="Times New Roman" w:eastAsia="仿宋_GB2312" w:cs="Times New Roman"/>
          <w:color w:val="auto"/>
          <w:sz w:val="32"/>
          <w:szCs w:val="32"/>
          <w:highlight w:val="none"/>
          <w:lang w:eastAsia="zh-CN"/>
        </w:rPr>
      </w:pPr>
      <w:r>
        <w:rPr>
          <w:rFonts w:ascii="Times New Roman" w:hAnsi="Times New Roman" w:eastAsia="仿宋_GB2312" w:cs="Times New Roman"/>
          <w:color w:val="auto"/>
          <w:sz w:val="32"/>
          <w:szCs w:val="32"/>
        </w:rPr>
        <w:t>根据《</w:t>
      </w:r>
      <w:r>
        <w:rPr>
          <w:rFonts w:hint="eastAsia" w:ascii="Times New Roman" w:hAnsi="Times New Roman" w:eastAsia="仿宋_GB2312" w:cs="Times New Roman"/>
          <w:color w:val="auto"/>
          <w:sz w:val="32"/>
          <w:szCs w:val="32"/>
        </w:rPr>
        <w:t>广西标准化协会关于下达2023年第三十三批团体标准制修订项目计划的通知</w:t>
      </w:r>
      <w:r>
        <w:rPr>
          <w:rFonts w:ascii="Times New Roman" w:hAnsi="Times New Roman" w:eastAsia="仿宋_GB2312" w:cs="Times New Roman"/>
          <w:color w:val="auto"/>
          <w:sz w:val="32"/>
          <w:szCs w:val="32"/>
        </w:rPr>
        <w:t>》（桂标协〔202</w:t>
      </w:r>
      <w:r>
        <w:rPr>
          <w:rFonts w:hint="eastAsia" w:ascii="Times New Roman" w:hAnsi="Times New Roman" w:eastAsia="仿宋_GB2312" w:cs="Times New Roman"/>
          <w:color w:val="auto"/>
          <w:sz w:val="32"/>
          <w:szCs w:val="32"/>
          <w:lang w:val="en-US" w:eastAsia="zh-CN"/>
        </w:rPr>
        <w:t>3</w:t>
      </w:r>
      <w:r>
        <w:rPr>
          <w:rFonts w:ascii="Times New Roman" w:hAnsi="Times New Roman" w:eastAsia="仿宋_GB2312" w:cs="Times New Roman"/>
          <w:color w:val="auto"/>
          <w:sz w:val="32"/>
          <w:szCs w:val="32"/>
        </w:rPr>
        <w:t>〕</w:t>
      </w:r>
      <w:r>
        <w:rPr>
          <w:rFonts w:hint="eastAsia" w:ascii="Times New Roman" w:hAnsi="Times New Roman" w:eastAsia="仿宋_GB2312" w:cs="Times New Roman"/>
          <w:color w:val="auto"/>
          <w:sz w:val="32"/>
          <w:szCs w:val="32"/>
          <w:lang w:val="en-US" w:eastAsia="zh-CN"/>
        </w:rPr>
        <w:t>119</w:t>
      </w:r>
      <w:r>
        <w:rPr>
          <w:rFonts w:ascii="Times New Roman" w:hAnsi="Times New Roman" w:eastAsia="仿宋_GB2312" w:cs="Times New Roman"/>
          <w:color w:val="auto"/>
          <w:sz w:val="32"/>
          <w:szCs w:val="32"/>
        </w:rPr>
        <w:t>号）精神，由</w:t>
      </w:r>
      <w:r>
        <w:rPr>
          <w:rFonts w:hint="eastAsia" w:ascii="Times New Roman" w:hAnsi="Times New Roman" w:eastAsia="仿宋_GB2312" w:cs="Times New Roman"/>
          <w:color w:val="auto"/>
          <w:sz w:val="32"/>
          <w:szCs w:val="32"/>
          <w:lang w:val="en-US" w:eastAsia="zh-CN"/>
        </w:rPr>
        <w:t>桂林旅游学院、广西旅游协会共同</w:t>
      </w:r>
      <w:r>
        <w:rPr>
          <w:rFonts w:ascii="Times New Roman" w:hAnsi="Times New Roman" w:eastAsia="仿宋_GB2312" w:cs="Times New Roman"/>
          <w:color w:val="auto"/>
          <w:sz w:val="32"/>
          <w:szCs w:val="32"/>
        </w:rPr>
        <w:t>提出，</w:t>
      </w:r>
      <w:r>
        <w:rPr>
          <w:rFonts w:hint="eastAsia" w:ascii="Times New Roman" w:hAnsi="Times New Roman" w:eastAsia="仿宋_GB2312" w:cs="Times New Roman"/>
          <w:color w:val="auto"/>
          <w:sz w:val="32"/>
          <w:szCs w:val="32"/>
          <w:lang w:val="en-US" w:eastAsia="zh-CN"/>
        </w:rPr>
        <w:t>桂林</w:t>
      </w:r>
      <w:r>
        <w:rPr>
          <w:rFonts w:hint="eastAsia" w:ascii="Times New Roman" w:hAnsi="Times New Roman" w:eastAsia="仿宋_GB2312" w:cs="Times New Roman"/>
          <w:color w:val="auto"/>
          <w:sz w:val="32"/>
          <w:szCs w:val="32"/>
          <w:highlight w:val="none"/>
          <w:lang w:val="en-US" w:eastAsia="zh-CN"/>
        </w:rPr>
        <w:t>旅游学院研</w:t>
      </w:r>
      <w:r>
        <w:rPr>
          <w:rFonts w:hint="eastAsia" w:ascii="Times New Roman" w:hAnsi="Times New Roman" w:eastAsia="仿宋_GB2312" w:cs="Times New Roman"/>
          <w:color w:val="auto"/>
          <w:sz w:val="32"/>
          <w:szCs w:val="32"/>
          <w:lang w:val="en-US" w:eastAsia="zh-CN"/>
        </w:rPr>
        <w:t>学旅行教育研究中心、桂林旅游学院继续教育学院、广西师范大学体育与健康学院、广西旅游协会</w:t>
      </w:r>
      <w:r>
        <w:rPr>
          <w:rFonts w:ascii="Times New Roman" w:hAnsi="Times New Roman" w:eastAsia="仿宋_GB2312" w:cs="Times New Roman"/>
          <w:color w:val="auto"/>
          <w:sz w:val="32"/>
          <w:szCs w:val="32"/>
        </w:rPr>
        <w:t>共同起草的团体标准</w:t>
      </w:r>
      <w:r>
        <w:rPr>
          <w:rFonts w:ascii="Times New Roman" w:hAnsi="Times New Roman" w:eastAsia="仿宋_GB2312" w:cs="Times New Roman"/>
          <w:sz w:val="32"/>
          <w:szCs w:val="32"/>
          <w:highlight w:val="none"/>
        </w:rPr>
        <w:t>（项目编号2</w:t>
      </w:r>
      <w:r>
        <w:rPr>
          <w:rFonts w:hint="eastAsia" w:ascii="Times New Roman" w:hAnsi="Times New Roman" w:eastAsia="仿宋_GB2312" w:cs="Times New Roman"/>
          <w:color w:val="auto"/>
          <w:sz w:val="32"/>
          <w:szCs w:val="32"/>
          <w:lang w:val="en-US" w:eastAsia="zh-CN"/>
        </w:rPr>
        <w:t>023-3401）</w:t>
      </w:r>
      <w:r>
        <w:rPr>
          <w:rFonts w:hint="eastAsia" w:eastAsia="仿宋_GB2312" w:cs="Times New Roman"/>
          <w:sz w:val="32"/>
          <w:szCs w:val="32"/>
          <w:highlight w:val="none"/>
          <w:lang w:eastAsia="zh-CN"/>
        </w:rPr>
        <w:t>，</w:t>
      </w:r>
      <w:r>
        <w:rPr>
          <w:rFonts w:ascii="Times New Roman" w:hAnsi="Times New Roman" w:eastAsia="仿宋_GB2312" w:cs="Times New Roman"/>
          <w:color w:val="auto"/>
          <w:sz w:val="32"/>
          <w:szCs w:val="32"/>
        </w:rPr>
        <w:t>特制定本</w:t>
      </w:r>
      <w:r>
        <w:rPr>
          <w:rFonts w:hint="eastAsia" w:ascii="Times New Roman" w:hAnsi="Times New Roman" w:eastAsia="仿宋_GB2312" w:cs="Times New Roman"/>
          <w:color w:val="auto"/>
          <w:sz w:val="32"/>
          <w:szCs w:val="32"/>
          <w:highlight w:val="none"/>
          <w:lang w:val="en-US" w:eastAsia="zh-CN"/>
        </w:rPr>
        <w:t>（征求意）编制说明</w:t>
      </w:r>
      <w:r>
        <w:rPr>
          <w:rFonts w:hint="eastAsia" w:ascii="Times New Roman" w:hAnsi="Times New Roman" w:cs="Times New Roman"/>
          <w:color w:val="auto"/>
          <w:sz w:val="32"/>
          <w:szCs w:val="32"/>
          <w:highlight w:val="none"/>
          <w:lang w:val="en-US" w:eastAsia="zh-CN"/>
        </w:rPr>
        <w:t>。</w:t>
      </w:r>
    </w:p>
    <w:p>
      <w:pPr>
        <w:keepNext w:val="0"/>
        <w:keepLines w:val="0"/>
        <w:pageBreakBefore w:val="0"/>
        <w:widowControl w:val="0"/>
        <w:numPr>
          <w:ilvl w:val="0"/>
          <w:numId w:val="0"/>
        </w:numPr>
        <w:kinsoku/>
        <w:wordWrap/>
        <w:overflowPunct/>
        <w:topLinePunct/>
        <w:autoSpaceDE/>
        <w:autoSpaceDN/>
        <w:bidi w:val="0"/>
        <w:adjustRightInd w:val="0"/>
        <w:snapToGrid w:val="0"/>
        <w:spacing w:beforeLines="50" w:afterLines="50" w:line="560" w:lineRule="exact"/>
        <w:ind w:firstLine="640" w:firstLineChars="200"/>
        <w:jc w:val="both"/>
        <w:textAlignment w:val="auto"/>
        <w:outlineLvl w:val="0"/>
        <w:rPr>
          <w:rFonts w:ascii="黑体" w:hAnsi="宋体" w:eastAsia="黑体"/>
          <w:color w:val="000000"/>
          <w:sz w:val="32"/>
        </w:rPr>
      </w:pPr>
      <w:r>
        <w:rPr>
          <w:rFonts w:hint="eastAsia" w:ascii="黑体" w:hAnsi="宋体" w:eastAsia="黑体"/>
          <w:color w:val="000000"/>
          <w:sz w:val="32"/>
          <w:lang w:eastAsia="zh-CN"/>
        </w:rPr>
        <w:t>二、</w:t>
      </w:r>
      <w:r>
        <w:rPr>
          <w:rFonts w:hint="eastAsia" w:ascii="黑体" w:hAnsi="宋体" w:eastAsia="黑体"/>
          <w:color w:val="000000"/>
          <w:sz w:val="32"/>
        </w:rPr>
        <w:t>标准制定的背景</w:t>
      </w:r>
    </w:p>
    <w:p>
      <w:pPr>
        <w:keepNext w:val="0"/>
        <w:keepLines w:val="0"/>
        <w:pageBreakBefore w:val="0"/>
        <w:wordWrap/>
        <w:bidi w:val="0"/>
        <w:ind w:firstLine="640" w:firstLineChars="200"/>
        <w:textAlignment w:val="auto"/>
        <w:rPr>
          <w:rFonts w:hint="eastAsia" w:ascii="Times New Roman" w:hAnsi="Times New Roman" w:eastAsia="仿宋_GB2312" w:cs="Times New Roman"/>
          <w:color w:val="auto"/>
          <w:sz w:val="32"/>
          <w:szCs w:val="32"/>
          <w:lang w:val="en-US" w:eastAsia="zh-CN"/>
        </w:rPr>
      </w:pPr>
      <w:r>
        <w:rPr>
          <w:rFonts w:hint="eastAsia" w:ascii="Times New Roman" w:hAnsi="Times New Roman" w:eastAsia="仿宋_GB2312" w:cs="Times New Roman"/>
          <w:color w:val="auto"/>
          <w:sz w:val="32"/>
          <w:szCs w:val="32"/>
          <w:lang w:val="en-US" w:eastAsia="zh-CN"/>
        </w:rPr>
        <w:t>2016年教育部、原国家旅游局等11部门印发《关于推进中小学生研学旅行的意见》，将研学旅行纳入中小学教育教学计划。2021年</w:t>
      </w:r>
      <w:r>
        <w:rPr>
          <w:rFonts w:hint="eastAsia" w:eastAsia="仿宋_GB2312" w:cs="Times New Roman"/>
          <w:color w:val="auto"/>
          <w:sz w:val="32"/>
          <w:szCs w:val="32"/>
          <w:lang w:val="en-US" w:eastAsia="zh-CN"/>
        </w:rPr>
        <w:t>文化和旅游部</w:t>
      </w:r>
      <w:r>
        <w:rPr>
          <w:rFonts w:hint="eastAsia" w:ascii="Times New Roman" w:hAnsi="Times New Roman" w:eastAsia="仿宋_GB2312" w:cs="Times New Roman"/>
          <w:color w:val="auto"/>
          <w:sz w:val="32"/>
          <w:szCs w:val="32"/>
          <w:lang w:val="en-US" w:eastAsia="zh-CN"/>
        </w:rPr>
        <w:t>印发《“十四五”文化和旅游发展规划》，提出要推进文化和旅游业态融合</w:t>
      </w:r>
      <w:r>
        <w:rPr>
          <w:rFonts w:hint="eastAsia" w:eastAsia="仿宋_GB2312" w:cs="Times New Roman"/>
          <w:color w:val="auto"/>
          <w:sz w:val="32"/>
          <w:szCs w:val="32"/>
          <w:lang w:val="en-US" w:eastAsia="zh-CN"/>
        </w:rPr>
        <w:t>，</w:t>
      </w:r>
      <w:r>
        <w:rPr>
          <w:rFonts w:hint="eastAsia" w:ascii="Times New Roman" w:hAnsi="Times New Roman" w:eastAsia="仿宋_GB2312" w:cs="Times New Roman"/>
          <w:color w:val="auto"/>
          <w:sz w:val="32"/>
          <w:szCs w:val="32"/>
          <w:lang w:val="en-US" w:eastAsia="zh-CN"/>
        </w:rPr>
        <w:t>促进文教结合、旅教结合，培育研学旅行项目，促进红色旅游、</w:t>
      </w:r>
      <w:r>
        <w:rPr>
          <w:rFonts w:hint="eastAsia" w:eastAsia="仿宋_GB2312" w:cs="Times New Roman"/>
          <w:color w:val="auto"/>
          <w:sz w:val="32"/>
          <w:szCs w:val="32"/>
          <w:lang w:val="en-US" w:eastAsia="zh-CN"/>
        </w:rPr>
        <w:t>非物质文化遗产</w:t>
      </w:r>
      <w:r>
        <w:rPr>
          <w:rFonts w:hint="eastAsia" w:ascii="Times New Roman" w:hAnsi="Times New Roman" w:eastAsia="仿宋_GB2312" w:cs="Times New Roman"/>
          <w:color w:val="auto"/>
          <w:sz w:val="32"/>
          <w:szCs w:val="32"/>
          <w:lang w:val="en-US" w:eastAsia="zh-CN"/>
        </w:rPr>
        <w:t>与研学旅游融合发展。《广西“十四五”文化和旅游发展规划》强调要深化教育与文化和旅游融合发展。大力发展研学旅行，建设一批特色鲜明的全国研学旅游示范基地（营地），依托广西红色文化、少数民族文化、非遗文化、自然景观等各类旅游资源，</w:t>
      </w:r>
      <w:r>
        <w:rPr>
          <w:rFonts w:hint="eastAsia" w:eastAsia="仿宋_GB2312" w:cs="Times New Roman"/>
          <w:color w:val="auto"/>
          <w:sz w:val="32"/>
          <w:szCs w:val="32"/>
          <w:lang w:val="en-US" w:eastAsia="zh-CN"/>
        </w:rPr>
        <w:t>打造</w:t>
      </w:r>
      <w:r>
        <w:rPr>
          <w:rFonts w:hint="eastAsia" w:ascii="Times New Roman" w:hAnsi="Times New Roman" w:eastAsia="仿宋_GB2312" w:cs="Times New Roman"/>
          <w:color w:val="auto"/>
          <w:sz w:val="32"/>
          <w:szCs w:val="32"/>
          <w:lang w:val="en-US" w:eastAsia="zh-CN"/>
        </w:rPr>
        <w:t>主题研学旅行。全国在校中小学生规模近2亿，我国人均教文娱消费支出占全国居民人均消费支出接近10％，研学旅行成为一个需求庞大的市场，2021年研学旅行人数达494万人次，超过疫情前2019年的480万人次，2022年更是突破600万人次，创历史新高。在政策和市场需求引导下，研学旅行行业供给侧持续发力，至2020年教育部已遴选出全国中小学生研学实践教育基地（营地）622个，开发研学实践课程6397门，推出精品线路7351条，广西文化和旅游厅2022年推出研学精品路线20条，涵盖广西14个设区市各研学旅行景区及课程，涉及农耕、非遗、工业、红色、民俗、自然等各方面。根据《中国研学旅行发展报告2022-2023》显示，2021</w:t>
      </w:r>
      <w:r>
        <w:rPr>
          <w:rFonts w:hint="eastAsia" w:eastAsia="仿宋_GB2312" w:cs="Times New Roman"/>
          <w:color w:val="auto"/>
          <w:sz w:val="32"/>
          <w:szCs w:val="32"/>
          <w:lang w:val="en-US" w:eastAsia="zh-CN"/>
        </w:rPr>
        <w:t>—2022年</w:t>
      </w:r>
      <w:r>
        <w:rPr>
          <w:rFonts w:hint="eastAsia" w:ascii="Times New Roman" w:hAnsi="Times New Roman" w:eastAsia="仿宋_GB2312" w:cs="Times New Roman"/>
          <w:color w:val="auto"/>
          <w:sz w:val="32"/>
          <w:szCs w:val="32"/>
          <w:lang w:val="en-US" w:eastAsia="zh-CN"/>
        </w:rPr>
        <w:t>开展研学业务企业数量不断增加，2021年平均每月新增研学企业389家，2022年平均每月新增11l家，更多学科培训机构、儿童体适能培训机构、艺术培训机构进入研学行业</w:t>
      </w:r>
    </w:p>
    <w:p>
      <w:pPr>
        <w:keepNext w:val="0"/>
        <w:keepLines w:val="0"/>
        <w:pageBreakBefore w:val="0"/>
        <w:widowControl w:val="0"/>
        <w:numPr>
          <w:ilvl w:val="0"/>
          <w:numId w:val="0"/>
        </w:numPr>
        <w:kinsoku/>
        <w:wordWrap/>
        <w:overflowPunct/>
        <w:topLinePunct/>
        <w:autoSpaceDE/>
        <w:autoSpaceDN/>
        <w:bidi w:val="0"/>
        <w:adjustRightInd w:val="0"/>
        <w:snapToGrid w:val="0"/>
        <w:spacing w:beforeLines="50" w:afterLines="50" w:line="560" w:lineRule="exact"/>
        <w:ind w:firstLine="640" w:firstLineChars="200"/>
        <w:jc w:val="both"/>
        <w:textAlignment w:val="auto"/>
        <w:outlineLvl w:val="0"/>
        <w:rPr>
          <w:rFonts w:ascii="黑体" w:hAnsi="宋体" w:eastAsia="黑体"/>
          <w:color w:val="000000"/>
          <w:sz w:val="32"/>
        </w:rPr>
      </w:pPr>
      <w:r>
        <w:rPr>
          <w:rFonts w:hint="eastAsia" w:ascii="黑体" w:hAnsi="宋体" w:eastAsia="黑体"/>
          <w:color w:val="000000"/>
          <w:sz w:val="32"/>
          <w:lang w:eastAsia="zh-CN"/>
        </w:rPr>
        <w:t>三、</w:t>
      </w:r>
      <w:r>
        <w:rPr>
          <w:rFonts w:hint="eastAsia" w:ascii="黑体" w:hAnsi="宋体" w:eastAsia="黑体"/>
          <w:color w:val="000000"/>
          <w:sz w:val="32"/>
        </w:rPr>
        <w:t>标准制定意义和必要性</w:t>
      </w:r>
    </w:p>
    <w:p>
      <w:pPr>
        <w:pStyle w:val="13"/>
        <w:keepNext w:val="0"/>
        <w:keepLines w:val="0"/>
        <w:pageBreakBefore w:val="0"/>
        <w:wordWrap/>
        <w:bidi w:val="0"/>
        <w:ind w:firstLine="640" w:firstLineChars="200"/>
        <w:textAlignment w:val="auto"/>
        <w:rPr>
          <w:rFonts w:hint="eastAsia" w:ascii="Times New Roman" w:hAnsi="Times New Roman" w:eastAsia="仿宋_GB2312" w:cs="Times New Roman"/>
          <w:color w:val="auto"/>
          <w:kern w:val="0"/>
          <w:sz w:val="32"/>
          <w:szCs w:val="32"/>
          <w:lang w:val="en-US" w:eastAsia="zh-CN" w:bidi="ar-SA"/>
        </w:rPr>
      </w:pPr>
      <w:r>
        <w:rPr>
          <w:rFonts w:hint="eastAsia" w:ascii="Times New Roman" w:hAnsi="Times New Roman" w:eastAsia="仿宋_GB2312" w:cs="Times New Roman"/>
          <w:color w:val="auto"/>
          <w:kern w:val="0"/>
          <w:sz w:val="32"/>
          <w:szCs w:val="32"/>
          <w:lang w:val="en-US" w:eastAsia="zh-CN" w:bidi="ar-SA"/>
        </w:rPr>
        <w:t>广西各类市场化运营的承办机构快速增长，每年新增的研学旅行承办机构或业务范围涵盖研学旅行业务的市场主体数量激增。承办机构是提供教育旅游服务的重要主体，服务标准和服务水平关乎研学活动前置运营能力、教学实施、课程建设与执行能力等整体质量，但从全国范围来看，目前还未出台和形成一套统一的研学旅行承办机构相关管理办法，旅游市场的承办机构服务和管理水平参差不齐，严重制约研学服务质量发展。广西研学旅行承办机构服务管理体系也还处于探索阶段，大多数研学旅行承办机构存在着服务不规范的现象</w:t>
      </w:r>
      <w:r>
        <w:rPr>
          <w:rFonts w:hint="eastAsia" w:ascii="Times New Roman" w:eastAsia="仿宋_GB2312" w:cs="Times New Roman"/>
          <w:color w:val="auto"/>
          <w:kern w:val="0"/>
          <w:sz w:val="32"/>
          <w:szCs w:val="32"/>
          <w:lang w:val="en-US" w:eastAsia="zh-CN" w:bidi="ar-SA"/>
        </w:rPr>
        <w:t>：</w:t>
      </w:r>
    </w:p>
    <w:p>
      <w:pPr>
        <w:pStyle w:val="13"/>
        <w:keepNext w:val="0"/>
        <w:keepLines w:val="0"/>
        <w:pageBreakBefore w:val="0"/>
        <w:wordWrap/>
        <w:bidi w:val="0"/>
        <w:ind w:firstLine="640" w:firstLineChars="200"/>
        <w:textAlignment w:val="auto"/>
        <w:rPr>
          <w:rFonts w:hint="eastAsia" w:ascii="Times New Roman" w:hAnsi="Times New Roman" w:eastAsia="仿宋_GB2312" w:cs="Times New Roman"/>
          <w:color w:val="auto"/>
          <w:kern w:val="0"/>
          <w:sz w:val="32"/>
          <w:szCs w:val="32"/>
          <w:lang w:val="en-US" w:eastAsia="zh-CN" w:bidi="ar-SA"/>
        </w:rPr>
      </w:pPr>
      <w:r>
        <w:rPr>
          <w:rFonts w:hint="eastAsia" w:ascii="Times New Roman" w:hAnsi="Times New Roman" w:eastAsia="仿宋_GB2312" w:cs="Times New Roman"/>
          <w:color w:val="auto"/>
          <w:kern w:val="0"/>
          <w:sz w:val="32"/>
          <w:szCs w:val="32"/>
          <w:lang w:val="en-US" w:eastAsia="zh-CN" w:bidi="ar-SA"/>
        </w:rPr>
        <w:t>一是由于目前广西研学旅行承办机构没有完整、成熟的一套服务管理模式，导致很多研学旅行承办机构服务设施、人员服务不到位；</w:t>
      </w:r>
    </w:p>
    <w:p>
      <w:pPr>
        <w:pStyle w:val="13"/>
        <w:keepNext w:val="0"/>
        <w:keepLines w:val="0"/>
        <w:pageBreakBefore w:val="0"/>
        <w:wordWrap/>
        <w:bidi w:val="0"/>
        <w:ind w:firstLine="640" w:firstLineChars="200"/>
        <w:textAlignment w:val="auto"/>
        <w:rPr>
          <w:rFonts w:hint="eastAsia" w:ascii="Times New Roman" w:hAnsi="Times New Roman" w:eastAsia="仿宋_GB2312" w:cs="Times New Roman"/>
          <w:color w:val="auto"/>
          <w:kern w:val="0"/>
          <w:sz w:val="32"/>
          <w:szCs w:val="32"/>
          <w:lang w:val="en-US" w:eastAsia="zh-CN" w:bidi="ar-SA"/>
        </w:rPr>
      </w:pPr>
      <w:r>
        <w:rPr>
          <w:rFonts w:hint="eastAsia" w:ascii="Times New Roman" w:hAnsi="Times New Roman" w:eastAsia="仿宋_GB2312" w:cs="Times New Roman"/>
          <w:color w:val="auto"/>
          <w:kern w:val="0"/>
          <w:sz w:val="32"/>
          <w:szCs w:val="32"/>
          <w:lang w:val="en-US" w:eastAsia="zh-CN" w:bidi="ar-SA"/>
        </w:rPr>
        <w:t>二是广西研学旅行承办机构没有结合研学旅行服务的性质提供服务项目，服务项目盲目跟风；</w:t>
      </w:r>
    </w:p>
    <w:p>
      <w:pPr>
        <w:pStyle w:val="13"/>
        <w:keepNext w:val="0"/>
        <w:keepLines w:val="0"/>
        <w:pageBreakBefore w:val="0"/>
        <w:wordWrap/>
        <w:bidi w:val="0"/>
        <w:ind w:firstLine="640" w:firstLineChars="200"/>
        <w:textAlignment w:val="auto"/>
        <w:rPr>
          <w:rFonts w:hint="eastAsia" w:ascii="Times New Roman" w:hAnsi="Times New Roman" w:eastAsia="仿宋_GB2312" w:cs="Times New Roman"/>
          <w:color w:val="auto"/>
          <w:kern w:val="0"/>
          <w:sz w:val="32"/>
          <w:szCs w:val="32"/>
          <w:lang w:val="en-US" w:eastAsia="zh-CN" w:bidi="ar-SA"/>
        </w:rPr>
      </w:pPr>
      <w:r>
        <w:rPr>
          <w:rFonts w:hint="eastAsia" w:ascii="Times New Roman" w:hAnsi="Times New Roman" w:eastAsia="仿宋_GB2312" w:cs="Times New Roman"/>
          <w:color w:val="auto"/>
          <w:kern w:val="0"/>
          <w:sz w:val="32"/>
          <w:szCs w:val="32"/>
          <w:lang w:val="en-US" w:eastAsia="zh-CN" w:bidi="ar-SA"/>
        </w:rPr>
        <w:t>三是服务内容没有结合广西本土文化旅游资源特色，出现产品同质严重、研学品牌不突出等问题。</w:t>
      </w:r>
    </w:p>
    <w:p>
      <w:pPr>
        <w:pStyle w:val="13"/>
        <w:keepNext w:val="0"/>
        <w:keepLines w:val="0"/>
        <w:pageBreakBefore w:val="0"/>
        <w:wordWrap/>
        <w:bidi w:val="0"/>
        <w:ind w:firstLine="640" w:firstLineChars="200"/>
        <w:textAlignment w:val="auto"/>
        <w:rPr>
          <w:rFonts w:hint="eastAsia" w:ascii="Times New Roman" w:hAnsi="Times New Roman" w:eastAsia="仿宋_GB2312" w:cs="Times New Roman"/>
          <w:color w:val="auto"/>
          <w:kern w:val="0"/>
          <w:sz w:val="32"/>
          <w:szCs w:val="32"/>
          <w:lang w:val="en-US" w:eastAsia="zh-CN" w:bidi="ar-SA"/>
        </w:rPr>
      </w:pPr>
      <w:r>
        <w:rPr>
          <w:rFonts w:hint="eastAsia" w:ascii="Times New Roman" w:hAnsi="Times New Roman" w:eastAsia="仿宋_GB2312" w:cs="Times New Roman"/>
          <w:color w:val="auto"/>
          <w:kern w:val="0"/>
          <w:sz w:val="32"/>
          <w:szCs w:val="32"/>
          <w:lang w:val="en-US" w:eastAsia="zh-CN" w:bidi="ar-SA"/>
        </w:rPr>
        <w:t>广西各地市研学旅行机构目前正在积极加强研学旅行机构的基础设施和管理建设，为提高服务水平，加强广西研学旅行机构业务指导，规范研学旅行机构服务流程，保障研学业务正常、安全、规范开展，制定团体《研学旅行承办机构服务</w:t>
      </w:r>
      <w:r>
        <w:rPr>
          <w:rFonts w:hint="eastAsia" w:ascii="Times New Roman" w:eastAsia="仿宋_GB2312" w:cs="Times New Roman"/>
          <w:color w:val="auto"/>
          <w:kern w:val="0"/>
          <w:sz w:val="32"/>
          <w:szCs w:val="32"/>
          <w:lang w:val="en-US" w:eastAsia="zh-CN" w:bidi="ar-SA"/>
        </w:rPr>
        <w:t>规范</w:t>
      </w:r>
      <w:r>
        <w:rPr>
          <w:rFonts w:hint="eastAsia" w:ascii="Times New Roman" w:hAnsi="Times New Roman" w:eastAsia="仿宋_GB2312" w:cs="Times New Roman"/>
          <w:color w:val="auto"/>
          <w:kern w:val="0"/>
          <w:sz w:val="32"/>
          <w:szCs w:val="32"/>
          <w:lang w:val="en-US" w:eastAsia="zh-CN" w:bidi="ar-SA"/>
        </w:rPr>
        <w:t>》是十分有意义的。</w:t>
      </w:r>
    </w:p>
    <w:p>
      <w:pPr>
        <w:keepNext w:val="0"/>
        <w:keepLines w:val="0"/>
        <w:pageBreakBefore w:val="0"/>
        <w:numPr>
          <w:ilvl w:val="0"/>
          <w:numId w:val="0"/>
        </w:numPr>
        <w:wordWrap/>
        <w:bidi w:val="0"/>
        <w:spacing w:line="560" w:lineRule="exact"/>
        <w:ind w:leftChars="0" w:firstLine="640" w:firstLineChars="200"/>
        <w:textAlignment w:val="auto"/>
        <w:outlineLvl w:val="0"/>
        <w:rPr>
          <w:rFonts w:hint="eastAsia" w:ascii="黑体" w:hAnsi="黑体" w:eastAsia="黑体" w:cs="黑体"/>
          <w:bCs/>
          <w:sz w:val="32"/>
          <w:szCs w:val="32"/>
          <w:lang w:val="en-US" w:eastAsia="zh-CN"/>
        </w:rPr>
      </w:pPr>
      <w:r>
        <w:rPr>
          <w:rFonts w:hint="eastAsia" w:ascii="黑体" w:hAnsi="黑体" w:eastAsia="黑体" w:cs="黑体"/>
          <w:bCs/>
          <w:sz w:val="32"/>
          <w:szCs w:val="32"/>
          <w:lang w:val="en-US" w:eastAsia="zh-CN"/>
        </w:rPr>
        <w:t>四、标准制定的依据</w:t>
      </w:r>
    </w:p>
    <w:p>
      <w:pPr>
        <w:keepNext w:val="0"/>
        <w:keepLines w:val="0"/>
        <w:pageBreakBefore w:val="0"/>
        <w:numPr>
          <w:ilvl w:val="0"/>
          <w:numId w:val="0"/>
        </w:numPr>
        <w:kinsoku/>
        <w:wordWrap/>
        <w:overflowPunct/>
        <w:topLinePunct w:val="0"/>
        <w:autoSpaceDE/>
        <w:autoSpaceDN/>
        <w:bidi w:val="0"/>
        <w:adjustRightInd/>
        <w:snapToGrid/>
        <w:spacing w:line="360" w:lineRule="auto"/>
        <w:ind w:firstLine="640" w:firstLineChars="200"/>
        <w:textAlignment w:val="auto"/>
        <w:rPr>
          <w:rFonts w:hint="eastAsia" w:ascii="Times New Roman" w:hAnsi="Times New Roman" w:eastAsia="仿宋_GB2312" w:cs="Times New Roman"/>
          <w:color w:val="auto"/>
          <w:kern w:val="0"/>
          <w:sz w:val="32"/>
          <w:szCs w:val="32"/>
          <w:lang w:val="en-US" w:eastAsia="zh-CN" w:bidi="ar-SA"/>
        </w:rPr>
      </w:pPr>
      <w:r>
        <w:rPr>
          <w:rFonts w:hint="eastAsia" w:ascii="Times New Roman" w:hAnsi="Times New Roman" w:eastAsia="仿宋_GB2312" w:cs="Times New Roman"/>
          <w:color w:val="auto"/>
          <w:kern w:val="0"/>
          <w:sz w:val="32"/>
          <w:szCs w:val="32"/>
          <w:lang w:val="en-US" w:eastAsia="zh-CN" w:bidi="ar-SA"/>
        </w:rPr>
        <w:t>本标准制定以LB/T 054-2016《研学旅行服务规范》为基本依据，充分考虑研学旅行承办机构基本要求、服务内容、评价与改进，推动</w:t>
      </w:r>
      <w:r>
        <w:rPr>
          <w:rFonts w:hint="eastAsia" w:eastAsia="仿宋_GB2312" w:cs="Times New Roman"/>
          <w:color w:val="auto"/>
          <w:kern w:val="0"/>
          <w:sz w:val="32"/>
          <w:szCs w:val="32"/>
          <w:lang w:val="en-US" w:eastAsia="zh-CN" w:bidi="ar-SA"/>
        </w:rPr>
        <w:t>旅游</w:t>
      </w:r>
      <w:r>
        <w:rPr>
          <w:rFonts w:hint="eastAsia" w:ascii="Times New Roman" w:hAnsi="Times New Roman" w:eastAsia="仿宋_GB2312" w:cs="Times New Roman"/>
          <w:color w:val="auto"/>
          <w:kern w:val="0"/>
          <w:sz w:val="32"/>
          <w:szCs w:val="32"/>
          <w:lang w:val="en-US" w:eastAsia="zh-CN" w:bidi="ar-SA"/>
        </w:rPr>
        <w:t>产业结构优化，助力广西当地经济发展，同时也兼顾了文化传承和生态效益提升。</w:t>
      </w:r>
    </w:p>
    <w:p>
      <w:pPr>
        <w:keepNext w:val="0"/>
        <w:keepLines w:val="0"/>
        <w:pageBreakBefore w:val="0"/>
        <w:numPr>
          <w:ilvl w:val="0"/>
          <w:numId w:val="0"/>
        </w:numPr>
        <w:wordWrap/>
        <w:bidi w:val="0"/>
        <w:spacing w:line="560" w:lineRule="exact"/>
        <w:ind w:firstLine="640" w:firstLineChars="200"/>
        <w:textAlignment w:val="auto"/>
        <w:outlineLvl w:val="0"/>
        <w:rPr>
          <w:rFonts w:hint="eastAsia" w:ascii="黑体" w:hAnsi="黑体" w:eastAsia="黑体" w:cs="黑体"/>
          <w:bCs/>
          <w:sz w:val="32"/>
          <w:szCs w:val="32"/>
        </w:rPr>
      </w:pPr>
      <w:r>
        <w:rPr>
          <w:rFonts w:hint="eastAsia" w:ascii="黑体" w:hAnsi="黑体" w:eastAsia="黑体" w:cs="黑体"/>
          <w:bCs/>
          <w:sz w:val="32"/>
          <w:szCs w:val="32"/>
          <w:lang w:eastAsia="zh-CN"/>
        </w:rPr>
        <w:t>五、</w:t>
      </w:r>
      <w:r>
        <w:rPr>
          <w:rFonts w:hint="eastAsia" w:ascii="黑体" w:hAnsi="黑体" w:eastAsia="黑体" w:cs="黑体"/>
          <w:bCs/>
          <w:sz w:val="32"/>
          <w:szCs w:val="32"/>
        </w:rPr>
        <w:t>主要起草过程</w:t>
      </w:r>
    </w:p>
    <w:p>
      <w:pPr>
        <w:keepNext w:val="0"/>
        <w:keepLines w:val="0"/>
        <w:pageBreakBefore w:val="0"/>
        <w:wordWrap/>
        <w:bidi w:val="0"/>
        <w:spacing w:line="560" w:lineRule="exact"/>
        <w:ind w:firstLine="643" w:firstLineChars="200"/>
        <w:textAlignment w:val="auto"/>
        <w:rPr>
          <w:rFonts w:ascii="楷体" w:hAnsi="楷体" w:eastAsia="楷体"/>
          <w:b/>
          <w:color w:val="auto"/>
          <w:sz w:val="32"/>
          <w:szCs w:val="32"/>
          <w:lang w:val="zh-CN"/>
        </w:rPr>
      </w:pPr>
      <w:r>
        <w:rPr>
          <w:rFonts w:hint="eastAsia" w:ascii="楷体" w:hAnsi="楷体" w:eastAsia="楷体"/>
          <w:b/>
          <w:color w:val="auto"/>
          <w:sz w:val="32"/>
          <w:szCs w:val="32"/>
          <w:lang w:val="zh-CN"/>
        </w:rPr>
        <w:t>（一）成立标准编制工作组</w:t>
      </w:r>
    </w:p>
    <w:p>
      <w:pPr>
        <w:keepNext w:val="0"/>
        <w:keepLines w:val="0"/>
        <w:pageBreakBefore w:val="0"/>
        <w:wordWrap/>
        <w:bidi w:val="0"/>
        <w:spacing w:line="560" w:lineRule="exact"/>
        <w:ind w:firstLine="640" w:firstLineChars="200"/>
        <w:textAlignment w:val="auto"/>
        <w:rPr>
          <w:rFonts w:hint="eastAsia" w:ascii="Times New Roman" w:hAnsi="Times New Roman" w:eastAsia="仿宋_GB2312" w:cs="Times New Roman"/>
          <w:color w:val="auto"/>
          <w:kern w:val="0"/>
          <w:sz w:val="32"/>
          <w:szCs w:val="32"/>
          <w:lang w:val="zh-CN" w:eastAsia="zh-CN" w:bidi="ar-SA"/>
        </w:rPr>
      </w:pPr>
      <w:r>
        <w:rPr>
          <w:rFonts w:hint="eastAsia" w:ascii="Times New Roman" w:hAnsi="Times New Roman" w:eastAsia="仿宋_GB2312" w:cs="Times New Roman"/>
          <w:color w:val="auto"/>
          <w:kern w:val="0"/>
          <w:sz w:val="32"/>
          <w:szCs w:val="32"/>
          <w:lang w:val="zh-CN" w:eastAsia="zh-CN" w:bidi="ar-SA"/>
        </w:rPr>
        <w:t>团体标准《</w:t>
      </w:r>
      <w:r>
        <w:rPr>
          <w:rFonts w:hint="eastAsia" w:ascii="Times New Roman" w:hAnsi="Times New Roman" w:eastAsia="仿宋_GB2312" w:cs="Times New Roman"/>
          <w:color w:val="auto"/>
          <w:kern w:val="0"/>
          <w:sz w:val="32"/>
          <w:szCs w:val="32"/>
          <w:lang w:val="en-US" w:eastAsia="zh-CN" w:bidi="ar-SA"/>
        </w:rPr>
        <w:t>研学旅行承办机构服务规范</w:t>
      </w:r>
      <w:r>
        <w:rPr>
          <w:rFonts w:hint="eastAsia" w:ascii="Times New Roman" w:hAnsi="Times New Roman" w:eastAsia="仿宋_GB2312" w:cs="Times New Roman"/>
          <w:color w:val="auto"/>
          <w:kern w:val="0"/>
          <w:sz w:val="32"/>
          <w:szCs w:val="32"/>
          <w:lang w:val="zh-CN" w:eastAsia="zh-CN" w:bidi="ar-SA"/>
        </w:rPr>
        <w:t>》项目任务下达后，桂林旅游学院、广西旅游协会成立了标准编制工作组，制定了标准编写方案，明确任务职责，确定工作技术路线，开展标准研制工作，具体标准编制工作由</w:t>
      </w:r>
      <w:r>
        <w:rPr>
          <w:rFonts w:hint="eastAsia" w:ascii="Times New Roman" w:hAnsi="Times New Roman" w:eastAsia="仿宋_GB2312" w:cs="Times New Roman"/>
          <w:color w:val="auto"/>
          <w:kern w:val="0"/>
          <w:sz w:val="32"/>
          <w:szCs w:val="32"/>
          <w:lang w:val="en-US" w:eastAsia="zh-CN" w:bidi="ar-SA"/>
        </w:rPr>
        <w:t>桂林旅游学院研学旅行教育研究中心、桂林旅游学院继续教育学院、广西师范大学体育与健康学院、广西旅游协会</w:t>
      </w:r>
      <w:r>
        <w:rPr>
          <w:rFonts w:hint="eastAsia" w:ascii="Times New Roman" w:hAnsi="Times New Roman" w:eastAsia="仿宋_GB2312" w:cs="Times New Roman"/>
          <w:color w:val="auto"/>
          <w:kern w:val="0"/>
          <w:sz w:val="32"/>
          <w:szCs w:val="32"/>
          <w:lang w:val="zh-CN" w:eastAsia="zh-CN" w:bidi="ar-SA"/>
        </w:rPr>
        <w:t>相关人员配合。编制工作组下设三个小组，分别是资料收集组、草案编写组、标准实施组。</w:t>
      </w:r>
    </w:p>
    <w:p>
      <w:pPr>
        <w:keepNext w:val="0"/>
        <w:keepLines w:val="0"/>
        <w:pageBreakBefore w:val="0"/>
        <w:wordWrap/>
        <w:bidi w:val="0"/>
        <w:spacing w:line="560" w:lineRule="exact"/>
        <w:ind w:firstLine="640" w:firstLineChars="200"/>
        <w:textAlignment w:val="auto"/>
        <w:rPr>
          <w:rFonts w:hint="eastAsia" w:ascii="仿宋_GB2312" w:hAnsi="宋体" w:eastAsia="仿宋_GB2312"/>
          <w:color w:val="auto"/>
          <w:sz w:val="32"/>
          <w:szCs w:val="28"/>
          <w:lang w:val="zh-CN"/>
        </w:rPr>
      </w:pPr>
      <w:r>
        <w:rPr>
          <w:rFonts w:hint="eastAsia" w:ascii="仿宋_GB2312" w:hAnsi="宋体" w:eastAsia="仿宋_GB2312"/>
          <w:color w:val="auto"/>
          <w:sz w:val="32"/>
          <w:szCs w:val="28"/>
          <w:lang w:val="zh-CN"/>
        </w:rPr>
        <w:t>资料收集组：负责国内关于研学旅行行业及相关服务规范文献资料的查询、收集和整理工作，查阅现存关于研学旅行相关</w:t>
      </w:r>
      <w:r>
        <w:rPr>
          <w:rFonts w:hint="eastAsia" w:ascii="仿宋_GB2312" w:hAnsi="宋体" w:eastAsia="仿宋_GB2312"/>
          <w:color w:val="auto"/>
          <w:sz w:val="32"/>
          <w:szCs w:val="28"/>
          <w:lang w:val="en-US" w:eastAsia="zh-CN"/>
        </w:rPr>
        <w:t>服务规范</w:t>
      </w:r>
      <w:r>
        <w:rPr>
          <w:rFonts w:hint="eastAsia" w:ascii="仿宋_GB2312" w:hAnsi="宋体" w:eastAsia="仿宋_GB2312"/>
          <w:color w:val="auto"/>
          <w:sz w:val="32"/>
          <w:szCs w:val="28"/>
          <w:lang w:val="zh-CN"/>
        </w:rPr>
        <w:t>的研究以及国内相关标准的制定。</w:t>
      </w:r>
    </w:p>
    <w:p>
      <w:pPr>
        <w:keepNext w:val="0"/>
        <w:keepLines w:val="0"/>
        <w:pageBreakBefore w:val="0"/>
        <w:wordWrap/>
        <w:bidi w:val="0"/>
        <w:spacing w:line="560" w:lineRule="exact"/>
        <w:ind w:firstLine="640" w:firstLineChars="200"/>
        <w:textAlignment w:val="auto"/>
        <w:rPr>
          <w:rFonts w:hint="eastAsia" w:ascii="仿宋_GB2312" w:hAnsi="宋体" w:eastAsia="仿宋_GB2312"/>
          <w:color w:val="auto"/>
          <w:sz w:val="32"/>
          <w:szCs w:val="28"/>
          <w:lang w:val="zh-CN"/>
        </w:rPr>
      </w:pPr>
      <w:r>
        <w:rPr>
          <w:rFonts w:hint="eastAsia" w:ascii="仿宋_GB2312" w:hAnsi="宋体" w:eastAsia="仿宋_GB2312"/>
          <w:color w:val="auto"/>
          <w:sz w:val="32"/>
          <w:szCs w:val="28"/>
          <w:lang w:val="zh-CN"/>
        </w:rPr>
        <w:t>草案编写组：负责标准立项、征求意见、审定、报批等阶段的标准文本及编制说明的起草工作，包括标准制定过程各阶段标准文本及相关材料的修改和完善。</w:t>
      </w:r>
    </w:p>
    <w:p>
      <w:pPr>
        <w:keepNext w:val="0"/>
        <w:keepLines w:val="0"/>
        <w:pageBreakBefore w:val="0"/>
        <w:wordWrap/>
        <w:bidi w:val="0"/>
        <w:spacing w:line="560" w:lineRule="exact"/>
        <w:ind w:firstLine="640" w:firstLineChars="200"/>
        <w:textAlignment w:val="auto"/>
        <w:rPr>
          <w:rFonts w:hint="eastAsia" w:ascii="仿宋_GB2312" w:hAnsi="宋体" w:eastAsia="仿宋_GB2312"/>
          <w:color w:val="auto"/>
          <w:sz w:val="32"/>
          <w:szCs w:val="28"/>
          <w:lang w:val="zh-CN"/>
        </w:rPr>
      </w:pPr>
      <w:r>
        <w:rPr>
          <w:rFonts w:hint="eastAsia" w:ascii="仿宋_GB2312" w:hAnsi="宋体" w:eastAsia="仿宋_GB2312"/>
          <w:color w:val="auto"/>
          <w:sz w:val="32"/>
          <w:szCs w:val="28"/>
          <w:lang w:val="zh-CN"/>
        </w:rPr>
        <w:t>标准实施组：负责团体标准《研学旅行承办机构服务</w:t>
      </w:r>
      <w:r>
        <w:rPr>
          <w:rFonts w:hint="eastAsia" w:ascii="仿宋_GB2312" w:hAnsi="宋体" w:eastAsia="仿宋_GB2312"/>
          <w:color w:val="auto"/>
          <w:sz w:val="32"/>
          <w:szCs w:val="28"/>
          <w:lang w:val="en-US" w:eastAsia="zh-CN"/>
        </w:rPr>
        <w:t>规范</w:t>
      </w:r>
      <w:r>
        <w:rPr>
          <w:rFonts w:hint="eastAsia" w:ascii="仿宋_GB2312" w:hAnsi="宋体" w:eastAsia="仿宋_GB2312"/>
          <w:color w:val="auto"/>
          <w:sz w:val="32"/>
          <w:szCs w:val="28"/>
          <w:lang w:val="zh-CN"/>
        </w:rPr>
        <w:t>》标准发布后，组织、</w:t>
      </w:r>
      <w:r>
        <w:rPr>
          <w:rFonts w:hint="eastAsia" w:ascii="仿宋_GB2312" w:hAnsi="宋体" w:eastAsia="仿宋_GB2312"/>
          <w:color w:val="auto"/>
          <w:sz w:val="32"/>
          <w:szCs w:val="28"/>
          <w:lang w:val="en-US" w:eastAsia="zh-CN"/>
        </w:rPr>
        <w:t>研学机构、培训机构、高校、中小学校、研学实践教育基（营）地及</w:t>
      </w:r>
      <w:r>
        <w:rPr>
          <w:rFonts w:hint="eastAsia" w:ascii="仿宋_GB2312" w:hAnsi="宋体" w:eastAsia="仿宋_GB2312"/>
          <w:color w:val="auto"/>
          <w:sz w:val="32"/>
          <w:szCs w:val="28"/>
          <w:lang w:val="zh-CN"/>
        </w:rPr>
        <w:t>相关部门等，开展标准宣贯培训会，对标准进行研讨和详细解读，使相关人员了解标准，熟悉标准，并能熟练运用标准；为确保标准的实施效果和综合运用率，对标准实施情况进行总结分析，对标准提出持续改进意见。</w:t>
      </w:r>
    </w:p>
    <w:p>
      <w:pPr>
        <w:keepNext w:val="0"/>
        <w:keepLines w:val="0"/>
        <w:pageBreakBefore w:val="0"/>
        <w:wordWrap/>
        <w:bidi w:val="0"/>
        <w:spacing w:line="560" w:lineRule="exact"/>
        <w:ind w:firstLine="643" w:firstLineChars="200"/>
        <w:textAlignment w:val="auto"/>
        <w:rPr>
          <w:rFonts w:ascii="楷体" w:hAnsi="楷体" w:eastAsia="楷体"/>
          <w:b/>
          <w:color w:val="auto"/>
          <w:sz w:val="32"/>
          <w:szCs w:val="32"/>
          <w:lang w:val="zh-CN"/>
        </w:rPr>
      </w:pPr>
      <w:r>
        <w:rPr>
          <w:rFonts w:hint="eastAsia" w:ascii="楷体" w:hAnsi="楷体" w:eastAsia="楷体"/>
          <w:b/>
          <w:color w:val="auto"/>
          <w:sz w:val="32"/>
          <w:szCs w:val="32"/>
          <w:lang w:val="zh-CN"/>
        </w:rPr>
        <w:t>（二）收集整理文献资料</w:t>
      </w:r>
    </w:p>
    <w:p>
      <w:pPr>
        <w:keepNext w:val="0"/>
        <w:keepLines w:val="0"/>
        <w:pageBreakBefore w:val="0"/>
        <w:wordWrap/>
        <w:bidi w:val="0"/>
        <w:spacing w:line="560" w:lineRule="exact"/>
        <w:ind w:firstLine="640" w:firstLineChars="200"/>
        <w:textAlignment w:val="auto"/>
        <w:rPr>
          <w:rFonts w:ascii="仿宋_GB2312" w:hAnsi="宋体" w:eastAsia="仿宋_GB2312"/>
          <w:color w:val="auto"/>
          <w:sz w:val="32"/>
          <w:szCs w:val="28"/>
          <w:lang w:val="zh-CN"/>
        </w:rPr>
      </w:pPr>
      <w:r>
        <w:rPr>
          <w:rFonts w:hint="eastAsia" w:ascii="仿宋_GB2312" w:hAnsi="宋体" w:eastAsia="仿宋_GB2312"/>
          <w:color w:val="auto"/>
          <w:sz w:val="32"/>
          <w:szCs w:val="28"/>
          <w:lang w:val="zh-CN"/>
        </w:rPr>
        <w:t>标准编制工作组收集了</w:t>
      </w:r>
      <w:r>
        <w:rPr>
          <w:rFonts w:hint="eastAsia" w:ascii="仿宋_GB2312" w:hAnsi="宋体" w:eastAsia="仿宋_GB2312"/>
          <w:color w:val="auto"/>
          <w:sz w:val="32"/>
          <w:szCs w:val="28"/>
          <w:lang w:val="en-US" w:eastAsia="zh-CN"/>
        </w:rPr>
        <w:t>研学旅行及旅游业方面</w:t>
      </w:r>
      <w:r>
        <w:rPr>
          <w:rFonts w:hint="eastAsia" w:ascii="仿宋_GB2312" w:hAnsi="宋体" w:eastAsia="仿宋_GB2312"/>
          <w:color w:val="auto"/>
          <w:sz w:val="32"/>
          <w:szCs w:val="28"/>
          <w:lang w:val="zh-CN"/>
        </w:rPr>
        <w:t>相关文献资料。具体列出如下：</w:t>
      </w:r>
    </w:p>
    <w:p>
      <w:pPr>
        <w:keepNext w:val="0"/>
        <w:keepLines w:val="0"/>
        <w:pageBreakBefore w:val="0"/>
        <w:wordWrap/>
        <w:bidi w:val="0"/>
        <w:spacing w:line="560" w:lineRule="exact"/>
        <w:ind w:firstLine="640" w:firstLineChars="200"/>
        <w:textAlignment w:val="auto"/>
        <w:rPr>
          <w:rFonts w:hint="eastAsia" w:ascii="仿宋_GB2312" w:hAnsi="宋体" w:eastAsia="仿宋_GB2312"/>
          <w:color w:val="auto"/>
          <w:sz w:val="32"/>
          <w:szCs w:val="28"/>
          <w:lang w:val="en-US" w:eastAsia="zh-CN"/>
        </w:rPr>
      </w:pPr>
      <w:r>
        <w:rPr>
          <w:rFonts w:hint="eastAsia" w:ascii="仿宋_GB2312" w:hAnsi="宋体" w:eastAsia="仿宋_GB2312"/>
          <w:color w:val="auto"/>
          <w:sz w:val="32"/>
          <w:szCs w:val="28"/>
          <w:lang w:val="zh-CN" w:eastAsia="zh-CN"/>
        </w:rPr>
        <w:t>（</w:t>
      </w:r>
      <w:r>
        <w:rPr>
          <w:rFonts w:hint="eastAsia" w:ascii="仿宋_GB2312" w:hAnsi="宋体" w:eastAsia="仿宋_GB2312"/>
          <w:color w:val="auto"/>
          <w:sz w:val="32"/>
          <w:szCs w:val="28"/>
          <w:lang w:val="en-US" w:eastAsia="zh-CN"/>
        </w:rPr>
        <w:t>1</w:t>
      </w:r>
      <w:r>
        <w:rPr>
          <w:rFonts w:hint="eastAsia" w:ascii="仿宋_GB2312" w:hAnsi="宋体" w:eastAsia="仿宋_GB2312"/>
          <w:color w:val="auto"/>
          <w:sz w:val="32"/>
          <w:szCs w:val="28"/>
          <w:lang w:val="zh-CN" w:eastAsia="zh-CN"/>
        </w:rPr>
        <w:t>）标准类：</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10001  《公共信息图形符号》</w:t>
      </w:r>
    </w:p>
    <w:p>
      <w:pPr>
        <w:pStyle w:val="12"/>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15971  《导游服务规范》</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16890  《水路客运服务质量要求</w:t>
      </w:r>
      <w:r>
        <w:rPr>
          <w:rFonts w:hint="eastAsia" w:ascii="仿宋_GB2312" w:hAnsi="仿宋_GB2312" w:eastAsia="仿宋_GB2312" w:cs="Times New Roman"/>
          <w:spacing w:val="2"/>
          <w:kern w:val="0"/>
          <w:sz w:val="32"/>
          <w:szCs w:val="24"/>
          <w:lang w:val="en-US" w:eastAsia="zh-CN" w:bidi="ar-SA"/>
        </w:rPr>
        <w:tab/>
      </w:r>
      <w:r>
        <w:rPr>
          <w:rFonts w:hint="eastAsia" w:ascii="仿宋_GB2312" w:hAnsi="仿宋_GB2312" w:eastAsia="仿宋_GB2312" w:cs="Times New Roman"/>
          <w:spacing w:val="2"/>
          <w:kern w:val="0"/>
          <w:sz w:val="32"/>
          <w:szCs w:val="24"/>
          <w:lang w:val="en-US" w:eastAsia="zh-CN" w:bidi="ar-SA"/>
        </w:rPr>
        <w:t>》</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26359  《旅游客车设施与服务规范》</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31710  《休闲露营地建设与服务规范》</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31380  《旅行社等级的划分与评定》</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31385  《旅行社服务通则》</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LB/T 004  《旅行社国内旅游服务规范》</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LB/T 008  《旅行社服务通则》</w:t>
      </w:r>
    </w:p>
    <w:p>
      <w:pPr>
        <w:pStyle w:val="12"/>
        <w:ind w:firstLine="420"/>
        <w:rPr>
          <w:rFonts w:hint="default"/>
          <w:spacing w:val="2"/>
          <w:lang w:val="en-US"/>
        </w:rPr>
      </w:pPr>
      <w:r>
        <w:rPr>
          <w:rFonts w:hint="eastAsia" w:ascii="仿宋_GB2312" w:hAnsi="仿宋_GB2312" w:eastAsia="仿宋_GB2312" w:cs="Times New Roman"/>
          <w:spacing w:val="2"/>
          <w:kern w:val="0"/>
          <w:sz w:val="32"/>
          <w:szCs w:val="24"/>
          <w:lang w:val="en-US" w:eastAsia="zh-CN" w:bidi="ar-SA"/>
        </w:rPr>
        <w:t>LB/T 054-2016  《研学旅行服务规范》。</w:t>
      </w:r>
    </w:p>
    <w:p>
      <w:pPr>
        <w:keepNext w:val="0"/>
        <w:keepLines w:val="0"/>
        <w:pageBreakBefore w:val="0"/>
        <w:wordWrap/>
        <w:bidi w:val="0"/>
        <w:spacing w:line="560" w:lineRule="exact"/>
        <w:ind w:firstLine="640" w:firstLineChars="200"/>
        <w:textAlignment w:val="auto"/>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（2）著作类：《研学旅行概览》《研学旅行基础》《旅游地理学》《区域旅游规划原理》。</w:t>
      </w:r>
    </w:p>
    <w:p>
      <w:pPr>
        <w:keepNext w:val="0"/>
        <w:keepLines w:val="0"/>
        <w:pageBreakBefore w:val="0"/>
        <w:wordWrap/>
        <w:bidi w:val="0"/>
        <w:spacing w:line="560" w:lineRule="exact"/>
        <w:ind w:firstLine="643" w:firstLineChars="200"/>
        <w:textAlignment w:val="auto"/>
        <w:rPr>
          <w:rFonts w:ascii="楷体" w:hAnsi="楷体" w:eastAsia="楷体"/>
          <w:b/>
          <w:bCs w:val="0"/>
          <w:color w:val="auto"/>
          <w:sz w:val="32"/>
          <w:szCs w:val="32"/>
          <w:lang w:val="zh-CN"/>
        </w:rPr>
      </w:pPr>
      <w:r>
        <w:rPr>
          <w:rFonts w:hint="eastAsia" w:ascii="楷体" w:hAnsi="楷体" w:eastAsia="楷体"/>
          <w:b/>
          <w:bCs w:val="0"/>
          <w:color w:val="auto"/>
          <w:sz w:val="32"/>
          <w:szCs w:val="32"/>
          <w:lang w:val="zh-CN"/>
        </w:rPr>
        <w:t>（三）研讨确定标准主体内容</w:t>
      </w:r>
    </w:p>
    <w:p>
      <w:pPr>
        <w:keepNext w:val="0"/>
        <w:keepLines w:val="0"/>
        <w:pageBreakBefore w:val="0"/>
        <w:wordWrap/>
        <w:bidi w:val="0"/>
        <w:spacing w:line="560" w:lineRule="exact"/>
        <w:ind w:firstLine="640" w:firstLineChars="200"/>
        <w:textAlignment w:val="auto"/>
        <w:rPr>
          <w:rFonts w:hint="eastAsia" w:ascii="Times New Roman" w:hAnsi="Times New Roman" w:eastAsia="仿宋_GB2312" w:cs="Times New Roman"/>
          <w:sz w:val="32"/>
          <w:szCs w:val="32"/>
          <w:lang w:val="zh-CN" w:eastAsia="zh-CN"/>
        </w:rPr>
      </w:pPr>
      <w:r>
        <w:rPr>
          <w:rFonts w:hint="eastAsia" w:ascii="Times New Roman" w:hAnsi="Times New Roman" w:eastAsia="仿宋_GB2312" w:cs="Times New Roman"/>
          <w:sz w:val="32"/>
          <w:szCs w:val="32"/>
          <w:lang w:val="zh-CN" w:eastAsia="zh-CN"/>
        </w:rPr>
        <w:t>标准编制工作组在对收集的资料进行整理研究后，标准编制工作组召开了标准编制会议，对标准的整体框架进行了研究，并对标准的关键性问题进行了初步探讨。经过研究，本文件界定了</w:t>
      </w:r>
      <w:r>
        <w:rPr>
          <w:rFonts w:hint="eastAsia" w:ascii="Times New Roman" w:hAnsi="Times New Roman" w:eastAsia="仿宋_GB2312" w:cs="Times New Roman"/>
          <w:sz w:val="32"/>
          <w:szCs w:val="32"/>
          <w:lang w:val="en-US" w:eastAsia="zh-CN"/>
        </w:rPr>
        <w:t>研学旅行承办机构</w:t>
      </w:r>
      <w:r>
        <w:rPr>
          <w:rFonts w:hint="eastAsia" w:ascii="Times New Roman" w:hAnsi="Times New Roman" w:eastAsia="仿宋_GB2312" w:cs="Times New Roman"/>
          <w:sz w:val="32"/>
          <w:szCs w:val="32"/>
          <w:lang w:val="zh-CN" w:eastAsia="zh-CN"/>
        </w:rPr>
        <w:t>涉及的术语和定义，规定了研学旅行</w:t>
      </w:r>
      <w:r>
        <w:rPr>
          <w:rFonts w:hint="eastAsia" w:ascii="Times New Roman" w:hAnsi="Times New Roman" w:eastAsia="仿宋_GB2312" w:cs="Times New Roman"/>
          <w:sz w:val="32"/>
          <w:szCs w:val="32"/>
          <w:lang w:val="en-US" w:eastAsia="zh-CN"/>
        </w:rPr>
        <w:t>承办机构服务基本原则、基本要求、服务内容、评价与改进。</w:t>
      </w:r>
      <w:r>
        <w:rPr>
          <w:rFonts w:hint="eastAsia" w:ascii="Times New Roman" w:hAnsi="Times New Roman" w:eastAsia="仿宋_GB2312" w:cs="Times New Roman"/>
          <w:sz w:val="32"/>
          <w:szCs w:val="32"/>
          <w:lang w:val="zh-CN" w:eastAsia="zh-CN"/>
        </w:rPr>
        <w:t>本文件适用于广西行政区域内</w:t>
      </w:r>
      <w:r>
        <w:rPr>
          <w:rFonts w:hint="eastAsia" w:ascii="Times New Roman" w:hAnsi="Times New Roman" w:eastAsia="仿宋_GB2312" w:cs="Times New Roman"/>
          <w:sz w:val="32"/>
          <w:szCs w:val="32"/>
          <w:lang w:val="en-US" w:eastAsia="zh-CN"/>
        </w:rPr>
        <w:t>研学</w:t>
      </w:r>
      <w:r>
        <w:rPr>
          <w:rFonts w:hint="eastAsia" w:ascii="Times New Roman" w:hAnsi="Times New Roman" w:eastAsia="仿宋_GB2312" w:cs="Times New Roman"/>
          <w:sz w:val="32"/>
          <w:szCs w:val="32"/>
          <w:lang w:val="zh-CN" w:eastAsia="zh-CN"/>
        </w:rPr>
        <w:t>旅行</w:t>
      </w:r>
      <w:r>
        <w:rPr>
          <w:rFonts w:hint="eastAsia" w:ascii="Times New Roman" w:hAnsi="Times New Roman" w:eastAsia="仿宋_GB2312" w:cs="Times New Roman"/>
          <w:sz w:val="32"/>
          <w:szCs w:val="32"/>
          <w:lang w:val="en-US" w:eastAsia="zh-CN"/>
        </w:rPr>
        <w:t>承办机构</w:t>
      </w:r>
      <w:r>
        <w:rPr>
          <w:rFonts w:hint="eastAsia" w:ascii="Times New Roman" w:hAnsi="Times New Roman" w:eastAsia="仿宋_GB2312" w:cs="Times New Roman"/>
          <w:sz w:val="32"/>
          <w:szCs w:val="32"/>
          <w:lang w:val="zh-CN" w:eastAsia="zh-CN"/>
        </w:rPr>
        <w:t>。</w:t>
      </w:r>
    </w:p>
    <w:p>
      <w:pPr>
        <w:keepNext w:val="0"/>
        <w:keepLines w:val="0"/>
        <w:pageBreakBefore w:val="0"/>
        <w:numPr>
          <w:ilvl w:val="0"/>
          <w:numId w:val="4"/>
        </w:numPr>
        <w:wordWrap/>
        <w:bidi w:val="0"/>
        <w:spacing w:line="560" w:lineRule="exact"/>
        <w:ind w:firstLine="643" w:firstLineChars="200"/>
        <w:textAlignment w:val="auto"/>
        <w:rPr>
          <w:rFonts w:hint="eastAsia" w:ascii="楷体" w:hAnsi="楷体" w:eastAsia="楷体"/>
          <w:b/>
          <w:color w:val="auto"/>
          <w:sz w:val="32"/>
          <w:szCs w:val="32"/>
          <w:lang w:val="zh-CN"/>
        </w:rPr>
      </w:pPr>
      <w:r>
        <w:rPr>
          <w:rFonts w:hint="eastAsia" w:ascii="楷体" w:hAnsi="楷体" w:eastAsia="楷体"/>
          <w:b/>
          <w:color w:val="auto"/>
          <w:sz w:val="32"/>
          <w:szCs w:val="32"/>
          <w:lang w:val="zh-CN"/>
        </w:rPr>
        <w:t>调研</w:t>
      </w:r>
      <w:r>
        <w:rPr>
          <w:rFonts w:ascii="楷体" w:hAnsi="楷体" w:eastAsia="楷体"/>
          <w:b/>
          <w:color w:val="auto"/>
          <w:sz w:val="32"/>
          <w:szCs w:val="32"/>
          <w:lang w:val="zh-CN"/>
        </w:rPr>
        <w:t>、</w:t>
      </w:r>
      <w:r>
        <w:rPr>
          <w:rFonts w:hint="eastAsia" w:ascii="楷体" w:hAnsi="楷体" w:eastAsia="楷体"/>
          <w:b/>
          <w:color w:val="auto"/>
          <w:sz w:val="32"/>
          <w:szCs w:val="32"/>
          <w:lang w:val="zh-CN"/>
        </w:rPr>
        <w:t>形成文本草案、征求意见稿</w:t>
      </w:r>
    </w:p>
    <w:p>
      <w:pPr>
        <w:spacing w:line="560" w:lineRule="exact"/>
        <w:ind w:firstLine="640" w:firstLineChars="200"/>
        <w:rPr>
          <w:rFonts w:hint="eastAsia" w:ascii="仿宋_GB2312" w:hAnsi="宋体" w:eastAsia="仿宋_GB2312"/>
          <w:color w:val="FF0000"/>
          <w:sz w:val="32"/>
          <w:szCs w:val="28"/>
          <w:lang w:val="zh-CN"/>
        </w:rPr>
      </w:pPr>
      <w:r>
        <w:rPr>
          <w:rFonts w:hint="eastAsia" w:ascii="仿宋_GB2312" w:hAnsi="宋体" w:eastAsia="仿宋_GB2312"/>
          <w:color w:val="FF0000"/>
          <w:sz w:val="32"/>
          <w:szCs w:val="28"/>
          <w:lang w:val="en-US" w:eastAsia="zh-CN"/>
        </w:rPr>
        <w:t>本文件起草前在广西</w:t>
      </w:r>
      <w:r>
        <w:rPr>
          <w:rFonts w:hint="eastAsia" w:ascii="仿宋_GB2312" w:hAnsi="宋体" w:eastAsia="仿宋_GB2312"/>
          <w:color w:val="FF0000"/>
          <w:sz w:val="32"/>
          <w:szCs w:val="28"/>
          <w:lang w:val="zh-CN" w:eastAsia="zh-CN"/>
        </w:rPr>
        <w:t>区内进行了广泛的实地调研工作，曾对南宁万达茂文化产业有限公司、广西南宁大王滩经济开发中心、美丽南方青瓦房古村落、桂平市金田起义博物馆、黄姚乐耘庄园基地、广西五彩田园研学实践与劳动教育营地、广西铜石岭国际旅游度假区中小学生研学实践教育基地、北海市海洋之窗生物科技展览有限公司、柳州市龙潭公园等进行了深入调研，取得了</w:t>
      </w:r>
      <w:r>
        <w:rPr>
          <w:rFonts w:hint="eastAsia" w:ascii="仿宋_GB2312" w:hAnsi="宋体" w:eastAsia="仿宋_GB2312"/>
          <w:color w:val="FF0000"/>
          <w:sz w:val="32"/>
          <w:szCs w:val="28"/>
          <w:lang w:val="zh-CN"/>
        </w:rPr>
        <w:t>研学旅行相关信息，对本</w:t>
      </w:r>
      <w:r>
        <w:rPr>
          <w:rFonts w:hint="eastAsia" w:ascii="仿宋_GB2312" w:hAnsi="宋体" w:eastAsia="仿宋_GB2312"/>
          <w:color w:val="FF0000"/>
          <w:sz w:val="32"/>
          <w:szCs w:val="28"/>
          <w:lang w:val="en-US" w:eastAsia="zh-CN"/>
        </w:rPr>
        <w:t>文件</w:t>
      </w:r>
      <w:r>
        <w:rPr>
          <w:rFonts w:hint="eastAsia" w:ascii="仿宋_GB2312" w:hAnsi="宋体" w:eastAsia="仿宋_GB2312"/>
          <w:color w:val="FF0000"/>
          <w:sz w:val="32"/>
          <w:szCs w:val="28"/>
          <w:lang w:val="zh-CN"/>
        </w:rPr>
        <w:t>的编制提供研究基础。</w:t>
      </w:r>
    </w:p>
    <w:p>
      <w:pPr>
        <w:keepNext w:val="0"/>
        <w:keepLines w:val="0"/>
        <w:pageBreakBefore w:val="0"/>
        <w:numPr>
          <w:ilvl w:val="0"/>
          <w:numId w:val="0"/>
        </w:numPr>
        <w:wordWrap/>
        <w:bidi w:val="0"/>
        <w:spacing w:line="560" w:lineRule="exact"/>
        <w:textAlignment w:val="auto"/>
        <w:rPr>
          <w:rFonts w:hint="eastAsia" w:ascii="楷体" w:hAnsi="楷体" w:eastAsia="楷体"/>
          <w:b/>
          <w:color w:val="auto"/>
          <w:sz w:val="32"/>
          <w:szCs w:val="32"/>
          <w:lang w:val="zh-CN"/>
        </w:rPr>
      </w:pPr>
    </w:p>
    <w:p>
      <w:pPr>
        <w:keepNext w:val="0"/>
        <w:keepLines w:val="0"/>
        <w:pageBreakBefore w:val="0"/>
        <w:wordWrap/>
        <w:bidi w:val="0"/>
        <w:spacing w:line="560" w:lineRule="exact"/>
        <w:ind w:firstLine="640" w:firstLineChars="200"/>
        <w:textAlignment w:val="auto"/>
        <w:rPr>
          <w:rFonts w:hint="eastAsia" w:ascii="Times New Roman" w:hAnsi="Times New Roman" w:eastAsia="仿宋_GB2312" w:cs="Times New Roman"/>
          <w:sz w:val="32"/>
          <w:szCs w:val="32"/>
          <w:lang w:val="zh-CN" w:eastAsia="zh-CN"/>
        </w:rPr>
      </w:pPr>
      <w:r>
        <w:rPr>
          <w:rFonts w:hint="eastAsia" w:ascii="Times New Roman" w:hAnsi="Times New Roman" w:eastAsia="仿宋_GB2312" w:cs="Times New Roman"/>
          <w:sz w:val="32"/>
          <w:szCs w:val="32"/>
          <w:lang w:val="zh-CN" w:eastAsia="zh-CN"/>
        </w:rPr>
        <w:t>2023年</w:t>
      </w:r>
      <w:r>
        <w:rPr>
          <w:rFonts w:hint="eastAsia" w:ascii="Times New Roman" w:hAnsi="Times New Roman" w:eastAsia="仿宋_GB2312" w:cs="Times New Roman"/>
          <w:sz w:val="32"/>
          <w:szCs w:val="32"/>
          <w:lang w:val="en-US" w:eastAsia="zh-CN"/>
        </w:rPr>
        <w:t>6</w:t>
      </w:r>
      <w:r>
        <w:rPr>
          <w:rFonts w:hint="eastAsia" w:ascii="Times New Roman" w:hAnsi="Times New Roman" w:eastAsia="仿宋_GB2312" w:cs="Times New Roman"/>
          <w:sz w:val="32"/>
          <w:szCs w:val="32"/>
          <w:lang w:val="zh-CN" w:eastAsia="zh-CN"/>
        </w:rPr>
        <w:t>月～2023年</w:t>
      </w:r>
      <w:r>
        <w:rPr>
          <w:rFonts w:hint="eastAsia" w:ascii="Times New Roman" w:hAnsi="Times New Roman" w:eastAsia="仿宋_GB2312" w:cs="Times New Roman"/>
          <w:sz w:val="32"/>
          <w:szCs w:val="32"/>
          <w:lang w:val="en-US" w:eastAsia="zh-CN"/>
        </w:rPr>
        <w:t>7</w:t>
      </w:r>
      <w:r>
        <w:rPr>
          <w:rFonts w:hint="eastAsia" w:ascii="Times New Roman" w:hAnsi="Times New Roman" w:eastAsia="仿宋_GB2312" w:cs="Times New Roman"/>
          <w:sz w:val="32"/>
          <w:szCs w:val="32"/>
          <w:lang w:val="zh-CN" w:eastAsia="zh-CN"/>
        </w:rPr>
        <w:t>月，标准起草工作小组进行了广泛实地调研工作，查阅了大量的国内外文献资料，对</w:t>
      </w:r>
      <w:r>
        <w:rPr>
          <w:rFonts w:hint="eastAsia" w:ascii="Times New Roman" w:hAnsi="Times New Roman" w:eastAsia="仿宋_GB2312" w:cs="Times New Roman"/>
          <w:sz w:val="32"/>
          <w:szCs w:val="32"/>
          <w:lang w:val="en-US" w:eastAsia="zh-CN"/>
        </w:rPr>
        <w:t>广西</w:t>
      </w:r>
      <w:r>
        <w:rPr>
          <w:rFonts w:hint="eastAsia" w:ascii="Times New Roman" w:hAnsi="Times New Roman" w:eastAsia="仿宋_GB2312" w:cs="Times New Roman"/>
          <w:sz w:val="32"/>
          <w:szCs w:val="32"/>
          <w:lang w:val="zh-CN" w:eastAsia="zh-CN"/>
        </w:rPr>
        <w:t>研学旅行</w:t>
      </w:r>
      <w:r>
        <w:rPr>
          <w:rFonts w:hint="eastAsia" w:eastAsia="仿宋_GB2312" w:cs="Times New Roman"/>
          <w:sz w:val="32"/>
          <w:szCs w:val="32"/>
          <w:lang w:val="en-US" w:eastAsia="zh-CN"/>
        </w:rPr>
        <w:t>承办机构</w:t>
      </w:r>
      <w:r>
        <w:rPr>
          <w:rFonts w:hint="eastAsia" w:ascii="Times New Roman" w:hAnsi="Times New Roman" w:eastAsia="仿宋_GB2312" w:cs="Times New Roman"/>
          <w:sz w:val="32"/>
          <w:szCs w:val="32"/>
          <w:lang w:val="en-US" w:eastAsia="zh-CN"/>
        </w:rPr>
        <w:t>情况</w:t>
      </w:r>
      <w:r>
        <w:rPr>
          <w:rFonts w:hint="eastAsia" w:ascii="Times New Roman" w:hAnsi="Times New Roman" w:eastAsia="仿宋_GB2312" w:cs="Times New Roman"/>
          <w:sz w:val="32"/>
          <w:szCs w:val="32"/>
          <w:lang w:val="zh-CN" w:eastAsia="zh-CN"/>
        </w:rPr>
        <w:t>进行系统总结。经编制组反复讨论，形成了标准的基本构架，对主要内容进行了讨论并对项目的工作进行了部署和安排。在前期工作的基础之上，通过理清逻辑脉络，整合已有的参考资料中有关研学旅行</w:t>
      </w:r>
      <w:r>
        <w:rPr>
          <w:rFonts w:hint="eastAsia" w:eastAsia="仿宋_GB2312" w:cs="Times New Roman"/>
          <w:sz w:val="32"/>
          <w:szCs w:val="32"/>
          <w:lang w:val="en-US" w:eastAsia="zh-CN"/>
        </w:rPr>
        <w:t>承办机构的</w:t>
      </w:r>
      <w:r>
        <w:rPr>
          <w:rFonts w:hint="eastAsia" w:ascii="Times New Roman" w:hAnsi="Times New Roman" w:eastAsia="仿宋_GB2312" w:cs="Times New Roman"/>
          <w:sz w:val="32"/>
          <w:szCs w:val="32"/>
          <w:lang w:val="zh-CN" w:eastAsia="zh-CN"/>
        </w:rPr>
        <w:t>内容，并结合研学旅行</w:t>
      </w:r>
      <w:r>
        <w:rPr>
          <w:rFonts w:hint="eastAsia" w:eastAsia="仿宋_GB2312" w:cs="Times New Roman"/>
          <w:sz w:val="32"/>
          <w:szCs w:val="32"/>
          <w:lang w:val="en-US" w:eastAsia="zh-CN"/>
        </w:rPr>
        <w:t>承办机构</w:t>
      </w:r>
      <w:r>
        <w:rPr>
          <w:rFonts w:hint="eastAsia" w:ascii="Times New Roman" w:hAnsi="Times New Roman" w:eastAsia="仿宋_GB2312" w:cs="Times New Roman"/>
          <w:sz w:val="32"/>
          <w:szCs w:val="32"/>
          <w:lang w:val="zh-CN" w:eastAsia="zh-CN"/>
        </w:rPr>
        <w:t>实际要求及前期研究的基础上，按照简化、统一等原则编制完成团体标准《</w:t>
      </w:r>
      <w:r>
        <w:rPr>
          <w:rFonts w:hint="eastAsia" w:ascii="Times New Roman" w:hAnsi="Times New Roman" w:eastAsia="仿宋_GB2312" w:cs="Times New Roman"/>
          <w:sz w:val="32"/>
          <w:szCs w:val="32"/>
          <w:lang w:val="en-US" w:eastAsia="zh-CN"/>
        </w:rPr>
        <w:t>研学旅行</w:t>
      </w:r>
      <w:r>
        <w:rPr>
          <w:rFonts w:hint="eastAsia" w:ascii="Times New Roman" w:hAnsi="Times New Roman" w:eastAsia="仿宋_GB2312" w:cs="Times New Roman"/>
          <w:sz w:val="32"/>
          <w:szCs w:val="32"/>
          <w:lang w:val="zh-CN" w:eastAsia="zh-CN"/>
        </w:rPr>
        <w:t>承办机构</w:t>
      </w:r>
      <w:r>
        <w:rPr>
          <w:rFonts w:hint="eastAsia" w:ascii="Times New Roman" w:hAnsi="Times New Roman" w:eastAsia="仿宋_GB2312" w:cs="Times New Roman"/>
          <w:sz w:val="32"/>
          <w:szCs w:val="32"/>
          <w:lang w:val="en-US" w:eastAsia="zh-CN"/>
        </w:rPr>
        <w:t>服务规范</w:t>
      </w:r>
      <w:r>
        <w:rPr>
          <w:rFonts w:hint="eastAsia" w:ascii="Times New Roman" w:hAnsi="Times New Roman" w:eastAsia="仿宋_GB2312" w:cs="Times New Roman"/>
          <w:sz w:val="32"/>
          <w:szCs w:val="32"/>
          <w:lang w:val="zh-CN" w:eastAsia="zh-CN"/>
        </w:rPr>
        <w:t>》（草案）。</w:t>
      </w:r>
    </w:p>
    <w:p>
      <w:pPr>
        <w:keepNext w:val="0"/>
        <w:keepLines w:val="0"/>
        <w:pageBreakBefore w:val="0"/>
        <w:wordWrap/>
        <w:bidi w:val="0"/>
        <w:spacing w:line="560" w:lineRule="exact"/>
        <w:ind w:firstLine="640" w:firstLineChars="200"/>
        <w:textAlignment w:val="auto"/>
        <w:rPr>
          <w:rFonts w:hint="eastAsia" w:ascii="黑体" w:hAnsi="黑体" w:eastAsia="黑体" w:cs="黑体"/>
          <w:bCs/>
          <w:sz w:val="32"/>
          <w:szCs w:val="32"/>
        </w:rPr>
      </w:pPr>
      <w:r>
        <w:rPr>
          <w:rFonts w:hint="eastAsia" w:ascii="仿宋_GB2312" w:hAnsi="宋体" w:eastAsia="仿宋_GB2312"/>
          <w:sz w:val="32"/>
          <w:szCs w:val="28"/>
          <w:lang w:val="zh-CN"/>
        </w:rPr>
        <w:t>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6</w:t>
      </w:r>
      <w:r>
        <w:rPr>
          <w:rFonts w:hint="eastAsia" w:ascii="仿宋_GB2312" w:hAnsi="宋体" w:eastAsia="仿宋_GB2312"/>
          <w:sz w:val="32"/>
          <w:szCs w:val="28"/>
          <w:lang w:val="zh-CN"/>
        </w:rPr>
        <w:t>月～202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8</w:t>
      </w:r>
      <w:r>
        <w:rPr>
          <w:rFonts w:hint="eastAsia" w:ascii="仿宋_GB2312" w:hAnsi="宋体" w:eastAsia="仿宋_GB2312"/>
          <w:sz w:val="32"/>
          <w:szCs w:val="28"/>
          <w:lang w:val="zh-CN"/>
        </w:rPr>
        <w:t>月，</w:t>
      </w:r>
      <w:r>
        <w:rPr>
          <w:rFonts w:hint="eastAsia" w:ascii="仿宋_GB2312" w:hAnsi="宋体" w:eastAsia="仿宋_GB2312"/>
          <w:color w:val="000000" w:themeColor="text1"/>
          <w:sz w:val="32"/>
          <w:szCs w:val="28"/>
          <w:lang w:val="zh-CN"/>
          <w14:textFill>
            <w14:solidFill>
              <w14:schemeClr w14:val="tx1"/>
            </w14:solidFill>
          </w14:textFill>
        </w:rPr>
        <w:t>编制组</w:t>
      </w:r>
      <w:r>
        <w:rPr>
          <w:rFonts w:hint="eastAsia" w:ascii="仿宋_GB2312" w:hAnsi="宋体" w:eastAsia="仿宋_GB2312"/>
          <w:color w:val="000000" w:themeColor="text1"/>
          <w:sz w:val="32"/>
          <w:szCs w:val="28"/>
          <w:lang w:val="en-US" w:eastAsia="zh-CN"/>
          <w14:textFill>
            <w14:solidFill>
              <w14:schemeClr w14:val="tx1"/>
            </w14:solidFill>
          </w14:textFill>
        </w:rPr>
        <w:t>再次</w:t>
      </w:r>
      <w:r>
        <w:rPr>
          <w:rFonts w:hint="eastAsia" w:ascii="仿宋_GB2312" w:hAnsi="宋体" w:eastAsia="仿宋_GB2312"/>
          <w:color w:val="000000" w:themeColor="text1"/>
          <w:sz w:val="32"/>
          <w:szCs w:val="28"/>
          <w:lang w:val="zh-CN"/>
          <w14:textFill>
            <w14:solidFill>
              <w14:schemeClr w14:val="tx1"/>
            </w14:solidFill>
          </w14:textFill>
        </w:rPr>
        <w:t>深入</w:t>
      </w:r>
      <w:r>
        <w:rPr>
          <w:rFonts w:hint="eastAsia" w:ascii="仿宋_GB2312" w:hAnsi="宋体" w:eastAsia="仿宋_GB2312"/>
          <w:color w:val="000000" w:themeColor="text1"/>
          <w:sz w:val="32"/>
          <w:szCs w:val="28"/>
          <w:lang w:val="en-US" w:eastAsia="zh-CN"/>
          <w14:textFill>
            <w14:solidFill>
              <w14:schemeClr w14:val="tx1"/>
            </w14:solidFill>
          </w14:textFill>
        </w:rPr>
        <w:t>桂林市七星区文化体育和旅游局、广西师范大学、桂林市中小学生示范性综合实践教育中心</w:t>
      </w:r>
      <w:r>
        <w:rPr>
          <w:rFonts w:hint="eastAsia" w:ascii="仿宋_GB2312" w:hAnsi="宋体" w:eastAsia="仿宋_GB2312"/>
          <w:color w:val="000000" w:themeColor="text1"/>
          <w:sz w:val="32"/>
          <w:szCs w:val="28"/>
          <w:lang w:val="zh-CN"/>
          <w14:textFill>
            <w14:solidFill>
              <w14:schemeClr w14:val="tx1"/>
            </w14:solidFill>
          </w14:textFill>
        </w:rPr>
        <w:t>进行调研，</w:t>
      </w:r>
      <w:r>
        <w:rPr>
          <w:rFonts w:hint="eastAsia" w:ascii="仿宋_GB2312" w:hAnsi="宋体" w:eastAsia="仿宋_GB2312"/>
          <w:color w:val="000000" w:themeColor="text1"/>
          <w:sz w:val="32"/>
          <w:szCs w:val="28"/>
          <w:lang w:val="en-US" w:eastAsia="zh-CN"/>
          <w14:textFill>
            <w14:solidFill>
              <w14:schemeClr w14:val="tx1"/>
            </w14:solidFill>
          </w14:textFill>
        </w:rPr>
        <w:t>深入桂林理工大学附属小学、桂林市靖江王陵文物管理处研学实践教育基地、桂海清岚研学实践教育基地、桂林市观赏石协会地质科普研学实践教育基地、广西桂林会仙喀斯特国家湿地公园研学实践教育基地、东漓古村研学实践教育基地、桂林市独秀峰王城研学实践教育基地、桂林大碧头中小学生研学实践教育营地等</w:t>
      </w:r>
      <w:r>
        <w:rPr>
          <w:rFonts w:hint="eastAsia" w:ascii="仿宋_GB2312" w:hAnsi="宋体" w:eastAsia="仿宋_GB2312"/>
          <w:color w:val="000000" w:themeColor="text1"/>
          <w:sz w:val="32"/>
          <w:szCs w:val="28"/>
          <w:lang w:val="zh-CN"/>
          <w14:textFill>
            <w14:solidFill>
              <w14:schemeClr w14:val="tx1"/>
            </w14:solidFill>
          </w14:textFill>
        </w:rPr>
        <w:t>与研学旅行</w:t>
      </w:r>
      <w:r>
        <w:rPr>
          <w:rFonts w:hint="eastAsia" w:ascii="仿宋_GB2312" w:hAnsi="宋体" w:eastAsia="仿宋_GB2312"/>
          <w:color w:val="000000" w:themeColor="text1"/>
          <w:sz w:val="32"/>
          <w:szCs w:val="28"/>
          <w:lang w:val="en-US" w:eastAsia="zh-CN"/>
          <w14:textFill>
            <w14:solidFill>
              <w14:schemeClr w14:val="tx1"/>
            </w14:solidFill>
          </w14:textFill>
        </w:rPr>
        <w:t>承办机构工作人员</w:t>
      </w:r>
      <w:r>
        <w:rPr>
          <w:rFonts w:hint="eastAsia" w:ascii="仿宋_GB2312" w:hAnsi="宋体" w:eastAsia="仿宋_GB2312"/>
          <w:color w:val="000000" w:themeColor="text1"/>
          <w:sz w:val="32"/>
          <w:szCs w:val="28"/>
          <w:lang w:val="zh-CN"/>
          <w14:textFill>
            <w14:solidFill>
              <w14:schemeClr w14:val="tx1"/>
            </w14:solidFill>
          </w14:textFill>
        </w:rPr>
        <w:t>进行交流及征求意见。根据反馈意见及试验成果，标准编制工作组多次召开会议，对标准草案进行反复修改和研究讨论，形成团体标准《研学旅行承办机构服务</w:t>
      </w:r>
      <w:r>
        <w:rPr>
          <w:rFonts w:hint="eastAsia" w:ascii="仿宋_GB2312" w:hAnsi="宋体" w:eastAsia="仿宋_GB2312"/>
          <w:color w:val="000000" w:themeColor="text1"/>
          <w:sz w:val="32"/>
          <w:szCs w:val="28"/>
          <w:lang w:val="en-US" w:eastAsia="zh-CN"/>
          <w14:textFill>
            <w14:solidFill>
              <w14:schemeClr w14:val="tx1"/>
            </w14:solidFill>
          </w14:textFill>
        </w:rPr>
        <w:t>规范</w:t>
      </w:r>
      <w:r>
        <w:rPr>
          <w:rFonts w:hint="eastAsia" w:ascii="仿宋_GB2312" w:hAnsi="宋体" w:eastAsia="仿宋_GB2312"/>
          <w:color w:val="000000" w:themeColor="text1"/>
          <w:sz w:val="32"/>
          <w:szCs w:val="28"/>
          <w:lang w:val="zh-CN"/>
          <w14:textFill>
            <w14:solidFill>
              <w14:schemeClr w14:val="tx1"/>
            </w14:solidFill>
          </w14:textFill>
        </w:rPr>
        <w:t>》（征求意见稿）和（征求意见稿）编制说</w:t>
      </w:r>
      <w:r>
        <w:rPr>
          <w:rFonts w:hint="eastAsia" w:ascii="仿宋_GB2312" w:hAnsi="宋体" w:eastAsia="仿宋_GB2312"/>
          <w:sz w:val="32"/>
          <w:szCs w:val="28"/>
          <w:lang w:val="zh-CN"/>
        </w:rPr>
        <w:t>明。</w:t>
      </w:r>
    </w:p>
    <w:p>
      <w:pPr>
        <w:keepNext w:val="0"/>
        <w:keepLines w:val="0"/>
        <w:pageBreakBefore w:val="0"/>
        <w:wordWrap/>
        <w:bidi w:val="0"/>
        <w:spacing w:line="560" w:lineRule="exact"/>
        <w:ind w:firstLine="640" w:firstLineChars="200"/>
        <w:textAlignment w:val="auto"/>
        <w:rPr>
          <w:rFonts w:ascii="黑体" w:hAnsi="黑体" w:eastAsia="黑体" w:cs="黑体"/>
          <w:bCs/>
          <w:sz w:val="32"/>
          <w:szCs w:val="32"/>
        </w:rPr>
      </w:pPr>
      <w:r>
        <w:rPr>
          <w:rFonts w:hint="eastAsia" w:ascii="黑体" w:hAnsi="黑体" w:eastAsia="黑体" w:cs="黑体"/>
          <w:bCs/>
          <w:sz w:val="32"/>
          <w:szCs w:val="32"/>
          <w:lang w:eastAsia="zh-CN"/>
        </w:rPr>
        <w:t>六</w:t>
      </w:r>
      <w:r>
        <w:rPr>
          <w:rFonts w:hint="eastAsia" w:ascii="黑体" w:hAnsi="黑体" w:eastAsia="黑体" w:cs="黑体"/>
          <w:bCs/>
          <w:sz w:val="32"/>
          <w:szCs w:val="32"/>
        </w:rPr>
        <w:t>、制定标准的原则和依据，与现行</w:t>
      </w:r>
      <w:r>
        <w:rPr>
          <w:rFonts w:hint="eastAsia" w:ascii="黑体" w:hAnsi="黑体" w:eastAsia="黑体" w:cs="黑体"/>
          <w:bCs/>
          <w:sz w:val="32"/>
          <w:szCs w:val="32"/>
          <w:lang w:eastAsia="zh-CN"/>
        </w:rPr>
        <w:t>法律法规</w:t>
      </w:r>
      <w:r>
        <w:rPr>
          <w:rFonts w:hint="eastAsia" w:ascii="黑体" w:hAnsi="黑体" w:eastAsia="黑体" w:cs="黑体"/>
          <w:bCs/>
          <w:sz w:val="32"/>
          <w:szCs w:val="32"/>
        </w:rPr>
        <w:t>的关系，与有关国家标准、行业标准的协调情况</w:t>
      </w:r>
    </w:p>
    <w:p>
      <w:pPr>
        <w:keepNext w:val="0"/>
        <w:keepLines w:val="0"/>
        <w:pageBreakBefore w:val="0"/>
        <w:wordWrap/>
        <w:bidi w:val="0"/>
        <w:ind w:firstLine="643" w:firstLineChars="200"/>
        <w:textAlignment w:val="auto"/>
        <w:outlineLvl w:val="1"/>
        <w:rPr>
          <w:rFonts w:ascii="楷体" w:hAnsi="楷体" w:eastAsia="楷体"/>
          <w:b/>
          <w:sz w:val="32"/>
          <w:szCs w:val="32"/>
          <w:lang w:val="zh-CN"/>
        </w:rPr>
      </w:pPr>
      <w:r>
        <w:rPr>
          <w:rFonts w:hint="eastAsia" w:ascii="楷体" w:hAnsi="楷体" w:eastAsia="楷体"/>
          <w:b/>
          <w:sz w:val="32"/>
          <w:szCs w:val="32"/>
          <w:lang w:val="zh-CN"/>
        </w:rPr>
        <w:t>（一）实用性原则</w:t>
      </w:r>
    </w:p>
    <w:p>
      <w:pPr>
        <w:keepNext w:val="0"/>
        <w:keepLines w:val="0"/>
        <w:pageBreakBefore w:val="0"/>
        <w:wordWrap/>
        <w:bidi w:val="0"/>
        <w:spacing w:line="56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本文件是在充分收集相关资料和文献，在吸收</w:t>
      </w:r>
      <w:r>
        <w:rPr>
          <w:rFonts w:hint="eastAsia" w:ascii="仿宋_GB2312" w:hAnsi="宋体" w:eastAsia="仿宋_GB2312"/>
          <w:sz w:val="32"/>
          <w:szCs w:val="28"/>
          <w:lang w:val="en-US" w:eastAsia="zh-CN"/>
        </w:rPr>
        <w:t>行业标准</w:t>
      </w:r>
      <w:r>
        <w:rPr>
          <w:rFonts w:hint="eastAsia" w:ascii="仿宋_GB2312" w:hAnsi="宋体" w:eastAsia="仿宋_GB2312"/>
          <w:sz w:val="32"/>
          <w:szCs w:val="28"/>
          <w:lang w:val="zh-CN"/>
        </w:rPr>
        <w:t>《</w:t>
      </w:r>
      <w:r>
        <w:rPr>
          <w:rFonts w:hint="eastAsia" w:ascii="仿宋_GB2312" w:hAnsi="仿宋_GB2312" w:eastAsia="仿宋_GB2312"/>
          <w:spacing w:val="2"/>
          <w:sz w:val="32"/>
          <w:lang w:val="en-US" w:eastAsia="zh-CN"/>
        </w:rPr>
        <w:t>研学旅行服务规范</w:t>
      </w:r>
      <w:r>
        <w:rPr>
          <w:rFonts w:hint="eastAsia" w:ascii="仿宋_GB2312" w:hAnsi="宋体" w:eastAsia="仿宋_GB2312"/>
          <w:sz w:val="32"/>
          <w:szCs w:val="28"/>
          <w:lang w:val="zh-CN"/>
        </w:rPr>
        <w:t>》成功经验基础上，分析近年研学旅行承办机构</w:t>
      </w:r>
      <w:r>
        <w:rPr>
          <w:rFonts w:hint="eastAsia" w:ascii="仿宋_GB2312" w:hAnsi="宋体" w:eastAsia="仿宋_GB2312"/>
          <w:sz w:val="32"/>
          <w:szCs w:val="28"/>
          <w:lang w:val="en-US" w:eastAsia="zh-CN"/>
        </w:rPr>
        <w:t>发展的</w:t>
      </w:r>
      <w:r>
        <w:rPr>
          <w:rFonts w:hint="eastAsia" w:ascii="仿宋_GB2312" w:hAnsi="宋体" w:eastAsia="仿宋_GB2312"/>
          <w:sz w:val="32"/>
          <w:szCs w:val="28"/>
          <w:lang w:val="zh-CN"/>
        </w:rPr>
        <w:t>新动态、新趋势。</w:t>
      </w:r>
      <w:r>
        <w:rPr>
          <w:rFonts w:hint="eastAsia" w:ascii="仿宋_GB2312" w:hAnsi="宋体" w:eastAsia="仿宋_GB2312"/>
          <w:sz w:val="32"/>
          <w:szCs w:val="28"/>
          <w:lang w:val="en-US" w:eastAsia="zh-CN"/>
        </w:rPr>
        <w:t>本</w:t>
      </w:r>
      <w:r>
        <w:rPr>
          <w:rFonts w:hint="eastAsia" w:ascii="仿宋_GB2312" w:hAnsi="宋体" w:eastAsia="仿宋_GB2312"/>
          <w:sz w:val="32"/>
          <w:szCs w:val="28"/>
          <w:lang w:val="zh-CN"/>
        </w:rPr>
        <w:t>文件符合当前</w:t>
      </w:r>
      <w:r>
        <w:rPr>
          <w:rFonts w:hint="eastAsia" w:ascii="仿宋_GB2312" w:hAnsi="宋体" w:eastAsia="仿宋_GB2312"/>
          <w:sz w:val="32"/>
          <w:szCs w:val="28"/>
          <w:lang w:val="en-US" w:eastAsia="zh-CN"/>
        </w:rPr>
        <w:t>广西研学旅行</w:t>
      </w:r>
      <w:r>
        <w:rPr>
          <w:rFonts w:hint="eastAsia" w:ascii="仿宋_GB2312" w:hAnsi="宋体" w:eastAsia="仿宋_GB2312"/>
          <w:sz w:val="32"/>
          <w:szCs w:val="28"/>
          <w:lang w:val="zh-CN"/>
        </w:rPr>
        <w:t>的</w:t>
      </w:r>
      <w:r>
        <w:rPr>
          <w:rFonts w:hint="eastAsia" w:ascii="仿宋_GB2312" w:hAnsi="宋体" w:eastAsia="仿宋_GB2312"/>
          <w:sz w:val="32"/>
          <w:szCs w:val="28"/>
          <w:lang w:val="en-US" w:eastAsia="zh-CN"/>
        </w:rPr>
        <w:t>发展</w:t>
      </w:r>
      <w:r>
        <w:rPr>
          <w:rFonts w:hint="eastAsia" w:ascii="仿宋_GB2312" w:hAnsi="宋体" w:eastAsia="仿宋_GB2312"/>
          <w:sz w:val="32"/>
          <w:szCs w:val="28"/>
          <w:lang w:val="zh-CN"/>
        </w:rPr>
        <w:t>方向与需求，有利于提高</w:t>
      </w:r>
      <w:r>
        <w:rPr>
          <w:rFonts w:hint="eastAsia" w:ascii="仿宋_GB2312" w:hAnsi="宋体" w:eastAsia="仿宋_GB2312"/>
          <w:sz w:val="32"/>
          <w:szCs w:val="28"/>
          <w:lang w:val="en-US" w:eastAsia="zh-CN"/>
        </w:rPr>
        <w:t>研学旅行服务品质</w:t>
      </w:r>
      <w:r>
        <w:rPr>
          <w:rFonts w:hint="eastAsia" w:ascii="仿宋_GB2312" w:hAnsi="宋体" w:eastAsia="仿宋_GB2312"/>
          <w:sz w:val="32"/>
          <w:szCs w:val="28"/>
          <w:lang w:val="zh-CN"/>
        </w:rPr>
        <w:t>，对推动</w:t>
      </w:r>
      <w:r>
        <w:rPr>
          <w:rFonts w:hint="eastAsia" w:ascii="仿宋_GB2312" w:hAnsi="宋体" w:eastAsia="仿宋_GB2312"/>
          <w:sz w:val="32"/>
          <w:szCs w:val="28"/>
          <w:lang w:val="en-US" w:eastAsia="zh-CN"/>
        </w:rPr>
        <w:t>广西研学旅提高</w:t>
      </w:r>
      <w:r>
        <w:rPr>
          <w:rFonts w:hint="eastAsia" w:ascii="仿宋_GB2312" w:hAnsi="宋体" w:eastAsia="仿宋_GB2312"/>
          <w:sz w:val="32"/>
          <w:szCs w:val="28"/>
          <w:lang w:val="zh-CN"/>
        </w:rPr>
        <w:t>知名度、美誉度，打造</w:t>
      </w:r>
      <w:r>
        <w:rPr>
          <w:rFonts w:hint="eastAsia" w:ascii="仿宋_GB2312" w:hAnsi="宋体" w:eastAsia="仿宋_GB2312"/>
          <w:sz w:val="32"/>
          <w:szCs w:val="28"/>
          <w:lang w:val="en-US" w:eastAsia="zh-CN"/>
        </w:rPr>
        <w:t>具有强势竞争力的</w:t>
      </w:r>
      <w:r>
        <w:rPr>
          <w:rFonts w:hint="eastAsia" w:ascii="仿宋_GB2312" w:hAnsi="宋体" w:eastAsia="仿宋_GB2312"/>
          <w:sz w:val="32"/>
          <w:szCs w:val="28"/>
          <w:lang w:val="zh-CN"/>
        </w:rPr>
        <w:t>品牌，促进</w:t>
      </w:r>
      <w:r>
        <w:rPr>
          <w:rFonts w:hint="eastAsia" w:ascii="仿宋_GB2312" w:hAnsi="宋体" w:eastAsia="仿宋_GB2312"/>
          <w:sz w:val="32"/>
          <w:szCs w:val="28"/>
          <w:lang w:val="en-US" w:eastAsia="zh-CN"/>
        </w:rPr>
        <w:t>研学旅行</w:t>
      </w:r>
      <w:r>
        <w:rPr>
          <w:rFonts w:hint="eastAsia" w:ascii="仿宋_GB2312" w:hAnsi="宋体" w:eastAsia="仿宋_GB2312"/>
          <w:sz w:val="32"/>
          <w:szCs w:val="28"/>
          <w:lang w:val="zh-CN"/>
        </w:rPr>
        <w:t>高质量发展，具有较强的实用性和可操作性。</w:t>
      </w:r>
    </w:p>
    <w:p>
      <w:pPr>
        <w:keepNext w:val="0"/>
        <w:keepLines w:val="0"/>
        <w:pageBreakBefore w:val="0"/>
        <w:wordWrap/>
        <w:bidi w:val="0"/>
        <w:ind w:firstLine="643" w:firstLineChars="200"/>
        <w:textAlignment w:val="auto"/>
        <w:outlineLvl w:val="1"/>
        <w:rPr>
          <w:rFonts w:ascii="楷体" w:hAnsi="楷体" w:eastAsia="楷体"/>
          <w:b/>
          <w:sz w:val="32"/>
          <w:szCs w:val="32"/>
          <w:lang w:val="zh-CN"/>
        </w:rPr>
      </w:pPr>
      <w:r>
        <w:rPr>
          <w:rFonts w:hint="eastAsia" w:ascii="楷体" w:hAnsi="楷体" w:eastAsia="楷体"/>
          <w:b/>
          <w:sz w:val="32"/>
          <w:szCs w:val="32"/>
          <w:lang w:val="zh-CN"/>
        </w:rPr>
        <w:t>（二）协调性原则</w:t>
      </w:r>
    </w:p>
    <w:p>
      <w:pPr>
        <w:keepNext w:val="0"/>
        <w:keepLines w:val="0"/>
        <w:pageBreakBefore w:val="0"/>
        <w:wordWrap/>
        <w:bidi w:val="0"/>
        <w:spacing w:line="56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经调研分析，《研学旅行承办机构服务</w:t>
      </w:r>
      <w:r>
        <w:rPr>
          <w:rFonts w:hint="eastAsia" w:ascii="仿宋_GB2312" w:hAnsi="宋体" w:eastAsia="仿宋_GB2312"/>
          <w:sz w:val="32"/>
          <w:szCs w:val="28"/>
          <w:lang w:val="en-US" w:eastAsia="zh-CN"/>
        </w:rPr>
        <w:t>规范</w:t>
      </w:r>
      <w:r>
        <w:rPr>
          <w:rFonts w:hint="eastAsia" w:ascii="仿宋_GB2312" w:hAnsi="宋体" w:eastAsia="仿宋_GB2312"/>
          <w:sz w:val="32"/>
          <w:szCs w:val="28"/>
          <w:lang w:val="zh-CN"/>
        </w:rPr>
        <w:t>》标准符合《中华人民共和国标准化法》（主席令第78号）《中华人民共和国标准化法实施条例》（国务院令第53号）等相关法律法规。</w:t>
      </w:r>
    </w:p>
    <w:p>
      <w:pPr>
        <w:keepNext w:val="0"/>
        <w:keepLines w:val="0"/>
        <w:pageBreakBefore w:val="0"/>
        <w:wordWrap/>
        <w:bidi w:val="0"/>
        <w:spacing w:line="56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本文件编写过程中注意了与研学旅行承办机构相关的国内、国外法律法规的协调问题，在内容上引用了所有适用的国内标准，与国内、国外现行法律法规、标准协调一致。</w:t>
      </w:r>
    </w:p>
    <w:p>
      <w:pPr>
        <w:keepNext w:val="0"/>
        <w:keepLines w:val="0"/>
        <w:pageBreakBefore w:val="0"/>
        <w:wordWrap/>
        <w:bidi w:val="0"/>
        <w:ind w:firstLine="643" w:firstLineChars="200"/>
        <w:textAlignment w:val="auto"/>
        <w:outlineLvl w:val="1"/>
        <w:rPr>
          <w:rFonts w:ascii="楷体" w:hAnsi="楷体" w:eastAsia="楷体"/>
          <w:b/>
          <w:sz w:val="32"/>
          <w:szCs w:val="32"/>
          <w:lang w:val="zh-CN"/>
        </w:rPr>
      </w:pPr>
      <w:r>
        <w:rPr>
          <w:rFonts w:hint="eastAsia" w:ascii="楷体" w:hAnsi="楷体" w:eastAsia="楷体"/>
          <w:b/>
          <w:sz w:val="32"/>
          <w:szCs w:val="32"/>
          <w:lang w:val="zh-CN"/>
        </w:rPr>
        <w:t>（三）规范性原则</w:t>
      </w:r>
    </w:p>
    <w:p>
      <w:pPr>
        <w:keepNext w:val="0"/>
        <w:keepLines w:val="0"/>
        <w:pageBreakBefore w:val="0"/>
        <w:wordWrap/>
        <w:bidi w:val="0"/>
        <w:spacing w:line="56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本文件严格按照GB/T 1.1—2020《标准化工作导则  第1部分：标准化文件的结构和起草规则》的要求和规定编写本标准的内容，保证标准的编写质量。</w:t>
      </w:r>
    </w:p>
    <w:p>
      <w:pPr>
        <w:keepNext w:val="0"/>
        <w:keepLines w:val="0"/>
        <w:pageBreakBefore w:val="0"/>
        <w:wordWrap/>
        <w:bidi w:val="0"/>
        <w:ind w:firstLine="643" w:firstLineChars="200"/>
        <w:textAlignment w:val="auto"/>
        <w:outlineLvl w:val="1"/>
        <w:rPr>
          <w:rFonts w:ascii="楷体" w:hAnsi="楷体" w:eastAsia="楷体"/>
          <w:b/>
          <w:sz w:val="32"/>
          <w:szCs w:val="32"/>
          <w:lang w:val="zh-CN"/>
        </w:rPr>
      </w:pPr>
      <w:r>
        <w:rPr>
          <w:rFonts w:hint="eastAsia" w:ascii="楷体" w:hAnsi="楷体" w:eastAsia="楷体"/>
          <w:b/>
          <w:sz w:val="32"/>
          <w:szCs w:val="32"/>
          <w:lang w:val="zh-CN"/>
        </w:rPr>
        <w:t>（四）前瞻性原则</w:t>
      </w:r>
    </w:p>
    <w:p>
      <w:pPr>
        <w:keepNext w:val="0"/>
        <w:keepLines w:val="0"/>
        <w:pageBreakBefore w:val="0"/>
        <w:wordWrap/>
        <w:bidi w:val="0"/>
        <w:spacing w:line="560" w:lineRule="exact"/>
        <w:ind w:firstLine="640" w:firstLineChars="200"/>
        <w:textAlignment w:val="auto"/>
        <w:rPr>
          <w:rFonts w:hint="eastAsia" w:ascii="仿宋_GB2312" w:hAnsi="宋体" w:eastAsia="仿宋_GB2312"/>
          <w:sz w:val="32"/>
          <w:szCs w:val="28"/>
          <w:lang w:val="zh-CN"/>
        </w:rPr>
      </w:pPr>
      <w:r>
        <w:rPr>
          <w:rFonts w:hint="eastAsia" w:ascii="仿宋_GB2312" w:hAnsi="宋体" w:eastAsia="仿宋_GB2312"/>
          <w:sz w:val="32"/>
          <w:szCs w:val="28"/>
          <w:lang w:val="zh-CN"/>
        </w:rPr>
        <w:t>本文件在兼顾当前区研学旅行承办机构现实情况的同时，还考虑到了将来</w:t>
      </w:r>
      <w:r>
        <w:rPr>
          <w:rFonts w:hint="eastAsia" w:ascii="仿宋_GB2312" w:hAnsi="宋体" w:eastAsia="仿宋_GB2312"/>
          <w:sz w:val="32"/>
          <w:szCs w:val="28"/>
          <w:lang w:val="en-US" w:eastAsia="zh-CN"/>
        </w:rPr>
        <w:t>发展趋势</w:t>
      </w:r>
      <w:r>
        <w:rPr>
          <w:rFonts w:hint="eastAsia" w:ascii="仿宋_GB2312" w:hAnsi="宋体" w:eastAsia="仿宋_GB2312"/>
          <w:sz w:val="32"/>
          <w:szCs w:val="28"/>
          <w:lang w:val="zh-CN"/>
        </w:rPr>
        <w:t>，在标准中体现了个别特色性、前瞻性和先进性条款。</w:t>
      </w:r>
    </w:p>
    <w:p>
      <w:pPr>
        <w:keepNext w:val="0"/>
        <w:keepLines w:val="0"/>
        <w:pageBreakBefore w:val="0"/>
        <w:widowControl w:val="0"/>
        <w:numPr>
          <w:ilvl w:val="0"/>
          <w:numId w:val="0"/>
        </w:numPr>
        <w:kinsoku/>
        <w:wordWrap/>
        <w:overflowPunct/>
        <w:topLinePunct/>
        <w:autoSpaceDE/>
        <w:autoSpaceDN/>
        <w:bidi w:val="0"/>
        <w:adjustRightInd w:val="0"/>
        <w:snapToGrid w:val="0"/>
        <w:spacing w:beforeLines="50" w:afterLines="50" w:line="560" w:lineRule="exact"/>
        <w:ind w:firstLine="640" w:firstLineChars="200"/>
        <w:jc w:val="both"/>
        <w:textAlignment w:val="auto"/>
        <w:outlineLvl w:val="0"/>
        <w:rPr>
          <w:rFonts w:ascii="黑体" w:hAnsi="宋体" w:eastAsia="黑体"/>
          <w:color w:val="000000"/>
          <w:sz w:val="32"/>
        </w:rPr>
      </w:pPr>
      <w:r>
        <w:rPr>
          <w:rFonts w:hint="eastAsia" w:ascii="黑体" w:hAnsi="宋体" w:eastAsia="黑体" w:cs="Times New Roman"/>
          <w:color w:val="000000"/>
          <w:sz w:val="32"/>
          <w:lang w:eastAsia="zh-CN"/>
        </w:rPr>
        <w:t>七、</w:t>
      </w:r>
      <w:r>
        <w:rPr>
          <w:rFonts w:hint="eastAsia" w:ascii="黑体" w:hAnsi="宋体" w:eastAsia="黑体" w:cs="Times New Roman"/>
          <w:color w:val="000000"/>
          <w:sz w:val="32"/>
        </w:rPr>
        <w:t>标准</w:t>
      </w:r>
      <w:r>
        <w:rPr>
          <w:rFonts w:hint="eastAsia" w:ascii="黑体" w:hAnsi="宋体" w:eastAsia="黑体"/>
          <w:color w:val="000000"/>
          <w:sz w:val="32"/>
        </w:rPr>
        <w:t>的框架和主要内容说明</w:t>
      </w:r>
    </w:p>
    <w:p>
      <w:pPr>
        <w:pStyle w:val="6"/>
        <w:keepNext w:val="0"/>
        <w:keepLines w:val="0"/>
        <w:pageBreakBefore w:val="0"/>
        <w:kinsoku w:val="0"/>
        <w:wordWrap/>
        <w:overflowPunct w:val="0"/>
        <w:topLinePunct/>
        <w:autoSpaceDE/>
        <w:autoSpaceDN/>
        <w:bidi w:val="0"/>
        <w:adjustRightInd/>
        <w:spacing w:line="560" w:lineRule="exact"/>
        <w:ind w:left="0" w:firstLine="648" w:firstLineChars="200"/>
        <w:textAlignment w:val="auto"/>
        <w:rPr>
          <w:rFonts w:hint="eastAsia" w:ascii="仿宋_GB2312" w:hAnsi="仿宋_GB2312" w:eastAsia="仿宋_GB2312" w:cs="Times New Roman"/>
          <w:spacing w:val="2"/>
          <w:kern w:val="0"/>
          <w:sz w:val="32"/>
          <w:szCs w:val="24"/>
          <w:lang w:val="en-US" w:eastAsia="zh-CN" w:bidi="ar-SA"/>
        </w:rPr>
      </w:pPr>
      <w:r>
        <w:rPr>
          <w:rFonts w:hint="eastAsia"/>
          <w:spacing w:val="2"/>
        </w:rPr>
        <w:t>《</w:t>
      </w:r>
      <w:r>
        <w:rPr>
          <w:rFonts w:hint="eastAsia" w:ascii="仿宋_GB2312" w:hAnsi="宋体" w:eastAsia="仿宋_GB2312"/>
          <w:sz w:val="32"/>
          <w:szCs w:val="28"/>
          <w:lang w:val="zh-CN"/>
        </w:rPr>
        <w:t>研学旅行承办机构服务</w:t>
      </w:r>
      <w:r>
        <w:rPr>
          <w:rFonts w:hint="eastAsia" w:ascii="仿宋_GB2312" w:hAnsi="宋体" w:eastAsia="仿宋_GB2312"/>
          <w:sz w:val="32"/>
          <w:szCs w:val="28"/>
          <w:lang w:val="en-US" w:eastAsia="zh-CN"/>
        </w:rPr>
        <w:t>规范</w:t>
      </w:r>
      <w:r>
        <w:rPr>
          <w:rFonts w:hint="eastAsia"/>
          <w:spacing w:val="2"/>
        </w:rPr>
        <w:t>》</w:t>
      </w:r>
      <w:r>
        <w:rPr>
          <w:rFonts w:hint="eastAsia"/>
          <w:spacing w:val="2"/>
          <w:lang w:val="en-US" w:eastAsia="zh-CN"/>
        </w:rPr>
        <w:t>规定了广西壮族自治区研学旅行机构的</w:t>
      </w:r>
      <w:r>
        <w:rPr>
          <w:rFonts w:hint="eastAsia"/>
        </w:rPr>
        <w:t>基本原则、基本要求、服务内容、评价与改进</w:t>
      </w:r>
      <w:r>
        <w:rPr>
          <w:rFonts w:hint="eastAsia"/>
          <w:lang w:eastAsia="zh-CN"/>
        </w:rPr>
        <w:t>，</w:t>
      </w:r>
      <w:r>
        <w:rPr>
          <w:rFonts w:hint="eastAsia" w:ascii="仿宋_GB2312" w:hAnsi="仿宋_GB2312" w:eastAsia="仿宋_GB2312" w:cs="Times New Roman"/>
          <w:spacing w:val="2"/>
          <w:kern w:val="0"/>
          <w:sz w:val="32"/>
          <w:szCs w:val="24"/>
          <w:lang w:val="en-US" w:eastAsia="zh-CN" w:bidi="ar-SA"/>
        </w:rPr>
        <w:t>适用于广西壮族自治区研学旅行</w:t>
      </w:r>
      <w:r>
        <w:rPr>
          <w:rFonts w:hint="eastAsia" w:cs="Times New Roman"/>
          <w:spacing w:val="2"/>
          <w:kern w:val="0"/>
          <w:sz w:val="32"/>
          <w:szCs w:val="24"/>
          <w:lang w:val="en-US" w:eastAsia="zh-CN" w:bidi="ar-SA"/>
        </w:rPr>
        <w:t>承办</w:t>
      </w:r>
      <w:r>
        <w:rPr>
          <w:rFonts w:hint="eastAsia" w:ascii="仿宋_GB2312" w:hAnsi="仿宋_GB2312" w:eastAsia="仿宋_GB2312" w:cs="Times New Roman"/>
          <w:spacing w:val="2"/>
          <w:kern w:val="0"/>
          <w:sz w:val="32"/>
          <w:szCs w:val="24"/>
          <w:lang w:val="en-US" w:eastAsia="zh-CN" w:bidi="ar-SA"/>
        </w:rPr>
        <w:t>机构的组织实施和评价改进。</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第一部分：规范性引用文件。列举标准引用的规范性文件：GB/T 10001  《公共信息图形符号》</w:t>
      </w:r>
    </w:p>
    <w:p>
      <w:pPr>
        <w:pStyle w:val="12"/>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15971  《导游服务规范》</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16890  《水路客运服务质量要求</w:t>
      </w:r>
      <w:r>
        <w:rPr>
          <w:rFonts w:hint="eastAsia" w:ascii="仿宋_GB2312" w:hAnsi="仿宋_GB2312" w:eastAsia="仿宋_GB2312" w:cs="Times New Roman"/>
          <w:spacing w:val="2"/>
          <w:kern w:val="0"/>
          <w:sz w:val="32"/>
          <w:szCs w:val="24"/>
          <w:lang w:val="en-US" w:eastAsia="zh-CN" w:bidi="ar-SA"/>
        </w:rPr>
        <w:tab/>
      </w:r>
      <w:r>
        <w:rPr>
          <w:rFonts w:hint="eastAsia" w:ascii="仿宋_GB2312" w:hAnsi="仿宋_GB2312" w:eastAsia="仿宋_GB2312" w:cs="Times New Roman"/>
          <w:spacing w:val="2"/>
          <w:kern w:val="0"/>
          <w:sz w:val="32"/>
          <w:szCs w:val="24"/>
          <w:lang w:val="en-US" w:eastAsia="zh-CN" w:bidi="ar-SA"/>
        </w:rPr>
        <w:t>》</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26359  《旅游客车设施与服务规范》</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31710  《休闲露营地建设与服务规范》</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GB/T 31380  《旅行社等级的划分与评定》</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LB/T 004  《旅行社国内旅游服务规范》</w:t>
      </w:r>
    </w:p>
    <w:p>
      <w:pPr>
        <w:pStyle w:val="12"/>
        <w:ind w:firstLine="420"/>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LB/T 008  《旅行社服务通则》</w:t>
      </w:r>
    </w:p>
    <w:p>
      <w:pPr>
        <w:pStyle w:val="12"/>
        <w:ind w:firstLine="420"/>
        <w:rPr>
          <w:rFonts w:hint="default"/>
          <w:spacing w:val="2"/>
          <w:lang w:val="en-US"/>
        </w:rPr>
      </w:pPr>
      <w:r>
        <w:rPr>
          <w:rFonts w:hint="eastAsia" w:ascii="仿宋_GB2312" w:hAnsi="仿宋_GB2312" w:eastAsia="仿宋_GB2312" w:cs="Times New Roman"/>
          <w:spacing w:val="2"/>
          <w:kern w:val="0"/>
          <w:sz w:val="32"/>
          <w:szCs w:val="24"/>
          <w:lang w:val="en-US" w:eastAsia="zh-CN" w:bidi="ar-SA"/>
        </w:rPr>
        <w:t>LB/T 054-2016  《研学旅行服务规范》。</w:t>
      </w:r>
    </w:p>
    <w:p>
      <w:pPr>
        <w:pStyle w:val="6"/>
        <w:keepNext w:val="0"/>
        <w:keepLines w:val="0"/>
        <w:pageBreakBefore w:val="0"/>
        <w:kinsoku w:val="0"/>
        <w:wordWrap/>
        <w:overflowPunct w:val="0"/>
        <w:topLinePunct/>
        <w:autoSpaceDE/>
        <w:autoSpaceDN/>
        <w:bidi w:val="0"/>
        <w:adjustRightInd/>
        <w:spacing w:line="560" w:lineRule="exact"/>
        <w:ind w:left="0" w:firstLine="648" w:firstLineChars="200"/>
        <w:textAlignment w:val="auto"/>
        <w:rPr>
          <w:rFonts w:hint="eastAsia"/>
          <w:spacing w:val="2"/>
        </w:rPr>
      </w:pPr>
      <w:r>
        <w:rPr>
          <w:rFonts w:hint="eastAsia"/>
          <w:spacing w:val="2"/>
        </w:rPr>
        <w:t>第</w:t>
      </w:r>
      <w:r>
        <w:rPr>
          <w:rFonts w:hint="eastAsia"/>
          <w:spacing w:val="2"/>
          <w:lang w:val="en-US" w:eastAsia="zh-CN"/>
        </w:rPr>
        <w:t>二</w:t>
      </w:r>
      <w:r>
        <w:rPr>
          <w:rFonts w:hint="eastAsia" w:ascii="仿宋_GB2312" w:hAnsi="仿宋_GB2312" w:eastAsia="仿宋_GB2312" w:cs="Times New Roman"/>
          <w:spacing w:val="2"/>
          <w:sz w:val="32"/>
        </w:rPr>
        <w:t>部分</w:t>
      </w:r>
      <w:r>
        <w:rPr>
          <w:rFonts w:hint="eastAsia"/>
          <w:spacing w:val="2"/>
        </w:rPr>
        <w:t>：术语和定义。</w:t>
      </w:r>
      <w:r>
        <w:rPr>
          <w:rFonts w:hint="eastAsia"/>
          <w:spacing w:val="2"/>
          <w:lang w:val="en-US" w:eastAsia="zh-CN"/>
        </w:rPr>
        <w:t>在参考了行业标准</w:t>
      </w:r>
      <w:r>
        <w:rPr>
          <w:rFonts w:hint="eastAsia" w:ascii="仿宋_GB2312" w:hAnsi="仿宋_GB2312" w:eastAsia="仿宋_GB2312" w:cs="Times New Roman"/>
          <w:spacing w:val="2"/>
          <w:kern w:val="0"/>
          <w:sz w:val="32"/>
          <w:szCs w:val="24"/>
          <w:lang w:val="en-US" w:eastAsia="zh-CN" w:bidi="ar-SA"/>
        </w:rPr>
        <w:t>LB/T 054-2016 《研学旅行服务规范》</w:t>
      </w:r>
      <w:r>
        <w:rPr>
          <w:rFonts w:hint="eastAsia" w:cs="Times New Roman"/>
          <w:spacing w:val="2"/>
          <w:kern w:val="0"/>
          <w:sz w:val="32"/>
          <w:szCs w:val="24"/>
          <w:lang w:val="en-US" w:eastAsia="zh-CN" w:bidi="ar-SA"/>
        </w:rPr>
        <w:t>的基础上</w:t>
      </w:r>
      <w:r>
        <w:rPr>
          <w:rFonts w:hint="eastAsia"/>
          <w:spacing w:val="2"/>
        </w:rPr>
        <w:t>对标准中的</w:t>
      </w:r>
      <w:r>
        <w:rPr>
          <w:rFonts w:hint="eastAsia"/>
          <w:spacing w:val="2"/>
          <w:lang w:val="en-US" w:eastAsia="zh-CN"/>
        </w:rPr>
        <w:t>研学旅行、主办方、承办机构、供应方</w:t>
      </w:r>
      <w:r>
        <w:rPr>
          <w:rFonts w:hint="eastAsia"/>
          <w:spacing w:val="2"/>
        </w:rPr>
        <w:t>进行</w:t>
      </w:r>
      <w:r>
        <w:rPr>
          <w:rFonts w:hint="eastAsia"/>
          <w:spacing w:val="2"/>
          <w:lang w:eastAsia="zh-CN"/>
        </w:rPr>
        <w:t>了</w:t>
      </w:r>
      <w:r>
        <w:rPr>
          <w:rFonts w:hint="eastAsia"/>
          <w:spacing w:val="2"/>
          <w:lang w:val="en-US" w:eastAsia="zh-CN"/>
        </w:rPr>
        <w:t>具体</w:t>
      </w:r>
      <w:r>
        <w:rPr>
          <w:rFonts w:hint="eastAsia"/>
          <w:spacing w:val="2"/>
        </w:rPr>
        <w:t>解释。</w:t>
      </w:r>
    </w:p>
    <w:p>
      <w:pPr>
        <w:pStyle w:val="6"/>
        <w:keepNext w:val="0"/>
        <w:keepLines w:val="0"/>
        <w:pageBreakBefore w:val="0"/>
        <w:kinsoku w:val="0"/>
        <w:wordWrap/>
        <w:overflowPunct w:val="0"/>
        <w:topLinePunct/>
        <w:autoSpaceDE/>
        <w:autoSpaceDN/>
        <w:bidi w:val="0"/>
        <w:adjustRightInd/>
        <w:spacing w:line="240" w:lineRule="auto"/>
        <w:ind w:left="0" w:firstLine="648" w:firstLineChars="200"/>
        <w:jc w:val="center"/>
        <w:textAlignment w:val="auto"/>
        <w:rPr>
          <w:rFonts w:hint="eastAsia" w:eastAsia="仿宋_GB2312"/>
          <w:spacing w:val="2"/>
          <w:lang w:eastAsia="zh-CN"/>
        </w:rPr>
      </w:pPr>
      <w:r>
        <w:rPr>
          <w:rFonts w:hint="eastAsia" w:eastAsia="仿宋_GB2312"/>
          <w:spacing w:val="2"/>
          <w:lang w:eastAsia="zh-CN"/>
        </w:rPr>
        <w:drawing>
          <wp:inline distT="0" distB="0" distL="114300" distR="114300">
            <wp:extent cx="4530725" cy="2480310"/>
            <wp:effectExtent l="9525" t="9525" r="16510" b="9525"/>
            <wp:docPr id="2" name="图片 2" descr="1696477963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96477963791"/>
                    <pic:cNvPicPr>
                      <a:picLocks noChangeAspect="1"/>
                    </pic:cNvPicPr>
                  </pic:nvPicPr>
                  <pic:blipFill>
                    <a:blip r:embed="rId4"/>
                    <a:stretch>
                      <a:fillRect/>
                    </a:stretch>
                  </pic:blipFill>
                  <pic:spPr>
                    <a:xfrm>
                      <a:off x="0" y="0"/>
                      <a:ext cx="4530725" cy="2480310"/>
                    </a:xfrm>
                    <a:prstGeom prst="rect">
                      <a:avLst/>
                    </a:prstGeom>
                    <a:ln>
                      <a:solidFill>
                        <a:schemeClr val="tx1"/>
                      </a:solidFill>
                    </a:ln>
                  </pic:spPr>
                </pic:pic>
              </a:graphicData>
            </a:graphic>
          </wp:inline>
        </w:drawing>
      </w:r>
    </w:p>
    <w:p>
      <w:pPr>
        <w:pStyle w:val="6"/>
        <w:keepNext w:val="0"/>
        <w:keepLines w:val="0"/>
        <w:pageBreakBefore w:val="0"/>
        <w:kinsoku w:val="0"/>
        <w:wordWrap/>
        <w:overflowPunct w:val="0"/>
        <w:topLinePunct/>
        <w:autoSpaceDE/>
        <w:autoSpaceDN/>
        <w:bidi w:val="0"/>
        <w:adjustRightInd/>
        <w:spacing w:line="560" w:lineRule="exact"/>
        <w:ind w:left="0" w:firstLine="428" w:firstLineChars="200"/>
        <w:jc w:val="center"/>
        <w:textAlignment w:val="auto"/>
        <w:rPr>
          <w:rFonts w:hint="eastAsia" w:ascii="黑体" w:hAnsi="黑体" w:eastAsia="黑体" w:cs="黑体"/>
          <w:spacing w:val="2"/>
        </w:rPr>
      </w:pPr>
      <w:r>
        <w:rPr>
          <w:rFonts w:hint="eastAsia" w:ascii="黑体" w:hAnsi="黑体" w:eastAsia="黑体" w:cs="黑体"/>
          <w:spacing w:val="2"/>
          <w:kern w:val="0"/>
          <w:sz w:val="21"/>
          <w:szCs w:val="21"/>
          <w:lang w:val="en-US" w:eastAsia="zh-CN" w:bidi="ar-SA"/>
        </w:rPr>
        <w:t>来源：中华人民共和国行业标准《研学旅行服务规范》</w:t>
      </w:r>
    </w:p>
    <w:p>
      <w:pPr>
        <w:keepNext w:val="0"/>
        <w:keepLines w:val="0"/>
        <w:pageBreakBefore w:val="0"/>
        <w:numPr>
          <w:ilvl w:val="0"/>
          <w:numId w:val="0"/>
        </w:numPr>
        <w:wordWrap/>
        <w:bidi w:val="0"/>
        <w:spacing w:before="156" w:beforeLines="50" w:after="156" w:afterLines="50"/>
        <w:ind w:leftChars="0" w:firstLine="648" w:firstLineChars="200"/>
        <w:textAlignment w:val="auto"/>
        <w:outlineLvl w:val="2"/>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第三部分：基本原则。研学旅行是旅游业的重要内容，</w:t>
      </w:r>
      <w:r>
        <w:rPr>
          <w:rFonts w:hint="eastAsia" w:ascii="仿宋_GB2312" w:hAnsi="仿宋_GB2312" w:eastAsia="仿宋_GB2312" w:cs="Times New Roman"/>
          <w:color w:val="FF0000"/>
          <w:spacing w:val="2"/>
          <w:kern w:val="0"/>
          <w:sz w:val="32"/>
          <w:szCs w:val="24"/>
          <w:lang w:val="en-US" w:eastAsia="zh-CN" w:bidi="ar-SA"/>
        </w:rPr>
        <w:t>《广西“十四五”文化和旅游发展规划的通知》（桂政办发〔2022〕1号）提出“要坚持新发展理念，引导文化和旅游绿色发展，努力实现更高质量、更有效率、更加公平、更可持续、更为安全的发展；弘扬社会主义核心价值观，强化教育引导、文化熏陶；不断提升文化和旅游特色化、品质化、国际化、智慧化水平，建设新时代中国特色社会主义壮美广西”，强调了在旅游业中安全、教育和特色发展的重要性。</w:t>
      </w:r>
      <w:r>
        <w:rPr>
          <w:rFonts w:hint="eastAsia" w:ascii="仿宋_GB2312" w:hAnsi="仿宋_GB2312" w:eastAsia="仿宋_GB2312" w:cs="Times New Roman"/>
          <w:spacing w:val="2"/>
          <w:kern w:val="0"/>
          <w:sz w:val="32"/>
          <w:szCs w:val="24"/>
          <w:lang w:val="en-US" w:eastAsia="zh-CN" w:bidi="ar-SA"/>
        </w:rPr>
        <w:t>依据《广西“十四五”文化和旅游发展规划的通知》，本文明确了要遵循安全性原则、教育性原则、特色性原则，研学旅行活动的承办方应遵循安全第一的原则，全程进行安全防控工作，确保活动安全进行；研学旅行活动应寓教于游，着力培养学生的综合素质能力；广西研学旅行活动应结合广西特色资源面向以中小学生为主体对象的各类人群，开发特色研学课程，讲述广西故事。</w:t>
      </w:r>
      <w:r>
        <w:rPr>
          <w:rFonts w:hint="eastAsia" w:ascii="仿宋_GB2312" w:hAnsi="仿宋_GB2312" w:eastAsia="仿宋_GB2312" w:cs="Times New Roman"/>
          <w:spacing w:val="2"/>
          <w:kern w:val="0"/>
          <w:sz w:val="32"/>
          <w:szCs w:val="24"/>
          <w:lang w:val="en-US" w:eastAsia="zh-CN" w:bidi="ar-SA"/>
        </w:rPr>
        <w:drawing>
          <wp:inline distT="0" distB="0" distL="114300" distR="114300">
            <wp:extent cx="5266690" cy="2192655"/>
            <wp:effectExtent l="9525" t="9525" r="19685" b="26670"/>
            <wp:docPr id="1" name="图片 1" descr="16974363890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697436389011(1)"/>
                    <pic:cNvPicPr>
                      <a:picLocks noChangeAspect="1"/>
                    </pic:cNvPicPr>
                  </pic:nvPicPr>
                  <pic:blipFill>
                    <a:blip r:embed="rId5"/>
                    <a:stretch>
                      <a:fillRect/>
                    </a:stretch>
                  </pic:blipFill>
                  <pic:spPr>
                    <a:xfrm>
                      <a:off x="0" y="0"/>
                      <a:ext cx="5266690" cy="2192655"/>
                    </a:xfrm>
                    <a:prstGeom prst="rect">
                      <a:avLst/>
                    </a:prstGeom>
                    <a:ln>
                      <a:solidFill>
                        <a:schemeClr val="tx1"/>
                      </a:solidFill>
                    </a:ln>
                  </pic:spPr>
                </pic:pic>
              </a:graphicData>
            </a:graphic>
          </wp:inline>
        </w:drawing>
      </w:r>
    </w:p>
    <w:p>
      <w:pPr>
        <w:keepNext w:val="0"/>
        <w:keepLines w:val="0"/>
        <w:pageBreakBefore w:val="0"/>
        <w:numPr>
          <w:ilvl w:val="0"/>
          <w:numId w:val="0"/>
        </w:numPr>
        <w:wordWrap/>
        <w:bidi w:val="0"/>
        <w:spacing w:before="156" w:beforeLines="50" w:after="156" w:afterLines="50"/>
        <w:ind w:leftChars="0" w:firstLine="568" w:firstLineChars="200"/>
        <w:textAlignment w:val="auto"/>
        <w:outlineLvl w:val="2"/>
        <w:rPr>
          <w:rFonts w:hint="default" w:ascii="仿宋_GB2312" w:hAnsi="仿宋_GB2312" w:eastAsia="仿宋_GB2312" w:cs="Times New Roman"/>
          <w:color w:val="FF0000"/>
          <w:spacing w:val="2"/>
          <w:kern w:val="0"/>
          <w:sz w:val="28"/>
          <w:szCs w:val="28"/>
          <w:lang w:val="en-US" w:eastAsia="zh-CN" w:bidi="ar-SA"/>
        </w:rPr>
      </w:pPr>
      <w:r>
        <w:rPr>
          <w:rFonts w:hint="eastAsia" w:ascii="仿宋_GB2312" w:hAnsi="仿宋_GB2312" w:eastAsia="仿宋_GB2312" w:cs="Times New Roman"/>
          <w:color w:val="FF0000"/>
          <w:spacing w:val="2"/>
          <w:kern w:val="0"/>
          <w:sz w:val="28"/>
          <w:szCs w:val="28"/>
          <w:lang w:val="en-US" w:eastAsia="zh-CN" w:bidi="ar-SA"/>
        </w:rPr>
        <w:t>来源：《广西“十四五”文化和旅游发展规划的通知》</w:t>
      </w:r>
    </w:p>
    <w:p>
      <w:pPr>
        <w:pStyle w:val="16"/>
        <w:keepNext w:val="0"/>
        <w:keepLines w:val="0"/>
        <w:pageBreakBefore w:val="0"/>
        <w:numPr>
          <w:ilvl w:val="1"/>
          <w:numId w:val="0"/>
        </w:numPr>
        <w:wordWrap/>
        <w:bidi w:val="0"/>
        <w:spacing w:before="240" w:after="240"/>
        <w:ind w:leftChars="0" w:firstLine="648" w:firstLineChars="200"/>
        <w:textAlignment w:val="auto"/>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第四</w:t>
      </w:r>
      <w:r>
        <w:rPr>
          <w:rFonts w:hint="eastAsia" w:ascii="仿宋_GB2312" w:hAnsi="宋体" w:eastAsia="仿宋_GB2312" w:cs="Times New Roman"/>
          <w:color w:val="000000" w:themeColor="text1"/>
          <w:sz w:val="32"/>
          <w:szCs w:val="28"/>
          <w:lang w:val="en-US" w:eastAsia="zh-CN"/>
          <w14:textFill>
            <w14:solidFill>
              <w14:schemeClr w14:val="tx1"/>
            </w14:solidFill>
          </w14:textFill>
        </w:rPr>
        <w:t>部分：</w:t>
      </w:r>
      <w:bookmarkStart w:id="0" w:name="_Toc146635457"/>
      <w:bookmarkStart w:id="1" w:name="_Toc146635339"/>
      <w:bookmarkStart w:id="2" w:name="_Toc146635436"/>
      <w:bookmarkStart w:id="3" w:name="_Toc146635639"/>
      <w:bookmarkStart w:id="4" w:name="_Toc146635668"/>
      <w:bookmarkStart w:id="5" w:name="_Toc146635743"/>
      <w:bookmarkStart w:id="6" w:name="_Toc146815031"/>
      <w:bookmarkStart w:id="7" w:name="_Toc146635363"/>
      <w:bookmarkStart w:id="8" w:name="_Toc146635504"/>
      <w:bookmarkStart w:id="9" w:name="_Toc146635585"/>
      <w:bookmarkStart w:id="10" w:name="_Toc146635480"/>
      <w:bookmarkStart w:id="11" w:name="_Toc146635318"/>
      <w:bookmarkStart w:id="12" w:name="_Toc146635297"/>
      <w:bookmarkStart w:id="13" w:name="_Toc146635264"/>
      <w:r>
        <w:rPr>
          <w:rFonts w:hint="eastAsia" w:ascii="仿宋_GB2312" w:hAnsi="宋体" w:eastAsia="仿宋_GB2312" w:cs="Times New Roman"/>
          <w:color w:val="000000" w:themeColor="text1"/>
          <w:sz w:val="32"/>
          <w:szCs w:val="28"/>
          <w:lang w:val="en-US" w:eastAsia="zh-CN"/>
          <w14:textFill>
            <w14:solidFill>
              <w14:schemeClr w14:val="tx1"/>
            </w14:solidFill>
          </w14:textFill>
        </w:rPr>
        <w:t>承办机构基本要求</w:t>
      </w:r>
      <w:bookmarkEnd w:id="0"/>
      <w:bookmarkEnd w:id="1"/>
      <w:bookmarkEnd w:id="2"/>
      <w:bookmarkEnd w:id="3"/>
      <w:bookmarkEnd w:id="4"/>
      <w:bookmarkEnd w:id="5"/>
      <w:bookmarkEnd w:id="6"/>
      <w:bookmarkEnd w:id="7"/>
      <w:bookmarkEnd w:id="8"/>
      <w:bookmarkEnd w:id="9"/>
      <w:bookmarkEnd w:id="10"/>
      <w:bookmarkEnd w:id="11"/>
      <w:bookmarkEnd w:id="12"/>
      <w:bookmarkEnd w:id="13"/>
      <w:r>
        <w:rPr>
          <w:rFonts w:hint="eastAsia" w:ascii="仿宋_GB2312" w:hAnsi="宋体" w:eastAsia="仿宋_GB2312" w:cs="Times New Roman"/>
          <w:color w:val="000000" w:themeColor="text1"/>
          <w:sz w:val="32"/>
          <w:szCs w:val="28"/>
          <w:lang w:val="en-US" w:eastAsia="zh-CN"/>
          <w14:textFill>
            <w14:solidFill>
              <w14:schemeClr w14:val="tx1"/>
            </w14:solidFill>
          </w14:textFill>
        </w:rPr>
        <w:t>。通过</w:t>
      </w:r>
      <w:r>
        <w:rPr>
          <w:rFonts w:hint="eastAsia" w:ascii="仿宋_GB2312" w:hAnsi="仿宋_GB2312" w:eastAsia="仿宋_GB2312" w:cs="Times New Roman"/>
          <w:spacing w:val="2"/>
          <w:kern w:val="0"/>
          <w:sz w:val="32"/>
          <w:szCs w:val="24"/>
          <w:lang w:val="en-US" w:eastAsia="zh-CN" w:bidi="ar-SA"/>
        </w:rPr>
        <w:t>深入</w:t>
      </w:r>
      <w:r>
        <w:rPr>
          <w:rFonts w:hint="eastAsia" w:ascii="仿宋_GB2312" w:hAnsi="宋体" w:eastAsia="仿宋_GB2312"/>
          <w:color w:val="auto"/>
          <w:sz w:val="32"/>
          <w:szCs w:val="28"/>
          <w:lang w:val="zh-CN" w:eastAsia="zh-CN"/>
        </w:rPr>
        <w:t>、桂平市金田起义博物馆、黄姚乐耘庄园基地、</w:t>
      </w:r>
      <w:r>
        <w:rPr>
          <w:rFonts w:hint="eastAsia" w:ascii="仿宋_GB2312" w:hAnsi="宋体" w:eastAsia="仿宋_GB2312"/>
          <w:color w:val="000000" w:themeColor="text1"/>
          <w:sz w:val="32"/>
          <w:szCs w:val="28"/>
          <w:lang w:val="en-US" w:eastAsia="zh-CN"/>
          <w14:textFill>
            <w14:solidFill>
              <w14:schemeClr w14:val="tx1"/>
            </w14:solidFill>
          </w14:textFill>
        </w:rPr>
        <w:t>桂林市靖江王陵文物管理处研学实践教育基地、桂海清岚研学实践教育基地、桂林市观赏石协会地质科普研学实践教育基地等地，对研学旅行承办机构进行实地调研，结合实际讨论确定。明确了</w:t>
      </w:r>
      <w:r>
        <w:rPr>
          <w:rFonts w:hint="eastAsia" w:ascii="仿宋_GB2312" w:hAnsi="仿宋_GB2312" w:eastAsia="仿宋_GB2312" w:cs="Times New Roman"/>
          <w:spacing w:val="2"/>
          <w:kern w:val="0"/>
          <w:sz w:val="32"/>
          <w:szCs w:val="24"/>
          <w:lang w:val="en-US" w:eastAsia="zh-CN" w:bidi="ar-SA"/>
        </w:rPr>
        <w:t>研学旅行承办机构应具有相关的资质、人员配置和管理三个基本要求。</w:t>
      </w:r>
    </w:p>
    <w:p>
      <w:pPr>
        <w:pStyle w:val="16"/>
        <w:keepNext w:val="0"/>
        <w:keepLines w:val="0"/>
        <w:pageBreakBefore w:val="0"/>
        <w:numPr>
          <w:ilvl w:val="1"/>
          <w:numId w:val="0"/>
        </w:numPr>
        <w:wordWrap/>
        <w:bidi w:val="0"/>
        <w:spacing w:before="240" w:after="240"/>
        <w:ind w:leftChars="0" w:firstLine="640" w:firstLineChars="200"/>
        <w:textAlignment w:val="auto"/>
        <w:rPr>
          <w:rFonts w:hint="eastAsia" w:ascii="仿宋_GB2312" w:hAnsi="仿宋_GB2312" w:eastAsia="仿宋_GB2312" w:cs="Times New Roman"/>
          <w:spacing w:val="2"/>
          <w:kern w:val="0"/>
          <w:sz w:val="32"/>
          <w:szCs w:val="24"/>
          <w:lang w:val="en-US" w:eastAsia="zh-CN" w:bidi="ar-SA"/>
        </w:rPr>
      </w:pPr>
      <w:r>
        <w:rPr>
          <w:rFonts w:hint="eastAsia" w:ascii="仿宋_GB2312" w:hAnsi="宋体" w:eastAsia="仿宋_GB2312"/>
          <w:color w:val="FF0000"/>
          <w:sz w:val="32"/>
          <w:szCs w:val="28"/>
          <w:lang w:val="en-US" w:eastAsia="zh-CN"/>
        </w:rPr>
        <w:t>在资质方面，深入</w:t>
      </w:r>
      <w:r>
        <w:rPr>
          <w:rFonts w:hint="eastAsia" w:ascii="仿宋_GB2312" w:hAnsi="宋体" w:eastAsia="仿宋_GB2312"/>
          <w:color w:val="FF0000"/>
          <w:sz w:val="32"/>
          <w:szCs w:val="28"/>
          <w:lang w:val="zh-CN" w:eastAsia="zh-CN"/>
        </w:rPr>
        <w:t>桂平市金田起义博物馆、黄姚乐耘庄园基地、</w:t>
      </w:r>
      <w:r>
        <w:rPr>
          <w:rFonts w:hint="eastAsia" w:ascii="仿宋_GB2312" w:hAnsi="宋体" w:eastAsia="仿宋_GB2312"/>
          <w:color w:val="FF0000"/>
          <w:sz w:val="32"/>
          <w:szCs w:val="28"/>
          <w:lang w:val="en-US" w:eastAsia="zh-CN"/>
        </w:rPr>
        <w:t>桂林市靖江王陵文物管理处研学实践教育基地等地，对研学旅行承办机构进行实地调研发现，研学旅行承办机构均具为</w:t>
      </w:r>
      <w:r>
        <w:rPr>
          <w:rFonts w:hint="eastAsia" w:ascii="仿宋_GB2312" w:hAnsi="仿宋_GB2312" w:eastAsia="仿宋_GB2312" w:cs="Times New Roman"/>
          <w:color w:val="FF0000"/>
          <w:spacing w:val="2"/>
          <w:kern w:val="0"/>
          <w:sz w:val="32"/>
          <w:szCs w:val="24"/>
          <w:lang w:val="en-US" w:eastAsia="zh-CN" w:bidi="ar-SA"/>
        </w:rPr>
        <w:t>依法注册的旅行社，并且有固定的经营和办公场所，研学场所面积超过200平方米，且无重大质量投诉、经济纠纷及重大安全责任事故等。</w:t>
      </w:r>
      <w:r>
        <w:rPr>
          <w:rFonts w:hint="eastAsia" w:ascii="仿宋_GB2312" w:hAnsi="仿宋_GB2312" w:eastAsia="仿宋_GB2312" w:cs="Times New Roman"/>
          <w:spacing w:val="2"/>
          <w:kern w:val="0"/>
          <w:sz w:val="32"/>
          <w:szCs w:val="24"/>
          <w:lang w:val="en-US" w:eastAsia="zh-CN" w:bidi="ar-SA"/>
        </w:rPr>
        <w:t>承办机构与研学旅行参与者供应方签订旅游服务合同，按照合同约定履行义务。</w:t>
      </w:r>
      <w:r>
        <w:rPr>
          <w:rFonts w:hint="eastAsia" w:ascii="仿宋_GB2312" w:hAnsi="宋体" w:eastAsia="仿宋_GB2312"/>
          <w:color w:val="000000" w:themeColor="text1"/>
          <w:sz w:val="32"/>
          <w:szCs w:val="28"/>
          <w:lang w:val="en-US" w:eastAsia="zh-CN"/>
          <w14:textFill>
            <w14:solidFill>
              <w14:schemeClr w14:val="tx1"/>
            </w14:solidFill>
          </w14:textFill>
        </w:rPr>
        <w:t>本文件规定了研学旅行承办机构</w:t>
      </w:r>
      <w:r>
        <w:rPr>
          <w:rFonts w:hint="eastAsia" w:ascii="仿宋_GB2312" w:hAnsi="仿宋_GB2312" w:eastAsia="仿宋_GB2312" w:cs="Times New Roman"/>
          <w:spacing w:val="2"/>
          <w:kern w:val="0"/>
          <w:sz w:val="32"/>
          <w:szCs w:val="24"/>
          <w:lang w:val="en-US" w:eastAsia="zh-CN" w:bidi="ar-SA"/>
        </w:rPr>
        <w:t>应为依法注册的旅行社，有固定的经营和办公场所，经营场所不宜少于200平方米；符合 LB/T 004 和 LB/T 008 的要求，宜具有 AA 及以上等级，并符合 GB/T 31380 的要求；连续三年内无重大质量投诉、不良诚信记录、经济纠纷及重大安全责任事故；应与供应方签订旅游服务合同，按照合同约定履行义务。</w:t>
      </w:r>
    </w:p>
    <w:p>
      <w:pPr>
        <w:pStyle w:val="16"/>
        <w:keepNext w:val="0"/>
        <w:keepLines w:val="0"/>
        <w:pageBreakBefore w:val="0"/>
        <w:numPr>
          <w:ilvl w:val="1"/>
          <w:numId w:val="0"/>
        </w:numPr>
        <w:wordWrap/>
        <w:bidi w:val="0"/>
        <w:spacing w:before="240" w:after="240"/>
        <w:ind w:firstLine="648" w:firstLineChars="200"/>
        <w:textAlignment w:val="auto"/>
        <w:rPr>
          <w:rFonts w:hint="default"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color w:val="FF0000"/>
          <w:spacing w:val="2"/>
          <w:kern w:val="0"/>
          <w:sz w:val="32"/>
          <w:szCs w:val="24"/>
          <w:highlight w:val="none"/>
          <w:lang w:val="en-US" w:eastAsia="zh-CN" w:bidi="ar-SA"/>
        </w:rPr>
        <w:t>人员配置方面，本次调研的</w:t>
      </w:r>
      <w:r>
        <w:rPr>
          <w:rFonts w:hint="eastAsia" w:ascii="仿宋_GB2312" w:hAnsi="宋体" w:eastAsia="仿宋_GB2312"/>
          <w:color w:val="FF0000"/>
          <w:sz w:val="32"/>
          <w:szCs w:val="28"/>
          <w:lang w:val="en-US" w:eastAsia="zh-CN"/>
        </w:rPr>
        <w:t>桂林市靖江王陵文物管理处研学实践教育基地、桂海清岚研学实践教育基地、桂林市观赏石协会地质科普研学实践教育基地等的承办机构，均有专业的管理团队与专业的工作人员，包括研学旅行指导师、导游、安全员等；且均有承担300-500人的大型研学活动的经验</w:t>
      </w:r>
      <w:r>
        <w:rPr>
          <w:rFonts w:hint="eastAsia" w:ascii="仿宋_GB2312" w:hAnsi="仿宋_GB2312" w:eastAsia="仿宋_GB2312" w:cs="Times New Roman"/>
          <w:spacing w:val="2"/>
          <w:kern w:val="0"/>
          <w:sz w:val="32"/>
          <w:szCs w:val="24"/>
          <w:lang w:val="en-US" w:eastAsia="zh-CN" w:bidi="ar-SA"/>
        </w:rPr>
        <w:t>。</w:t>
      </w:r>
      <w:r>
        <w:rPr>
          <w:rFonts w:hint="eastAsia" w:ascii="仿宋_GB2312" w:hAnsi="仿宋_GB2312" w:eastAsia="仿宋_GB2312" w:cs="Times New Roman"/>
          <w:spacing w:val="2"/>
          <w:kern w:val="0"/>
          <w:sz w:val="32"/>
          <w:szCs w:val="24"/>
          <w:highlight w:val="none"/>
          <w:lang w:val="en-US" w:eastAsia="zh-CN" w:bidi="ar-SA"/>
        </w:rPr>
        <w:t>根据调研讨论，明确了</w:t>
      </w:r>
      <w:r>
        <w:rPr>
          <w:rFonts w:hint="default" w:ascii="仿宋_GB2312" w:hAnsi="仿宋_GB2312" w:eastAsia="仿宋_GB2312" w:cs="Times New Roman"/>
          <w:spacing w:val="2"/>
          <w:kern w:val="0"/>
          <w:sz w:val="32"/>
          <w:szCs w:val="24"/>
          <w:highlight w:val="none"/>
          <w:lang w:val="en-US" w:eastAsia="zh-CN" w:bidi="ar-SA"/>
        </w:rPr>
        <w:t>应</w:t>
      </w:r>
      <w:r>
        <w:rPr>
          <w:rFonts w:hint="default" w:ascii="仿宋_GB2312" w:hAnsi="仿宋_GB2312" w:eastAsia="仿宋_GB2312" w:cs="Times New Roman"/>
          <w:spacing w:val="2"/>
          <w:kern w:val="0"/>
          <w:sz w:val="32"/>
          <w:szCs w:val="24"/>
          <w:lang w:val="en-US" w:eastAsia="zh-CN" w:bidi="ar-SA"/>
        </w:rPr>
        <w:t>设立研学旅行的部门，配置有</w:t>
      </w:r>
      <w:r>
        <w:rPr>
          <w:rFonts w:hint="eastAsia" w:ascii="仿宋_GB2312" w:hAnsi="仿宋_GB2312" w:eastAsia="仿宋_GB2312" w:cs="Times New Roman"/>
          <w:spacing w:val="2"/>
          <w:kern w:val="0"/>
          <w:sz w:val="32"/>
          <w:szCs w:val="24"/>
          <w:lang w:val="en-US" w:eastAsia="zh-CN" w:bidi="ar-SA"/>
        </w:rPr>
        <w:t>包括</w:t>
      </w:r>
      <w:r>
        <w:rPr>
          <w:rFonts w:hint="default" w:ascii="仿宋_GB2312" w:hAnsi="仿宋_GB2312" w:eastAsia="仿宋_GB2312" w:cs="Times New Roman"/>
          <w:spacing w:val="2"/>
          <w:kern w:val="0"/>
          <w:sz w:val="32"/>
          <w:szCs w:val="24"/>
          <w:lang w:val="en-US" w:eastAsia="zh-CN" w:bidi="ar-SA"/>
        </w:rPr>
        <w:t>项目管理组长、安全员、研学</w:t>
      </w:r>
      <w:r>
        <w:rPr>
          <w:rFonts w:hint="eastAsia" w:ascii="仿宋_GB2312" w:hAnsi="仿宋_GB2312" w:eastAsia="仿宋_GB2312" w:cs="Times New Roman"/>
          <w:spacing w:val="2"/>
          <w:kern w:val="0"/>
          <w:sz w:val="32"/>
          <w:szCs w:val="24"/>
          <w:lang w:val="en-US" w:eastAsia="zh-CN" w:bidi="ar-SA"/>
        </w:rPr>
        <w:t>旅行</w:t>
      </w:r>
      <w:r>
        <w:rPr>
          <w:rFonts w:hint="default" w:ascii="仿宋_GB2312" w:hAnsi="仿宋_GB2312" w:eastAsia="仿宋_GB2312" w:cs="Times New Roman"/>
          <w:spacing w:val="2"/>
          <w:kern w:val="0"/>
          <w:sz w:val="32"/>
          <w:szCs w:val="24"/>
          <w:lang w:val="en-US" w:eastAsia="zh-CN" w:bidi="ar-SA"/>
        </w:rPr>
        <w:t>指导师</w:t>
      </w:r>
      <w:r>
        <w:rPr>
          <w:rFonts w:hint="eastAsia" w:ascii="仿宋_GB2312" w:hAnsi="仿宋_GB2312" w:eastAsia="仿宋_GB2312" w:cs="Times New Roman"/>
          <w:spacing w:val="2"/>
          <w:kern w:val="0"/>
          <w:sz w:val="32"/>
          <w:szCs w:val="24"/>
          <w:lang w:val="en-US" w:eastAsia="zh-CN" w:bidi="ar-SA"/>
        </w:rPr>
        <w:t>、</w:t>
      </w:r>
      <w:r>
        <w:rPr>
          <w:rFonts w:hint="default" w:ascii="仿宋_GB2312" w:hAnsi="仿宋_GB2312" w:eastAsia="仿宋_GB2312" w:cs="Times New Roman"/>
          <w:spacing w:val="2"/>
          <w:kern w:val="0"/>
          <w:sz w:val="32"/>
          <w:szCs w:val="24"/>
          <w:lang w:val="en-US" w:eastAsia="zh-CN" w:bidi="ar-SA"/>
        </w:rPr>
        <w:t>导游</w:t>
      </w:r>
      <w:r>
        <w:rPr>
          <w:rFonts w:hint="eastAsia" w:ascii="仿宋_GB2312" w:hAnsi="仿宋_GB2312" w:eastAsia="仿宋_GB2312" w:cs="Times New Roman"/>
          <w:spacing w:val="2"/>
          <w:kern w:val="0"/>
          <w:sz w:val="32"/>
          <w:szCs w:val="24"/>
          <w:lang w:val="en-US" w:eastAsia="zh-CN" w:bidi="ar-SA"/>
        </w:rPr>
        <w:t>员</w:t>
      </w:r>
      <w:r>
        <w:rPr>
          <w:rFonts w:hint="default" w:ascii="仿宋_GB2312" w:hAnsi="仿宋_GB2312" w:eastAsia="仿宋_GB2312" w:cs="Times New Roman"/>
          <w:spacing w:val="2"/>
          <w:kern w:val="0"/>
          <w:sz w:val="32"/>
          <w:szCs w:val="24"/>
          <w:lang w:val="en-US" w:eastAsia="zh-CN" w:bidi="ar-SA"/>
        </w:rPr>
        <w:t>等人员</w:t>
      </w:r>
      <w:r>
        <w:rPr>
          <w:rFonts w:hint="eastAsia" w:ascii="仿宋_GB2312" w:hAnsi="仿宋_GB2312" w:eastAsia="仿宋_GB2312" w:cs="Times New Roman"/>
          <w:spacing w:val="2"/>
          <w:kern w:val="0"/>
          <w:sz w:val="32"/>
          <w:szCs w:val="24"/>
          <w:lang w:val="en-US" w:eastAsia="zh-CN" w:bidi="ar-SA"/>
        </w:rPr>
        <w:t>在内的相关管理团队，每个研学旅行团队要配置完整的项目管理团队;</w:t>
      </w:r>
      <w:r>
        <w:rPr>
          <w:rFonts w:hint="default" w:ascii="仿宋_GB2312" w:hAnsi="仿宋_GB2312" w:eastAsia="仿宋_GB2312" w:cs="Times New Roman"/>
          <w:spacing w:val="2"/>
          <w:kern w:val="0"/>
          <w:sz w:val="32"/>
          <w:szCs w:val="24"/>
          <w:lang w:val="en-US" w:eastAsia="zh-CN" w:bidi="ar-SA"/>
        </w:rPr>
        <w:t>宜有承接</w:t>
      </w:r>
      <w:r>
        <w:rPr>
          <w:rFonts w:hint="eastAsia" w:ascii="仿宋_GB2312" w:hAnsi="仿宋_GB2312" w:eastAsia="仿宋_GB2312" w:cs="Times New Roman"/>
          <w:spacing w:val="2"/>
          <w:kern w:val="0"/>
          <w:sz w:val="32"/>
          <w:szCs w:val="24"/>
          <w:lang w:val="en-US" w:eastAsia="zh-CN" w:bidi="ar-SA"/>
        </w:rPr>
        <w:t>3</w:t>
      </w:r>
      <w:r>
        <w:rPr>
          <w:rFonts w:hint="default" w:ascii="仿宋_GB2312" w:hAnsi="仿宋_GB2312" w:eastAsia="仿宋_GB2312" w:cs="Times New Roman"/>
          <w:spacing w:val="2"/>
          <w:kern w:val="0"/>
          <w:sz w:val="32"/>
          <w:szCs w:val="24"/>
          <w:lang w:val="en-US" w:eastAsia="zh-CN" w:bidi="ar-SA"/>
        </w:rPr>
        <w:t>00人以上中小学生旅游团队的经验。</w:t>
      </w:r>
    </w:p>
    <w:p>
      <w:pPr>
        <w:pStyle w:val="16"/>
        <w:keepNext w:val="0"/>
        <w:keepLines w:val="0"/>
        <w:pageBreakBefore w:val="0"/>
        <w:numPr>
          <w:ilvl w:val="1"/>
          <w:numId w:val="0"/>
        </w:numPr>
        <w:wordWrap/>
        <w:bidi w:val="0"/>
        <w:spacing w:before="240" w:after="240"/>
        <w:ind w:leftChars="0" w:firstLine="648" w:firstLineChars="200"/>
        <w:textAlignment w:val="auto"/>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管理方面，</w:t>
      </w:r>
      <w:r>
        <w:rPr>
          <w:rFonts w:hint="eastAsia" w:ascii="仿宋_GB2312" w:hAnsi="仿宋_GB2312" w:eastAsia="仿宋_GB2312" w:cs="Times New Roman"/>
          <w:color w:val="FF0000"/>
          <w:spacing w:val="2"/>
          <w:kern w:val="0"/>
          <w:sz w:val="32"/>
          <w:szCs w:val="24"/>
          <w:lang w:val="en-US" w:eastAsia="zh-CN" w:bidi="ar-SA"/>
        </w:rPr>
        <w:t>研学旅行制度体系在研学产业发展中至关重要，参照成功案例——防城港市围绕安全生产、旅游秩序、服务质量、环境卫生、监督管理等工作多措并举打造了“走海岸，巡边关，共护壮美山河”研学旅行、京族非遗——踩高跷教学体验等系列文旅活动，吸引了大量的游客，2020年上半年接待游客1467万人次，同比增长14.78%；在此基础上本文</w:t>
      </w:r>
      <w:r>
        <w:rPr>
          <w:rFonts w:hint="eastAsia" w:ascii="仿宋_GB2312" w:hAnsi="仿宋_GB2312" w:eastAsia="仿宋_GB2312" w:cs="Times New Roman"/>
          <w:spacing w:val="2"/>
          <w:kern w:val="0"/>
          <w:sz w:val="32"/>
          <w:szCs w:val="24"/>
          <w:lang w:val="en-US" w:eastAsia="zh-CN" w:bidi="ar-SA"/>
        </w:rPr>
        <w:t>明确了应建立研学旅行管理制度体系，包括人员考核制度、监督措施、奖惩机制等。</w:t>
      </w:r>
      <w:r>
        <w:rPr>
          <w:rFonts w:hint="eastAsia" w:ascii="仿宋_GB2312" w:hAnsi="仿宋_GB2312" w:eastAsia="仿宋_GB2312" w:cs="Times New Roman"/>
          <w:color w:val="FF0000"/>
          <w:spacing w:val="2"/>
          <w:kern w:val="0"/>
          <w:sz w:val="32"/>
          <w:szCs w:val="24"/>
          <w:lang w:val="en-US" w:eastAsia="zh-CN" w:bidi="ar-SA"/>
        </w:rPr>
        <w:t>依据自治区教育厅开展2023年中小学生研学实践教育精品课程（线路）评选工作中，提出要突出广西地域特色，坚持教育性、实践性、安全性、公益性原则，将遴选一批主题健康向上、特色优势突出、课程体系完善、育人效果明显的研学实践教育精品课程，形成具有八桂风格、适用不同学段和不同主题的研学实践教育精品课程；</w:t>
      </w:r>
      <w:r>
        <w:rPr>
          <w:rFonts w:hint="eastAsia" w:ascii="仿宋_GB2312" w:hAnsi="仿宋_GB2312" w:eastAsia="仿宋_GB2312" w:cs="Times New Roman"/>
          <w:spacing w:val="2"/>
          <w:kern w:val="0"/>
          <w:sz w:val="32"/>
          <w:szCs w:val="24"/>
          <w:lang w:val="en-US" w:eastAsia="zh-CN" w:bidi="ar-SA"/>
        </w:rPr>
        <w:t>规定了应建立</w:t>
      </w:r>
      <w:r>
        <w:rPr>
          <w:rFonts w:hint="default" w:ascii="仿宋_GB2312" w:hAnsi="仿宋_GB2312" w:eastAsia="仿宋_GB2312" w:cs="Times New Roman"/>
          <w:spacing w:val="2"/>
          <w:kern w:val="0"/>
          <w:sz w:val="32"/>
          <w:szCs w:val="24"/>
          <w:lang w:val="en-US" w:eastAsia="zh-CN" w:bidi="ar-SA"/>
        </w:rPr>
        <w:t>研学旅行课程管理制度，包括课程标准、价格体系</w:t>
      </w:r>
      <w:r>
        <w:rPr>
          <w:rFonts w:hint="eastAsia" w:ascii="仿宋_GB2312" w:hAnsi="仿宋_GB2312" w:eastAsia="仿宋_GB2312" w:cs="Times New Roman"/>
          <w:spacing w:val="2"/>
          <w:kern w:val="0"/>
          <w:sz w:val="32"/>
          <w:szCs w:val="24"/>
          <w:lang w:val="en-US" w:eastAsia="zh-CN" w:bidi="ar-SA"/>
        </w:rPr>
        <w:t>等，</w:t>
      </w:r>
      <w:r>
        <w:rPr>
          <w:rFonts w:hint="default" w:ascii="仿宋_GB2312" w:hAnsi="仿宋_GB2312" w:eastAsia="仿宋_GB2312" w:cs="Times New Roman"/>
          <w:spacing w:val="2"/>
          <w:kern w:val="0"/>
          <w:sz w:val="32"/>
          <w:szCs w:val="24"/>
          <w:lang w:val="en-US" w:eastAsia="zh-CN" w:bidi="ar-SA"/>
        </w:rPr>
        <w:t>对研学旅行课程实行规范管理、全面监督和持续改进</w:t>
      </w:r>
      <w:r>
        <w:rPr>
          <w:rFonts w:hint="eastAsia" w:ascii="仿宋_GB2312" w:hAnsi="仿宋_GB2312" w:eastAsia="仿宋_GB2312" w:cs="Times New Roman"/>
          <w:spacing w:val="2"/>
          <w:kern w:val="0"/>
          <w:sz w:val="32"/>
          <w:szCs w:val="24"/>
          <w:lang w:val="en-US" w:eastAsia="zh-CN" w:bidi="ar-SA"/>
        </w:rPr>
        <w:t>。广西有12个世居民族，民族文化多元，非物质文化遗产丰富多彩，目前有自治区级非遗项目共914项，省级项目数量位居全国前列；依据习近平总书记视察广西“4•27”重要讲话精神和对广西工作系列重要指示要求，“挖掘文化产业、旅游业等特色优势产业发展潜力，加快广西文化和旅游高质量发展”，并结合广西民族文化的具体情况；本文件规定了广西研学旅行</w:t>
      </w:r>
      <w:r>
        <w:rPr>
          <w:rFonts w:hint="default" w:ascii="仿宋_GB2312" w:hAnsi="仿宋_GB2312" w:eastAsia="仿宋_GB2312" w:cs="Times New Roman"/>
          <w:spacing w:val="2"/>
          <w:kern w:val="0"/>
          <w:sz w:val="32"/>
          <w:szCs w:val="24"/>
          <w:lang w:val="en-US" w:eastAsia="zh-CN" w:bidi="ar-SA"/>
        </w:rPr>
        <w:t>承办机构应有自主开发或联合基地、学校研发研学旅行课程的能力</w:t>
      </w:r>
      <w:r>
        <w:rPr>
          <w:rFonts w:hint="eastAsia" w:ascii="仿宋_GB2312" w:hAnsi="仿宋_GB2312" w:eastAsia="仿宋_GB2312" w:cs="Times New Roman"/>
          <w:spacing w:val="2"/>
          <w:kern w:val="0"/>
          <w:sz w:val="32"/>
          <w:szCs w:val="24"/>
          <w:lang w:val="en-US" w:eastAsia="zh-CN" w:bidi="ar-SA"/>
        </w:rPr>
        <w:t>，宜结合广西红色文化、民族文化、边海文化、非物质文化遗产等特色资源研发研学旅行课程，讲述广西故事，传播广西声音</w:t>
      </w:r>
      <w:r>
        <w:rPr>
          <w:rFonts w:hint="default" w:ascii="仿宋_GB2312" w:hAnsi="仿宋_GB2312" w:eastAsia="仿宋_GB2312" w:cs="Times New Roman"/>
          <w:spacing w:val="2"/>
          <w:kern w:val="0"/>
          <w:sz w:val="32"/>
          <w:szCs w:val="24"/>
          <w:lang w:val="en-US" w:eastAsia="zh-CN" w:bidi="ar-SA"/>
        </w:rPr>
        <w:t>。</w:t>
      </w:r>
    </w:p>
    <w:p>
      <w:pPr>
        <w:keepNext w:val="0"/>
        <w:keepLines w:val="0"/>
        <w:pageBreakBefore w:val="0"/>
        <w:numPr>
          <w:ilvl w:val="0"/>
          <w:numId w:val="0"/>
        </w:numPr>
        <w:wordWrap/>
        <w:bidi w:val="0"/>
        <w:spacing w:before="156" w:beforeLines="50" w:after="156" w:afterLines="50"/>
        <w:ind w:firstLine="648" w:firstLineChars="200"/>
        <w:textAlignment w:val="auto"/>
        <w:outlineLvl w:val="2"/>
        <w:rPr>
          <w:rFonts w:hint="default"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第五部分：承办机构服务规范。明确了包含产品供应、教育服务、交通服务、住宿服务、餐饮服务、讲解服务、医疗及救助服务等内容。</w:t>
      </w:r>
    </w:p>
    <w:p>
      <w:pPr>
        <w:keepNext w:val="0"/>
        <w:keepLines w:val="0"/>
        <w:pageBreakBefore w:val="0"/>
        <w:numPr>
          <w:ilvl w:val="0"/>
          <w:numId w:val="0"/>
        </w:numPr>
        <w:wordWrap/>
        <w:bidi w:val="0"/>
        <w:spacing w:before="156" w:beforeLines="50" w:after="156" w:afterLines="50"/>
        <w:ind w:firstLine="648" w:firstLineChars="200"/>
        <w:textAlignment w:val="auto"/>
        <w:outlineLvl w:val="2"/>
        <w:rPr>
          <w:rFonts w:hint="eastAsia" w:ascii="仿宋_GB2312" w:hAnsi="仿宋_GB2312" w:eastAsia="仿宋_GB2312" w:cs="Times New Roman"/>
          <w:b w:val="0"/>
          <w:bCs w:val="0"/>
          <w:spacing w:val="2"/>
          <w:kern w:val="0"/>
          <w:sz w:val="32"/>
          <w:szCs w:val="24"/>
          <w:lang w:val="en-US" w:eastAsia="zh-CN" w:bidi="ar-SA"/>
        </w:rPr>
      </w:pPr>
      <w:r>
        <w:rPr>
          <w:rFonts w:hint="eastAsia" w:ascii="仿宋_GB2312" w:hAnsi="仿宋_GB2312" w:eastAsia="仿宋_GB2312" w:cs="Times New Roman"/>
          <w:b w:val="0"/>
          <w:bCs w:val="0"/>
          <w:spacing w:val="2"/>
          <w:kern w:val="0"/>
          <w:sz w:val="32"/>
          <w:szCs w:val="24"/>
          <w:lang w:val="en-US" w:eastAsia="zh-CN" w:bidi="ar-SA"/>
        </w:rPr>
        <w:t>产品供应方面</w:t>
      </w:r>
      <w:bookmarkStart w:id="14" w:name="_Toc146635379"/>
      <w:r>
        <w:rPr>
          <w:rFonts w:hint="eastAsia" w:ascii="仿宋_GB2312" w:hAnsi="仿宋_GB2312" w:eastAsia="仿宋_GB2312" w:cs="Times New Roman"/>
          <w:b w:val="0"/>
          <w:bCs w:val="0"/>
          <w:spacing w:val="2"/>
          <w:kern w:val="0"/>
          <w:sz w:val="32"/>
          <w:szCs w:val="24"/>
          <w:lang w:val="en-US" w:eastAsia="zh-CN" w:bidi="ar-SA"/>
        </w:rPr>
        <w:t>，《教育部等11部门关于推进中小学生研学旅行的意见》中根据小学、初中、高中不同学段的研学旅行目标，有针对性地开发自然类、历史类、地理类、科技类、人文类、体验类等多种类型的活动课程；2023年广西推出的南宁市中国—东盟文化研学旅行线路、生物科普研学旅行线路，柳州市工业智造研学旅行线路、侗苗风情研学旅行线路，桂林市人文风物研学旅行线路、地质科考研学旅行线路、水利文化研学旅行线路，梧州岭南风情研学旅行线路，北海赶潮看海研学旅行线路，防城港海洋运动研学旅行线路，钦州滨海红土研学旅行线路，贵港非遗科普研学旅行线路，玉林人文风物研学旅行线路，游中越边境·探百色之美研学旅行路线，贺州生态人文研学旅行线路，河池红色文化研学旅行线路，来宾探秘瑶都研学旅行线路，崇左动物科普研学旅行线路18条研学旅行精品线路；</w:t>
      </w:r>
      <w:r>
        <w:rPr>
          <w:rFonts w:hint="eastAsia" w:ascii="仿宋_GB2312" w:hAnsi="仿宋_GB2312" w:eastAsia="仿宋_GB2312" w:cs="Times New Roman"/>
          <w:spacing w:val="2"/>
          <w:kern w:val="0"/>
          <w:sz w:val="32"/>
          <w:szCs w:val="24"/>
          <w:lang w:val="en-US" w:eastAsia="zh-CN" w:bidi="ar-SA"/>
        </w:rPr>
        <w:t>崇左市建设国际边关风情旅游目的地所出台的《广西壮族自治区人民政府办公厅关于支持崇左市建设国际边关风情旅游目的地的意见》提出，支持开发以“壮族霜降节”为核心的二十四节气主题文化产品，开展主题研学活动，设立“壮族霜降节人类非物质文化遗产日”。本文件参照以上政策与产品项目，</w:t>
      </w:r>
      <w:r>
        <w:rPr>
          <w:rFonts w:hint="eastAsia" w:ascii="仿宋_GB2312" w:hAnsi="仿宋_GB2312" w:eastAsia="仿宋_GB2312" w:cs="Times New Roman"/>
          <w:b w:val="0"/>
          <w:bCs w:val="0"/>
          <w:spacing w:val="2"/>
          <w:kern w:val="0"/>
          <w:sz w:val="32"/>
          <w:szCs w:val="24"/>
          <w:lang w:val="en-US" w:eastAsia="zh-CN" w:bidi="ar-SA"/>
        </w:rPr>
        <w:t>明确了承办机构应根据主办方需求，针对不同学段特点和教育目标，设计研学旅行线路和产品</w:t>
      </w:r>
      <w:bookmarkEnd w:id="14"/>
      <w:bookmarkStart w:id="15" w:name="_Toc146635380"/>
      <w:r>
        <w:rPr>
          <w:rFonts w:hint="eastAsia" w:ascii="仿宋_GB2312" w:hAnsi="仿宋_GB2312" w:eastAsia="仿宋_GB2312" w:cs="Times New Roman"/>
          <w:b w:val="0"/>
          <w:bCs w:val="0"/>
          <w:spacing w:val="2"/>
          <w:kern w:val="0"/>
          <w:sz w:val="32"/>
          <w:szCs w:val="24"/>
          <w:lang w:val="en-US" w:eastAsia="zh-CN" w:bidi="ar-SA"/>
        </w:rPr>
        <w:t>；同时应提供研学旅行产品说明书，产品说明书应符合《中华人民共和国旅游法》和LB/T008中有关规定外，还应包括研学旅行安全防控措施、研学旅行教育服务项目及评价方法、未成年人监护办法</w:t>
      </w:r>
      <w:bookmarkEnd w:id="15"/>
      <w:r>
        <w:rPr>
          <w:rFonts w:hint="eastAsia" w:ascii="仿宋_GB2312" w:hAnsi="仿宋_GB2312" w:eastAsia="仿宋_GB2312" w:cs="Times New Roman"/>
          <w:b w:val="0"/>
          <w:bCs w:val="0"/>
          <w:spacing w:val="2"/>
          <w:kern w:val="0"/>
          <w:sz w:val="32"/>
          <w:szCs w:val="24"/>
          <w:lang w:val="en-US" w:eastAsia="zh-CN" w:bidi="ar-SA"/>
        </w:rPr>
        <w:t>；还应提供服务项目宣传品、研学旅行课程资料、研学产品价目表、与业务有关的研学基地介绍以及研学旅行相关宣传资料。</w:t>
      </w:r>
    </w:p>
    <w:p>
      <w:pPr>
        <w:keepNext w:val="0"/>
        <w:keepLines w:val="0"/>
        <w:pageBreakBefore w:val="0"/>
        <w:numPr>
          <w:ilvl w:val="0"/>
          <w:numId w:val="0"/>
        </w:numPr>
        <w:wordWrap/>
        <w:bidi w:val="0"/>
        <w:spacing w:before="156" w:beforeLines="50" w:after="156" w:afterLines="50"/>
        <w:ind w:firstLine="648" w:firstLineChars="200"/>
        <w:textAlignment w:val="auto"/>
        <w:outlineLvl w:val="2"/>
        <w:rPr>
          <w:rFonts w:hint="eastAsia" w:ascii="仿宋_GB2312" w:hAnsi="仿宋_GB2312" w:eastAsia="仿宋_GB2312" w:cs="Times New Roman"/>
          <w:b w:val="0"/>
          <w:bCs w:val="0"/>
          <w:spacing w:val="2"/>
          <w:kern w:val="0"/>
          <w:sz w:val="32"/>
          <w:szCs w:val="24"/>
          <w:lang w:val="en-US" w:eastAsia="zh-CN" w:bidi="ar-SA"/>
        </w:rPr>
      </w:pPr>
      <w:r>
        <w:rPr>
          <w:rFonts w:hint="eastAsia" w:ascii="仿宋_GB2312" w:hAnsi="仿宋_GB2312" w:eastAsia="仿宋_GB2312" w:cs="Times New Roman"/>
          <w:b w:val="0"/>
          <w:bCs w:val="0"/>
          <w:spacing w:val="2"/>
          <w:kern w:val="0"/>
          <w:sz w:val="32"/>
          <w:szCs w:val="24"/>
          <w:lang w:val="en-US" w:eastAsia="zh-CN" w:bidi="ar-SA"/>
        </w:rPr>
        <w:drawing>
          <wp:inline distT="0" distB="0" distL="114300" distR="114300">
            <wp:extent cx="4845050" cy="1772285"/>
            <wp:effectExtent l="0" t="0" r="12700" b="18415"/>
            <wp:docPr id="4" name="图片 4"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2"/>
                    <pic:cNvPicPr>
                      <a:picLocks noChangeAspect="1"/>
                    </pic:cNvPicPr>
                  </pic:nvPicPr>
                  <pic:blipFill>
                    <a:blip r:embed="rId6"/>
                    <a:stretch>
                      <a:fillRect/>
                    </a:stretch>
                  </pic:blipFill>
                  <pic:spPr>
                    <a:xfrm>
                      <a:off x="0" y="0"/>
                      <a:ext cx="4845050" cy="1772285"/>
                    </a:xfrm>
                    <a:prstGeom prst="rect">
                      <a:avLst/>
                    </a:prstGeom>
                  </pic:spPr>
                </pic:pic>
              </a:graphicData>
            </a:graphic>
          </wp:inline>
        </w:drawing>
      </w:r>
    </w:p>
    <w:p>
      <w:pPr>
        <w:keepNext w:val="0"/>
        <w:keepLines w:val="0"/>
        <w:pageBreakBefore w:val="0"/>
        <w:numPr>
          <w:ilvl w:val="0"/>
          <w:numId w:val="0"/>
        </w:numPr>
        <w:wordWrap/>
        <w:bidi w:val="0"/>
        <w:spacing w:before="156" w:beforeLines="50" w:after="156" w:afterLines="50"/>
        <w:ind w:firstLine="568" w:firstLineChars="200"/>
        <w:jc w:val="center"/>
        <w:textAlignment w:val="auto"/>
        <w:outlineLvl w:val="2"/>
        <w:rPr>
          <w:rFonts w:hint="default" w:ascii="仿宋_GB2312" w:hAnsi="仿宋_GB2312" w:eastAsia="仿宋_GB2312" w:cs="Times New Roman"/>
          <w:b w:val="0"/>
          <w:bCs w:val="0"/>
          <w:spacing w:val="2"/>
          <w:kern w:val="0"/>
          <w:sz w:val="28"/>
          <w:szCs w:val="28"/>
          <w:lang w:val="en-US" w:eastAsia="zh-CN" w:bidi="ar-SA"/>
        </w:rPr>
      </w:pPr>
      <w:r>
        <w:rPr>
          <w:rFonts w:hint="eastAsia" w:ascii="仿宋_GB2312" w:hAnsi="仿宋_GB2312" w:eastAsia="仿宋_GB2312" w:cs="Times New Roman"/>
          <w:b w:val="0"/>
          <w:bCs w:val="0"/>
          <w:spacing w:val="2"/>
          <w:kern w:val="0"/>
          <w:sz w:val="28"/>
          <w:szCs w:val="28"/>
          <w:lang w:val="en-US" w:eastAsia="zh-CN" w:bidi="ar-SA"/>
        </w:rPr>
        <w:t>来源：《教育部等11部门关于推进中小学生研学旅行的意见》</w:t>
      </w:r>
    </w:p>
    <w:p>
      <w:pPr>
        <w:keepNext w:val="0"/>
        <w:keepLines w:val="0"/>
        <w:pageBreakBefore w:val="0"/>
        <w:numPr>
          <w:ilvl w:val="0"/>
          <w:numId w:val="0"/>
        </w:numPr>
        <w:wordWrap/>
        <w:bidi w:val="0"/>
        <w:spacing w:before="156" w:beforeLines="50" w:after="156" w:afterLines="50"/>
        <w:ind w:firstLine="648" w:firstLineChars="200"/>
        <w:textAlignment w:val="auto"/>
        <w:outlineLvl w:val="2"/>
        <w:rPr>
          <w:rFonts w:hint="eastAsia" w:ascii="仿宋_GB2312" w:hAnsi="仿宋_GB2312" w:eastAsia="仿宋_GB2312" w:cs="Times New Roman"/>
          <w:b w:val="0"/>
          <w:bCs w:val="0"/>
          <w:color w:val="0000FF"/>
          <w:spacing w:val="2"/>
          <w:kern w:val="0"/>
          <w:sz w:val="32"/>
          <w:szCs w:val="24"/>
          <w:lang w:val="en-US" w:eastAsia="zh-CN" w:bidi="ar-SA"/>
        </w:rPr>
      </w:pPr>
      <w:r>
        <w:rPr>
          <w:rFonts w:hint="eastAsia" w:ascii="仿宋_GB2312" w:hAnsi="仿宋_GB2312" w:eastAsia="仿宋_GB2312" w:cs="Times New Roman"/>
          <w:b w:val="0"/>
          <w:bCs w:val="0"/>
          <w:spacing w:val="2"/>
          <w:kern w:val="0"/>
          <w:sz w:val="32"/>
          <w:szCs w:val="24"/>
          <w:lang w:val="en-US" w:eastAsia="zh-CN" w:bidi="ar-SA"/>
        </w:rPr>
        <w:t>教育服务方面，</w:t>
      </w:r>
      <w:bookmarkStart w:id="16" w:name="_Toc146635383"/>
      <w:r>
        <w:rPr>
          <w:rFonts w:hint="eastAsia" w:ascii="仿宋_GB2312" w:hAnsi="仿宋_GB2312" w:eastAsia="仿宋_GB2312" w:cs="Times New Roman"/>
          <w:b w:val="0"/>
          <w:bCs w:val="0"/>
          <w:spacing w:val="2"/>
          <w:kern w:val="0"/>
          <w:sz w:val="32"/>
          <w:szCs w:val="24"/>
          <w:lang w:val="en-US" w:eastAsia="zh-CN" w:bidi="ar-SA"/>
        </w:rPr>
        <w:t>参照</w:t>
      </w:r>
      <w:r>
        <w:rPr>
          <w:rFonts w:hint="eastAsia" w:ascii="仿宋_GB2312" w:hAnsi="仿宋_GB2312" w:eastAsia="仿宋_GB2312" w:cs="Times New Roman"/>
          <w:b w:val="0"/>
          <w:bCs w:val="0"/>
          <w:color w:val="FF0000"/>
          <w:spacing w:val="2"/>
          <w:kern w:val="0"/>
          <w:sz w:val="32"/>
          <w:szCs w:val="24"/>
          <w:lang w:val="en-US" w:eastAsia="zh-CN" w:bidi="ar-SA"/>
        </w:rPr>
        <w:t>百色市乐业立足生态优势和资源禀赋，推出精品旅游线路，举办户外体育赛事，开展红色研学活动，活动过程充分考虑中前、行中、行后各项工作，教育服务方面着力在“引客入乐、留客过夜、乐游消费”上下功夫，以好山水引人、新鲜体验留客。上半年，全县接待游客201.92万人次，实现旅游收入18.23亿元，比去年同期增长79.3%的成功案例，以及实际调研发现研学旅行承办机构一般基于行前、向中、行后三个阶段开展教育服务，且体验教育课程项目或活动时间约为1-2个小时。</w:t>
      </w:r>
      <w:r>
        <w:rPr>
          <w:rFonts w:hint="eastAsia" w:ascii="仿宋_GB2312" w:hAnsi="仿宋_GB2312" w:eastAsia="仿宋_GB2312" w:cs="Times New Roman"/>
          <w:b w:val="0"/>
          <w:bCs w:val="0"/>
          <w:spacing w:val="2"/>
          <w:kern w:val="0"/>
          <w:sz w:val="32"/>
          <w:szCs w:val="24"/>
          <w:lang w:val="en-US" w:eastAsia="zh-CN" w:bidi="ar-SA"/>
        </w:rPr>
        <w:t>本文件明确了</w:t>
      </w:r>
      <w:r>
        <w:rPr>
          <w:rFonts w:hint="eastAsia" w:ascii="仿宋_GB2312" w:hAnsi="仿宋_GB2312" w:eastAsia="仿宋_GB2312" w:cs="Times New Roman"/>
          <w:spacing w:val="2"/>
          <w:kern w:val="0"/>
          <w:sz w:val="32"/>
          <w:szCs w:val="24"/>
          <w:lang w:val="en-US" w:eastAsia="zh-CN" w:bidi="ar-SA"/>
        </w:rPr>
        <w:t>行前，</w:t>
      </w:r>
      <w:r>
        <w:rPr>
          <w:rFonts w:hint="eastAsia" w:ascii="仿宋_GB2312" w:hAnsi="仿宋_GB2312" w:eastAsia="仿宋_GB2312" w:cs="Times New Roman"/>
          <w:b w:val="0"/>
          <w:bCs w:val="0"/>
          <w:spacing w:val="2"/>
          <w:kern w:val="0"/>
          <w:sz w:val="32"/>
          <w:szCs w:val="24"/>
          <w:lang w:val="en-US" w:eastAsia="zh-CN" w:bidi="ar-SA"/>
        </w:rPr>
        <w:t>承办机构应与主办方沟通，围绕学校相关教育目标，共同制定研学旅行教育服务计划，明确教育活动目标和内容，针对不同学龄段学生提出相应学时要求，其中每天体验教育课程项目或活动时间应不少于1个小时。</w:t>
      </w:r>
      <w:bookmarkEnd w:id="16"/>
      <w:bookmarkStart w:id="17" w:name="_Toc146635384"/>
      <w:r>
        <w:rPr>
          <w:rFonts w:hint="eastAsia" w:ascii="仿宋_GB2312" w:hAnsi="仿宋_GB2312" w:eastAsia="仿宋_GB2312" w:cs="Times New Roman"/>
          <w:b w:val="0"/>
          <w:bCs w:val="0"/>
          <w:spacing w:val="2"/>
          <w:kern w:val="0"/>
          <w:sz w:val="32"/>
          <w:szCs w:val="24"/>
          <w:lang w:val="en-US" w:eastAsia="zh-CN" w:bidi="ar-SA"/>
        </w:rPr>
        <w:t>充分做好行前准备工作，开好行前预备会议，做好研学旅行课程方案，检查课程准备工作，关键环节宜实地查看。</w:t>
      </w:r>
      <w:bookmarkEnd w:id="17"/>
      <w:bookmarkStart w:id="18" w:name="_Toc146635385"/>
      <w:r>
        <w:rPr>
          <w:rFonts w:hint="eastAsia" w:ascii="仿宋_GB2312" w:hAnsi="仿宋_GB2312" w:eastAsia="仿宋_GB2312" w:cs="Times New Roman"/>
          <w:b w:val="0"/>
          <w:bCs w:val="0"/>
          <w:spacing w:val="2"/>
          <w:kern w:val="0"/>
          <w:sz w:val="32"/>
          <w:szCs w:val="24"/>
          <w:lang w:val="en-US" w:eastAsia="zh-CN" w:bidi="ar-SA"/>
        </w:rPr>
        <w:t>做好行中组织实施和监督管理工作。</w:t>
      </w:r>
      <w:bookmarkEnd w:id="18"/>
      <w:bookmarkStart w:id="19" w:name="_Toc146635386"/>
      <w:r>
        <w:rPr>
          <w:rFonts w:hint="eastAsia" w:ascii="仿宋_GB2312" w:hAnsi="仿宋_GB2312" w:eastAsia="仿宋_GB2312" w:cs="Times New Roman"/>
          <w:b w:val="0"/>
          <w:bCs w:val="0"/>
          <w:spacing w:val="2"/>
          <w:kern w:val="0"/>
          <w:sz w:val="32"/>
          <w:szCs w:val="24"/>
          <w:lang w:val="en-US" w:eastAsia="zh-CN" w:bidi="ar-SA"/>
        </w:rPr>
        <w:t>做好行后总结评价工作，组织学生完成研学旅行课程成果汇报，包括但不限于撰写研学旅行报告、征文、摄影摄像作品、演讲、艺术展等。灵活运用多种评价方法，客观公正反馈研学旅行课程效果，利用评价结果促进学生全面发展和健康成长，同时不断完善研学旅行课程方案以及组织工作。</w:t>
      </w:r>
      <w:bookmarkEnd w:id="19"/>
      <w:bookmarkStart w:id="20" w:name="_Toc146635387"/>
      <w:r>
        <w:rPr>
          <w:rFonts w:hint="eastAsia" w:ascii="仿宋_GB2312" w:hAnsi="仿宋_GB2312" w:eastAsia="仿宋_GB2312" w:cs="Times New Roman"/>
          <w:b w:val="0"/>
          <w:bCs w:val="0"/>
          <w:spacing w:val="2"/>
          <w:kern w:val="0"/>
          <w:sz w:val="32"/>
          <w:szCs w:val="24"/>
          <w:lang w:val="en-US" w:eastAsia="zh-CN" w:bidi="ar-SA"/>
        </w:rPr>
        <w:t>建立与参与者家人的联系沟通机制，协助解决研学旅行活动中发生的各类问题。</w:t>
      </w:r>
      <w:bookmarkEnd w:id="20"/>
    </w:p>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648" w:firstLineChars="200"/>
        <w:rPr>
          <w:rFonts w:hint="eastAsia" w:ascii="仿宋_GB2312" w:hAnsi="仿宋_GB2312" w:eastAsia="仿宋_GB2312" w:cs="Times New Roman"/>
          <w:b w:val="0"/>
          <w:bCs w:val="0"/>
          <w:spacing w:val="2"/>
          <w:kern w:val="0"/>
          <w:sz w:val="32"/>
          <w:szCs w:val="24"/>
          <w:lang w:val="en-US" w:eastAsia="zh-CN" w:bidi="ar-SA"/>
        </w:rPr>
      </w:pPr>
      <w:r>
        <w:rPr>
          <w:rFonts w:hint="eastAsia" w:ascii="仿宋_GB2312" w:hAnsi="仿宋_GB2312" w:eastAsia="仿宋_GB2312" w:cs="Times New Roman"/>
          <w:b w:val="0"/>
          <w:bCs w:val="0"/>
          <w:spacing w:val="2"/>
          <w:kern w:val="0"/>
          <w:sz w:val="32"/>
          <w:szCs w:val="24"/>
          <w:lang w:val="en-US" w:eastAsia="zh-CN" w:bidi="ar-SA"/>
        </w:rPr>
        <w:t>交通服务</w:t>
      </w:r>
      <w:bookmarkStart w:id="21" w:name="_Toc146635389"/>
      <w:r>
        <w:rPr>
          <w:rFonts w:hint="eastAsia" w:ascii="仿宋_GB2312" w:hAnsi="仿宋_GB2312" w:eastAsia="仿宋_GB2312" w:cs="Times New Roman"/>
          <w:b w:val="0"/>
          <w:bCs w:val="0"/>
          <w:spacing w:val="2"/>
          <w:kern w:val="0"/>
          <w:sz w:val="32"/>
          <w:szCs w:val="24"/>
          <w:lang w:val="en-US" w:eastAsia="zh-CN" w:bidi="ar-SA"/>
        </w:rPr>
        <w:t>方面，依据《广西壮族自治区道路交通安全条例》维护道路交通秩序，预防和减少道路交通事故，保护人身安全，保护公民、法人和其他组织的财产安全及其他合法权益，提高通行效率。广西铁路部门充分发挥铁路运输优势，融合了广西壮族自治区文化和旅游厅发布的十大红色游学精品线路内容，设计推出13条党史学习教育定制线路，群发红色教育主题列车，使铁路红色专列成为红色教育、红色旅游发展的高速“引擎”，助力研学旅行进一步发展。结合《广西壮族自治区道路交通安全条例》与广西交通实际情况明确了交通应符合GB/T 16890、GB/T 26359的要求</w:t>
      </w:r>
      <w:bookmarkEnd w:id="21"/>
      <w:bookmarkStart w:id="22" w:name="_Toc146635390"/>
      <w:r>
        <w:rPr>
          <w:rFonts w:hint="eastAsia" w:ascii="仿宋_GB2312" w:hAnsi="仿宋_GB2312" w:eastAsia="仿宋_GB2312" w:cs="Times New Roman"/>
          <w:b w:val="0"/>
          <w:bCs w:val="0"/>
          <w:spacing w:val="2"/>
          <w:kern w:val="0"/>
          <w:sz w:val="32"/>
          <w:szCs w:val="24"/>
          <w:lang w:val="en-US" w:eastAsia="zh-CN" w:bidi="ar-SA"/>
        </w:rPr>
        <w:t>，按照LB/T 054-2016要求选择交通方式</w:t>
      </w:r>
      <w:bookmarkEnd w:id="22"/>
      <w:bookmarkStart w:id="23" w:name="_Toc146635391"/>
      <w:r>
        <w:rPr>
          <w:rFonts w:hint="eastAsia" w:ascii="仿宋_GB2312" w:hAnsi="仿宋_GB2312" w:eastAsia="仿宋_GB2312" w:cs="Times New Roman"/>
          <w:b w:val="0"/>
          <w:bCs w:val="0"/>
          <w:spacing w:val="2"/>
          <w:kern w:val="0"/>
          <w:sz w:val="32"/>
          <w:szCs w:val="24"/>
          <w:lang w:val="en-US" w:eastAsia="zh-CN" w:bidi="ar-SA"/>
        </w:rPr>
        <w:t>，承办机构应提前告知交通信息，</w:t>
      </w:r>
      <w:bookmarkEnd w:id="23"/>
      <w:bookmarkStart w:id="24" w:name="_Toc146635392"/>
      <w:r>
        <w:rPr>
          <w:rFonts w:hint="eastAsia" w:ascii="仿宋_GB2312" w:hAnsi="仿宋_GB2312" w:eastAsia="仿宋_GB2312" w:cs="Times New Roman"/>
          <w:b w:val="0"/>
          <w:bCs w:val="0"/>
          <w:spacing w:val="2"/>
          <w:kern w:val="0"/>
          <w:sz w:val="32"/>
          <w:szCs w:val="24"/>
          <w:lang w:val="en-US" w:eastAsia="zh-CN" w:bidi="ar-SA"/>
        </w:rPr>
        <w:t>提前与相应交通部门取得工作联系，组织绿色通道或开辟专门的候乘区域</w:t>
      </w:r>
      <w:bookmarkEnd w:id="24"/>
      <w:bookmarkStart w:id="25" w:name="_Toc146635393"/>
      <w:r>
        <w:rPr>
          <w:rFonts w:hint="eastAsia" w:ascii="仿宋_GB2312" w:hAnsi="仿宋_GB2312" w:eastAsia="仿宋_GB2312" w:cs="Times New Roman"/>
          <w:b w:val="0"/>
          <w:bCs w:val="0"/>
          <w:spacing w:val="2"/>
          <w:kern w:val="0"/>
          <w:sz w:val="32"/>
          <w:szCs w:val="24"/>
          <w:lang w:val="en-US" w:eastAsia="zh-CN" w:bidi="ar-SA"/>
        </w:rPr>
        <w:t>，加强交通服务环节的安全防范，向学生宣讲交通安全知识和紧急疏散要求，组织学生安全有序乘坐交通工具。</w:t>
      </w:r>
      <w:bookmarkEnd w:id="25"/>
      <w:bookmarkStart w:id="26" w:name="_Toc146635394"/>
      <w:r>
        <w:rPr>
          <w:rFonts w:hint="eastAsia" w:ascii="仿宋_GB2312" w:hAnsi="仿宋_GB2312" w:eastAsia="仿宋_GB2312" w:cs="Times New Roman"/>
          <w:b w:val="0"/>
          <w:bCs w:val="0"/>
          <w:spacing w:val="2"/>
          <w:kern w:val="0"/>
          <w:sz w:val="32"/>
          <w:szCs w:val="24"/>
          <w:lang w:val="en-US" w:eastAsia="zh-CN" w:bidi="ar-SA"/>
        </w:rPr>
        <w:t>在承运全程随机开展安全巡查工作，并在学生上、下交通工具时清点人数，防范出现滞留或走失。</w:t>
      </w:r>
      <w:bookmarkEnd w:id="26"/>
      <w:bookmarkStart w:id="27" w:name="_Toc146635395"/>
      <w:r>
        <w:rPr>
          <w:rFonts w:hint="eastAsia" w:ascii="仿宋_GB2312" w:hAnsi="仿宋_GB2312" w:eastAsia="仿宋_GB2312" w:cs="Times New Roman"/>
          <w:b w:val="0"/>
          <w:bCs w:val="0"/>
          <w:spacing w:val="2"/>
          <w:kern w:val="0"/>
          <w:sz w:val="32"/>
          <w:szCs w:val="24"/>
          <w:lang w:val="en-US" w:eastAsia="zh-CN" w:bidi="ar-SA"/>
        </w:rPr>
        <w:t>如遭遇恶劣天气时，应认真研判安全风险，及时调整研学旅行行程和交通方式。</w:t>
      </w:r>
      <w:bookmarkEnd w:id="27"/>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bidi w:val="0"/>
        <w:spacing w:before="0" w:beforeAutospacing="0" w:after="0" w:afterAutospacing="0" w:line="17" w:lineRule="atLeast"/>
        <w:ind w:left="0" w:right="0" w:firstLine="648" w:firstLineChars="200"/>
        <w:textAlignment w:val="auto"/>
        <w:rPr>
          <w:rFonts w:hint="eastAsia" w:ascii="仿宋_GB2312" w:hAnsi="仿宋_GB2312" w:eastAsia="仿宋_GB2312" w:cs="Times New Roman"/>
          <w:b w:val="0"/>
          <w:bCs w:val="0"/>
          <w:spacing w:val="2"/>
          <w:kern w:val="0"/>
          <w:sz w:val="32"/>
          <w:szCs w:val="24"/>
          <w:lang w:val="en-US" w:eastAsia="zh-CN" w:bidi="ar-SA"/>
        </w:rPr>
      </w:pPr>
      <w:r>
        <w:rPr>
          <w:rFonts w:hint="eastAsia" w:ascii="仿宋_GB2312" w:hAnsi="仿宋_GB2312" w:eastAsia="仿宋_GB2312" w:cs="Times New Roman"/>
          <w:b w:val="0"/>
          <w:bCs w:val="0"/>
          <w:spacing w:val="2"/>
          <w:kern w:val="0"/>
          <w:sz w:val="32"/>
          <w:szCs w:val="24"/>
          <w:lang w:val="en-US" w:eastAsia="zh-CN" w:bidi="ar-SA"/>
        </w:rPr>
        <w:t>医疗及救助服务方面，明确了承办机构应提前调研和掌握研学营地周边的医疗及救助资源状况。</w:t>
      </w:r>
      <w:bookmarkStart w:id="28" w:name="_Toc146635415"/>
      <w:bookmarkStart w:id="29" w:name="_Toc146635651"/>
      <w:bookmarkStart w:id="30" w:name="_Toc146635276"/>
      <w:r>
        <w:rPr>
          <w:rFonts w:hint="eastAsia" w:ascii="仿宋_GB2312" w:hAnsi="仿宋_GB2312" w:eastAsia="仿宋_GB2312" w:cs="Times New Roman"/>
          <w:b w:val="0"/>
          <w:bCs w:val="0"/>
          <w:spacing w:val="2"/>
          <w:kern w:val="0"/>
          <w:sz w:val="32"/>
          <w:szCs w:val="24"/>
          <w:lang w:val="en-US" w:eastAsia="zh-CN" w:bidi="ar-SA"/>
        </w:rPr>
        <w:t>学生生病或受伤，应及时送往医院或急救中心治疗，妥善保管就诊医疗记录，返程后，应将就诊医疗记录复印并转交家长或带队老师。</w:t>
      </w:r>
      <w:bookmarkEnd w:id="28"/>
      <w:bookmarkEnd w:id="29"/>
      <w:bookmarkEnd w:id="30"/>
      <w:bookmarkStart w:id="31" w:name="_Toc146635277"/>
      <w:bookmarkStart w:id="32" w:name="_Toc146635652"/>
      <w:bookmarkStart w:id="33" w:name="_Toc146635416"/>
      <w:r>
        <w:rPr>
          <w:rFonts w:hint="eastAsia" w:ascii="仿宋_GB2312" w:hAnsi="仿宋_GB2312" w:eastAsia="仿宋_GB2312" w:cs="Times New Roman"/>
          <w:b w:val="0"/>
          <w:bCs w:val="0"/>
          <w:spacing w:val="2"/>
          <w:kern w:val="0"/>
          <w:sz w:val="32"/>
          <w:szCs w:val="24"/>
          <w:lang w:val="en-US" w:eastAsia="zh-CN" w:bidi="ar-SA"/>
        </w:rPr>
        <w:t>宜聘请具有执业资格的医护人员随团提供医疗及救助服务。</w:t>
      </w:r>
      <w:bookmarkEnd w:id="31"/>
      <w:bookmarkEnd w:id="32"/>
      <w:bookmarkEnd w:id="33"/>
    </w:p>
    <w:p>
      <w:pPr>
        <w:rPr>
          <w:rFonts w:hint="default"/>
          <w:lang w:val="en-US" w:eastAsia="zh-CN"/>
        </w:rPr>
      </w:pP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wordWrap/>
        <w:bidi w:val="0"/>
        <w:spacing w:before="0" w:beforeAutospacing="0" w:after="0" w:afterAutospacing="0" w:line="17" w:lineRule="atLeast"/>
        <w:ind w:right="0" w:firstLine="648" w:firstLineChars="200"/>
        <w:textAlignment w:val="auto"/>
        <w:rPr>
          <w:rFonts w:hint="eastAsia" w:ascii="仿宋_GB2312" w:hAnsi="仿宋_GB2312" w:eastAsia="仿宋_GB2312" w:cs="Times New Roman"/>
          <w:b w:val="0"/>
          <w:bCs w:val="0"/>
          <w:spacing w:val="2"/>
          <w:kern w:val="0"/>
          <w:sz w:val="32"/>
          <w:szCs w:val="24"/>
          <w:lang w:val="en-US" w:eastAsia="zh-CN" w:bidi="ar-SA"/>
        </w:rPr>
      </w:pPr>
      <w:r>
        <w:rPr>
          <w:rFonts w:hint="eastAsia" w:ascii="仿宋_GB2312" w:hAnsi="仿宋_GB2312" w:eastAsia="仿宋_GB2312" w:cs="Times New Roman"/>
          <w:b w:val="0"/>
          <w:bCs w:val="0"/>
          <w:spacing w:val="2"/>
          <w:kern w:val="0"/>
          <w:sz w:val="32"/>
          <w:szCs w:val="24"/>
          <w:lang w:val="en-US" w:eastAsia="zh-CN" w:bidi="ar-SA"/>
        </w:rPr>
        <w:t>第六部分：</w:t>
      </w:r>
      <w:bookmarkStart w:id="34" w:name="_Toc146815033"/>
      <w:bookmarkStart w:id="35" w:name="_Toc146635670"/>
      <w:bookmarkStart w:id="36" w:name="_Toc146635278"/>
      <w:bookmarkStart w:id="37" w:name="_Toc146635417"/>
      <w:bookmarkStart w:id="38" w:name="_Toc146635482"/>
      <w:bookmarkStart w:id="39" w:name="_Toc146635320"/>
      <w:bookmarkStart w:id="40" w:name="_Toc146635341"/>
      <w:bookmarkStart w:id="41" w:name="_Toc146635299"/>
      <w:bookmarkStart w:id="42" w:name="_Toc146635459"/>
      <w:bookmarkStart w:id="43" w:name="_Toc146635438"/>
      <w:bookmarkStart w:id="44" w:name="_Toc146635745"/>
      <w:bookmarkStart w:id="45" w:name="_Toc146635506"/>
      <w:bookmarkStart w:id="46" w:name="_Toc146635653"/>
      <w:bookmarkStart w:id="47" w:name="_Toc146635587"/>
      <w:r>
        <w:rPr>
          <w:rFonts w:hint="eastAsia" w:ascii="仿宋_GB2312" w:hAnsi="仿宋_GB2312" w:eastAsia="仿宋_GB2312" w:cs="Times New Roman"/>
          <w:b w:val="0"/>
          <w:bCs w:val="0"/>
          <w:spacing w:val="2"/>
          <w:kern w:val="0"/>
          <w:sz w:val="32"/>
          <w:szCs w:val="24"/>
          <w:lang w:val="en-US" w:eastAsia="zh-CN" w:bidi="ar-SA"/>
        </w:rPr>
        <w:t>安全与紧急预案</w:t>
      </w:r>
      <w:bookmarkEnd w:id="34"/>
      <w:bookmarkEnd w:id="35"/>
      <w:bookmarkEnd w:id="36"/>
      <w:bookmarkEnd w:id="37"/>
      <w:bookmarkEnd w:id="38"/>
      <w:bookmarkEnd w:id="39"/>
      <w:bookmarkEnd w:id="40"/>
      <w:bookmarkEnd w:id="41"/>
      <w:bookmarkEnd w:id="42"/>
      <w:bookmarkEnd w:id="43"/>
      <w:bookmarkEnd w:id="44"/>
      <w:bookmarkEnd w:id="45"/>
      <w:bookmarkEnd w:id="46"/>
      <w:bookmarkEnd w:id="47"/>
      <w:bookmarkStart w:id="48" w:name="_Toc146635654"/>
      <w:r>
        <w:rPr>
          <w:rFonts w:hint="eastAsia" w:ascii="仿宋_GB2312" w:hAnsi="仿宋_GB2312" w:eastAsia="仿宋_GB2312" w:cs="Times New Roman"/>
          <w:b w:val="0"/>
          <w:bCs w:val="0"/>
          <w:spacing w:val="2"/>
          <w:kern w:val="0"/>
          <w:sz w:val="32"/>
          <w:szCs w:val="24"/>
          <w:lang w:val="en-US" w:eastAsia="zh-CN" w:bidi="ar-SA"/>
        </w:rPr>
        <w:t>。安全工作方面具有一定共性，本文件主要参照《长沙市中小学校研学实践管理办法》第十四条中小学校必须坚持“安全第一”的原则开展研学实践活动，明确主办方、承办方及供应方应按照LB/T 054-2016要求，针对研学旅行活动，分别制定安全管理制度，构建完善有效的安全防控机制</w:t>
      </w:r>
      <w:bookmarkEnd w:id="48"/>
      <w:bookmarkStart w:id="49" w:name="_Toc146635655"/>
      <w:r>
        <w:rPr>
          <w:rFonts w:hint="eastAsia" w:ascii="仿宋_GB2312" w:hAnsi="仿宋_GB2312" w:eastAsia="仿宋_GB2312" w:cs="Times New Roman"/>
          <w:b w:val="0"/>
          <w:bCs w:val="0"/>
          <w:spacing w:val="2"/>
          <w:kern w:val="0"/>
          <w:sz w:val="32"/>
          <w:szCs w:val="24"/>
          <w:lang w:val="en-US" w:eastAsia="zh-CN" w:bidi="ar-SA"/>
        </w:rPr>
        <w:t>；制定和完善内容包括：地震、火灾、食品卫生、治安事件、设施设备突发故障等在内的各项突发事件应急预案，并定期组织演练。</w:t>
      </w:r>
      <w:bookmarkEnd w:id="49"/>
      <w:bookmarkStart w:id="50" w:name="_Toc146635656"/>
      <w:r>
        <w:rPr>
          <w:rFonts w:hint="eastAsia" w:ascii="仿宋_GB2312" w:hAnsi="仿宋_GB2312" w:eastAsia="仿宋_GB2312" w:cs="Times New Roman"/>
          <w:b w:val="0"/>
          <w:bCs w:val="0"/>
          <w:spacing w:val="2"/>
          <w:kern w:val="0"/>
          <w:sz w:val="32"/>
          <w:szCs w:val="24"/>
          <w:lang w:val="en-US" w:eastAsia="zh-CN" w:bidi="ar-SA"/>
        </w:rPr>
        <w:t>同时，还应制定安全教育和安全培训专项工作计划，定期对参与研学旅行活动的工作人员进行培训</w:t>
      </w:r>
      <w:bookmarkEnd w:id="50"/>
      <w:bookmarkStart w:id="51" w:name="_Toc146635657"/>
      <w:r>
        <w:rPr>
          <w:rFonts w:hint="eastAsia" w:ascii="仿宋_GB2312" w:hAnsi="仿宋_GB2312" w:eastAsia="仿宋_GB2312" w:cs="Times New Roman"/>
          <w:b w:val="0"/>
          <w:bCs w:val="0"/>
          <w:spacing w:val="2"/>
          <w:kern w:val="0"/>
          <w:sz w:val="32"/>
          <w:szCs w:val="24"/>
          <w:lang w:val="en-US" w:eastAsia="zh-CN" w:bidi="ar-SA"/>
        </w:rPr>
        <w:t>，加强对学生的全过程安全管理和安全教育，根据行程安排及具体情况及时进行安全提示与警示，强化学生安全防范意识。</w:t>
      </w:r>
      <w:bookmarkEnd w:id="51"/>
      <w:bookmarkStart w:id="52" w:name="_Toc146635658"/>
      <w:r>
        <w:rPr>
          <w:rFonts w:hint="eastAsia" w:ascii="仿宋_GB2312" w:hAnsi="仿宋_GB2312" w:eastAsia="仿宋_GB2312" w:cs="Times New Roman"/>
          <w:b w:val="0"/>
          <w:bCs w:val="0"/>
          <w:spacing w:val="2"/>
          <w:kern w:val="0"/>
          <w:sz w:val="32"/>
          <w:szCs w:val="24"/>
          <w:lang w:val="en-US" w:eastAsia="zh-CN" w:bidi="ar-SA"/>
        </w:rPr>
        <w:t>应购买产品责任险，并为研学旅行参与者购买旅行意外险等相应特色保险。</w:t>
      </w:r>
      <w:bookmarkEnd w:id="52"/>
    </w:p>
    <w:p>
      <w:pPr>
        <w:pStyle w:val="12"/>
        <w:keepNext w:val="0"/>
        <w:keepLines w:val="0"/>
        <w:pageBreakBefore w:val="0"/>
        <w:wordWrap/>
        <w:bidi w:val="0"/>
        <w:ind w:firstLine="420" w:firstLineChars="200"/>
        <w:jc w:val="both"/>
        <w:textAlignment w:val="auto"/>
        <w:rPr>
          <w:rFonts w:hint="eastAsia"/>
          <w:lang w:val="en-US" w:eastAsia="zh-CN"/>
        </w:rPr>
      </w:pPr>
      <w:r>
        <w:rPr>
          <w:rFonts w:hint="eastAsia"/>
          <w:lang w:val="en-US" w:eastAsia="zh-CN"/>
        </w:rPr>
        <w:drawing>
          <wp:inline distT="0" distB="0" distL="114300" distR="114300">
            <wp:extent cx="4855845" cy="1217930"/>
            <wp:effectExtent l="9525" t="9525" r="11430" b="10795"/>
            <wp:docPr id="3" name="图片 3" descr="1696491897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96491897736"/>
                    <pic:cNvPicPr>
                      <a:picLocks noChangeAspect="1"/>
                    </pic:cNvPicPr>
                  </pic:nvPicPr>
                  <pic:blipFill>
                    <a:blip r:embed="rId7"/>
                    <a:stretch>
                      <a:fillRect/>
                    </a:stretch>
                  </pic:blipFill>
                  <pic:spPr>
                    <a:xfrm>
                      <a:off x="0" y="0"/>
                      <a:ext cx="4855845" cy="1217930"/>
                    </a:xfrm>
                    <a:prstGeom prst="rect">
                      <a:avLst/>
                    </a:prstGeom>
                    <a:ln>
                      <a:solidFill>
                        <a:schemeClr val="tx1"/>
                      </a:solidFill>
                    </a:ln>
                  </pic:spPr>
                </pic:pic>
              </a:graphicData>
            </a:graphic>
          </wp:inline>
        </w:drawing>
      </w:r>
    </w:p>
    <w:p>
      <w:pPr>
        <w:pStyle w:val="16"/>
        <w:keepNext w:val="0"/>
        <w:keepLines w:val="0"/>
        <w:pageBreakBefore w:val="0"/>
        <w:numPr>
          <w:ilvl w:val="1"/>
          <w:numId w:val="0"/>
        </w:numPr>
        <w:wordWrap/>
        <w:bidi w:val="0"/>
        <w:spacing w:before="240" w:after="240"/>
        <w:ind w:leftChars="0" w:firstLine="420" w:firstLineChars="200"/>
        <w:textAlignment w:val="auto"/>
        <w:rPr>
          <w:rFonts w:hint="eastAsia" w:ascii="黑体" w:hAnsi="黑体" w:eastAsia="黑体" w:cs="黑体"/>
          <w:lang w:val="en-US" w:eastAsia="zh-CN"/>
        </w:rPr>
      </w:pPr>
      <w:r>
        <w:rPr>
          <w:rFonts w:hint="eastAsia" w:ascii="黑体" w:hAnsi="黑体" w:eastAsia="黑体" w:cs="黑体"/>
          <w:lang w:val="en-US" w:eastAsia="zh-CN"/>
        </w:rPr>
        <w:t>来源：《长沙市中小学研学实践管理办法（试行）》的通知（长教通〔2020〕79号）</w:t>
      </w:r>
    </w:p>
    <w:p>
      <w:pPr>
        <w:keepNext w:val="0"/>
        <w:keepLines w:val="0"/>
        <w:pageBreakBefore w:val="0"/>
        <w:numPr>
          <w:ilvl w:val="0"/>
          <w:numId w:val="0"/>
        </w:numPr>
        <w:wordWrap/>
        <w:bidi w:val="0"/>
        <w:spacing w:before="156" w:beforeLines="50" w:after="156" w:afterLines="50"/>
        <w:ind w:firstLine="648" w:firstLineChars="200"/>
        <w:textAlignment w:val="auto"/>
        <w:outlineLvl w:val="2"/>
        <w:rPr>
          <w:rFonts w:hint="eastAsia" w:ascii="仿宋_GB2312" w:hAnsi="仿宋_GB2312" w:eastAsia="仿宋_GB2312" w:cs="Times New Roman"/>
          <w:spacing w:val="2"/>
          <w:kern w:val="0"/>
          <w:sz w:val="32"/>
          <w:szCs w:val="24"/>
          <w:lang w:val="en-US" w:eastAsia="zh-CN" w:bidi="ar-SA"/>
        </w:rPr>
      </w:pPr>
      <w:r>
        <w:rPr>
          <w:rFonts w:hint="eastAsia" w:ascii="仿宋_GB2312" w:hAnsi="仿宋_GB2312" w:eastAsia="仿宋_GB2312" w:cs="Times New Roman"/>
          <w:spacing w:val="2"/>
          <w:kern w:val="0"/>
          <w:sz w:val="32"/>
          <w:szCs w:val="24"/>
          <w:lang w:val="en-US" w:eastAsia="zh-CN" w:bidi="ar-SA"/>
        </w:rPr>
        <w:t>第七部分：服务评估与改进。依据《关于推进中小学生研学旅行的意见》提出要强化督查评价，各地要建立健全中小学生参加研学旅行的评价机制。研学旅行承办机构应建立评价指标体系，细化具体指标的评估分值，评价指标包括但不仅限于研学教育活动总体情况、课程设计、课程目标、研学基（营）地软硬件设施、教学内容、研学流程设置、教学互动、教学点评等指标。通过自我评价、第三方评价、主办方评价、家长评价等方式建立研学评价机制，重点开展学生评价和研学导师评价。根据调查结果进行统计分析和量化评估，做好评价结果分析，并及时将服务</w:t>
      </w:r>
      <w:bookmarkStart w:id="53" w:name="_Toc47366269"/>
      <w:bookmarkStart w:id="54" w:name="_Toc47422371"/>
      <w:bookmarkStart w:id="55" w:name="_Toc53994175"/>
      <w:bookmarkStart w:id="56" w:name="_Toc55977618"/>
      <w:bookmarkStart w:id="57" w:name="_Toc48036154"/>
      <w:bookmarkStart w:id="58" w:name="_Toc48918469"/>
      <w:bookmarkStart w:id="59" w:name="_Toc48056547"/>
      <w:bookmarkStart w:id="60" w:name="_Toc48140694"/>
      <w:bookmarkStart w:id="61" w:name="_Toc47710724"/>
      <w:r>
        <w:rPr>
          <w:rFonts w:hint="eastAsia" w:ascii="仿宋_GB2312" w:hAnsi="仿宋_GB2312" w:eastAsia="仿宋_GB2312" w:cs="Times New Roman"/>
          <w:spacing w:val="2"/>
          <w:kern w:val="0"/>
          <w:sz w:val="32"/>
          <w:szCs w:val="24"/>
          <w:lang w:val="en-US" w:eastAsia="zh-CN" w:bidi="ar-SA"/>
        </w:rPr>
        <w:t>教学改进</w:t>
      </w:r>
      <w:bookmarkEnd w:id="53"/>
      <w:bookmarkEnd w:id="54"/>
      <w:bookmarkEnd w:id="55"/>
      <w:bookmarkEnd w:id="56"/>
      <w:bookmarkEnd w:id="57"/>
      <w:bookmarkEnd w:id="58"/>
      <w:bookmarkEnd w:id="59"/>
      <w:bookmarkEnd w:id="60"/>
      <w:bookmarkEnd w:id="61"/>
      <w:r>
        <w:rPr>
          <w:rFonts w:hint="eastAsia" w:ascii="仿宋_GB2312" w:hAnsi="仿宋_GB2312" w:eastAsia="仿宋_GB2312" w:cs="Times New Roman"/>
          <w:spacing w:val="2"/>
          <w:kern w:val="0"/>
          <w:sz w:val="32"/>
          <w:szCs w:val="24"/>
          <w:lang w:val="en-US" w:eastAsia="zh-CN" w:bidi="ar-SA"/>
        </w:rPr>
        <w:t>，承办机构应对各方面反馈的质量信息及时进行汇总分析，明确产品中的主要缺陷，找准发生质量问题的具体原因，通过健全制度、加强培训、调整供应方、优化产品设计、完善服务要素和运行环节等措施，持续改进研学旅行服务质量。</w:t>
      </w:r>
    </w:p>
    <w:p>
      <w:pPr>
        <w:keepNext w:val="0"/>
        <w:keepLines w:val="0"/>
        <w:pageBreakBefore w:val="0"/>
        <w:wordWrap/>
        <w:topLinePunct w:val="0"/>
        <w:autoSpaceDE/>
        <w:autoSpaceDN/>
        <w:bidi w:val="0"/>
        <w:adjustRightInd/>
        <w:spacing w:line="560" w:lineRule="atLeast"/>
        <w:ind w:firstLine="640" w:firstLineChars="200"/>
        <w:textAlignment w:val="auto"/>
        <w:rPr>
          <w:rFonts w:ascii="黑体" w:hAnsi="黑体" w:eastAsia="黑体" w:cs="黑体"/>
          <w:bCs/>
          <w:sz w:val="32"/>
          <w:szCs w:val="32"/>
        </w:rPr>
      </w:pPr>
      <w:r>
        <w:rPr>
          <w:rFonts w:hint="eastAsia" w:ascii="黑体" w:hAnsi="黑体" w:eastAsia="黑体" w:cs="黑体"/>
          <w:bCs/>
          <w:sz w:val="32"/>
          <w:szCs w:val="32"/>
          <w:lang w:val="en-US" w:eastAsia="zh-CN"/>
        </w:rPr>
        <w:t>八</w:t>
      </w:r>
      <w:r>
        <w:rPr>
          <w:rFonts w:hint="eastAsia" w:ascii="黑体" w:hAnsi="黑体" w:eastAsia="黑体" w:cs="黑体"/>
          <w:bCs/>
          <w:sz w:val="32"/>
          <w:szCs w:val="32"/>
        </w:rPr>
        <w:t>、国内外标准制修订情况</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 w:lineRule="atLeast"/>
        <w:ind w:left="0" w:right="0" w:firstLine="640" w:firstLineChars="200"/>
        <w:rPr>
          <w:rFonts w:hint="default" w:ascii="仿宋_GB2312" w:hAnsi="仿宋_GB2312" w:eastAsia="仿宋_GB2312" w:cs="Times New Roman"/>
          <w:color w:val="FF0000"/>
          <w:spacing w:val="2"/>
          <w:kern w:val="0"/>
          <w:sz w:val="32"/>
          <w:szCs w:val="24"/>
          <w:lang w:val="en-US" w:eastAsia="zh-CN" w:bidi="ar-SA"/>
        </w:rPr>
      </w:pPr>
      <w:r>
        <w:rPr>
          <w:rFonts w:hint="eastAsia" w:ascii="仿宋_GB2312" w:hAnsi="宋体" w:eastAsia="仿宋_GB2312" w:cs="Times New Roman"/>
          <w:b w:val="0"/>
          <w:bCs w:val="0"/>
          <w:color w:val="FF0000"/>
          <w:kern w:val="0"/>
          <w:sz w:val="32"/>
          <w:szCs w:val="28"/>
          <w:lang w:val="zh-CN" w:eastAsia="zh-CN" w:bidi="ar-SA"/>
        </w:rPr>
        <w:t>经查阅，</w:t>
      </w:r>
      <w:r>
        <w:rPr>
          <w:rFonts w:hint="eastAsia" w:ascii="仿宋_GB2312" w:hAnsi="宋体" w:eastAsia="仿宋_GB2312" w:cs="Times New Roman"/>
          <w:b w:val="0"/>
          <w:bCs w:val="0"/>
          <w:color w:val="FF0000"/>
          <w:kern w:val="0"/>
          <w:sz w:val="32"/>
          <w:szCs w:val="28"/>
          <w:lang w:val="en-US" w:eastAsia="zh-CN" w:bidi="ar-SA"/>
        </w:rPr>
        <w:t>与</w:t>
      </w:r>
      <w:r>
        <w:rPr>
          <w:rFonts w:hint="eastAsia" w:ascii="仿宋_GB2312" w:hAnsi="宋体" w:eastAsia="仿宋_GB2312" w:cs="Times New Roman"/>
          <w:b w:val="0"/>
          <w:bCs w:val="0"/>
          <w:color w:val="FF0000"/>
          <w:kern w:val="0"/>
          <w:sz w:val="32"/>
          <w:szCs w:val="28"/>
          <w:lang w:val="zh-CN" w:eastAsia="zh-CN" w:bidi="ar-SA"/>
        </w:rPr>
        <w:t>“研学旅行</w:t>
      </w:r>
      <w:r>
        <w:rPr>
          <w:rFonts w:hint="eastAsia" w:ascii="仿宋_GB2312" w:hAnsi="宋体" w:eastAsia="仿宋_GB2312" w:cs="Times New Roman"/>
          <w:b w:val="0"/>
          <w:bCs w:val="0"/>
          <w:color w:val="FF0000"/>
          <w:kern w:val="0"/>
          <w:sz w:val="32"/>
          <w:szCs w:val="28"/>
          <w:lang w:val="en-US" w:eastAsia="zh-CN" w:bidi="ar-SA"/>
        </w:rPr>
        <w:t>承办机构</w:t>
      </w:r>
      <w:r>
        <w:rPr>
          <w:rFonts w:hint="eastAsia" w:ascii="仿宋_GB2312" w:hAnsi="宋体" w:eastAsia="仿宋_GB2312" w:cs="Times New Roman"/>
          <w:b w:val="0"/>
          <w:bCs w:val="0"/>
          <w:color w:val="FF0000"/>
          <w:kern w:val="0"/>
          <w:sz w:val="32"/>
          <w:szCs w:val="28"/>
          <w:lang w:val="zh-CN" w:eastAsia="zh-CN" w:bidi="ar-SA"/>
        </w:rPr>
        <w:t>服务规范”有关的标准，</w:t>
      </w:r>
      <w:r>
        <w:rPr>
          <w:rFonts w:hint="eastAsia" w:ascii="仿宋_GB2312" w:hAnsi="宋体" w:eastAsia="仿宋_GB2312" w:cs="Times New Roman"/>
          <w:b w:val="0"/>
          <w:bCs w:val="0"/>
          <w:color w:val="FF0000"/>
          <w:kern w:val="0"/>
          <w:sz w:val="32"/>
          <w:szCs w:val="28"/>
          <w:lang w:val="en-US" w:eastAsia="zh-CN" w:bidi="ar-SA"/>
        </w:rPr>
        <w:t>有四川省发布的</w:t>
      </w:r>
      <w:r>
        <w:rPr>
          <w:rFonts w:hint="eastAsia" w:ascii="仿宋_GB2312" w:hAnsi="宋体" w:eastAsia="仿宋_GB2312" w:cs="Times New Roman"/>
          <w:b w:val="0"/>
          <w:bCs w:val="0"/>
          <w:color w:val="FF0000"/>
          <w:kern w:val="0"/>
          <w:sz w:val="32"/>
          <w:szCs w:val="28"/>
          <w:lang w:val="zh-CN" w:eastAsia="zh-CN" w:bidi="ar-SA"/>
        </w:rPr>
        <w:t>DB51/T 3080-2023</w:t>
      </w:r>
      <w:r>
        <w:rPr>
          <w:rFonts w:hint="eastAsia" w:ascii="仿宋_GB2312" w:hAnsi="宋体" w:eastAsia="仿宋_GB2312" w:cs="Times New Roman"/>
          <w:b w:val="0"/>
          <w:bCs w:val="0"/>
          <w:color w:val="FF0000"/>
          <w:kern w:val="0"/>
          <w:sz w:val="32"/>
          <w:szCs w:val="28"/>
          <w:lang w:val="en-US" w:eastAsia="zh-CN" w:bidi="ar-SA"/>
        </w:rPr>
        <w:t>《</w:t>
      </w:r>
      <w:r>
        <w:rPr>
          <w:rFonts w:hint="default" w:ascii="仿宋_GB2312" w:hAnsi="宋体" w:eastAsia="仿宋_GB2312" w:cs="Times New Roman"/>
          <w:b w:val="0"/>
          <w:bCs w:val="0"/>
          <w:color w:val="FF0000"/>
          <w:kern w:val="0"/>
          <w:sz w:val="32"/>
          <w:szCs w:val="28"/>
          <w:lang w:val="zh-CN" w:eastAsia="zh-CN" w:bidi="ar-SA"/>
        </w:rPr>
        <w:t>研学旅行实践承办机构服务与管理规范</w:t>
      </w:r>
      <w:r>
        <w:rPr>
          <w:rFonts w:hint="eastAsia" w:ascii="仿宋_GB2312" w:hAnsi="宋体" w:eastAsia="仿宋_GB2312" w:cs="Times New Roman"/>
          <w:b w:val="0"/>
          <w:bCs w:val="0"/>
          <w:color w:val="FF0000"/>
          <w:kern w:val="0"/>
          <w:sz w:val="32"/>
          <w:szCs w:val="28"/>
          <w:lang w:val="en-US" w:eastAsia="zh-CN" w:bidi="ar-SA"/>
        </w:rPr>
        <w:t>》</w:t>
      </w:r>
      <w:r>
        <w:rPr>
          <w:rFonts w:hint="eastAsia" w:ascii="仿宋_GB2312" w:hAnsi="宋体" w:eastAsia="仿宋_GB2312" w:cs="Times New Roman"/>
          <w:b w:val="0"/>
          <w:bCs w:val="0"/>
          <w:color w:val="FF0000"/>
          <w:kern w:val="0"/>
          <w:sz w:val="32"/>
          <w:szCs w:val="28"/>
          <w:lang w:val="zh-CN" w:eastAsia="zh-CN" w:bidi="ar-SA"/>
        </w:rPr>
        <w:t>与之相比，本</w:t>
      </w:r>
      <w:r>
        <w:rPr>
          <w:rFonts w:hint="eastAsia" w:ascii="仿宋_GB2312" w:hAnsi="宋体" w:eastAsia="仿宋_GB2312" w:cs="Times New Roman"/>
          <w:b w:val="0"/>
          <w:bCs w:val="0"/>
          <w:color w:val="FF0000"/>
          <w:kern w:val="0"/>
          <w:sz w:val="32"/>
          <w:szCs w:val="28"/>
          <w:lang w:val="en-US" w:eastAsia="zh-CN" w:bidi="ar-SA"/>
        </w:rPr>
        <w:t>文</w:t>
      </w:r>
      <w:r>
        <w:rPr>
          <w:rFonts w:hint="eastAsia" w:ascii="仿宋_GB2312" w:hAnsi="宋体" w:eastAsia="仿宋_GB2312" w:cs="Times New Roman"/>
          <w:b w:val="0"/>
          <w:bCs w:val="0"/>
          <w:color w:val="FF0000"/>
          <w:kern w:val="0"/>
          <w:sz w:val="32"/>
          <w:szCs w:val="28"/>
          <w:lang w:val="en-US" w:eastAsia="zh-CN" w:bidi="ar-SA"/>
        </w:rPr>
        <w:t>件在</w:t>
      </w:r>
      <w:r>
        <w:rPr>
          <w:rFonts w:hint="eastAsia" w:ascii="仿宋_GB2312" w:eastAsia="仿宋_GB2312" w:cs="Times New Roman"/>
          <w:b w:val="0"/>
          <w:bCs w:val="0"/>
          <w:color w:val="FF0000"/>
          <w:kern w:val="0"/>
          <w:sz w:val="32"/>
          <w:szCs w:val="28"/>
          <w:lang w:val="en-US" w:eastAsia="zh-CN" w:bidi="ar-SA"/>
        </w:rPr>
        <w:t>符合</w:t>
      </w:r>
      <w:r>
        <w:rPr>
          <w:rFonts w:hint="eastAsia" w:ascii="仿宋_GB2312" w:hAnsi="宋体" w:eastAsia="仿宋_GB2312" w:cs="Times New Roman"/>
          <w:b w:val="0"/>
          <w:bCs w:val="0"/>
          <w:color w:val="FF0000"/>
          <w:kern w:val="0"/>
          <w:sz w:val="32"/>
          <w:szCs w:val="28"/>
          <w:lang w:val="en-US" w:eastAsia="zh-CN" w:bidi="ar-SA"/>
        </w:rPr>
        <w:t>LB/T 054-2016 《研学旅行服务规范》</w:t>
      </w:r>
      <w:r>
        <w:rPr>
          <w:rFonts w:hint="eastAsia" w:ascii="仿宋_GB2312" w:eastAsia="仿宋_GB2312" w:cs="Times New Roman"/>
          <w:b w:val="0"/>
          <w:bCs w:val="0"/>
          <w:color w:val="FF0000"/>
          <w:kern w:val="0"/>
          <w:sz w:val="32"/>
          <w:szCs w:val="28"/>
          <w:lang w:val="en-US" w:eastAsia="zh-CN" w:bidi="ar-SA"/>
        </w:rPr>
        <w:t>要求的</w:t>
      </w:r>
      <w:r>
        <w:rPr>
          <w:rFonts w:hint="eastAsia" w:ascii="仿宋_GB2312" w:hAnsi="宋体" w:eastAsia="仿宋_GB2312" w:cs="Times New Roman"/>
          <w:b w:val="0"/>
          <w:bCs w:val="0"/>
          <w:color w:val="FF0000"/>
          <w:kern w:val="0"/>
          <w:sz w:val="32"/>
          <w:szCs w:val="28"/>
          <w:lang w:val="en-US" w:eastAsia="zh-CN" w:bidi="ar-SA"/>
        </w:rPr>
        <w:t>基础上，</w:t>
      </w:r>
      <w:r>
        <w:rPr>
          <w:rFonts w:hint="eastAsia" w:ascii="仿宋_GB2312" w:eastAsia="仿宋_GB2312" w:cs="Times New Roman"/>
          <w:b w:val="0"/>
          <w:bCs w:val="0"/>
          <w:color w:val="FF0000"/>
          <w:kern w:val="0"/>
          <w:sz w:val="32"/>
          <w:szCs w:val="28"/>
          <w:lang w:val="en-US" w:eastAsia="zh-CN" w:bidi="ar-SA"/>
        </w:rPr>
        <w:t>结合</w:t>
      </w:r>
      <w:r>
        <w:rPr>
          <w:rFonts w:hint="eastAsia" w:ascii="仿宋_GB2312" w:hAnsi="宋体" w:eastAsia="仿宋_GB2312" w:cs="Times New Roman"/>
          <w:b w:val="0"/>
          <w:bCs w:val="0"/>
          <w:color w:val="FF0000"/>
          <w:kern w:val="0"/>
          <w:sz w:val="32"/>
          <w:szCs w:val="28"/>
          <w:lang w:val="en-US" w:eastAsia="zh-CN" w:bidi="ar-SA"/>
        </w:rPr>
        <w:t>对广西研学旅行承办</w:t>
      </w:r>
      <w:r>
        <w:rPr>
          <w:rFonts w:hint="eastAsia" w:ascii="仿宋_GB2312" w:hAnsi="宋体" w:eastAsia="仿宋_GB2312" w:cs="Times New Roman"/>
          <w:b w:val="0"/>
          <w:bCs w:val="0"/>
          <w:color w:val="FF0000"/>
          <w:kern w:val="0"/>
          <w:sz w:val="32"/>
          <w:szCs w:val="28"/>
          <w:lang w:val="en-US" w:eastAsia="zh-CN" w:bidi="ar-SA"/>
        </w:rPr>
        <w:t>机构的调研</w:t>
      </w:r>
      <w:r>
        <w:rPr>
          <w:rFonts w:hint="eastAsia" w:ascii="仿宋_GB2312" w:eastAsia="仿宋_GB2312" w:cs="Times New Roman"/>
          <w:b w:val="0"/>
          <w:bCs w:val="0"/>
          <w:color w:val="FF0000"/>
          <w:kern w:val="0"/>
          <w:sz w:val="32"/>
          <w:szCs w:val="28"/>
          <w:lang w:val="en-US" w:eastAsia="zh-CN" w:bidi="ar-SA"/>
        </w:rPr>
        <w:t>情况</w:t>
      </w:r>
      <w:r>
        <w:rPr>
          <w:rFonts w:hint="eastAsia" w:ascii="仿宋_GB2312" w:hAnsi="宋体" w:eastAsia="仿宋_GB2312" w:cs="Times New Roman"/>
          <w:b w:val="0"/>
          <w:bCs w:val="0"/>
          <w:color w:val="FF0000"/>
          <w:kern w:val="0"/>
          <w:sz w:val="32"/>
          <w:szCs w:val="28"/>
          <w:lang w:val="en-US" w:eastAsia="zh-CN" w:bidi="ar-SA"/>
        </w:rPr>
        <w:t>，明确了“</w:t>
      </w:r>
      <w:r>
        <w:rPr>
          <w:rFonts w:hint="eastAsia" w:ascii="仿宋_GB2312" w:hAnsi="宋体" w:eastAsia="仿宋_GB2312" w:cs="Times New Roman"/>
          <w:b w:val="0"/>
          <w:bCs w:val="0"/>
          <w:color w:val="FF0000"/>
          <w:kern w:val="0"/>
          <w:sz w:val="32"/>
          <w:szCs w:val="28"/>
          <w:lang w:val="zh-CN" w:eastAsia="zh-CN" w:bidi="ar-SA"/>
        </w:rPr>
        <w:t>有固定的经营和办公场宜结合广西红色文化、民族文化、边海文化、非物质文化遗产等特色资源研发研学旅行课程，讲述广西故事，传播广西声音。</w:t>
      </w:r>
      <w:r>
        <w:rPr>
          <w:rFonts w:hint="eastAsia" w:ascii="仿宋_GB2312" w:eastAsia="仿宋_GB2312" w:cs="Times New Roman"/>
          <w:b w:val="0"/>
          <w:bCs w:val="0"/>
          <w:color w:val="FF0000"/>
          <w:kern w:val="0"/>
          <w:sz w:val="32"/>
          <w:szCs w:val="28"/>
          <w:lang w:val="zh-CN" w:eastAsia="zh-CN" w:bidi="ar-SA"/>
        </w:rPr>
        <w:t>”“</w:t>
      </w:r>
      <w:r>
        <w:rPr>
          <w:rFonts w:hint="eastAsia" w:ascii="仿宋_GB2312" w:hAnsi="宋体" w:eastAsia="仿宋_GB2312" w:cs="Times New Roman"/>
          <w:b w:val="0"/>
          <w:bCs w:val="0"/>
          <w:color w:val="FF0000"/>
          <w:kern w:val="0"/>
          <w:sz w:val="32"/>
          <w:szCs w:val="28"/>
          <w:lang w:val="zh-CN" w:eastAsia="zh-CN" w:bidi="ar-SA"/>
        </w:rPr>
        <w:t>经营场所不宜少于200平方米</w:t>
      </w:r>
      <w:r>
        <w:rPr>
          <w:rFonts w:hint="eastAsia" w:ascii="仿宋_GB2312" w:eastAsia="仿宋_GB2312" w:cs="Times New Roman"/>
          <w:b w:val="0"/>
          <w:bCs w:val="0"/>
          <w:color w:val="FF0000"/>
          <w:kern w:val="0"/>
          <w:sz w:val="32"/>
          <w:szCs w:val="28"/>
          <w:lang w:val="zh-CN" w:eastAsia="zh-CN" w:bidi="ar-SA"/>
        </w:rPr>
        <w:t>。</w:t>
      </w:r>
      <w:r>
        <w:rPr>
          <w:rFonts w:hint="eastAsia" w:ascii="仿宋_GB2312" w:hAnsi="宋体" w:eastAsia="仿宋_GB2312" w:cs="Times New Roman"/>
          <w:b w:val="0"/>
          <w:bCs w:val="0"/>
          <w:color w:val="FF0000"/>
          <w:kern w:val="0"/>
          <w:sz w:val="32"/>
          <w:szCs w:val="28"/>
          <w:lang w:val="zh-CN" w:eastAsia="zh-CN" w:bidi="ar-SA"/>
        </w:rPr>
        <w:t>”“宜有承接300 人以上中小学生旅游团队的经验</w:t>
      </w:r>
      <w:r>
        <w:rPr>
          <w:rFonts w:hint="eastAsia" w:ascii="仿宋_GB2312" w:eastAsia="仿宋_GB2312" w:cs="Times New Roman"/>
          <w:b w:val="0"/>
          <w:bCs w:val="0"/>
          <w:color w:val="FF0000"/>
          <w:kern w:val="0"/>
          <w:sz w:val="32"/>
          <w:szCs w:val="28"/>
          <w:lang w:val="zh-CN" w:eastAsia="zh-CN" w:bidi="ar-SA"/>
        </w:rPr>
        <w:t>。</w:t>
      </w:r>
      <w:r>
        <w:rPr>
          <w:rFonts w:hint="eastAsia" w:ascii="仿宋_GB2312" w:hAnsi="宋体" w:eastAsia="仿宋_GB2312" w:cs="Times New Roman"/>
          <w:b w:val="0"/>
          <w:bCs w:val="0"/>
          <w:color w:val="FF0000"/>
          <w:kern w:val="0"/>
          <w:sz w:val="32"/>
          <w:szCs w:val="28"/>
          <w:lang w:val="zh-CN" w:eastAsia="zh-CN" w:bidi="ar-SA"/>
        </w:rPr>
        <w:t>”</w:t>
      </w:r>
      <w:r>
        <w:rPr>
          <w:rFonts w:hint="eastAsia" w:ascii="仿宋_GB2312" w:eastAsia="仿宋_GB2312" w:cs="Times New Roman"/>
          <w:b w:val="0"/>
          <w:bCs w:val="0"/>
          <w:color w:val="FF0000"/>
          <w:kern w:val="0"/>
          <w:sz w:val="32"/>
          <w:szCs w:val="28"/>
          <w:lang w:val="en-US" w:eastAsia="zh-CN" w:bidi="ar-SA"/>
        </w:rPr>
        <w:t>等具有</w:t>
      </w:r>
      <w:r>
        <w:rPr>
          <w:rFonts w:hint="eastAsia" w:ascii="仿宋_GB2312" w:hAnsi="宋体" w:eastAsia="仿宋_GB2312" w:cs="Times New Roman"/>
          <w:b w:val="0"/>
          <w:bCs w:val="0"/>
          <w:color w:val="FF0000"/>
          <w:kern w:val="0"/>
          <w:sz w:val="32"/>
          <w:szCs w:val="28"/>
          <w:lang w:val="en-US" w:eastAsia="zh-CN" w:bidi="ar-SA"/>
        </w:rPr>
        <w:t>广西</w:t>
      </w:r>
      <w:r>
        <w:rPr>
          <w:rFonts w:hint="eastAsia" w:ascii="仿宋_GB2312" w:eastAsia="仿宋_GB2312" w:cs="Times New Roman"/>
          <w:b w:val="0"/>
          <w:bCs w:val="0"/>
          <w:color w:val="FF0000"/>
          <w:kern w:val="0"/>
          <w:sz w:val="32"/>
          <w:szCs w:val="28"/>
          <w:lang w:val="en-US" w:eastAsia="zh-CN" w:bidi="ar-SA"/>
        </w:rPr>
        <w:t>特色的服务规范</w:t>
      </w:r>
      <w:bookmarkStart w:id="62" w:name="_GoBack"/>
      <w:bookmarkEnd w:id="62"/>
      <w:r>
        <w:rPr>
          <w:rFonts w:hint="eastAsia" w:ascii="仿宋_GB2312" w:eastAsia="仿宋_GB2312" w:cs="Times New Roman"/>
          <w:b w:val="0"/>
          <w:bCs w:val="0"/>
          <w:color w:val="FF0000"/>
          <w:kern w:val="0"/>
          <w:sz w:val="32"/>
          <w:szCs w:val="28"/>
          <w:lang w:val="en-US" w:eastAsia="zh-CN" w:bidi="ar-SA"/>
        </w:rPr>
        <w:t>，符合广西研学旅行发展需求，有助于</w:t>
      </w:r>
      <w:r>
        <w:rPr>
          <w:rFonts w:hint="eastAsia" w:ascii="仿宋_GB2312" w:hAnsi="仿宋_GB2312" w:eastAsia="仿宋_GB2312" w:cs="Times New Roman"/>
          <w:b w:val="0"/>
          <w:bCs w:val="0"/>
          <w:color w:val="FF0000"/>
          <w:spacing w:val="2"/>
          <w:kern w:val="0"/>
          <w:sz w:val="32"/>
          <w:szCs w:val="24"/>
          <w:lang w:val="en-US" w:eastAsia="zh-CN" w:bidi="ar-SA"/>
        </w:rPr>
        <w:t>进一步推出研学旅行工作协同性，助力研学目的地品质提升与持续健康发展。</w:t>
      </w:r>
    </w:p>
    <w:p>
      <w:pPr>
        <w:keepNext w:val="0"/>
        <w:keepLines w:val="0"/>
        <w:pageBreakBefore w:val="0"/>
        <w:wordWrap/>
        <w:bidi w:val="0"/>
        <w:spacing w:line="560" w:lineRule="exact"/>
        <w:ind w:firstLine="640" w:firstLineChars="200"/>
        <w:textAlignment w:val="auto"/>
        <w:outlineLvl w:val="0"/>
        <w:rPr>
          <w:rFonts w:ascii="黑体" w:hAnsi="黑体" w:eastAsia="黑体" w:cs="黑体"/>
          <w:bCs/>
          <w:sz w:val="32"/>
          <w:szCs w:val="32"/>
        </w:rPr>
      </w:pPr>
      <w:r>
        <w:rPr>
          <w:rFonts w:hint="eastAsia" w:ascii="黑体" w:hAnsi="黑体" w:eastAsia="黑体" w:cs="黑体"/>
          <w:bCs/>
          <w:sz w:val="32"/>
          <w:szCs w:val="32"/>
          <w:lang w:val="en-US" w:eastAsia="zh-CN"/>
        </w:rPr>
        <w:t>九</w:t>
      </w:r>
      <w:r>
        <w:rPr>
          <w:rFonts w:hint="eastAsia" w:ascii="黑体" w:hAnsi="黑体" w:eastAsia="黑体" w:cs="黑体"/>
          <w:bCs/>
          <w:sz w:val="32"/>
          <w:szCs w:val="32"/>
        </w:rPr>
        <w:t>、重大分歧意见发处理经过和依据</w:t>
      </w:r>
    </w:p>
    <w:p>
      <w:pPr>
        <w:keepNext w:val="0"/>
        <w:keepLines w:val="0"/>
        <w:pageBreakBefore w:val="0"/>
        <w:wordWrap/>
        <w:bidi w:val="0"/>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本标准研制过程中无重大分歧意见。</w:t>
      </w:r>
    </w:p>
    <w:p>
      <w:pPr>
        <w:keepNext w:val="0"/>
        <w:keepLines w:val="0"/>
        <w:pageBreakBefore w:val="0"/>
        <w:wordWrap/>
        <w:bidi w:val="0"/>
        <w:spacing w:line="560" w:lineRule="exact"/>
        <w:ind w:firstLine="640" w:firstLineChars="200"/>
        <w:textAlignment w:val="auto"/>
        <w:outlineLvl w:val="0"/>
        <w:rPr>
          <w:rFonts w:ascii="黑体" w:hAnsi="黑体" w:eastAsia="黑体" w:cs="黑体"/>
          <w:bCs/>
          <w:sz w:val="32"/>
          <w:szCs w:val="32"/>
        </w:rPr>
      </w:pPr>
      <w:r>
        <w:rPr>
          <w:rFonts w:hint="eastAsia" w:ascii="黑体" w:hAnsi="黑体" w:eastAsia="黑体" w:cs="黑体"/>
          <w:bCs/>
          <w:sz w:val="32"/>
          <w:szCs w:val="32"/>
          <w:lang w:val="en-US" w:eastAsia="zh-CN"/>
        </w:rPr>
        <w:t>十</w:t>
      </w:r>
      <w:r>
        <w:rPr>
          <w:rFonts w:ascii="黑体" w:hAnsi="黑体" w:eastAsia="黑体" w:cs="黑体"/>
          <w:bCs/>
          <w:sz w:val="32"/>
          <w:szCs w:val="32"/>
        </w:rPr>
        <w:t>、</w:t>
      </w:r>
      <w:r>
        <w:rPr>
          <w:rFonts w:hint="eastAsia" w:ascii="黑体" w:hAnsi="黑体" w:eastAsia="黑体" w:cs="黑体"/>
          <w:bCs/>
          <w:sz w:val="32"/>
          <w:szCs w:val="32"/>
        </w:rPr>
        <w:t>实施标准的措施</w:t>
      </w:r>
    </w:p>
    <w:p>
      <w:pPr>
        <w:keepNext w:val="0"/>
        <w:keepLines w:val="0"/>
        <w:pageBreakBefore w:val="0"/>
        <w:wordWrap/>
        <w:bidi w:val="0"/>
        <w:spacing w:line="52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（一）团体标准《研学旅行承办机构服务</w:t>
      </w:r>
      <w:r>
        <w:rPr>
          <w:rFonts w:hint="eastAsia" w:ascii="仿宋_GB2312" w:hAnsi="宋体" w:eastAsia="仿宋_GB2312"/>
          <w:sz w:val="32"/>
          <w:szCs w:val="28"/>
          <w:lang w:val="en-US" w:eastAsia="zh-CN"/>
        </w:rPr>
        <w:t>规范</w:t>
      </w:r>
      <w:r>
        <w:rPr>
          <w:rFonts w:hint="eastAsia" w:ascii="仿宋_GB2312" w:hAnsi="宋体" w:eastAsia="仿宋_GB2312"/>
          <w:sz w:val="32"/>
          <w:szCs w:val="28"/>
          <w:lang w:val="zh-CN"/>
        </w:rPr>
        <w:t>》发布后，积极</w:t>
      </w:r>
      <w:r>
        <w:rPr>
          <w:rFonts w:hint="eastAsia" w:ascii="仿宋_GB2312" w:hAnsi="宋体" w:eastAsia="仿宋_GB2312"/>
          <w:sz w:val="32"/>
          <w:szCs w:val="28"/>
          <w:lang w:val="en-US" w:eastAsia="zh-CN"/>
        </w:rPr>
        <w:t>推广</w:t>
      </w:r>
      <w:r>
        <w:rPr>
          <w:rFonts w:hint="eastAsia" w:ascii="仿宋_GB2312" w:hAnsi="宋体" w:eastAsia="仿宋_GB2312"/>
          <w:sz w:val="32"/>
          <w:szCs w:val="28"/>
          <w:lang w:val="zh-CN"/>
        </w:rPr>
        <w:t>研学旅行承办机构服务</w:t>
      </w:r>
      <w:r>
        <w:rPr>
          <w:rFonts w:hint="eastAsia" w:ascii="仿宋_GB2312" w:hAnsi="宋体" w:eastAsia="仿宋_GB2312"/>
          <w:sz w:val="32"/>
          <w:szCs w:val="28"/>
          <w:lang w:val="en-US" w:eastAsia="zh-CN"/>
        </w:rPr>
        <w:t>规范</w:t>
      </w:r>
      <w:r>
        <w:rPr>
          <w:rFonts w:hint="eastAsia" w:ascii="仿宋_GB2312" w:hAnsi="宋体" w:eastAsia="仿宋_GB2312"/>
          <w:sz w:val="32"/>
          <w:szCs w:val="28"/>
          <w:lang w:val="zh-CN"/>
        </w:rPr>
        <w:t>的立意构想、原则、要求、注意事项等进行宣讲，以利于执行。</w:t>
      </w:r>
    </w:p>
    <w:p>
      <w:pPr>
        <w:keepNext w:val="0"/>
        <w:keepLines w:val="0"/>
        <w:pageBreakBefore w:val="0"/>
        <w:wordWrap/>
        <w:bidi w:val="0"/>
        <w:spacing w:line="520" w:lineRule="exact"/>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（二）由牵头起草单位、主要起草单位和核心成员举办专题培训班，以促进本标准的贯彻实施。</w:t>
      </w:r>
    </w:p>
    <w:p>
      <w:pPr>
        <w:keepNext w:val="0"/>
        <w:keepLines w:val="0"/>
        <w:pageBreakBefore w:val="0"/>
        <w:wordWrap/>
        <w:bidi w:val="0"/>
        <w:spacing w:line="560" w:lineRule="exact"/>
        <w:ind w:firstLine="640" w:firstLineChars="200"/>
        <w:textAlignment w:val="auto"/>
        <w:outlineLvl w:val="0"/>
        <w:rPr>
          <w:rFonts w:ascii="黑体" w:hAnsi="黑体" w:eastAsia="黑体" w:cs="黑体"/>
          <w:bCs/>
          <w:sz w:val="32"/>
          <w:szCs w:val="32"/>
        </w:rPr>
      </w:pPr>
      <w:r>
        <w:rPr>
          <w:rFonts w:hint="eastAsia" w:ascii="黑体" w:hAnsi="黑体" w:eastAsia="黑体" w:cs="黑体"/>
          <w:bCs/>
          <w:sz w:val="32"/>
          <w:szCs w:val="32"/>
          <w:lang w:val="en-US" w:eastAsia="zh-CN"/>
        </w:rPr>
        <w:t>十一</w:t>
      </w:r>
      <w:r>
        <w:rPr>
          <w:rFonts w:hint="eastAsia" w:ascii="黑体" w:hAnsi="黑体" w:eastAsia="黑体" w:cs="黑体"/>
          <w:bCs/>
          <w:sz w:val="32"/>
          <w:szCs w:val="32"/>
        </w:rPr>
        <w:t>、自我承诺</w:t>
      </w:r>
    </w:p>
    <w:p>
      <w:pPr>
        <w:keepNext w:val="0"/>
        <w:keepLines w:val="0"/>
        <w:pageBreakBefore w:val="0"/>
        <w:wordWrap/>
        <w:bidi w:val="0"/>
        <w:ind w:firstLine="640" w:firstLineChars="200"/>
        <w:textAlignment w:val="auto"/>
        <w:rPr>
          <w:rFonts w:ascii="仿宋_GB2312" w:hAnsi="宋体" w:eastAsia="仿宋_GB2312"/>
          <w:sz w:val="32"/>
          <w:szCs w:val="28"/>
          <w:lang w:val="zh-CN"/>
        </w:rPr>
      </w:pPr>
      <w:r>
        <w:rPr>
          <w:rFonts w:hint="eastAsia" w:ascii="仿宋_GB2312" w:hAnsi="宋体" w:eastAsia="仿宋_GB2312"/>
          <w:sz w:val="32"/>
          <w:szCs w:val="28"/>
          <w:lang w:val="zh-CN"/>
        </w:rPr>
        <w:t>本标准内容与各项指标不低于强制性标准要求。</w:t>
      </w:r>
    </w:p>
    <w:p>
      <w:pPr>
        <w:keepNext w:val="0"/>
        <w:keepLines w:val="0"/>
        <w:pageBreakBefore w:val="0"/>
        <w:wordWrap/>
        <w:bidi w:val="0"/>
        <w:ind w:firstLine="640" w:firstLineChars="200"/>
        <w:textAlignment w:val="auto"/>
        <w:rPr>
          <w:rFonts w:ascii="仿宋_GB2312" w:hAnsi="宋体" w:eastAsia="仿宋_GB2312"/>
          <w:sz w:val="32"/>
          <w:szCs w:val="28"/>
          <w:lang w:val="zh-CN"/>
        </w:rPr>
      </w:pPr>
    </w:p>
    <w:p>
      <w:pPr>
        <w:keepNext w:val="0"/>
        <w:keepLines w:val="0"/>
        <w:pageBreakBefore w:val="0"/>
        <w:wordWrap/>
        <w:bidi w:val="0"/>
        <w:ind w:firstLine="640" w:firstLineChars="200"/>
        <w:jc w:val="right"/>
        <w:textAlignment w:val="auto"/>
        <w:rPr>
          <w:rFonts w:ascii="仿宋_GB2312" w:hAnsi="宋体" w:eastAsia="仿宋_GB2312"/>
          <w:sz w:val="32"/>
          <w:szCs w:val="28"/>
          <w:lang w:val="zh-CN"/>
        </w:rPr>
      </w:pPr>
      <w:r>
        <w:rPr>
          <w:rFonts w:hint="eastAsia" w:ascii="仿宋_GB2312" w:hAnsi="宋体" w:eastAsia="仿宋_GB2312"/>
          <w:sz w:val="32"/>
          <w:szCs w:val="28"/>
          <w:lang w:val="zh-CN"/>
        </w:rPr>
        <w:t>团体标准《研学旅行承办机构服务</w:t>
      </w:r>
      <w:r>
        <w:rPr>
          <w:rFonts w:hint="eastAsia" w:ascii="仿宋_GB2312" w:hAnsi="宋体" w:eastAsia="仿宋_GB2312"/>
          <w:sz w:val="32"/>
          <w:szCs w:val="28"/>
          <w:lang w:val="en-US" w:eastAsia="zh-CN"/>
        </w:rPr>
        <w:t>规范</w:t>
      </w:r>
      <w:r>
        <w:rPr>
          <w:rFonts w:hint="eastAsia" w:ascii="仿宋_GB2312" w:hAnsi="宋体" w:eastAsia="仿宋_GB2312"/>
          <w:sz w:val="32"/>
          <w:szCs w:val="28"/>
          <w:lang w:val="zh-CN"/>
        </w:rPr>
        <w:t>》标准编制小组</w:t>
      </w:r>
    </w:p>
    <w:p>
      <w:pPr>
        <w:keepNext w:val="0"/>
        <w:keepLines w:val="0"/>
        <w:pageBreakBefore w:val="0"/>
        <w:widowControl w:val="0"/>
        <w:numPr>
          <w:ilvl w:val="0"/>
          <w:numId w:val="0"/>
        </w:numPr>
        <w:kinsoku/>
        <w:wordWrap/>
        <w:overflowPunct/>
        <w:topLinePunct w:val="0"/>
        <w:autoSpaceDE/>
        <w:autoSpaceDN/>
        <w:bidi w:val="0"/>
        <w:adjustRightInd/>
        <w:snapToGrid/>
        <w:spacing w:before="313" w:beforeLines="100" w:after="313" w:afterLines="100" w:line="20" w:lineRule="atLeast"/>
        <w:ind w:right="480" w:rightChars="200" w:firstLine="640" w:firstLineChars="200"/>
        <w:jc w:val="right"/>
        <w:textAlignment w:val="auto"/>
        <w:rPr>
          <w:rFonts w:hint="eastAsia" w:ascii="Times New Roman" w:hAnsi="Times New Roman" w:eastAsia="仿宋_GB2312" w:cs="Times New Roman"/>
          <w:sz w:val="32"/>
          <w:szCs w:val="32"/>
          <w:lang w:val="en-US" w:eastAsia="zh-CN"/>
        </w:rPr>
      </w:pPr>
      <w:r>
        <w:rPr>
          <w:rFonts w:hint="eastAsia" w:ascii="仿宋_GB2312" w:hAnsi="宋体" w:eastAsia="仿宋_GB2312"/>
          <w:sz w:val="32"/>
          <w:szCs w:val="28"/>
          <w:lang w:val="zh-CN"/>
        </w:rPr>
        <w:t xml:space="preserve">                </w:t>
      </w:r>
      <w:r>
        <w:rPr>
          <w:rFonts w:hint="eastAsia" w:ascii="仿宋_GB2312" w:hAnsi="宋体" w:eastAsia="仿宋_GB2312"/>
          <w:sz w:val="32"/>
          <w:szCs w:val="28"/>
          <w:lang w:val="en-US" w:eastAsia="zh-CN"/>
        </w:rPr>
        <w:t xml:space="preserve">     </w:t>
      </w:r>
      <w:r>
        <w:rPr>
          <w:rFonts w:hint="eastAsia" w:ascii="仿宋_GB2312" w:hAnsi="宋体" w:eastAsia="仿宋_GB2312"/>
          <w:sz w:val="32"/>
          <w:szCs w:val="28"/>
          <w:lang w:val="zh-CN"/>
        </w:rPr>
        <w:t xml:space="preserve">     202</w:t>
      </w:r>
      <w:r>
        <w:rPr>
          <w:rFonts w:ascii="仿宋_GB2312" w:hAnsi="宋体" w:eastAsia="仿宋_GB2312"/>
          <w:sz w:val="32"/>
          <w:szCs w:val="28"/>
          <w:lang w:val="zh-CN"/>
        </w:rPr>
        <w:t>3</w:t>
      </w:r>
      <w:r>
        <w:rPr>
          <w:rFonts w:hint="eastAsia" w:ascii="仿宋_GB2312" w:hAnsi="宋体" w:eastAsia="仿宋_GB2312"/>
          <w:sz w:val="32"/>
          <w:szCs w:val="28"/>
          <w:lang w:val="zh-CN"/>
        </w:rPr>
        <w:t>年</w:t>
      </w:r>
      <w:r>
        <w:rPr>
          <w:rFonts w:hint="eastAsia" w:ascii="仿宋_GB2312" w:hAnsi="宋体" w:eastAsia="仿宋_GB2312"/>
          <w:sz w:val="32"/>
          <w:szCs w:val="28"/>
          <w:lang w:val="en-US" w:eastAsia="zh-CN"/>
        </w:rPr>
        <w:t>10</w:t>
      </w:r>
      <w:r>
        <w:rPr>
          <w:rFonts w:hint="eastAsia" w:ascii="仿宋_GB2312" w:hAnsi="宋体" w:eastAsia="仿宋_GB2312"/>
          <w:sz w:val="32"/>
          <w:szCs w:val="28"/>
          <w:lang w:val="zh-CN"/>
        </w:rPr>
        <w:t>月</w:t>
      </w:r>
      <w:r>
        <w:rPr>
          <w:rFonts w:hint="eastAsia" w:ascii="仿宋_GB2312" w:hAnsi="宋体" w:eastAsia="仿宋_GB2312"/>
          <w:sz w:val="32"/>
          <w:szCs w:val="28"/>
          <w:lang w:val="en-US" w:eastAsia="zh-CN"/>
        </w:rPr>
        <w:t>13</w:t>
      </w:r>
      <w:r>
        <w:rPr>
          <w:rFonts w:hint="eastAsia" w:ascii="仿宋_GB2312" w:hAnsi="宋体" w:eastAsia="仿宋_GB2312"/>
          <w:sz w:val="32"/>
          <w:szCs w:val="28"/>
          <w:lang w:val="zh-CN"/>
        </w:rPr>
        <w:t>日</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C91163"/>
    <w:multiLevelType w:val="multilevel"/>
    <w:tmpl w:val="1FC91163"/>
    <w:lvl w:ilvl="0" w:tentative="0">
      <w:start w:val="1"/>
      <w:numFmt w:val="decimal"/>
      <w:suff w:val="nothing"/>
      <w:lvlText w:val="%1　"/>
      <w:lvlJc w:val="left"/>
      <w:pPr>
        <w:ind w:left="0" w:firstLine="0"/>
      </w:pPr>
      <w:rPr>
        <w:rFonts w:hint="eastAsia" w:ascii="黑体" w:hAnsi="Times New Roman" w:eastAsia="黑体"/>
        <w:b w:val="0"/>
        <w:i w:val="0"/>
        <w:sz w:val="21"/>
        <w:szCs w:val="21"/>
      </w:rPr>
    </w:lvl>
    <w:lvl w:ilvl="1" w:tentative="0">
      <w:start w:val="1"/>
      <w:numFmt w:val="decimal"/>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pStyle w:val="15"/>
      <w:suff w:val="nothing"/>
      <w:lvlText w:val="%1.%2.%3　"/>
      <w:lvlJc w:val="left"/>
      <w:pPr>
        <w:ind w:left="142"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
    <w:nsid w:val="365A3C74"/>
    <w:multiLevelType w:val="multilevel"/>
    <w:tmpl w:val="365A3C74"/>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pStyle w:val="11"/>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583F8028"/>
    <w:multiLevelType w:val="singleLevel"/>
    <w:tmpl w:val="583F8028"/>
    <w:lvl w:ilvl="0" w:tentative="0">
      <w:start w:val="4"/>
      <w:numFmt w:val="chineseCounting"/>
      <w:suff w:val="nothing"/>
      <w:lvlText w:val="（%1）"/>
      <w:lvlJc w:val="left"/>
      <w:rPr>
        <w:rFonts w:hint="eastAsia"/>
      </w:rPr>
    </w:lvl>
  </w:abstractNum>
  <w:abstractNum w:abstractNumId="3">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pStyle w:val="16"/>
      <w:suff w:val="nothing"/>
      <w:lvlText w:val="%1%2　"/>
      <w:lvlJc w:val="left"/>
      <w:pPr>
        <w:ind w:left="0" w:firstLine="0"/>
      </w:pPr>
      <w:rPr>
        <w:rFonts w:hint="eastAsia" w:ascii="黑体" w:eastAsia="黑体"/>
        <w:b w:val="0"/>
        <w:i w:val="0"/>
        <w:sz w:val="21"/>
      </w:rPr>
    </w:lvl>
    <w:lvl w:ilvl="2" w:tentative="0">
      <w:start w:val="1"/>
      <w:numFmt w:val="decimal"/>
      <w:pStyle w:val="17"/>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3" w:tentative="0">
      <w:start w:val="1"/>
      <w:numFmt w:val="decimal"/>
      <w:suff w:val="nothing"/>
      <w:lvlText w:val="%1%2.%3.%4　"/>
      <w:lvlJc w:val="left"/>
      <w:pPr>
        <w:ind w:left="3260"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IzNmQxYWI0Y2E1ZGE4YTI3ZGQxMmQ0NzdhNmRjOTUifQ=="/>
  </w:docVars>
  <w:rsids>
    <w:rsidRoot w:val="00000000"/>
    <w:rsid w:val="000F0F3E"/>
    <w:rsid w:val="001537A8"/>
    <w:rsid w:val="001F06CD"/>
    <w:rsid w:val="00374F85"/>
    <w:rsid w:val="006B4F50"/>
    <w:rsid w:val="009F46CA"/>
    <w:rsid w:val="00CA7D47"/>
    <w:rsid w:val="00FB7766"/>
    <w:rsid w:val="00FC2528"/>
    <w:rsid w:val="010A40AF"/>
    <w:rsid w:val="011B7D72"/>
    <w:rsid w:val="01532BDE"/>
    <w:rsid w:val="0172066B"/>
    <w:rsid w:val="01757831"/>
    <w:rsid w:val="017A773E"/>
    <w:rsid w:val="017F533B"/>
    <w:rsid w:val="01B203CB"/>
    <w:rsid w:val="01B73D97"/>
    <w:rsid w:val="01C2302F"/>
    <w:rsid w:val="01C610D5"/>
    <w:rsid w:val="01DA3A5B"/>
    <w:rsid w:val="01F32945"/>
    <w:rsid w:val="0212265C"/>
    <w:rsid w:val="022D0682"/>
    <w:rsid w:val="023D3150"/>
    <w:rsid w:val="02497934"/>
    <w:rsid w:val="025916E8"/>
    <w:rsid w:val="027B2CBA"/>
    <w:rsid w:val="031A1C08"/>
    <w:rsid w:val="034D45D4"/>
    <w:rsid w:val="03583B2D"/>
    <w:rsid w:val="036D65E2"/>
    <w:rsid w:val="03754DF1"/>
    <w:rsid w:val="03823EDA"/>
    <w:rsid w:val="03C600A2"/>
    <w:rsid w:val="03CA33A2"/>
    <w:rsid w:val="03F27338"/>
    <w:rsid w:val="042A2EB0"/>
    <w:rsid w:val="04646525"/>
    <w:rsid w:val="048D26A3"/>
    <w:rsid w:val="0497488C"/>
    <w:rsid w:val="04976D62"/>
    <w:rsid w:val="04A84A1A"/>
    <w:rsid w:val="04A94A78"/>
    <w:rsid w:val="04C479DE"/>
    <w:rsid w:val="05137C28"/>
    <w:rsid w:val="051E3324"/>
    <w:rsid w:val="05350432"/>
    <w:rsid w:val="05555C35"/>
    <w:rsid w:val="05600A76"/>
    <w:rsid w:val="05777F14"/>
    <w:rsid w:val="058B64C8"/>
    <w:rsid w:val="05DE11B6"/>
    <w:rsid w:val="05E63AAF"/>
    <w:rsid w:val="05F352BF"/>
    <w:rsid w:val="05F44033"/>
    <w:rsid w:val="0602684E"/>
    <w:rsid w:val="0619442B"/>
    <w:rsid w:val="06280D51"/>
    <w:rsid w:val="062A356E"/>
    <w:rsid w:val="0672092B"/>
    <w:rsid w:val="0681559D"/>
    <w:rsid w:val="06B403C2"/>
    <w:rsid w:val="06CC3580"/>
    <w:rsid w:val="06D13544"/>
    <w:rsid w:val="06D840D9"/>
    <w:rsid w:val="06DC0977"/>
    <w:rsid w:val="06E948E5"/>
    <w:rsid w:val="07035290"/>
    <w:rsid w:val="07127E02"/>
    <w:rsid w:val="071830E4"/>
    <w:rsid w:val="07356E4F"/>
    <w:rsid w:val="075240A9"/>
    <w:rsid w:val="07813B99"/>
    <w:rsid w:val="07913A67"/>
    <w:rsid w:val="07A32A22"/>
    <w:rsid w:val="07D51144"/>
    <w:rsid w:val="07F1061B"/>
    <w:rsid w:val="07FB140F"/>
    <w:rsid w:val="080801ED"/>
    <w:rsid w:val="08091CAB"/>
    <w:rsid w:val="08324D6F"/>
    <w:rsid w:val="08433995"/>
    <w:rsid w:val="085F1E3E"/>
    <w:rsid w:val="088A074D"/>
    <w:rsid w:val="08B227F4"/>
    <w:rsid w:val="08BC1681"/>
    <w:rsid w:val="08F865D0"/>
    <w:rsid w:val="08FB73D5"/>
    <w:rsid w:val="090C7653"/>
    <w:rsid w:val="0920246E"/>
    <w:rsid w:val="09231C1F"/>
    <w:rsid w:val="09336F79"/>
    <w:rsid w:val="095026F0"/>
    <w:rsid w:val="09664DA1"/>
    <w:rsid w:val="096F54EC"/>
    <w:rsid w:val="097F55EA"/>
    <w:rsid w:val="09A20EE3"/>
    <w:rsid w:val="09AA527E"/>
    <w:rsid w:val="09AA5E7D"/>
    <w:rsid w:val="0A057B04"/>
    <w:rsid w:val="0A1E1332"/>
    <w:rsid w:val="0A2D0189"/>
    <w:rsid w:val="0A4B278A"/>
    <w:rsid w:val="0A7461F2"/>
    <w:rsid w:val="0A781841"/>
    <w:rsid w:val="0A7D55ED"/>
    <w:rsid w:val="0A8444F5"/>
    <w:rsid w:val="0AA206E7"/>
    <w:rsid w:val="0AC74B32"/>
    <w:rsid w:val="0ACB327E"/>
    <w:rsid w:val="0ACB7C3C"/>
    <w:rsid w:val="0AFB3396"/>
    <w:rsid w:val="0B134B30"/>
    <w:rsid w:val="0B4334CE"/>
    <w:rsid w:val="0B6847C8"/>
    <w:rsid w:val="0B8037D1"/>
    <w:rsid w:val="0B821C83"/>
    <w:rsid w:val="0B8E22AC"/>
    <w:rsid w:val="0B9F739A"/>
    <w:rsid w:val="0BFA127B"/>
    <w:rsid w:val="0C13650A"/>
    <w:rsid w:val="0C1F696D"/>
    <w:rsid w:val="0C2A76FD"/>
    <w:rsid w:val="0CA322C4"/>
    <w:rsid w:val="0CC566AE"/>
    <w:rsid w:val="0CEC16AA"/>
    <w:rsid w:val="0CED4DC1"/>
    <w:rsid w:val="0CF60868"/>
    <w:rsid w:val="0CF82284"/>
    <w:rsid w:val="0D02360C"/>
    <w:rsid w:val="0D056480"/>
    <w:rsid w:val="0D1671CC"/>
    <w:rsid w:val="0D406C32"/>
    <w:rsid w:val="0D5A71C2"/>
    <w:rsid w:val="0D843CD6"/>
    <w:rsid w:val="0DAC5151"/>
    <w:rsid w:val="0DB8731C"/>
    <w:rsid w:val="0DBB7B04"/>
    <w:rsid w:val="0DC47B99"/>
    <w:rsid w:val="0DD134E7"/>
    <w:rsid w:val="0DE54943"/>
    <w:rsid w:val="0DFB08D8"/>
    <w:rsid w:val="0E0409A1"/>
    <w:rsid w:val="0E236E8B"/>
    <w:rsid w:val="0E2C49F4"/>
    <w:rsid w:val="0E4F345A"/>
    <w:rsid w:val="0E6A2C61"/>
    <w:rsid w:val="0E6F1961"/>
    <w:rsid w:val="0E880D3E"/>
    <w:rsid w:val="0EA87269"/>
    <w:rsid w:val="0EAB7550"/>
    <w:rsid w:val="0EB95635"/>
    <w:rsid w:val="0EC1381B"/>
    <w:rsid w:val="0ED31895"/>
    <w:rsid w:val="0EF93D5A"/>
    <w:rsid w:val="0F0044EC"/>
    <w:rsid w:val="0F0C3CFD"/>
    <w:rsid w:val="0F1D59AF"/>
    <w:rsid w:val="0F2F0865"/>
    <w:rsid w:val="0F75106D"/>
    <w:rsid w:val="0F7A2CFC"/>
    <w:rsid w:val="0F8620D3"/>
    <w:rsid w:val="0FAC1A49"/>
    <w:rsid w:val="109D4EB8"/>
    <w:rsid w:val="10BD488B"/>
    <w:rsid w:val="10CB0C6A"/>
    <w:rsid w:val="110B4409"/>
    <w:rsid w:val="110F1707"/>
    <w:rsid w:val="11174323"/>
    <w:rsid w:val="11222A2D"/>
    <w:rsid w:val="112B75F4"/>
    <w:rsid w:val="11467041"/>
    <w:rsid w:val="11583706"/>
    <w:rsid w:val="115A6CC6"/>
    <w:rsid w:val="11614F23"/>
    <w:rsid w:val="118534F5"/>
    <w:rsid w:val="119A1D12"/>
    <w:rsid w:val="11D85184"/>
    <w:rsid w:val="12602101"/>
    <w:rsid w:val="1272242B"/>
    <w:rsid w:val="12847D10"/>
    <w:rsid w:val="12B224AE"/>
    <w:rsid w:val="12CA0F14"/>
    <w:rsid w:val="12E37AF2"/>
    <w:rsid w:val="13044FF8"/>
    <w:rsid w:val="130C6807"/>
    <w:rsid w:val="13227D98"/>
    <w:rsid w:val="13517B9C"/>
    <w:rsid w:val="137770C7"/>
    <w:rsid w:val="137C2D61"/>
    <w:rsid w:val="13936FD7"/>
    <w:rsid w:val="139777ED"/>
    <w:rsid w:val="139A2A13"/>
    <w:rsid w:val="13AB680D"/>
    <w:rsid w:val="13E97CFE"/>
    <w:rsid w:val="13FA3190"/>
    <w:rsid w:val="14040817"/>
    <w:rsid w:val="14047487"/>
    <w:rsid w:val="14243786"/>
    <w:rsid w:val="142A3B2F"/>
    <w:rsid w:val="144124DA"/>
    <w:rsid w:val="148159FD"/>
    <w:rsid w:val="14891A12"/>
    <w:rsid w:val="14A25B28"/>
    <w:rsid w:val="14CC6E7F"/>
    <w:rsid w:val="14FB5242"/>
    <w:rsid w:val="14FB537E"/>
    <w:rsid w:val="15031EA5"/>
    <w:rsid w:val="1505092E"/>
    <w:rsid w:val="15121A1C"/>
    <w:rsid w:val="155D0269"/>
    <w:rsid w:val="156404B5"/>
    <w:rsid w:val="15662802"/>
    <w:rsid w:val="15857DCB"/>
    <w:rsid w:val="15A52674"/>
    <w:rsid w:val="15B349CF"/>
    <w:rsid w:val="15B63BB6"/>
    <w:rsid w:val="15C27E10"/>
    <w:rsid w:val="15C45228"/>
    <w:rsid w:val="15DF7D03"/>
    <w:rsid w:val="160306F3"/>
    <w:rsid w:val="16083610"/>
    <w:rsid w:val="16424442"/>
    <w:rsid w:val="16454D29"/>
    <w:rsid w:val="16787654"/>
    <w:rsid w:val="168439EC"/>
    <w:rsid w:val="16866319"/>
    <w:rsid w:val="16A55FBE"/>
    <w:rsid w:val="16DB0D4B"/>
    <w:rsid w:val="16DE2CB8"/>
    <w:rsid w:val="16F300FE"/>
    <w:rsid w:val="17127547"/>
    <w:rsid w:val="17160B50"/>
    <w:rsid w:val="1760751C"/>
    <w:rsid w:val="177A2025"/>
    <w:rsid w:val="17914A5B"/>
    <w:rsid w:val="17AC4A18"/>
    <w:rsid w:val="17B32267"/>
    <w:rsid w:val="17CE4079"/>
    <w:rsid w:val="17D35167"/>
    <w:rsid w:val="17FC2A4F"/>
    <w:rsid w:val="184B291D"/>
    <w:rsid w:val="18587E3C"/>
    <w:rsid w:val="1895161D"/>
    <w:rsid w:val="18A82387"/>
    <w:rsid w:val="18AE32C0"/>
    <w:rsid w:val="19191B27"/>
    <w:rsid w:val="193E1010"/>
    <w:rsid w:val="195D7D05"/>
    <w:rsid w:val="19635544"/>
    <w:rsid w:val="196D719B"/>
    <w:rsid w:val="198158BA"/>
    <w:rsid w:val="19827A78"/>
    <w:rsid w:val="198A519F"/>
    <w:rsid w:val="199124DA"/>
    <w:rsid w:val="19A00CBE"/>
    <w:rsid w:val="19B12347"/>
    <w:rsid w:val="19B17442"/>
    <w:rsid w:val="19B22693"/>
    <w:rsid w:val="19D92B17"/>
    <w:rsid w:val="19EC3D3D"/>
    <w:rsid w:val="1A076FDF"/>
    <w:rsid w:val="1A1B46C7"/>
    <w:rsid w:val="1A203746"/>
    <w:rsid w:val="1A580CFE"/>
    <w:rsid w:val="1A636DAF"/>
    <w:rsid w:val="1AAB26E2"/>
    <w:rsid w:val="1AF97C94"/>
    <w:rsid w:val="1B0315A4"/>
    <w:rsid w:val="1B0E41F2"/>
    <w:rsid w:val="1B100D8F"/>
    <w:rsid w:val="1B1F09DB"/>
    <w:rsid w:val="1B432592"/>
    <w:rsid w:val="1B4829E7"/>
    <w:rsid w:val="1B580E2C"/>
    <w:rsid w:val="1B655F87"/>
    <w:rsid w:val="1B726CD9"/>
    <w:rsid w:val="1B791DA4"/>
    <w:rsid w:val="1B89373C"/>
    <w:rsid w:val="1B8A6B61"/>
    <w:rsid w:val="1B8C565B"/>
    <w:rsid w:val="1B8D6D3F"/>
    <w:rsid w:val="1B9E6F9F"/>
    <w:rsid w:val="1BAB36D4"/>
    <w:rsid w:val="1BE46FF7"/>
    <w:rsid w:val="1BE779B9"/>
    <w:rsid w:val="1C003471"/>
    <w:rsid w:val="1C0264D6"/>
    <w:rsid w:val="1C08127B"/>
    <w:rsid w:val="1C1A7677"/>
    <w:rsid w:val="1C2D0242"/>
    <w:rsid w:val="1C472192"/>
    <w:rsid w:val="1C516AB2"/>
    <w:rsid w:val="1C5F5D64"/>
    <w:rsid w:val="1C635354"/>
    <w:rsid w:val="1C643BB5"/>
    <w:rsid w:val="1C71047D"/>
    <w:rsid w:val="1C7F5BD5"/>
    <w:rsid w:val="1C8F5074"/>
    <w:rsid w:val="1CA1309A"/>
    <w:rsid w:val="1CC85854"/>
    <w:rsid w:val="1CCA254A"/>
    <w:rsid w:val="1CD5439F"/>
    <w:rsid w:val="1CD967C2"/>
    <w:rsid w:val="1CFC63A6"/>
    <w:rsid w:val="1D2625B8"/>
    <w:rsid w:val="1D2E4C9E"/>
    <w:rsid w:val="1D62244F"/>
    <w:rsid w:val="1D7E63B7"/>
    <w:rsid w:val="1D9C48EC"/>
    <w:rsid w:val="1DE57DFC"/>
    <w:rsid w:val="1E2442BA"/>
    <w:rsid w:val="1E4A1F6D"/>
    <w:rsid w:val="1E4F38FC"/>
    <w:rsid w:val="1E50386B"/>
    <w:rsid w:val="1E7124A0"/>
    <w:rsid w:val="1E83084D"/>
    <w:rsid w:val="1E9A0574"/>
    <w:rsid w:val="1ECC226F"/>
    <w:rsid w:val="1ED24731"/>
    <w:rsid w:val="1EEA1595"/>
    <w:rsid w:val="1EEF3424"/>
    <w:rsid w:val="1EF75F3F"/>
    <w:rsid w:val="1F004140"/>
    <w:rsid w:val="1F0908EC"/>
    <w:rsid w:val="1F1A7484"/>
    <w:rsid w:val="1F46659C"/>
    <w:rsid w:val="1F4805CC"/>
    <w:rsid w:val="1F6B3637"/>
    <w:rsid w:val="1F775591"/>
    <w:rsid w:val="1FE4605A"/>
    <w:rsid w:val="1FF757D5"/>
    <w:rsid w:val="20335C31"/>
    <w:rsid w:val="20342EF5"/>
    <w:rsid w:val="204D3124"/>
    <w:rsid w:val="205912C2"/>
    <w:rsid w:val="20674614"/>
    <w:rsid w:val="20AE54E5"/>
    <w:rsid w:val="20B561E4"/>
    <w:rsid w:val="20B577E5"/>
    <w:rsid w:val="20E13F70"/>
    <w:rsid w:val="20EE69A7"/>
    <w:rsid w:val="21147F57"/>
    <w:rsid w:val="211A411E"/>
    <w:rsid w:val="213875D0"/>
    <w:rsid w:val="214C1679"/>
    <w:rsid w:val="216B1EB6"/>
    <w:rsid w:val="21856D75"/>
    <w:rsid w:val="219C1315"/>
    <w:rsid w:val="21B35E0F"/>
    <w:rsid w:val="21CE01D2"/>
    <w:rsid w:val="22026E13"/>
    <w:rsid w:val="221F6877"/>
    <w:rsid w:val="225412F1"/>
    <w:rsid w:val="229072F9"/>
    <w:rsid w:val="22921AE1"/>
    <w:rsid w:val="229667DF"/>
    <w:rsid w:val="22B20386"/>
    <w:rsid w:val="22F760C2"/>
    <w:rsid w:val="23072964"/>
    <w:rsid w:val="230C2CD5"/>
    <w:rsid w:val="23124EB1"/>
    <w:rsid w:val="2330379F"/>
    <w:rsid w:val="23683BE2"/>
    <w:rsid w:val="239723D6"/>
    <w:rsid w:val="23D511AE"/>
    <w:rsid w:val="24276638"/>
    <w:rsid w:val="24802C00"/>
    <w:rsid w:val="24990B64"/>
    <w:rsid w:val="24A448C4"/>
    <w:rsid w:val="24A81DBC"/>
    <w:rsid w:val="24B47B00"/>
    <w:rsid w:val="24D00BF3"/>
    <w:rsid w:val="24D47157"/>
    <w:rsid w:val="24DE2E14"/>
    <w:rsid w:val="24E96386"/>
    <w:rsid w:val="25167EA6"/>
    <w:rsid w:val="252E434E"/>
    <w:rsid w:val="253109B2"/>
    <w:rsid w:val="2546127D"/>
    <w:rsid w:val="25942F71"/>
    <w:rsid w:val="25B12A81"/>
    <w:rsid w:val="25BD4711"/>
    <w:rsid w:val="260A2C98"/>
    <w:rsid w:val="263B58E3"/>
    <w:rsid w:val="264414E7"/>
    <w:rsid w:val="26454FEF"/>
    <w:rsid w:val="265A56C5"/>
    <w:rsid w:val="265B6FF9"/>
    <w:rsid w:val="265C0D35"/>
    <w:rsid w:val="26933C2E"/>
    <w:rsid w:val="26981EE5"/>
    <w:rsid w:val="269F0F77"/>
    <w:rsid w:val="26A76454"/>
    <w:rsid w:val="26B97089"/>
    <w:rsid w:val="26E20B06"/>
    <w:rsid w:val="26ED27C3"/>
    <w:rsid w:val="271C5286"/>
    <w:rsid w:val="27217E4D"/>
    <w:rsid w:val="275A0D07"/>
    <w:rsid w:val="276077AD"/>
    <w:rsid w:val="276E54B7"/>
    <w:rsid w:val="278241EB"/>
    <w:rsid w:val="27925866"/>
    <w:rsid w:val="27A33DE0"/>
    <w:rsid w:val="27BE4912"/>
    <w:rsid w:val="27C702D6"/>
    <w:rsid w:val="27F70895"/>
    <w:rsid w:val="27FC6BCC"/>
    <w:rsid w:val="27FE4746"/>
    <w:rsid w:val="282663C0"/>
    <w:rsid w:val="28624220"/>
    <w:rsid w:val="28693E3F"/>
    <w:rsid w:val="287753BA"/>
    <w:rsid w:val="288C1C9C"/>
    <w:rsid w:val="28B16701"/>
    <w:rsid w:val="28E9505C"/>
    <w:rsid w:val="28ED7598"/>
    <w:rsid w:val="290D5498"/>
    <w:rsid w:val="29156E8D"/>
    <w:rsid w:val="29592F94"/>
    <w:rsid w:val="295C7173"/>
    <w:rsid w:val="297003E0"/>
    <w:rsid w:val="29817D82"/>
    <w:rsid w:val="29993D46"/>
    <w:rsid w:val="29A20B2D"/>
    <w:rsid w:val="29C331FB"/>
    <w:rsid w:val="29D05365"/>
    <w:rsid w:val="29D94DB2"/>
    <w:rsid w:val="29EA7ED5"/>
    <w:rsid w:val="2A1E0710"/>
    <w:rsid w:val="2A257690"/>
    <w:rsid w:val="2A3A4FA5"/>
    <w:rsid w:val="2A461B62"/>
    <w:rsid w:val="2A5F5F3C"/>
    <w:rsid w:val="2A794677"/>
    <w:rsid w:val="2A831207"/>
    <w:rsid w:val="2A854534"/>
    <w:rsid w:val="2A874044"/>
    <w:rsid w:val="2A8C6591"/>
    <w:rsid w:val="2AAD6003"/>
    <w:rsid w:val="2AB60EB9"/>
    <w:rsid w:val="2ABB474D"/>
    <w:rsid w:val="2ABC074E"/>
    <w:rsid w:val="2ADB7F3D"/>
    <w:rsid w:val="2AF43A94"/>
    <w:rsid w:val="2B0B6EDF"/>
    <w:rsid w:val="2B132DCA"/>
    <w:rsid w:val="2B14398C"/>
    <w:rsid w:val="2B58118B"/>
    <w:rsid w:val="2B5A37B9"/>
    <w:rsid w:val="2BA8152D"/>
    <w:rsid w:val="2BAE7A99"/>
    <w:rsid w:val="2BC70C0E"/>
    <w:rsid w:val="2BDC36BB"/>
    <w:rsid w:val="2BE55CDE"/>
    <w:rsid w:val="2BEE4731"/>
    <w:rsid w:val="2C0F57B1"/>
    <w:rsid w:val="2C1E2161"/>
    <w:rsid w:val="2C236465"/>
    <w:rsid w:val="2C30486E"/>
    <w:rsid w:val="2C355E06"/>
    <w:rsid w:val="2C475B29"/>
    <w:rsid w:val="2C7464FB"/>
    <w:rsid w:val="2CE917E4"/>
    <w:rsid w:val="2CEB2208"/>
    <w:rsid w:val="2D004BB3"/>
    <w:rsid w:val="2D1C5C55"/>
    <w:rsid w:val="2D603B26"/>
    <w:rsid w:val="2D6A51F7"/>
    <w:rsid w:val="2DAF6C25"/>
    <w:rsid w:val="2DD92997"/>
    <w:rsid w:val="2DEC520C"/>
    <w:rsid w:val="2E017204"/>
    <w:rsid w:val="2E0361AA"/>
    <w:rsid w:val="2E237B57"/>
    <w:rsid w:val="2E4116D0"/>
    <w:rsid w:val="2E42789C"/>
    <w:rsid w:val="2E467CA9"/>
    <w:rsid w:val="2E6863BB"/>
    <w:rsid w:val="2E802EAA"/>
    <w:rsid w:val="2EA01BF9"/>
    <w:rsid w:val="2EAB4529"/>
    <w:rsid w:val="2EBB0157"/>
    <w:rsid w:val="2EF377F3"/>
    <w:rsid w:val="2EF86A00"/>
    <w:rsid w:val="2F414E17"/>
    <w:rsid w:val="2F57458A"/>
    <w:rsid w:val="2FAB55C0"/>
    <w:rsid w:val="2FB50852"/>
    <w:rsid w:val="2FC737C7"/>
    <w:rsid w:val="2FD41F31"/>
    <w:rsid w:val="2FD71B18"/>
    <w:rsid w:val="2FDB2C33"/>
    <w:rsid w:val="2FDE3397"/>
    <w:rsid w:val="2FE50C8C"/>
    <w:rsid w:val="2FF24D44"/>
    <w:rsid w:val="2FF7088A"/>
    <w:rsid w:val="30015A6A"/>
    <w:rsid w:val="303457E1"/>
    <w:rsid w:val="305B4FC9"/>
    <w:rsid w:val="30620BA5"/>
    <w:rsid w:val="30705E6E"/>
    <w:rsid w:val="30874048"/>
    <w:rsid w:val="308E64D8"/>
    <w:rsid w:val="309956A6"/>
    <w:rsid w:val="30C12DE4"/>
    <w:rsid w:val="31234F4D"/>
    <w:rsid w:val="3147298A"/>
    <w:rsid w:val="314A4EA1"/>
    <w:rsid w:val="315829DA"/>
    <w:rsid w:val="315C00DF"/>
    <w:rsid w:val="316D5D85"/>
    <w:rsid w:val="319E0422"/>
    <w:rsid w:val="319E6CD4"/>
    <w:rsid w:val="31AE11A9"/>
    <w:rsid w:val="31B97089"/>
    <w:rsid w:val="31BF588B"/>
    <w:rsid w:val="31FD7870"/>
    <w:rsid w:val="321A34D5"/>
    <w:rsid w:val="32421894"/>
    <w:rsid w:val="32427372"/>
    <w:rsid w:val="32514FD7"/>
    <w:rsid w:val="3253123E"/>
    <w:rsid w:val="32667474"/>
    <w:rsid w:val="32964D67"/>
    <w:rsid w:val="32C555EF"/>
    <w:rsid w:val="32DF26FA"/>
    <w:rsid w:val="32F9221F"/>
    <w:rsid w:val="32FD0517"/>
    <w:rsid w:val="330210DE"/>
    <w:rsid w:val="330D3341"/>
    <w:rsid w:val="331356E0"/>
    <w:rsid w:val="33140033"/>
    <w:rsid w:val="331D1695"/>
    <w:rsid w:val="331F4D2D"/>
    <w:rsid w:val="33215B95"/>
    <w:rsid w:val="333128FF"/>
    <w:rsid w:val="33386DC6"/>
    <w:rsid w:val="33440846"/>
    <w:rsid w:val="33473FE7"/>
    <w:rsid w:val="33506DCB"/>
    <w:rsid w:val="34214C65"/>
    <w:rsid w:val="3454481F"/>
    <w:rsid w:val="3462160C"/>
    <w:rsid w:val="34665B58"/>
    <w:rsid w:val="34A576FD"/>
    <w:rsid w:val="34B058BA"/>
    <w:rsid w:val="35027A9F"/>
    <w:rsid w:val="35211614"/>
    <w:rsid w:val="3537462A"/>
    <w:rsid w:val="353863C0"/>
    <w:rsid w:val="35874F09"/>
    <w:rsid w:val="3588204A"/>
    <w:rsid w:val="35994BA0"/>
    <w:rsid w:val="359B032F"/>
    <w:rsid w:val="35B722CD"/>
    <w:rsid w:val="35F96748"/>
    <w:rsid w:val="36393521"/>
    <w:rsid w:val="363D0F56"/>
    <w:rsid w:val="367368DF"/>
    <w:rsid w:val="36824A4E"/>
    <w:rsid w:val="36990927"/>
    <w:rsid w:val="36C4176C"/>
    <w:rsid w:val="36DA2E5C"/>
    <w:rsid w:val="36EC1FAF"/>
    <w:rsid w:val="36F45FF8"/>
    <w:rsid w:val="37092792"/>
    <w:rsid w:val="37333CE0"/>
    <w:rsid w:val="375A6BCB"/>
    <w:rsid w:val="3763488F"/>
    <w:rsid w:val="37872EB6"/>
    <w:rsid w:val="37957DBF"/>
    <w:rsid w:val="37962263"/>
    <w:rsid w:val="37B203EC"/>
    <w:rsid w:val="37D950D2"/>
    <w:rsid w:val="380056D0"/>
    <w:rsid w:val="380D3497"/>
    <w:rsid w:val="382C3218"/>
    <w:rsid w:val="38867A79"/>
    <w:rsid w:val="3887126E"/>
    <w:rsid w:val="38972086"/>
    <w:rsid w:val="38C46718"/>
    <w:rsid w:val="38D27EF9"/>
    <w:rsid w:val="38E07042"/>
    <w:rsid w:val="390D09A3"/>
    <w:rsid w:val="39536303"/>
    <w:rsid w:val="39732ECB"/>
    <w:rsid w:val="39904F48"/>
    <w:rsid w:val="39992EE2"/>
    <w:rsid w:val="39BE6B28"/>
    <w:rsid w:val="39F76AB8"/>
    <w:rsid w:val="3A000A68"/>
    <w:rsid w:val="3A026E29"/>
    <w:rsid w:val="3A051E60"/>
    <w:rsid w:val="3A656828"/>
    <w:rsid w:val="3A9C66CB"/>
    <w:rsid w:val="3ABA4299"/>
    <w:rsid w:val="3AC76542"/>
    <w:rsid w:val="3AEE68DA"/>
    <w:rsid w:val="3AF01196"/>
    <w:rsid w:val="3AF64827"/>
    <w:rsid w:val="3B191EDD"/>
    <w:rsid w:val="3B1979B8"/>
    <w:rsid w:val="3B240A07"/>
    <w:rsid w:val="3B3E5859"/>
    <w:rsid w:val="3B4849A7"/>
    <w:rsid w:val="3B530AC0"/>
    <w:rsid w:val="3B5B55B7"/>
    <w:rsid w:val="3B612A37"/>
    <w:rsid w:val="3B9D3B8B"/>
    <w:rsid w:val="3BA0328A"/>
    <w:rsid w:val="3BC53A1C"/>
    <w:rsid w:val="3BDB7C91"/>
    <w:rsid w:val="3BE73C57"/>
    <w:rsid w:val="3C0A4993"/>
    <w:rsid w:val="3C2165AA"/>
    <w:rsid w:val="3C2444B5"/>
    <w:rsid w:val="3C3B6B67"/>
    <w:rsid w:val="3C4348B5"/>
    <w:rsid w:val="3C4B1339"/>
    <w:rsid w:val="3C594555"/>
    <w:rsid w:val="3C8A6C63"/>
    <w:rsid w:val="3CA25284"/>
    <w:rsid w:val="3CB958B0"/>
    <w:rsid w:val="3CD92045"/>
    <w:rsid w:val="3CF41C91"/>
    <w:rsid w:val="3D175906"/>
    <w:rsid w:val="3D7E7185"/>
    <w:rsid w:val="3D7F2B3E"/>
    <w:rsid w:val="3D891D74"/>
    <w:rsid w:val="3D965D83"/>
    <w:rsid w:val="3DD72F27"/>
    <w:rsid w:val="3DF4630A"/>
    <w:rsid w:val="3E0C28A8"/>
    <w:rsid w:val="3E0E7FD9"/>
    <w:rsid w:val="3E294AB9"/>
    <w:rsid w:val="3E4079D7"/>
    <w:rsid w:val="3E4C715D"/>
    <w:rsid w:val="3E5E070C"/>
    <w:rsid w:val="3E624B83"/>
    <w:rsid w:val="3E8E515F"/>
    <w:rsid w:val="3E8E6BFD"/>
    <w:rsid w:val="3EBC6B3C"/>
    <w:rsid w:val="3EC41F60"/>
    <w:rsid w:val="3EDF6DD7"/>
    <w:rsid w:val="3EEE75F6"/>
    <w:rsid w:val="3EF83533"/>
    <w:rsid w:val="3EFE1B2C"/>
    <w:rsid w:val="3F0603B4"/>
    <w:rsid w:val="3F073ADC"/>
    <w:rsid w:val="3F186652"/>
    <w:rsid w:val="3F550AE0"/>
    <w:rsid w:val="3F6A47BB"/>
    <w:rsid w:val="3F7277DD"/>
    <w:rsid w:val="3F827499"/>
    <w:rsid w:val="3F8B755E"/>
    <w:rsid w:val="3F94192A"/>
    <w:rsid w:val="3FE47E9A"/>
    <w:rsid w:val="3FE81E29"/>
    <w:rsid w:val="3FE94C87"/>
    <w:rsid w:val="40157175"/>
    <w:rsid w:val="4018654F"/>
    <w:rsid w:val="40207CFB"/>
    <w:rsid w:val="4047035D"/>
    <w:rsid w:val="40967EA2"/>
    <w:rsid w:val="409D1EE6"/>
    <w:rsid w:val="40B51B03"/>
    <w:rsid w:val="40B760B3"/>
    <w:rsid w:val="415E153D"/>
    <w:rsid w:val="418749B3"/>
    <w:rsid w:val="418F306D"/>
    <w:rsid w:val="41950834"/>
    <w:rsid w:val="419F03EF"/>
    <w:rsid w:val="41BA1F94"/>
    <w:rsid w:val="41BE4D24"/>
    <w:rsid w:val="41CD5752"/>
    <w:rsid w:val="41D73FDA"/>
    <w:rsid w:val="42157B68"/>
    <w:rsid w:val="42293D69"/>
    <w:rsid w:val="425B3B83"/>
    <w:rsid w:val="42616DB4"/>
    <w:rsid w:val="426F0D5C"/>
    <w:rsid w:val="42886292"/>
    <w:rsid w:val="42892A5A"/>
    <w:rsid w:val="42BA19BA"/>
    <w:rsid w:val="42C64D40"/>
    <w:rsid w:val="42D737C5"/>
    <w:rsid w:val="42FA0634"/>
    <w:rsid w:val="42FD16D3"/>
    <w:rsid w:val="43046B4B"/>
    <w:rsid w:val="4305497A"/>
    <w:rsid w:val="43083D3F"/>
    <w:rsid w:val="43120824"/>
    <w:rsid w:val="43171333"/>
    <w:rsid w:val="43267FBA"/>
    <w:rsid w:val="43550975"/>
    <w:rsid w:val="43823E03"/>
    <w:rsid w:val="4383382E"/>
    <w:rsid w:val="43B57A20"/>
    <w:rsid w:val="43B94B8E"/>
    <w:rsid w:val="43C953DD"/>
    <w:rsid w:val="43CD53C8"/>
    <w:rsid w:val="43D657C0"/>
    <w:rsid w:val="43E345F4"/>
    <w:rsid w:val="43EE526A"/>
    <w:rsid w:val="43F735BB"/>
    <w:rsid w:val="441F2A40"/>
    <w:rsid w:val="44376B52"/>
    <w:rsid w:val="44702673"/>
    <w:rsid w:val="44A843BB"/>
    <w:rsid w:val="44AD07BB"/>
    <w:rsid w:val="44EF1118"/>
    <w:rsid w:val="4528795D"/>
    <w:rsid w:val="453D6296"/>
    <w:rsid w:val="45811C6D"/>
    <w:rsid w:val="45957E83"/>
    <w:rsid w:val="459604A5"/>
    <w:rsid w:val="45B010EE"/>
    <w:rsid w:val="45C267F7"/>
    <w:rsid w:val="45D030B5"/>
    <w:rsid w:val="45DB23B3"/>
    <w:rsid w:val="45E9632C"/>
    <w:rsid w:val="45EC3924"/>
    <w:rsid w:val="461709A1"/>
    <w:rsid w:val="461A138A"/>
    <w:rsid w:val="465F7E4F"/>
    <w:rsid w:val="467454D8"/>
    <w:rsid w:val="46754DDB"/>
    <w:rsid w:val="468A066C"/>
    <w:rsid w:val="468A3B0A"/>
    <w:rsid w:val="4695307F"/>
    <w:rsid w:val="46A27F69"/>
    <w:rsid w:val="46F976B1"/>
    <w:rsid w:val="4745535B"/>
    <w:rsid w:val="477920C5"/>
    <w:rsid w:val="478011F3"/>
    <w:rsid w:val="479A018E"/>
    <w:rsid w:val="47C40393"/>
    <w:rsid w:val="47CB0109"/>
    <w:rsid w:val="47D52F23"/>
    <w:rsid w:val="47E9376B"/>
    <w:rsid w:val="480B63D7"/>
    <w:rsid w:val="485E04E5"/>
    <w:rsid w:val="48695EC2"/>
    <w:rsid w:val="48791AA8"/>
    <w:rsid w:val="48AF3A39"/>
    <w:rsid w:val="48B22C03"/>
    <w:rsid w:val="48D166EA"/>
    <w:rsid w:val="48E3347B"/>
    <w:rsid w:val="49035EAF"/>
    <w:rsid w:val="4904099B"/>
    <w:rsid w:val="490764A9"/>
    <w:rsid w:val="49102CC6"/>
    <w:rsid w:val="49151BEB"/>
    <w:rsid w:val="494B4C9C"/>
    <w:rsid w:val="496613FC"/>
    <w:rsid w:val="498D4525"/>
    <w:rsid w:val="49D70DC3"/>
    <w:rsid w:val="49DF2619"/>
    <w:rsid w:val="49F97B7C"/>
    <w:rsid w:val="4A066BA9"/>
    <w:rsid w:val="4A0B0C17"/>
    <w:rsid w:val="4A106786"/>
    <w:rsid w:val="4A2F3EE7"/>
    <w:rsid w:val="4A3D1283"/>
    <w:rsid w:val="4A5754B2"/>
    <w:rsid w:val="4A5A3008"/>
    <w:rsid w:val="4A635BEE"/>
    <w:rsid w:val="4A926418"/>
    <w:rsid w:val="4AA4335D"/>
    <w:rsid w:val="4AA72803"/>
    <w:rsid w:val="4AAE4E5F"/>
    <w:rsid w:val="4ABF395A"/>
    <w:rsid w:val="4AC31E78"/>
    <w:rsid w:val="4AC4379D"/>
    <w:rsid w:val="4AC85663"/>
    <w:rsid w:val="4AD646BF"/>
    <w:rsid w:val="4AE9326C"/>
    <w:rsid w:val="4AF676D9"/>
    <w:rsid w:val="4AF93112"/>
    <w:rsid w:val="4B052E99"/>
    <w:rsid w:val="4B055189"/>
    <w:rsid w:val="4B060259"/>
    <w:rsid w:val="4B1223EE"/>
    <w:rsid w:val="4B4C022F"/>
    <w:rsid w:val="4B517ABD"/>
    <w:rsid w:val="4B7152F5"/>
    <w:rsid w:val="4BA914F5"/>
    <w:rsid w:val="4BC14BBC"/>
    <w:rsid w:val="4BCC4801"/>
    <w:rsid w:val="4BCD4F91"/>
    <w:rsid w:val="4BD33066"/>
    <w:rsid w:val="4C006BB1"/>
    <w:rsid w:val="4C210CB5"/>
    <w:rsid w:val="4C395E7B"/>
    <w:rsid w:val="4C6622C7"/>
    <w:rsid w:val="4C8B2672"/>
    <w:rsid w:val="4C9163E2"/>
    <w:rsid w:val="4CAC61F9"/>
    <w:rsid w:val="4CBB5F06"/>
    <w:rsid w:val="4CD447C5"/>
    <w:rsid w:val="4D102947"/>
    <w:rsid w:val="4D175C08"/>
    <w:rsid w:val="4D4D545B"/>
    <w:rsid w:val="4D9B7801"/>
    <w:rsid w:val="4D9C409A"/>
    <w:rsid w:val="4DF1454B"/>
    <w:rsid w:val="4DF25957"/>
    <w:rsid w:val="4DFA1B53"/>
    <w:rsid w:val="4E0E0221"/>
    <w:rsid w:val="4E3340ED"/>
    <w:rsid w:val="4E4653F8"/>
    <w:rsid w:val="4E667B99"/>
    <w:rsid w:val="4E762F7A"/>
    <w:rsid w:val="4E76701A"/>
    <w:rsid w:val="4E881D0A"/>
    <w:rsid w:val="4E95789F"/>
    <w:rsid w:val="4ED908C5"/>
    <w:rsid w:val="4EF91496"/>
    <w:rsid w:val="4F213CE9"/>
    <w:rsid w:val="4F4227BA"/>
    <w:rsid w:val="4F426C0C"/>
    <w:rsid w:val="4F433C69"/>
    <w:rsid w:val="4F83769D"/>
    <w:rsid w:val="4F853130"/>
    <w:rsid w:val="4FA322D3"/>
    <w:rsid w:val="4FFE083C"/>
    <w:rsid w:val="501047BA"/>
    <w:rsid w:val="50272AA0"/>
    <w:rsid w:val="50375519"/>
    <w:rsid w:val="509B3425"/>
    <w:rsid w:val="509F7D87"/>
    <w:rsid w:val="50AF2F80"/>
    <w:rsid w:val="50CD48E1"/>
    <w:rsid w:val="50DE1FD8"/>
    <w:rsid w:val="5138181F"/>
    <w:rsid w:val="515F6F4E"/>
    <w:rsid w:val="51747975"/>
    <w:rsid w:val="51801CDC"/>
    <w:rsid w:val="51954F77"/>
    <w:rsid w:val="51A51572"/>
    <w:rsid w:val="51FC78E0"/>
    <w:rsid w:val="5209783E"/>
    <w:rsid w:val="52151C67"/>
    <w:rsid w:val="52521A56"/>
    <w:rsid w:val="52593202"/>
    <w:rsid w:val="525B630F"/>
    <w:rsid w:val="52655A63"/>
    <w:rsid w:val="529E52B6"/>
    <w:rsid w:val="52AD2D75"/>
    <w:rsid w:val="52AD43B1"/>
    <w:rsid w:val="52C336BA"/>
    <w:rsid w:val="52CC7C4B"/>
    <w:rsid w:val="52D74C6F"/>
    <w:rsid w:val="52E0603A"/>
    <w:rsid w:val="52F5496D"/>
    <w:rsid w:val="53395443"/>
    <w:rsid w:val="534B31D2"/>
    <w:rsid w:val="535E455D"/>
    <w:rsid w:val="539851B5"/>
    <w:rsid w:val="53DA562D"/>
    <w:rsid w:val="53F463FA"/>
    <w:rsid w:val="541D4A11"/>
    <w:rsid w:val="544B308E"/>
    <w:rsid w:val="54521959"/>
    <w:rsid w:val="54891754"/>
    <w:rsid w:val="549F4A1C"/>
    <w:rsid w:val="54BA0736"/>
    <w:rsid w:val="54D75D02"/>
    <w:rsid w:val="54F263B6"/>
    <w:rsid w:val="55011950"/>
    <w:rsid w:val="550246A7"/>
    <w:rsid w:val="5509338D"/>
    <w:rsid w:val="550D6FAF"/>
    <w:rsid w:val="55235048"/>
    <w:rsid w:val="552414D8"/>
    <w:rsid w:val="553A3F08"/>
    <w:rsid w:val="553A5165"/>
    <w:rsid w:val="553E1BC1"/>
    <w:rsid w:val="553F3106"/>
    <w:rsid w:val="555C6705"/>
    <w:rsid w:val="556B7FCC"/>
    <w:rsid w:val="55AD7922"/>
    <w:rsid w:val="55C86E22"/>
    <w:rsid w:val="55D3794A"/>
    <w:rsid w:val="55E6227E"/>
    <w:rsid w:val="55FE6F68"/>
    <w:rsid w:val="563354D6"/>
    <w:rsid w:val="5639129C"/>
    <w:rsid w:val="563C72BD"/>
    <w:rsid w:val="56535335"/>
    <w:rsid w:val="56771507"/>
    <w:rsid w:val="56841B89"/>
    <w:rsid w:val="568F7D74"/>
    <w:rsid w:val="569264BE"/>
    <w:rsid w:val="569436A9"/>
    <w:rsid w:val="56AA100A"/>
    <w:rsid w:val="56BC1012"/>
    <w:rsid w:val="56CE4731"/>
    <w:rsid w:val="56D37CF4"/>
    <w:rsid w:val="56D771F4"/>
    <w:rsid w:val="56DC4C5B"/>
    <w:rsid w:val="56DE3A14"/>
    <w:rsid w:val="56E70EEC"/>
    <w:rsid w:val="56FC42C7"/>
    <w:rsid w:val="56FF0D3C"/>
    <w:rsid w:val="5730632D"/>
    <w:rsid w:val="574E0DD4"/>
    <w:rsid w:val="57605892"/>
    <w:rsid w:val="57621087"/>
    <w:rsid w:val="5778058C"/>
    <w:rsid w:val="57922D2A"/>
    <w:rsid w:val="57944909"/>
    <w:rsid w:val="57AD7F15"/>
    <w:rsid w:val="57B12553"/>
    <w:rsid w:val="57E94EE1"/>
    <w:rsid w:val="582671BA"/>
    <w:rsid w:val="582A73B3"/>
    <w:rsid w:val="583E2A9E"/>
    <w:rsid w:val="584E43CC"/>
    <w:rsid w:val="587A404F"/>
    <w:rsid w:val="58922210"/>
    <w:rsid w:val="589D3F0F"/>
    <w:rsid w:val="59066882"/>
    <w:rsid w:val="59076C36"/>
    <w:rsid w:val="590A7635"/>
    <w:rsid w:val="5932620A"/>
    <w:rsid w:val="594028B7"/>
    <w:rsid w:val="596D1D1C"/>
    <w:rsid w:val="5977618F"/>
    <w:rsid w:val="597957CF"/>
    <w:rsid w:val="599532D3"/>
    <w:rsid w:val="59C164B9"/>
    <w:rsid w:val="59E36C81"/>
    <w:rsid w:val="59E966B8"/>
    <w:rsid w:val="59F15847"/>
    <w:rsid w:val="59F862B4"/>
    <w:rsid w:val="59FA27DE"/>
    <w:rsid w:val="5A132AA1"/>
    <w:rsid w:val="5A1D140E"/>
    <w:rsid w:val="5A5C4E1E"/>
    <w:rsid w:val="5A615AF1"/>
    <w:rsid w:val="5A71748F"/>
    <w:rsid w:val="5A8359C6"/>
    <w:rsid w:val="5A8C28B1"/>
    <w:rsid w:val="5A9E1FD8"/>
    <w:rsid w:val="5AF03DB2"/>
    <w:rsid w:val="5AFD004A"/>
    <w:rsid w:val="5B0F3231"/>
    <w:rsid w:val="5B111630"/>
    <w:rsid w:val="5B4F1DF3"/>
    <w:rsid w:val="5B641424"/>
    <w:rsid w:val="5B901BC1"/>
    <w:rsid w:val="5BC557F5"/>
    <w:rsid w:val="5BD715EA"/>
    <w:rsid w:val="5C29608F"/>
    <w:rsid w:val="5C2D7F16"/>
    <w:rsid w:val="5C42784F"/>
    <w:rsid w:val="5C495260"/>
    <w:rsid w:val="5C70120A"/>
    <w:rsid w:val="5C756B77"/>
    <w:rsid w:val="5CAC6FD8"/>
    <w:rsid w:val="5CBF7199"/>
    <w:rsid w:val="5CD16F36"/>
    <w:rsid w:val="5CFD390D"/>
    <w:rsid w:val="5D31309B"/>
    <w:rsid w:val="5D555CF1"/>
    <w:rsid w:val="5D663C6C"/>
    <w:rsid w:val="5D673238"/>
    <w:rsid w:val="5D7209A3"/>
    <w:rsid w:val="5D8D0418"/>
    <w:rsid w:val="5DB61DCD"/>
    <w:rsid w:val="5DC352D2"/>
    <w:rsid w:val="5E1C05F7"/>
    <w:rsid w:val="5E204C97"/>
    <w:rsid w:val="5E266AF1"/>
    <w:rsid w:val="5E2D4794"/>
    <w:rsid w:val="5E3729CC"/>
    <w:rsid w:val="5E3B0157"/>
    <w:rsid w:val="5E4266BA"/>
    <w:rsid w:val="5E7049D9"/>
    <w:rsid w:val="5E895383"/>
    <w:rsid w:val="5EAD31DE"/>
    <w:rsid w:val="5EAE376D"/>
    <w:rsid w:val="5EB53F04"/>
    <w:rsid w:val="5EBD0B9C"/>
    <w:rsid w:val="5ED06800"/>
    <w:rsid w:val="5EF01ED3"/>
    <w:rsid w:val="5EFB5C7F"/>
    <w:rsid w:val="5F0509FA"/>
    <w:rsid w:val="5F110511"/>
    <w:rsid w:val="5F3C02E0"/>
    <w:rsid w:val="5F466B0E"/>
    <w:rsid w:val="5F800C11"/>
    <w:rsid w:val="5FA21CDE"/>
    <w:rsid w:val="5FAD44A1"/>
    <w:rsid w:val="5FB02438"/>
    <w:rsid w:val="5FD1574A"/>
    <w:rsid w:val="5FD52BF9"/>
    <w:rsid w:val="600508D8"/>
    <w:rsid w:val="60463C12"/>
    <w:rsid w:val="606F2B03"/>
    <w:rsid w:val="60717E3D"/>
    <w:rsid w:val="6074005D"/>
    <w:rsid w:val="60803586"/>
    <w:rsid w:val="608B2C82"/>
    <w:rsid w:val="608F34D9"/>
    <w:rsid w:val="609970E9"/>
    <w:rsid w:val="60AF2B49"/>
    <w:rsid w:val="60BC0F43"/>
    <w:rsid w:val="60C135A9"/>
    <w:rsid w:val="60D002AC"/>
    <w:rsid w:val="60E930B4"/>
    <w:rsid w:val="60E9453B"/>
    <w:rsid w:val="60F02A63"/>
    <w:rsid w:val="610A53BB"/>
    <w:rsid w:val="610A54C9"/>
    <w:rsid w:val="610E1799"/>
    <w:rsid w:val="611C5BC6"/>
    <w:rsid w:val="612B54E0"/>
    <w:rsid w:val="615118BA"/>
    <w:rsid w:val="61520F13"/>
    <w:rsid w:val="615E3B21"/>
    <w:rsid w:val="616F0AF6"/>
    <w:rsid w:val="61895099"/>
    <w:rsid w:val="618B4031"/>
    <w:rsid w:val="61A01EDE"/>
    <w:rsid w:val="61BA5AFA"/>
    <w:rsid w:val="61D45ACB"/>
    <w:rsid w:val="61D7170D"/>
    <w:rsid w:val="61F25473"/>
    <w:rsid w:val="61FA560D"/>
    <w:rsid w:val="6205034C"/>
    <w:rsid w:val="621332EC"/>
    <w:rsid w:val="622D5C6C"/>
    <w:rsid w:val="62411961"/>
    <w:rsid w:val="6246704E"/>
    <w:rsid w:val="629427F4"/>
    <w:rsid w:val="62947D55"/>
    <w:rsid w:val="62D365DA"/>
    <w:rsid w:val="63104BFD"/>
    <w:rsid w:val="63170DE2"/>
    <w:rsid w:val="631F6751"/>
    <w:rsid w:val="63335A82"/>
    <w:rsid w:val="633F538E"/>
    <w:rsid w:val="634A6C1F"/>
    <w:rsid w:val="634C5868"/>
    <w:rsid w:val="63615A0A"/>
    <w:rsid w:val="638E7C1B"/>
    <w:rsid w:val="63D80357"/>
    <w:rsid w:val="63E37A93"/>
    <w:rsid w:val="643E3D03"/>
    <w:rsid w:val="646C775B"/>
    <w:rsid w:val="6482072D"/>
    <w:rsid w:val="64A3387C"/>
    <w:rsid w:val="64AC1316"/>
    <w:rsid w:val="64B65FCC"/>
    <w:rsid w:val="64BB69F7"/>
    <w:rsid w:val="64CB7F35"/>
    <w:rsid w:val="650C586E"/>
    <w:rsid w:val="65286324"/>
    <w:rsid w:val="652C30CD"/>
    <w:rsid w:val="65303C1F"/>
    <w:rsid w:val="65341E16"/>
    <w:rsid w:val="655D1067"/>
    <w:rsid w:val="659C6EAF"/>
    <w:rsid w:val="65AA16EC"/>
    <w:rsid w:val="65E15AAE"/>
    <w:rsid w:val="660F7BDE"/>
    <w:rsid w:val="663040A5"/>
    <w:rsid w:val="66450576"/>
    <w:rsid w:val="665D70BD"/>
    <w:rsid w:val="669D3407"/>
    <w:rsid w:val="66BC669D"/>
    <w:rsid w:val="66CF013B"/>
    <w:rsid w:val="66D721F9"/>
    <w:rsid w:val="66D736EE"/>
    <w:rsid w:val="67061F27"/>
    <w:rsid w:val="671C484C"/>
    <w:rsid w:val="671D1CFB"/>
    <w:rsid w:val="67281FDA"/>
    <w:rsid w:val="6751026C"/>
    <w:rsid w:val="675F4C3D"/>
    <w:rsid w:val="678F4A89"/>
    <w:rsid w:val="67A4721B"/>
    <w:rsid w:val="67B415A3"/>
    <w:rsid w:val="67BF5027"/>
    <w:rsid w:val="67C46E90"/>
    <w:rsid w:val="67D717D5"/>
    <w:rsid w:val="67D84113"/>
    <w:rsid w:val="67E3475B"/>
    <w:rsid w:val="68147443"/>
    <w:rsid w:val="682679BD"/>
    <w:rsid w:val="683C6230"/>
    <w:rsid w:val="683D4DD7"/>
    <w:rsid w:val="6855243E"/>
    <w:rsid w:val="68DD13D1"/>
    <w:rsid w:val="69142DA9"/>
    <w:rsid w:val="692E5CCB"/>
    <w:rsid w:val="697B1A53"/>
    <w:rsid w:val="6998438C"/>
    <w:rsid w:val="69E430F2"/>
    <w:rsid w:val="69FB4785"/>
    <w:rsid w:val="6A1B74F7"/>
    <w:rsid w:val="6A2965F7"/>
    <w:rsid w:val="6A2C7011"/>
    <w:rsid w:val="6A4A6976"/>
    <w:rsid w:val="6A837E6D"/>
    <w:rsid w:val="6A841F88"/>
    <w:rsid w:val="6AAA06F3"/>
    <w:rsid w:val="6ABB160B"/>
    <w:rsid w:val="6B074200"/>
    <w:rsid w:val="6B3505F3"/>
    <w:rsid w:val="6B3B14DB"/>
    <w:rsid w:val="6B477FDE"/>
    <w:rsid w:val="6B642407"/>
    <w:rsid w:val="6B6B7F54"/>
    <w:rsid w:val="6B7B308A"/>
    <w:rsid w:val="6B927D2B"/>
    <w:rsid w:val="6B95785B"/>
    <w:rsid w:val="6BC5496A"/>
    <w:rsid w:val="6BCF25F2"/>
    <w:rsid w:val="6BDA7F33"/>
    <w:rsid w:val="6C1063BD"/>
    <w:rsid w:val="6C1A4911"/>
    <w:rsid w:val="6C1A6250"/>
    <w:rsid w:val="6C230ACC"/>
    <w:rsid w:val="6C2610DA"/>
    <w:rsid w:val="6C330BA7"/>
    <w:rsid w:val="6C347704"/>
    <w:rsid w:val="6C362E65"/>
    <w:rsid w:val="6C4D5124"/>
    <w:rsid w:val="6C951B81"/>
    <w:rsid w:val="6C985EDF"/>
    <w:rsid w:val="6CC76FAC"/>
    <w:rsid w:val="6CC81D9B"/>
    <w:rsid w:val="6CCE246C"/>
    <w:rsid w:val="6CF00585"/>
    <w:rsid w:val="6D3C5FA6"/>
    <w:rsid w:val="6D47327D"/>
    <w:rsid w:val="6D5562FF"/>
    <w:rsid w:val="6D6C2E2D"/>
    <w:rsid w:val="6D816D4C"/>
    <w:rsid w:val="6DCE04FC"/>
    <w:rsid w:val="6DCE4311"/>
    <w:rsid w:val="6DD77F0C"/>
    <w:rsid w:val="6DDA4EE5"/>
    <w:rsid w:val="6DE3527A"/>
    <w:rsid w:val="6DED595C"/>
    <w:rsid w:val="6DF744B1"/>
    <w:rsid w:val="6DFE5E40"/>
    <w:rsid w:val="6E0F1CA5"/>
    <w:rsid w:val="6E312ED3"/>
    <w:rsid w:val="6E3E22A3"/>
    <w:rsid w:val="6E434FEC"/>
    <w:rsid w:val="6E535483"/>
    <w:rsid w:val="6E9C3DDE"/>
    <w:rsid w:val="6E9F40AD"/>
    <w:rsid w:val="6EA8044D"/>
    <w:rsid w:val="6EBE0DC1"/>
    <w:rsid w:val="6ECC4907"/>
    <w:rsid w:val="6EDE4159"/>
    <w:rsid w:val="6F04528E"/>
    <w:rsid w:val="6F0F763F"/>
    <w:rsid w:val="6F35293C"/>
    <w:rsid w:val="6F5F67A9"/>
    <w:rsid w:val="6F600587"/>
    <w:rsid w:val="6F6E7AB3"/>
    <w:rsid w:val="6F700963"/>
    <w:rsid w:val="6F777BDE"/>
    <w:rsid w:val="6F883EE7"/>
    <w:rsid w:val="6FA9398A"/>
    <w:rsid w:val="6FAB7793"/>
    <w:rsid w:val="6FB77391"/>
    <w:rsid w:val="6FBB43F0"/>
    <w:rsid w:val="6FBD0829"/>
    <w:rsid w:val="6FE3410C"/>
    <w:rsid w:val="6FE43DD6"/>
    <w:rsid w:val="6FFA787F"/>
    <w:rsid w:val="70430561"/>
    <w:rsid w:val="706535F1"/>
    <w:rsid w:val="70701A6A"/>
    <w:rsid w:val="70A96647"/>
    <w:rsid w:val="70C5138C"/>
    <w:rsid w:val="70D52976"/>
    <w:rsid w:val="711B2B9A"/>
    <w:rsid w:val="7125000D"/>
    <w:rsid w:val="71334E15"/>
    <w:rsid w:val="71385EFA"/>
    <w:rsid w:val="71437DC4"/>
    <w:rsid w:val="71727FD3"/>
    <w:rsid w:val="7174202E"/>
    <w:rsid w:val="719C6D17"/>
    <w:rsid w:val="71BD63EF"/>
    <w:rsid w:val="71CA611F"/>
    <w:rsid w:val="71EF1457"/>
    <w:rsid w:val="71F71FC3"/>
    <w:rsid w:val="721132C1"/>
    <w:rsid w:val="72276F01"/>
    <w:rsid w:val="722928C3"/>
    <w:rsid w:val="723E1011"/>
    <w:rsid w:val="72620BC6"/>
    <w:rsid w:val="728D76D9"/>
    <w:rsid w:val="72A23AB4"/>
    <w:rsid w:val="72CC5C80"/>
    <w:rsid w:val="72D51E70"/>
    <w:rsid w:val="72E62E83"/>
    <w:rsid w:val="73175BFB"/>
    <w:rsid w:val="73263706"/>
    <w:rsid w:val="732D4632"/>
    <w:rsid w:val="7330213D"/>
    <w:rsid w:val="73520FBE"/>
    <w:rsid w:val="73577E87"/>
    <w:rsid w:val="735D208E"/>
    <w:rsid w:val="73B26FF4"/>
    <w:rsid w:val="73D8173E"/>
    <w:rsid w:val="73E95437"/>
    <w:rsid w:val="741250C3"/>
    <w:rsid w:val="74396D79"/>
    <w:rsid w:val="744507BC"/>
    <w:rsid w:val="744A62D9"/>
    <w:rsid w:val="745227E2"/>
    <w:rsid w:val="745B08B5"/>
    <w:rsid w:val="748C1DB2"/>
    <w:rsid w:val="74A27621"/>
    <w:rsid w:val="74D33F0E"/>
    <w:rsid w:val="74E306C9"/>
    <w:rsid w:val="74FA7872"/>
    <w:rsid w:val="75787B89"/>
    <w:rsid w:val="75843DAD"/>
    <w:rsid w:val="75917B1B"/>
    <w:rsid w:val="76014176"/>
    <w:rsid w:val="76066BFD"/>
    <w:rsid w:val="760E058D"/>
    <w:rsid w:val="761B2DB0"/>
    <w:rsid w:val="761F1F7D"/>
    <w:rsid w:val="76276080"/>
    <w:rsid w:val="764D08A4"/>
    <w:rsid w:val="76634957"/>
    <w:rsid w:val="766F0CCD"/>
    <w:rsid w:val="76817088"/>
    <w:rsid w:val="76B459EC"/>
    <w:rsid w:val="77085857"/>
    <w:rsid w:val="7747088E"/>
    <w:rsid w:val="775E5332"/>
    <w:rsid w:val="77692D92"/>
    <w:rsid w:val="776C7B33"/>
    <w:rsid w:val="777125A6"/>
    <w:rsid w:val="777A6937"/>
    <w:rsid w:val="777E2AE4"/>
    <w:rsid w:val="77826F0B"/>
    <w:rsid w:val="77944786"/>
    <w:rsid w:val="77A0562A"/>
    <w:rsid w:val="77A73A78"/>
    <w:rsid w:val="77BD6EAD"/>
    <w:rsid w:val="77D0327F"/>
    <w:rsid w:val="77EE493F"/>
    <w:rsid w:val="77F6009B"/>
    <w:rsid w:val="7806187B"/>
    <w:rsid w:val="78177115"/>
    <w:rsid w:val="78222F7E"/>
    <w:rsid w:val="7832380C"/>
    <w:rsid w:val="7839580C"/>
    <w:rsid w:val="784148AA"/>
    <w:rsid w:val="784D4357"/>
    <w:rsid w:val="785D76D6"/>
    <w:rsid w:val="78990780"/>
    <w:rsid w:val="78A746FB"/>
    <w:rsid w:val="78B03024"/>
    <w:rsid w:val="78CF115E"/>
    <w:rsid w:val="78DA413D"/>
    <w:rsid w:val="78E66100"/>
    <w:rsid w:val="78E720CC"/>
    <w:rsid w:val="79040BAD"/>
    <w:rsid w:val="791E38C1"/>
    <w:rsid w:val="79391643"/>
    <w:rsid w:val="793C3EF9"/>
    <w:rsid w:val="79413C08"/>
    <w:rsid w:val="79435FF8"/>
    <w:rsid w:val="79566373"/>
    <w:rsid w:val="795F1099"/>
    <w:rsid w:val="79613B56"/>
    <w:rsid w:val="79621333"/>
    <w:rsid w:val="79636706"/>
    <w:rsid w:val="799B1D13"/>
    <w:rsid w:val="79BE4E6F"/>
    <w:rsid w:val="79F06CC8"/>
    <w:rsid w:val="7A0402C8"/>
    <w:rsid w:val="7A096FDF"/>
    <w:rsid w:val="7A2F7891"/>
    <w:rsid w:val="7A36124D"/>
    <w:rsid w:val="7A4526AC"/>
    <w:rsid w:val="7A505630"/>
    <w:rsid w:val="7A723801"/>
    <w:rsid w:val="7A7C01D3"/>
    <w:rsid w:val="7A9A107A"/>
    <w:rsid w:val="7A9D2184"/>
    <w:rsid w:val="7ABC34DD"/>
    <w:rsid w:val="7ACB5C92"/>
    <w:rsid w:val="7ACD16AF"/>
    <w:rsid w:val="7B182967"/>
    <w:rsid w:val="7B2A30EE"/>
    <w:rsid w:val="7B74663A"/>
    <w:rsid w:val="7B7627B8"/>
    <w:rsid w:val="7B7B6305"/>
    <w:rsid w:val="7B983680"/>
    <w:rsid w:val="7BD2428C"/>
    <w:rsid w:val="7BE9562B"/>
    <w:rsid w:val="7BF55667"/>
    <w:rsid w:val="7C1F1203"/>
    <w:rsid w:val="7C612821"/>
    <w:rsid w:val="7C816547"/>
    <w:rsid w:val="7C9062A0"/>
    <w:rsid w:val="7C9C6C2D"/>
    <w:rsid w:val="7CC86281"/>
    <w:rsid w:val="7CFF1722"/>
    <w:rsid w:val="7D2D6297"/>
    <w:rsid w:val="7D372496"/>
    <w:rsid w:val="7D396DD9"/>
    <w:rsid w:val="7D5813DA"/>
    <w:rsid w:val="7D5B0890"/>
    <w:rsid w:val="7D7A5079"/>
    <w:rsid w:val="7D8F2D6A"/>
    <w:rsid w:val="7DA77D77"/>
    <w:rsid w:val="7DA9021E"/>
    <w:rsid w:val="7DB54688"/>
    <w:rsid w:val="7DC81E82"/>
    <w:rsid w:val="7DCB1DBA"/>
    <w:rsid w:val="7DDE3270"/>
    <w:rsid w:val="7DF244F2"/>
    <w:rsid w:val="7DFA192D"/>
    <w:rsid w:val="7DFC34C9"/>
    <w:rsid w:val="7E16377F"/>
    <w:rsid w:val="7E250B4B"/>
    <w:rsid w:val="7E275611"/>
    <w:rsid w:val="7E3D4352"/>
    <w:rsid w:val="7E514FA2"/>
    <w:rsid w:val="7E60053D"/>
    <w:rsid w:val="7EC050CA"/>
    <w:rsid w:val="7EC06627"/>
    <w:rsid w:val="7ECD3F82"/>
    <w:rsid w:val="7ED605BE"/>
    <w:rsid w:val="7F1147A8"/>
    <w:rsid w:val="7F9276CF"/>
    <w:rsid w:val="7F96021B"/>
    <w:rsid w:val="7F961B3C"/>
    <w:rsid w:val="7FAD6834"/>
    <w:rsid w:val="7FCE0672"/>
    <w:rsid w:val="7FD91B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adjustRightInd w:val="0"/>
    </w:pPr>
    <w:rPr>
      <w:rFonts w:ascii="Times New Roman" w:hAnsi="Times New Roman" w:eastAsia="宋体" w:cs="Times New Roman"/>
      <w:kern w:val="0"/>
      <w:sz w:val="24"/>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宋体"/>
      <w:b/>
      <w:sz w:val="28"/>
    </w:rPr>
  </w:style>
  <w:style w:type="paragraph" w:styleId="4">
    <w:name w:val="heading 3"/>
    <w:basedOn w:val="1"/>
    <w:next w:val="1"/>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paragraph" w:styleId="5">
    <w:name w:val="heading 4"/>
    <w:basedOn w:val="1"/>
    <w:next w:val="1"/>
    <w:semiHidden/>
    <w:unhideWhenUsed/>
    <w:qFormat/>
    <w:uiPriority w:val="0"/>
    <w:pPr>
      <w:spacing w:before="0" w:beforeAutospacing="1" w:after="0" w:afterAutospacing="1"/>
      <w:jc w:val="left"/>
    </w:pPr>
    <w:rPr>
      <w:rFonts w:hint="eastAsia" w:ascii="宋体" w:hAnsi="宋体" w:eastAsia="宋体" w:cs="宋体"/>
      <w:b/>
      <w:bCs/>
      <w:kern w:val="0"/>
      <w:sz w:val="24"/>
      <w:szCs w:val="24"/>
      <w:lang w:val="en-US" w:eastAsia="zh-CN" w:bidi="ar"/>
    </w:rPr>
  </w:style>
  <w:style w:type="character" w:default="1" w:styleId="9">
    <w:name w:val="Default Paragraph Font"/>
    <w:semiHidden/>
    <w:qFormat/>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6">
    <w:name w:val="Body Text"/>
    <w:basedOn w:val="1"/>
    <w:qFormat/>
    <w:uiPriority w:val="99"/>
    <w:pPr>
      <w:ind w:left="109"/>
    </w:pPr>
    <w:rPr>
      <w:rFonts w:ascii="仿宋_GB2312" w:hAnsi="仿宋_GB2312" w:eastAsia="仿宋_GB2312"/>
      <w:sz w:val="32"/>
    </w:rPr>
  </w:style>
  <w:style w:type="paragraph" w:styleId="7">
    <w:name w:val="Normal (Web)"/>
    <w:basedOn w:val="1"/>
    <w:qFormat/>
    <w:uiPriority w:val="0"/>
    <w:rPr>
      <w:sz w:val="24"/>
    </w:rPr>
  </w:style>
  <w:style w:type="character" w:styleId="10">
    <w:name w:val="Strong"/>
    <w:basedOn w:val="9"/>
    <w:qFormat/>
    <w:uiPriority w:val="0"/>
    <w:rPr>
      <w:b/>
    </w:rPr>
  </w:style>
  <w:style w:type="paragraph" w:customStyle="1" w:styleId="11">
    <w:name w:val="标准文件_二级条标题"/>
    <w:basedOn w:val="1"/>
    <w:next w:val="12"/>
    <w:qFormat/>
    <w:uiPriority w:val="0"/>
    <w:pPr>
      <w:keepNext w:val="0"/>
      <w:keepLines w:val="0"/>
      <w:widowControl w:val="0"/>
      <w:numPr>
        <w:ilvl w:val="3"/>
        <w:numId w:val="1"/>
      </w:numPr>
      <w:suppressLineNumbers w:val="0"/>
      <w:adjustRightInd/>
      <w:spacing w:before="50" w:beforeLines="50" w:beforeAutospacing="0" w:after="50" w:afterLines="50" w:afterAutospacing="0" w:line="240" w:lineRule="auto"/>
      <w:ind w:left="0" w:right="0" w:firstLine="0"/>
      <w:jc w:val="both"/>
      <w:outlineLvl w:val="2"/>
    </w:pPr>
    <w:rPr>
      <w:rFonts w:hint="eastAsia" w:ascii="黑体" w:hAnsi="Times New Roman" w:eastAsia="黑体" w:cs="Times New Roman"/>
      <w:kern w:val="0"/>
      <w:sz w:val="21"/>
      <w:szCs w:val="20"/>
      <w:lang w:val="en-US" w:eastAsia="zh-CN" w:bidi="ar"/>
    </w:rPr>
  </w:style>
  <w:style w:type="paragraph" w:customStyle="1" w:styleId="12">
    <w:name w:val="标准文件_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3">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4">
    <w:name w:val="二级无"/>
    <w:basedOn w:val="15"/>
    <w:qFormat/>
    <w:uiPriority w:val="0"/>
    <w:pPr>
      <w:numPr>
        <w:ilvl w:val="2"/>
        <w:numId w:val="2"/>
      </w:numPr>
      <w:spacing w:before="0" w:beforeLines="0" w:after="0" w:afterLines="0"/>
      <w:outlineLvl w:val="3"/>
    </w:pPr>
    <w:rPr>
      <w:rFonts w:ascii="宋体" w:hAnsi="Times New Roman" w:eastAsia="宋体" w:cs="Times New Roman"/>
      <w:sz w:val="21"/>
      <w:szCs w:val="21"/>
      <w:lang w:val="en-US" w:eastAsia="zh-CN" w:bidi="ar-SA"/>
    </w:rPr>
  </w:style>
  <w:style w:type="paragraph" w:customStyle="1" w:styleId="15">
    <w:name w:val="二级条标题"/>
    <w:next w:val="13"/>
    <w:qFormat/>
    <w:uiPriority w:val="0"/>
    <w:pPr>
      <w:numPr>
        <w:ilvl w:val="2"/>
        <w:numId w:val="2"/>
      </w:numPr>
      <w:spacing w:before="50" w:beforeLines="50" w:after="50" w:afterLines="50"/>
      <w:outlineLvl w:val="3"/>
    </w:pPr>
    <w:rPr>
      <w:rFonts w:ascii="黑体" w:hAnsi="Times New Roman" w:eastAsia="黑体" w:cs="Times New Roman"/>
      <w:sz w:val="21"/>
      <w:szCs w:val="21"/>
      <w:lang w:val="en-US" w:eastAsia="zh-CN" w:bidi="ar-SA"/>
    </w:rPr>
  </w:style>
  <w:style w:type="paragraph" w:customStyle="1" w:styleId="16">
    <w:name w:val="标准文件_章标题"/>
    <w:next w:val="12"/>
    <w:qFormat/>
    <w:uiPriority w:val="0"/>
    <w:pPr>
      <w:numPr>
        <w:ilvl w:val="1"/>
        <w:numId w:val="3"/>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7">
    <w:name w:val="标准文件_一级条标题"/>
    <w:basedOn w:val="16"/>
    <w:next w:val="12"/>
    <w:qFormat/>
    <w:uiPriority w:val="0"/>
    <w:pPr>
      <w:numPr>
        <w:ilvl w:val="2"/>
      </w:numPr>
      <w:spacing w:before="50" w:beforeLines="50" w:after="50" w:afterLines="50"/>
      <w:outlineLvl w:val="1"/>
    </w:p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2023-03-01T04:13:00Z</dcterms:created>
  <dc:creator>LENOVO</dc:creator>
  <cp:lastModifiedBy>蒙蒙胧胧</cp:lastModifiedBy>
  <dcterms:modified xsi:type="dcterms:W3CDTF">2023-10-17T02:41:28Z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AB9A4B3B88494E86A311419F82A7C206</vt:lpwstr>
  </property>
</Properties>
</file>