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03.200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pPr>
                    <w:pStyle w:val="49"/>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A 12</w:t>
            </w:r>
            <w:r>
              <w:rPr>
                <w:rFonts w:ascii="黑体" w:hAnsi="黑体" w:eastAsia="黑体"/>
                <w:sz w:val="21"/>
                <w:szCs w:val="21"/>
              </w:rPr>
              <w:fldChar w:fldCharType="end"/>
            </w:r>
            <w:bookmarkEnd w:id="2"/>
          </w:p>
        </w:tc>
      </w:tr>
    </w:tbl>
    <w:p>
      <w:pPr>
        <w:pStyle w:val="50"/>
        <w:framePr w:w="9639" w:h="624" w:hRule="exact" w:hSpace="181" w:vSpace="181" w:wrap="around" w:hAnchor="page" w:x="1305" w:y="2269"/>
        <w:rPr>
          <w:rFonts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pPr>
        <w:pStyle w:val="195"/>
        <w:framePr w:wrap="around"/>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pPr>
        <w:pStyle w:val="196"/>
        <w:framePr w:wrap="around"/>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t>研学旅行从业人员培训服务规范</w:t>
      </w:r>
      <w:r>
        <w:fldChar w:fldCharType="end"/>
      </w:r>
      <w:bookmarkEnd w:id="8"/>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9"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Service specifications of training institutions for study tour practitioners</w:t>
      </w:r>
      <w:r>
        <w:rPr>
          <w:rFonts w:ascii="黑体" w:hAnsi="黑体" w:eastAsia="黑体"/>
          <w:szCs w:val="28"/>
        </w:rPr>
        <w:fldChar w:fldCharType="end"/>
      </w:r>
      <w:bookmarkEnd w:id="9"/>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rFonts w:hint="eastAsia"/>
          <w:sz w:val="21"/>
          <w:szCs w:val="28"/>
        </w:rPr>
        <w:t>（本草案完成时间：2023年9月27日）</w:t>
      </w:r>
      <w:r>
        <w:rPr>
          <w:sz w:val="21"/>
          <w:szCs w:val="28"/>
        </w:rPr>
        <w:fldChar w:fldCharType="end"/>
      </w:r>
      <w:bookmarkEnd w:id="11"/>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pPr>
        <w:pStyle w:val="193"/>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pStyle w:val="15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19"/>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1"/>
        <w:spacing w:after="360"/>
      </w:pPr>
      <w:bookmarkStart w:id="20" w:name="BookMark1"/>
      <w:bookmarkStart w:id="21" w:name="_Toc146793999"/>
      <w:bookmarkStart w:id="22" w:name="_Toc146785716"/>
      <w:bookmarkStart w:id="23" w:name="_Toc146792622"/>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"_Toc146794034" </w:instrText>
      </w:r>
      <w:r>
        <w:fldChar w:fldCharType="separate"/>
      </w:r>
      <w:r>
        <w:rPr>
          <w:rStyle w:val="32"/>
        </w:rPr>
        <w:t>前言</w:t>
      </w:r>
      <w:r>
        <w:tab/>
      </w:r>
      <w:r>
        <w:fldChar w:fldCharType="begin"/>
      </w:r>
      <w:r>
        <w:instrText xml:space="preserve"> PAGEREF _Toc146794034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"_Toc146794035" </w:instrText>
      </w:r>
      <w:r>
        <w:fldChar w:fldCharType="separate"/>
      </w:r>
      <w:r>
        <w:rPr>
          <w:rStyle w:val="32"/>
        </w:rPr>
        <w:t>1  范围</w:t>
      </w:r>
      <w:r>
        <w:tab/>
      </w:r>
      <w:r>
        <w:fldChar w:fldCharType="begin"/>
      </w:r>
      <w:r>
        <w:instrText xml:space="preserve"> PAGEREF _Toc146794035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"_Toc146794036" </w:instrText>
      </w:r>
      <w:r>
        <w:fldChar w:fldCharType="separate"/>
      </w:r>
      <w:r>
        <w:rPr>
          <w:rStyle w:val="32"/>
        </w:rPr>
        <w:t>2  规范性引用文件</w:t>
      </w:r>
      <w:r>
        <w:tab/>
      </w:r>
      <w:r>
        <w:fldChar w:fldCharType="begin"/>
      </w:r>
      <w:r>
        <w:instrText xml:space="preserve"> PAGEREF _Toc146794036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"_Toc146794037" </w:instrText>
      </w:r>
      <w:r>
        <w:fldChar w:fldCharType="separate"/>
      </w:r>
      <w:r>
        <w:rPr>
          <w:rStyle w:val="32"/>
        </w:rPr>
        <w:t>3  术语和定义</w:t>
      </w:r>
      <w:r>
        <w:tab/>
      </w:r>
      <w:r>
        <w:fldChar w:fldCharType="begin"/>
      </w:r>
      <w:r>
        <w:instrText xml:space="preserve"> PAGEREF _Toc146794037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"_Toc146794038" </w:instrText>
      </w:r>
      <w:r>
        <w:fldChar w:fldCharType="separate"/>
      </w:r>
      <w:r>
        <w:rPr>
          <w:rStyle w:val="32"/>
        </w:rPr>
        <w:t>4  基本要求</w:t>
      </w:r>
      <w:r>
        <w:tab/>
      </w:r>
      <w:r>
        <w:fldChar w:fldCharType="begin"/>
      </w:r>
      <w:r>
        <w:instrText xml:space="preserve"> PAGEREF _Toc146794038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"_Toc146794039" </w:instrText>
      </w:r>
      <w:r>
        <w:fldChar w:fldCharType="separate"/>
      </w:r>
      <w:r>
        <w:rPr>
          <w:rStyle w:val="32"/>
        </w:rPr>
        <w:t>5  教学内容</w:t>
      </w:r>
      <w:r>
        <w:tab/>
      </w:r>
      <w:r>
        <w:fldChar w:fldCharType="begin"/>
      </w:r>
      <w:r>
        <w:instrText xml:space="preserve"> PAGEREF _Toc146794039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"_Toc146794040" </w:instrText>
      </w:r>
      <w:r>
        <w:fldChar w:fldCharType="separate"/>
      </w:r>
      <w:r>
        <w:rPr>
          <w:rStyle w:val="32"/>
        </w:rPr>
        <w:t>6  培训工作流程</w:t>
      </w:r>
      <w:r>
        <w:tab/>
      </w:r>
      <w:r>
        <w:fldChar w:fldCharType="begin"/>
      </w:r>
      <w:r>
        <w:instrText xml:space="preserve"> PAGEREF _Toc146794040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"_Toc146794041" </w:instrText>
      </w:r>
      <w:r>
        <w:fldChar w:fldCharType="separate"/>
      </w:r>
      <w:r>
        <w:rPr>
          <w:rStyle w:val="32"/>
        </w:rPr>
        <w:t>7  教学管理</w:t>
      </w:r>
      <w:r>
        <w:tab/>
      </w:r>
      <w:r>
        <w:fldChar w:fldCharType="begin"/>
      </w:r>
      <w:r>
        <w:instrText xml:space="preserve"> PAGEREF _Toc146794041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"_Toc146794042" </w:instrText>
      </w:r>
      <w:r>
        <w:fldChar w:fldCharType="separate"/>
      </w:r>
      <w:r>
        <w:rPr>
          <w:rStyle w:val="32"/>
        </w:rPr>
        <w:t>8  服务保障</w:t>
      </w:r>
      <w:r>
        <w:tab/>
      </w:r>
      <w:r>
        <w:fldChar w:fldCharType="begin"/>
      </w:r>
      <w:r>
        <w:instrText xml:space="preserve"> PAGEREF _Toc146794042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"_Toc146794043" </w:instrText>
      </w:r>
      <w:r>
        <w:fldChar w:fldCharType="separate"/>
      </w:r>
      <w:r>
        <w:rPr>
          <w:rStyle w:val="32"/>
        </w:rPr>
        <w:t>9  服务评估与改进</w:t>
      </w:r>
      <w:r>
        <w:tab/>
      </w:r>
      <w:r>
        <w:fldChar w:fldCharType="begin"/>
      </w:r>
      <w:r>
        <w:instrText xml:space="preserve"> PAGEREF _Toc146794043 \h </w:instrText>
      </w:r>
      <w:r>
        <w:fldChar w:fldCharType="separate"/>
      </w:r>
      <w:r>
        <w:t>3</w:t>
      </w:r>
      <w:r>
        <w:fldChar w:fldCharType="end"/>
      </w:r>
      <w:r>
        <w:fldChar w:fldCharType="end"/>
      </w:r>
    </w:p>
    <w:p>
      <w:pPr>
        <w:pStyle w:val="91"/>
        <w:spacing w:after="360"/>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20"/>
    <w:p>
      <w:pPr>
        <w:pStyle w:val="89"/>
        <w:spacing w:before="900" w:after="360"/>
      </w:pPr>
      <w:bookmarkStart w:id="24" w:name="_Toc146794034"/>
      <w:bookmarkStart w:id="25" w:name="BookMark2"/>
      <w:r>
        <w:rPr>
          <w:spacing w:val="320"/>
        </w:rPr>
        <w:t>前</w:t>
      </w:r>
      <w:r>
        <w:t>言</w:t>
      </w:r>
      <w:bookmarkEnd w:id="21"/>
      <w:bookmarkEnd w:id="22"/>
      <w:bookmarkEnd w:id="23"/>
      <w:bookmarkEnd w:id="24"/>
    </w:p>
    <w:p>
      <w:pPr>
        <w:pStyle w:val="56"/>
        <w:ind w:firstLine="420"/>
      </w:pPr>
      <w:r>
        <w:rPr>
          <w:rFonts w:hint="eastAsia"/>
        </w:rPr>
        <w:t>本文件参照GB/T 1.1—2020《标准化工作导则  第1部分：标准化文件的结构和起草规则》的规定起草。</w:t>
      </w:r>
    </w:p>
    <w:p>
      <w:pPr>
        <w:pStyle w:val="56"/>
        <w:ind w:firstLine="420"/>
      </w:pPr>
    </w:p>
    <w:p>
      <w:pPr>
        <w:pStyle w:val="56"/>
        <w:ind w:firstLine="420"/>
      </w:pPr>
      <w:r>
        <w:rPr>
          <w:rFonts w:hint="eastAsia"/>
        </w:rPr>
        <w:t>请注意本文件的某些内容可能涉及专利，本文件的发布机构不承担识别专利的责任。</w:t>
      </w:r>
    </w:p>
    <w:p>
      <w:pPr>
        <w:pStyle w:val="56"/>
        <w:ind w:firstLine="420"/>
      </w:pPr>
      <w:r>
        <w:rPr>
          <w:rFonts w:hint="eastAsia"/>
        </w:rPr>
        <w:t>本文件由桂林旅游学院、广西旅游协会提出并归口。</w:t>
      </w:r>
    </w:p>
    <w:p>
      <w:pPr>
        <w:pStyle w:val="56"/>
        <w:ind w:firstLine="420"/>
      </w:pPr>
      <w:r>
        <w:rPr>
          <w:rFonts w:hint="eastAsia"/>
        </w:rPr>
        <w:t>本文件起草单位：桂林旅游学院、广西旅游协会、桂林旅游学院研学旅行教育研究中心、桂林旅游学院继续教育学院、广西师范大学体育与健康学院。</w:t>
      </w:r>
    </w:p>
    <w:p>
      <w:pPr>
        <w:pStyle w:val="56"/>
        <w:ind w:left="210" w:leftChars="100" w:firstLine="210" w:firstLineChars="100"/>
      </w:pPr>
      <w:r>
        <w:rPr>
          <w:rFonts w:hint="eastAsia"/>
        </w:rPr>
        <w:t>本文件主要起草人：杨乃桂、程冰、钟泓、陈炜、陆元兆、陈菊、张小林、冯智明、张雪华、黄丽春、杨琼、康忠慧、程文凯、郝滢屹、李馨。</w:t>
      </w:r>
    </w:p>
    <w:p>
      <w:pPr>
        <w:pStyle w:val="56"/>
        <w:ind w:firstLine="420"/>
      </w:pPr>
    </w:p>
    <w:p>
      <w:pPr>
        <w:pStyle w:val="56"/>
        <w:ind w:firstLine="420"/>
        <w:sectPr>
          <w:pgSz w:w="11906" w:h="16838"/>
          <w:pgMar w:top="1928" w:right="1134" w:bottom="1134" w:left="1134" w:header="1418" w:footer="1134" w:gutter="284"/>
          <w:pgNumType w:fmt="upperRoman"/>
          <w:cols w:space="425" w:num="1"/>
          <w:formProt w:val="0"/>
          <w:docGrid w:linePitch="312" w:charSpace="0"/>
        </w:sectPr>
      </w:pPr>
    </w:p>
    <w:bookmarkEnd w:id="25"/>
    <w:p>
      <w:pPr>
        <w:spacing w:line="20" w:lineRule="exact"/>
        <w:jc w:val="center"/>
        <w:rPr>
          <w:rFonts w:ascii="黑体" w:hAnsi="黑体" w:eastAsia="黑体"/>
          <w:sz w:val="32"/>
          <w:szCs w:val="32"/>
        </w:rPr>
      </w:pPr>
      <w:bookmarkStart w:id="26" w:name="BookMark4"/>
    </w:p>
    <w:p>
      <w:pPr>
        <w:spacing w:line="20" w:lineRule="exact"/>
        <w:jc w:val="center"/>
        <w:rPr>
          <w:rFonts w:ascii="黑体" w:hAnsi="黑体" w:eastAsia="黑体"/>
          <w:sz w:val="32"/>
          <w:szCs w:val="32"/>
        </w:rPr>
      </w:pPr>
    </w:p>
    <w:sdt>
      <w:sdtPr>
        <w:tag w:val="NEW_STAND_NAME"/>
        <w:id w:val="595910757"/>
        <w:lock w:val="sdtLocked"/>
        <w:placeholder>
          <w:docPart w:val="5002A934D20F474F80241D74E1E129CD"/>
        </w:placeholder>
      </w:sdtPr>
      <w:sdtContent>
        <w:p>
          <w:pPr>
            <w:pStyle w:val="177"/>
            <w:spacing w:before="2" w:beforeLines="1" w:after="528" w:afterLines="220"/>
          </w:pPr>
          <w:bookmarkStart w:id="27" w:name="NEW_STAND_NAME"/>
          <w:r>
            <w:rPr>
              <w:rFonts w:hint="eastAsia"/>
            </w:rPr>
            <w:t>研学旅行从业人员培训服务规范</w:t>
          </w:r>
        </w:p>
      </w:sdtContent>
    </w:sdt>
    <w:bookmarkEnd w:id="27"/>
    <w:p>
      <w:pPr>
        <w:pStyle w:val="104"/>
        <w:spacing w:before="240" w:after="240"/>
      </w:pPr>
      <w:bookmarkStart w:id="28" w:name="_Toc97192964"/>
      <w:bookmarkStart w:id="29" w:name="_Toc24884218"/>
      <w:bookmarkStart w:id="30" w:name="_Toc26986771"/>
      <w:bookmarkStart w:id="31" w:name="_Toc146794035"/>
      <w:bookmarkStart w:id="32" w:name="_Toc17233333"/>
      <w:bookmarkStart w:id="33" w:name="_Toc26648465"/>
      <w:bookmarkStart w:id="34" w:name="_Toc146794000"/>
      <w:bookmarkStart w:id="35" w:name="_Toc26718930"/>
      <w:bookmarkStart w:id="36" w:name="_Toc146785717"/>
      <w:bookmarkStart w:id="37" w:name="_Toc24884211"/>
      <w:bookmarkStart w:id="38" w:name="_Toc17233325"/>
      <w:bookmarkStart w:id="39" w:name="_Toc26986530"/>
      <w:bookmarkStart w:id="40" w:name="_Toc146792623"/>
      <w:r>
        <w:rPr>
          <w:rFonts w:hint="eastAsia"/>
        </w:rPr>
        <w:t>范围</w:t>
      </w:r>
      <w:bookmarkEnd w:id="28"/>
      <w:bookmarkEnd w:id="29"/>
      <w:bookmarkEnd w:id="30"/>
      <w:bookmarkEnd w:id="31"/>
      <w:bookmarkEnd w:id="32"/>
      <w:bookmarkEnd w:id="33"/>
      <w:bookmarkEnd w:id="34"/>
      <w:bookmarkEnd w:id="35"/>
      <w:bookmarkEnd w:id="36"/>
      <w:bookmarkEnd w:id="37"/>
      <w:bookmarkEnd w:id="38"/>
      <w:bookmarkEnd w:id="39"/>
      <w:bookmarkEnd w:id="40"/>
    </w:p>
    <w:p>
      <w:pPr>
        <w:pStyle w:val="56"/>
        <w:ind w:firstLine="420"/>
      </w:pPr>
      <w:r>
        <w:rPr>
          <w:rFonts w:hint="eastAsia"/>
        </w:rPr>
        <w:t>本文件规定了研学旅行从业人员培训的基本要求、教学内容、培训工作流程、教学管理、服务保障、服务评估与改进。</w:t>
      </w:r>
    </w:p>
    <w:p>
      <w:pPr>
        <w:pStyle w:val="56"/>
        <w:ind w:firstLine="420"/>
      </w:pPr>
      <w:r>
        <w:rPr>
          <w:rFonts w:hint="eastAsia"/>
        </w:rPr>
        <w:t>本文件适用于研学旅行从业人员培训的组织实施和评价改进。</w:t>
      </w:r>
      <w:bookmarkStart w:id="41" w:name="_Toc24884219"/>
      <w:bookmarkStart w:id="42" w:name="_Toc17233334"/>
      <w:bookmarkStart w:id="43" w:name="_Toc17233326"/>
      <w:bookmarkStart w:id="44" w:name="_Toc24884212"/>
      <w:bookmarkStart w:id="45" w:name="_Toc26648466"/>
    </w:p>
    <w:p>
      <w:pPr>
        <w:pStyle w:val="104"/>
        <w:spacing w:before="240" w:after="240"/>
      </w:pPr>
      <w:bookmarkStart w:id="46" w:name="_Toc97192965"/>
      <w:bookmarkStart w:id="47" w:name="_Toc26986772"/>
      <w:bookmarkStart w:id="48" w:name="_Toc26986531"/>
      <w:bookmarkStart w:id="49" w:name="_Toc26718931"/>
      <w:bookmarkStart w:id="50" w:name="_Toc146794001"/>
      <w:bookmarkStart w:id="51" w:name="_Toc146792624"/>
      <w:bookmarkStart w:id="52" w:name="_Toc146785718"/>
      <w:bookmarkStart w:id="53" w:name="_Toc146794036"/>
      <w:r>
        <w:rPr>
          <w:rFonts w:hint="eastAsia"/>
        </w:rPr>
        <w:t>规范性引用文件</w:t>
      </w:r>
      <w:bookmarkEnd w:id="41"/>
      <w:bookmarkEnd w:id="42"/>
      <w:bookmarkEnd w:id="43"/>
      <w:bookmarkEnd w:id="44"/>
      <w:bookmarkEnd w:id="45"/>
      <w:bookmarkEnd w:id="46"/>
      <w:bookmarkEnd w:id="47"/>
      <w:bookmarkEnd w:id="48"/>
      <w:bookmarkEnd w:id="49"/>
      <w:bookmarkEnd w:id="50"/>
      <w:bookmarkEnd w:id="51"/>
      <w:bookmarkEnd w:id="52"/>
      <w:bookmarkEnd w:id="53"/>
    </w:p>
    <w:sdt>
      <w:sdtPr>
        <w:rPr>
          <w:rFonts w:hint="eastAsia"/>
        </w:rPr>
        <w:id w:val="715848253"/>
        <w:placeholder>
          <w:docPart w:val="3606D00A92764139ABE77AE9B0F8688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GB/T 15971</w:t>
      </w:r>
      <w:r>
        <w:t xml:space="preserve"> </w:t>
      </w:r>
      <w:r>
        <w:rPr>
          <w:rFonts w:hint="eastAsia"/>
        </w:rPr>
        <w:t xml:space="preserve"> 导游服务规范</w:t>
      </w:r>
    </w:p>
    <w:p>
      <w:pPr>
        <w:pStyle w:val="56"/>
        <w:ind w:firstLine="420"/>
      </w:pPr>
      <w:r>
        <w:rPr>
          <w:rFonts w:hint="eastAsia"/>
        </w:rPr>
        <w:t>GB/T 31385  旅行社服务通则</w:t>
      </w:r>
    </w:p>
    <w:p>
      <w:pPr>
        <w:pStyle w:val="56"/>
        <w:ind w:firstLine="420"/>
      </w:pPr>
      <w:r>
        <w:rPr>
          <w:rFonts w:hint="eastAsia"/>
        </w:rPr>
        <w:t>LB/T 054-2016  研学旅行服务规范</w:t>
      </w:r>
    </w:p>
    <w:p>
      <w:pPr>
        <w:pStyle w:val="104"/>
        <w:spacing w:before="240" w:after="240"/>
      </w:pPr>
      <w:bookmarkStart w:id="54" w:name="_Toc146785719"/>
      <w:bookmarkStart w:id="55" w:name="_Toc146794037"/>
      <w:bookmarkStart w:id="56" w:name="_Toc146794002"/>
      <w:bookmarkStart w:id="57" w:name="_Toc97192966"/>
      <w:bookmarkStart w:id="58" w:name="_Toc146792625"/>
      <w:r>
        <w:rPr>
          <w:rFonts w:hint="eastAsia"/>
          <w:szCs w:val="21"/>
        </w:rPr>
        <w:t>术语和定义</w:t>
      </w:r>
      <w:bookmarkEnd w:id="54"/>
      <w:bookmarkEnd w:id="55"/>
      <w:bookmarkEnd w:id="56"/>
      <w:bookmarkEnd w:id="57"/>
      <w:bookmarkEnd w:id="58"/>
    </w:p>
    <w:p>
      <w:pPr>
        <w:pStyle w:val="56"/>
        <w:ind w:firstLine="420"/>
        <w:rPr>
          <w:rFonts w:hint="eastAsia"/>
        </w:rPr>
      </w:pPr>
      <w:bookmarkStart w:id="59" w:name="_Toc26986532"/>
      <w:bookmarkEnd w:id="59"/>
      <w:sdt>
        <w:sdtPr>
          <w:id w:val="-1909835108"/>
          <w:placeholder>
            <w:docPart w:val="1D4B19037F7143F98DAF2D155F497B3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r>
            <w:t>下列术语和定义适用于本文件。</w:t>
          </w:r>
        </w:sdtContent>
      </w:sdt>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研学旅行 </w:t>
      </w:r>
      <w:r>
        <w:rPr>
          <w:rFonts w:ascii="黑体" w:hAnsi="黑体" w:eastAsia="黑体"/>
        </w:rPr>
        <w:t xml:space="preserve"> </w:t>
      </w:r>
      <w:r>
        <w:rPr>
          <w:rFonts w:hint="eastAsia" w:ascii="黑体" w:hAnsi="黑体" w:eastAsia="黑体"/>
        </w:rPr>
        <w:t xml:space="preserve"> Education </w:t>
      </w:r>
      <w:r>
        <w:rPr>
          <w:rFonts w:hint="eastAsia" w:ascii="黑体" w:hAnsi="黑体" w:eastAsia="黑体"/>
          <w:lang w:val="en-US" w:eastAsia="zh-CN"/>
        </w:rPr>
        <w:t>T</w:t>
      </w:r>
      <w:r>
        <w:rPr>
          <w:rFonts w:hint="eastAsia" w:ascii="黑体" w:hAnsi="黑体" w:eastAsia="黑体"/>
        </w:rPr>
        <w:t>ourism</w:t>
      </w:r>
    </w:p>
    <w:p>
      <w:pPr>
        <w:pStyle w:val="56"/>
        <w:ind w:firstLine="420"/>
        <w:rPr>
          <w:rFonts w:hint="eastAsia"/>
        </w:rPr>
      </w:pPr>
      <w:r>
        <w:rPr>
          <w:rFonts w:hint="eastAsia"/>
        </w:rPr>
        <w:t>以中小学生为主体对象，以集体旅行生活为载体，以提升学生素质为教学目的，依托旅游吸引物等社会资源，进行体验式教育和研究性学习的一种教育旅游活动。</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研学旅行从业人员   Study </w:t>
      </w:r>
      <w:r>
        <w:rPr>
          <w:rFonts w:hint="eastAsia" w:ascii="黑体" w:hAnsi="黑体" w:eastAsia="黑体"/>
          <w:lang w:val="en-US" w:eastAsia="zh-CN"/>
        </w:rPr>
        <w:t>T</w:t>
      </w:r>
      <w:r>
        <w:rPr>
          <w:rFonts w:hint="eastAsia" w:ascii="黑体" w:hAnsi="黑体" w:eastAsia="黑体"/>
        </w:rPr>
        <w:t xml:space="preserve">our </w:t>
      </w:r>
      <w:r>
        <w:rPr>
          <w:rFonts w:hint="eastAsia" w:ascii="黑体" w:hAnsi="黑体" w:eastAsia="黑体"/>
          <w:lang w:val="en-US" w:eastAsia="zh-CN"/>
        </w:rPr>
        <w:t>P</w:t>
      </w:r>
      <w:r>
        <w:rPr>
          <w:rFonts w:hint="eastAsia" w:ascii="黑体" w:hAnsi="黑体" w:eastAsia="黑体"/>
        </w:rPr>
        <w:t>ractitioners</w:t>
      </w:r>
    </w:p>
    <w:p>
      <w:pPr>
        <w:pStyle w:val="56"/>
        <w:ind w:firstLine="420"/>
        <w:rPr>
          <w:rFonts w:hint="eastAsia"/>
        </w:rPr>
      </w:pPr>
      <w:r>
        <w:rPr>
          <w:rFonts w:hint="eastAsia"/>
        </w:rPr>
        <w:t>涉及策划、制订、实施研学旅行方案，组织、指导、执行、辅导、讲解、协助开展研学旅行活动的相关人员。</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培训机构   </w:t>
      </w:r>
      <w:r>
        <w:rPr>
          <w:rFonts w:hint="eastAsia" w:ascii="黑体" w:hAnsi="黑体" w:eastAsia="黑体"/>
          <w:lang w:val="en-US" w:eastAsia="zh-CN"/>
        </w:rPr>
        <w:t>T</w:t>
      </w:r>
      <w:r>
        <w:rPr>
          <w:rFonts w:hint="eastAsia" w:ascii="黑体" w:hAnsi="黑体" w:eastAsia="黑体"/>
        </w:rPr>
        <w:t xml:space="preserve">raining </w:t>
      </w:r>
      <w:r>
        <w:rPr>
          <w:rFonts w:hint="eastAsia" w:ascii="黑体" w:hAnsi="黑体" w:eastAsia="黑体"/>
          <w:lang w:val="en-US" w:eastAsia="zh-CN"/>
        </w:rPr>
        <w:t>I</w:t>
      </w:r>
      <w:bookmarkStart w:id="85" w:name="_GoBack"/>
      <w:bookmarkEnd w:id="85"/>
      <w:r>
        <w:rPr>
          <w:rFonts w:hint="eastAsia" w:ascii="黑体" w:hAnsi="黑体" w:eastAsia="黑体"/>
        </w:rPr>
        <w:t>nstitutions</w:t>
      </w:r>
    </w:p>
    <w:p>
      <w:pPr>
        <w:pStyle w:val="56"/>
        <w:ind w:firstLine="420"/>
      </w:pPr>
      <w:r>
        <w:rPr>
          <w:rFonts w:hint="eastAsia"/>
        </w:rPr>
        <w:t>以提升能力、培养技能、学历教育、认证培训等为目的的机构。</w:t>
      </w:r>
    </w:p>
    <w:p>
      <w:pPr>
        <w:pStyle w:val="104"/>
        <w:spacing w:before="240" w:after="240"/>
        <w:rPr>
          <w:rFonts w:ascii="宋体" w:eastAsia="宋体"/>
        </w:rPr>
      </w:pPr>
      <w:bookmarkStart w:id="60" w:name="_Toc146794038"/>
      <w:bookmarkStart w:id="61" w:name="_Toc146785720"/>
      <w:bookmarkStart w:id="62" w:name="_Toc146794003"/>
      <w:bookmarkStart w:id="63" w:name="_Toc146792626"/>
      <w:r>
        <w:rPr>
          <w:rFonts w:hint="eastAsia"/>
        </w:rPr>
        <w:t>基本要求</w:t>
      </w:r>
      <w:bookmarkEnd w:id="60"/>
      <w:bookmarkEnd w:id="61"/>
      <w:bookmarkEnd w:id="62"/>
      <w:bookmarkEnd w:id="63"/>
    </w:p>
    <w:p>
      <w:pPr>
        <w:pStyle w:val="105"/>
        <w:spacing w:before="0" w:beforeLines="0" w:after="0" w:afterLines="0"/>
        <w:rPr>
          <w:rFonts w:ascii="宋体" w:hAnsi="宋体" w:eastAsia="宋体"/>
        </w:rPr>
      </w:pPr>
      <w:r>
        <w:rPr>
          <w:rFonts w:hint="eastAsia" w:ascii="宋体" w:hAnsi="宋体" w:eastAsia="宋体"/>
        </w:rPr>
        <w:t>研学旅行培训机构经营管理和服务项目应符合相关法律法规规定。</w:t>
      </w:r>
    </w:p>
    <w:p>
      <w:pPr>
        <w:pStyle w:val="105"/>
        <w:spacing w:before="0" w:beforeLines="0" w:after="0" w:afterLines="0"/>
        <w:rPr>
          <w:rFonts w:ascii="宋体" w:hAnsi="宋体" w:eastAsia="宋体"/>
        </w:rPr>
      </w:pPr>
      <w:r>
        <w:rPr>
          <w:rFonts w:hint="eastAsia" w:ascii="宋体" w:hAnsi="宋体" w:eastAsia="宋体"/>
        </w:rPr>
        <w:t>应能够提供符合要求的培训场所、师资等条件的机构，包括：高等院校、科研院所、其他机关培训中心或符合培训要求的大型企业等。</w:t>
      </w:r>
    </w:p>
    <w:p>
      <w:pPr>
        <w:pStyle w:val="105"/>
        <w:spacing w:before="0" w:beforeLines="0" w:after="0" w:afterLines="0"/>
        <w:rPr>
          <w:rFonts w:ascii="宋体" w:hAnsi="宋体" w:eastAsia="宋体"/>
        </w:rPr>
      </w:pPr>
      <w:r>
        <w:rPr>
          <w:rFonts w:hint="eastAsia" w:ascii="宋体" w:hAnsi="宋体" w:eastAsia="宋体"/>
        </w:rPr>
        <w:t>应符合安全、消防、卫生等有关要求、培训场所面积适应教学需求。</w:t>
      </w:r>
    </w:p>
    <w:p>
      <w:pPr>
        <w:pStyle w:val="105"/>
        <w:spacing w:before="0" w:beforeLines="0" w:after="0" w:afterLines="0"/>
        <w:rPr>
          <w:rFonts w:ascii="宋体" w:hAnsi="宋体" w:eastAsia="宋体"/>
        </w:rPr>
      </w:pPr>
      <w:r>
        <w:rPr>
          <w:rFonts w:hint="eastAsia" w:ascii="宋体" w:hAnsi="宋体" w:eastAsia="宋体"/>
        </w:rPr>
        <w:t>应具备适应教学要求的基础性设施，应配有电脑、投影仪或LED屏、音响、麦克风等,为适应数字化的发展，应建设有信息化培训管理平台。</w:t>
      </w:r>
    </w:p>
    <w:p>
      <w:pPr>
        <w:pStyle w:val="105"/>
        <w:spacing w:before="0" w:beforeLines="0" w:after="0" w:afterLines="0"/>
        <w:rPr>
          <w:rFonts w:ascii="宋体" w:hAnsi="宋体" w:eastAsia="宋体"/>
        </w:rPr>
      </w:pPr>
      <w:r>
        <w:rPr>
          <w:rFonts w:hint="eastAsia" w:ascii="宋体" w:hAnsi="宋体" w:eastAsia="宋体"/>
        </w:rPr>
        <w:t>应具备教育培训组织管理制度，建立管理组织架构，设置工作岗位，明确部门、人员配比、分工，制定工作标准。</w:t>
      </w:r>
    </w:p>
    <w:p>
      <w:pPr>
        <w:pStyle w:val="104"/>
        <w:spacing w:before="240" w:after="240"/>
      </w:pPr>
      <w:bookmarkStart w:id="64" w:name="_Toc146785721"/>
      <w:bookmarkStart w:id="65" w:name="_Toc146794039"/>
      <w:bookmarkStart w:id="66" w:name="_Toc146792627"/>
      <w:bookmarkStart w:id="67" w:name="_Toc146794004"/>
      <w:r>
        <w:rPr>
          <w:rFonts w:hint="eastAsia"/>
        </w:rPr>
        <w:t>教学内容</w:t>
      </w:r>
      <w:bookmarkEnd w:id="64"/>
      <w:bookmarkEnd w:id="65"/>
      <w:bookmarkEnd w:id="66"/>
      <w:bookmarkEnd w:id="67"/>
    </w:p>
    <w:p>
      <w:pPr>
        <w:pStyle w:val="105"/>
        <w:spacing w:before="120" w:after="120"/>
      </w:pPr>
      <w:r>
        <w:rPr>
          <w:rFonts w:hint="eastAsia"/>
        </w:rPr>
        <w:t>培训目的</w:t>
      </w:r>
      <w:r>
        <w:t xml:space="preserve"> </w:t>
      </w:r>
    </w:p>
    <w:p>
      <w:pPr>
        <w:pStyle w:val="65"/>
        <w:spacing w:before="0" w:beforeLines="0" w:after="0" w:afterLines="0"/>
        <w:rPr>
          <w:rFonts w:ascii="宋体" w:hAnsi="宋体" w:eastAsia="宋体"/>
        </w:rPr>
      </w:pPr>
      <w:r>
        <w:rPr>
          <w:rFonts w:hint="eastAsia" w:ascii="宋体" w:hAnsi="宋体" w:eastAsia="宋体"/>
        </w:rPr>
        <w:t>进一步提高研学旅行从业人员的专业理论和实践技能水平，应使参训者具有扎实的科学文化基础和研学旅行课程设计与实施、教育及旅游常识。</w:t>
      </w:r>
    </w:p>
    <w:p>
      <w:pPr>
        <w:pStyle w:val="65"/>
        <w:spacing w:before="0" w:beforeLines="0" w:after="0" w:afterLines="0"/>
        <w:rPr>
          <w:rFonts w:ascii="宋体" w:hAnsi="宋体" w:eastAsia="宋体"/>
        </w:rPr>
      </w:pPr>
      <w:r>
        <w:rPr>
          <w:rFonts w:hint="eastAsia" w:ascii="宋体" w:hAnsi="宋体" w:eastAsia="宋体"/>
        </w:rPr>
        <w:t>具备较强的研学旅行课程设计、研学旅行产品研发、研发旅行市场营销、教育教学等能力。</w:t>
      </w:r>
    </w:p>
    <w:p>
      <w:pPr>
        <w:pStyle w:val="65"/>
        <w:spacing w:before="0" w:beforeLines="0" w:after="0" w:afterLines="0"/>
        <w:rPr>
          <w:rFonts w:ascii="宋体" w:hAnsi="宋体" w:eastAsia="宋体"/>
        </w:rPr>
      </w:pPr>
      <w:r>
        <w:rPr>
          <w:rFonts w:hint="eastAsia" w:ascii="宋体" w:hAnsi="宋体" w:eastAsia="宋体"/>
        </w:rPr>
        <w:t>具有立德树人意识，能胜任研学旅行活动策划、设计、组织、执行等各项工作</w:t>
      </w:r>
      <w:r>
        <w:rPr>
          <w:rFonts w:hint="eastAsia" w:ascii="宋体" w:hAnsi="宋体" w:eastAsia="宋体"/>
          <w:lang w:eastAsia="zh-CN"/>
        </w:rPr>
        <w:t>。</w:t>
      </w:r>
    </w:p>
    <w:p>
      <w:pPr>
        <w:pStyle w:val="105"/>
        <w:spacing w:before="120" w:after="120"/>
      </w:pPr>
      <w:r>
        <w:rPr>
          <w:rFonts w:hint="eastAsia"/>
        </w:rPr>
        <w:t>教学内容</w:t>
      </w:r>
    </w:p>
    <w:p>
      <w:pPr>
        <w:pStyle w:val="56"/>
        <w:ind w:firstLine="420"/>
      </w:pPr>
      <w:r>
        <w:rPr>
          <w:rFonts w:hint="eastAsia"/>
        </w:rPr>
        <w:t>教学内容应包括但不限于：</w:t>
      </w:r>
    </w:p>
    <w:p>
      <w:pPr>
        <w:pStyle w:val="132"/>
      </w:pPr>
      <w:r>
        <w:rPr>
          <w:rFonts w:hint="eastAsia"/>
        </w:rPr>
        <w:t>教育相关法律法规知识、研学旅行知识、教育教学知识、研学旅行课程开发与设计、研学旅行组织与实施、研学旅行营销与品牌管理；</w:t>
      </w:r>
    </w:p>
    <w:p>
      <w:pPr>
        <w:pStyle w:val="132"/>
      </w:pPr>
      <w:r>
        <w:rPr>
          <w:rFonts w:hint="eastAsia"/>
        </w:rPr>
        <w:t>旅游常识、通识性知识、安全保障知识、风险管理知识及基本应急常识；</w:t>
      </w:r>
    </w:p>
    <w:p>
      <w:pPr>
        <w:pStyle w:val="132"/>
      </w:pPr>
      <w:r>
        <w:rPr>
          <w:rFonts w:hint="eastAsia"/>
        </w:rPr>
        <w:t>根据参训者实际设置的教学内容。</w:t>
      </w:r>
    </w:p>
    <w:p>
      <w:pPr>
        <w:pStyle w:val="104"/>
        <w:spacing w:before="240" w:after="240"/>
        <w:rPr>
          <w:rFonts w:ascii="宋体" w:eastAsia="宋体"/>
        </w:rPr>
      </w:pPr>
      <w:bookmarkStart w:id="68" w:name="_Toc146794040"/>
      <w:bookmarkStart w:id="69" w:name="_Toc146794006"/>
      <w:bookmarkStart w:id="70" w:name="_Toc146792629"/>
      <w:bookmarkStart w:id="71" w:name="_Toc146785723"/>
      <w:r>
        <w:rPr>
          <w:rFonts w:hint="eastAsia"/>
        </w:rPr>
        <w:t>培训工作流程</w:t>
      </w:r>
      <w:bookmarkEnd w:id="68"/>
      <w:bookmarkEnd w:id="69"/>
      <w:bookmarkEnd w:id="70"/>
      <w:bookmarkEnd w:id="71"/>
    </w:p>
    <w:p>
      <w:pPr>
        <w:pStyle w:val="105"/>
        <w:spacing w:before="120" w:after="120"/>
        <w:rPr>
          <w:rFonts w:ascii="宋体" w:eastAsia="宋体"/>
        </w:rPr>
      </w:pPr>
      <w:r>
        <w:rPr>
          <w:rFonts w:hint="eastAsia"/>
        </w:rPr>
        <w:t>培训策划</w:t>
      </w:r>
    </w:p>
    <w:p>
      <w:pPr>
        <w:pStyle w:val="65"/>
        <w:spacing w:before="0" w:beforeLines="0" w:after="0" w:afterLines="0"/>
        <w:rPr>
          <w:rFonts w:ascii="宋体" w:hAnsi="宋体" w:eastAsia="宋体"/>
        </w:rPr>
      </w:pPr>
      <w:r>
        <w:rPr>
          <w:rFonts w:hint="eastAsia" w:ascii="宋体" w:hAnsi="宋体" w:eastAsia="宋体"/>
        </w:rPr>
        <w:t>应做好接待沟通服务，开展学员基本情况调查，了解参训者需求并做培训方案。</w:t>
      </w:r>
    </w:p>
    <w:p>
      <w:pPr>
        <w:pStyle w:val="65"/>
        <w:spacing w:before="0" w:beforeLines="0" w:after="0" w:afterLines="0"/>
        <w:rPr>
          <w:rFonts w:ascii="宋体" w:hAnsi="宋体" w:eastAsia="宋体"/>
        </w:rPr>
      </w:pPr>
      <w:r>
        <w:rPr>
          <w:rFonts w:hint="eastAsia" w:ascii="宋体" w:hAnsi="宋体" w:eastAsia="宋体"/>
        </w:rPr>
        <w:t>应根据调查情况结果，分析社会、行业需求，结合参训者实际明确培训目标。</w:t>
      </w:r>
    </w:p>
    <w:p>
      <w:pPr>
        <w:pStyle w:val="65"/>
        <w:spacing w:before="0" w:beforeLines="0" w:after="0" w:afterLines="0"/>
        <w:rPr>
          <w:rFonts w:ascii="宋体" w:hAnsi="宋体" w:eastAsia="宋体"/>
        </w:rPr>
      </w:pPr>
      <w:r>
        <w:rPr>
          <w:rFonts w:hint="eastAsia" w:ascii="宋体" w:hAnsi="宋体" w:eastAsia="宋体"/>
        </w:rPr>
        <w:t>应提前召开培训工作布置会，进行任务分工。</w:t>
      </w:r>
    </w:p>
    <w:p>
      <w:pPr>
        <w:pStyle w:val="65"/>
        <w:spacing w:before="0" w:beforeLines="0" w:after="0" w:afterLines="0"/>
        <w:rPr>
          <w:rFonts w:ascii="宋体" w:hAnsi="宋体" w:eastAsia="宋体"/>
        </w:rPr>
      </w:pPr>
      <w:r>
        <w:rPr>
          <w:rFonts w:hint="eastAsia" w:ascii="宋体" w:hAnsi="宋体" w:eastAsia="宋体"/>
        </w:rPr>
        <w:t>应提前编制培训方案及印制培训手册。</w:t>
      </w:r>
    </w:p>
    <w:p>
      <w:pPr>
        <w:pStyle w:val="65"/>
        <w:spacing w:before="0" w:beforeLines="0" w:after="0" w:afterLines="0"/>
        <w:rPr>
          <w:rFonts w:ascii="宋体" w:hAnsi="宋体" w:eastAsia="宋体"/>
        </w:rPr>
      </w:pPr>
      <w:r>
        <w:rPr>
          <w:rFonts w:hint="eastAsia" w:ascii="宋体" w:hAnsi="宋体" w:eastAsia="宋体"/>
        </w:rPr>
        <w:t>应根据培训方案选聘培训教师。</w:t>
      </w:r>
    </w:p>
    <w:p>
      <w:pPr>
        <w:pStyle w:val="65"/>
        <w:spacing w:before="0" w:beforeLines="0" w:after="0" w:afterLines="0"/>
        <w:rPr>
          <w:rFonts w:ascii="宋体" w:hAnsi="宋体" w:eastAsia="宋体"/>
        </w:rPr>
      </w:pPr>
      <w:r>
        <w:rPr>
          <w:rFonts w:hint="eastAsia" w:ascii="宋体" w:hAnsi="宋体" w:eastAsia="宋体"/>
        </w:rPr>
        <w:t>根据培训班要求应提前准备培训所需物料。</w:t>
      </w:r>
    </w:p>
    <w:p>
      <w:pPr>
        <w:pStyle w:val="65"/>
        <w:spacing w:before="0" w:beforeLines="0" w:after="0" w:afterLines="0"/>
        <w:rPr>
          <w:rFonts w:ascii="宋体" w:hAnsi="宋体" w:eastAsia="宋体"/>
        </w:rPr>
      </w:pPr>
      <w:r>
        <w:rPr>
          <w:rFonts w:hint="eastAsia" w:ascii="宋体" w:hAnsi="宋体" w:eastAsia="宋体"/>
        </w:rPr>
        <w:t>应提前落实引导、欢迎标识及培训氛围营造，布置培训会场。</w:t>
      </w:r>
    </w:p>
    <w:p>
      <w:pPr>
        <w:pStyle w:val="105"/>
        <w:spacing w:before="120" w:after="120"/>
        <w:rPr>
          <w:rFonts w:ascii="宋体" w:eastAsia="宋体"/>
        </w:rPr>
      </w:pPr>
      <w:r>
        <w:rPr>
          <w:rFonts w:hint="eastAsia"/>
        </w:rPr>
        <w:t>培训过程</w:t>
      </w:r>
    </w:p>
    <w:p>
      <w:pPr>
        <w:pStyle w:val="65"/>
        <w:spacing w:before="0" w:beforeLines="0" w:after="0" w:afterLines="0"/>
        <w:rPr>
          <w:rFonts w:ascii="宋体" w:hAnsi="宋体" w:eastAsia="宋体"/>
        </w:rPr>
      </w:pPr>
      <w:r>
        <w:rPr>
          <w:rFonts w:hint="eastAsia" w:ascii="宋体" w:hAnsi="宋体" w:eastAsia="宋体"/>
        </w:rPr>
        <w:t>为增强仪式感，激励参训者的积极性，应举行开班仪式。</w:t>
      </w:r>
    </w:p>
    <w:p>
      <w:pPr>
        <w:pStyle w:val="65"/>
        <w:spacing w:before="0" w:beforeLines="0" w:after="0" w:afterLines="0"/>
        <w:rPr>
          <w:rFonts w:ascii="宋体" w:hAnsi="宋体" w:eastAsia="宋体"/>
        </w:rPr>
      </w:pPr>
      <w:r>
        <w:rPr>
          <w:rFonts w:hint="eastAsia" w:ascii="宋体" w:hAnsi="宋体" w:eastAsia="宋体"/>
        </w:rPr>
        <w:t>应按教学计划实施培训（含现场教学工作）。</w:t>
      </w:r>
    </w:p>
    <w:p>
      <w:pPr>
        <w:pStyle w:val="65"/>
        <w:spacing w:before="0" w:beforeLines="0" w:after="0" w:afterLines="0"/>
        <w:rPr>
          <w:rFonts w:ascii="宋体" w:hAnsi="宋体" w:eastAsia="宋体"/>
        </w:rPr>
      </w:pPr>
      <w:r>
        <w:rPr>
          <w:rFonts w:hint="eastAsia" w:ascii="宋体" w:hAnsi="宋体" w:eastAsia="宋体"/>
        </w:rPr>
        <w:t>应加强班级管理，做好学员考勤考核。</w:t>
      </w:r>
    </w:p>
    <w:p>
      <w:pPr>
        <w:pStyle w:val="65"/>
        <w:spacing w:before="0" w:beforeLines="0" w:after="0" w:afterLines="0"/>
        <w:rPr>
          <w:rFonts w:ascii="宋体" w:hAnsi="宋体" w:eastAsia="宋体"/>
        </w:rPr>
      </w:pPr>
      <w:r>
        <w:rPr>
          <w:rFonts w:hint="eastAsia" w:ascii="宋体" w:hAnsi="宋体" w:eastAsia="宋体"/>
        </w:rPr>
        <w:t>为加深对培训的意义重要性的认识，应举行结业仪式。</w:t>
      </w:r>
    </w:p>
    <w:p>
      <w:pPr>
        <w:pStyle w:val="105"/>
        <w:spacing w:before="120" w:after="120"/>
        <w:rPr>
          <w:rFonts w:ascii="宋体" w:eastAsia="宋体"/>
        </w:rPr>
      </w:pPr>
      <w:r>
        <w:rPr>
          <w:rFonts w:hint="eastAsia"/>
        </w:rPr>
        <w:t>培训总结</w:t>
      </w:r>
    </w:p>
    <w:p>
      <w:pPr>
        <w:pStyle w:val="165"/>
        <w:rPr>
          <w:rFonts w:hAnsi="宋体"/>
        </w:rPr>
      </w:pPr>
      <w:r>
        <w:rPr>
          <w:rFonts w:hint="eastAsia" w:hAnsi="宋体"/>
        </w:rPr>
        <w:t>应及时回收、归还培训过程的各类物料。</w:t>
      </w:r>
    </w:p>
    <w:p>
      <w:pPr>
        <w:pStyle w:val="165"/>
        <w:rPr>
          <w:rFonts w:hAnsi="宋体"/>
        </w:rPr>
      </w:pPr>
      <w:r>
        <w:rPr>
          <w:rFonts w:hint="eastAsia" w:hAnsi="宋体"/>
        </w:rPr>
        <w:t>为提高服务质量，通过调查问卷统计培训情况，针对参训者提出的意见建议，及时做出调整和改善。</w:t>
      </w:r>
    </w:p>
    <w:p>
      <w:pPr>
        <w:pStyle w:val="104"/>
        <w:spacing w:before="240" w:after="240"/>
      </w:pPr>
      <w:bookmarkStart w:id="72" w:name="_Toc146785724"/>
      <w:bookmarkStart w:id="73" w:name="_Toc146794041"/>
      <w:bookmarkStart w:id="74" w:name="_Toc146792630"/>
      <w:bookmarkStart w:id="75" w:name="_Toc146794007"/>
      <w:r>
        <w:rPr>
          <w:rFonts w:hint="eastAsia"/>
        </w:rPr>
        <w:t>教学管理</w:t>
      </w:r>
      <w:bookmarkEnd w:id="72"/>
      <w:bookmarkEnd w:id="73"/>
      <w:bookmarkEnd w:id="74"/>
      <w:bookmarkEnd w:id="75"/>
    </w:p>
    <w:p>
      <w:pPr>
        <w:pStyle w:val="105"/>
        <w:spacing w:before="120" w:after="120"/>
      </w:pPr>
      <w:r>
        <w:rPr>
          <w:rFonts w:hint="eastAsia"/>
        </w:rPr>
        <w:t>教学方式方法</w:t>
      </w:r>
    </w:p>
    <w:p>
      <w:pPr>
        <w:pStyle w:val="65"/>
        <w:spacing w:before="0" w:beforeLines="0" w:after="0" w:afterLines="0"/>
        <w:rPr>
          <w:rFonts w:ascii="宋体" w:hAnsi="宋体" w:eastAsia="宋体"/>
        </w:rPr>
      </w:pPr>
      <w:r>
        <w:rPr>
          <w:rFonts w:hint="eastAsia" w:ascii="宋体" w:hAnsi="宋体" w:eastAsia="宋体"/>
        </w:rPr>
        <w:t>应以教学场地为依托，以“理论教学及实践操作”为主要手段，开展面授培训及现场教学。</w:t>
      </w:r>
    </w:p>
    <w:p>
      <w:pPr>
        <w:pStyle w:val="65"/>
        <w:spacing w:before="0" w:beforeLines="0" w:after="0" w:afterLines="0"/>
        <w:rPr>
          <w:rFonts w:ascii="宋体" w:hAnsi="宋体" w:eastAsia="宋体"/>
        </w:rPr>
      </w:pPr>
      <w:r>
        <w:rPr>
          <w:rFonts w:hint="eastAsia" w:ascii="宋体" w:hAnsi="宋体" w:eastAsia="宋体"/>
        </w:rPr>
        <w:t>应利用技术手段，搭建学习资源平台，为学员提供学习资料、电子课件、在线直播、课程音视频等资料，同时平台建设、运行、维护等符合国家法律法规及技术要求。</w:t>
      </w:r>
    </w:p>
    <w:p>
      <w:pPr>
        <w:pStyle w:val="65"/>
        <w:spacing w:before="0" w:beforeLines="0" w:after="0" w:afterLines="0"/>
        <w:rPr>
          <w:rFonts w:ascii="宋体" w:hAnsi="宋体" w:eastAsia="宋体"/>
        </w:rPr>
      </w:pPr>
      <w:r>
        <w:rPr>
          <w:rFonts w:hint="eastAsia" w:ascii="宋体" w:hAnsi="宋体" w:eastAsia="宋体"/>
        </w:rPr>
        <w:t>应综合运用讲授法、讨论法、演示法、练习法、任务驱动法、现场教学法、参观教学法进行教学活动。</w:t>
      </w:r>
    </w:p>
    <w:p>
      <w:pPr>
        <w:pStyle w:val="105"/>
        <w:spacing w:before="120" w:after="120"/>
      </w:pPr>
      <w:r>
        <w:rPr>
          <w:rFonts w:hint="eastAsia"/>
        </w:rPr>
        <w:t>班级管理</w:t>
      </w:r>
    </w:p>
    <w:p>
      <w:pPr>
        <w:pStyle w:val="65"/>
        <w:spacing w:before="0" w:beforeLines="0" w:after="0" w:afterLines="0"/>
        <w:rPr>
          <w:rFonts w:ascii="宋体" w:hAnsi="宋体" w:eastAsia="宋体"/>
        </w:rPr>
      </w:pPr>
      <w:r>
        <w:rPr>
          <w:rFonts w:hint="eastAsia" w:ascii="宋体" w:hAnsi="宋体" w:eastAsia="宋体"/>
        </w:rPr>
        <w:t>应建立班级群，并发布报到通知、课程预告等短信。</w:t>
      </w:r>
    </w:p>
    <w:p>
      <w:pPr>
        <w:pStyle w:val="65"/>
        <w:spacing w:before="0" w:beforeLines="0" w:after="0" w:afterLines="0"/>
        <w:rPr>
          <w:rFonts w:ascii="宋体" w:hAnsi="宋体" w:eastAsia="宋体"/>
        </w:rPr>
      </w:pPr>
      <w:r>
        <w:rPr>
          <w:rFonts w:hint="eastAsia" w:ascii="宋体" w:hAnsi="宋体" w:eastAsia="宋体"/>
        </w:rPr>
        <w:t>应根据学员结构情况进行分组，落实班委成员、组长。</w:t>
      </w:r>
    </w:p>
    <w:p>
      <w:pPr>
        <w:pStyle w:val="65"/>
        <w:spacing w:before="0" w:beforeLines="0" w:after="0" w:afterLines="0"/>
        <w:rPr>
          <w:rFonts w:ascii="宋体" w:hAnsi="宋体" w:eastAsia="宋体"/>
        </w:rPr>
      </w:pPr>
      <w:r>
        <w:rPr>
          <w:rFonts w:hint="eastAsia" w:ascii="宋体" w:hAnsi="宋体" w:eastAsia="宋体"/>
        </w:rPr>
        <w:t>应通过班级群对学员进行学业跟踪。</w:t>
      </w:r>
    </w:p>
    <w:p>
      <w:pPr>
        <w:pStyle w:val="105"/>
        <w:spacing w:before="120" w:after="120"/>
        <w:rPr>
          <w:rFonts w:hAnsi="黑体"/>
        </w:rPr>
      </w:pPr>
      <w:r>
        <w:rPr>
          <w:rFonts w:hint="eastAsia" w:hAnsi="黑体"/>
        </w:rPr>
        <w:t>财务管理</w:t>
      </w:r>
    </w:p>
    <w:p>
      <w:pPr>
        <w:pStyle w:val="65"/>
        <w:spacing w:before="0" w:beforeLines="0" w:after="0" w:afterLines="0"/>
        <w:rPr>
          <w:rFonts w:ascii="宋体" w:hAnsi="宋体" w:eastAsia="宋体"/>
        </w:rPr>
      </w:pPr>
      <w:r>
        <w:rPr>
          <w:rFonts w:hint="eastAsia" w:ascii="宋体" w:hAnsi="宋体" w:eastAsia="宋体"/>
        </w:rPr>
        <w:t>应根据财务部门报销制度要求，收集、整理办班票据。</w:t>
      </w:r>
    </w:p>
    <w:p>
      <w:pPr>
        <w:pStyle w:val="65"/>
        <w:spacing w:before="0" w:beforeLines="0" w:after="0" w:afterLines="0"/>
        <w:rPr>
          <w:rFonts w:ascii="宋体" w:hAnsi="宋体" w:eastAsia="宋体"/>
        </w:rPr>
      </w:pPr>
      <w:r>
        <w:rPr>
          <w:rFonts w:hint="eastAsia" w:ascii="宋体" w:hAnsi="宋体" w:eastAsia="宋体"/>
        </w:rPr>
        <w:t>应根据财务部门报销制度进行费用报销工作。</w:t>
      </w:r>
    </w:p>
    <w:p>
      <w:pPr>
        <w:pStyle w:val="105"/>
        <w:spacing w:before="120" w:after="120"/>
        <w:rPr>
          <w:rFonts w:hAnsi="黑体"/>
        </w:rPr>
      </w:pPr>
      <w:r>
        <w:rPr>
          <w:rFonts w:hint="eastAsia" w:hAnsi="黑体"/>
        </w:rPr>
        <w:t>档案管理</w:t>
      </w:r>
    </w:p>
    <w:p>
      <w:pPr>
        <w:pStyle w:val="65"/>
        <w:spacing w:before="0" w:beforeLines="0" w:after="0" w:afterLines="0"/>
        <w:rPr>
          <w:rFonts w:ascii="宋体" w:hAnsi="宋体" w:eastAsia="宋体"/>
        </w:rPr>
      </w:pPr>
      <w:r>
        <w:rPr>
          <w:rFonts w:hint="eastAsia" w:ascii="宋体" w:hAnsi="宋体" w:eastAsia="宋体"/>
        </w:rPr>
        <w:t>应收集培训过程材料，撰写培训总结。</w:t>
      </w:r>
    </w:p>
    <w:p>
      <w:pPr>
        <w:pStyle w:val="65"/>
        <w:spacing w:before="0" w:beforeLines="0" w:after="0" w:afterLines="0"/>
        <w:rPr>
          <w:rFonts w:ascii="宋体" w:hAnsi="宋体" w:eastAsia="宋体"/>
        </w:rPr>
      </w:pPr>
      <w:r>
        <w:rPr>
          <w:rFonts w:hint="eastAsia" w:ascii="宋体" w:hAnsi="宋体" w:eastAsia="宋体"/>
        </w:rPr>
        <w:t>应按照档案管理制度要求做好档案整理，并提交档案管理员进行归档，确保档案的完整性、准确性和系统性。</w:t>
      </w:r>
    </w:p>
    <w:p>
      <w:pPr>
        <w:pStyle w:val="105"/>
        <w:spacing w:before="120" w:after="120"/>
      </w:pPr>
      <w:r>
        <w:rPr>
          <w:rFonts w:hint="eastAsia"/>
        </w:rPr>
        <w:t>师资管理</w:t>
      </w:r>
    </w:p>
    <w:p>
      <w:pPr>
        <w:pStyle w:val="65"/>
        <w:spacing w:before="0" w:beforeLines="0" w:after="0" w:afterLines="0"/>
        <w:rPr>
          <w:rFonts w:ascii="宋体" w:hAnsi="宋体" w:eastAsia="宋体"/>
        </w:rPr>
      </w:pPr>
      <w:r>
        <w:rPr>
          <w:rFonts w:hint="eastAsia" w:ascii="宋体" w:hAnsi="宋体" w:eastAsia="宋体"/>
        </w:rPr>
        <w:t>应制定师资队伍建设制度，建设一支职业素质好、业务精良、结构合理、有一定科研能力充满活力的师资队伍。</w:t>
      </w:r>
    </w:p>
    <w:p>
      <w:pPr>
        <w:pStyle w:val="65"/>
        <w:spacing w:before="0" w:beforeLines="0" w:after="0" w:afterLines="0"/>
        <w:rPr>
          <w:rFonts w:ascii="宋体" w:hAnsi="宋体" w:eastAsia="宋体"/>
        </w:rPr>
      </w:pPr>
      <w:r>
        <w:rPr>
          <w:rFonts w:hint="eastAsia" w:ascii="宋体" w:hAnsi="宋体" w:eastAsia="宋体"/>
        </w:rPr>
        <w:t>应具相应教师资格或专业技术资格，具有一定年限相关工作经验及具有相当影响力的研学旅行研究成果等，能够满足理论培训和实践教学需要。</w:t>
      </w:r>
    </w:p>
    <w:p>
      <w:pPr>
        <w:pStyle w:val="65"/>
        <w:spacing w:before="0" w:beforeLines="0" w:after="0" w:afterLines="0"/>
        <w:rPr>
          <w:rFonts w:ascii="宋体" w:hAnsi="宋体" w:eastAsia="宋体"/>
        </w:rPr>
      </w:pPr>
      <w:r>
        <w:rPr>
          <w:rFonts w:hint="eastAsia" w:ascii="宋体" w:hAnsi="宋体" w:eastAsia="宋体"/>
        </w:rPr>
        <w:t>培训师资应具备较强语言表达能力和不断更新知识学习能力。</w:t>
      </w:r>
    </w:p>
    <w:p>
      <w:pPr>
        <w:pStyle w:val="65"/>
        <w:spacing w:before="0" w:beforeLines="0" w:after="0" w:afterLines="0"/>
        <w:rPr>
          <w:rFonts w:ascii="宋体" w:hAnsi="宋体" w:eastAsia="宋体"/>
        </w:rPr>
      </w:pPr>
      <w:r>
        <w:rPr>
          <w:rFonts w:hint="eastAsia" w:ascii="宋体" w:hAnsi="宋体" w:eastAsia="宋体"/>
        </w:rPr>
        <w:t>为提高教学质量，适应时代发展的需要，应开展交流学习、集体备课、共同磨课等活动。</w:t>
      </w:r>
    </w:p>
    <w:p>
      <w:pPr>
        <w:pStyle w:val="65"/>
        <w:spacing w:before="0" w:beforeLines="0" w:after="0" w:afterLines="0"/>
        <w:rPr>
          <w:rFonts w:ascii="宋体" w:hAnsi="宋体" w:eastAsia="宋体"/>
        </w:rPr>
      </w:pPr>
      <w:r>
        <w:rPr>
          <w:rFonts w:hint="eastAsia" w:ascii="宋体" w:hAnsi="宋体" w:eastAsia="宋体"/>
        </w:rPr>
        <w:t>具备培训需求分析、培训项目策划、设计、执行管理，辅助及保障培训服务工作的专业人员队伍。</w:t>
      </w:r>
    </w:p>
    <w:p>
      <w:pPr>
        <w:pStyle w:val="105"/>
        <w:spacing w:before="120" w:after="120"/>
      </w:pPr>
      <w:r>
        <w:rPr>
          <w:rFonts w:hint="eastAsia"/>
        </w:rPr>
        <w:t>安全管理</w:t>
      </w:r>
    </w:p>
    <w:p>
      <w:pPr>
        <w:pStyle w:val="65"/>
        <w:spacing w:before="0" w:beforeLines="0" w:after="0" w:afterLines="0"/>
        <w:rPr>
          <w:rFonts w:ascii="宋体" w:hAnsi="宋体" w:eastAsia="宋体"/>
        </w:rPr>
      </w:pPr>
      <w:r>
        <w:rPr>
          <w:rFonts w:hint="eastAsia" w:ascii="宋体" w:hAnsi="宋体" w:eastAsia="宋体"/>
        </w:rPr>
        <w:t>应制定和完善包括：地震、火灾、食品卫生、治安事件、设施设备突发故障等在内的各项突发事件应急预案，并定期组织演练。</w:t>
      </w:r>
    </w:p>
    <w:p>
      <w:pPr>
        <w:pStyle w:val="65"/>
        <w:spacing w:before="0" w:beforeLines="0" w:after="0" w:afterLines="0"/>
        <w:rPr>
          <w:rFonts w:ascii="宋体" w:hAnsi="宋体" w:eastAsia="宋体"/>
        </w:rPr>
      </w:pPr>
      <w:r>
        <w:rPr>
          <w:rFonts w:hint="eastAsia" w:ascii="宋体" w:hAnsi="宋体" w:eastAsia="宋体"/>
        </w:rPr>
        <w:t>应构建完善有效的安全保障机制，在教学活动中全程做好安全防范措施，确保参与教学活动的师生的人身安全与财产安全。</w:t>
      </w:r>
    </w:p>
    <w:p>
      <w:pPr>
        <w:pStyle w:val="65"/>
        <w:spacing w:before="0" w:beforeLines="0" w:after="0" w:afterLines="0"/>
        <w:rPr>
          <w:rFonts w:ascii="宋体" w:hAnsi="宋体" w:eastAsia="宋体"/>
        </w:rPr>
      </w:pPr>
      <w:r>
        <w:rPr>
          <w:rFonts w:hint="eastAsia" w:ascii="宋体" w:hAnsi="宋体" w:eastAsia="宋体"/>
        </w:rPr>
        <w:t>应为参与教学活动的师生购置意外伤害及医疗保障责任保险。</w:t>
      </w:r>
    </w:p>
    <w:p>
      <w:pPr>
        <w:pStyle w:val="104"/>
        <w:spacing w:before="240" w:after="240"/>
      </w:pPr>
      <w:bookmarkStart w:id="76" w:name="_Toc146794008"/>
      <w:bookmarkStart w:id="77" w:name="_Toc146785725"/>
      <w:bookmarkStart w:id="78" w:name="_Toc146792631"/>
      <w:bookmarkStart w:id="79" w:name="_Toc146794042"/>
      <w:r>
        <w:rPr>
          <w:rFonts w:hint="eastAsia"/>
        </w:rPr>
        <w:t>服务保障</w:t>
      </w:r>
      <w:bookmarkEnd w:id="76"/>
      <w:bookmarkEnd w:id="77"/>
      <w:bookmarkEnd w:id="78"/>
      <w:bookmarkEnd w:id="79"/>
    </w:p>
    <w:p>
      <w:pPr>
        <w:pStyle w:val="105"/>
        <w:spacing w:before="0" w:beforeLines="0" w:after="0" w:afterLines="0"/>
        <w:rPr>
          <w:rFonts w:ascii="宋体" w:hAnsi="宋体" w:eastAsia="宋体"/>
        </w:rPr>
      </w:pPr>
      <w:r>
        <w:rPr>
          <w:rFonts w:hint="eastAsia" w:ascii="宋体" w:hAnsi="宋体" w:eastAsia="宋体"/>
        </w:rPr>
        <w:t>应根据参训需求和服务方案，签订服务合同。</w:t>
      </w:r>
    </w:p>
    <w:p>
      <w:pPr>
        <w:pStyle w:val="105"/>
        <w:spacing w:before="0" w:beforeLines="0" w:after="0" w:afterLines="0"/>
      </w:pPr>
      <w:r>
        <w:rPr>
          <w:rFonts w:hint="eastAsia" w:ascii="宋体" w:hAnsi="宋体" w:eastAsia="宋体"/>
        </w:rPr>
        <w:t>应签订的服务合同包括但不限于食宿、交通等。</w:t>
      </w:r>
    </w:p>
    <w:p>
      <w:pPr>
        <w:pStyle w:val="104"/>
        <w:spacing w:before="240" w:after="240"/>
      </w:pPr>
      <w:bookmarkStart w:id="80" w:name="_Toc146794043"/>
      <w:bookmarkStart w:id="81" w:name="_Toc146792632"/>
      <w:bookmarkStart w:id="82" w:name="_Toc146785726"/>
      <w:bookmarkStart w:id="83" w:name="_Toc146794009"/>
      <w:r>
        <w:rPr>
          <w:rFonts w:hint="eastAsia"/>
        </w:rPr>
        <w:t>服务评估与改进</w:t>
      </w:r>
      <w:bookmarkEnd w:id="80"/>
      <w:bookmarkEnd w:id="81"/>
      <w:bookmarkEnd w:id="82"/>
      <w:bookmarkEnd w:id="83"/>
    </w:p>
    <w:p>
      <w:pPr>
        <w:pStyle w:val="105"/>
        <w:spacing w:before="120" w:after="120"/>
      </w:pPr>
      <w:r>
        <w:rPr>
          <w:rFonts w:hint="eastAsia"/>
        </w:rPr>
        <w:t>评估方式</w:t>
      </w:r>
    </w:p>
    <w:p>
      <w:pPr>
        <w:pStyle w:val="165"/>
      </w:pPr>
      <w:r>
        <w:rPr>
          <w:rFonts w:hint="eastAsia"/>
        </w:rPr>
        <w:t>应建立评价指标体系，细化具体指标的评估分值，评价指标包括但不仅限于研学旅行教育活动总体情况、课程设计、课程目标、教学内容、教学流程设置、教学互动、教学点评、现场教学、教学管理及教师评价等指标。</w:t>
      </w:r>
    </w:p>
    <w:p>
      <w:pPr>
        <w:pStyle w:val="165"/>
      </w:pPr>
      <w:r>
        <w:rPr>
          <w:rFonts w:hint="eastAsia"/>
        </w:rPr>
        <w:t>应通过自我评价、第三方评价、培训学员及培训教师等方式建立研学评价机制，重点开展培训质量评价和培训教师评价。</w:t>
      </w:r>
    </w:p>
    <w:p>
      <w:pPr>
        <w:pStyle w:val="165"/>
      </w:pPr>
      <w:r>
        <w:rPr>
          <w:rFonts w:hint="eastAsia"/>
        </w:rPr>
        <w:t>应根据调查结果进行统计分析和量化评估，做好评价结果分析。</w:t>
      </w:r>
    </w:p>
    <w:p>
      <w:pPr>
        <w:pStyle w:val="165"/>
      </w:pPr>
      <w:r>
        <w:rPr>
          <w:rFonts w:hint="eastAsia"/>
        </w:rPr>
        <w:t>应及时将服务评价分析结果反馈给相关岗位工作人员。</w:t>
      </w:r>
    </w:p>
    <w:p>
      <w:pPr>
        <w:pStyle w:val="105"/>
        <w:spacing w:before="120" w:after="120"/>
      </w:pPr>
      <w:r>
        <w:rPr>
          <w:rFonts w:hint="eastAsia"/>
        </w:rPr>
        <w:t>教学改进</w:t>
      </w:r>
    </w:p>
    <w:p>
      <w:pPr>
        <w:pStyle w:val="65"/>
        <w:spacing w:before="0" w:beforeLines="0" w:after="0" w:afterLines="0"/>
        <w:rPr>
          <w:rFonts w:ascii="宋体" w:hAnsi="宋体" w:eastAsia="宋体"/>
        </w:rPr>
      </w:pPr>
      <w:r>
        <w:rPr>
          <w:rFonts w:hint="eastAsia" w:ascii="宋体" w:hAnsi="宋体" w:eastAsia="宋体"/>
        </w:rPr>
        <w:t>应根据评估结果，做好培训班的复盘工作。</w:t>
      </w:r>
    </w:p>
    <w:p>
      <w:pPr>
        <w:pStyle w:val="65"/>
        <w:spacing w:before="0" w:beforeLines="0" w:after="0" w:afterLines="0"/>
        <w:rPr>
          <w:rFonts w:ascii="宋体" w:hAnsi="宋体" w:eastAsia="宋体"/>
        </w:rPr>
      </w:pPr>
      <w:r>
        <w:rPr>
          <w:rFonts w:hint="eastAsia" w:ascii="宋体" w:hAnsi="宋体" w:eastAsia="宋体"/>
        </w:rPr>
        <w:t>应根据反馈情况及存在的薄弱环节进行分析，找出发生或潜在发生质量问题的根本原因，采取纠正或预防措施以消除该根本原因，同时对改进情况进行跟踪，并持续做好提升服务工作。</w:t>
      </w:r>
    </w:p>
    <w:p>
      <w:pPr>
        <w:pStyle w:val="65"/>
        <w:spacing w:before="0" w:beforeLines="0" w:after="0" w:afterLines="0"/>
      </w:pPr>
      <w:r>
        <w:rPr>
          <w:rFonts w:hint="eastAsia" w:ascii="宋体" w:hAnsi="宋体" w:eastAsia="宋体"/>
        </w:rPr>
        <w:t>应对各方面反馈的质量信息及时进行汇总分析，明确产品中的主要缺陷，找准发生质量问题的具体原因，通过健全制度、加强培训、调整供应方、优化教学方案、完善服务要素和管理环节等措施，持续改进研学旅行从业人员培训服务。</w:t>
      </w:r>
    </w:p>
    <w:bookmarkEnd w:id="26"/>
    <w:p>
      <w:pPr>
        <w:pStyle w:val="56"/>
        <w:ind w:firstLine="0" w:firstLineChars="0"/>
        <w:jc w:val="center"/>
      </w:pPr>
      <w:bookmarkStart w:id="84" w:name="BookMark8"/>
      <w:r>
        <w:rPr>
          <w:rFonts w:hint="eastAsia"/>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84"/>
    </w:p>
    <w:sectPr>
      <w:pgSz w:w="11906" w:h="16838"/>
      <w:pgMar w:top="1928" w:right="1134" w:bottom="1134" w:left="1134" w:header="1418" w:footer="1134" w:gutter="284"/>
      <w:pgNumType w:start="1"/>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T/GXAS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attachedTemplate r:id="rId1"/>
  <w:documentProtection w:edit="forms" w:enforcement="1" w:cryptProviderType="rsaAES" w:cryptAlgorithmClass="hash" w:cryptAlgorithmType="typeAny" w:cryptAlgorithmSid="14" w:cryptSpinCount="100000" w:hash="4o0EC34o90j71YKADxiAy27sQIpKgVVD+UqxB3oz7nW9oGAgeV9CgfCw9c8eKgY+x/+vUYbe5vJxkfLREvFrQw==" w:salt="F6tJsh4qzJ4DnwdXuAX/BQ=="/>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zNmQxYWI0Y2E1ZGE4YTI3ZGQxMmQ0NzdhNmRjOTUifQ=="/>
  </w:docVars>
  <w:rsids>
    <w:rsidRoot w:val="00A26995"/>
    <w:rsid w:val="0000040A"/>
    <w:rsid w:val="00000A94"/>
    <w:rsid w:val="00001972"/>
    <w:rsid w:val="00001D9A"/>
    <w:rsid w:val="00007B3A"/>
    <w:rsid w:val="000107E0"/>
    <w:rsid w:val="00011FDE"/>
    <w:rsid w:val="00012FFD"/>
    <w:rsid w:val="00014162"/>
    <w:rsid w:val="00014340"/>
    <w:rsid w:val="00016A9C"/>
    <w:rsid w:val="000211B8"/>
    <w:rsid w:val="00022184"/>
    <w:rsid w:val="00022762"/>
    <w:rsid w:val="0002360D"/>
    <w:rsid w:val="000238E0"/>
    <w:rsid w:val="000249DB"/>
    <w:rsid w:val="0002595E"/>
    <w:rsid w:val="000303C3"/>
    <w:rsid w:val="000331D3"/>
    <w:rsid w:val="000346A5"/>
    <w:rsid w:val="000359C3"/>
    <w:rsid w:val="00035A7D"/>
    <w:rsid w:val="000365ED"/>
    <w:rsid w:val="00036BB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5C8"/>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0AE"/>
    <w:rsid w:val="000C6362"/>
    <w:rsid w:val="000C6D59"/>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178A3"/>
    <w:rsid w:val="00124E4F"/>
    <w:rsid w:val="001260B7"/>
    <w:rsid w:val="001265CB"/>
    <w:rsid w:val="00126DAD"/>
    <w:rsid w:val="001321C6"/>
    <w:rsid w:val="001325C4"/>
    <w:rsid w:val="00133010"/>
    <w:rsid w:val="001338EE"/>
    <w:rsid w:val="00133AAE"/>
    <w:rsid w:val="00135323"/>
    <w:rsid w:val="001356C4"/>
    <w:rsid w:val="00137565"/>
    <w:rsid w:val="00141114"/>
    <w:rsid w:val="00141F8F"/>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510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0F65"/>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2FF9"/>
    <w:rsid w:val="00263D25"/>
    <w:rsid w:val="002643C3"/>
    <w:rsid w:val="00264A0C"/>
    <w:rsid w:val="00266EEB"/>
    <w:rsid w:val="00267EF4"/>
    <w:rsid w:val="00270CB8"/>
    <w:rsid w:val="00272B08"/>
    <w:rsid w:val="00281BB8"/>
    <w:rsid w:val="00281E9E"/>
    <w:rsid w:val="00282405"/>
    <w:rsid w:val="00285170"/>
    <w:rsid w:val="00285361"/>
    <w:rsid w:val="00292D60"/>
    <w:rsid w:val="00293169"/>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5689"/>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17BF8"/>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38F6"/>
    <w:rsid w:val="005B4903"/>
    <w:rsid w:val="005B51CE"/>
    <w:rsid w:val="005B5885"/>
    <w:rsid w:val="005B5CD7"/>
    <w:rsid w:val="005B6CF6"/>
    <w:rsid w:val="005B7422"/>
    <w:rsid w:val="005C29B8"/>
    <w:rsid w:val="005C54DF"/>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26C11"/>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A6F74"/>
    <w:rsid w:val="006B2672"/>
    <w:rsid w:val="006B54BF"/>
    <w:rsid w:val="006B5F44"/>
    <w:rsid w:val="006B5F90"/>
    <w:rsid w:val="006B62E4"/>
    <w:rsid w:val="006C1BBA"/>
    <w:rsid w:val="006C2079"/>
    <w:rsid w:val="006C5A62"/>
    <w:rsid w:val="006C5D68"/>
    <w:rsid w:val="006C6976"/>
    <w:rsid w:val="006C6DD0"/>
    <w:rsid w:val="006D04EA"/>
    <w:rsid w:val="006D07D0"/>
    <w:rsid w:val="006D16C4"/>
    <w:rsid w:val="006D3E96"/>
    <w:rsid w:val="006D4515"/>
    <w:rsid w:val="006D4BB1"/>
    <w:rsid w:val="006D6593"/>
    <w:rsid w:val="006E2AC6"/>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2CF"/>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3A59"/>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AAD"/>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C6569"/>
    <w:rsid w:val="008D0CE8"/>
    <w:rsid w:val="008D1FD3"/>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6995"/>
    <w:rsid w:val="00A30EFC"/>
    <w:rsid w:val="00A31984"/>
    <w:rsid w:val="00A32D73"/>
    <w:rsid w:val="00A3367B"/>
    <w:rsid w:val="00A33C67"/>
    <w:rsid w:val="00A3597D"/>
    <w:rsid w:val="00A36AB5"/>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D729B"/>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16BB"/>
    <w:rsid w:val="00C42130"/>
    <w:rsid w:val="00C423A4"/>
    <w:rsid w:val="00C423E3"/>
    <w:rsid w:val="00C44BF5"/>
    <w:rsid w:val="00C468A0"/>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697D"/>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D3020B3"/>
    <w:rsid w:val="38644948"/>
    <w:rsid w:val="3F2B5417"/>
    <w:rsid w:val="424B6D70"/>
    <w:rsid w:val="60E900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b/>
      <w:bCs/>
      <w:kern w:val="44"/>
      <w:sz w:val="44"/>
      <w:szCs w:val="44"/>
    </w:rPr>
  </w:style>
  <w:style w:type="character" w:customStyle="1" w:styleId="35">
    <w:name w:val="标题 2 Char"/>
    <w:link w:val="3"/>
    <w:qFormat/>
    <w:uiPriority w:val="0"/>
    <w:rPr>
      <w:rFonts w:ascii="Arial" w:hAnsi="Arial" w:eastAsia="黑体"/>
      <w:b/>
      <w:bCs/>
      <w:kern w:val="2"/>
      <w:sz w:val="32"/>
      <w:szCs w:val="32"/>
    </w:rPr>
  </w:style>
  <w:style w:type="character" w:customStyle="1" w:styleId="36">
    <w:name w:val="标题 3 Char"/>
    <w:link w:val="4"/>
    <w:qFormat/>
    <w:uiPriority w:val="0"/>
    <w:rPr>
      <w:b/>
      <w:bCs/>
      <w:kern w:val="2"/>
      <w:sz w:val="32"/>
      <w:szCs w:val="32"/>
    </w:rPr>
  </w:style>
  <w:style w:type="character" w:customStyle="1" w:styleId="37">
    <w:name w:val="标题 4 Char"/>
    <w:link w:val="5"/>
    <w:qFormat/>
    <w:uiPriority w:val="0"/>
    <w:rPr>
      <w:rFonts w:ascii="Arial" w:hAnsi="Arial" w:eastAsia="黑体"/>
      <w:b/>
      <w:bCs/>
      <w:kern w:val="2"/>
      <w:sz w:val="28"/>
      <w:szCs w:val="28"/>
    </w:rPr>
  </w:style>
  <w:style w:type="character" w:customStyle="1" w:styleId="38">
    <w:name w:val="标题 5 Char"/>
    <w:link w:val="6"/>
    <w:qFormat/>
    <w:uiPriority w:val="0"/>
    <w:rPr>
      <w:b/>
      <w:bCs/>
      <w:kern w:val="2"/>
      <w:sz w:val="28"/>
      <w:szCs w:val="28"/>
    </w:rPr>
  </w:style>
  <w:style w:type="character" w:customStyle="1" w:styleId="39">
    <w:name w:val="标题 6 Char"/>
    <w:link w:val="7"/>
    <w:qFormat/>
    <w:uiPriority w:val="0"/>
    <w:rPr>
      <w:rFonts w:ascii="Arial" w:hAnsi="Arial" w:eastAsia="黑体"/>
      <w:b/>
      <w:bCs/>
      <w:kern w:val="2"/>
      <w:sz w:val="24"/>
      <w:szCs w:val="24"/>
    </w:rPr>
  </w:style>
  <w:style w:type="character" w:customStyle="1" w:styleId="40">
    <w:name w:val="标题 7 Char"/>
    <w:link w:val="8"/>
    <w:qFormat/>
    <w:uiPriority w:val="0"/>
    <w:rPr>
      <w:b/>
      <w:bCs/>
      <w:kern w:val="2"/>
      <w:sz w:val="24"/>
      <w:szCs w:val="24"/>
    </w:rPr>
  </w:style>
  <w:style w:type="character" w:customStyle="1" w:styleId="41">
    <w:name w:val="标题 8 Char"/>
    <w:link w:val="9"/>
    <w:qFormat/>
    <w:uiPriority w:val="0"/>
    <w:rPr>
      <w:rFonts w:ascii="Arial" w:hAnsi="Arial" w:eastAsia="黑体"/>
      <w:kern w:val="2"/>
      <w:sz w:val="24"/>
      <w:szCs w:val="24"/>
    </w:rPr>
  </w:style>
  <w:style w:type="character" w:customStyle="1" w:styleId="42">
    <w:name w:val="标题 9 Char"/>
    <w:link w:val="10"/>
    <w:qFormat/>
    <w:uiPriority w:val="0"/>
    <w:rPr>
      <w:rFonts w:ascii="Arial" w:hAnsi="Arial" w:eastAsia="黑体"/>
      <w:kern w:val="2"/>
      <w:sz w:val="21"/>
      <w:szCs w:val="21"/>
    </w:rPr>
  </w:style>
  <w:style w:type="character" w:customStyle="1" w:styleId="43">
    <w:name w:val="页眉 Char"/>
    <w:link w:val="18"/>
    <w:qFormat/>
    <w:uiPriority w:val="99"/>
    <w:rPr>
      <w:kern w:val="2"/>
      <w:sz w:val="18"/>
      <w:szCs w:val="18"/>
    </w:rPr>
  </w:style>
  <w:style w:type="character" w:customStyle="1" w:styleId="44">
    <w:name w:val="页脚 Char"/>
    <w:link w:val="17"/>
    <w:qFormat/>
    <w:uiPriority w:val="99"/>
    <w:rPr>
      <w:rFonts w:ascii="宋体"/>
      <w:kern w:val="2"/>
      <w:sz w:val="18"/>
      <w:szCs w:val="18"/>
    </w:rPr>
  </w:style>
  <w:style w:type="character" w:customStyle="1" w:styleId="45">
    <w:name w:val="批注框文本 Char"/>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kern w:val="2"/>
      <w:sz w:val="21"/>
      <w:szCs w:val="21"/>
    </w:rPr>
  </w:style>
  <w:style w:type="character" w:customStyle="1" w:styleId="48">
    <w:name w:val="标题 Char"/>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wrap="around"/>
      <w:spacing w:before="57"/>
    </w:pPr>
    <w:rPr>
      <w:sz w:val="21"/>
    </w:rPr>
  </w:style>
  <w:style w:type="paragraph" w:customStyle="1" w:styleId="197">
    <w:name w:val="标准文件_文件名称"/>
    <w:basedOn w:val="56"/>
    <w:next w:val="56"/>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3.jpeg"/><Relationship Id="rId14" Type="http://schemas.openxmlformats.org/officeDocument/2006/relationships/image" Target="media/image2.png"/><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5002A934D20F474F80241D74E1E129CD"/>
        <w:style w:val=""/>
        <w:category>
          <w:name w:val="常规"/>
          <w:gallery w:val="placeholder"/>
        </w:category>
        <w:types>
          <w:type w:val="bbPlcHdr"/>
        </w:types>
        <w:behaviors>
          <w:behavior w:val="content"/>
        </w:behaviors>
        <w:description w:val=""/>
        <w:guid w:val="{61C9F5D6-53BE-4DCF-94B1-6C21A585EA02}"/>
      </w:docPartPr>
      <w:docPartBody>
        <w:p>
          <w:pPr>
            <w:pStyle w:val="5"/>
          </w:pPr>
          <w:r>
            <w:rPr>
              <w:rStyle w:val="4"/>
              <w:rFonts w:hint="eastAsia"/>
            </w:rPr>
            <w:t>单击或点击此处输入文字。</w:t>
          </w:r>
        </w:p>
      </w:docPartBody>
    </w:docPart>
    <w:docPart>
      <w:docPartPr>
        <w:name w:val="3606D00A92764139ABE77AE9B0F86889"/>
        <w:style w:val=""/>
        <w:category>
          <w:name w:val="常规"/>
          <w:gallery w:val="placeholder"/>
        </w:category>
        <w:types>
          <w:type w:val="bbPlcHdr"/>
        </w:types>
        <w:behaviors>
          <w:behavior w:val="content"/>
        </w:behaviors>
        <w:description w:val=""/>
        <w:guid w:val="{548A120F-D9C0-4059-8948-6037AE6E11C1}"/>
      </w:docPartPr>
      <w:docPartBody>
        <w:p>
          <w:pPr>
            <w:pStyle w:val="6"/>
          </w:pPr>
          <w:r>
            <w:rPr>
              <w:rStyle w:val="4"/>
              <w:rFonts w:hint="eastAsia"/>
            </w:rPr>
            <w:t>选择一项。</w:t>
          </w:r>
        </w:p>
      </w:docPartBody>
    </w:docPart>
    <w:docPart>
      <w:docPartPr>
        <w:name w:val="1D4B19037F7143F98DAF2D155F497B37"/>
        <w:style w:val=""/>
        <w:category>
          <w:name w:val="常规"/>
          <w:gallery w:val="placeholder"/>
        </w:category>
        <w:types>
          <w:type w:val="bbPlcHdr"/>
        </w:types>
        <w:behaviors>
          <w:behavior w:val="content"/>
        </w:behaviors>
        <w:description w:val=""/>
        <w:guid w:val="{5EEECD4C-2DC3-408A-8B1E-AE0870F24969}"/>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1935"/>
    <w:rsid w:val="00305E55"/>
    <w:rsid w:val="00510A3C"/>
    <w:rsid w:val="00520EE6"/>
    <w:rsid w:val="005B3F1A"/>
    <w:rsid w:val="00864EE7"/>
    <w:rsid w:val="00B5364B"/>
    <w:rsid w:val="00DA79C2"/>
    <w:rsid w:val="00E25AF8"/>
    <w:rsid w:val="00F016AF"/>
    <w:rsid w:val="00FD1935"/>
    <w:rsid w:val="00FE00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5002A934D20F474F80241D74E1E129C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3606D00A92764139ABE77AE9B0F8688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1D4B19037F7143F98DAF2D155F497B37"/>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684717E-1A51-4E5D-A3BD-6190D461602F}">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7</Pages>
  <Words>642</Words>
  <Characters>3660</Characters>
  <Lines>30</Lines>
  <Paragraphs>8</Paragraphs>
  <TotalTime>20</TotalTime>
  <ScaleCrop>false</ScaleCrop>
  <LinksUpToDate>false</LinksUpToDate>
  <CharactersWithSpaces>4294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2023-09-27T08:09:00Z</dcterms:created>
  <dc:creator>LENOVO</dc:creator>
  <dc:description>&lt;config cover="true" show_menu="true" version="1.0.0" doctype="SDKXY"&gt;_x000d_
&lt;/config&gt;</dc:description>
  <cp:lastModifiedBy>蒙蒙胧胧</cp:lastModifiedBy>
  <cp:lastPrinted>2021-02-02T08:22:00Z</cp:lastPrinted>
  <dcterms:modified xsi:type="dcterms:W3CDTF">2023-10-17T03:15:10Z</dcterms:modified>
  <dc:title>团体标准</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2052-12.1.0.15712</vt:lpwstr>
  </property>
  <property fmtid="{D5CDD505-2E9C-101B-9397-08002B2CF9AE}" pid="15" name="ICV">
    <vt:lpwstr>1F3C8744F9C2450D84AF95AC6AB80A20_12</vt:lpwstr>
  </property>
</Properties>
</file>