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w:t>
            </w:r>
            <w:r>
              <w:rPr>
                <w:rFonts w:ascii="黑体" w:hAnsi="黑体" w:eastAsia="黑体"/>
                <w:sz w:val="21"/>
                <w:szCs w:val="21"/>
              </w:rPr>
              <w:t>0</w:t>
            </w:r>
            <w:r>
              <w:rPr>
                <w:rFonts w:ascii="黑体" w:hAnsi="黑体" w:eastAsia="黑体"/>
                <w:sz w:val="21"/>
                <w:szCs w:val="21"/>
              </w:rPr>
              <w:fldChar w:fldCharType="end"/>
            </w:r>
            <w:bookmarkEnd w:id="2"/>
          </w:p>
        </w:tc>
      </w:tr>
    </w:tbl>
    <w:p>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8"/>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pPr>
        <w:pStyle w:val="199"/>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spacing w:before="120" w:after="120"/>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苗期</w:t>
      </w:r>
      <w:r>
        <w:t>甘蔗氮高效基因型评估技术规程</w:t>
      </w:r>
      <w:r>
        <w:fldChar w:fldCharType="end"/>
      </w:r>
      <w:bookmarkEnd w:id="8"/>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high-efficiency phenotypic evaluation method of sugarcane nitrogen at Seedling Stage</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pPr>
        <w:pStyle w:val="92"/>
        <w:spacing w:after="360"/>
      </w:pPr>
      <w:bookmarkStart w:id="20" w:name="BookMark2"/>
      <w:r>
        <w:rPr>
          <w:spacing w:val="320"/>
        </w:rPr>
        <w:t>前</w:t>
      </w:r>
      <w:r>
        <w:t>言</w:t>
      </w:r>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本文件由广西壮族自治区农业科学院提出、归口并宣贯。</w:t>
      </w:r>
    </w:p>
    <w:p>
      <w:pPr>
        <w:pStyle w:val="59"/>
        <w:ind w:firstLine="420"/>
      </w:pPr>
      <w:r>
        <w:rPr>
          <w:rFonts w:hint="eastAsia"/>
        </w:rPr>
        <w:t>本文件起草单位：广西壮族自治区农业科学院甘蔗研究所、国热带农业科学院热带作物品种资源研究所、广西甘蔗学会、农业部甘蔗生物技术遗传改良重点实验室。</w:t>
      </w:r>
    </w:p>
    <w:p>
      <w:pPr>
        <w:pStyle w:val="59"/>
        <w:ind w:firstLine="420"/>
      </w:pPr>
      <w:r>
        <w:rPr>
          <w:rFonts w:hint="eastAsia"/>
        </w:rPr>
        <w:t>本文件主要起草人：廖芬</w:t>
      </w:r>
      <w:r>
        <w:rPr>
          <w:rFonts w:hint="eastAsia"/>
          <w:lang w:eastAsia="zh-CN"/>
        </w:rPr>
        <w:t>、</w:t>
      </w:r>
      <w:r>
        <w:rPr>
          <w:rFonts w:hint="eastAsia"/>
        </w:rPr>
        <w:t>黄东亮</w:t>
      </w:r>
      <w:r>
        <w:rPr>
          <w:rFonts w:hint="eastAsia"/>
          <w:lang w:eastAsia="zh-CN"/>
        </w:rPr>
        <w:t>、</w:t>
      </w:r>
      <w:r>
        <w:rPr>
          <w:rFonts w:hint="eastAsia"/>
        </w:rPr>
        <w:t>秦翠鲜</w:t>
      </w:r>
      <w:r>
        <w:rPr>
          <w:rFonts w:hint="eastAsia"/>
          <w:lang w:eastAsia="zh-CN"/>
        </w:rPr>
        <w:t>、</w:t>
      </w:r>
      <w:r>
        <w:rPr>
          <w:rFonts w:hint="eastAsia"/>
        </w:rPr>
        <w:t>张保青</w:t>
      </w:r>
      <w:r>
        <w:rPr>
          <w:rFonts w:hint="eastAsia"/>
          <w:lang w:eastAsia="zh-CN"/>
        </w:rPr>
        <w:t>、</w:t>
      </w:r>
      <w:r>
        <w:rPr>
          <w:rFonts w:hint="eastAsia"/>
        </w:rPr>
        <w:t>汪淼</w:t>
      </w:r>
      <w:r>
        <w:rPr>
          <w:rFonts w:hint="eastAsia"/>
          <w:lang w:eastAsia="zh-CN"/>
        </w:rPr>
        <w:t>、</w:t>
      </w:r>
      <w:r>
        <w:rPr>
          <w:rFonts w:hint="eastAsia"/>
        </w:rPr>
        <w:t>陈忠良</w:t>
      </w:r>
      <w:r>
        <w:rPr>
          <w:rFonts w:hint="eastAsia"/>
          <w:lang w:eastAsia="zh-CN"/>
        </w:rPr>
        <w:t>、</w:t>
      </w:r>
      <w:r>
        <w:rPr>
          <w:rFonts w:hint="eastAsia"/>
        </w:rPr>
        <w:t>李傲梅</w:t>
      </w:r>
      <w:r>
        <w:rPr>
          <w:rFonts w:hint="eastAsia"/>
          <w:lang w:eastAsia="zh-CN"/>
        </w:rPr>
        <w:t>、</w:t>
      </w:r>
      <w:r>
        <w:rPr>
          <w:rFonts w:hint="eastAsia"/>
        </w:rPr>
        <w:t>潘有强。</w:t>
      </w:r>
    </w:p>
    <w:p>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E8502A3B48CF4CB381207185AE4B24B4"/>
        </w:placeholder>
      </w:sdtPr>
      <w:sdtContent>
        <w:p>
          <w:pPr>
            <w:pStyle w:val="180"/>
            <w:spacing w:before="240" w:beforeLines="100" w:after="528" w:afterLines="220"/>
          </w:pPr>
          <w:bookmarkStart w:id="22" w:name="NEW_STAND_NAME"/>
          <w:r>
            <w:rPr>
              <w:rFonts w:hint="eastAsia"/>
            </w:rPr>
            <w:t>苗期甘蔗氮高效基因型评估技术规程</w:t>
          </w:r>
        </w:p>
      </w:sdtContent>
    </w:sdt>
    <w:bookmarkEnd w:id="22"/>
    <w:p>
      <w:pPr>
        <w:pStyle w:val="107"/>
        <w:spacing w:before="240" w:after="240"/>
      </w:pPr>
      <w:bookmarkStart w:id="23" w:name="_Toc24884211"/>
      <w:bookmarkStart w:id="24" w:name="_Toc17233325"/>
      <w:bookmarkStart w:id="25" w:name="_Toc26986530"/>
      <w:bookmarkStart w:id="26" w:name="_Toc24884218"/>
      <w:bookmarkStart w:id="27" w:name="_Toc26986771"/>
      <w:bookmarkStart w:id="28" w:name="_Toc17233333"/>
      <w:bookmarkStart w:id="29" w:name="_Toc26648465"/>
      <w:bookmarkStart w:id="30" w:name="_Toc26718930"/>
      <w:r>
        <w:rPr>
          <w:rFonts w:hint="eastAsia"/>
        </w:rPr>
        <w:t>范围</w:t>
      </w:r>
      <w:bookmarkEnd w:id="23"/>
      <w:bookmarkEnd w:id="24"/>
      <w:bookmarkEnd w:id="25"/>
      <w:bookmarkEnd w:id="26"/>
      <w:bookmarkEnd w:id="27"/>
      <w:bookmarkEnd w:id="28"/>
      <w:bookmarkEnd w:id="29"/>
      <w:bookmarkEnd w:id="30"/>
    </w:p>
    <w:p>
      <w:pPr>
        <w:pStyle w:val="59"/>
        <w:ind w:firstLine="420"/>
      </w:pPr>
      <w:bookmarkStart w:id="31" w:name="_Toc26648466"/>
      <w:bookmarkStart w:id="32" w:name="_Toc17233334"/>
      <w:bookmarkStart w:id="33" w:name="_Toc17233326"/>
      <w:bookmarkStart w:id="34" w:name="_Toc24884219"/>
      <w:bookmarkStart w:id="35" w:name="_Toc24884212"/>
      <w:r>
        <w:rPr>
          <w:rFonts w:hint="eastAsia"/>
        </w:rPr>
        <w:t>本文件确立了苗期甘蔗氮高效基因型评估技术的样品准备、评价等程序。</w:t>
      </w:r>
    </w:p>
    <w:p>
      <w:pPr>
        <w:pStyle w:val="59"/>
        <w:ind w:firstLine="420"/>
      </w:pPr>
      <w:r>
        <w:rPr>
          <w:rFonts w:hint="eastAsia"/>
        </w:rPr>
        <w:t>本文件适用于广西区域内苗期甘蔗氮高效基因型的评价。</w:t>
      </w:r>
    </w:p>
    <w:p>
      <w:pPr>
        <w:pStyle w:val="107"/>
        <w:spacing w:before="240" w:after="240"/>
      </w:pPr>
      <w:bookmarkStart w:id="36" w:name="_Toc26986531"/>
      <w:bookmarkStart w:id="37" w:name="_Toc26718931"/>
      <w:bookmarkStart w:id="38" w:name="_Toc26986772"/>
      <w:r>
        <w:rPr>
          <w:rFonts w:hint="eastAsia"/>
        </w:rPr>
        <w:t>规范性引用文件</w:t>
      </w:r>
      <w:bookmarkEnd w:id="31"/>
      <w:bookmarkEnd w:id="32"/>
      <w:bookmarkEnd w:id="33"/>
      <w:bookmarkEnd w:id="34"/>
      <w:bookmarkEnd w:id="35"/>
      <w:bookmarkEnd w:id="36"/>
      <w:bookmarkEnd w:id="37"/>
      <w:bookmarkEnd w:id="38"/>
    </w:p>
    <w:p>
      <w:pPr>
        <w:pStyle w:val="59"/>
        <w:spacing w:after="12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9"/>
        <w:spacing w:after="120"/>
        <w:ind w:firstLine="420"/>
      </w:pPr>
      <w:r>
        <w:rPr>
          <w:rFonts w:hint="eastAsia"/>
        </w:rPr>
        <w:t>NY/T 2017</w:t>
      </w:r>
      <w:r>
        <w:t xml:space="preserve">  </w:t>
      </w:r>
      <w:r>
        <w:rPr>
          <w:rFonts w:hint="eastAsia"/>
        </w:rPr>
        <w:t>植物中氮、磷、钾的测定</w:t>
      </w:r>
    </w:p>
    <w:p>
      <w:pPr>
        <w:pStyle w:val="107"/>
        <w:spacing w:before="240" w:after="240"/>
      </w:pPr>
      <w:r>
        <w:rPr>
          <w:rFonts w:hint="eastAsia"/>
          <w:szCs w:val="21"/>
        </w:rPr>
        <w:t>术语和定义</w:t>
      </w:r>
    </w:p>
    <w:p>
      <w:pPr>
        <w:pStyle w:val="59"/>
        <w:spacing w:after="120"/>
        <w:ind w:firstLine="420"/>
      </w:pPr>
      <w:bookmarkStart w:id="39" w:name="_Toc26986532"/>
      <w:bookmarkEnd w:id="39"/>
      <w:r>
        <w:rPr>
          <w:rFonts w:hint="eastAsia"/>
        </w:rPr>
        <w:t>本文件没有需要界定的</w:t>
      </w:r>
      <w:r>
        <w:t>术语和定义。</w:t>
      </w:r>
    </w:p>
    <w:p>
      <w:pPr>
        <w:pStyle w:val="107"/>
        <w:spacing w:before="240" w:after="240"/>
      </w:pPr>
      <w:r>
        <w:rPr>
          <w:rFonts w:hint="eastAsia"/>
        </w:rPr>
        <w:t>样品准备</w:t>
      </w:r>
    </w:p>
    <w:p>
      <w:pPr>
        <w:pStyle w:val="108"/>
        <w:spacing w:before="120" w:after="120"/>
      </w:pPr>
      <w:r>
        <w:rPr>
          <w:rFonts w:hint="eastAsia"/>
        </w:rPr>
        <w:t>催芽</w:t>
      </w:r>
    </w:p>
    <w:p>
      <w:pPr>
        <w:pStyle w:val="59"/>
        <w:spacing w:after="120"/>
        <w:ind w:firstLine="420"/>
      </w:pPr>
      <w:r>
        <w:rPr>
          <w:rFonts w:hint="eastAsia"/>
        </w:rPr>
        <w:t>将待评价的甘蔗品种种茎切成</w:t>
      </w:r>
      <w:r>
        <w:t>5</w:t>
      </w:r>
      <w:r>
        <w:rPr>
          <w:vertAlign w:val="superscript"/>
        </w:rPr>
        <w:t xml:space="preserve"> </w:t>
      </w:r>
      <w:r>
        <w:rPr>
          <w:rFonts w:hint="eastAsia"/>
        </w:rPr>
        <w:t>cm的单芽茎段，在催芽室35</w:t>
      </w:r>
      <w:r>
        <w:rPr>
          <w:vertAlign w:val="superscript"/>
        </w:rPr>
        <w:t xml:space="preserve"> </w:t>
      </w:r>
      <w:r>
        <w:rPr>
          <w:rFonts w:hint="eastAsia"/>
        </w:rPr>
        <w:t>℃～38</w:t>
      </w:r>
      <w:r>
        <w:rPr>
          <w:vertAlign w:val="superscript"/>
        </w:rPr>
        <w:t xml:space="preserve"> </w:t>
      </w:r>
      <w:r>
        <w:rPr>
          <w:rFonts w:hint="eastAsia"/>
        </w:rPr>
        <w:t>℃温度条件下沙培催芽</w:t>
      </w:r>
      <w:r>
        <w:t>1</w:t>
      </w:r>
      <w:r>
        <w:rPr>
          <w:vertAlign w:val="superscript"/>
        </w:rPr>
        <w:t xml:space="preserve"> </w:t>
      </w:r>
      <w:r>
        <w:rPr>
          <w:rFonts w:hint="eastAsia"/>
        </w:rPr>
        <w:t>d～3</w:t>
      </w:r>
      <w:r>
        <w:rPr>
          <w:vertAlign w:val="superscript"/>
        </w:rPr>
        <w:t xml:space="preserve"> </w:t>
      </w:r>
      <w:r>
        <w:rPr>
          <w:rFonts w:hint="eastAsia"/>
        </w:rPr>
        <w:t>d，萌芽后转至温室中继续培养，每天定期淋水，保持沙子湿润，培养温度22</w:t>
      </w:r>
      <w:r>
        <w:rPr>
          <w:vertAlign w:val="superscript"/>
        </w:rPr>
        <w:t xml:space="preserve"> </w:t>
      </w:r>
      <w:r>
        <w:rPr>
          <w:rFonts w:hint="eastAsia"/>
        </w:rPr>
        <w:t>℃～36</w:t>
      </w:r>
      <w:r>
        <w:rPr>
          <w:vertAlign w:val="superscript"/>
        </w:rPr>
        <w:t xml:space="preserve"> </w:t>
      </w:r>
      <w:r>
        <w:rPr>
          <w:rFonts w:hint="eastAsia"/>
        </w:rPr>
        <w:t>℃，光照为自然光照，待长至1片真叶后准备移栽。</w:t>
      </w:r>
    </w:p>
    <w:p>
      <w:pPr>
        <w:pStyle w:val="108"/>
        <w:spacing w:before="120" w:after="120"/>
      </w:pPr>
      <w:r>
        <w:rPr>
          <w:rFonts w:hint="eastAsia"/>
        </w:rPr>
        <w:t>移栽培养</w:t>
      </w:r>
    </w:p>
    <w:p>
      <w:pPr>
        <w:pStyle w:val="59"/>
        <w:ind w:firstLine="420"/>
      </w:pPr>
      <w:r>
        <w:rPr>
          <w:rFonts w:hint="eastAsia"/>
        </w:rPr>
        <w:t>选择生长一致的1叶苗移栽至基质为珍珠岩和沙子（1:3）的PVC培养盆(14</w:t>
      </w:r>
      <w:r>
        <w:rPr>
          <w:vertAlign w:val="superscript"/>
        </w:rPr>
        <w:t xml:space="preserve"> </w:t>
      </w:r>
      <w:r>
        <w:rPr>
          <w:rFonts w:hint="eastAsia"/>
        </w:rPr>
        <w:t>cm×22</w:t>
      </w:r>
      <w:r>
        <w:rPr>
          <w:vertAlign w:val="superscript"/>
        </w:rPr>
        <w:t xml:space="preserve"> </w:t>
      </w:r>
      <w:r>
        <w:rPr>
          <w:rFonts w:hint="eastAsia"/>
        </w:rPr>
        <w:t>cm)中，每盆定植1株，重复</w:t>
      </w:r>
      <w:r>
        <w:t>12</w:t>
      </w:r>
      <w:r>
        <w:rPr>
          <w:rFonts w:hint="eastAsia"/>
        </w:rPr>
        <w:t>组，种植于温室大棚，培养温度22</w:t>
      </w:r>
      <w:r>
        <w:rPr>
          <w:vertAlign w:val="superscript"/>
        </w:rPr>
        <w:t xml:space="preserve"> </w:t>
      </w:r>
      <w:r>
        <w:rPr>
          <w:rFonts w:hint="eastAsia"/>
        </w:rPr>
        <w:t>℃～36</w:t>
      </w:r>
      <w:r>
        <w:rPr>
          <w:vertAlign w:val="superscript"/>
        </w:rPr>
        <w:t xml:space="preserve"> </w:t>
      </w:r>
      <w:r>
        <w:rPr>
          <w:rFonts w:hint="eastAsia"/>
        </w:rPr>
        <w:t>℃，光照为自然光照。移栽后每隔1</w:t>
      </w:r>
      <w:r>
        <w:rPr>
          <w:vertAlign w:val="superscript"/>
        </w:rPr>
        <w:t xml:space="preserve"> </w:t>
      </w:r>
      <w:r>
        <w:rPr>
          <w:rFonts w:hint="eastAsia"/>
        </w:rPr>
        <w:t>d浇水1次，直至长出3片真叶，开始浇含氮营养液。</w:t>
      </w:r>
    </w:p>
    <w:p>
      <w:pPr>
        <w:pStyle w:val="108"/>
        <w:spacing w:before="120" w:after="120"/>
      </w:pPr>
      <w:r>
        <w:rPr>
          <w:rFonts w:hint="eastAsia"/>
        </w:rPr>
        <w:t>氮处理</w:t>
      </w:r>
    </w:p>
    <w:p>
      <w:pPr>
        <w:pStyle w:val="59"/>
        <w:spacing w:after="120"/>
        <w:ind w:firstLine="420"/>
      </w:pPr>
      <w:r>
        <w:rPr>
          <w:rFonts w:hint="eastAsia"/>
        </w:rPr>
        <w:t>设正常氮（Normal-N:4</w:t>
      </w:r>
      <w:r>
        <w:rPr>
          <w:vertAlign w:val="superscript"/>
        </w:rPr>
        <w:t xml:space="preserve"> </w:t>
      </w:r>
      <w:r>
        <w:rPr>
          <w:rFonts w:hint="eastAsia"/>
        </w:rPr>
        <w:t>mmol/L 纯N）和低氮（low-N：0.4</w:t>
      </w:r>
      <w:r>
        <w:rPr>
          <w:rFonts w:hint="eastAsia"/>
          <w:vertAlign w:val="superscript"/>
        </w:rPr>
        <w:t xml:space="preserve"> </w:t>
      </w:r>
      <w:bookmarkStart w:id="40" w:name="_Hlk107938265"/>
      <w:r>
        <w:rPr>
          <w:rFonts w:hint="eastAsia"/>
        </w:rPr>
        <w:t>mmol</w:t>
      </w:r>
      <w:bookmarkEnd w:id="40"/>
      <w:r>
        <w:rPr>
          <w:rFonts w:hint="eastAsia"/>
        </w:rPr>
        <w:t>/L 纯N）两个处理，各重复6组，氮源为NH</w:t>
      </w:r>
      <w:r>
        <w:rPr>
          <w:rFonts w:hint="eastAsia"/>
          <w:vertAlign w:val="subscript"/>
        </w:rPr>
        <w:t>4</w:t>
      </w:r>
      <w:r>
        <w:rPr>
          <w:rFonts w:hint="eastAsia"/>
        </w:rPr>
        <w:t>NO</w:t>
      </w:r>
      <w:r>
        <w:rPr>
          <w:rFonts w:hint="eastAsia"/>
          <w:vertAlign w:val="subscript"/>
        </w:rPr>
        <w:t>3</w:t>
      </w:r>
      <w:r>
        <w:rPr>
          <w:rFonts w:hint="eastAsia"/>
        </w:rPr>
        <w:t>，营养液和清水每隔一天交替浇淋，清水和营养液每次施用量为100</w:t>
      </w:r>
      <w:r>
        <w:rPr>
          <w:rFonts w:hint="eastAsia"/>
          <w:vertAlign w:val="superscript"/>
        </w:rPr>
        <w:t xml:space="preserve"> </w:t>
      </w:r>
      <w:r>
        <w:rPr>
          <w:rFonts w:hint="eastAsia"/>
        </w:rPr>
        <w:t>mL，培养130</w:t>
      </w:r>
      <w:r>
        <w:rPr>
          <w:vertAlign w:val="superscript"/>
        </w:rPr>
        <w:t xml:space="preserve"> </w:t>
      </w:r>
      <w:r>
        <w:rPr>
          <w:rFonts w:hint="eastAsia"/>
        </w:rPr>
        <w:t>d～140</w:t>
      </w:r>
      <w:r>
        <w:rPr>
          <w:vertAlign w:val="superscript"/>
        </w:rPr>
        <w:t xml:space="preserve"> </w:t>
      </w:r>
      <w:r>
        <w:rPr>
          <w:rFonts w:hint="eastAsia"/>
        </w:rPr>
        <w:t>d后收获。</w:t>
      </w:r>
    </w:p>
    <w:p>
      <w:pPr>
        <w:pStyle w:val="108"/>
        <w:spacing w:before="120" w:after="120"/>
      </w:pPr>
      <w:r>
        <w:rPr>
          <w:rFonts w:hint="eastAsia"/>
        </w:rPr>
        <w:t>取样保存</w:t>
      </w:r>
    </w:p>
    <w:p>
      <w:pPr>
        <w:pStyle w:val="59"/>
        <w:spacing w:after="120"/>
        <w:ind w:firstLine="420"/>
      </w:pPr>
      <w:r>
        <w:rPr>
          <w:rFonts w:hint="eastAsia"/>
        </w:rPr>
        <w:t>收获时，按根、茎、叶分别取样，称取鲜重，然后分别装入牛皮信封中，带回实验室于105</w:t>
      </w:r>
      <w:r>
        <w:rPr>
          <w:vertAlign w:val="superscript"/>
        </w:rPr>
        <w:t xml:space="preserve"> </w:t>
      </w:r>
      <w:r>
        <w:rPr>
          <w:rFonts w:hint="eastAsia"/>
        </w:rPr>
        <w:t>℃杀青30</w:t>
      </w:r>
      <w:r>
        <w:rPr>
          <w:vertAlign w:val="superscript"/>
        </w:rPr>
        <w:t xml:space="preserve"> </w:t>
      </w:r>
      <w:r>
        <w:rPr>
          <w:rFonts w:hint="eastAsia"/>
        </w:rPr>
        <w:t>min，再于</w:t>
      </w:r>
      <w:r>
        <w:t>60</w:t>
      </w:r>
      <w:r>
        <w:rPr>
          <w:vertAlign w:val="superscript"/>
        </w:rPr>
        <w:t xml:space="preserve"> </w:t>
      </w:r>
      <w:r>
        <w:rPr>
          <w:rFonts w:hint="eastAsia"/>
        </w:rPr>
        <w:t>℃～</w:t>
      </w:r>
      <w:r>
        <w:t>80</w:t>
      </w:r>
      <w:r>
        <w:rPr>
          <w:vertAlign w:val="superscript"/>
        </w:rPr>
        <w:t xml:space="preserve"> </w:t>
      </w:r>
      <w:r>
        <w:rPr>
          <w:rFonts w:hint="eastAsia"/>
        </w:rPr>
        <w:t>℃下烘干至恒重后，记录干重并保存备用。</w:t>
      </w:r>
    </w:p>
    <w:p>
      <w:pPr>
        <w:pStyle w:val="107"/>
        <w:spacing w:before="240" w:after="240"/>
      </w:pPr>
      <w:r>
        <w:rPr>
          <w:rFonts w:hint="eastAsia"/>
        </w:rPr>
        <w:t>评价</w:t>
      </w:r>
    </w:p>
    <w:p>
      <w:pPr>
        <w:pStyle w:val="108"/>
        <w:spacing w:before="120" w:after="120"/>
      </w:pPr>
      <w:r>
        <w:rPr>
          <w:rFonts w:hint="eastAsia"/>
        </w:rPr>
        <w:t>评价指标</w:t>
      </w:r>
    </w:p>
    <w:p>
      <w:pPr>
        <w:pStyle w:val="59"/>
        <w:spacing w:after="120"/>
        <w:ind w:firstLine="420"/>
        <w:rPr>
          <w:rFonts w:hint="eastAsia"/>
        </w:rPr>
      </w:pPr>
      <w:bookmarkStart w:id="41" w:name="_Hlk107935238"/>
      <w:r>
        <w:rPr>
          <w:rFonts w:hint="eastAsia"/>
        </w:rPr>
        <w:t>叶干重</w:t>
      </w:r>
      <w:bookmarkEnd w:id="41"/>
      <w:r>
        <w:rPr>
          <w:rFonts w:hint="eastAsia"/>
        </w:rPr>
        <w:t>、</w:t>
      </w:r>
      <w:bookmarkStart w:id="42" w:name="_Hlk107935282"/>
      <w:r>
        <w:rPr>
          <w:rFonts w:hint="eastAsia"/>
        </w:rPr>
        <w:t>叶氮利用率</w:t>
      </w:r>
      <w:bookmarkEnd w:id="42"/>
      <w:r>
        <w:rPr>
          <w:rFonts w:hint="eastAsia"/>
        </w:rPr>
        <w:t>。</w:t>
      </w:r>
    </w:p>
    <w:p>
      <w:pPr>
        <w:pStyle w:val="59"/>
        <w:spacing w:after="120"/>
        <w:ind w:firstLine="420"/>
        <w:rPr>
          <w:rFonts w:hint="eastAsia"/>
        </w:rPr>
      </w:pPr>
    </w:p>
    <w:p>
      <w:pPr>
        <w:pStyle w:val="59"/>
        <w:spacing w:after="120"/>
        <w:ind w:firstLine="420"/>
        <w:rPr>
          <w:rFonts w:hint="eastAsia"/>
        </w:rPr>
      </w:pPr>
    </w:p>
    <w:p>
      <w:pPr>
        <w:pStyle w:val="59"/>
        <w:spacing w:after="120"/>
        <w:ind w:firstLine="420"/>
        <w:rPr>
          <w:rFonts w:hint="eastAsia"/>
        </w:rPr>
      </w:pPr>
    </w:p>
    <w:p>
      <w:pPr>
        <w:pStyle w:val="108"/>
        <w:spacing w:before="120" w:after="120"/>
      </w:pPr>
      <w:r>
        <w:rPr>
          <w:rFonts w:hint="eastAsia"/>
        </w:rPr>
        <w:t>指标测定及计算方法</w:t>
      </w:r>
    </w:p>
    <w:p>
      <w:pPr>
        <w:pStyle w:val="68"/>
        <w:spacing w:before="120" w:after="120"/>
      </w:pPr>
      <w:r>
        <w:rPr>
          <w:rFonts w:hint="eastAsia"/>
        </w:rPr>
        <w:t>叶干重</w:t>
      </w:r>
    </w:p>
    <w:p>
      <w:pPr>
        <w:pStyle w:val="59"/>
        <w:ind w:firstLine="420"/>
      </w:pPr>
      <w:r>
        <w:rPr>
          <w:rFonts w:hint="eastAsia"/>
        </w:rPr>
        <w:t>采用称重法测定：用天平称取甘蔗烘干至恒重样品的叶干重并记录，计算获得株平均叶干重作为试验的叶干重。</w:t>
      </w:r>
    </w:p>
    <w:p>
      <w:pPr>
        <w:pStyle w:val="68"/>
        <w:spacing w:before="120" w:after="120"/>
      </w:pPr>
      <w:r>
        <w:rPr>
          <w:rFonts w:hint="eastAsia"/>
        </w:rPr>
        <w:t>叶氮利用率计算</w:t>
      </w:r>
    </w:p>
    <w:p>
      <w:pPr>
        <w:pStyle w:val="167"/>
      </w:pPr>
      <w:r>
        <w:rPr>
          <w:rFonts w:hint="eastAsia"/>
        </w:rPr>
        <w:t>叶氮累积量计算</w:t>
      </w:r>
      <w:r>
        <w:rPr>
          <w:rFonts w:hint="eastAsia"/>
          <w:lang w:eastAsia="zh-CN"/>
        </w:rPr>
        <w:t>方法为</w:t>
      </w:r>
      <w:r>
        <w:rPr>
          <w:rFonts w:hint="eastAsia"/>
        </w:rPr>
        <w:t>：叶氮含量测定采用凯氏定氮法进行测定，测定方法应符合NY/T 2017的规定；叶氮累积量计算见公式（</w:t>
      </w:r>
      <w:r>
        <w:t>1</w:t>
      </w:r>
      <w:r>
        <w:rPr>
          <w:rFonts w:hint="eastAsia"/>
        </w:rPr>
        <w:t>）：</w:t>
      </w:r>
    </w:p>
    <w:p>
      <w:pPr>
        <w:pStyle w:val="116"/>
      </w:pPr>
      <w:r>
        <w:tab/>
      </w:r>
      <m:oMath>
        <m:r>
          <m:rPr/>
          <w:rPr>
            <w:rFonts w:ascii="Cambria Math" w:hAnsi="Cambria Math"/>
          </w:rPr>
          <m:t>N=Cn×</m:t>
        </m:r>
        <m:r>
          <m:rPr>
            <m:sty m:val="p"/>
          </m:rPr>
          <w:rPr>
            <w:rFonts w:ascii="Cambria Math" w:hAnsi="Cambria Math"/>
          </w:rPr>
          <m:t>W</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20"/>
      </w:pPr>
      <w:r>
        <w:rPr>
          <w:rFonts w:hint="eastAsia"/>
        </w:rPr>
        <w:t>式中：</w:t>
      </w:r>
    </w:p>
    <w:p>
      <w:pPr>
        <w:pStyle w:val="59"/>
        <w:ind w:firstLine="420"/>
        <w:rPr>
          <w:rFonts w:hAnsi="宋体"/>
        </w:rPr>
      </w:pPr>
      <w:r>
        <w:rPr>
          <w:rFonts w:hAnsi="宋体"/>
        </w:rPr>
        <w:t>N</w:t>
      </w:r>
      <w:r>
        <w:rPr>
          <w:rFonts w:ascii="Times New Roman"/>
        </w:rPr>
        <w:t>——</w:t>
      </w:r>
      <w:r>
        <w:rPr>
          <w:rFonts w:hint="eastAsia" w:hAnsi="宋体"/>
        </w:rPr>
        <w:t>叶氮累积量,单位为克每株（g/株）；</w:t>
      </w:r>
    </w:p>
    <w:p>
      <w:pPr>
        <w:pStyle w:val="59"/>
        <w:ind w:firstLine="420"/>
      </w:pPr>
      <w:r>
        <w:rPr>
          <w:rFonts w:hAnsi="宋体"/>
        </w:rPr>
        <w:t>Cn</w:t>
      </w:r>
      <w:r>
        <w:rPr>
          <w:rFonts w:ascii="Times New Roman"/>
        </w:rPr>
        <w:t>——</w:t>
      </w:r>
      <w:r>
        <w:rPr>
          <w:rFonts w:hint="eastAsia" w:ascii="Times New Roman"/>
        </w:rPr>
        <w:t>叶</w:t>
      </w:r>
      <w:r>
        <w:rPr>
          <w:rFonts w:hint="eastAsia"/>
        </w:rPr>
        <w:t>含氮量，单位为百分比（</w:t>
      </w:r>
      <w:r>
        <w:rPr>
          <w:rFonts w:hint="eastAsia" w:hAnsi="宋体"/>
        </w:rPr>
        <w:t>％</w:t>
      </w:r>
      <w:r>
        <w:rPr>
          <w:rFonts w:hint="eastAsia"/>
        </w:rPr>
        <w:t>）；</w:t>
      </w:r>
    </w:p>
    <w:p>
      <w:pPr>
        <w:pStyle w:val="59"/>
        <w:ind w:firstLine="420"/>
      </w:pPr>
      <w:r>
        <w:rPr>
          <w:rFonts w:hAnsi="宋体"/>
        </w:rPr>
        <w:t>W</w:t>
      </w:r>
      <w:r>
        <w:rPr>
          <w:rFonts w:ascii="Times New Roman"/>
        </w:rPr>
        <w:t>——</w:t>
      </w:r>
      <w:r>
        <w:rPr>
          <w:rFonts w:hint="eastAsia" w:ascii="Times New Roman"/>
        </w:rPr>
        <w:t>叶</w:t>
      </w:r>
      <w:r>
        <w:rPr>
          <w:rFonts w:hint="eastAsia"/>
        </w:rPr>
        <w:t>干重，单位为克每株（g/株）。</w:t>
      </w:r>
    </w:p>
    <w:p>
      <w:pPr>
        <w:pStyle w:val="167"/>
      </w:pPr>
      <w:r>
        <w:rPr>
          <w:rFonts w:hint="eastAsia"/>
        </w:rPr>
        <w:t>叶氮利用率计算见公式（</w:t>
      </w:r>
      <w:r>
        <w:t>2</w:t>
      </w:r>
      <w:r>
        <w:rPr>
          <w:rFonts w:hint="eastAsia"/>
        </w:rPr>
        <w:t>）：</w:t>
      </w:r>
    </w:p>
    <w:p>
      <w:pPr>
        <w:pStyle w:val="116"/>
      </w:pPr>
      <w:r>
        <w:tab/>
      </w:r>
      <m:oMath>
        <m:r>
          <m:rPr/>
          <w:rPr>
            <w:rFonts w:ascii="Cambria Math" w:hAnsi="Cambria Math"/>
          </w:rPr>
          <m:t>NUE=W÷N</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20"/>
      </w:pPr>
      <w:r>
        <w:rPr>
          <w:rFonts w:hint="eastAsia"/>
        </w:rPr>
        <w:t>式中：</w:t>
      </w:r>
    </w:p>
    <w:p>
      <w:pPr>
        <w:pStyle w:val="59"/>
        <w:ind w:firstLine="420"/>
      </w:pPr>
      <w:r>
        <w:t>NUE</w:t>
      </w:r>
      <w:r>
        <w:rPr>
          <w:rFonts w:ascii="Times New Roman"/>
        </w:rPr>
        <w:t>——</w:t>
      </w:r>
      <w:r>
        <w:rPr>
          <w:rFonts w:hint="eastAsia" w:ascii="Times New Roman"/>
        </w:rPr>
        <w:t>叶</w:t>
      </w:r>
      <w:r>
        <w:rPr>
          <w:rFonts w:hint="eastAsia"/>
        </w:rPr>
        <w:t>氮利用率,单位为克每克（g/g）；</w:t>
      </w:r>
    </w:p>
    <w:p>
      <w:pPr>
        <w:pStyle w:val="59"/>
        <w:ind w:firstLine="420"/>
      </w:pPr>
      <w:r>
        <w:t>W</w:t>
      </w:r>
      <w:r>
        <w:rPr>
          <w:rFonts w:ascii="Times New Roman"/>
        </w:rPr>
        <w:t>——</w:t>
      </w:r>
      <w:r>
        <w:rPr>
          <w:rFonts w:hint="eastAsia" w:ascii="Times New Roman"/>
        </w:rPr>
        <w:t>叶</w:t>
      </w:r>
      <w:r>
        <w:rPr>
          <w:rFonts w:hint="eastAsia"/>
        </w:rPr>
        <w:t>干重，单位为克每株（g/株）；</w:t>
      </w:r>
    </w:p>
    <w:p>
      <w:pPr>
        <w:pStyle w:val="59"/>
        <w:ind w:firstLine="420"/>
        <w:rPr>
          <w:rFonts w:hAnsi="宋体"/>
        </w:rPr>
      </w:pPr>
      <w:r>
        <w:rPr>
          <w:rFonts w:hAnsi="宋体"/>
        </w:rPr>
        <w:t>N</w:t>
      </w:r>
      <w:r>
        <w:rPr>
          <w:rFonts w:ascii="Times New Roman"/>
        </w:rPr>
        <w:t>——</w:t>
      </w:r>
      <w:r>
        <w:rPr>
          <w:rFonts w:hint="eastAsia" w:hAnsi="宋体"/>
        </w:rPr>
        <w:t>叶氮累积量,单位为克每株（g/株）。</w:t>
      </w:r>
    </w:p>
    <w:p>
      <w:pPr>
        <w:pStyle w:val="108"/>
        <w:spacing w:before="120" w:after="120"/>
      </w:pPr>
      <w:r>
        <w:rPr>
          <w:rFonts w:hint="eastAsia"/>
        </w:rPr>
        <w:t>评价方法</w:t>
      </w:r>
    </w:p>
    <w:p>
      <w:pPr>
        <w:pStyle w:val="68"/>
        <w:spacing w:before="120" w:after="120"/>
      </w:pPr>
      <w:r>
        <w:rPr>
          <w:rFonts w:hint="eastAsia"/>
        </w:rPr>
        <w:t>评价类型</w:t>
      </w:r>
    </w:p>
    <w:p>
      <w:pPr>
        <w:pStyle w:val="59"/>
        <w:ind w:firstLine="420"/>
        <w:jc w:val="left"/>
      </w:pPr>
      <w:r>
        <w:rPr>
          <w:rFonts w:hint="eastAsia"/>
        </w:rPr>
        <w:t>甘蔗种质氮效率类型分为氮高效类型（Ⅰ型）、偏氮高效类型（Ⅱ型）、偏氮低效类型（Ⅲ型）、氮低效类型（Ⅳ型）</w:t>
      </w:r>
    </w:p>
    <w:p>
      <w:pPr>
        <w:pStyle w:val="68"/>
        <w:spacing w:before="120" w:after="120"/>
      </w:pPr>
      <w:r>
        <w:rPr>
          <w:rFonts w:hint="eastAsia"/>
        </w:rPr>
        <w:t>氮效率类型初评</w:t>
      </w:r>
    </w:p>
    <w:p>
      <w:pPr>
        <w:pStyle w:val="97"/>
        <w:spacing w:before="120" w:after="120"/>
      </w:pPr>
      <w:r>
        <w:rPr>
          <w:rFonts w:hint="eastAsia"/>
        </w:rPr>
        <w:t>低氮条件下氮利用效率评价指标</w:t>
      </w:r>
    </w:p>
    <w:p>
      <w:pPr>
        <w:pStyle w:val="59"/>
        <w:ind w:firstLine="420"/>
      </w:pPr>
      <w:r>
        <w:rPr>
          <w:rFonts w:hint="eastAsia"/>
        </w:rPr>
        <w:t>采用低氮条件下获得的各项指标对待评价种质进行初评，具体指标见表1。</w:t>
      </w:r>
    </w:p>
    <w:p>
      <w:pPr>
        <w:pStyle w:val="115"/>
        <w:spacing w:before="120" w:after="120"/>
        <w:ind w:left="0"/>
      </w:pPr>
      <w:r>
        <w:rPr>
          <w:rFonts w:hint="eastAsia"/>
        </w:rPr>
        <w:t>低氮条件下评价类型指标要求</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3824"/>
        <w:gridCol w:w="37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055" w:type="pct"/>
            <w:tcBorders>
              <w:top w:val="single" w:color="auto" w:sz="8" w:space="0"/>
              <w:bottom w:val="single" w:color="auto" w:sz="8" w:space="0"/>
            </w:tcBorders>
            <w:vAlign w:val="center"/>
          </w:tcPr>
          <w:p>
            <w:pPr>
              <w:pStyle w:val="59"/>
              <w:ind w:firstLine="0" w:firstLineChars="0"/>
              <w:jc w:val="center"/>
              <w:rPr>
                <w:sz w:val="18"/>
                <w:szCs w:val="18"/>
              </w:rPr>
            </w:pPr>
            <w:r>
              <w:rPr>
                <w:rFonts w:hint="eastAsia"/>
                <w:sz w:val="18"/>
                <w:szCs w:val="18"/>
              </w:rPr>
              <w:t>分类</w:t>
            </w:r>
          </w:p>
        </w:tc>
        <w:tc>
          <w:tcPr>
            <w:tcW w:w="1998" w:type="pct"/>
            <w:tcBorders>
              <w:top w:val="single" w:color="auto" w:sz="8" w:space="0"/>
              <w:bottom w:val="single" w:color="auto" w:sz="8" w:space="0"/>
            </w:tcBorders>
            <w:vAlign w:val="center"/>
          </w:tcPr>
          <w:p>
            <w:pPr>
              <w:pStyle w:val="59"/>
              <w:ind w:firstLine="0" w:firstLineChars="0"/>
              <w:jc w:val="center"/>
              <w:rPr>
                <w:sz w:val="18"/>
                <w:szCs w:val="18"/>
              </w:rPr>
            </w:pPr>
            <w:bookmarkStart w:id="43" w:name="_Hlk108625927"/>
            <w:r>
              <w:rPr>
                <w:rFonts w:hint="eastAsia"/>
                <w:sz w:val="18"/>
                <w:szCs w:val="18"/>
              </w:rPr>
              <w:t>叶干重范围值</w:t>
            </w:r>
            <w:bookmarkEnd w:id="43"/>
          </w:p>
          <w:p>
            <w:pPr>
              <w:pStyle w:val="59"/>
              <w:ind w:firstLine="0" w:firstLineChars="0"/>
              <w:jc w:val="center"/>
              <w:rPr>
                <w:sz w:val="18"/>
                <w:szCs w:val="18"/>
              </w:rPr>
            </w:pPr>
            <w:r>
              <w:rPr>
                <w:rFonts w:hint="eastAsia"/>
                <w:sz w:val="18"/>
                <w:szCs w:val="18"/>
              </w:rPr>
              <w:t>（g/株）</w:t>
            </w:r>
          </w:p>
        </w:tc>
        <w:tc>
          <w:tcPr>
            <w:tcW w:w="1947" w:type="pct"/>
            <w:tcBorders>
              <w:top w:val="single" w:color="auto" w:sz="8" w:space="0"/>
              <w:bottom w:val="single" w:color="auto" w:sz="8" w:space="0"/>
            </w:tcBorders>
            <w:vAlign w:val="center"/>
          </w:tcPr>
          <w:p>
            <w:pPr>
              <w:pStyle w:val="59"/>
              <w:ind w:firstLine="0" w:firstLineChars="0"/>
              <w:jc w:val="center"/>
              <w:rPr>
                <w:sz w:val="18"/>
                <w:szCs w:val="18"/>
              </w:rPr>
            </w:pPr>
            <w:bookmarkStart w:id="44" w:name="_Hlk108625934"/>
            <w:r>
              <w:rPr>
                <w:rFonts w:hint="eastAsia"/>
                <w:sz w:val="18"/>
                <w:szCs w:val="18"/>
              </w:rPr>
              <w:t>叶氮利用率范围值</w:t>
            </w:r>
          </w:p>
          <w:p>
            <w:pPr>
              <w:pStyle w:val="59"/>
              <w:ind w:firstLine="0" w:firstLineChars="0"/>
              <w:jc w:val="center"/>
              <w:rPr>
                <w:sz w:val="18"/>
                <w:szCs w:val="18"/>
              </w:rPr>
            </w:pPr>
            <w:r>
              <w:rPr>
                <w:rFonts w:hint="eastAsia"/>
                <w:sz w:val="18"/>
                <w:szCs w:val="18"/>
              </w:rPr>
              <w:t>（mg/mg）</w:t>
            </w:r>
            <w:bookmarkEnd w:id="44"/>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55" w:type="pct"/>
            <w:tcBorders>
              <w:top w:val="single" w:color="auto" w:sz="8" w:space="0"/>
            </w:tcBorders>
            <w:vAlign w:val="center"/>
          </w:tcPr>
          <w:p>
            <w:pPr>
              <w:pStyle w:val="59"/>
              <w:ind w:firstLine="0" w:firstLineChars="0"/>
              <w:jc w:val="center"/>
              <w:rPr>
                <w:sz w:val="18"/>
                <w:szCs w:val="18"/>
              </w:rPr>
            </w:pPr>
            <w:r>
              <w:rPr>
                <w:rFonts w:hint="eastAsia"/>
                <w:sz w:val="18"/>
                <w:szCs w:val="18"/>
              </w:rPr>
              <w:t>氮高效类型</w:t>
            </w:r>
          </w:p>
          <w:p>
            <w:pPr>
              <w:pStyle w:val="59"/>
              <w:ind w:firstLine="0" w:firstLineChars="0"/>
              <w:jc w:val="center"/>
              <w:rPr>
                <w:sz w:val="18"/>
                <w:szCs w:val="18"/>
              </w:rPr>
            </w:pPr>
            <w:r>
              <w:rPr>
                <w:rFonts w:hint="eastAsia"/>
                <w:sz w:val="18"/>
                <w:szCs w:val="18"/>
              </w:rPr>
              <w:t>（Ⅰ型）</w:t>
            </w:r>
          </w:p>
        </w:tc>
        <w:tc>
          <w:tcPr>
            <w:tcW w:w="1998" w:type="pct"/>
            <w:tcBorders>
              <w:top w:val="single" w:color="auto" w:sz="8" w:space="0"/>
            </w:tcBorders>
            <w:vAlign w:val="center"/>
          </w:tcPr>
          <w:p>
            <w:pPr>
              <w:pStyle w:val="59"/>
              <w:ind w:firstLine="0" w:firstLineChars="0"/>
              <w:jc w:val="center"/>
              <w:rPr>
                <w:sz w:val="18"/>
                <w:szCs w:val="18"/>
              </w:rPr>
            </w:pPr>
            <w:r>
              <w:rPr>
                <w:rFonts w:hint="eastAsia"/>
                <w:sz w:val="18"/>
                <w:szCs w:val="18"/>
              </w:rPr>
              <w:t>2.00以上</w:t>
            </w:r>
          </w:p>
        </w:tc>
        <w:tc>
          <w:tcPr>
            <w:tcW w:w="1947" w:type="pct"/>
            <w:tcBorders>
              <w:top w:val="single" w:color="auto" w:sz="8" w:space="0"/>
            </w:tcBorders>
            <w:vAlign w:val="center"/>
          </w:tcPr>
          <w:p>
            <w:pPr>
              <w:pStyle w:val="59"/>
              <w:ind w:firstLine="0" w:firstLineChars="0"/>
              <w:jc w:val="center"/>
              <w:rPr>
                <w:sz w:val="18"/>
                <w:szCs w:val="18"/>
              </w:rPr>
            </w:pPr>
            <w:r>
              <w:rPr>
                <w:rFonts w:hint="eastAsia"/>
                <w:sz w:val="18"/>
                <w:szCs w:val="18"/>
              </w:rPr>
              <w:t>180以上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55" w:type="pct"/>
            <w:vAlign w:val="center"/>
          </w:tcPr>
          <w:p>
            <w:pPr>
              <w:pStyle w:val="59"/>
              <w:ind w:firstLine="0" w:firstLineChars="0"/>
              <w:jc w:val="center"/>
              <w:rPr>
                <w:sz w:val="18"/>
                <w:szCs w:val="18"/>
              </w:rPr>
            </w:pPr>
            <w:r>
              <w:rPr>
                <w:rFonts w:hint="eastAsia"/>
                <w:sz w:val="18"/>
                <w:szCs w:val="18"/>
              </w:rPr>
              <w:t>偏氮高效类型</w:t>
            </w:r>
          </w:p>
          <w:p>
            <w:pPr>
              <w:pStyle w:val="59"/>
              <w:ind w:firstLine="0" w:firstLineChars="0"/>
              <w:jc w:val="center"/>
              <w:rPr>
                <w:sz w:val="18"/>
                <w:szCs w:val="18"/>
              </w:rPr>
            </w:pPr>
            <w:r>
              <w:rPr>
                <w:rFonts w:hint="eastAsia"/>
                <w:sz w:val="18"/>
                <w:szCs w:val="18"/>
              </w:rPr>
              <w:t>（Ⅱ型）</w:t>
            </w:r>
          </w:p>
        </w:tc>
        <w:tc>
          <w:tcPr>
            <w:tcW w:w="1998" w:type="pct"/>
            <w:vAlign w:val="center"/>
          </w:tcPr>
          <w:p>
            <w:pPr>
              <w:pStyle w:val="59"/>
              <w:ind w:firstLine="0" w:firstLineChars="0"/>
              <w:jc w:val="center"/>
              <w:rPr>
                <w:sz w:val="18"/>
                <w:szCs w:val="18"/>
              </w:rPr>
            </w:pPr>
            <w:r>
              <w:rPr>
                <w:rFonts w:hint="eastAsia"/>
                <w:sz w:val="18"/>
                <w:szCs w:val="18"/>
              </w:rPr>
              <w:t>1.50～1.99</w:t>
            </w:r>
          </w:p>
        </w:tc>
        <w:tc>
          <w:tcPr>
            <w:tcW w:w="1947" w:type="pct"/>
            <w:vAlign w:val="center"/>
          </w:tcPr>
          <w:p>
            <w:pPr>
              <w:pStyle w:val="59"/>
              <w:ind w:firstLine="0" w:firstLineChars="0"/>
              <w:jc w:val="center"/>
              <w:rPr>
                <w:sz w:val="18"/>
                <w:szCs w:val="18"/>
              </w:rPr>
            </w:pPr>
            <w:r>
              <w:rPr>
                <w:rFonts w:hint="eastAsia"/>
                <w:sz w:val="18"/>
                <w:szCs w:val="18"/>
              </w:rPr>
              <w:t>140～179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55" w:type="pct"/>
            <w:vAlign w:val="center"/>
          </w:tcPr>
          <w:p>
            <w:pPr>
              <w:pStyle w:val="59"/>
              <w:ind w:firstLine="0" w:firstLineChars="0"/>
              <w:jc w:val="center"/>
              <w:rPr>
                <w:sz w:val="18"/>
                <w:szCs w:val="18"/>
              </w:rPr>
            </w:pPr>
            <w:r>
              <w:rPr>
                <w:rFonts w:hint="eastAsia"/>
                <w:sz w:val="18"/>
                <w:szCs w:val="18"/>
              </w:rPr>
              <w:t>偏氮低效类型</w:t>
            </w:r>
          </w:p>
          <w:p>
            <w:pPr>
              <w:pStyle w:val="59"/>
              <w:ind w:firstLine="0" w:firstLineChars="0"/>
              <w:jc w:val="center"/>
              <w:rPr>
                <w:sz w:val="18"/>
                <w:szCs w:val="18"/>
              </w:rPr>
            </w:pPr>
            <w:r>
              <w:rPr>
                <w:rFonts w:hint="eastAsia"/>
                <w:sz w:val="18"/>
                <w:szCs w:val="18"/>
              </w:rPr>
              <w:t>（Ⅲ型）</w:t>
            </w:r>
          </w:p>
        </w:tc>
        <w:tc>
          <w:tcPr>
            <w:tcW w:w="1998" w:type="pct"/>
            <w:vAlign w:val="center"/>
          </w:tcPr>
          <w:p>
            <w:pPr>
              <w:pStyle w:val="59"/>
              <w:ind w:firstLine="0" w:firstLineChars="0"/>
              <w:jc w:val="center"/>
              <w:rPr>
                <w:sz w:val="18"/>
                <w:szCs w:val="18"/>
              </w:rPr>
            </w:pPr>
            <w:r>
              <w:rPr>
                <w:rFonts w:hint="eastAsia"/>
                <w:sz w:val="18"/>
                <w:szCs w:val="18"/>
              </w:rPr>
              <w:t>1.00～1.49</w:t>
            </w:r>
          </w:p>
        </w:tc>
        <w:tc>
          <w:tcPr>
            <w:tcW w:w="1947" w:type="pct"/>
            <w:vAlign w:val="center"/>
          </w:tcPr>
          <w:p>
            <w:pPr>
              <w:pStyle w:val="59"/>
              <w:ind w:firstLine="0" w:firstLineChars="0"/>
              <w:jc w:val="center"/>
              <w:rPr>
                <w:sz w:val="18"/>
                <w:szCs w:val="18"/>
              </w:rPr>
            </w:pPr>
            <w:r>
              <w:rPr>
                <w:rFonts w:hint="eastAsia"/>
                <w:sz w:val="18"/>
                <w:szCs w:val="18"/>
              </w:rPr>
              <w:t>120～139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55" w:type="pct"/>
            <w:tcBorders>
              <w:bottom w:val="single" w:color="auto" w:sz="8" w:space="0"/>
            </w:tcBorders>
            <w:vAlign w:val="center"/>
          </w:tcPr>
          <w:p>
            <w:pPr>
              <w:pStyle w:val="59"/>
              <w:ind w:firstLine="0" w:firstLineChars="0"/>
              <w:jc w:val="center"/>
              <w:rPr>
                <w:sz w:val="18"/>
                <w:szCs w:val="18"/>
              </w:rPr>
            </w:pPr>
            <w:r>
              <w:rPr>
                <w:rFonts w:hint="eastAsia"/>
                <w:sz w:val="18"/>
                <w:szCs w:val="18"/>
              </w:rPr>
              <w:t>氮低效类型</w:t>
            </w:r>
          </w:p>
          <w:p>
            <w:pPr>
              <w:pStyle w:val="59"/>
              <w:ind w:firstLine="0" w:firstLineChars="0"/>
              <w:jc w:val="center"/>
              <w:rPr>
                <w:sz w:val="18"/>
                <w:szCs w:val="18"/>
              </w:rPr>
            </w:pPr>
            <w:r>
              <w:rPr>
                <w:rFonts w:hint="eastAsia"/>
                <w:sz w:val="18"/>
                <w:szCs w:val="18"/>
              </w:rPr>
              <w:t>（Ⅳ型）</w:t>
            </w:r>
          </w:p>
        </w:tc>
        <w:tc>
          <w:tcPr>
            <w:tcW w:w="1998" w:type="pct"/>
            <w:tcBorders>
              <w:bottom w:val="single" w:color="auto" w:sz="8" w:space="0"/>
            </w:tcBorders>
            <w:vAlign w:val="center"/>
          </w:tcPr>
          <w:p>
            <w:pPr>
              <w:pStyle w:val="59"/>
              <w:ind w:firstLine="0" w:firstLineChars="0"/>
              <w:jc w:val="center"/>
              <w:rPr>
                <w:sz w:val="18"/>
                <w:szCs w:val="18"/>
              </w:rPr>
            </w:pPr>
            <w:r>
              <w:rPr>
                <w:rFonts w:hint="eastAsia"/>
                <w:sz w:val="18"/>
                <w:szCs w:val="18"/>
              </w:rPr>
              <w:t>1.00以下</w:t>
            </w:r>
          </w:p>
        </w:tc>
        <w:tc>
          <w:tcPr>
            <w:tcW w:w="1947" w:type="pct"/>
            <w:tcBorders>
              <w:bottom w:val="single" w:color="auto" w:sz="8" w:space="0"/>
            </w:tcBorders>
            <w:vAlign w:val="center"/>
          </w:tcPr>
          <w:p>
            <w:pPr>
              <w:pStyle w:val="59"/>
              <w:ind w:firstLine="0" w:firstLineChars="0"/>
              <w:jc w:val="center"/>
              <w:rPr>
                <w:sz w:val="18"/>
                <w:szCs w:val="18"/>
              </w:rPr>
            </w:pPr>
            <w:r>
              <w:rPr>
                <w:rFonts w:hint="eastAsia"/>
                <w:sz w:val="18"/>
                <w:szCs w:val="18"/>
              </w:rPr>
              <w:t>120以下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00" w:type="pct"/>
            <w:gridSpan w:val="3"/>
            <w:tcBorders>
              <w:top w:val="single" w:color="auto" w:sz="8" w:space="0"/>
              <w:bottom w:val="single" w:color="auto" w:sz="8" w:space="0"/>
            </w:tcBorders>
            <w:vAlign w:val="center"/>
          </w:tcPr>
          <w:p>
            <w:pPr>
              <w:pStyle w:val="182"/>
            </w:pPr>
            <w:r>
              <w:rPr>
                <w:rFonts w:hint="eastAsia"/>
              </w:rPr>
              <w:t>以上数据为单株的数值。</w:t>
            </w:r>
          </w:p>
        </w:tc>
      </w:tr>
    </w:tbl>
    <w:p>
      <w:pPr>
        <w:pStyle w:val="97"/>
        <w:spacing w:before="120" w:after="120"/>
      </w:pPr>
      <w:r>
        <w:rPr>
          <w:rFonts w:hint="eastAsia"/>
        </w:rPr>
        <w:t>氮效率类型的初步判定</w:t>
      </w:r>
    </w:p>
    <w:p>
      <w:pPr>
        <w:pStyle w:val="59"/>
        <w:ind w:firstLine="420"/>
        <w:rPr>
          <w:rFonts w:hint="eastAsia"/>
        </w:rPr>
      </w:pPr>
      <w:r>
        <w:rPr>
          <w:rFonts w:hint="eastAsia"/>
        </w:rPr>
        <w:t>采集所评价种质的叶干重后，测定各种质氮含量，通过5.2公式计算评价的各指标值，根据低氮条件下筛选后评价类型指标要求（见表</w:t>
      </w:r>
      <w:r>
        <w:t>1</w:t>
      </w:r>
      <w:r>
        <w:rPr>
          <w:rFonts w:hint="eastAsia"/>
        </w:rPr>
        <w:t>）进行评价，如果叶干重范围值、叶氮利用率范围值这两项指标值同时达到相对应氮效率类型指标要求，则该种质为对应的氮效率类型。</w:t>
      </w:r>
    </w:p>
    <w:p>
      <w:pPr>
        <w:pStyle w:val="59"/>
        <w:ind w:firstLine="420"/>
        <w:rPr>
          <w:rFonts w:hint="eastAsia"/>
        </w:rPr>
      </w:pPr>
    </w:p>
    <w:p>
      <w:pPr>
        <w:pStyle w:val="68"/>
        <w:spacing w:before="120" w:after="120"/>
      </w:pPr>
      <w:r>
        <w:rPr>
          <w:rFonts w:hint="eastAsia"/>
        </w:rPr>
        <w:t>复筛</w:t>
      </w:r>
    </w:p>
    <w:p>
      <w:pPr>
        <w:pStyle w:val="167"/>
      </w:pPr>
      <w:r>
        <w:rPr>
          <w:rFonts w:hint="eastAsia"/>
        </w:rPr>
        <w:t>将评价为氮高效类型（Ⅰ型）、偏氮高效类型（Ⅱ型）的种质继续在正常氮压力水平下进行复筛，采集各种质的叶干重，测定各种质叶氮含量，通过5</w:t>
      </w:r>
      <w:r>
        <w:t>.2</w:t>
      </w:r>
      <w:r>
        <w:rPr>
          <w:rFonts w:hint="eastAsia"/>
        </w:rPr>
        <w:t>公式计算评价的各指标值，</w:t>
      </w:r>
      <w:bookmarkStart w:id="45" w:name="_Hlk108626632"/>
      <w:r>
        <w:rPr>
          <w:rFonts w:hint="eastAsia"/>
        </w:rPr>
        <w:t>根据正常氮条件下复筛后评价类型指标要求（见表2）进行评价，如果叶干重范围值、叶氮利用率范围值这两项指标值同时达到氮高效类型（Ⅰ型）指标要求，则该种质为典型氮高效种质。</w:t>
      </w:r>
    </w:p>
    <w:bookmarkEnd w:id="45"/>
    <w:p>
      <w:pPr>
        <w:pStyle w:val="167"/>
      </w:pPr>
      <w:r>
        <w:rPr>
          <w:rFonts w:hint="eastAsia"/>
        </w:rPr>
        <w:t>如需筛选典型氮低效种质，则将评价为偏氮低效类型（Ⅲ型）、氮低效类型（Ⅳ型）的种质继续在正常氮压力水平下进行复筛，采集各种质的叶干重，测定各种质叶氮含量，通过5</w:t>
      </w:r>
      <w:r>
        <w:t>.2</w:t>
      </w:r>
      <w:r>
        <w:rPr>
          <w:rFonts w:hint="eastAsia"/>
        </w:rPr>
        <w:t>公式计算评价的各指标值，根据表2的筛选指标进行评价，如果叶干重范围值、叶氮利用率范围值这两项指标值同时达到氮低效类型（Ⅳ型）指标要求，则该种质为典型氮低效种质。</w:t>
      </w:r>
    </w:p>
    <w:p>
      <w:pPr>
        <w:pStyle w:val="115"/>
        <w:spacing w:before="120" w:after="120"/>
        <w:ind w:left="0"/>
      </w:pPr>
      <w:bookmarkStart w:id="46" w:name="_Hlk108532818"/>
      <w:r>
        <w:rPr>
          <w:rFonts w:hint="eastAsia"/>
        </w:rPr>
        <w:t>正常氮条件下复筛后评价类型指标要求</w:t>
      </w:r>
      <w:bookmarkEnd w:id="46"/>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157"/>
        <w:gridCol w:w="3631"/>
        <w:gridCol w:w="37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127" w:type="pct"/>
            <w:tcBorders>
              <w:top w:val="single" w:color="auto" w:sz="8" w:space="0"/>
              <w:bottom w:val="single" w:color="auto" w:sz="8" w:space="0"/>
            </w:tcBorders>
            <w:vAlign w:val="center"/>
          </w:tcPr>
          <w:p>
            <w:pPr>
              <w:pStyle w:val="59"/>
              <w:ind w:firstLine="0" w:firstLineChars="0"/>
              <w:jc w:val="center"/>
              <w:rPr>
                <w:sz w:val="18"/>
                <w:szCs w:val="18"/>
              </w:rPr>
            </w:pPr>
            <w:r>
              <w:rPr>
                <w:rFonts w:hint="eastAsia"/>
                <w:sz w:val="18"/>
                <w:szCs w:val="18"/>
              </w:rPr>
              <w:t>分类</w:t>
            </w:r>
          </w:p>
        </w:tc>
        <w:tc>
          <w:tcPr>
            <w:tcW w:w="1897" w:type="pct"/>
            <w:tcBorders>
              <w:top w:val="single" w:color="auto" w:sz="8" w:space="0"/>
              <w:bottom w:val="single" w:color="auto" w:sz="8" w:space="0"/>
            </w:tcBorders>
            <w:vAlign w:val="center"/>
          </w:tcPr>
          <w:p>
            <w:pPr>
              <w:pStyle w:val="59"/>
              <w:ind w:firstLine="0" w:firstLineChars="0"/>
              <w:jc w:val="center"/>
              <w:rPr>
                <w:sz w:val="18"/>
                <w:szCs w:val="18"/>
              </w:rPr>
            </w:pPr>
            <w:bookmarkStart w:id="47" w:name="_Hlk108626477"/>
            <w:r>
              <w:rPr>
                <w:rFonts w:hint="eastAsia"/>
                <w:sz w:val="18"/>
                <w:szCs w:val="18"/>
              </w:rPr>
              <w:t>叶干重范围值</w:t>
            </w:r>
          </w:p>
          <w:bookmarkEnd w:id="47"/>
          <w:p>
            <w:pPr>
              <w:pStyle w:val="59"/>
              <w:ind w:firstLine="0" w:firstLineChars="0"/>
              <w:jc w:val="center"/>
              <w:rPr>
                <w:sz w:val="18"/>
                <w:szCs w:val="18"/>
              </w:rPr>
            </w:pPr>
            <w:r>
              <w:rPr>
                <w:rFonts w:hint="eastAsia"/>
                <w:sz w:val="18"/>
                <w:szCs w:val="18"/>
              </w:rPr>
              <w:t>（g/株）</w:t>
            </w:r>
          </w:p>
        </w:tc>
        <w:tc>
          <w:tcPr>
            <w:tcW w:w="1976" w:type="pct"/>
            <w:tcBorders>
              <w:top w:val="single" w:color="auto" w:sz="8" w:space="0"/>
              <w:bottom w:val="single" w:color="auto" w:sz="8" w:space="0"/>
            </w:tcBorders>
            <w:vAlign w:val="center"/>
          </w:tcPr>
          <w:p>
            <w:pPr>
              <w:pStyle w:val="59"/>
              <w:ind w:firstLine="0" w:firstLineChars="0"/>
              <w:jc w:val="center"/>
              <w:rPr>
                <w:sz w:val="18"/>
                <w:szCs w:val="18"/>
              </w:rPr>
            </w:pPr>
            <w:bookmarkStart w:id="48" w:name="_Hlk108626484"/>
            <w:r>
              <w:rPr>
                <w:rFonts w:hint="eastAsia"/>
                <w:sz w:val="18"/>
                <w:szCs w:val="18"/>
              </w:rPr>
              <w:t>叶氮利用率范围值</w:t>
            </w:r>
          </w:p>
          <w:bookmarkEnd w:id="48"/>
          <w:p>
            <w:pPr>
              <w:pStyle w:val="59"/>
              <w:ind w:firstLine="0" w:firstLineChars="0"/>
              <w:jc w:val="center"/>
              <w:rPr>
                <w:sz w:val="18"/>
                <w:szCs w:val="18"/>
              </w:rPr>
            </w:pPr>
            <w:r>
              <w:rPr>
                <w:rFonts w:hint="eastAsia"/>
                <w:sz w:val="18"/>
                <w:szCs w:val="18"/>
              </w:rPr>
              <w:t>（mg/mg）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7" w:type="pct"/>
            <w:tcBorders>
              <w:top w:val="single" w:color="auto" w:sz="8" w:space="0"/>
            </w:tcBorders>
            <w:vAlign w:val="center"/>
          </w:tcPr>
          <w:p>
            <w:pPr>
              <w:pStyle w:val="59"/>
              <w:ind w:firstLine="0" w:firstLineChars="0"/>
              <w:jc w:val="center"/>
              <w:rPr>
                <w:sz w:val="18"/>
                <w:szCs w:val="18"/>
              </w:rPr>
            </w:pPr>
            <w:r>
              <w:rPr>
                <w:rFonts w:hint="eastAsia"/>
                <w:sz w:val="18"/>
                <w:szCs w:val="18"/>
              </w:rPr>
              <w:t>氮高效类型</w:t>
            </w:r>
          </w:p>
          <w:p>
            <w:pPr>
              <w:pStyle w:val="59"/>
              <w:ind w:firstLine="0" w:firstLineChars="0"/>
              <w:jc w:val="center"/>
              <w:rPr>
                <w:sz w:val="18"/>
                <w:szCs w:val="18"/>
              </w:rPr>
            </w:pPr>
            <w:r>
              <w:rPr>
                <w:rFonts w:hint="eastAsia"/>
                <w:sz w:val="18"/>
                <w:szCs w:val="18"/>
              </w:rPr>
              <w:t>（Ⅰ型）</w:t>
            </w:r>
          </w:p>
        </w:tc>
        <w:tc>
          <w:tcPr>
            <w:tcW w:w="1897" w:type="pct"/>
            <w:tcBorders>
              <w:top w:val="single" w:color="auto" w:sz="8" w:space="0"/>
            </w:tcBorders>
            <w:vAlign w:val="center"/>
          </w:tcPr>
          <w:p>
            <w:pPr>
              <w:pStyle w:val="59"/>
              <w:ind w:firstLine="0" w:firstLineChars="0"/>
              <w:jc w:val="center"/>
              <w:rPr>
                <w:sz w:val="18"/>
                <w:szCs w:val="18"/>
              </w:rPr>
            </w:pPr>
            <w:r>
              <w:rPr>
                <w:rFonts w:hint="eastAsia"/>
                <w:sz w:val="18"/>
                <w:szCs w:val="18"/>
              </w:rPr>
              <w:t>15以上</w:t>
            </w:r>
          </w:p>
        </w:tc>
        <w:tc>
          <w:tcPr>
            <w:tcW w:w="1976" w:type="pct"/>
            <w:tcBorders>
              <w:top w:val="single" w:color="auto" w:sz="8" w:space="0"/>
            </w:tcBorders>
            <w:vAlign w:val="center"/>
          </w:tcPr>
          <w:p>
            <w:pPr>
              <w:pStyle w:val="59"/>
              <w:ind w:firstLine="0" w:firstLineChars="0"/>
              <w:jc w:val="center"/>
              <w:rPr>
                <w:sz w:val="18"/>
                <w:szCs w:val="18"/>
              </w:rPr>
            </w:pPr>
            <w:r>
              <w:rPr>
                <w:rFonts w:hint="eastAsia"/>
                <w:sz w:val="18"/>
                <w:szCs w:val="18"/>
              </w:rPr>
              <w:t>180以上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7" w:type="pct"/>
            <w:vAlign w:val="center"/>
          </w:tcPr>
          <w:p>
            <w:pPr>
              <w:pStyle w:val="59"/>
              <w:ind w:firstLine="0" w:firstLineChars="0"/>
              <w:jc w:val="center"/>
              <w:rPr>
                <w:sz w:val="18"/>
                <w:szCs w:val="18"/>
              </w:rPr>
            </w:pPr>
            <w:r>
              <w:rPr>
                <w:rFonts w:hint="eastAsia"/>
                <w:sz w:val="18"/>
                <w:szCs w:val="18"/>
              </w:rPr>
              <w:t>偏氮高效类型</w:t>
            </w:r>
          </w:p>
          <w:p>
            <w:pPr>
              <w:pStyle w:val="59"/>
              <w:ind w:firstLine="0" w:firstLineChars="0"/>
              <w:jc w:val="center"/>
              <w:rPr>
                <w:sz w:val="18"/>
                <w:szCs w:val="18"/>
              </w:rPr>
            </w:pPr>
            <w:r>
              <w:rPr>
                <w:rFonts w:hint="eastAsia"/>
                <w:sz w:val="18"/>
                <w:szCs w:val="18"/>
              </w:rPr>
              <w:t>（Ⅱ型）</w:t>
            </w:r>
          </w:p>
        </w:tc>
        <w:tc>
          <w:tcPr>
            <w:tcW w:w="1897" w:type="pct"/>
            <w:vAlign w:val="center"/>
          </w:tcPr>
          <w:p>
            <w:pPr>
              <w:pStyle w:val="59"/>
              <w:ind w:firstLine="0" w:firstLineChars="0"/>
              <w:jc w:val="center"/>
              <w:rPr>
                <w:sz w:val="18"/>
                <w:szCs w:val="18"/>
              </w:rPr>
            </w:pPr>
            <w:r>
              <w:rPr>
                <w:rFonts w:hint="eastAsia"/>
                <w:sz w:val="18"/>
                <w:szCs w:val="18"/>
              </w:rPr>
              <w:t>12～15</w:t>
            </w:r>
          </w:p>
        </w:tc>
        <w:tc>
          <w:tcPr>
            <w:tcW w:w="1976" w:type="pct"/>
            <w:vAlign w:val="center"/>
          </w:tcPr>
          <w:p>
            <w:pPr>
              <w:pStyle w:val="59"/>
              <w:ind w:firstLine="0" w:firstLineChars="0"/>
              <w:jc w:val="center"/>
              <w:rPr>
                <w:sz w:val="18"/>
                <w:szCs w:val="18"/>
              </w:rPr>
            </w:pPr>
            <w:r>
              <w:rPr>
                <w:rFonts w:hint="eastAsia"/>
                <w:sz w:val="18"/>
                <w:szCs w:val="18"/>
              </w:rPr>
              <w:t>140～179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27" w:type="pct"/>
            <w:vAlign w:val="center"/>
          </w:tcPr>
          <w:p>
            <w:pPr>
              <w:pStyle w:val="59"/>
              <w:ind w:firstLine="0" w:firstLineChars="0"/>
              <w:jc w:val="center"/>
              <w:rPr>
                <w:sz w:val="18"/>
                <w:szCs w:val="18"/>
              </w:rPr>
            </w:pPr>
            <w:r>
              <w:rPr>
                <w:rFonts w:hint="eastAsia"/>
                <w:sz w:val="18"/>
                <w:szCs w:val="18"/>
              </w:rPr>
              <w:t>偏氮低效类型</w:t>
            </w:r>
          </w:p>
          <w:p>
            <w:pPr>
              <w:pStyle w:val="59"/>
              <w:ind w:firstLine="0" w:firstLineChars="0"/>
              <w:jc w:val="center"/>
              <w:rPr>
                <w:sz w:val="18"/>
                <w:szCs w:val="18"/>
              </w:rPr>
            </w:pPr>
            <w:r>
              <w:rPr>
                <w:rFonts w:hint="eastAsia"/>
                <w:sz w:val="18"/>
                <w:szCs w:val="18"/>
              </w:rPr>
              <w:t>（Ⅲ型）</w:t>
            </w:r>
          </w:p>
        </w:tc>
        <w:tc>
          <w:tcPr>
            <w:tcW w:w="1897" w:type="pct"/>
            <w:vAlign w:val="center"/>
          </w:tcPr>
          <w:p>
            <w:pPr>
              <w:pStyle w:val="59"/>
              <w:ind w:firstLine="0" w:firstLineChars="0"/>
              <w:jc w:val="center"/>
              <w:rPr>
                <w:sz w:val="18"/>
                <w:szCs w:val="18"/>
              </w:rPr>
            </w:pPr>
            <w:r>
              <w:rPr>
                <w:rFonts w:hint="eastAsia"/>
                <w:sz w:val="18"/>
                <w:szCs w:val="18"/>
              </w:rPr>
              <w:t>5～12</w:t>
            </w:r>
          </w:p>
        </w:tc>
        <w:tc>
          <w:tcPr>
            <w:tcW w:w="1976" w:type="pct"/>
            <w:vAlign w:val="center"/>
          </w:tcPr>
          <w:p>
            <w:pPr>
              <w:pStyle w:val="59"/>
              <w:ind w:firstLine="0" w:firstLineChars="0"/>
              <w:jc w:val="center"/>
              <w:rPr>
                <w:sz w:val="18"/>
                <w:szCs w:val="18"/>
              </w:rPr>
            </w:pPr>
            <w:r>
              <w:rPr>
                <w:rFonts w:hint="eastAsia"/>
                <w:sz w:val="18"/>
                <w:szCs w:val="18"/>
              </w:rPr>
              <w:t>120～139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27" w:type="pct"/>
            <w:tcBorders>
              <w:bottom w:val="single" w:color="auto" w:sz="8" w:space="0"/>
            </w:tcBorders>
            <w:vAlign w:val="center"/>
          </w:tcPr>
          <w:p>
            <w:pPr>
              <w:pStyle w:val="59"/>
              <w:ind w:firstLine="0" w:firstLineChars="0"/>
              <w:jc w:val="center"/>
              <w:rPr>
                <w:sz w:val="18"/>
                <w:szCs w:val="18"/>
              </w:rPr>
            </w:pPr>
            <w:r>
              <w:rPr>
                <w:rFonts w:hint="eastAsia"/>
                <w:sz w:val="18"/>
                <w:szCs w:val="18"/>
              </w:rPr>
              <w:t>氮低效类型</w:t>
            </w:r>
          </w:p>
          <w:p>
            <w:pPr>
              <w:pStyle w:val="59"/>
              <w:ind w:firstLine="0" w:firstLineChars="0"/>
              <w:jc w:val="center"/>
              <w:rPr>
                <w:sz w:val="18"/>
                <w:szCs w:val="18"/>
              </w:rPr>
            </w:pPr>
            <w:r>
              <w:rPr>
                <w:rFonts w:hint="eastAsia"/>
                <w:sz w:val="18"/>
                <w:szCs w:val="18"/>
              </w:rPr>
              <w:t>（Ⅳ型）</w:t>
            </w:r>
          </w:p>
        </w:tc>
        <w:tc>
          <w:tcPr>
            <w:tcW w:w="1897" w:type="pct"/>
            <w:tcBorders>
              <w:bottom w:val="single" w:color="auto" w:sz="8" w:space="0"/>
            </w:tcBorders>
            <w:vAlign w:val="center"/>
          </w:tcPr>
          <w:p>
            <w:pPr>
              <w:pStyle w:val="59"/>
              <w:ind w:firstLine="0" w:firstLineChars="0"/>
              <w:jc w:val="center"/>
              <w:rPr>
                <w:sz w:val="18"/>
                <w:szCs w:val="18"/>
              </w:rPr>
            </w:pPr>
            <w:r>
              <w:rPr>
                <w:rFonts w:hint="eastAsia"/>
                <w:sz w:val="18"/>
                <w:szCs w:val="18"/>
              </w:rPr>
              <w:t>5以下</w:t>
            </w:r>
          </w:p>
        </w:tc>
        <w:tc>
          <w:tcPr>
            <w:tcW w:w="1976" w:type="pct"/>
            <w:tcBorders>
              <w:bottom w:val="single" w:color="auto" w:sz="8" w:space="0"/>
            </w:tcBorders>
            <w:vAlign w:val="center"/>
          </w:tcPr>
          <w:p>
            <w:pPr>
              <w:pStyle w:val="59"/>
              <w:ind w:firstLine="0" w:firstLineChars="0"/>
              <w:jc w:val="center"/>
              <w:rPr>
                <w:sz w:val="18"/>
                <w:szCs w:val="18"/>
              </w:rPr>
            </w:pPr>
            <w:r>
              <w:rPr>
                <w:rFonts w:hint="eastAsia"/>
                <w:sz w:val="18"/>
                <w:szCs w:val="18"/>
              </w:rPr>
              <w:t>120以下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000" w:type="pct"/>
            <w:gridSpan w:val="3"/>
            <w:tcBorders>
              <w:top w:val="single" w:color="auto" w:sz="8" w:space="0"/>
              <w:bottom w:val="single" w:color="auto" w:sz="8" w:space="0"/>
            </w:tcBorders>
            <w:vAlign w:val="center"/>
          </w:tcPr>
          <w:p>
            <w:pPr>
              <w:pStyle w:val="182"/>
            </w:pPr>
            <w:r>
              <w:rPr>
                <w:rFonts w:hint="eastAsia"/>
              </w:rPr>
              <w:t>以上数据为单株的数值。</w:t>
            </w:r>
          </w:p>
        </w:tc>
      </w:tr>
    </w:tbl>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bookmarkStart w:id="50" w:name="_GoBack"/>
      <w:bookmarkEnd w:id="50"/>
    </w:p>
    <w:p>
      <w:pPr>
        <w:pStyle w:val="59"/>
        <w:ind w:firstLine="420"/>
      </w:pPr>
    </w:p>
    <w:p>
      <w:pPr>
        <w:pStyle w:val="59"/>
        <w:ind w:firstLine="420"/>
      </w:pPr>
    </w:p>
    <w:p>
      <w:pPr>
        <w:pStyle w:val="59"/>
        <w:ind w:firstLine="420"/>
      </w:pPr>
    </w:p>
    <w:bookmarkEnd w:id="21"/>
    <w:p>
      <w:pPr>
        <w:pStyle w:val="66"/>
        <w:spacing w:after="120"/>
      </w:pPr>
      <w:bookmarkStart w:id="49" w:name="BookMark6"/>
      <w:r>
        <w:rPr>
          <w:rFonts w:hint="eastAsia"/>
          <w:spacing w:val="105"/>
        </w:rPr>
        <w:t>参考文</w:t>
      </w:r>
      <w:r>
        <w:rPr>
          <w:rFonts w:hint="eastAsia"/>
        </w:rPr>
        <w:t>献</w:t>
      </w:r>
    </w:p>
    <w:p>
      <w:pPr>
        <w:pStyle w:val="59"/>
        <w:ind w:firstLine="420"/>
      </w:pPr>
      <w:r>
        <w:t>[1]  Robinson N N, Fletcher A A , Whan A A , et al. Sugarcane genotypes differ in internal nitrogen use efficiency[J]. Functional Plant Biology, 2007, 34(12):1122-1129.</w:t>
      </w:r>
    </w:p>
    <w:p>
      <w:pPr>
        <w:pStyle w:val="59"/>
        <w:ind w:firstLine="420"/>
      </w:pPr>
      <w:r>
        <w:t>[2]  Zhao D, Glaz B, Comstock JC. Physiological and growth responses of sugarcane genotypes to nitrogen rate on a sand soil. J Agro Crop Sci, 2014, 200(4), 290–301.</w:t>
      </w:r>
    </w:p>
    <w:p>
      <w:pPr>
        <w:pStyle w:val="59"/>
        <w:ind w:firstLine="420"/>
      </w:pPr>
      <w:r>
        <w:rPr>
          <w:rFonts w:hint="eastAsia"/>
        </w:rPr>
        <w:t>[</w:t>
      </w:r>
      <w:r>
        <w:t>3</w:t>
      </w:r>
      <w:r>
        <w:rPr>
          <w:rFonts w:hint="eastAsia"/>
        </w:rPr>
        <w:t>]</w:t>
      </w:r>
      <w:r>
        <w:t xml:space="preserve">  </w:t>
      </w:r>
      <w:r>
        <w:rPr>
          <w:rFonts w:hint="eastAsia"/>
        </w:rPr>
        <w:t>杨柳,廖芬,Muhammad ANAS,李强,彭李顺,黄东亮,李杨瑞.苗期甘蔗氮高效基因型评价指标的筛选[J].热带作物学报,2020,41(11):2205-2218.</w:t>
      </w:r>
    </w:p>
    <w:p>
      <w:pPr>
        <w:pStyle w:val="59"/>
        <w:ind w:firstLine="420"/>
      </w:pPr>
      <w:r>
        <w:rPr>
          <w:rFonts w:hint="eastAsia"/>
        </w:rPr>
        <w:t>[</w:t>
      </w:r>
      <w:r>
        <w:t>4</w:t>
      </w:r>
      <w:r>
        <w:rPr>
          <w:rFonts w:hint="eastAsia"/>
        </w:rPr>
        <w:t>]</w:t>
      </w:r>
      <w:r>
        <w:t xml:space="preserve">  </w:t>
      </w:r>
      <w:r>
        <w:rPr>
          <w:rFonts w:hint="eastAsia"/>
        </w:rPr>
        <w:t>杨伟波,李东霞,符海泉,李虹.花生苗期氮高效基因型及其评价指标的筛选研究[J].花生学报,2015,44(04):7-12+20.DOI:10.14001/j.issn.1002-4093.2015.04.002.</w:t>
      </w:r>
    </w:p>
    <w:bookmarkEnd w:id="49"/>
    <w:p>
      <w:pPr>
        <w:pStyle w:val="59"/>
        <w:ind w:firstLine="0" w:firstLineChars="0"/>
      </w:pPr>
    </w:p>
    <w:p>
      <w:pPr>
        <w:pStyle w:val="59"/>
        <w:ind w:firstLine="420"/>
        <w:jc w:val="center"/>
      </w:pPr>
      <w:r>
        <w:drawing>
          <wp:inline distT="0" distB="0" distL="0" distR="0">
            <wp:extent cx="1483995" cy="318135"/>
            <wp:effectExtent l="0" t="0" r="1905"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83995" cy="318135"/>
                    </a:xfrm>
                    <a:prstGeom prst="rect">
                      <a:avLst/>
                    </a:prstGeom>
                    <a:noFill/>
                    <a:ln>
                      <a:noFill/>
                    </a:ln>
                  </pic:spPr>
                </pic:pic>
              </a:graphicData>
            </a:graphic>
          </wp:inline>
        </w:drawing>
      </w:r>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3686"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709"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e/z/BC2BjM/nHLoWbf+BKBXyJG0AJf34SKKe6eAClVm6OGMYJiQ1JdjnmrmdHE9E+GNu9HG140/jmvMBCCKO2Q==" w:salt="WIxlHkEtVWXYipXMF04Ny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3E4F66"/>
    <w:rsid w:val="0000040A"/>
    <w:rsid w:val="00000A94"/>
    <w:rsid w:val="00001972"/>
    <w:rsid w:val="00001D9A"/>
    <w:rsid w:val="00007B3A"/>
    <w:rsid w:val="000107E0"/>
    <w:rsid w:val="00011FDE"/>
    <w:rsid w:val="00012FFD"/>
    <w:rsid w:val="00014162"/>
    <w:rsid w:val="00014340"/>
    <w:rsid w:val="00015828"/>
    <w:rsid w:val="00016A9C"/>
    <w:rsid w:val="00022184"/>
    <w:rsid w:val="00022762"/>
    <w:rsid w:val="000238E0"/>
    <w:rsid w:val="000249DB"/>
    <w:rsid w:val="0002595E"/>
    <w:rsid w:val="000303C3"/>
    <w:rsid w:val="000331D3"/>
    <w:rsid w:val="000346A5"/>
    <w:rsid w:val="000359C3"/>
    <w:rsid w:val="00035A7D"/>
    <w:rsid w:val="000365ED"/>
    <w:rsid w:val="0004104D"/>
    <w:rsid w:val="0004249A"/>
    <w:rsid w:val="0004252F"/>
    <w:rsid w:val="00043282"/>
    <w:rsid w:val="00044286"/>
    <w:rsid w:val="00047F28"/>
    <w:rsid w:val="000503AA"/>
    <w:rsid w:val="000506A1"/>
    <w:rsid w:val="000515DD"/>
    <w:rsid w:val="0005265A"/>
    <w:rsid w:val="000539DD"/>
    <w:rsid w:val="00053BD3"/>
    <w:rsid w:val="000556ED"/>
    <w:rsid w:val="00055E88"/>
    <w:rsid w:val="00055FE2"/>
    <w:rsid w:val="0005616F"/>
    <w:rsid w:val="00056C81"/>
    <w:rsid w:val="00060C2E"/>
    <w:rsid w:val="00061033"/>
    <w:rsid w:val="000619E9"/>
    <w:rsid w:val="000622D4"/>
    <w:rsid w:val="0006357D"/>
    <w:rsid w:val="000671E2"/>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A91"/>
    <w:rsid w:val="000A7311"/>
    <w:rsid w:val="000B060F"/>
    <w:rsid w:val="000B1592"/>
    <w:rsid w:val="000B1816"/>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381"/>
    <w:rsid w:val="000D4B9C"/>
    <w:rsid w:val="000D4EB6"/>
    <w:rsid w:val="000D753B"/>
    <w:rsid w:val="000E1468"/>
    <w:rsid w:val="000E4C9E"/>
    <w:rsid w:val="000E6F70"/>
    <w:rsid w:val="000E6FD7"/>
    <w:rsid w:val="000E7144"/>
    <w:rsid w:val="000E7CF6"/>
    <w:rsid w:val="000F06E1"/>
    <w:rsid w:val="000F0E3C"/>
    <w:rsid w:val="000F19D5"/>
    <w:rsid w:val="000F4050"/>
    <w:rsid w:val="000F4AEA"/>
    <w:rsid w:val="000F67E9"/>
    <w:rsid w:val="00104896"/>
    <w:rsid w:val="00104926"/>
    <w:rsid w:val="00106115"/>
    <w:rsid w:val="00113B1E"/>
    <w:rsid w:val="00115C26"/>
    <w:rsid w:val="0011711C"/>
    <w:rsid w:val="00124E4F"/>
    <w:rsid w:val="001260B7"/>
    <w:rsid w:val="001265CB"/>
    <w:rsid w:val="001321C6"/>
    <w:rsid w:val="001325C4"/>
    <w:rsid w:val="00133010"/>
    <w:rsid w:val="001338EE"/>
    <w:rsid w:val="00133AAE"/>
    <w:rsid w:val="00135323"/>
    <w:rsid w:val="001356C4"/>
    <w:rsid w:val="00137565"/>
    <w:rsid w:val="00137576"/>
    <w:rsid w:val="00141114"/>
    <w:rsid w:val="00141850"/>
    <w:rsid w:val="00142969"/>
    <w:rsid w:val="001446C2"/>
    <w:rsid w:val="001457E7"/>
    <w:rsid w:val="00145D9D"/>
    <w:rsid w:val="00146388"/>
    <w:rsid w:val="001529E5"/>
    <w:rsid w:val="00152FB3"/>
    <w:rsid w:val="00153C7E"/>
    <w:rsid w:val="001562E9"/>
    <w:rsid w:val="00156B25"/>
    <w:rsid w:val="00156E1A"/>
    <w:rsid w:val="00157894"/>
    <w:rsid w:val="00157B55"/>
    <w:rsid w:val="00163133"/>
    <w:rsid w:val="001642FA"/>
    <w:rsid w:val="001649EB"/>
    <w:rsid w:val="00164BAF"/>
    <w:rsid w:val="00164FA8"/>
    <w:rsid w:val="00165065"/>
    <w:rsid w:val="00165434"/>
    <w:rsid w:val="0016580B"/>
    <w:rsid w:val="00165F49"/>
    <w:rsid w:val="00166B88"/>
    <w:rsid w:val="0016770A"/>
    <w:rsid w:val="00170804"/>
    <w:rsid w:val="001708E9"/>
    <w:rsid w:val="001710E6"/>
    <w:rsid w:val="00172E4C"/>
    <w:rsid w:val="00173228"/>
    <w:rsid w:val="0017340B"/>
    <w:rsid w:val="00173FB1"/>
    <w:rsid w:val="00175CA7"/>
    <w:rsid w:val="00176DFD"/>
    <w:rsid w:val="001821B7"/>
    <w:rsid w:val="001852C9"/>
    <w:rsid w:val="00187A0B"/>
    <w:rsid w:val="00190087"/>
    <w:rsid w:val="001913C4"/>
    <w:rsid w:val="00192889"/>
    <w:rsid w:val="0019348F"/>
    <w:rsid w:val="00193A07"/>
    <w:rsid w:val="00194C95"/>
    <w:rsid w:val="00195C34"/>
    <w:rsid w:val="00196EF5"/>
    <w:rsid w:val="001A1A53"/>
    <w:rsid w:val="001A234A"/>
    <w:rsid w:val="001A3C0C"/>
    <w:rsid w:val="001A4CF3"/>
    <w:rsid w:val="001A62B7"/>
    <w:rsid w:val="001A6696"/>
    <w:rsid w:val="001B06E8"/>
    <w:rsid w:val="001B71D0"/>
    <w:rsid w:val="001B71EE"/>
    <w:rsid w:val="001B74DA"/>
    <w:rsid w:val="001C04A8"/>
    <w:rsid w:val="001C0D59"/>
    <w:rsid w:val="001C2C03"/>
    <w:rsid w:val="001C42F7"/>
    <w:rsid w:val="001C49E5"/>
    <w:rsid w:val="001C680C"/>
    <w:rsid w:val="001C7FEA"/>
    <w:rsid w:val="001D0499"/>
    <w:rsid w:val="001D0BBE"/>
    <w:rsid w:val="001D0ED4"/>
    <w:rsid w:val="001D212F"/>
    <w:rsid w:val="001D29D7"/>
    <w:rsid w:val="001D2DE7"/>
    <w:rsid w:val="001D411C"/>
    <w:rsid w:val="001D47BF"/>
    <w:rsid w:val="001E1B6A"/>
    <w:rsid w:val="001E2484"/>
    <w:rsid w:val="001E3CC4"/>
    <w:rsid w:val="001E4882"/>
    <w:rsid w:val="001E5716"/>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24A"/>
    <w:rsid w:val="00212720"/>
    <w:rsid w:val="002142EA"/>
    <w:rsid w:val="00215ADD"/>
    <w:rsid w:val="002204BB"/>
    <w:rsid w:val="00221B79"/>
    <w:rsid w:val="00221C6B"/>
    <w:rsid w:val="00222268"/>
    <w:rsid w:val="002253A1"/>
    <w:rsid w:val="00225CF8"/>
    <w:rsid w:val="0022794E"/>
    <w:rsid w:val="00233D64"/>
    <w:rsid w:val="0023482A"/>
    <w:rsid w:val="002359CB"/>
    <w:rsid w:val="002413D7"/>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A45"/>
    <w:rsid w:val="00266EEB"/>
    <w:rsid w:val="00267EF4"/>
    <w:rsid w:val="00270CB8"/>
    <w:rsid w:val="00272B08"/>
    <w:rsid w:val="00273E45"/>
    <w:rsid w:val="00281BB8"/>
    <w:rsid w:val="00281DEA"/>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47C"/>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4E6"/>
    <w:rsid w:val="002F7AF6"/>
    <w:rsid w:val="0030095F"/>
    <w:rsid w:val="00300E63"/>
    <w:rsid w:val="00302F5F"/>
    <w:rsid w:val="0030441D"/>
    <w:rsid w:val="00306063"/>
    <w:rsid w:val="00313B85"/>
    <w:rsid w:val="00317138"/>
    <w:rsid w:val="00317988"/>
    <w:rsid w:val="003221B4"/>
    <w:rsid w:val="0032258D"/>
    <w:rsid w:val="00322C47"/>
    <w:rsid w:val="00322E62"/>
    <w:rsid w:val="00324D13"/>
    <w:rsid w:val="00324EDD"/>
    <w:rsid w:val="00326085"/>
    <w:rsid w:val="003331E4"/>
    <w:rsid w:val="003361D5"/>
    <w:rsid w:val="00336C64"/>
    <w:rsid w:val="00337162"/>
    <w:rsid w:val="0034194F"/>
    <w:rsid w:val="00344605"/>
    <w:rsid w:val="00345979"/>
    <w:rsid w:val="003474AA"/>
    <w:rsid w:val="00350D1D"/>
    <w:rsid w:val="00352C83"/>
    <w:rsid w:val="00352F1A"/>
    <w:rsid w:val="0036107C"/>
    <w:rsid w:val="003615D2"/>
    <w:rsid w:val="0036429C"/>
    <w:rsid w:val="00364A53"/>
    <w:rsid w:val="003654CB"/>
    <w:rsid w:val="00365AA9"/>
    <w:rsid w:val="00365F86"/>
    <w:rsid w:val="00365F87"/>
    <w:rsid w:val="00366E89"/>
    <w:rsid w:val="00370298"/>
    <w:rsid w:val="003705F4"/>
    <w:rsid w:val="00370A98"/>
    <w:rsid w:val="00370D58"/>
    <w:rsid w:val="00371316"/>
    <w:rsid w:val="00376713"/>
    <w:rsid w:val="00381815"/>
    <w:rsid w:val="003819AF"/>
    <w:rsid w:val="003820E9"/>
    <w:rsid w:val="00382DE7"/>
    <w:rsid w:val="00384FFC"/>
    <w:rsid w:val="00385368"/>
    <w:rsid w:val="003872FC"/>
    <w:rsid w:val="00387ADC"/>
    <w:rsid w:val="00390020"/>
    <w:rsid w:val="003903D6"/>
    <w:rsid w:val="00390EE6"/>
    <w:rsid w:val="0039118F"/>
    <w:rsid w:val="00392AD7"/>
    <w:rsid w:val="003938D9"/>
    <w:rsid w:val="00394376"/>
    <w:rsid w:val="003943FF"/>
    <w:rsid w:val="003974EB"/>
    <w:rsid w:val="00397CC5"/>
    <w:rsid w:val="00397D07"/>
    <w:rsid w:val="00397D6C"/>
    <w:rsid w:val="003A11D1"/>
    <w:rsid w:val="003A1582"/>
    <w:rsid w:val="003A3317"/>
    <w:rsid w:val="003A3D9C"/>
    <w:rsid w:val="003A4077"/>
    <w:rsid w:val="003A4AA7"/>
    <w:rsid w:val="003B09AD"/>
    <w:rsid w:val="003B1F18"/>
    <w:rsid w:val="003B5BF0"/>
    <w:rsid w:val="003B60BF"/>
    <w:rsid w:val="003B6BE3"/>
    <w:rsid w:val="003C010C"/>
    <w:rsid w:val="003C0A6C"/>
    <w:rsid w:val="003C14F8"/>
    <w:rsid w:val="003C3EB7"/>
    <w:rsid w:val="003C5A43"/>
    <w:rsid w:val="003C7B92"/>
    <w:rsid w:val="003D0519"/>
    <w:rsid w:val="003D0FF6"/>
    <w:rsid w:val="003D262C"/>
    <w:rsid w:val="003D51A4"/>
    <w:rsid w:val="003D6D61"/>
    <w:rsid w:val="003D7C7B"/>
    <w:rsid w:val="003E019F"/>
    <w:rsid w:val="003E091D"/>
    <w:rsid w:val="003E1C53"/>
    <w:rsid w:val="003E2A69"/>
    <w:rsid w:val="003E2D49"/>
    <w:rsid w:val="003E2FD4"/>
    <w:rsid w:val="003E32CA"/>
    <w:rsid w:val="003E49F6"/>
    <w:rsid w:val="003E4F66"/>
    <w:rsid w:val="003E660F"/>
    <w:rsid w:val="003F0841"/>
    <w:rsid w:val="003F23D3"/>
    <w:rsid w:val="003F3F08"/>
    <w:rsid w:val="003F49F1"/>
    <w:rsid w:val="003F6272"/>
    <w:rsid w:val="00400E72"/>
    <w:rsid w:val="00401400"/>
    <w:rsid w:val="00404869"/>
    <w:rsid w:val="00405884"/>
    <w:rsid w:val="00407D39"/>
    <w:rsid w:val="00412CFA"/>
    <w:rsid w:val="0041477A"/>
    <w:rsid w:val="004163EB"/>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309"/>
    <w:rsid w:val="00484936"/>
    <w:rsid w:val="00485C89"/>
    <w:rsid w:val="00486BE3"/>
    <w:rsid w:val="00487696"/>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76A"/>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E9A"/>
    <w:rsid w:val="004F391A"/>
    <w:rsid w:val="004F3CFB"/>
    <w:rsid w:val="004F6456"/>
    <w:rsid w:val="004F696E"/>
    <w:rsid w:val="004F6C71"/>
    <w:rsid w:val="004F78F2"/>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B0C"/>
    <w:rsid w:val="00533D04"/>
    <w:rsid w:val="00534804"/>
    <w:rsid w:val="0053493C"/>
    <w:rsid w:val="00534BDF"/>
    <w:rsid w:val="005354EA"/>
    <w:rsid w:val="0053585F"/>
    <w:rsid w:val="00535EC4"/>
    <w:rsid w:val="00535ED9"/>
    <w:rsid w:val="0053692B"/>
    <w:rsid w:val="00536CD1"/>
    <w:rsid w:val="00541853"/>
    <w:rsid w:val="00543BDA"/>
    <w:rsid w:val="005441CC"/>
    <w:rsid w:val="00545468"/>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F63"/>
    <w:rsid w:val="00593A49"/>
    <w:rsid w:val="00596160"/>
    <w:rsid w:val="005966E2"/>
    <w:rsid w:val="00597007"/>
    <w:rsid w:val="005A0966"/>
    <w:rsid w:val="005A11B7"/>
    <w:rsid w:val="005A1A3B"/>
    <w:rsid w:val="005A260B"/>
    <w:rsid w:val="005A398A"/>
    <w:rsid w:val="005A4A1B"/>
    <w:rsid w:val="005A4E96"/>
    <w:rsid w:val="005A7830"/>
    <w:rsid w:val="005A7FCE"/>
    <w:rsid w:val="005B0F3F"/>
    <w:rsid w:val="005B191C"/>
    <w:rsid w:val="005B4903"/>
    <w:rsid w:val="005B51CE"/>
    <w:rsid w:val="005B5885"/>
    <w:rsid w:val="005B5CD7"/>
    <w:rsid w:val="005B6CF6"/>
    <w:rsid w:val="005B7422"/>
    <w:rsid w:val="005C299D"/>
    <w:rsid w:val="005C29B8"/>
    <w:rsid w:val="005C5F21"/>
    <w:rsid w:val="005C7156"/>
    <w:rsid w:val="005D0C75"/>
    <w:rsid w:val="005D3311"/>
    <w:rsid w:val="005D4171"/>
    <w:rsid w:val="005D6A95"/>
    <w:rsid w:val="005D6B2C"/>
    <w:rsid w:val="005D6D9C"/>
    <w:rsid w:val="005E2335"/>
    <w:rsid w:val="005E34CA"/>
    <w:rsid w:val="005E3C18"/>
    <w:rsid w:val="005E4250"/>
    <w:rsid w:val="005E6812"/>
    <w:rsid w:val="005E7881"/>
    <w:rsid w:val="005E78E0"/>
    <w:rsid w:val="005F0905"/>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70CD"/>
    <w:rsid w:val="00632182"/>
    <w:rsid w:val="00632AE0"/>
    <w:rsid w:val="00633C17"/>
    <w:rsid w:val="00634D9E"/>
    <w:rsid w:val="00635E5A"/>
    <w:rsid w:val="00636E3E"/>
    <w:rsid w:val="006379F7"/>
    <w:rsid w:val="00637E4D"/>
    <w:rsid w:val="0064031F"/>
    <w:rsid w:val="00640620"/>
    <w:rsid w:val="00640A06"/>
    <w:rsid w:val="00641A1F"/>
    <w:rsid w:val="00641D00"/>
    <w:rsid w:val="00645904"/>
    <w:rsid w:val="00646A76"/>
    <w:rsid w:val="00646B3D"/>
    <w:rsid w:val="0065022F"/>
    <w:rsid w:val="006506A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1DF"/>
    <w:rsid w:val="006770F4"/>
    <w:rsid w:val="00677A84"/>
    <w:rsid w:val="0068026D"/>
    <w:rsid w:val="00680A27"/>
    <w:rsid w:val="006816A4"/>
    <w:rsid w:val="006819B8"/>
    <w:rsid w:val="006840A6"/>
    <w:rsid w:val="006850CD"/>
    <w:rsid w:val="00685AAB"/>
    <w:rsid w:val="0069374A"/>
    <w:rsid w:val="006A07AA"/>
    <w:rsid w:val="006A25E5"/>
    <w:rsid w:val="006A2B46"/>
    <w:rsid w:val="006A336D"/>
    <w:rsid w:val="006A37B9"/>
    <w:rsid w:val="006B2672"/>
    <w:rsid w:val="006B54BF"/>
    <w:rsid w:val="006B5F44"/>
    <w:rsid w:val="006B5F90"/>
    <w:rsid w:val="006B62E4"/>
    <w:rsid w:val="006C1BBA"/>
    <w:rsid w:val="006C2079"/>
    <w:rsid w:val="006C4597"/>
    <w:rsid w:val="006C5A62"/>
    <w:rsid w:val="006C5D68"/>
    <w:rsid w:val="006C6976"/>
    <w:rsid w:val="006C6DD0"/>
    <w:rsid w:val="006D04EA"/>
    <w:rsid w:val="006D16C4"/>
    <w:rsid w:val="006D3E96"/>
    <w:rsid w:val="006D4515"/>
    <w:rsid w:val="006D4BB1"/>
    <w:rsid w:val="006D6593"/>
    <w:rsid w:val="006E1CD9"/>
    <w:rsid w:val="006E4114"/>
    <w:rsid w:val="006E61BD"/>
    <w:rsid w:val="006F03A8"/>
    <w:rsid w:val="006F2ACA"/>
    <w:rsid w:val="006F2ADC"/>
    <w:rsid w:val="006F2BFE"/>
    <w:rsid w:val="006F31E9"/>
    <w:rsid w:val="006F48FA"/>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A6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3E"/>
    <w:rsid w:val="00765C43"/>
    <w:rsid w:val="00765EFB"/>
    <w:rsid w:val="007671CA"/>
    <w:rsid w:val="00767C61"/>
    <w:rsid w:val="0077008A"/>
    <w:rsid w:val="00773C1F"/>
    <w:rsid w:val="00774DA4"/>
    <w:rsid w:val="00776599"/>
    <w:rsid w:val="007806C7"/>
    <w:rsid w:val="0078114B"/>
    <w:rsid w:val="00781DD2"/>
    <w:rsid w:val="00783ECF"/>
    <w:rsid w:val="0078413A"/>
    <w:rsid w:val="00791B2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792"/>
    <w:rsid w:val="007D2508"/>
    <w:rsid w:val="007D346A"/>
    <w:rsid w:val="007D6518"/>
    <w:rsid w:val="007D6956"/>
    <w:rsid w:val="007D76BD"/>
    <w:rsid w:val="007E0BF1"/>
    <w:rsid w:val="007F08B9"/>
    <w:rsid w:val="007F0ED8"/>
    <w:rsid w:val="007F0F63"/>
    <w:rsid w:val="007F1715"/>
    <w:rsid w:val="007F67E6"/>
    <w:rsid w:val="007F75CE"/>
    <w:rsid w:val="00800DD5"/>
    <w:rsid w:val="008013A4"/>
    <w:rsid w:val="008027CE"/>
    <w:rsid w:val="00802F42"/>
    <w:rsid w:val="00804383"/>
    <w:rsid w:val="00804BB7"/>
    <w:rsid w:val="00804D41"/>
    <w:rsid w:val="00810257"/>
    <w:rsid w:val="008104F5"/>
    <w:rsid w:val="00811072"/>
    <w:rsid w:val="00811369"/>
    <w:rsid w:val="00815419"/>
    <w:rsid w:val="008163C8"/>
    <w:rsid w:val="008164A1"/>
    <w:rsid w:val="00816769"/>
    <w:rsid w:val="00817325"/>
    <w:rsid w:val="008209E6"/>
    <w:rsid w:val="00821D19"/>
    <w:rsid w:val="00823303"/>
    <w:rsid w:val="008233B2"/>
    <w:rsid w:val="00823A9F"/>
    <w:rsid w:val="00823AA6"/>
    <w:rsid w:val="00823C85"/>
    <w:rsid w:val="00825138"/>
    <w:rsid w:val="008269DD"/>
    <w:rsid w:val="008277CE"/>
    <w:rsid w:val="00830621"/>
    <w:rsid w:val="0083348C"/>
    <w:rsid w:val="008373D3"/>
    <w:rsid w:val="00840617"/>
    <w:rsid w:val="00840F84"/>
    <w:rsid w:val="00842A47"/>
    <w:rsid w:val="00843C13"/>
    <w:rsid w:val="00843DEF"/>
    <w:rsid w:val="008454F8"/>
    <w:rsid w:val="00846030"/>
    <w:rsid w:val="0085173A"/>
    <w:rsid w:val="00854D84"/>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2F7"/>
    <w:rsid w:val="008C475E"/>
    <w:rsid w:val="008C619A"/>
    <w:rsid w:val="008D0CE8"/>
    <w:rsid w:val="008D264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B7B"/>
    <w:rsid w:val="008F70BD"/>
    <w:rsid w:val="008F788F"/>
    <w:rsid w:val="008F7EA2"/>
    <w:rsid w:val="0090172C"/>
    <w:rsid w:val="00901AC4"/>
    <w:rsid w:val="0090251C"/>
    <w:rsid w:val="00902722"/>
    <w:rsid w:val="009027BC"/>
    <w:rsid w:val="00905EB0"/>
    <w:rsid w:val="009062E6"/>
    <w:rsid w:val="00906DE9"/>
    <w:rsid w:val="00911BE5"/>
    <w:rsid w:val="00913CA9"/>
    <w:rsid w:val="009145AE"/>
    <w:rsid w:val="009146CE"/>
    <w:rsid w:val="00914CA7"/>
    <w:rsid w:val="00915C3E"/>
    <w:rsid w:val="009161A8"/>
    <w:rsid w:val="009208BE"/>
    <w:rsid w:val="009245AE"/>
    <w:rsid w:val="009245F5"/>
    <w:rsid w:val="009249EC"/>
    <w:rsid w:val="009273B3"/>
    <w:rsid w:val="009305B5"/>
    <w:rsid w:val="00930B14"/>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3BEC"/>
    <w:rsid w:val="00975727"/>
    <w:rsid w:val="00977010"/>
    <w:rsid w:val="00977D02"/>
    <w:rsid w:val="00977FF9"/>
    <w:rsid w:val="009809BB"/>
    <w:rsid w:val="00980D24"/>
    <w:rsid w:val="0098364B"/>
    <w:rsid w:val="009908A3"/>
    <w:rsid w:val="00990B7A"/>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67"/>
    <w:rsid w:val="009C27F1"/>
    <w:rsid w:val="009C3152"/>
    <w:rsid w:val="009C3257"/>
    <w:rsid w:val="009C4CFA"/>
    <w:rsid w:val="009C5070"/>
    <w:rsid w:val="009D112C"/>
    <w:rsid w:val="009D1385"/>
    <w:rsid w:val="009D2BAD"/>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5FA"/>
    <w:rsid w:val="00A06A6B"/>
    <w:rsid w:val="00A07E47"/>
    <w:rsid w:val="00A129D0"/>
    <w:rsid w:val="00A12C33"/>
    <w:rsid w:val="00A138BA"/>
    <w:rsid w:val="00A14C8E"/>
    <w:rsid w:val="00A153D9"/>
    <w:rsid w:val="00A15F09"/>
    <w:rsid w:val="00A169B6"/>
    <w:rsid w:val="00A2271D"/>
    <w:rsid w:val="00A237D5"/>
    <w:rsid w:val="00A30EFC"/>
    <w:rsid w:val="00A31984"/>
    <w:rsid w:val="00A32B24"/>
    <w:rsid w:val="00A32D73"/>
    <w:rsid w:val="00A3367B"/>
    <w:rsid w:val="00A33C67"/>
    <w:rsid w:val="00A3597D"/>
    <w:rsid w:val="00A36DD1"/>
    <w:rsid w:val="00A4006C"/>
    <w:rsid w:val="00A40091"/>
    <w:rsid w:val="00A4030F"/>
    <w:rsid w:val="00A41C79"/>
    <w:rsid w:val="00A41CB5"/>
    <w:rsid w:val="00A422F9"/>
    <w:rsid w:val="00A42CDF"/>
    <w:rsid w:val="00A4452E"/>
    <w:rsid w:val="00A4472C"/>
    <w:rsid w:val="00A44E69"/>
    <w:rsid w:val="00A4661E"/>
    <w:rsid w:val="00A5046F"/>
    <w:rsid w:val="00A55BD6"/>
    <w:rsid w:val="00A55D50"/>
    <w:rsid w:val="00A57142"/>
    <w:rsid w:val="00A648CD"/>
    <w:rsid w:val="00A6537A"/>
    <w:rsid w:val="00A67866"/>
    <w:rsid w:val="00A70B07"/>
    <w:rsid w:val="00A723F8"/>
    <w:rsid w:val="00A73A87"/>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94A"/>
    <w:rsid w:val="00AD0AEF"/>
    <w:rsid w:val="00AD11B7"/>
    <w:rsid w:val="00AD1A94"/>
    <w:rsid w:val="00AD1C05"/>
    <w:rsid w:val="00AD4126"/>
    <w:rsid w:val="00AD421C"/>
    <w:rsid w:val="00AD44FA"/>
    <w:rsid w:val="00AE070A"/>
    <w:rsid w:val="00AE101C"/>
    <w:rsid w:val="00AE2A69"/>
    <w:rsid w:val="00AE37E5"/>
    <w:rsid w:val="00AE5EB4"/>
    <w:rsid w:val="00AE6C2D"/>
    <w:rsid w:val="00AF0C18"/>
    <w:rsid w:val="00AF47C5"/>
    <w:rsid w:val="00AF5398"/>
    <w:rsid w:val="00B049AF"/>
    <w:rsid w:val="00B05409"/>
    <w:rsid w:val="00B06938"/>
    <w:rsid w:val="00B07242"/>
    <w:rsid w:val="00B10534"/>
    <w:rsid w:val="00B113DB"/>
    <w:rsid w:val="00B11D8A"/>
    <w:rsid w:val="00B12981"/>
    <w:rsid w:val="00B147DD"/>
    <w:rsid w:val="00B156FD"/>
    <w:rsid w:val="00B21F61"/>
    <w:rsid w:val="00B22214"/>
    <w:rsid w:val="00B261F1"/>
    <w:rsid w:val="00B265BC"/>
    <w:rsid w:val="00B31FB1"/>
    <w:rsid w:val="00B33952"/>
    <w:rsid w:val="00B33A29"/>
    <w:rsid w:val="00B33C5E"/>
    <w:rsid w:val="00B342F4"/>
    <w:rsid w:val="00B34369"/>
    <w:rsid w:val="00B34DC2"/>
    <w:rsid w:val="00B378E5"/>
    <w:rsid w:val="00B4346D"/>
    <w:rsid w:val="00B440F4"/>
    <w:rsid w:val="00B447A5"/>
    <w:rsid w:val="00B4654C"/>
    <w:rsid w:val="00B47293"/>
    <w:rsid w:val="00B50CD7"/>
    <w:rsid w:val="00B50E50"/>
    <w:rsid w:val="00B52120"/>
    <w:rsid w:val="00B5309D"/>
    <w:rsid w:val="00B54ABC"/>
    <w:rsid w:val="00B56FBE"/>
    <w:rsid w:val="00B60ACF"/>
    <w:rsid w:val="00B62B58"/>
    <w:rsid w:val="00B65149"/>
    <w:rsid w:val="00B66567"/>
    <w:rsid w:val="00B66615"/>
    <w:rsid w:val="00B66F52"/>
    <w:rsid w:val="00B66FE5"/>
    <w:rsid w:val="00B7228C"/>
    <w:rsid w:val="00B72880"/>
    <w:rsid w:val="00B73780"/>
    <w:rsid w:val="00B758BF"/>
    <w:rsid w:val="00B77EC8"/>
    <w:rsid w:val="00B82289"/>
    <w:rsid w:val="00B827A6"/>
    <w:rsid w:val="00B831CE"/>
    <w:rsid w:val="00B85F65"/>
    <w:rsid w:val="00B86677"/>
    <w:rsid w:val="00B87131"/>
    <w:rsid w:val="00B939B1"/>
    <w:rsid w:val="00B96D40"/>
    <w:rsid w:val="00B97386"/>
    <w:rsid w:val="00BA263B"/>
    <w:rsid w:val="00BA42B2"/>
    <w:rsid w:val="00BA58D4"/>
    <w:rsid w:val="00BA5B9E"/>
    <w:rsid w:val="00BA7C9A"/>
    <w:rsid w:val="00BA7D84"/>
    <w:rsid w:val="00BB5F8F"/>
    <w:rsid w:val="00BB657A"/>
    <w:rsid w:val="00BC1A4E"/>
    <w:rsid w:val="00BC5484"/>
    <w:rsid w:val="00BC5DC7"/>
    <w:rsid w:val="00BC6B8B"/>
    <w:rsid w:val="00BC73D8"/>
    <w:rsid w:val="00BD52D7"/>
    <w:rsid w:val="00BD5AD2"/>
    <w:rsid w:val="00BD7A0B"/>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FD8"/>
    <w:rsid w:val="00C24C8D"/>
    <w:rsid w:val="00C25FE2"/>
    <w:rsid w:val="00C26B53"/>
    <w:rsid w:val="00C279B2"/>
    <w:rsid w:val="00C3026D"/>
    <w:rsid w:val="00C3159B"/>
    <w:rsid w:val="00C33E50"/>
    <w:rsid w:val="00C34C20"/>
    <w:rsid w:val="00C35A3E"/>
    <w:rsid w:val="00C36204"/>
    <w:rsid w:val="00C42130"/>
    <w:rsid w:val="00C423A4"/>
    <w:rsid w:val="00C423E3"/>
    <w:rsid w:val="00C44BF5"/>
    <w:rsid w:val="00C521D6"/>
    <w:rsid w:val="00C525D5"/>
    <w:rsid w:val="00C55232"/>
    <w:rsid w:val="00C553A4"/>
    <w:rsid w:val="00C55A06"/>
    <w:rsid w:val="00C55D03"/>
    <w:rsid w:val="00C601BC"/>
    <w:rsid w:val="00C6329F"/>
    <w:rsid w:val="00C63340"/>
    <w:rsid w:val="00C643F9"/>
    <w:rsid w:val="00C64E95"/>
    <w:rsid w:val="00C71372"/>
    <w:rsid w:val="00C714C6"/>
    <w:rsid w:val="00C72410"/>
    <w:rsid w:val="00C7287F"/>
    <w:rsid w:val="00C80CB8"/>
    <w:rsid w:val="00C819F8"/>
    <w:rsid w:val="00C8248C"/>
    <w:rsid w:val="00C84E33"/>
    <w:rsid w:val="00C86D6F"/>
    <w:rsid w:val="00C905FC"/>
    <w:rsid w:val="00C9222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C58"/>
    <w:rsid w:val="00CC038D"/>
    <w:rsid w:val="00CC08DB"/>
    <w:rsid w:val="00CC207C"/>
    <w:rsid w:val="00CC39FF"/>
    <w:rsid w:val="00CC3C2F"/>
    <w:rsid w:val="00CC4AC8"/>
    <w:rsid w:val="00CC5233"/>
    <w:rsid w:val="00CC5DE6"/>
    <w:rsid w:val="00CC6E4E"/>
    <w:rsid w:val="00CC6FE8"/>
    <w:rsid w:val="00CC7202"/>
    <w:rsid w:val="00CD07BE"/>
    <w:rsid w:val="00CD2808"/>
    <w:rsid w:val="00CD28BF"/>
    <w:rsid w:val="00CD3686"/>
    <w:rsid w:val="00CD4092"/>
    <w:rsid w:val="00CD4A20"/>
    <w:rsid w:val="00CD50A1"/>
    <w:rsid w:val="00CD519E"/>
    <w:rsid w:val="00CD61DE"/>
    <w:rsid w:val="00CE0C4F"/>
    <w:rsid w:val="00CE30EA"/>
    <w:rsid w:val="00CE32C6"/>
    <w:rsid w:val="00CE6B2C"/>
    <w:rsid w:val="00CF048A"/>
    <w:rsid w:val="00CF155A"/>
    <w:rsid w:val="00CF2947"/>
    <w:rsid w:val="00CF54FC"/>
    <w:rsid w:val="00CF67AD"/>
    <w:rsid w:val="00CF686F"/>
    <w:rsid w:val="00CF6E60"/>
    <w:rsid w:val="00CF7BCA"/>
    <w:rsid w:val="00D008FD"/>
    <w:rsid w:val="00D0321C"/>
    <w:rsid w:val="00D035EC"/>
    <w:rsid w:val="00D06AB1"/>
    <w:rsid w:val="00D06FC1"/>
    <w:rsid w:val="00D072ED"/>
    <w:rsid w:val="00D07A16"/>
    <w:rsid w:val="00D1067E"/>
    <w:rsid w:val="00D10F50"/>
    <w:rsid w:val="00D11272"/>
    <w:rsid w:val="00D11336"/>
    <w:rsid w:val="00D126F5"/>
    <w:rsid w:val="00D1489E"/>
    <w:rsid w:val="00D20737"/>
    <w:rsid w:val="00D21E81"/>
    <w:rsid w:val="00D223DE"/>
    <w:rsid w:val="00D25E37"/>
    <w:rsid w:val="00D2661A"/>
    <w:rsid w:val="00D27582"/>
    <w:rsid w:val="00D27EC4"/>
    <w:rsid w:val="00D305D0"/>
    <w:rsid w:val="00D32719"/>
    <w:rsid w:val="00D33333"/>
    <w:rsid w:val="00D352A2"/>
    <w:rsid w:val="00D4162B"/>
    <w:rsid w:val="00D4514F"/>
    <w:rsid w:val="00D451E2"/>
    <w:rsid w:val="00D45E89"/>
    <w:rsid w:val="00D45E8D"/>
    <w:rsid w:val="00D466AE"/>
    <w:rsid w:val="00D4734F"/>
    <w:rsid w:val="00D51BF3"/>
    <w:rsid w:val="00D6447C"/>
    <w:rsid w:val="00D66846"/>
    <w:rsid w:val="00D675FB"/>
    <w:rsid w:val="00D71F25"/>
    <w:rsid w:val="00D72A9C"/>
    <w:rsid w:val="00D77031"/>
    <w:rsid w:val="00D84941"/>
    <w:rsid w:val="00D84FA1"/>
    <w:rsid w:val="00D851F0"/>
    <w:rsid w:val="00D86DB7"/>
    <w:rsid w:val="00D87520"/>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E1A"/>
    <w:rsid w:val="00DE0A4B"/>
    <w:rsid w:val="00DE2410"/>
    <w:rsid w:val="00DE2939"/>
    <w:rsid w:val="00DE6E81"/>
    <w:rsid w:val="00DE703F"/>
    <w:rsid w:val="00DE7595"/>
    <w:rsid w:val="00DF0F36"/>
    <w:rsid w:val="00DF1961"/>
    <w:rsid w:val="00DF44DE"/>
    <w:rsid w:val="00DF45D4"/>
    <w:rsid w:val="00DF485A"/>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735"/>
    <w:rsid w:val="00E44A83"/>
    <w:rsid w:val="00E502C1"/>
    <w:rsid w:val="00E502DD"/>
    <w:rsid w:val="00E50D3A"/>
    <w:rsid w:val="00E51387"/>
    <w:rsid w:val="00E51E68"/>
    <w:rsid w:val="00E52EFD"/>
    <w:rsid w:val="00E5408A"/>
    <w:rsid w:val="00E56800"/>
    <w:rsid w:val="00E60C63"/>
    <w:rsid w:val="00E614E7"/>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E24"/>
    <w:rsid w:val="00E90391"/>
    <w:rsid w:val="00E906C2"/>
    <w:rsid w:val="00E91699"/>
    <w:rsid w:val="00E9311F"/>
    <w:rsid w:val="00E934D1"/>
    <w:rsid w:val="00E94AF0"/>
    <w:rsid w:val="00E95D13"/>
    <w:rsid w:val="00E95DD3"/>
    <w:rsid w:val="00E969D5"/>
    <w:rsid w:val="00EA5562"/>
    <w:rsid w:val="00EA58D1"/>
    <w:rsid w:val="00EA61BC"/>
    <w:rsid w:val="00EA681A"/>
    <w:rsid w:val="00EA735B"/>
    <w:rsid w:val="00EB1E69"/>
    <w:rsid w:val="00EB2086"/>
    <w:rsid w:val="00EB31ED"/>
    <w:rsid w:val="00EB5EDF"/>
    <w:rsid w:val="00EB60FE"/>
    <w:rsid w:val="00EB74DB"/>
    <w:rsid w:val="00EC42EB"/>
    <w:rsid w:val="00EC5359"/>
    <w:rsid w:val="00EC562A"/>
    <w:rsid w:val="00ED067A"/>
    <w:rsid w:val="00ED1E61"/>
    <w:rsid w:val="00ED2712"/>
    <w:rsid w:val="00ED2B50"/>
    <w:rsid w:val="00ED2BF3"/>
    <w:rsid w:val="00EE0350"/>
    <w:rsid w:val="00EE0719"/>
    <w:rsid w:val="00EE0E80"/>
    <w:rsid w:val="00EE1CD3"/>
    <w:rsid w:val="00EE613F"/>
    <w:rsid w:val="00EE7295"/>
    <w:rsid w:val="00EE7869"/>
    <w:rsid w:val="00EF054A"/>
    <w:rsid w:val="00EF3235"/>
    <w:rsid w:val="00EF7E72"/>
    <w:rsid w:val="00F04DCC"/>
    <w:rsid w:val="00F06D37"/>
    <w:rsid w:val="00F075F5"/>
    <w:rsid w:val="00F07B9D"/>
    <w:rsid w:val="00F11586"/>
    <w:rsid w:val="00F1183B"/>
    <w:rsid w:val="00F11C9F"/>
    <w:rsid w:val="00F12263"/>
    <w:rsid w:val="00F1409D"/>
    <w:rsid w:val="00F14214"/>
    <w:rsid w:val="00F157A9"/>
    <w:rsid w:val="00F16F00"/>
    <w:rsid w:val="00F25420"/>
    <w:rsid w:val="00F25BB6"/>
    <w:rsid w:val="00F26B7E"/>
    <w:rsid w:val="00F27A3B"/>
    <w:rsid w:val="00F305B5"/>
    <w:rsid w:val="00F30B1A"/>
    <w:rsid w:val="00F322B0"/>
    <w:rsid w:val="00F32780"/>
    <w:rsid w:val="00F33817"/>
    <w:rsid w:val="00F34F2B"/>
    <w:rsid w:val="00F3574A"/>
    <w:rsid w:val="00F420D5"/>
    <w:rsid w:val="00F451EA"/>
    <w:rsid w:val="00F45447"/>
    <w:rsid w:val="00F456C6"/>
    <w:rsid w:val="00F45737"/>
    <w:rsid w:val="00F4577B"/>
    <w:rsid w:val="00F46496"/>
    <w:rsid w:val="00F474D0"/>
    <w:rsid w:val="00F50179"/>
    <w:rsid w:val="00F515EE"/>
    <w:rsid w:val="00F56511"/>
    <w:rsid w:val="00F606BA"/>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1DB"/>
    <w:rsid w:val="00F963ED"/>
    <w:rsid w:val="00F966CF"/>
    <w:rsid w:val="00F96CAE"/>
    <w:rsid w:val="00F97C99"/>
    <w:rsid w:val="00FA312B"/>
    <w:rsid w:val="00FA662D"/>
    <w:rsid w:val="00FA73B1"/>
    <w:rsid w:val="00FB0CB9"/>
    <w:rsid w:val="00FB231D"/>
    <w:rsid w:val="00FB45F1"/>
    <w:rsid w:val="00FB4A72"/>
    <w:rsid w:val="00FB54E8"/>
    <w:rsid w:val="00FB7054"/>
    <w:rsid w:val="00FC0B52"/>
    <w:rsid w:val="00FC17B7"/>
    <w:rsid w:val="00FC2CB7"/>
    <w:rsid w:val="00FC3D65"/>
    <w:rsid w:val="00FC4090"/>
    <w:rsid w:val="00FC55B4"/>
    <w:rsid w:val="00FD00E6"/>
    <w:rsid w:val="00FD09A1"/>
    <w:rsid w:val="00FD1129"/>
    <w:rsid w:val="00FD2A7C"/>
    <w:rsid w:val="00FD59EB"/>
    <w:rsid w:val="00FD7299"/>
    <w:rsid w:val="00FD76A2"/>
    <w:rsid w:val="00FE1FBE"/>
    <w:rsid w:val="00FE3901"/>
    <w:rsid w:val="00FE39D3"/>
    <w:rsid w:val="00FE4BCE"/>
    <w:rsid w:val="00FE54AE"/>
    <w:rsid w:val="00FE576A"/>
    <w:rsid w:val="00FE7E79"/>
    <w:rsid w:val="00FF3E7D"/>
    <w:rsid w:val="00FF53A0"/>
    <w:rsid w:val="00FF5B99"/>
    <w:rsid w:val="00FF5F1C"/>
    <w:rsid w:val="00FF730C"/>
    <w:rsid w:val="00FF73F4"/>
    <w:rsid w:val="00FF7CE4"/>
    <w:rsid w:val="00FF7E39"/>
    <w:rsid w:val="201861DF"/>
    <w:rsid w:val="54E5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5"/>
    <w:semiHidden/>
    <w:unhideWhenUsed/>
    <w:uiPriority w:val="99"/>
    <w:pPr>
      <w:jc w:val="left"/>
    </w:pPr>
  </w:style>
  <w:style w:type="paragraph" w:styleId="14">
    <w:name w:val="Body Text"/>
    <w:basedOn w:val="1"/>
    <w:link w:val="89"/>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8"/>
    <w:semiHidden/>
    <w:unhideWhenUsed/>
    <w:uiPriority w:val="99"/>
    <w:rPr>
      <w:sz w:val="18"/>
      <w:szCs w:val="18"/>
    </w:rPr>
  </w:style>
  <w:style w:type="paragraph" w:styleId="18">
    <w:name w:val="footer"/>
    <w:basedOn w:val="1"/>
    <w:link w:val="47"/>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2"/>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uiPriority w:val="99"/>
    <w:rPr>
      <w:b/>
      <w:bCs/>
    </w:rPr>
  </w:style>
  <w:style w:type="table" w:styleId="29">
    <w:name w:val="Table Grid"/>
    <w:basedOn w:val="2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uiPriority w:val="0"/>
    <w:rPr>
      <w:rFonts w:ascii="宋体" w:hAnsi="宋体" w:eastAsia="宋体" w:cs="Times New Roman"/>
      <w:spacing w:val="0"/>
      <w:sz w:val="18"/>
      <w:vertAlign w:val="superscript"/>
    </w:rPr>
  </w:style>
  <w:style w:type="character" w:customStyle="1" w:styleId="37">
    <w:name w:val="标题 1 字符"/>
    <w:link w:val="2"/>
    <w:uiPriority w:val="0"/>
    <w:rPr>
      <w:b/>
      <w:bCs/>
      <w:kern w:val="44"/>
      <w:sz w:val="44"/>
      <w:szCs w:val="44"/>
    </w:rPr>
  </w:style>
  <w:style w:type="character" w:customStyle="1" w:styleId="38">
    <w:name w:val="标题 2 字符"/>
    <w:link w:val="3"/>
    <w:uiPriority w:val="0"/>
    <w:rPr>
      <w:rFonts w:ascii="Arial" w:hAnsi="Arial" w:eastAsia="黑体"/>
      <w:b/>
      <w:bCs/>
      <w:kern w:val="2"/>
      <w:sz w:val="32"/>
      <w:szCs w:val="32"/>
    </w:rPr>
  </w:style>
  <w:style w:type="character" w:customStyle="1" w:styleId="39">
    <w:name w:val="标题 3 字符"/>
    <w:link w:val="4"/>
    <w:uiPriority w:val="0"/>
    <w:rPr>
      <w:b/>
      <w:bCs/>
      <w:kern w:val="2"/>
      <w:sz w:val="32"/>
      <w:szCs w:val="32"/>
    </w:rPr>
  </w:style>
  <w:style w:type="character" w:customStyle="1" w:styleId="40">
    <w:name w:val="标题 4 字符"/>
    <w:link w:val="5"/>
    <w:uiPriority w:val="0"/>
    <w:rPr>
      <w:rFonts w:ascii="Arial" w:hAnsi="Arial" w:eastAsia="黑体"/>
      <w:b/>
      <w:bCs/>
      <w:kern w:val="2"/>
      <w:sz w:val="28"/>
      <w:szCs w:val="28"/>
    </w:rPr>
  </w:style>
  <w:style w:type="character" w:customStyle="1" w:styleId="41">
    <w:name w:val="标题 5 字符"/>
    <w:link w:val="6"/>
    <w:uiPriority w:val="0"/>
    <w:rPr>
      <w:b/>
      <w:bCs/>
      <w:kern w:val="2"/>
      <w:sz w:val="28"/>
      <w:szCs w:val="28"/>
    </w:rPr>
  </w:style>
  <w:style w:type="character" w:customStyle="1" w:styleId="42">
    <w:name w:val="标题 6 字符"/>
    <w:link w:val="7"/>
    <w:uiPriority w:val="0"/>
    <w:rPr>
      <w:rFonts w:ascii="Arial" w:hAnsi="Arial" w:eastAsia="黑体"/>
      <w:b/>
      <w:bCs/>
      <w:kern w:val="2"/>
      <w:sz w:val="24"/>
      <w:szCs w:val="24"/>
    </w:rPr>
  </w:style>
  <w:style w:type="character" w:customStyle="1" w:styleId="43">
    <w:name w:val="标题 7 字符"/>
    <w:link w:val="8"/>
    <w:uiPriority w:val="0"/>
    <w:rPr>
      <w:b/>
      <w:bCs/>
      <w:kern w:val="2"/>
      <w:sz w:val="24"/>
      <w:szCs w:val="24"/>
    </w:rPr>
  </w:style>
  <w:style w:type="character" w:customStyle="1" w:styleId="44">
    <w:name w:val="标题 8 字符"/>
    <w:link w:val="9"/>
    <w:uiPriority w:val="0"/>
    <w:rPr>
      <w:rFonts w:ascii="Arial" w:hAnsi="Arial" w:eastAsia="黑体"/>
      <w:kern w:val="2"/>
      <w:sz w:val="24"/>
      <w:szCs w:val="24"/>
    </w:rPr>
  </w:style>
  <w:style w:type="character" w:customStyle="1" w:styleId="45">
    <w:name w:val="标题 9 字符"/>
    <w:link w:val="10"/>
    <w:uiPriority w:val="0"/>
    <w:rPr>
      <w:rFonts w:ascii="Arial" w:hAnsi="Arial" w:eastAsia="黑体"/>
      <w:kern w:val="2"/>
      <w:sz w:val="21"/>
      <w:szCs w:val="21"/>
    </w:rPr>
  </w:style>
  <w:style w:type="character" w:customStyle="1" w:styleId="46">
    <w:name w:val="页眉 字符"/>
    <w:link w:val="19"/>
    <w:uiPriority w:val="99"/>
    <w:rPr>
      <w:kern w:val="2"/>
      <w:sz w:val="18"/>
      <w:szCs w:val="18"/>
    </w:rPr>
  </w:style>
  <w:style w:type="character" w:customStyle="1" w:styleId="47">
    <w:name w:val="页脚 字符"/>
    <w:link w:val="18"/>
    <w:uiPriority w:val="99"/>
    <w:rPr>
      <w:rFonts w:ascii="宋体"/>
      <w:kern w:val="2"/>
      <w:sz w:val="18"/>
      <w:szCs w:val="18"/>
    </w:rPr>
  </w:style>
  <w:style w:type="character" w:customStyle="1" w:styleId="48">
    <w:name w:val="批注框文本 字符"/>
    <w:link w:val="17"/>
    <w:semiHidden/>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uiPriority w:val="29"/>
    <w:rPr>
      <w:i/>
      <w:iCs/>
      <w:color w:val="000000"/>
      <w:kern w:val="2"/>
      <w:sz w:val="21"/>
      <w:szCs w:val="21"/>
    </w:rPr>
  </w:style>
  <w:style w:type="character" w:customStyle="1" w:styleId="51">
    <w:name w:val="标题 字符"/>
    <w:link w:val="26"/>
    <w:uiPriority w:val="0"/>
    <w:rPr>
      <w:rFonts w:ascii="Arial" w:hAnsi="Arial" w:cs="Arial"/>
      <w:b/>
      <w:bCs/>
      <w:kern w:val="2"/>
      <w:sz w:val="32"/>
      <w:szCs w:val="32"/>
    </w:rPr>
  </w:style>
  <w:style w:type="paragraph" w:customStyle="1" w:styleId="52">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uiPriority w:val="0"/>
    <w:pPr>
      <w:ind w:left="198"/>
    </w:pPr>
    <w:rPr>
      <w:rFonts w:ascii="宋体" w:hAnsi="Times New Roman" w:eastAsia="宋体" w:cs="Times New Roman"/>
      <w:sz w:val="18"/>
      <w:lang w:val="en-US" w:eastAsia="zh-CN" w:bidi="ar-SA"/>
    </w:rPr>
  </w:style>
  <w:style w:type="paragraph" w:customStyle="1" w:styleId="55">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6">
    <w:name w:val="标准书眉一"/>
    <w:uiPriority w:val="0"/>
    <w:pPr>
      <w:jc w:val="both"/>
    </w:pPr>
    <w:rPr>
      <w:rFonts w:ascii="Times New Roman" w:hAnsi="Times New Roman" w:eastAsia="宋体" w:cs="Times New Roman"/>
      <w:lang w:val="en-US" w:eastAsia="zh-CN" w:bidi="ar-SA"/>
    </w:rPr>
  </w:style>
  <w:style w:type="paragraph" w:customStyle="1" w:styleId="57">
    <w:name w:val="标准文件_ICS"/>
    <w:basedOn w:val="1"/>
    <w:uiPriority w:val="0"/>
    <w:pPr>
      <w:spacing w:line="0" w:lineRule="atLeast"/>
    </w:pPr>
    <w:rPr>
      <w:rFonts w:ascii="黑体" w:hAnsi="宋体" w:eastAsia="黑体"/>
    </w:rPr>
  </w:style>
  <w:style w:type="paragraph" w:customStyle="1" w:styleId="58">
    <w:name w:val="标准文件_标准正文"/>
    <w:basedOn w:val="1"/>
    <w:next w:val="59"/>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uiPriority w:val="0"/>
    <w:pPr>
      <w:adjustRightInd/>
      <w:snapToGrid/>
      <w:ind w:firstLine="0" w:firstLineChars="0"/>
    </w:pPr>
    <w:rPr>
      <w:rFonts w:ascii="宋体" w:hAnsi="宋体"/>
      <w:kern w:val="2"/>
    </w:rPr>
  </w:style>
  <w:style w:type="paragraph" w:customStyle="1" w:styleId="61">
    <w:name w:val="标准文件_标准部门"/>
    <w:basedOn w:val="1"/>
    <w:uiPriority w:val="0"/>
    <w:pPr>
      <w:jc w:val="center"/>
    </w:pPr>
    <w:rPr>
      <w:rFonts w:ascii="黑体" w:eastAsia="黑体"/>
      <w:kern w:val="0"/>
      <w:sz w:val="44"/>
    </w:rPr>
  </w:style>
  <w:style w:type="paragraph" w:customStyle="1" w:styleId="62">
    <w:name w:val="标准文件_标准代替"/>
    <w:basedOn w:val="1"/>
    <w:next w:val="1"/>
    <w:uiPriority w:val="0"/>
    <w:pPr>
      <w:spacing w:line="310" w:lineRule="exact"/>
      <w:jc w:val="right"/>
    </w:pPr>
    <w:rPr>
      <w:rFonts w:ascii="宋体" w:hAnsi="宋体"/>
      <w:kern w:val="0"/>
    </w:rPr>
  </w:style>
  <w:style w:type="paragraph" w:customStyle="1" w:styleId="63">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uiPriority w:val="0"/>
    <w:rPr>
      <w:rFonts w:ascii="黑体" w:eastAsia="黑体"/>
      <w:spacing w:val="0"/>
      <w:w w:val="100"/>
      <w:position w:val="3"/>
      <w:sz w:val="28"/>
    </w:rPr>
  </w:style>
  <w:style w:type="paragraph" w:customStyle="1" w:styleId="70">
    <w:name w:val="标准文件_方框数字列项"/>
    <w:basedOn w:val="59"/>
    <w:uiPriority w:val="0"/>
    <w:pPr>
      <w:numPr>
        <w:ilvl w:val="0"/>
        <w:numId w:val="3"/>
      </w:numPr>
      <w:ind w:firstLine="0" w:firstLineChars="0"/>
    </w:pPr>
  </w:style>
  <w:style w:type="paragraph" w:customStyle="1" w:styleId="71">
    <w:name w:val="标准文件_封面标准编号"/>
    <w:basedOn w:val="1"/>
    <w:next w:val="62"/>
    <w:uiPriority w:val="0"/>
    <w:pPr>
      <w:spacing w:line="310" w:lineRule="exact"/>
      <w:jc w:val="right"/>
    </w:pPr>
    <w:rPr>
      <w:rFonts w:ascii="黑体" w:eastAsia="黑体"/>
      <w:kern w:val="0"/>
      <w:sz w:val="28"/>
    </w:rPr>
  </w:style>
  <w:style w:type="paragraph" w:customStyle="1" w:styleId="72">
    <w:name w:val="标准文件_封面标准分类号"/>
    <w:basedOn w:val="1"/>
    <w:uiPriority w:val="0"/>
    <w:rPr>
      <w:rFonts w:ascii="黑体" w:eastAsia="黑体"/>
      <w:b/>
      <w:kern w:val="0"/>
      <w:sz w:val="28"/>
    </w:rPr>
  </w:style>
  <w:style w:type="paragraph" w:customStyle="1" w:styleId="73">
    <w:name w:val="标准文件_封面标准名称"/>
    <w:basedOn w:val="1"/>
    <w:uiPriority w:val="0"/>
    <w:pPr>
      <w:spacing w:line="240" w:lineRule="auto"/>
      <w:jc w:val="center"/>
    </w:pPr>
    <w:rPr>
      <w:rFonts w:ascii="黑体" w:eastAsia="黑体"/>
      <w:kern w:val="0"/>
      <w:sz w:val="52"/>
    </w:rPr>
  </w:style>
  <w:style w:type="paragraph" w:customStyle="1" w:styleId="74">
    <w:name w:val="标准文件_封面标准英文名称"/>
    <w:basedOn w:val="1"/>
    <w:uiPriority w:val="0"/>
    <w:pPr>
      <w:spacing w:line="240" w:lineRule="auto"/>
      <w:jc w:val="center"/>
    </w:pPr>
    <w:rPr>
      <w:rFonts w:ascii="黑体" w:eastAsia="黑体"/>
      <w:b/>
      <w:sz w:val="28"/>
    </w:rPr>
  </w:style>
  <w:style w:type="paragraph" w:customStyle="1" w:styleId="75">
    <w:name w:val="标准文件_封面发布日期"/>
    <w:basedOn w:val="1"/>
    <w:uiPriority w:val="0"/>
    <w:pPr>
      <w:spacing w:line="310" w:lineRule="exact"/>
    </w:pPr>
    <w:rPr>
      <w:rFonts w:ascii="黑体" w:eastAsia="黑体"/>
      <w:kern w:val="0"/>
      <w:sz w:val="28"/>
    </w:rPr>
  </w:style>
  <w:style w:type="paragraph" w:customStyle="1" w:styleId="76">
    <w:name w:val="标准文件_封面密级"/>
    <w:basedOn w:val="1"/>
    <w:uiPriority w:val="0"/>
    <w:rPr>
      <w:rFonts w:eastAsia="黑体"/>
      <w:sz w:val="32"/>
    </w:rPr>
  </w:style>
  <w:style w:type="paragraph" w:customStyle="1" w:styleId="77">
    <w:name w:val="标准文件_封面实施日期"/>
    <w:basedOn w:val="1"/>
    <w:uiPriority w:val="0"/>
    <w:pPr>
      <w:spacing w:line="310" w:lineRule="exact"/>
      <w:jc w:val="right"/>
    </w:pPr>
    <w:rPr>
      <w:rFonts w:ascii="黑体" w:eastAsia="黑体"/>
      <w:sz w:val="28"/>
    </w:rPr>
  </w:style>
  <w:style w:type="paragraph" w:customStyle="1" w:styleId="78">
    <w:name w:val="标准文件_封面抬头"/>
    <w:basedOn w:val="59"/>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uiPriority w:val="0"/>
    <w:rPr>
      <w:kern w:val="2"/>
      <w:sz w:val="21"/>
      <w:szCs w:val="21"/>
    </w:rPr>
  </w:style>
  <w:style w:type="paragraph" w:customStyle="1" w:styleId="90">
    <w:name w:val="标准文件_附录章标题"/>
    <w:next w:val="59"/>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uiPriority w:val="0"/>
    <w:pPr>
      <w:ind w:left="488" w:leftChars="200" w:hanging="289" w:hangingChars="290"/>
    </w:pPr>
  </w:style>
  <w:style w:type="paragraph" w:customStyle="1" w:styleId="92">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uiPriority w:val="0"/>
    <w:pPr>
      <w:spacing w:line="460" w:lineRule="exact"/>
      <w:ind w:left="0" w:firstLine="0"/>
    </w:pPr>
  </w:style>
  <w:style w:type="paragraph" w:customStyle="1" w:styleId="94">
    <w:name w:val="标准文件_目录标题"/>
    <w:basedOn w:val="1"/>
    <w:uiPriority w:val="0"/>
    <w:pPr>
      <w:spacing w:before="480" w:afterLines="150" w:line="240" w:lineRule="auto"/>
      <w:jc w:val="center"/>
    </w:pPr>
    <w:rPr>
      <w:rFonts w:ascii="黑体" w:eastAsia="黑体"/>
      <w:sz w:val="32"/>
    </w:rPr>
  </w:style>
  <w:style w:type="paragraph" w:customStyle="1" w:styleId="95">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uiPriority w:val="0"/>
    <w:pPr>
      <w:numPr>
        <w:numId w:val="10"/>
      </w:numPr>
    </w:pPr>
  </w:style>
  <w:style w:type="paragraph" w:customStyle="1" w:styleId="97">
    <w:name w:val="标准文件_三级条标题"/>
    <w:basedOn w:val="68"/>
    <w:next w:val="59"/>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uiPriority w:val="0"/>
    <w:pPr>
      <w:adjustRightInd/>
      <w:spacing w:line="240" w:lineRule="auto"/>
      <w:ind w:firstLine="200" w:firstLineChars="200"/>
    </w:pPr>
    <w:rPr>
      <w:sz w:val="18"/>
      <w:szCs w:val="24"/>
    </w:rPr>
  </w:style>
  <w:style w:type="paragraph" w:customStyle="1" w:styleId="100">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uiPriority w:val="0"/>
    <w:rPr>
      <w:rFonts w:ascii="宋体"/>
      <w:kern w:val="2"/>
      <w:sz w:val="18"/>
      <w:szCs w:val="18"/>
    </w:rPr>
  </w:style>
  <w:style w:type="paragraph" w:customStyle="1" w:styleId="103">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uiPriority w:val="0"/>
    <w:pPr>
      <w:numPr>
        <w:ilvl w:val="0"/>
        <w:numId w:val="12"/>
      </w:numPr>
      <w:spacing w:line="240" w:lineRule="auto"/>
      <w:jc w:val="left"/>
    </w:pPr>
    <w:rPr>
      <w:rFonts w:ascii="宋体" w:hAnsi="宋体"/>
      <w:sz w:val="18"/>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uiPriority w:val="0"/>
    <w:pPr>
      <w:spacing w:line="440" w:lineRule="exact"/>
      <w:jc w:val="center"/>
    </w:pPr>
    <w:rPr>
      <w:sz w:val="28"/>
    </w:rPr>
  </w:style>
  <w:style w:type="paragraph" w:customStyle="1" w:styleId="110">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uiPriority w:val="0"/>
    <w:pPr>
      <w:adjustRightInd/>
      <w:spacing w:line="240" w:lineRule="auto"/>
      <w:jc w:val="left"/>
    </w:pPr>
    <w:rPr>
      <w:bCs/>
      <w:iCs/>
    </w:rPr>
  </w:style>
  <w:style w:type="paragraph" w:customStyle="1" w:styleId="146">
    <w:name w:val="目录 31"/>
    <w:basedOn w:val="1"/>
    <w:next w:val="1"/>
    <w:semiHidden/>
    <w:uiPriority w:val="0"/>
    <w:pPr>
      <w:spacing w:line="240" w:lineRule="auto"/>
    </w:pPr>
    <w:rPr>
      <w:rFonts w:ascii="宋体" w:hAnsi="宋体"/>
      <w:iCs/>
    </w:rPr>
  </w:style>
  <w:style w:type="paragraph" w:customStyle="1" w:styleId="147">
    <w:name w:val="目录 41"/>
    <w:basedOn w:val="1"/>
    <w:next w:val="1"/>
    <w:semiHidden/>
    <w:uiPriority w:val="0"/>
    <w:pPr>
      <w:adjustRightInd/>
      <w:spacing w:line="240" w:lineRule="auto"/>
      <w:jc w:val="left"/>
    </w:pPr>
  </w:style>
  <w:style w:type="paragraph" w:customStyle="1" w:styleId="148">
    <w:name w:val="目录 51"/>
    <w:basedOn w:val="1"/>
    <w:next w:val="1"/>
    <w:semiHidden/>
    <w:uiPriority w:val="0"/>
    <w:pPr>
      <w:spacing w:line="240" w:lineRule="auto"/>
    </w:pPr>
    <w:rPr>
      <w:rFonts w:ascii="宋体" w:hAnsi="宋体"/>
    </w:rPr>
  </w:style>
  <w:style w:type="paragraph" w:customStyle="1" w:styleId="149">
    <w:name w:val="目录 61"/>
    <w:basedOn w:val="1"/>
    <w:next w:val="1"/>
    <w:semiHidden/>
    <w:uiPriority w:val="0"/>
    <w:pPr>
      <w:adjustRightInd/>
      <w:spacing w:line="240" w:lineRule="auto"/>
      <w:jc w:val="left"/>
    </w:pPr>
  </w:style>
  <w:style w:type="paragraph" w:customStyle="1" w:styleId="150">
    <w:name w:val="目录 71"/>
    <w:basedOn w:val="149"/>
    <w:semiHidden/>
    <w:uiPriority w:val="0"/>
    <w:pPr>
      <w:ind w:left="1260"/>
    </w:pPr>
  </w:style>
  <w:style w:type="paragraph" w:customStyle="1" w:styleId="151">
    <w:name w:val="目录 81"/>
    <w:basedOn w:val="150"/>
    <w:semiHidden/>
    <w:uiPriority w:val="0"/>
    <w:pPr>
      <w:ind w:left="1470"/>
    </w:pPr>
  </w:style>
  <w:style w:type="paragraph" w:customStyle="1" w:styleId="152">
    <w:name w:val="目录 91"/>
    <w:basedOn w:val="151"/>
    <w:semiHidden/>
    <w:uiPriority w:val="0"/>
    <w:pPr>
      <w:ind w:left="1680"/>
    </w:pPr>
  </w:style>
  <w:style w:type="paragraph" w:customStyle="1" w:styleId="153">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uiPriority w:val="0"/>
    <w:pPr>
      <w:framePr w:wrap="around"/>
      <w:spacing w:line="0" w:lineRule="atLeast"/>
    </w:pPr>
    <w:rPr>
      <w:rFonts w:ascii="黑体" w:eastAsia="黑体"/>
      <w:b w:val="0"/>
    </w:rPr>
  </w:style>
  <w:style w:type="paragraph" w:customStyle="1" w:styleId="155">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uiPriority w:val="0"/>
    <w:pPr>
      <w:numPr>
        <w:ilvl w:val="4"/>
        <w:numId w:val="20"/>
      </w:numPr>
      <w:adjustRightInd/>
      <w:spacing w:line="240" w:lineRule="auto"/>
    </w:pPr>
    <w:rPr>
      <w:rFonts w:ascii="宋体" w:hAnsi="宋体"/>
      <w:szCs w:val="24"/>
    </w:rPr>
  </w:style>
  <w:style w:type="paragraph" w:customStyle="1" w:styleId="157">
    <w:name w:val="实施日期"/>
    <w:basedOn w:val="123"/>
    <w:uiPriority w:val="0"/>
    <w:pPr>
      <w:framePr w:hSpace="0" w:wrap="around" w:xAlign="right"/>
      <w:jc w:val="right"/>
    </w:pPr>
  </w:style>
  <w:style w:type="paragraph" w:customStyle="1" w:styleId="158">
    <w:name w:val="四级无标题条"/>
    <w:basedOn w:val="1"/>
    <w:uiPriority w:val="0"/>
    <w:pPr>
      <w:numPr>
        <w:ilvl w:val="5"/>
        <w:numId w:val="20"/>
      </w:numPr>
      <w:adjustRightInd/>
      <w:spacing w:line="240" w:lineRule="auto"/>
    </w:pPr>
    <w:rPr>
      <w:rFonts w:ascii="宋体" w:hAnsi="宋体"/>
      <w:szCs w:val="24"/>
    </w:rPr>
  </w:style>
  <w:style w:type="paragraph" w:customStyle="1" w:styleId="159">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uiPriority w:val="0"/>
    <w:pPr>
      <w:jc w:val="both"/>
    </w:pPr>
    <w:rPr>
      <w:rFonts w:ascii="宋体" w:hAnsi="宋体" w:eastAsia="宋体" w:cs="Times New Roman"/>
      <w:sz w:val="21"/>
      <w:lang w:val="en-US" w:eastAsia="zh-CN" w:bidi="ar-SA"/>
    </w:rPr>
  </w:style>
  <w:style w:type="paragraph" w:customStyle="1" w:styleId="161">
    <w:name w:val="五级无标题条"/>
    <w:basedOn w:val="1"/>
    <w:uiPriority w:val="0"/>
    <w:pPr>
      <w:numPr>
        <w:ilvl w:val="6"/>
        <w:numId w:val="20"/>
      </w:numPr>
      <w:adjustRightInd/>
    </w:pPr>
    <w:rPr>
      <w:szCs w:val="24"/>
    </w:rPr>
  </w:style>
  <w:style w:type="paragraph" w:customStyle="1" w:styleId="162">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3">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uiPriority w:val="0"/>
    <w:rPr>
      <w:rFonts w:ascii="宋体" w:hAnsi="Times New Roman" w:eastAsia="宋体" w:cs="Times New Roman"/>
      <w:sz w:val="21"/>
      <w:lang w:val="en-US" w:eastAsia="zh-CN" w:bidi="ar-SA"/>
    </w:rPr>
  </w:style>
  <w:style w:type="paragraph" w:customStyle="1" w:styleId="175">
    <w:name w:val="标准文件_三级项"/>
    <w:basedOn w:val="1"/>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table" w:customStyle="1" w:styleId="233">
    <w:name w:val="浅色底纹1"/>
    <w:basedOn w:val="28"/>
    <w:uiPriority w:val="60"/>
    <w:rPr>
      <w:rFonts w:asciiTheme="minorHAnsi" w:hAnsiTheme="minorHAnsi" w:eastAsiaTheme="minorEastAsia" w:cstheme="minorBidi"/>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styleId="234">
    <w:name w:val="List Paragraph"/>
    <w:basedOn w:val="1"/>
    <w:qFormat/>
    <w:uiPriority w:val="34"/>
    <w:pPr>
      <w:ind w:firstLine="420" w:firstLineChars="200"/>
    </w:pPr>
  </w:style>
  <w:style w:type="character" w:customStyle="1" w:styleId="235">
    <w:name w:val="批注文字 字符"/>
    <w:basedOn w:val="30"/>
    <w:link w:val="13"/>
    <w:semiHidden/>
    <w:uiPriority w:val="99"/>
    <w:rPr>
      <w:kern w:val="2"/>
      <w:sz w:val="21"/>
      <w:szCs w:val="21"/>
    </w:rPr>
  </w:style>
  <w:style w:type="character" w:customStyle="1" w:styleId="236">
    <w:name w:val="批注主题 字符"/>
    <w:basedOn w:val="235"/>
    <w:link w:val="27"/>
    <w:semiHidden/>
    <w:uiPriority w:val="99"/>
    <w:rPr>
      <w:b/>
      <w:bCs/>
      <w:kern w:val="2"/>
      <w:sz w:val="21"/>
      <w:szCs w:val="21"/>
    </w:rPr>
  </w:style>
  <w:style w:type="paragraph" w:customStyle="1" w:styleId="237">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8502A3B48CF4CB381207185AE4B24B4"/>
        <w:style w:val=""/>
        <w:category>
          <w:name w:val="常规"/>
          <w:gallery w:val="placeholder"/>
        </w:category>
        <w:types>
          <w:type w:val="bbPlcHdr"/>
        </w:types>
        <w:behaviors>
          <w:behavior w:val="content"/>
        </w:behaviors>
        <w:description w:val=""/>
        <w:guid w:val="{2196CA07-32FF-47EC-AF94-4BDD56ACA6BC}"/>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5F9A"/>
    <w:rsid w:val="00105970"/>
    <w:rsid w:val="00221ECB"/>
    <w:rsid w:val="0026324D"/>
    <w:rsid w:val="00343C92"/>
    <w:rsid w:val="003B49F9"/>
    <w:rsid w:val="00513185"/>
    <w:rsid w:val="00637FFD"/>
    <w:rsid w:val="007C0FB5"/>
    <w:rsid w:val="007D21E5"/>
    <w:rsid w:val="009414D6"/>
    <w:rsid w:val="00A001BB"/>
    <w:rsid w:val="00A519F2"/>
    <w:rsid w:val="00A57735"/>
    <w:rsid w:val="00A84978"/>
    <w:rsid w:val="00AB4EDA"/>
    <w:rsid w:val="00B0738C"/>
    <w:rsid w:val="00B3738E"/>
    <w:rsid w:val="00B408B0"/>
    <w:rsid w:val="00BD11C2"/>
    <w:rsid w:val="00C33C41"/>
    <w:rsid w:val="00D95F4E"/>
    <w:rsid w:val="00E00100"/>
    <w:rsid w:val="00E05F9A"/>
    <w:rsid w:val="00E16A72"/>
    <w:rsid w:val="00E93E65"/>
    <w:rsid w:val="00FC683C"/>
    <w:rsid w:val="00FD42FB"/>
    <w:rsid w:val="00FE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8502A3B48CF4CB381207185AE4B24B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69B70-1C1A-4EAA-8885-32F8C0EBD83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2092</Words>
  <Characters>2718</Characters>
  <Lines>23</Lines>
  <Paragraphs>6</Paragraphs>
  <TotalTime>479</TotalTime>
  <ScaleCrop>false</ScaleCrop>
  <LinksUpToDate>false</LinksUpToDate>
  <CharactersWithSpaces>2841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2022-07-13T02:11:00Z</dcterms:created>
  <dc:creator>Administrator</dc:creator>
  <dc:description>&lt;config cover="true" show_menu="true" version="1.0.0" doctype="SDKXY"&gt;_x000d_
&lt;/config&gt;</dc:description>
  <cp:lastModifiedBy>Administrator</cp:lastModifiedBy>
  <cp:lastPrinted>2021-02-02T08:22:00Z</cp:lastPrinted>
  <dcterms:modified xsi:type="dcterms:W3CDTF">2022-07-19T09:12:14Z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2052-11.1.0.11830</vt:lpwstr>
  </property>
  <property fmtid="{D5CDD505-2E9C-101B-9397-08002B2CF9AE}" pid="16" name="ICV">
    <vt:lpwstr>0141441FE4D84B4C92367A1FD6F529F9</vt:lpwstr>
  </property>
</Properties>
</file>