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宋体" w:hAnsi="宋体" w:eastAsia="宋体" w:cs="Times New Roman"/>
          <w:b/>
          <w:color w:val="000000"/>
          <w:sz w:val="44"/>
          <w:szCs w:val="36"/>
        </w:rPr>
      </w:pPr>
      <w:r>
        <w:rPr>
          <w:rFonts w:hint="eastAsia" w:ascii="宋体" w:hAnsi="宋体" w:eastAsia="宋体" w:cs="Times New Roman"/>
          <w:b/>
          <w:color w:val="000000"/>
          <w:sz w:val="44"/>
          <w:szCs w:val="36"/>
        </w:rPr>
        <w:t>团体标准《桑椹菌核病防治技术规程》</w:t>
      </w:r>
    </w:p>
    <w:p>
      <w:pPr>
        <w:spacing w:line="360" w:lineRule="auto"/>
        <w:jc w:val="center"/>
        <w:rPr>
          <w:rFonts w:ascii="宋体" w:hAnsi="宋体" w:eastAsia="宋体" w:cs="Times New Roman"/>
          <w:b/>
          <w:color w:val="000000"/>
          <w:sz w:val="44"/>
          <w:szCs w:val="36"/>
        </w:rPr>
      </w:pPr>
      <w:r>
        <w:rPr>
          <w:rFonts w:hint="eastAsia" w:ascii="宋体" w:hAnsi="宋体" w:eastAsia="宋体" w:cs="Times New Roman"/>
          <w:b/>
          <w:color w:val="000000"/>
          <w:sz w:val="44"/>
          <w:szCs w:val="36"/>
        </w:rPr>
        <w:t>编制说明</w:t>
      </w:r>
    </w:p>
    <w:p>
      <w:pPr>
        <w:spacing w:line="360" w:lineRule="auto"/>
        <w:jc w:val="center"/>
        <w:rPr>
          <w:rFonts w:ascii="宋体" w:hAnsi="宋体" w:eastAsia="宋体"/>
          <w:b/>
          <w:sz w:val="32"/>
          <w:szCs w:val="32"/>
        </w:rPr>
      </w:pPr>
      <w:r>
        <w:rPr>
          <w:rFonts w:hint="eastAsia" w:ascii="宋体" w:hAnsi="宋体" w:eastAsia="宋体" w:cs="Times New Roman"/>
          <w:b/>
          <w:color w:val="000000"/>
          <w:sz w:val="44"/>
          <w:szCs w:val="36"/>
        </w:rPr>
        <w:t>（征求意见稿）</w:t>
      </w:r>
    </w:p>
    <w:p>
      <w:pPr>
        <w:spacing w:line="360" w:lineRule="auto"/>
        <w:jc w:val="center"/>
        <w:rPr>
          <w:rFonts w:ascii="宋体" w:hAnsi="宋体" w:eastAsia="宋体"/>
          <w:b/>
          <w:sz w:val="32"/>
          <w:szCs w:val="32"/>
        </w:rPr>
      </w:pPr>
    </w:p>
    <w:p>
      <w:pPr>
        <w:pStyle w:val="23"/>
        <w:numPr>
          <w:ilvl w:val="0"/>
          <w:numId w:val="2"/>
        </w:numPr>
        <w:spacing w:line="360" w:lineRule="auto"/>
        <w:ind w:firstLineChars="0"/>
        <w:rPr>
          <w:rFonts w:asciiTheme="minorEastAsia" w:hAnsiTheme="minorEastAsia"/>
          <w:b/>
          <w:sz w:val="28"/>
          <w:szCs w:val="28"/>
        </w:rPr>
      </w:pPr>
      <w:r>
        <w:rPr>
          <w:rFonts w:hint="eastAsia" w:asciiTheme="minorEastAsia" w:hAnsiTheme="minorEastAsia"/>
          <w:b/>
          <w:sz w:val="28"/>
          <w:szCs w:val="28"/>
        </w:rPr>
        <w:t>任务来源与项目编号</w:t>
      </w:r>
    </w:p>
    <w:p>
      <w:pPr>
        <w:pStyle w:val="24"/>
        <w:ind w:firstLine="560" w:firstLineChars="200"/>
        <w:rPr>
          <w:rFonts w:asciiTheme="minorEastAsia" w:hAnsiTheme="minorEastAsia"/>
          <w:sz w:val="28"/>
          <w:szCs w:val="28"/>
        </w:rPr>
      </w:pPr>
      <w:r>
        <w:rPr>
          <w:rFonts w:hint="eastAsia" w:ascii="宋体" w:hAnsi="宋体" w:cs="宋体"/>
          <w:color w:val="FF0000"/>
          <w:sz w:val="28"/>
          <w:szCs w:val="28"/>
        </w:rPr>
        <w:t>根据</w:t>
      </w:r>
      <w:r>
        <w:rPr>
          <w:rFonts w:hint="eastAsia" w:ascii="宋体" w:hAnsi="宋体" w:eastAsia="宋体"/>
          <w:color w:val="FF0000"/>
          <w:sz w:val="28"/>
          <w:szCs w:val="28"/>
        </w:rPr>
        <w:t>广西标准化协会</w:t>
      </w:r>
      <w:r>
        <w:rPr>
          <w:rFonts w:hint="eastAsia" w:ascii="宋体" w:hAnsi="宋体" w:cs="宋体"/>
          <w:color w:val="FF0000"/>
          <w:sz w:val="28"/>
          <w:szCs w:val="28"/>
        </w:rPr>
        <w:t>文件</w:t>
      </w:r>
      <w:r>
        <w:rPr>
          <w:rFonts w:hint="eastAsia" w:ascii="宋体" w:hAnsi="宋体" w:cs="宋体"/>
          <w:sz w:val="28"/>
          <w:szCs w:val="28"/>
        </w:rPr>
        <w:t>《</w:t>
      </w:r>
      <w:r>
        <w:rPr>
          <w:rFonts w:hint="eastAsia" w:ascii="宋体" w:hAnsi="宋体" w:eastAsia="宋体"/>
          <w:sz w:val="28"/>
          <w:szCs w:val="28"/>
        </w:rPr>
        <w:t>关于下达2022年第四批团体标准制修订项目计划的通知</w:t>
      </w:r>
      <w:r>
        <w:rPr>
          <w:rFonts w:hint="eastAsia" w:ascii="宋体" w:hAnsi="宋体" w:cs="宋体"/>
          <w:sz w:val="28"/>
          <w:szCs w:val="28"/>
        </w:rPr>
        <w:t>》（</w:t>
      </w:r>
      <w:r>
        <w:rPr>
          <w:rFonts w:hint="eastAsia" w:ascii="宋体" w:hAnsi="宋体" w:eastAsia="宋体"/>
          <w:sz w:val="28"/>
          <w:szCs w:val="28"/>
        </w:rPr>
        <w:t>桂标协[2022]18号</w:t>
      </w:r>
      <w:r>
        <w:rPr>
          <w:rFonts w:hint="eastAsia" w:ascii="宋体" w:hAnsi="宋体" w:cs="宋体"/>
          <w:sz w:val="28"/>
          <w:szCs w:val="28"/>
        </w:rPr>
        <w:t>），《桑椹菌核病防治技术规程》广西团体标准获得立项，</w:t>
      </w:r>
      <w:r>
        <w:rPr>
          <w:rFonts w:hint="eastAsia" w:ascii="宋体" w:hAnsi="宋体" w:eastAsia="宋体"/>
          <w:sz w:val="28"/>
          <w:szCs w:val="28"/>
        </w:rPr>
        <w:t>立项编号2022-0402，</w:t>
      </w:r>
      <w:r>
        <w:rPr>
          <w:rFonts w:hint="eastAsia" w:ascii="宋体" w:hAnsi="宋体" w:cs="宋体"/>
          <w:sz w:val="28"/>
          <w:szCs w:val="28"/>
        </w:rPr>
        <w:t>由</w:t>
      </w:r>
      <w:r>
        <w:rPr>
          <w:rFonts w:hint="eastAsia" w:ascii="宋体" w:hAnsi="宋体" w:eastAsia="宋体"/>
          <w:sz w:val="28"/>
          <w:szCs w:val="28"/>
        </w:rPr>
        <w:t>广西壮族自治区蚕业技术推广站</w:t>
      </w:r>
      <w:r>
        <w:rPr>
          <w:rFonts w:hint="eastAsia" w:ascii="宋体" w:hAnsi="宋体" w:cs="宋体"/>
          <w:sz w:val="28"/>
          <w:szCs w:val="28"/>
        </w:rPr>
        <w:t>提出并归口，</w:t>
      </w:r>
      <w:r>
        <w:rPr>
          <w:rFonts w:hint="eastAsia" w:ascii="宋体" w:hAnsi="宋体" w:eastAsia="宋体"/>
          <w:sz w:val="28"/>
          <w:szCs w:val="28"/>
        </w:rPr>
        <w:t>由</w:t>
      </w:r>
      <w:r>
        <w:rPr>
          <w:rFonts w:hint="eastAsia" w:ascii="宋体" w:hAnsi="宋体" w:eastAsia="宋体" w:cs="宋体"/>
          <w:sz w:val="28"/>
          <w:szCs w:val="28"/>
        </w:rPr>
        <w:t>广西壮族自治区蚕业技术推广站、河池市蚕业技术指导站、百色市蚕业技术指导站和来宾市农业科学院等4个单位共同起草。</w:t>
      </w:r>
    </w:p>
    <w:p>
      <w:pPr>
        <w:pStyle w:val="23"/>
        <w:numPr>
          <w:ilvl w:val="0"/>
          <w:numId w:val="2"/>
        </w:numPr>
        <w:spacing w:line="360" w:lineRule="auto"/>
        <w:ind w:firstLineChars="0"/>
        <w:rPr>
          <w:rFonts w:asciiTheme="minorEastAsia" w:hAnsiTheme="minorEastAsia"/>
          <w:b/>
          <w:sz w:val="28"/>
          <w:szCs w:val="28"/>
        </w:rPr>
      </w:pPr>
      <w:r>
        <w:rPr>
          <w:rFonts w:hint="eastAsia" w:asciiTheme="minorEastAsia" w:hAnsiTheme="minorEastAsia"/>
          <w:b/>
          <w:sz w:val="28"/>
          <w:szCs w:val="28"/>
        </w:rPr>
        <w:t>制定本标准的目的和意义</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中国种桑养蚕历史悠久，蚕桑产业在国家经济社会发展中具有重要地位，是农业产业的重要组成部分，在出口创汇、脱贫攻坚、乡村振兴等领域发挥着重要作用。随着科学技术的不断进步，传统蚕桑产业结构及生产方式将逐渐与时代发展步伐和社会市场需求相脱节，因此蚕桑产业必须转型升级，通过生产技术水平的改革创新、产业多元化发展等途径来保障产业的持续健康发展。</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目前，</w:t>
      </w:r>
      <w:r>
        <w:rPr>
          <w:rFonts w:asciiTheme="minorEastAsia" w:hAnsiTheme="minorEastAsia"/>
          <w:sz w:val="28"/>
          <w:szCs w:val="28"/>
        </w:rPr>
        <w:t>蚕桑产业</w:t>
      </w:r>
      <w:r>
        <w:rPr>
          <w:rFonts w:hint="eastAsia" w:asciiTheme="minorEastAsia" w:hAnsiTheme="minorEastAsia"/>
          <w:sz w:val="28"/>
          <w:szCs w:val="28"/>
        </w:rPr>
        <w:t>正</w:t>
      </w:r>
      <w:r>
        <w:rPr>
          <w:rFonts w:asciiTheme="minorEastAsia" w:hAnsiTheme="minorEastAsia"/>
          <w:sz w:val="28"/>
          <w:szCs w:val="28"/>
        </w:rPr>
        <w:t>处于转型升级的重要阶段。自中国工程院向仲怀院士提出</w:t>
      </w:r>
      <w:r>
        <w:rPr>
          <w:rFonts w:hint="eastAsia" w:asciiTheme="minorEastAsia" w:hAnsiTheme="minorEastAsia"/>
          <w:sz w:val="28"/>
          <w:szCs w:val="28"/>
        </w:rPr>
        <w:t>“</w:t>
      </w:r>
      <w:r>
        <w:rPr>
          <w:rFonts w:asciiTheme="minorEastAsia" w:hAnsiTheme="minorEastAsia"/>
          <w:sz w:val="28"/>
          <w:szCs w:val="28"/>
        </w:rPr>
        <w:t>立桑为业，多元发展</w:t>
      </w:r>
      <w:r>
        <w:rPr>
          <w:rFonts w:hint="eastAsia" w:asciiTheme="minorEastAsia" w:hAnsiTheme="minorEastAsia"/>
          <w:sz w:val="28"/>
          <w:szCs w:val="28"/>
        </w:rPr>
        <w:t>”</w:t>
      </w:r>
      <w:r>
        <w:rPr>
          <w:rFonts w:asciiTheme="minorEastAsia" w:hAnsiTheme="minorEastAsia"/>
          <w:sz w:val="28"/>
          <w:szCs w:val="28"/>
        </w:rPr>
        <w:t>新策略以来，全新的蚕桑产业技术体系已构建，在传统蚕桑产业基础上</w:t>
      </w:r>
      <w:r>
        <w:rPr>
          <w:rFonts w:hint="eastAsia" w:asciiTheme="minorEastAsia" w:hAnsiTheme="minorEastAsia"/>
          <w:sz w:val="28"/>
          <w:szCs w:val="28"/>
        </w:rPr>
        <w:t>，</w:t>
      </w:r>
      <w:r>
        <w:rPr>
          <w:rFonts w:asciiTheme="minorEastAsia" w:hAnsiTheme="minorEastAsia"/>
          <w:sz w:val="28"/>
          <w:szCs w:val="28"/>
        </w:rPr>
        <w:t>新的蚕桑业态不断涌现</w:t>
      </w:r>
      <w:r>
        <w:rPr>
          <w:rFonts w:hint="eastAsia" w:asciiTheme="minorEastAsia" w:hAnsiTheme="minorEastAsia"/>
          <w:sz w:val="28"/>
          <w:szCs w:val="28"/>
        </w:rPr>
        <w:t>，</w:t>
      </w:r>
      <w:r>
        <w:rPr>
          <w:rFonts w:asciiTheme="minorEastAsia" w:hAnsiTheme="minorEastAsia"/>
          <w:sz w:val="28"/>
          <w:szCs w:val="28"/>
        </w:rPr>
        <w:t>其中就包括了果桑产业</w:t>
      </w:r>
      <w:r>
        <w:rPr>
          <w:rFonts w:hint="eastAsia" w:asciiTheme="minorEastAsia" w:hAnsiTheme="minorEastAsia"/>
          <w:sz w:val="28"/>
          <w:szCs w:val="28"/>
        </w:rPr>
        <w:t>。果桑是兼具经济效益和生态效益的特色树种，其桑椹为药食两用佳品，被列入</w:t>
      </w:r>
      <w:r>
        <w:rPr>
          <w:rFonts w:asciiTheme="minorEastAsia" w:hAnsiTheme="minorEastAsia"/>
          <w:sz w:val="28"/>
          <w:szCs w:val="28"/>
        </w:rPr>
        <w:t>国家卫生健康委员会</w:t>
      </w:r>
      <w:r>
        <w:rPr>
          <w:rFonts w:hint="eastAsia" w:asciiTheme="minorEastAsia" w:hAnsiTheme="minorEastAsia"/>
          <w:sz w:val="28"/>
          <w:szCs w:val="28"/>
        </w:rPr>
        <w:t>《既是食品又是药品的物品名单》。明代李时珍所著《本草纲目》中就记载：“桑椹，一名文武实。单食，止消渴，利五脏关节，通血气，久服不饥，安魂镇神，令人聪明、变白、不老。” 《中国药典》也指出桑椹具有滋阴补血、生津润燥之功效，可用于肝肾阴虚、眩晕耳鸣、心悸失眠、须发早白、肠燥便秘等。现代科学研究证实，桑椹含有丰富的蛋白质、维生素、碳水化合物、人体必需脂肪酸、白藜芦醇及花青素等成分，除了美味可口外，还具有增强免疫力、促进造血细胞生长、促进新陈代谢、预防动脉硬化等药理作用，具有很高的药食两用价值。可见，桑椹在蚕桑产业多元化发展中具有广阔的开发前景。</w:t>
      </w:r>
    </w:p>
    <w:p>
      <w:pPr>
        <w:spacing w:line="360" w:lineRule="auto"/>
        <w:ind w:firstLine="560" w:firstLineChars="200"/>
        <w:rPr>
          <w:rFonts w:asciiTheme="minorEastAsia" w:hAnsiTheme="minorEastAsia"/>
          <w:sz w:val="28"/>
          <w:szCs w:val="28"/>
        </w:rPr>
      </w:pPr>
      <w:r>
        <w:rPr>
          <w:rFonts w:asciiTheme="minorEastAsia" w:hAnsiTheme="minorEastAsia"/>
          <w:sz w:val="28"/>
          <w:szCs w:val="28"/>
        </w:rPr>
        <w:t>近年来</w:t>
      </w:r>
      <w:r>
        <w:rPr>
          <w:rFonts w:hint="eastAsia" w:asciiTheme="minorEastAsia" w:hAnsiTheme="minorEastAsia"/>
          <w:sz w:val="28"/>
          <w:szCs w:val="28"/>
        </w:rPr>
        <w:t>，</w:t>
      </w:r>
      <w:r>
        <w:rPr>
          <w:rFonts w:asciiTheme="minorEastAsia" w:hAnsiTheme="minorEastAsia"/>
          <w:sz w:val="28"/>
          <w:szCs w:val="28"/>
        </w:rPr>
        <w:t>广西果桑产业发展迅速</w:t>
      </w:r>
      <w:r>
        <w:rPr>
          <w:rFonts w:hint="eastAsia" w:asciiTheme="minorEastAsia" w:hAnsiTheme="minorEastAsia"/>
          <w:sz w:val="28"/>
          <w:szCs w:val="28"/>
        </w:rPr>
        <w:t>，</w:t>
      </w:r>
      <w:r>
        <w:rPr>
          <w:rFonts w:asciiTheme="minorEastAsia" w:hAnsiTheme="minorEastAsia"/>
          <w:sz w:val="28"/>
          <w:szCs w:val="28"/>
        </w:rPr>
        <w:t>但果桑病害的发生对产业的健康稳定发展仍存在威胁</w:t>
      </w:r>
      <w:r>
        <w:rPr>
          <w:rFonts w:hint="eastAsia" w:asciiTheme="minorEastAsia" w:hAnsiTheme="minorEastAsia"/>
          <w:sz w:val="28"/>
          <w:szCs w:val="28"/>
        </w:rPr>
        <w:t>，</w:t>
      </w:r>
      <w:r>
        <w:rPr>
          <w:rFonts w:asciiTheme="minorEastAsia" w:hAnsiTheme="minorEastAsia"/>
          <w:sz w:val="28"/>
          <w:szCs w:val="28"/>
        </w:rPr>
        <w:t>其中</w:t>
      </w:r>
      <w:r>
        <w:rPr>
          <w:rFonts w:hint="eastAsia" w:asciiTheme="minorEastAsia" w:hAnsiTheme="minorEastAsia"/>
          <w:sz w:val="28"/>
          <w:szCs w:val="28"/>
        </w:rPr>
        <w:t>，</w:t>
      </w:r>
      <w:r>
        <w:rPr>
          <w:rFonts w:asciiTheme="minorEastAsia" w:hAnsiTheme="minorEastAsia"/>
          <w:sz w:val="28"/>
          <w:szCs w:val="28"/>
        </w:rPr>
        <w:t>桑椹菌核病的防治是产业中亟需解决的主要问题之一</w:t>
      </w:r>
      <w:r>
        <w:rPr>
          <w:rFonts w:hint="eastAsia" w:asciiTheme="minorEastAsia" w:hAnsiTheme="minorEastAsia"/>
          <w:sz w:val="28"/>
          <w:szCs w:val="28"/>
        </w:rPr>
        <w:t>。</w:t>
      </w:r>
      <w:r>
        <w:rPr>
          <w:rFonts w:asciiTheme="minorEastAsia" w:hAnsiTheme="minorEastAsia"/>
          <w:sz w:val="28"/>
          <w:szCs w:val="28"/>
        </w:rPr>
        <w:t>桑椹菌核病，由核盘菌属真菌寄生桑果发生的病害</w:t>
      </w:r>
      <w:r>
        <w:rPr>
          <w:rFonts w:hint="eastAsia" w:asciiTheme="minorEastAsia" w:hAnsiTheme="minorEastAsia"/>
          <w:sz w:val="28"/>
          <w:szCs w:val="28"/>
        </w:rPr>
        <w:t>，</w:t>
      </w:r>
      <w:r>
        <w:rPr>
          <w:rFonts w:asciiTheme="minorEastAsia" w:hAnsiTheme="minorEastAsia"/>
          <w:sz w:val="28"/>
          <w:szCs w:val="28"/>
        </w:rPr>
        <w:t>病原菌以菌核在土壤中越冬，到次年春季桑树开花期间，菌核萌发形成子实体，子囊孢子</w:t>
      </w:r>
      <w:r>
        <w:rPr>
          <w:rFonts w:hint="eastAsia" w:asciiTheme="minorEastAsia" w:hAnsiTheme="minorEastAsia"/>
          <w:sz w:val="28"/>
          <w:szCs w:val="28"/>
        </w:rPr>
        <w:t>可随气流迅速、广泛传播，</w:t>
      </w:r>
      <w:r>
        <w:rPr>
          <w:rFonts w:asciiTheme="minorEastAsia" w:hAnsiTheme="minorEastAsia"/>
          <w:sz w:val="28"/>
          <w:szCs w:val="28"/>
        </w:rPr>
        <w:t>随风传</w:t>
      </w:r>
      <w:r>
        <w:rPr>
          <w:rFonts w:hint="eastAsia" w:asciiTheme="minorEastAsia" w:hAnsiTheme="minorEastAsia"/>
          <w:sz w:val="28"/>
          <w:szCs w:val="28"/>
        </w:rPr>
        <w:t>播</w:t>
      </w:r>
      <w:r>
        <w:rPr>
          <w:rFonts w:asciiTheme="minorEastAsia" w:hAnsiTheme="minorEastAsia"/>
          <w:sz w:val="28"/>
          <w:szCs w:val="28"/>
        </w:rPr>
        <w:t>到雌花上，引起侵染，最后菌丝</w:t>
      </w:r>
      <w:r>
        <w:rPr>
          <w:rFonts w:hint="eastAsia" w:asciiTheme="minorEastAsia" w:hAnsiTheme="minorEastAsia"/>
          <w:sz w:val="28"/>
          <w:szCs w:val="28"/>
        </w:rPr>
        <w:t>凝结</w:t>
      </w:r>
      <w:r>
        <w:rPr>
          <w:rFonts w:asciiTheme="minorEastAsia" w:hAnsiTheme="minorEastAsia"/>
          <w:sz w:val="28"/>
          <w:szCs w:val="28"/>
        </w:rPr>
        <w:t>形成菌核</w:t>
      </w:r>
      <w:r>
        <w:rPr>
          <w:rFonts w:hint="eastAsia" w:asciiTheme="minorEastAsia" w:hAnsiTheme="minorEastAsia"/>
          <w:sz w:val="28"/>
          <w:szCs w:val="28"/>
        </w:rPr>
        <w:t>，</w:t>
      </w:r>
      <w:r>
        <w:rPr>
          <w:rFonts w:asciiTheme="minorEastAsia" w:hAnsiTheme="minorEastAsia"/>
          <w:sz w:val="28"/>
          <w:szCs w:val="28"/>
        </w:rPr>
        <w:t>果肉肿大呈灰白色，使</w:t>
      </w:r>
      <w:r>
        <w:rPr>
          <w:rFonts w:hint="eastAsia" w:asciiTheme="minorEastAsia" w:hAnsiTheme="minorEastAsia"/>
          <w:sz w:val="28"/>
          <w:szCs w:val="28"/>
        </w:rPr>
        <w:t>桑果</w:t>
      </w:r>
      <w:r>
        <w:rPr>
          <w:rFonts w:asciiTheme="minorEastAsia" w:hAnsiTheme="minorEastAsia"/>
          <w:sz w:val="28"/>
          <w:szCs w:val="28"/>
        </w:rPr>
        <w:t>无法食用，</w:t>
      </w:r>
      <w:r>
        <w:rPr>
          <w:rFonts w:hint="eastAsia" w:asciiTheme="minorEastAsia" w:hAnsiTheme="minorEastAsia"/>
          <w:sz w:val="28"/>
          <w:szCs w:val="28"/>
        </w:rPr>
        <w:t>发生时轻则减产，重则颗粒无收。由于果桑种植的形式多样，有连片的种植也有零星的插花种植，给病害的防控留下许多安全死角，造成病害难以根治。广西</w:t>
      </w:r>
      <w:r>
        <w:rPr>
          <w:rFonts w:asciiTheme="minorEastAsia" w:hAnsiTheme="minorEastAsia"/>
          <w:sz w:val="28"/>
          <w:szCs w:val="28"/>
        </w:rPr>
        <w:t>桑椹菌核病</w:t>
      </w:r>
      <w:r>
        <w:rPr>
          <w:rFonts w:hint="eastAsia" w:asciiTheme="minorEastAsia" w:hAnsiTheme="minorEastAsia"/>
          <w:sz w:val="28"/>
          <w:szCs w:val="28"/>
        </w:rPr>
        <w:t>已零星发生多年，曾经在个别果桑园暴发成灾，之所以会出现果桑园发病良莠不一，除了病原的积累之外，与各人的防控措施不当有较大关系，严重影响产业经济效益</w:t>
      </w:r>
    </w:p>
    <w:p>
      <w:pPr>
        <w:pStyle w:val="11"/>
        <w:spacing w:line="360" w:lineRule="auto"/>
        <w:ind w:firstLine="560"/>
        <w:rPr>
          <w:rFonts w:hAnsi="宋体" w:cs="宋体"/>
          <w:sz w:val="28"/>
          <w:szCs w:val="28"/>
        </w:rPr>
      </w:pPr>
      <w:r>
        <w:rPr>
          <w:rFonts w:hint="eastAsia" w:asciiTheme="minorEastAsia" w:hAnsiTheme="minorEastAsia" w:eastAsiaTheme="minorEastAsia"/>
          <w:sz w:val="28"/>
          <w:szCs w:val="28"/>
        </w:rPr>
        <w:t>因此，需制定一套桑椹菌核病防治技术规程，为果桑种植户、技术人</w:t>
      </w:r>
      <w:r>
        <w:rPr>
          <w:rFonts w:hint="eastAsia" w:hAnsi="宋体" w:cs="宋体"/>
          <w:sz w:val="28"/>
          <w:szCs w:val="28"/>
        </w:rPr>
        <w:t>员及相关从业者提供技术支撑，保障广西果桑产业高质量、稳定、健康和持续发展。</w:t>
      </w:r>
    </w:p>
    <w:p>
      <w:pPr>
        <w:pStyle w:val="11"/>
        <w:numPr>
          <w:ilvl w:val="0"/>
          <w:numId w:val="2"/>
        </w:numPr>
        <w:spacing w:line="360" w:lineRule="auto"/>
        <w:ind w:firstLineChars="0"/>
        <w:rPr>
          <w:rFonts w:cs="宋体" w:asciiTheme="minorEastAsia" w:hAnsiTheme="minorEastAsia" w:eastAsiaTheme="minorEastAsia"/>
          <w:b/>
          <w:kern w:val="2"/>
          <w:sz w:val="28"/>
          <w:szCs w:val="28"/>
        </w:rPr>
      </w:pPr>
      <w:r>
        <w:rPr>
          <w:rFonts w:hint="eastAsia" w:cs="宋体" w:asciiTheme="minorEastAsia" w:hAnsiTheme="minorEastAsia" w:eastAsiaTheme="minorEastAsia"/>
          <w:b/>
          <w:kern w:val="2"/>
          <w:sz w:val="28"/>
          <w:szCs w:val="28"/>
        </w:rPr>
        <w:t>标准编制简况</w:t>
      </w:r>
    </w:p>
    <w:p>
      <w:pPr>
        <w:pStyle w:val="23"/>
        <w:numPr>
          <w:ilvl w:val="1"/>
          <w:numId w:val="2"/>
        </w:numPr>
        <w:spacing w:line="360" w:lineRule="auto"/>
        <w:ind w:firstLineChars="0"/>
        <w:rPr>
          <w:rFonts w:cs="宋体" w:asciiTheme="minorEastAsia" w:hAnsiTheme="minorEastAsia"/>
          <w:b/>
          <w:sz w:val="28"/>
          <w:szCs w:val="28"/>
        </w:rPr>
      </w:pPr>
      <w:r>
        <w:rPr>
          <w:rFonts w:hint="eastAsia" w:cs="宋体" w:asciiTheme="minorEastAsia" w:hAnsiTheme="minorEastAsia"/>
          <w:b/>
          <w:sz w:val="28"/>
          <w:szCs w:val="28"/>
        </w:rPr>
        <w:t>成立编制工作小组</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bCs/>
          <w:sz w:val="28"/>
          <w:szCs w:val="28"/>
        </w:rPr>
        <w:t>广西团体标准《</w:t>
      </w:r>
      <w:r>
        <w:rPr>
          <w:rFonts w:hint="eastAsia" w:cs="宋体" w:asciiTheme="minorEastAsia" w:hAnsiTheme="minorEastAsia"/>
          <w:sz w:val="28"/>
          <w:szCs w:val="28"/>
        </w:rPr>
        <w:t>桑椹菌核病防治技术规程</w:t>
      </w:r>
      <w:r>
        <w:rPr>
          <w:rFonts w:hint="eastAsia" w:cs="宋体" w:asciiTheme="minorEastAsia" w:hAnsiTheme="minorEastAsia"/>
          <w:bCs/>
          <w:sz w:val="28"/>
          <w:szCs w:val="28"/>
        </w:rPr>
        <w:t>》项目任务下达后，</w:t>
      </w:r>
      <w:r>
        <w:rPr>
          <w:rFonts w:hint="eastAsia" w:ascii="宋体" w:hAnsi="宋体" w:eastAsia="宋体" w:cs="宋体"/>
          <w:sz w:val="28"/>
          <w:szCs w:val="28"/>
        </w:rPr>
        <w:t>以广西壮族自治区蚕业技术推广站主要负责组织协调，广西壮族自治区蚕业技术推广站、河池市蚕业技术指导站、百色市蚕业技术指导站、来宾市农业科学院等4个单位共同</w:t>
      </w:r>
      <w:r>
        <w:rPr>
          <w:rFonts w:hint="eastAsia" w:ascii="宋体" w:hAnsi="宋体" w:eastAsia="宋体" w:cs="宋体"/>
          <w:bCs/>
          <w:sz w:val="28"/>
          <w:szCs w:val="28"/>
        </w:rPr>
        <w:t>起草，按照标准编制要求和编写工作的程序，成立了编制工作小组，</w:t>
      </w:r>
      <w:r>
        <w:rPr>
          <w:rFonts w:hint="eastAsia" w:ascii="宋体" w:hAnsi="宋体" w:eastAsia="宋体" w:cs="宋体"/>
          <w:sz w:val="28"/>
          <w:szCs w:val="28"/>
        </w:rPr>
        <w:t>制订编制工作方案，确定标准制定的负责人及进度。</w:t>
      </w:r>
    </w:p>
    <w:p>
      <w:pPr>
        <w:pStyle w:val="23"/>
        <w:numPr>
          <w:ilvl w:val="1"/>
          <w:numId w:val="2"/>
        </w:numPr>
        <w:spacing w:line="360" w:lineRule="auto"/>
        <w:ind w:firstLineChars="0"/>
        <w:rPr>
          <w:rFonts w:cs="宋体" w:asciiTheme="minorEastAsia" w:hAnsiTheme="minorEastAsia"/>
          <w:b/>
          <w:sz w:val="28"/>
          <w:szCs w:val="28"/>
        </w:rPr>
      </w:pPr>
      <w:r>
        <w:rPr>
          <w:rFonts w:hint="eastAsia" w:cs="宋体" w:asciiTheme="minorEastAsia" w:hAnsiTheme="minorEastAsia"/>
          <w:b/>
          <w:sz w:val="28"/>
          <w:szCs w:val="28"/>
        </w:rPr>
        <w:t>收集整理文献资料</w:t>
      </w:r>
    </w:p>
    <w:p>
      <w:pPr>
        <w:ind w:firstLine="700" w:firstLineChars="250"/>
        <w:rPr>
          <w:rFonts w:ascii="宋体" w:hAnsi="宋体" w:eastAsia="宋体" w:cs="宋体"/>
          <w:sz w:val="28"/>
          <w:szCs w:val="28"/>
        </w:rPr>
      </w:pPr>
      <w:r>
        <w:rPr>
          <w:rFonts w:hint="eastAsia" w:ascii="宋体" w:hAnsi="宋体" w:eastAsia="宋体" w:cs="宋体"/>
          <w:bCs/>
          <w:sz w:val="28"/>
          <w:szCs w:val="28"/>
        </w:rPr>
        <w:t>编制工作小组成员根据任务分工开展了资料收集和调查研究工作。一是收集</w:t>
      </w:r>
      <w:r>
        <w:rPr>
          <w:rFonts w:hint="eastAsia" w:ascii="宋体" w:hAnsi="宋体" w:eastAsia="宋体" w:cs="宋体"/>
          <w:sz w:val="28"/>
          <w:szCs w:val="28"/>
        </w:rPr>
        <w:t>国内外有关桑椹菌核病防治的文献资料的查询、收集和整理工作，查阅前人对桑椹菌核病防治技术的研究情况和目前科学界对桑椹菌核病综合防治技术的研究进展</w:t>
      </w:r>
      <w:r>
        <w:rPr>
          <w:rFonts w:hint="eastAsia" w:ascii="宋体" w:hAnsi="宋体" w:eastAsia="宋体" w:cs="宋体"/>
          <w:bCs/>
          <w:sz w:val="28"/>
          <w:szCs w:val="28"/>
        </w:rPr>
        <w:t>；二是组织技术人员到基层蚕业管理部门、蚕桑主产区桑园进行实地考察和调研，了解和掌握当前各地区桑椹菌核病发生动态及防控方法，以便确定标准的调查方法和防治时期，为规范我区桑椹菌核病防控技术提供普遍适用的技术依据；三是组织技术人员开展桑椹菌核病防治技术研发、</w:t>
      </w:r>
      <w:r>
        <w:rPr>
          <w:rFonts w:ascii="宋体" w:hAnsi="宋体" w:eastAsia="宋体" w:cs="宋体"/>
          <w:bCs/>
          <w:sz w:val="28"/>
          <w:szCs w:val="28"/>
        </w:rPr>
        <w:t>防控</w:t>
      </w:r>
      <w:r>
        <w:rPr>
          <w:rFonts w:hint="eastAsia" w:ascii="宋体" w:hAnsi="宋体" w:eastAsia="宋体" w:cs="宋体"/>
          <w:bCs/>
          <w:sz w:val="28"/>
          <w:szCs w:val="28"/>
        </w:rPr>
        <w:t>药物筛选等</w:t>
      </w:r>
      <w:r>
        <w:rPr>
          <w:rFonts w:ascii="宋体" w:hAnsi="宋体" w:eastAsia="宋体" w:cs="宋体"/>
          <w:bCs/>
          <w:sz w:val="28"/>
          <w:szCs w:val="28"/>
        </w:rPr>
        <w:t>工作</w:t>
      </w:r>
      <w:r>
        <w:rPr>
          <w:rFonts w:hint="eastAsia" w:ascii="宋体" w:hAnsi="宋体" w:eastAsia="宋体" w:cs="宋体"/>
          <w:sz w:val="28"/>
          <w:szCs w:val="28"/>
        </w:rPr>
        <w:t>。</w:t>
      </w:r>
    </w:p>
    <w:p>
      <w:pPr>
        <w:pStyle w:val="23"/>
        <w:numPr>
          <w:ilvl w:val="1"/>
          <w:numId w:val="2"/>
        </w:numPr>
        <w:spacing w:line="360" w:lineRule="auto"/>
        <w:ind w:firstLineChars="0"/>
        <w:rPr>
          <w:rFonts w:ascii="宋体" w:hAnsi="宋体" w:cs="宋体"/>
          <w:b/>
          <w:sz w:val="28"/>
          <w:szCs w:val="28"/>
        </w:rPr>
      </w:pPr>
      <w:r>
        <w:rPr>
          <w:rFonts w:hint="eastAsia" w:ascii="宋体" w:hAnsi="宋体" w:cs="宋体"/>
          <w:b/>
          <w:sz w:val="28"/>
          <w:szCs w:val="28"/>
        </w:rPr>
        <w:t>形成征求意见稿</w:t>
      </w:r>
    </w:p>
    <w:p>
      <w:pPr>
        <w:ind w:firstLine="560" w:firstLineChars="200"/>
        <w:rPr>
          <w:rFonts w:ascii="宋体" w:hAnsi="宋体" w:eastAsia="宋体" w:cs="宋体"/>
          <w:sz w:val="28"/>
          <w:szCs w:val="28"/>
        </w:rPr>
      </w:pPr>
      <w:r>
        <w:rPr>
          <w:rFonts w:hint="eastAsia" w:ascii="宋体" w:hAnsi="宋体" w:eastAsia="宋体" w:cs="宋体"/>
          <w:sz w:val="28"/>
          <w:szCs w:val="28"/>
        </w:rPr>
        <w:t>标准起草工作小组在经过资料收集、调查分析的基础上，经过编制小组成员反复研讨，确定了主要规范内容和技术指标，形成了《桑椹菌核病防治技术规程》标准的编制原则及纲要，并根据标准的格式和编写方法，按照GB/T 1.1-2020的标准编写格式规定，起草编写了《桑椹菌核病防治技术规程》征求意见草稿。征求意见草稿经标准编制小组反复讨论、修改、专家认证后，于2022年10月底编写形成《桑椹菌核病防治技术规程》广西团体标准征求意见稿。</w:t>
      </w:r>
    </w:p>
    <w:p>
      <w:pPr>
        <w:pStyle w:val="23"/>
        <w:numPr>
          <w:ilvl w:val="0"/>
          <w:numId w:val="2"/>
        </w:numPr>
        <w:spacing w:line="360" w:lineRule="auto"/>
        <w:ind w:firstLineChars="0"/>
        <w:rPr>
          <w:rFonts w:ascii="宋体" w:hAnsi="宋体" w:cs="宋体"/>
          <w:b/>
          <w:sz w:val="28"/>
          <w:szCs w:val="28"/>
        </w:rPr>
      </w:pPr>
      <w:r>
        <w:rPr>
          <w:rFonts w:ascii="宋体" w:hAnsi="宋体" w:cs="宋体"/>
          <w:b/>
          <w:sz w:val="28"/>
          <w:szCs w:val="28"/>
        </w:rPr>
        <w:t>标准编制原则</w:t>
      </w:r>
    </w:p>
    <w:p>
      <w:pPr>
        <w:spacing w:line="360" w:lineRule="auto"/>
        <w:ind w:firstLine="560" w:firstLineChars="200"/>
        <w:rPr>
          <w:rFonts w:ascii="宋体" w:hAnsi="宋体" w:cs="宋体"/>
          <w:sz w:val="28"/>
          <w:szCs w:val="28"/>
        </w:rPr>
      </w:pPr>
      <w:r>
        <w:rPr>
          <w:rFonts w:hint="eastAsia" w:ascii="宋体" w:hAnsi="宋体" w:cs="宋体"/>
          <w:sz w:val="28"/>
          <w:szCs w:val="28"/>
        </w:rPr>
        <w:t>本标准的格式和编写方法按照GB/T 1.1—2020《标准化工作导则  第1部分：标准化文件的结构和起草规则》的要求和规定编写本标准的内容，保证标准的编写质量。本标准是在充分收集相关资料和文献，分析桑椹菌核病综合防控当前现状，在现有国家、行业标准相关桑椹菌核病综合防控技术要求的基础上，结合广西地理环境、气候条件、桑园管理、桑园桑椹菌核病发生等生产技术及实际情况，使制定的标准符合产业生产技术水平，体现标准的特色性、实用性和先进性。</w:t>
      </w:r>
    </w:p>
    <w:p>
      <w:pPr>
        <w:pStyle w:val="23"/>
        <w:numPr>
          <w:ilvl w:val="0"/>
          <w:numId w:val="2"/>
        </w:numPr>
        <w:spacing w:line="360" w:lineRule="auto"/>
        <w:ind w:firstLineChars="0"/>
        <w:rPr>
          <w:rFonts w:ascii="宋体" w:hAnsi="宋体" w:cs="宋体"/>
          <w:b/>
          <w:sz w:val="28"/>
          <w:szCs w:val="28"/>
        </w:rPr>
      </w:pPr>
      <w:r>
        <w:rPr>
          <w:rFonts w:hint="eastAsia" w:ascii="宋体" w:hAnsi="宋体" w:cs="宋体"/>
          <w:b/>
          <w:sz w:val="28"/>
          <w:szCs w:val="28"/>
        </w:rPr>
        <w:t>标准主要内容验证分析</w:t>
      </w:r>
    </w:p>
    <w:p>
      <w:pPr>
        <w:pStyle w:val="23"/>
        <w:numPr>
          <w:ilvl w:val="1"/>
          <w:numId w:val="2"/>
        </w:numPr>
        <w:spacing w:line="360" w:lineRule="auto"/>
        <w:ind w:left="567" w:firstLineChars="0"/>
        <w:rPr>
          <w:rFonts w:ascii="宋体" w:hAnsi="宋体"/>
          <w:b/>
          <w:sz w:val="28"/>
          <w:szCs w:val="28"/>
        </w:rPr>
      </w:pPr>
      <w:r>
        <w:rPr>
          <w:rFonts w:hint="eastAsia" w:ascii="宋体" w:hAnsi="宋体"/>
          <w:b/>
          <w:sz w:val="28"/>
          <w:szCs w:val="28"/>
        </w:rPr>
        <w:t>病害浸染时期的探索试验</w:t>
      </w:r>
    </w:p>
    <w:p>
      <w:pPr>
        <w:spacing w:line="360" w:lineRule="auto"/>
        <w:ind w:firstLine="420" w:firstLineChars="150"/>
        <w:rPr>
          <w:rFonts w:ascii="宋体" w:hAnsi="宋体" w:cs="宋体"/>
          <w:sz w:val="28"/>
          <w:szCs w:val="28"/>
        </w:rPr>
      </w:pPr>
      <w:r>
        <w:rPr>
          <w:rFonts w:hint="eastAsia" w:ascii="宋体" w:hAnsi="宋体" w:cs="宋体"/>
          <w:sz w:val="28"/>
          <w:szCs w:val="28"/>
        </w:rPr>
        <w:t>2013年1</w:t>
      </w:r>
      <w:r>
        <w:rPr>
          <w:rFonts w:hint="eastAsia" w:cs="宋体" w:asciiTheme="minorEastAsia" w:hAnsiTheme="minorEastAsia"/>
          <w:sz w:val="28"/>
          <w:szCs w:val="28"/>
        </w:rPr>
        <w:t>～</w:t>
      </w:r>
      <w:r>
        <w:rPr>
          <w:rFonts w:hint="eastAsia" w:ascii="宋体" w:hAnsi="宋体" w:cs="宋体"/>
          <w:sz w:val="28"/>
          <w:szCs w:val="28"/>
        </w:rPr>
        <w:t>3月试验桑花不同时期接种病原后的发病情况。采用“子囊盘涂抹法”和“子囊孢子点液法”两种方法分别在桑果幼花期、开花期、幼果期等3个时期进行接种，探索病害浸染时期试验，每处理3次重复。试验结果显示：幼花期接种的发病率最高，其次是开花期，最后是幼果期接种基本不发病。说明幼花期是病原入侵的关键时期，其次是开花期，幼果期后不被侵染；囊盘涂抹法接种发病率高于子囊孢子点液法。</w:t>
      </w:r>
    </w:p>
    <w:tbl>
      <w:tblPr>
        <w:tblStyle w:val="5"/>
        <w:tblW w:w="8840" w:type="dxa"/>
        <w:tblInd w:w="93" w:type="dxa"/>
        <w:tblLayout w:type="fixed"/>
        <w:tblCellMar>
          <w:top w:w="0" w:type="dxa"/>
          <w:left w:w="108" w:type="dxa"/>
          <w:bottom w:w="0" w:type="dxa"/>
          <w:right w:w="108" w:type="dxa"/>
        </w:tblCellMar>
      </w:tblPr>
      <w:tblGrid>
        <w:gridCol w:w="915"/>
        <w:gridCol w:w="1980"/>
        <w:gridCol w:w="1486"/>
        <w:gridCol w:w="1486"/>
        <w:gridCol w:w="1486"/>
        <w:gridCol w:w="1487"/>
      </w:tblGrid>
      <w:tr>
        <w:tblPrEx>
          <w:tblCellMar>
            <w:top w:w="0" w:type="dxa"/>
            <w:left w:w="108" w:type="dxa"/>
            <w:bottom w:w="0" w:type="dxa"/>
            <w:right w:w="108" w:type="dxa"/>
          </w:tblCellMar>
        </w:tblPrEx>
        <w:trPr>
          <w:trHeight w:val="390" w:hRule="atLeast"/>
        </w:trPr>
        <w:tc>
          <w:tcPr>
            <w:tcW w:w="8840" w:type="dxa"/>
            <w:gridSpan w:val="6"/>
            <w:tcBorders>
              <w:top w:val="nil"/>
              <w:left w:val="nil"/>
              <w:bottom w:val="single" w:color="auto" w:sz="4" w:space="0"/>
              <w:right w:val="nil"/>
            </w:tcBorders>
            <w:shd w:val="clear" w:color="auto" w:fill="auto"/>
            <w:noWrap/>
            <w:vAlign w:val="center"/>
          </w:tcPr>
          <w:p>
            <w:pPr>
              <w:widowControl/>
              <w:jc w:val="center"/>
              <w:rPr>
                <w:rFonts w:ascii="宋体" w:hAnsi="宋体" w:cs="宋体"/>
                <w:sz w:val="28"/>
                <w:szCs w:val="28"/>
              </w:rPr>
            </w:pPr>
            <w:r>
              <w:rPr>
                <w:rFonts w:hint="eastAsia" w:ascii="宋体" w:hAnsi="宋体" w:cs="宋体"/>
                <w:sz w:val="28"/>
                <w:szCs w:val="28"/>
              </w:rPr>
              <w:t>表1  桑椹菌核病病原接种不同花期致病力试验</w:t>
            </w:r>
          </w:p>
        </w:tc>
      </w:tr>
      <w:tr>
        <w:tblPrEx>
          <w:tblCellMar>
            <w:top w:w="0" w:type="dxa"/>
            <w:left w:w="108" w:type="dxa"/>
            <w:bottom w:w="0" w:type="dxa"/>
            <w:right w:w="108" w:type="dxa"/>
          </w:tblCellMar>
        </w:tblPrEx>
        <w:trPr>
          <w:trHeight w:val="390" w:hRule="atLeast"/>
        </w:trPr>
        <w:tc>
          <w:tcPr>
            <w:tcW w:w="2895" w:type="dxa"/>
            <w:gridSpan w:val="2"/>
            <w:tcBorders>
              <w:top w:val="single" w:color="auto" w:sz="4" w:space="0"/>
              <w:left w:val="nil"/>
              <w:bottom w:val="single" w:color="auto" w:sz="4" w:space="0"/>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处理</w:t>
            </w:r>
          </w:p>
        </w:tc>
        <w:tc>
          <w:tcPr>
            <w:tcW w:w="1486" w:type="dxa"/>
            <w:tcBorders>
              <w:top w:val="nil"/>
              <w:left w:val="nil"/>
              <w:bottom w:val="single" w:color="auto" w:sz="4" w:space="0"/>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总果粒数（粒）</w:t>
            </w:r>
          </w:p>
        </w:tc>
        <w:tc>
          <w:tcPr>
            <w:tcW w:w="1486" w:type="dxa"/>
            <w:tcBorders>
              <w:top w:val="nil"/>
              <w:left w:val="nil"/>
              <w:bottom w:val="single" w:color="auto" w:sz="4" w:space="0"/>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病果粒数（粒）</w:t>
            </w:r>
          </w:p>
        </w:tc>
        <w:tc>
          <w:tcPr>
            <w:tcW w:w="1486" w:type="dxa"/>
            <w:tcBorders>
              <w:top w:val="nil"/>
              <w:left w:val="nil"/>
              <w:bottom w:val="single" w:color="auto" w:sz="4" w:space="0"/>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发病率（%）</w:t>
            </w:r>
          </w:p>
        </w:tc>
        <w:tc>
          <w:tcPr>
            <w:tcW w:w="1487" w:type="dxa"/>
            <w:tcBorders>
              <w:top w:val="nil"/>
              <w:left w:val="nil"/>
              <w:bottom w:val="single" w:color="auto" w:sz="4" w:space="0"/>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病情指数（%）</w:t>
            </w:r>
          </w:p>
        </w:tc>
      </w:tr>
      <w:tr>
        <w:tblPrEx>
          <w:tblCellMar>
            <w:top w:w="0" w:type="dxa"/>
            <w:left w:w="108" w:type="dxa"/>
            <w:bottom w:w="0" w:type="dxa"/>
            <w:right w:w="108" w:type="dxa"/>
          </w:tblCellMar>
        </w:tblPrEx>
        <w:trPr>
          <w:trHeight w:val="390" w:hRule="atLeast"/>
        </w:trPr>
        <w:tc>
          <w:tcPr>
            <w:tcW w:w="915"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CK</w:t>
            </w:r>
          </w:p>
        </w:tc>
        <w:tc>
          <w:tcPr>
            <w:tcW w:w="1980"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清水</w:t>
            </w:r>
          </w:p>
        </w:tc>
        <w:tc>
          <w:tcPr>
            <w:tcW w:w="1486"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601</w:t>
            </w:r>
          </w:p>
        </w:tc>
        <w:tc>
          <w:tcPr>
            <w:tcW w:w="1486"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0</w:t>
            </w:r>
          </w:p>
        </w:tc>
        <w:tc>
          <w:tcPr>
            <w:tcW w:w="1486"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0</w:t>
            </w:r>
          </w:p>
        </w:tc>
        <w:tc>
          <w:tcPr>
            <w:tcW w:w="1487"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0</w:t>
            </w:r>
          </w:p>
        </w:tc>
      </w:tr>
      <w:tr>
        <w:tblPrEx>
          <w:tblCellMar>
            <w:top w:w="0" w:type="dxa"/>
            <w:left w:w="108" w:type="dxa"/>
            <w:bottom w:w="0" w:type="dxa"/>
            <w:right w:w="108" w:type="dxa"/>
          </w:tblCellMar>
        </w:tblPrEx>
        <w:trPr>
          <w:trHeight w:val="390" w:hRule="atLeast"/>
        </w:trPr>
        <w:tc>
          <w:tcPr>
            <w:tcW w:w="915" w:type="dxa"/>
            <w:vMerge w:val="restart"/>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幼花期</w:t>
            </w:r>
          </w:p>
        </w:tc>
        <w:tc>
          <w:tcPr>
            <w:tcW w:w="1980"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子囊盘涂抹法</w:t>
            </w:r>
          </w:p>
        </w:tc>
        <w:tc>
          <w:tcPr>
            <w:tcW w:w="1486"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836</w:t>
            </w:r>
          </w:p>
        </w:tc>
        <w:tc>
          <w:tcPr>
            <w:tcW w:w="1486"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307</w:t>
            </w:r>
          </w:p>
        </w:tc>
        <w:tc>
          <w:tcPr>
            <w:tcW w:w="1486"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 xml:space="preserve">36.7 </w:t>
            </w:r>
          </w:p>
        </w:tc>
        <w:tc>
          <w:tcPr>
            <w:tcW w:w="1487"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 xml:space="preserve">36.7 </w:t>
            </w:r>
          </w:p>
        </w:tc>
      </w:tr>
      <w:tr>
        <w:tblPrEx>
          <w:tblCellMar>
            <w:top w:w="0" w:type="dxa"/>
            <w:left w:w="108" w:type="dxa"/>
            <w:bottom w:w="0" w:type="dxa"/>
            <w:right w:w="108" w:type="dxa"/>
          </w:tblCellMar>
        </w:tblPrEx>
        <w:trPr>
          <w:trHeight w:val="390" w:hRule="atLeast"/>
        </w:trPr>
        <w:tc>
          <w:tcPr>
            <w:tcW w:w="915" w:type="dxa"/>
            <w:vMerge w:val="continue"/>
            <w:tcBorders>
              <w:top w:val="nil"/>
              <w:left w:val="nil"/>
              <w:bottom w:val="nil"/>
              <w:right w:val="nil"/>
            </w:tcBorders>
            <w:vAlign w:val="center"/>
          </w:tcPr>
          <w:p>
            <w:pPr>
              <w:widowControl/>
              <w:jc w:val="left"/>
              <w:rPr>
                <w:rFonts w:ascii="宋体" w:hAnsi="宋体" w:cs="宋体"/>
                <w:sz w:val="24"/>
                <w:szCs w:val="24"/>
              </w:rPr>
            </w:pPr>
          </w:p>
        </w:tc>
        <w:tc>
          <w:tcPr>
            <w:tcW w:w="1980"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子囊孢子点液法</w:t>
            </w:r>
          </w:p>
        </w:tc>
        <w:tc>
          <w:tcPr>
            <w:tcW w:w="1486"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771</w:t>
            </w:r>
          </w:p>
        </w:tc>
        <w:tc>
          <w:tcPr>
            <w:tcW w:w="1486"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281</w:t>
            </w:r>
          </w:p>
        </w:tc>
        <w:tc>
          <w:tcPr>
            <w:tcW w:w="1486"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 xml:space="preserve">36.4 </w:t>
            </w:r>
          </w:p>
        </w:tc>
        <w:tc>
          <w:tcPr>
            <w:tcW w:w="1487"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 xml:space="preserve">27.6 </w:t>
            </w:r>
          </w:p>
        </w:tc>
      </w:tr>
      <w:tr>
        <w:tblPrEx>
          <w:tblCellMar>
            <w:top w:w="0" w:type="dxa"/>
            <w:left w:w="108" w:type="dxa"/>
            <w:bottom w:w="0" w:type="dxa"/>
            <w:right w:w="108" w:type="dxa"/>
          </w:tblCellMar>
        </w:tblPrEx>
        <w:trPr>
          <w:trHeight w:val="390" w:hRule="atLeast"/>
        </w:trPr>
        <w:tc>
          <w:tcPr>
            <w:tcW w:w="915" w:type="dxa"/>
            <w:vMerge w:val="restart"/>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开花期</w:t>
            </w:r>
          </w:p>
        </w:tc>
        <w:tc>
          <w:tcPr>
            <w:tcW w:w="1980"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子囊盘涂抹法</w:t>
            </w:r>
          </w:p>
        </w:tc>
        <w:tc>
          <w:tcPr>
            <w:tcW w:w="1486"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285</w:t>
            </w:r>
          </w:p>
        </w:tc>
        <w:tc>
          <w:tcPr>
            <w:tcW w:w="1486"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74</w:t>
            </w:r>
          </w:p>
        </w:tc>
        <w:tc>
          <w:tcPr>
            <w:tcW w:w="1486"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 xml:space="preserve">26.0 </w:t>
            </w:r>
          </w:p>
        </w:tc>
        <w:tc>
          <w:tcPr>
            <w:tcW w:w="1487"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 xml:space="preserve">22.3 </w:t>
            </w:r>
          </w:p>
        </w:tc>
      </w:tr>
      <w:tr>
        <w:tblPrEx>
          <w:tblCellMar>
            <w:top w:w="0" w:type="dxa"/>
            <w:left w:w="108" w:type="dxa"/>
            <w:bottom w:w="0" w:type="dxa"/>
            <w:right w:w="108" w:type="dxa"/>
          </w:tblCellMar>
        </w:tblPrEx>
        <w:trPr>
          <w:trHeight w:val="285" w:hRule="atLeast"/>
        </w:trPr>
        <w:tc>
          <w:tcPr>
            <w:tcW w:w="915" w:type="dxa"/>
            <w:vMerge w:val="continue"/>
            <w:tcBorders>
              <w:top w:val="nil"/>
              <w:left w:val="nil"/>
              <w:bottom w:val="nil"/>
              <w:right w:val="nil"/>
            </w:tcBorders>
            <w:vAlign w:val="center"/>
          </w:tcPr>
          <w:p>
            <w:pPr>
              <w:widowControl/>
              <w:jc w:val="left"/>
              <w:rPr>
                <w:rFonts w:ascii="宋体" w:hAnsi="宋体" w:cs="宋体"/>
                <w:sz w:val="24"/>
                <w:szCs w:val="24"/>
              </w:rPr>
            </w:pPr>
          </w:p>
        </w:tc>
        <w:tc>
          <w:tcPr>
            <w:tcW w:w="1980"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子囊孢子点液法</w:t>
            </w:r>
          </w:p>
        </w:tc>
        <w:tc>
          <w:tcPr>
            <w:tcW w:w="1486"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391</w:t>
            </w:r>
          </w:p>
        </w:tc>
        <w:tc>
          <w:tcPr>
            <w:tcW w:w="1486"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61</w:t>
            </w:r>
          </w:p>
        </w:tc>
        <w:tc>
          <w:tcPr>
            <w:tcW w:w="1486"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 xml:space="preserve">15.6 </w:t>
            </w:r>
          </w:p>
        </w:tc>
        <w:tc>
          <w:tcPr>
            <w:tcW w:w="1487"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 xml:space="preserve">11.6 </w:t>
            </w:r>
          </w:p>
        </w:tc>
      </w:tr>
      <w:tr>
        <w:tblPrEx>
          <w:tblCellMar>
            <w:top w:w="0" w:type="dxa"/>
            <w:left w:w="108" w:type="dxa"/>
            <w:bottom w:w="0" w:type="dxa"/>
            <w:right w:w="108" w:type="dxa"/>
          </w:tblCellMar>
        </w:tblPrEx>
        <w:trPr>
          <w:trHeight w:val="285" w:hRule="atLeast"/>
        </w:trPr>
        <w:tc>
          <w:tcPr>
            <w:tcW w:w="915" w:type="dxa"/>
            <w:vMerge w:val="restart"/>
            <w:tcBorders>
              <w:top w:val="nil"/>
              <w:left w:val="nil"/>
              <w:bottom w:val="single" w:color="000000" w:sz="4" w:space="0"/>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幼果期</w:t>
            </w:r>
          </w:p>
        </w:tc>
        <w:tc>
          <w:tcPr>
            <w:tcW w:w="1980"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子囊盘涂抹法</w:t>
            </w:r>
          </w:p>
        </w:tc>
        <w:tc>
          <w:tcPr>
            <w:tcW w:w="1486"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315</w:t>
            </w:r>
          </w:p>
        </w:tc>
        <w:tc>
          <w:tcPr>
            <w:tcW w:w="1486"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1</w:t>
            </w:r>
          </w:p>
        </w:tc>
        <w:tc>
          <w:tcPr>
            <w:tcW w:w="1486"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 xml:space="preserve">0.3 </w:t>
            </w:r>
          </w:p>
        </w:tc>
        <w:tc>
          <w:tcPr>
            <w:tcW w:w="1487" w:type="dxa"/>
            <w:tcBorders>
              <w:top w:val="nil"/>
              <w:left w:val="nil"/>
              <w:bottom w:val="nil"/>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 xml:space="preserve">0.2 </w:t>
            </w:r>
          </w:p>
        </w:tc>
      </w:tr>
      <w:tr>
        <w:tblPrEx>
          <w:tblCellMar>
            <w:top w:w="0" w:type="dxa"/>
            <w:left w:w="108" w:type="dxa"/>
            <w:bottom w:w="0" w:type="dxa"/>
            <w:right w:w="108" w:type="dxa"/>
          </w:tblCellMar>
        </w:tblPrEx>
        <w:trPr>
          <w:trHeight w:val="285" w:hRule="atLeast"/>
        </w:trPr>
        <w:tc>
          <w:tcPr>
            <w:tcW w:w="915" w:type="dxa"/>
            <w:vMerge w:val="continue"/>
            <w:tcBorders>
              <w:top w:val="nil"/>
              <w:left w:val="nil"/>
              <w:bottom w:val="single" w:color="000000" w:sz="4" w:space="0"/>
              <w:right w:val="nil"/>
            </w:tcBorders>
            <w:vAlign w:val="center"/>
          </w:tcPr>
          <w:p>
            <w:pPr>
              <w:widowControl/>
              <w:jc w:val="left"/>
              <w:rPr>
                <w:rFonts w:ascii="宋体" w:hAnsi="宋体" w:cs="宋体"/>
                <w:sz w:val="24"/>
                <w:szCs w:val="24"/>
              </w:rPr>
            </w:pPr>
          </w:p>
        </w:tc>
        <w:tc>
          <w:tcPr>
            <w:tcW w:w="1980" w:type="dxa"/>
            <w:tcBorders>
              <w:top w:val="nil"/>
              <w:left w:val="nil"/>
              <w:bottom w:val="single" w:color="auto" w:sz="4" w:space="0"/>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子囊孢子点液法</w:t>
            </w:r>
          </w:p>
        </w:tc>
        <w:tc>
          <w:tcPr>
            <w:tcW w:w="1486" w:type="dxa"/>
            <w:tcBorders>
              <w:top w:val="nil"/>
              <w:left w:val="nil"/>
              <w:bottom w:val="single" w:color="auto" w:sz="4" w:space="0"/>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265</w:t>
            </w:r>
          </w:p>
        </w:tc>
        <w:tc>
          <w:tcPr>
            <w:tcW w:w="1486" w:type="dxa"/>
            <w:tcBorders>
              <w:top w:val="nil"/>
              <w:left w:val="nil"/>
              <w:bottom w:val="single" w:color="auto" w:sz="4" w:space="0"/>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0</w:t>
            </w:r>
          </w:p>
        </w:tc>
        <w:tc>
          <w:tcPr>
            <w:tcW w:w="1486" w:type="dxa"/>
            <w:tcBorders>
              <w:top w:val="nil"/>
              <w:left w:val="nil"/>
              <w:bottom w:val="single" w:color="auto" w:sz="4" w:space="0"/>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0</w:t>
            </w:r>
          </w:p>
        </w:tc>
        <w:tc>
          <w:tcPr>
            <w:tcW w:w="1487" w:type="dxa"/>
            <w:tcBorders>
              <w:top w:val="nil"/>
              <w:left w:val="nil"/>
              <w:bottom w:val="single" w:color="auto" w:sz="4" w:space="0"/>
              <w:right w:val="nil"/>
            </w:tcBorders>
            <w:shd w:val="clear" w:color="auto" w:fill="auto"/>
            <w:noWrap/>
            <w:vAlign w:val="center"/>
          </w:tcPr>
          <w:p>
            <w:pPr>
              <w:widowControl/>
              <w:jc w:val="center"/>
              <w:rPr>
                <w:rFonts w:ascii="宋体" w:hAnsi="宋体" w:cs="宋体"/>
                <w:sz w:val="24"/>
                <w:szCs w:val="24"/>
              </w:rPr>
            </w:pPr>
            <w:r>
              <w:rPr>
                <w:rFonts w:hint="eastAsia" w:ascii="宋体" w:hAnsi="宋体" w:cs="宋体"/>
                <w:sz w:val="24"/>
                <w:szCs w:val="24"/>
              </w:rPr>
              <w:t>0</w:t>
            </w:r>
          </w:p>
        </w:tc>
      </w:tr>
    </w:tbl>
    <w:p>
      <w:pPr>
        <w:spacing w:line="360" w:lineRule="auto"/>
        <w:rPr>
          <w:rFonts w:ascii="宋体" w:hAnsi="宋体" w:cs="宋体"/>
          <w:sz w:val="28"/>
          <w:szCs w:val="28"/>
        </w:rPr>
      </w:pPr>
      <w:r>
        <w:rPr>
          <w:rFonts w:hint="eastAsia" w:ascii="宋体" w:hAnsi="宋体" w:cs="宋体"/>
          <w:sz w:val="28"/>
          <w:szCs w:val="28"/>
        </w:rPr>
        <w:t>通过试验明确了桑椹菌核病的侵染时期是幼花期和开花期，对于病害的预测预报和防治时期具有重要的指导意义。</w:t>
      </w:r>
    </w:p>
    <w:p>
      <w:pPr>
        <w:pStyle w:val="23"/>
        <w:numPr>
          <w:ilvl w:val="1"/>
          <w:numId w:val="2"/>
        </w:numPr>
        <w:spacing w:line="360" w:lineRule="auto"/>
        <w:ind w:firstLineChars="0"/>
        <w:rPr>
          <w:rFonts w:ascii="宋体" w:hAnsi="宋体"/>
          <w:b/>
          <w:sz w:val="28"/>
          <w:szCs w:val="28"/>
        </w:rPr>
      </w:pPr>
      <w:r>
        <w:rPr>
          <w:rFonts w:hint="eastAsia" w:asciiTheme="minorEastAsia" w:hAnsiTheme="minorEastAsia"/>
          <w:b/>
          <w:sz w:val="28"/>
          <w:szCs w:val="28"/>
        </w:rPr>
        <w:t xml:space="preserve"> 环境条件</w:t>
      </w:r>
      <w:r>
        <w:rPr>
          <w:rFonts w:hint="eastAsia" w:ascii="宋体" w:hAnsi="宋体"/>
          <w:b/>
          <w:sz w:val="28"/>
          <w:szCs w:val="28"/>
        </w:rPr>
        <w:t>对菌核萌发影响</w:t>
      </w:r>
    </w:p>
    <w:p>
      <w:pPr>
        <w:spacing w:line="360" w:lineRule="auto"/>
        <w:ind w:firstLine="700" w:firstLineChars="250"/>
        <w:rPr>
          <w:kern w:val="0"/>
          <w:sz w:val="28"/>
          <w:szCs w:val="28"/>
        </w:rPr>
      </w:pPr>
      <w:r>
        <w:rPr>
          <w:rFonts w:hint="eastAsia" w:asciiTheme="majorEastAsia" w:hAnsiTheme="majorEastAsia" w:eastAsiaTheme="majorEastAsia"/>
          <w:sz w:val="28"/>
          <w:szCs w:val="28"/>
        </w:rPr>
        <w:t>2014年，分别试验了温度、湿度和光照对菌核萌发的影响。</w:t>
      </w:r>
      <w:r>
        <w:rPr>
          <w:rFonts w:hint="eastAsia"/>
          <w:kern w:val="0"/>
          <w:sz w:val="28"/>
          <w:szCs w:val="28"/>
        </w:rPr>
        <w:t>试验结果显示：（1）温度：菌核萌发温度范围在5-20℃之间，在水分充足条件下10-15℃菌核萌发率最高达到100%；10-20℃范围内菌核子实体随着温度的升高，子实体的生长速率越快，生命周期越短； 15-20℃子囊盘展开最大而且肥厚，散发出大量子囊孢子粉，即为菌核萌发子实体及其生长发育的最佳温度。</w:t>
      </w:r>
      <w:r>
        <w:rPr>
          <w:rFonts w:hint="eastAsia" w:asciiTheme="majorEastAsia" w:hAnsiTheme="majorEastAsia" w:eastAsiaTheme="majorEastAsia"/>
          <w:sz w:val="28"/>
          <w:szCs w:val="28"/>
        </w:rPr>
        <w:t>（2）湿度：RH25%</w:t>
      </w:r>
      <w:r>
        <w:rPr>
          <w:rFonts w:hint="eastAsia"/>
          <w:kern w:val="0"/>
          <w:sz w:val="28"/>
          <w:szCs w:val="28"/>
        </w:rPr>
        <w:t>左右干旱条件下，即使温度适合，菌核也不能萌发；RH50%左右，埋入土层的的菌核能够萌发，并从土壤缝隙中向上生长，子实体高度仅达地面；RH75%左右时，菌核萌发率明显增多，当达到RH90%左右时，菌核萌发率达到100%，产生的芽数也相对较多，子实体肥厚。（3）光照：</w:t>
      </w:r>
      <w:r>
        <w:rPr>
          <w:rFonts w:hint="eastAsia" w:asciiTheme="minorEastAsia" w:hAnsiTheme="minorEastAsia"/>
          <w:sz w:val="28"/>
          <w:szCs w:val="28"/>
          <w:lang w:val="en-GB"/>
        </w:rPr>
        <w:t>光照不是菌核萌发形成子实体的必要条件，但是光照能抑制子实体柄的伸长，促进子囊盘的生长发育，反之促进子实体的伸长，抑制子囊盘的发育。</w:t>
      </w:r>
    </w:p>
    <w:p>
      <w:pPr>
        <w:spacing w:line="360" w:lineRule="auto"/>
        <w:ind w:firstLine="560" w:firstLineChars="200"/>
        <w:jc w:val="center"/>
        <w:rPr>
          <w:rFonts w:ascii="宋体" w:hAnsi="宋体" w:eastAsia="宋体"/>
          <w:kern w:val="0"/>
          <w:sz w:val="28"/>
          <w:szCs w:val="28"/>
        </w:rPr>
      </w:pPr>
      <w:r>
        <w:rPr>
          <w:rFonts w:hint="eastAsia" w:ascii="宋体" w:hAnsi="宋体" w:eastAsia="宋体"/>
          <w:kern w:val="0"/>
          <w:sz w:val="28"/>
          <w:szCs w:val="28"/>
        </w:rPr>
        <w:t>表2 不同土壤湿度对菌核萌发的影响</w:t>
      </w:r>
    </w:p>
    <w:tbl>
      <w:tblPr>
        <w:tblStyle w:val="5"/>
        <w:tblW w:w="5000" w:type="pct"/>
        <w:jc w:val="center"/>
        <w:tblLayout w:type="autofit"/>
        <w:tblCellMar>
          <w:top w:w="0" w:type="dxa"/>
          <w:left w:w="108" w:type="dxa"/>
          <w:bottom w:w="0" w:type="dxa"/>
          <w:right w:w="108" w:type="dxa"/>
        </w:tblCellMar>
      </w:tblPr>
      <w:tblGrid>
        <w:gridCol w:w="1724"/>
        <w:gridCol w:w="3068"/>
        <w:gridCol w:w="2398"/>
        <w:gridCol w:w="1893"/>
      </w:tblGrid>
      <w:tr>
        <w:tblPrEx>
          <w:tblCellMar>
            <w:top w:w="0" w:type="dxa"/>
            <w:left w:w="108" w:type="dxa"/>
            <w:bottom w:w="0" w:type="dxa"/>
            <w:right w:w="108" w:type="dxa"/>
          </w:tblCellMar>
        </w:tblPrEx>
        <w:trPr>
          <w:trHeight w:val="450" w:hRule="atLeast"/>
          <w:jc w:val="center"/>
        </w:trPr>
        <w:tc>
          <w:tcPr>
            <w:tcW w:w="949" w:type="pct"/>
            <w:tcBorders>
              <w:top w:val="single" w:color="auto" w:sz="4" w:space="0"/>
              <w:left w:val="nil"/>
              <w:bottom w:val="single" w:color="auto" w:sz="4" w:space="0"/>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土壤含水量</w:t>
            </w:r>
          </w:p>
        </w:tc>
        <w:tc>
          <w:tcPr>
            <w:tcW w:w="1689" w:type="pct"/>
            <w:tcBorders>
              <w:top w:val="single" w:color="auto" w:sz="4" w:space="0"/>
              <w:left w:val="nil"/>
              <w:bottom w:val="single" w:color="auto" w:sz="4" w:space="0"/>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观察菌核数量（粒）</w:t>
            </w:r>
          </w:p>
        </w:tc>
        <w:tc>
          <w:tcPr>
            <w:tcW w:w="1320" w:type="pct"/>
            <w:tcBorders>
              <w:top w:val="single" w:color="auto" w:sz="4" w:space="0"/>
              <w:left w:val="nil"/>
              <w:bottom w:val="single" w:color="auto" w:sz="4" w:space="0"/>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萌发数量（粒）</w:t>
            </w:r>
          </w:p>
        </w:tc>
        <w:tc>
          <w:tcPr>
            <w:tcW w:w="1042" w:type="pct"/>
            <w:tcBorders>
              <w:top w:val="single" w:color="auto" w:sz="4" w:space="0"/>
              <w:left w:val="nil"/>
              <w:bottom w:val="single" w:color="auto" w:sz="4" w:space="0"/>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萌发率（%）</w:t>
            </w:r>
          </w:p>
        </w:tc>
      </w:tr>
      <w:tr>
        <w:tblPrEx>
          <w:tblCellMar>
            <w:top w:w="0" w:type="dxa"/>
            <w:left w:w="108" w:type="dxa"/>
            <w:bottom w:w="0" w:type="dxa"/>
            <w:right w:w="108" w:type="dxa"/>
          </w:tblCellMar>
        </w:tblPrEx>
        <w:trPr>
          <w:trHeight w:val="450" w:hRule="atLeast"/>
          <w:jc w:val="center"/>
        </w:trPr>
        <w:tc>
          <w:tcPr>
            <w:tcW w:w="949"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RH25%</w:t>
            </w:r>
          </w:p>
        </w:tc>
        <w:tc>
          <w:tcPr>
            <w:tcW w:w="1689"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200</w:t>
            </w:r>
          </w:p>
        </w:tc>
        <w:tc>
          <w:tcPr>
            <w:tcW w:w="1320"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0</w:t>
            </w:r>
          </w:p>
        </w:tc>
        <w:tc>
          <w:tcPr>
            <w:tcW w:w="1042"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0</w:t>
            </w:r>
          </w:p>
        </w:tc>
      </w:tr>
      <w:tr>
        <w:tblPrEx>
          <w:tblCellMar>
            <w:top w:w="0" w:type="dxa"/>
            <w:left w:w="108" w:type="dxa"/>
            <w:bottom w:w="0" w:type="dxa"/>
            <w:right w:w="108" w:type="dxa"/>
          </w:tblCellMar>
        </w:tblPrEx>
        <w:trPr>
          <w:trHeight w:val="450" w:hRule="atLeast"/>
          <w:jc w:val="center"/>
        </w:trPr>
        <w:tc>
          <w:tcPr>
            <w:tcW w:w="949"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RH50%</w:t>
            </w:r>
          </w:p>
        </w:tc>
        <w:tc>
          <w:tcPr>
            <w:tcW w:w="1689"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200</w:t>
            </w:r>
          </w:p>
        </w:tc>
        <w:tc>
          <w:tcPr>
            <w:tcW w:w="1320"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47</w:t>
            </w:r>
          </w:p>
        </w:tc>
        <w:tc>
          <w:tcPr>
            <w:tcW w:w="1042" w:type="pct"/>
            <w:tcBorders>
              <w:top w:val="nil"/>
              <w:left w:val="nil"/>
              <w:bottom w:val="nil"/>
              <w:right w:val="nil"/>
            </w:tcBorders>
            <w:shd w:val="clear" w:color="auto" w:fill="auto"/>
            <w:noWrap/>
            <w:vAlign w:val="center"/>
          </w:tcPr>
          <w:p>
            <w:pPr>
              <w:jc w:val="center"/>
              <w:rPr>
                <w:rFonts w:ascii="宋体" w:hAnsi="宋体" w:cs="宋体"/>
                <w:sz w:val="24"/>
                <w:szCs w:val="24"/>
              </w:rPr>
            </w:pPr>
            <w:r>
              <w:rPr>
                <w:rFonts w:hint="eastAsia"/>
                <w:sz w:val="24"/>
                <w:szCs w:val="24"/>
              </w:rPr>
              <w:t xml:space="preserve">23.5 </w:t>
            </w:r>
          </w:p>
        </w:tc>
      </w:tr>
      <w:tr>
        <w:tblPrEx>
          <w:tblCellMar>
            <w:top w:w="0" w:type="dxa"/>
            <w:left w:w="108" w:type="dxa"/>
            <w:bottom w:w="0" w:type="dxa"/>
            <w:right w:w="108" w:type="dxa"/>
          </w:tblCellMar>
        </w:tblPrEx>
        <w:trPr>
          <w:trHeight w:val="450" w:hRule="atLeast"/>
          <w:jc w:val="center"/>
        </w:trPr>
        <w:tc>
          <w:tcPr>
            <w:tcW w:w="949" w:type="pct"/>
            <w:tcBorders>
              <w:top w:val="nil"/>
              <w:left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RH75%</w:t>
            </w:r>
          </w:p>
        </w:tc>
        <w:tc>
          <w:tcPr>
            <w:tcW w:w="1689" w:type="pct"/>
            <w:tcBorders>
              <w:top w:val="nil"/>
              <w:left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200</w:t>
            </w:r>
          </w:p>
        </w:tc>
        <w:tc>
          <w:tcPr>
            <w:tcW w:w="1320" w:type="pct"/>
            <w:tcBorders>
              <w:top w:val="nil"/>
              <w:left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156</w:t>
            </w:r>
          </w:p>
        </w:tc>
        <w:tc>
          <w:tcPr>
            <w:tcW w:w="1042" w:type="pct"/>
            <w:tcBorders>
              <w:top w:val="nil"/>
              <w:left w:val="nil"/>
              <w:right w:val="nil"/>
            </w:tcBorders>
            <w:shd w:val="clear" w:color="auto" w:fill="auto"/>
            <w:noWrap/>
            <w:vAlign w:val="center"/>
          </w:tcPr>
          <w:p>
            <w:pPr>
              <w:jc w:val="center"/>
              <w:rPr>
                <w:rFonts w:ascii="宋体" w:hAnsi="宋体" w:cs="宋体"/>
                <w:sz w:val="24"/>
                <w:szCs w:val="24"/>
              </w:rPr>
            </w:pPr>
            <w:r>
              <w:rPr>
                <w:rFonts w:hint="eastAsia"/>
                <w:sz w:val="24"/>
                <w:szCs w:val="24"/>
              </w:rPr>
              <w:t xml:space="preserve">78.0 </w:t>
            </w:r>
          </w:p>
        </w:tc>
      </w:tr>
      <w:tr>
        <w:tblPrEx>
          <w:tblCellMar>
            <w:top w:w="0" w:type="dxa"/>
            <w:left w:w="108" w:type="dxa"/>
            <w:bottom w:w="0" w:type="dxa"/>
            <w:right w:w="108" w:type="dxa"/>
          </w:tblCellMar>
        </w:tblPrEx>
        <w:trPr>
          <w:trHeight w:val="450" w:hRule="atLeast"/>
          <w:jc w:val="center"/>
        </w:trPr>
        <w:tc>
          <w:tcPr>
            <w:tcW w:w="949" w:type="pct"/>
            <w:tcBorders>
              <w:top w:val="nil"/>
              <w:left w:val="nil"/>
              <w:bottom w:val="single" w:color="auto" w:sz="4" w:space="0"/>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RH90%</w:t>
            </w:r>
          </w:p>
        </w:tc>
        <w:tc>
          <w:tcPr>
            <w:tcW w:w="1689" w:type="pct"/>
            <w:tcBorders>
              <w:top w:val="nil"/>
              <w:left w:val="nil"/>
              <w:bottom w:val="single" w:color="auto" w:sz="4" w:space="0"/>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200</w:t>
            </w:r>
          </w:p>
        </w:tc>
        <w:tc>
          <w:tcPr>
            <w:tcW w:w="1320" w:type="pct"/>
            <w:tcBorders>
              <w:top w:val="nil"/>
              <w:left w:val="nil"/>
              <w:bottom w:val="single" w:color="auto" w:sz="4" w:space="0"/>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200</w:t>
            </w:r>
          </w:p>
        </w:tc>
        <w:tc>
          <w:tcPr>
            <w:tcW w:w="1042" w:type="pct"/>
            <w:tcBorders>
              <w:top w:val="nil"/>
              <w:left w:val="nil"/>
              <w:bottom w:val="single" w:color="auto" w:sz="4" w:space="0"/>
              <w:right w:val="nil"/>
            </w:tcBorders>
            <w:shd w:val="clear" w:color="auto" w:fill="auto"/>
            <w:noWrap/>
            <w:vAlign w:val="center"/>
          </w:tcPr>
          <w:p>
            <w:pPr>
              <w:jc w:val="center"/>
              <w:rPr>
                <w:rFonts w:ascii="宋体" w:hAnsi="宋体" w:cs="宋体"/>
                <w:sz w:val="24"/>
                <w:szCs w:val="24"/>
              </w:rPr>
            </w:pPr>
            <w:r>
              <w:rPr>
                <w:rFonts w:hint="eastAsia"/>
                <w:sz w:val="24"/>
                <w:szCs w:val="24"/>
              </w:rPr>
              <w:t xml:space="preserve">100.0 </w:t>
            </w:r>
          </w:p>
        </w:tc>
      </w:tr>
    </w:tbl>
    <w:p>
      <w:pPr>
        <w:pStyle w:val="23"/>
        <w:numPr>
          <w:ilvl w:val="1"/>
          <w:numId w:val="2"/>
        </w:numPr>
        <w:spacing w:line="360" w:lineRule="auto"/>
        <w:ind w:firstLineChars="0"/>
        <w:rPr>
          <w:rFonts w:ascii="宋体" w:hAnsi="宋体"/>
          <w:b/>
          <w:sz w:val="28"/>
          <w:szCs w:val="28"/>
        </w:rPr>
      </w:pPr>
      <w:r>
        <w:rPr>
          <w:rFonts w:hint="eastAsia" w:ascii="宋体" w:hAnsi="宋体"/>
          <w:b/>
          <w:sz w:val="28"/>
          <w:szCs w:val="28"/>
        </w:rPr>
        <w:t xml:space="preserve"> 最佳防治时期的探索</w:t>
      </w:r>
    </w:p>
    <w:p>
      <w:pPr>
        <w:spacing w:line="360" w:lineRule="auto"/>
        <w:ind w:firstLine="470" w:firstLineChars="168"/>
        <w:rPr>
          <w:rFonts w:ascii="宋体" w:hAnsi="宋体"/>
          <w:sz w:val="28"/>
          <w:szCs w:val="28"/>
        </w:rPr>
      </w:pPr>
      <w:r>
        <w:rPr>
          <w:rFonts w:hint="eastAsia" w:ascii="宋体" w:hAnsi="宋体"/>
          <w:sz w:val="28"/>
          <w:szCs w:val="28"/>
        </w:rPr>
        <w:t>2016年以50%腐霉利可湿性粉剂1000倍作为不同时期防治效果比较试验。结果显示，初花期+盛花期相对防效为84.98%表现最好，其次初花期+末花期相对防效为74.78%；最后盛花期+末花期相对防效56.10%；</w:t>
      </w:r>
      <w:r>
        <w:rPr>
          <w:rFonts w:ascii="宋体" w:hAnsi="宋体"/>
          <w:sz w:val="28"/>
          <w:szCs w:val="28"/>
        </w:rPr>
        <w:t xml:space="preserve"> </w:t>
      </w:r>
      <w:r>
        <w:rPr>
          <w:rFonts w:hint="eastAsia" w:ascii="宋体" w:hAnsi="宋体"/>
          <w:sz w:val="28"/>
          <w:szCs w:val="28"/>
        </w:rPr>
        <w:t>②只一个时期用药的对比中，以初花期用药防治效果最好，相对防效为67.50%；其次盛花期相对防治60.20%，最差是末花期，相对防治53.66%。从病原菌的侵染时期接种试验中得知，病原菌侵入的关键时期是幼花期和开花期，因此，建议从幼花期开始进行桑椹菌核病的防治。</w:t>
      </w:r>
    </w:p>
    <w:tbl>
      <w:tblPr>
        <w:tblStyle w:val="5"/>
        <w:tblW w:w="5000" w:type="pct"/>
        <w:tblInd w:w="0" w:type="dxa"/>
        <w:tblLayout w:type="autofit"/>
        <w:tblCellMar>
          <w:top w:w="0" w:type="dxa"/>
          <w:left w:w="108" w:type="dxa"/>
          <w:bottom w:w="0" w:type="dxa"/>
          <w:right w:w="108" w:type="dxa"/>
        </w:tblCellMar>
      </w:tblPr>
      <w:tblGrid>
        <w:gridCol w:w="683"/>
        <w:gridCol w:w="696"/>
        <w:gridCol w:w="1176"/>
        <w:gridCol w:w="816"/>
        <w:gridCol w:w="816"/>
        <w:gridCol w:w="816"/>
        <w:gridCol w:w="816"/>
        <w:gridCol w:w="816"/>
        <w:gridCol w:w="816"/>
        <w:gridCol w:w="816"/>
        <w:gridCol w:w="816"/>
      </w:tblGrid>
      <w:tr>
        <w:tblPrEx>
          <w:tblCellMar>
            <w:top w:w="0" w:type="dxa"/>
            <w:left w:w="108" w:type="dxa"/>
            <w:bottom w:w="0" w:type="dxa"/>
            <w:right w:w="108" w:type="dxa"/>
          </w:tblCellMar>
        </w:tblPrEx>
        <w:trPr>
          <w:trHeight w:val="284" w:hRule="atLeast"/>
        </w:trPr>
        <w:tc>
          <w:tcPr>
            <w:tcW w:w="5000" w:type="pct"/>
            <w:gridSpan w:val="11"/>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表12   2016年桑椹菌核病不同时期药效防治试验</w:t>
            </w:r>
          </w:p>
        </w:tc>
      </w:tr>
      <w:tr>
        <w:tblPrEx>
          <w:tblCellMar>
            <w:top w:w="0" w:type="dxa"/>
            <w:left w:w="108" w:type="dxa"/>
            <w:bottom w:w="0" w:type="dxa"/>
            <w:right w:w="108" w:type="dxa"/>
          </w:tblCellMar>
        </w:tblPrEx>
        <w:trPr>
          <w:trHeight w:val="209" w:hRule="atLeast"/>
        </w:trPr>
        <w:tc>
          <w:tcPr>
            <w:tcW w:w="1501" w:type="pct"/>
            <w:gridSpan w:val="3"/>
            <w:tcBorders>
              <w:top w:val="single" w:color="auto" w:sz="4" w:space="0"/>
              <w:left w:val="nil"/>
              <w:bottom w:val="single" w:color="auto" w:sz="4" w:space="0"/>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项目</w:t>
            </w:r>
          </w:p>
        </w:tc>
        <w:tc>
          <w:tcPr>
            <w:tcW w:w="437" w:type="pct"/>
            <w:tcBorders>
              <w:top w:val="single" w:color="auto" w:sz="4" w:space="0"/>
              <w:left w:val="nil"/>
              <w:bottom w:val="single" w:color="auto" w:sz="4" w:space="0"/>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CK</w:t>
            </w:r>
          </w:p>
        </w:tc>
        <w:tc>
          <w:tcPr>
            <w:tcW w:w="3061" w:type="pct"/>
            <w:gridSpan w:val="7"/>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50%腐霉利WP1000×</w:t>
            </w:r>
          </w:p>
        </w:tc>
      </w:tr>
      <w:tr>
        <w:tblPrEx>
          <w:tblCellMar>
            <w:top w:w="0" w:type="dxa"/>
            <w:left w:w="108" w:type="dxa"/>
            <w:bottom w:w="0" w:type="dxa"/>
            <w:right w:w="108" w:type="dxa"/>
          </w:tblCellMar>
        </w:tblPrEx>
        <w:trPr>
          <w:trHeight w:val="209" w:hRule="atLeast"/>
        </w:trPr>
        <w:tc>
          <w:tcPr>
            <w:tcW w:w="457" w:type="pct"/>
            <w:vMerge w:val="restart"/>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喷药时间</w:t>
            </w:r>
          </w:p>
        </w:tc>
        <w:tc>
          <w:tcPr>
            <w:tcW w:w="451"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2/6</w:t>
            </w:r>
          </w:p>
        </w:tc>
        <w:tc>
          <w:tcPr>
            <w:tcW w:w="593"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初花期</w:t>
            </w: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w:t>
            </w: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w:t>
            </w: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w:t>
            </w: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w:t>
            </w: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w:t>
            </w: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p>
        </w:tc>
      </w:tr>
      <w:tr>
        <w:tblPrEx>
          <w:tblCellMar>
            <w:top w:w="0" w:type="dxa"/>
            <w:left w:w="108" w:type="dxa"/>
            <w:bottom w:w="0" w:type="dxa"/>
            <w:right w:w="108" w:type="dxa"/>
          </w:tblCellMar>
        </w:tblPrEx>
        <w:trPr>
          <w:trHeight w:val="209" w:hRule="atLeast"/>
        </w:trPr>
        <w:tc>
          <w:tcPr>
            <w:tcW w:w="457" w:type="pct"/>
            <w:vMerge w:val="continue"/>
            <w:tcBorders>
              <w:top w:val="nil"/>
              <w:left w:val="nil"/>
              <w:bottom w:val="nil"/>
              <w:right w:val="nil"/>
            </w:tcBorders>
            <w:vAlign w:val="center"/>
          </w:tcPr>
          <w:p>
            <w:pPr>
              <w:widowControl/>
              <w:jc w:val="left"/>
              <w:rPr>
                <w:rFonts w:ascii="宋体" w:hAnsi="宋体" w:cs="宋体"/>
                <w:kern w:val="0"/>
                <w:sz w:val="24"/>
                <w:szCs w:val="24"/>
              </w:rPr>
            </w:pPr>
          </w:p>
        </w:tc>
        <w:tc>
          <w:tcPr>
            <w:tcW w:w="451"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2/13</w:t>
            </w:r>
          </w:p>
        </w:tc>
        <w:tc>
          <w:tcPr>
            <w:tcW w:w="593"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盛花期</w:t>
            </w: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w:t>
            </w: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w:t>
            </w: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w:t>
            </w: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w:t>
            </w: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w:t>
            </w: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p>
        </w:tc>
      </w:tr>
      <w:tr>
        <w:tblPrEx>
          <w:tblCellMar>
            <w:top w:w="0" w:type="dxa"/>
            <w:left w:w="108" w:type="dxa"/>
            <w:bottom w:w="0" w:type="dxa"/>
            <w:right w:w="108" w:type="dxa"/>
          </w:tblCellMar>
        </w:tblPrEx>
        <w:trPr>
          <w:trHeight w:val="209" w:hRule="atLeast"/>
        </w:trPr>
        <w:tc>
          <w:tcPr>
            <w:tcW w:w="457" w:type="pct"/>
            <w:vMerge w:val="continue"/>
            <w:tcBorders>
              <w:top w:val="nil"/>
              <w:left w:val="nil"/>
              <w:bottom w:val="nil"/>
              <w:right w:val="nil"/>
            </w:tcBorders>
            <w:vAlign w:val="center"/>
          </w:tcPr>
          <w:p>
            <w:pPr>
              <w:widowControl/>
              <w:jc w:val="left"/>
              <w:rPr>
                <w:rFonts w:ascii="宋体" w:hAnsi="宋体" w:cs="宋体"/>
                <w:kern w:val="0"/>
                <w:sz w:val="24"/>
                <w:szCs w:val="24"/>
              </w:rPr>
            </w:pPr>
          </w:p>
        </w:tc>
        <w:tc>
          <w:tcPr>
            <w:tcW w:w="451"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2/20</w:t>
            </w:r>
          </w:p>
        </w:tc>
        <w:tc>
          <w:tcPr>
            <w:tcW w:w="593"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末花期</w:t>
            </w: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w:t>
            </w: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w:t>
            </w: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w:t>
            </w: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w:t>
            </w: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p>
        </w:tc>
        <w:tc>
          <w:tcPr>
            <w:tcW w:w="437" w:type="pct"/>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w:t>
            </w:r>
          </w:p>
        </w:tc>
      </w:tr>
      <w:tr>
        <w:tblPrEx>
          <w:tblCellMar>
            <w:top w:w="0" w:type="dxa"/>
            <w:left w:w="108" w:type="dxa"/>
            <w:bottom w:w="0" w:type="dxa"/>
            <w:right w:w="108" w:type="dxa"/>
          </w:tblCellMar>
        </w:tblPrEx>
        <w:trPr>
          <w:trHeight w:val="209" w:hRule="atLeast"/>
        </w:trPr>
        <w:tc>
          <w:tcPr>
            <w:tcW w:w="457" w:type="pct"/>
            <w:vMerge w:val="restart"/>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调查日期及相对防效</w:t>
            </w:r>
          </w:p>
        </w:tc>
        <w:tc>
          <w:tcPr>
            <w:tcW w:w="451" w:type="pct"/>
            <w:vMerge w:val="restar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3/11</w:t>
            </w:r>
          </w:p>
        </w:tc>
        <w:tc>
          <w:tcPr>
            <w:tcW w:w="593"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发病率%</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25.56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6.11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3.68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11.02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18.59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8.66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19.34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19.19 </w:t>
            </w:r>
          </w:p>
        </w:tc>
      </w:tr>
      <w:tr>
        <w:tblPrEx>
          <w:tblCellMar>
            <w:top w:w="0" w:type="dxa"/>
            <w:left w:w="108" w:type="dxa"/>
            <w:bottom w:w="0" w:type="dxa"/>
            <w:right w:w="108" w:type="dxa"/>
          </w:tblCellMar>
        </w:tblPrEx>
        <w:trPr>
          <w:trHeight w:val="284" w:hRule="atLeast"/>
        </w:trPr>
        <w:tc>
          <w:tcPr>
            <w:tcW w:w="457" w:type="pct"/>
            <w:vMerge w:val="continue"/>
            <w:tcBorders>
              <w:top w:val="nil"/>
              <w:left w:val="nil"/>
              <w:bottom w:val="nil"/>
              <w:right w:val="nil"/>
            </w:tcBorders>
            <w:vAlign w:val="center"/>
          </w:tcPr>
          <w:p>
            <w:pPr>
              <w:widowControl/>
              <w:jc w:val="left"/>
              <w:rPr>
                <w:rFonts w:ascii="宋体" w:hAnsi="宋体" w:cs="宋体"/>
                <w:kern w:val="0"/>
                <w:sz w:val="24"/>
                <w:szCs w:val="24"/>
              </w:rPr>
            </w:pPr>
          </w:p>
        </w:tc>
        <w:tc>
          <w:tcPr>
            <w:tcW w:w="451" w:type="pct"/>
            <w:vMerge w:val="continue"/>
            <w:tcBorders>
              <w:top w:val="nil"/>
              <w:left w:val="nil"/>
              <w:bottom w:val="nil"/>
              <w:right w:val="nil"/>
            </w:tcBorders>
            <w:vAlign w:val="center"/>
          </w:tcPr>
          <w:p>
            <w:pPr>
              <w:widowControl/>
              <w:jc w:val="left"/>
              <w:rPr>
                <w:rFonts w:ascii="宋体" w:hAnsi="宋体" w:cs="宋体"/>
                <w:kern w:val="0"/>
                <w:sz w:val="24"/>
                <w:szCs w:val="24"/>
              </w:rPr>
            </w:pPr>
          </w:p>
        </w:tc>
        <w:tc>
          <w:tcPr>
            <w:tcW w:w="593"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相对防效</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76.09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85.61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56.88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27.28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66.10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24.34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24.91 </w:t>
            </w:r>
          </w:p>
        </w:tc>
      </w:tr>
      <w:tr>
        <w:tblPrEx>
          <w:tblCellMar>
            <w:top w:w="0" w:type="dxa"/>
            <w:left w:w="108" w:type="dxa"/>
            <w:bottom w:w="0" w:type="dxa"/>
            <w:right w:w="108" w:type="dxa"/>
          </w:tblCellMar>
        </w:tblPrEx>
        <w:trPr>
          <w:trHeight w:val="284" w:hRule="atLeast"/>
        </w:trPr>
        <w:tc>
          <w:tcPr>
            <w:tcW w:w="457" w:type="pct"/>
            <w:vMerge w:val="continue"/>
            <w:tcBorders>
              <w:top w:val="nil"/>
              <w:left w:val="nil"/>
              <w:bottom w:val="nil"/>
              <w:right w:val="nil"/>
            </w:tcBorders>
            <w:vAlign w:val="center"/>
          </w:tcPr>
          <w:p>
            <w:pPr>
              <w:widowControl/>
              <w:jc w:val="left"/>
              <w:rPr>
                <w:rFonts w:ascii="宋体" w:hAnsi="宋体" w:cs="宋体"/>
                <w:kern w:val="0"/>
                <w:sz w:val="24"/>
                <w:szCs w:val="24"/>
              </w:rPr>
            </w:pPr>
          </w:p>
        </w:tc>
        <w:tc>
          <w:tcPr>
            <w:tcW w:w="451" w:type="pct"/>
            <w:vMerge w:val="restar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3/18</w:t>
            </w:r>
            <w:r>
              <w:rPr>
                <w:rFonts w:ascii="宋体" w:hAnsi="宋体" w:cs="宋体"/>
                <w:kern w:val="0"/>
                <w:sz w:val="24"/>
                <w:szCs w:val="24"/>
              </w:rPr>
              <w:t xml:space="preserve"> </w:t>
            </w:r>
          </w:p>
        </w:tc>
        <w:tc>
          <w:tcPr>
            <w:tcW w:w="593"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发病率%</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52.89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15.68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8.78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9.88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18.90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21.29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15.09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23.22 </w:t>
            </w:r>
          </w:p>
        </w:tc>
      </w:tr>
      <w:tr>
        <w:tblPrEx>
          <w:tblCellMar>
            <w:top w:w="0" w:type="dxa"/>
            <w:left w:w="108" w:type="dxa"/>
            <w:bottom w:w="0" w:type="dxa"/>
            <w:right w:w="108" w:type="dxa"/>
          </w:tblCellMar>
        </w:tblPrEx>
        <w:trPr>
          <w:trHeight w:val="209" w:hRule="atLeast"/>
        </w:trPr>
        <w:tc>
          <w:tcPr>
            <w:tcW w:w="457" w:type="pct"/>
            <w:vMerge w:val="continue"/>
            <w:tcBorders>
              <w:top w:val="nil"/>
              <w:left w:val="nil"/>
              <w:bottom w:val="nil"/>
              <w:right w:val="nil"/>
            </w:tcBorders>
            <w:vAlign w:val="center"/>
          </w:tcPr>
          <w:p>
            <w:pPr>
              <w:widowControl/>
              <w:jc w:val="left"/>
              <w:rPr>
                <w:rFonts w:ascii="宋体" w:hAnsi="宋体" w:cs="宋体"/>
                <w:kern w:val="0"/>
                <w:sz w:val="24"/>
                <w:szCs w:val="24"/>
              </w:rPr>
            </w:pPr>
          </w:p>
        </w:tc>
        <w:tc>
          <w:tcPr>
            <w:tcW w:w="451" w:type="pct"/>
            <w:vMerge w:val="continue"/>
            <w:tcBorders>
              <w:top w:val="nil"/>
              <w:left w:val="nil"/>
              <w:bottom w:val="nil"/>
              <w:right w:val="nil"/>
            </w:tcBorders>
            <w:vAlign w:val="center"/>
          </w:tcPr>
          <w:p>
            <w:pPr>
              <w:widowControl/>
              <w:jc w:val="left"/>
              <w:rPr>
                <w:rFonts w:ascii="宋体" w:hAnsi="宋体" w:cs="宋体"/>
                <w:kern w:val="0"/>
                <w:sz w:val="24"/>
                <w:szCs w:val="24"/>
              </w:rPr>
            </w:pPr>
          </w:p>
        </w:tc>
        <w:tc>
          <w:tcPr>
            <w:tcW w:w="593"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相对防效</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70.36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83.40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81.32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64.26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59.76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71.46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56.10 </w:t>
            </w:r>
          </w:p>
        </w:tc>
      </w:tr>
      <w:tr>
        <w:tblPrEx>
          <w:tblCellMar>
            <w:top w:w="0" w:type="dxa"/>
            <w:left w:w="108" w:type="dxa"/>
            <w:bottom w:w="0" w:type="dxa"/>
            <w:right w:w="108" w:type="dxa"/>
          </w:tblCellMar>
        </w:tblPrEx>
        <w:trPr>
          <w:trHeight w:val="209" w:hRule="atLeast"/>
        </w:trPr>
        <w:tc>
          <w:tcPr>
            <w:tcW w:w="457" w:type="pct"/>
            <w:vMerge w:val="continue"/>
            <w:tcBorders>
              <w:top w:val="nil"/>
              <w:left w:val="nil"/>
              <w:bottom w:val="nil"/>
              <w:right w:val="nil"/>
            </w:tcBorders>
            <w:vAlign w:val="center"/>
          </w:tcPr>
          <w:p>
            <w:pPr>
              <w:widowControl/>
              <w:jc w:val="left"/>
              <w:rPr>
                <w:rFonts w:ascii="宋体" w:hAnsi="宋体" w:cs="宋体"/>
                <w:kern w:val="0"/>
                <w:sz w:val="24"/>
                <w:szCs w:val="24"/>
              </w:rPr>
            </w:pPr>
          </w:p>
        </w:tc>
        <w:tc>
          <w:tcPr>
            <w:tcW w:w="451" w:type="pct"/>
            <w:vMerge w:val="restar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3/25</w:t>
            </w:r>
          </w:p>
        </w:tc>
        <w:tc>
          <w:tcPr>
            <w:tcW w:w="593"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发病率%</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90.12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15.53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12.67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12.48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20.95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21.04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13.71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18.04 </w:t>
            </w:r>
          </w:p>
        </w:tc>
      </w:tr>
      <w:tr>
        <w:tblPrEx>
          <w:tblCellMar>
            <w:top w:w="0" w:type="dxa"/>
            <w:left w:w="108" w:type="dxa"/>
            <w:bottom w:w="0" w:type="dxa"/>
            <w:right w:w="108" w:type="dxa"/>
          </w:tblCellMar>
        </w:tblPrEx>
        <w:trPr>
          <w:trHeight w:val="209" w:hRule="atLeast"/>
        </w:trPr>
        <w:tc>
          <w:tcPr>
            <w:tcW w:w="457" w:type="pct"/>
            <w:vMerge w:val="continue"/>
            <w:tcBorders>
              <w:top w:val="nil"/>
              <w:left w:val="nil"/>
              <w:bottom w:val="nil"/>
              <w:right w:val="nil"/>
            </w:tcBorders>
            <w:vAlign w:val="center"/>
          </w:tcPr>
          <w:p>
            <w:pPr>
              <w:widowControl/>
              <w:jc w:val="left"/>
              <w:rPr>
                <w:rFonts w:ascii="宋体" w:hAnsi="宋体" w:cs="宋体"/>
                <w:kern w:val="0"/>
                <w:sz w:val="24"/>
                <w:szCs w:val="24"/>
              </w:rPr>
            </w:pPr>
          </w:p>
        </w:tc>
        <w:tc>
          <w:tcPr>
            <w:tcW w:w="451" w:type="pct"/>
            <w:vMerge w:val="continue"/>
            <w:tcBorders>
              <w:top w:val="nil"/>
              <w:left w:val="nil"/>
              <w:bottom w:val="nil"/>
              <w:right w:val="nil"/>
            </w:tcBorders>
            <w:vAlign w:val="center"/>
          </w:tcPr>
          <w:p>
            <w:pPr>
              <w:widowControl/>
              <w:jc w:val="left"/>
              <w:rPr>
                <w:rFonts w:ascii="宋体" w:hAnsi="宋体" w:cs="宋体"/>
                <w:kern w:val="0"/>
                <w:sz w:val="24"/>
                <w:szCs w:val="24"/>
              </w:rPr>
            </w:pPr>
          </w:p>
        </w:tc>
        <w:tc>
          <w:tcPr>
            <w:tcW w:w="593"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相对防效</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82.77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85.94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86.15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76.75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76.65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84.78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79.98 </w:t>
            </w:r>
          </w:p>
        </w:tc>
      </w:tr>
      <w:tr>
        <w:tblPrEx>
          <w:tblCellMar>
            <w:top w:w="0" w:type="dxa"/>
            <w:left w:w="108" w:type="dxa"/>
            <w:bottom w:w="0" w:type="dxa"/>
            <w:right w:w="108" w:type="dxa"/>
          </w:tblCellMar>
        </w:tblPrEx>
        <w:trPr>
          <w:trHeight w:val="209" w:hRule="atLeast"/>
        </w:trPr>
        <w:tc>
          <w:tcPr>
            <w:tcW w:w="45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p>
        </w:tc>
        <w:tc>
          <w:tcPr>
            <w:tcW w:w="1045" w:type="pct"/>
            <w:gridSpan w:val="2"/>
            <w:tcBorders>
              <w:top w:val="nil"/>
              <w:left w:val="nil"/>
              <w:bottom w:val="nil"/>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平均发病率%</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90.12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15.53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8.38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11.13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19.48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17.00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16.05 </w:t>
            </w:r>
          </w:p>
        </w:tc>
        <w:tc>
          <w:tcPr>
            <w:tcW w:w="437" w:type="pct"/>
            <w:tcBorders>
              <w:top w:val="nil"/>
              <w:left w:val="nil"/>
              <w:bottom w:val="nil"/>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20.15 </w:t>
            </w:r>
          </w:p>
        </w:tc>
      </w:tr>
      <w:tr>
        <w:tblPrEx>
          <w:tblCellMar>
            <w:top w:w="0" w:type="dxa"/>
            <w:left w:w="108" w:type="dxa"/>
            <w:bottom w:w="0" w:type="dxa"/>
            <w:right w:w="108" w:type="dxa"/>
          </w:tblCellMar>
        </w:tblPrEx>
        <w:trPr>
          <w:trHeight w:val="209" w:hRule="atLeast"/>
        </w:trPr>
        <w:tc>
          <w:tcPr>
            <w:tcW w:w="457" w:type="pct"/>
            <w:tcBorders>
              <w:top w:val="nil"/>
              <w:left w:val="nil"/>
              <w:bottom w:val="single" w:color="auto" w:sz="4" w:space="0"/>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1045" w:type="pct"/>
            <w:gridSpan w:val="2"/>
            <w:tcBorders>
              <w:top w:val="nil"/>
              <w:left w:val="nil"/>
              <w:bottom w:val="single" w:color="auto" w:sz="4" w:space="0"/>
              <w:right w:val="nil"/>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平均相对防效%</w:t>
            </w:r>
          </w:p>
        </w:tc>
        <w:tc>
          <w:tcPr>
            <w:tcW w:w="437" w:type="pct"/>
            <w:tcBorders>
              <w:top w:val="nil"/>
              <w:left w:val="nil"/>
              <w:bottom w:val="single" w:color="auto" w:sz="4" w:space="0"/>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w:t>
            </w:r>
          </w:p>
        </w:tc>
        <w:tc>
          <w:tcPr>
            <w:tcW w:w="437" w:type="pct"/>
            <w:tcBorders>
              <w:top w:val="nil"/>
              <w:left w:val="nil"/>
              <w:bottom w:val="single" w:color="auto" w:sz="4" w:space="0"/>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76.41 </w:t>
            </w:r>
          </w:p>
        </w:tc>
        <w:tc>
          <w:tcPr>
            <w:tcW w:w="437" w:type="pct"/>
            <w:tcBorders>
              <w:top w:val="nil"/>
              <w:left w:val="nil"/>
              <w:bottom w:val="single" w:color="auto" w:sz="4" w:space="0"/>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84.98 </w:t>
            </w:r>
          </w:p>
        </w:tc>
        <w:tc>
          <w:tcPr>
            <w:tcW w:w="437" w:type="pct"/>
            <w:tcBorders>
              <w:top w:val="nil"/>
              <w:left w:val="nil"/>
              <w:bottom w:val="single" w:color="auto" w:sz="4" w:space="0"/>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74.78 </w:t>
            </w:r>
          </w:p>
        </w:tc>
        <w:tc>
          <w:tcPr>
            <w:tcW w:w="437" w:type="pct"/>
            <w:tcBorders>
              <w:top w:val="nil"/>
              <w:left w:val="nil"/>
              <w:bottom w:val="single" w:color="auto" w:sz="4" w:space="0"/>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56.10 </w:t>
            </w:r>
          </w:p>
        </w:tc>
        <w:tc>
          <w:tcPr>
            <w:tcW w:w="437" w:type="pct"/>
            <w:tcBorders>
              <w:top w:val="nil"/>
              <w:left w:val="nil"/>
              <w:bottom w:val="single" w:color="auto" w:sz="4" w:space="0"/>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67.50 </w:t>
            </w:r>
          </w:p>
        </w:tc>
        <w:tc>
          <w:tcPr>
            <w:tcW w:w="437" w:type="pct"/>
            <w:tcBorders>
              <w:top w:val="nil"/>
              <w:left w:val="nil"/>
              <w:bottom w:val="single" w:color="auto" w:sz="4" w:space="0"/>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60.20 </w:t>
            </w:r>
          </w:p>
        </w:tc>
        <w:tc>
          <w:tcPr>
            <w:tcW w:w="437" w:type="pct"/>
            <w:tcBorders>
              <w:top w:val="nil"/>
              <w:left w:val="nil"/>
              <w:bottom w:val="single" w:color="auto" w:sz="4" w:space="0"/>
              <w:right w:val="nil"/>
            </w:tcBorders>
            <w:shd w:val="clear" w:color="auto" w:fill="auto"/>
            <w:noWrap/>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53.66 </w:t>
            </w:r>
          </w:p>
        </w:tc>
      </w:tr>
    </w:tbl>
    <w:p>
      <w:pPr>
        <w:pStyle w:val="23"/>
        <w:numPr>
          <w:ilvl w:val="1"/>
          <w:numId w:val="2"/>
        </w:numPr>
        <w:spacing w:line="360" w:lineRule="auto"/>
        <w:ind w:left="0" w:firstLine="422" w:firstLineChars="150"/>
        <w:jc w:val="left"/>
        <w:rPr>
          <w:rFonts w:ascii="宋体" w:hAnsi="宋体" w:eastAsia="宋体" w:cs="Times New Roman"/>
          <w:sz w:val="28"/>
          <w:szCs w:val="28"/>
        </w:rPr>
      </w:pPr>
      <w:r>
        <w:rPr>
          <w:rFonts w:hint="eastAsia" w:ascii="宋体" w:hAnsi="宋体"/>
          <w:b/>
          <w:sz w:val="28"/>
          <w:szCs w:val="28"/>
        </w:rPr>
        <w:t>防治效果及安全期测定</w:t>
      </w:r>
    </w:p>
    <w:p>
      <w:pPr>
        <w:spacing w:line="360" w:lineRule="auto"/>
        <w:ind w:firstLine="560" w:firstLineChars="200"/>
        <w:jc w:val="left"/>
        <w:rPr>
          <w:rFonts w:ascii="宋体" w:hAnsi="宋体" w:eastAsia="宋体" w:cs="Times New Roman"/>
          <w:sz w:val="28"/>
          <w:szCs w:val="28"/>
        </w:rPr>
      </w:pPr>
      <w:r>
        <w:rPr>
          <w:rFonts w:hint="eastAsia" w:ascii="宋体" w:hAnsi="宋体"/>
          <w:sz w:val="28"/>
          <w:szCs w:val="28"/>
        </w:rPr>
        <w:t>2016年1-4月</w:t>
      </w:r>
      <w:r>
        <w:rPr>
          <w:rFonts w:hint="eastAsia" w:ascii="宋体" w:hAnsi="宋体" w:eastAsia="宋体" w:cs="Times New Roman"/>
          <w:sz w:val="28"/>
          <w:szCs w:val="28"/>
        </w:rPr>
        <w:t>在广西蚕业技术推广站果桑园内</w:t>
      </w:r>
      <w:r>
        <w:rPr>
          <w:rFonts w:hint="eastAsia" w:ascii="宋体" w:hAnsi="宋体"/>
          <w:sz w:val="28"/>
          <w:szCs w:val="28"/>
        </w:rPr>
        <w:t>进行</w:t>
      </w:r>
      <w:r>
        <w:rPr>
          <w:rFonts w:hint="eastAsia" w:ascii="宋体" w:hAnsi="宋体" w:eastAsia="宋体" w:cs="Times New Roman"/>
          <w:sz w:val="28"/>
          <w:szCs w:val="28"/>
        </w:rPr>
        <w:t>4种农药对桑椹肥大性菌核病的田间药效试验和农药残留。结果显示</w:t>
      </w:r>
      <w:r>
        <w:rPr>
          <w:rFonts w:hint="eastAsia" w:ascii="宋体" w:hAnsi="宋体"/>
          <w:sz w:val="28"/>
          <w:szCs w:val="28"/>
        </w:rPr>
        <w:t xml:space="preserve">， </w:t>
      </w:r>
      <w:r>
        <w:rPr>
          <w:rFonts w:hint="eastAsia" w:ascii="宋体" w:hAnsi="宋体" w:eastAsia="宋体" w:cs="Times New Roman"/>
          <w:sz w:val="28"/>
          <w:szCs w:val="28"/>
        </w:rPr>
        <w:t xml:space="preserve">4种药剂防治区的桑果发病率均远低于对照区，相对防效均达到了80%以上，尤其以50%多菌灵WP和70%甲基硫菌灵WP的防效分别达到94.79%和96.23%，而80%代森锰锌和50%腐霉利的防效也分别达到81.18%和82.77%，说明4种杀菌剂对桑椹菌核病都具有一定的防治效果。 </w:t>
      </w:r>
    </w:p>
    <w:tbl>
      <w:tblPr>
        <w:tblStyle w:val="5"/>
        <w:tblW w:w="5000" w:type="pct"/>
        <w:tblInd w:w="0" w:type="dxa"/>
        <w:tblLayout w:type="autofit"/>
        <w:tblCellMar>
          <w:top w:w="0" w:type="dxa"/>
          <w:left w:w="108" w:type="dxa"/>
          <w:bottom w:w="0" w:type="dxa"/>
          <w:right w:w="108" w:type="dxa"/>
        </w:tblCellMar>
      </w:tblPr>
      <w:tblGrid>
        <w:gridCol w:w="1893"/>
        <w:gridCol w:w="1253"/>
        <w:gridCol w:w="1317"/>
        <w:gridCol w:w="1317"/>
        <w:gridCol w:w="1317"/>
        <w:gridCol w:w="1986"/>
      </w:tblGrid>
      <w:tr>
        <w:tblPrEx>
          <w:tblCellMar>
            <w:top w:w="0" w:type="dxa"/>
            <w:left w:w="108" w:type="dxa"/>
            <w:bottom w:w="0" w:type="dxa"/>
            <w:right w:w="108" w:type="dxa"/>
          </w:tblCellMar>
        </w:tblPrEx>
        <w:trPr>
          <w:trHeight w:val="285" w:hRule="atLeast"/>
        </w:trPr>
        <w:tc>
          <w:tcPr>
            <w:tcW w:w="5000" w:type="pct"/>
            <w:gridSpan w:val="6"/>
            <w:tcBorders>
              <w:top w:val="nil"/>
              <w:left w:val="nil"/>
              <w:bottom w:val="single" w:color="auto" w:sz="4" w:space="0"/>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表3   4种药剂对桑椹肥大性菌核病防治效果</w:t>
            </w:r>
          </w:p>
        </w:tc>
      </w:tr>
      <w:tr>
        <w:tblPrEx>
          <w:tblCellMar>
            <w:top w:w="0" w:type="dxa"/>
            <w:left w:w="108" w:type="dxa"/>
            <w:bottom w:w="0" w:type="dxa"/>
            <w:right w:w="108" w:type="dxa"/>
          </w:tblCellMar>
        </w:tblPrEx>
        <w:trPr>
          <w:trHeight w:val="210" w:hRule="atLeast"/>
        </w:trPr>
        <w:tc>
          <w:tcPr>
            <w:tcW w:w="1042" w:type="pct"/>
            <w:vMerge w:val="restart"/>
            <w:tcBorders>
              <w:top w:val="nil"/>
              <w:left w:val="nil"/>
              <w:bottom w:val="single" w:color="000000" w:sz="4" w:space="0"/>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药品名称</w:t>
            </w:r>
          </w:p>
        </w:tc>
        <w:tc>
          <w:tcPr>
            <w:tcW w:w="690" w:type="pct"/>
            <w:tcBorders>
              <w:top w:val="nil"/>
              <w:left w:val="nil"/>
              <w:bottom w:val="single" w:color="auto" w:sz="4" w:space="0"/>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调查时间</w:t>
            </w:r>
          </w:p>
        </w:tc>
        <w:tc>
          <w:tcPr>
            <w:tcW w:w="725" w:type="pct"/>
            <w:tcBorders>
              <w:top w:val="nil"/>
              <w:left w:val="nil"/>
              <w:bottom w:val="single" w:color="auto" w:sz="4" w:space="0"/>
              <w:right w:val="nil"/>
            </w:tcBorders>
            <w:shd w:val="clear" w:color="auto" w:fill="auto"/>
            <w:noWrap/>
            <w:vAlign w:val="center"/>
          </w:tcPr>
          <w:p>
            <w:pPr>
              <w:widowControl/>
              <w:spacing w:line="360" w:lineRule="auto"/>
              <w:jc w:val="right"/>
              <w:rPr>
                <w:rFonts w:ascii="宋体" w:hAnsi="宋体" w:eastAsia="宋体" w:cs="宋体"/>
                <w:kern w:val="0"/>
                <w:sz w:val="24"/>
                <w:szCs w:val="24"/>
              </w:rPr>
            </w:pPr>
            <w:r>
              <w:rPr>
                <w:rFonts w:hint="eastAsia" w:ascii="宋体" w:hAnsi="宋体" w:eastAsia="宋体" w:cs="宋体"/>
                <w:kern w:val="0"/>
                <w:sz w:val="24"/>
                <w:szCs w:val="24"/>
              </w:rPr>
              <w:t>3月11日</w:t>
            </w:r>
          </w:p>
        </w:tc>
        <w:tc>
          <w:tcPr>
            <w:tcW w:w="725" w:type="pct"/>
            <w:tcBorders>
              <w:top w:val="nil"/>
              <w:left w:val="nil"/>
              <w:bottom w:val="single" w:color="auto" w:sz="4" w:space="0"/>
              <w:right w:val="nil"/>
            </w:tcBorders>
            <w:shd w:val="clear" w:color="auto" w:fill="auto"/>
            <w:noWrap/>
            <w:vAlign w:val="center"/>
          </w:tcPr>
          <w:p>
            <w:pPr>
              <w:widowControl/>
              <w:spacing w:line="360" w:lineRule="auto"/>
              <w:jc w:val="right"/>
              <w:rPr>
                <w:rFonts w:ascii="宋体" w:hAnsi="宋体" w:eastAsia="宋体" w:cs="宋体"/>
                <w:kern w:val="0"/>
                <w:sz w:val="24"/>
                <w:szCs w:val="24"/>
              </w:rPr>
            </w:pPr>
            <w:r>
              <w:rPr>
                <w:rFonts w:hint="eastAsia" w:ascii="宋体" w:hAnsi="宋体" w:eastAsia="宋体" w:cs="宋体"/>
                <w:kern w:val="0"/>
                <w:sz w:val="24"/>
                <w:szCs w:val="24"/>
              </w:rPr>
              <w:t>3月18日</w:t>
            </w:r>
          </w:p>
        </w:tc>
        <w:tc>
          <w:tcPr>
            <w:tcW w:w="725" w:type="pct"/>
            <w:tcBorders>
              <w:top w:val="nil"/>
              <w:left w:val="nil"/>
              <w:bottom w:val="single" w:color="auto" w:sz="4" w:space="0"/>
              <w:right w:val="nil"/>
            </w:tcBorders>
            <w:shd w:val="clear" w:color="auto" w:fill="auto"/>
            <w:noWrap/>
            <w:vAlign w:val="center"/>
          </w:tcPr>
          <w:p>
            <w:pPr>
              <w:widowControl/>
              <w:spacing w:line="360" w:lineRule="auto"/>
              <w:jc w:val="right"/>
              <w:rPr>
                <w:rFonts w:ascii="宋体" w:hAnsi="宋体" w:eastAsia="宋体" w:cs="宋体"/>
                <w:kern w:val="0"/>
                <w:sz w:val="24"/>
                <w:szCs w:val="24"/>
              </w:rPr>
            </w:pPr>
            <w:r>
              <w:rPr>
                <w:rFonts w:hint="eastAsia" w:ascii="宋体" w:hAnsi="宋体" w:eastAsia="宋体" w:cs="宋体"/>
                <w:kern w:val="0"/>
                <w:sz w:val="24"/>
                <w:szCs w:val="24"/>
              </w:rPr>
              <w:t>3月25日</w:t>
            </w:r>
          </w:p>
        </w:tc>
        <w:tc>
          <w:tcPr>
            <w:tcW w:w="1093" w:type="pct"/>
            <w:tcBorders>
              <w:top w:val="nil"/>
              <w:left w:val="nil"/>
              <w:bottom w:val="single" w:color="auto" w:sz="4" w:space="0"/>
              <w:right w:val="nil"/>
            </w:tcBorders>
            <w:shd w:val="clear" w:color="auto" w:fill="auto"/>
            <w:noWrap/>
            <w:vAlign w:val="center"/>
          </w:tcPr>
          <w:p>
            <w:pPr>
              <w:widowControl/>
              <w:spacing w:line="36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10" w:hRule="atLeast"/>
        </w:trPr>
        <w:tc>
          <w:tcPr>
            <w:tcW w:w="1042" w:type="pct"/>
            <w:vMerge w:val="continue"/>
            <w:tcBorders>
              <w:top w:val="nil"/>
              <w:left w:val="nil"/>
              <w:bottom w:val="single" w:color="000000" w:sz="4" w:space="0"/>
              <w:right w:val="nil"/>
            </w:tcBorders>
            <w:vAlign w:val="center"/>
          </w:tcPr>
          <w:p>
            <w:pPr>
              <w:widowControl/>
              <w:spacing w:line="360" w:lineRule="auto"/>
              <w:jc w:val="left"/>
              <w:rPr>
                <w:rFonts w:ascii="宋体" w:hAnsi="宋体" w:eastAsia="宋体" w:cs="宋体"/>
                <w:kern w:val="0"/>
                <w:sz w:val="24"/>
                <w:szCs w:val="24"/>
              </w:rPr>
            </w:pPr>
          </w:p>
        </w:tc>
        <w:tc>
          <w:tcPr>
            <w:tcW w:w="690" w:type="pct"/>
            <w:tcBorders>
              <w:top w:val="nil"/>
              <w:left w:val="nil"/>
              <w:bottom w:val="single" w:color="auto" w:sz="4" w:space="0"/>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使用浓度</w:t>
            </w:r>
          </w:p>
        </w:tc>
        <w:tc>
          <w:tcPr>
            <w:tcW w:w="725" w:type="pct"/>
            <w:tcBorders>
              <w:top w:val="nil"/>
              <w:left w:val="nil"/>
              <w:bottom w:val="single" w:color="auto" w:sz="4" w:space="0"/>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发病率%</w:t>
            </w:r>
          </w:p>
        </w:tc>
        <w:tc>
          <w:tcPr>
            <w:tcW w:w="725" w:type="pct"/>
            <w:tcBorders>
              <w:top w:val="nil"/>
              <w:left w:val="nil"/>
              <w:bottom w:val="single" w:color="auto" w:sz="4" w:space="0"/>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发病率%</w:t>
            </w:r>
          </w:p>
        </w:tc>
        <w:tc>
          <w:tcPr>
            <w:tcW w:w="725" w:type="pct"/>
            <w:tcBorders>
              <w:top w:val="nil"/>
              <w:left w:val="nil"/>
              <w:bottom w:val="single" w:color="auto" w:sz="4" w:space="0"/>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发病率%</w:t>
            </w:r>
          </w:p>
        </w:tc>
        <w:tc>
          <w:tcPr>
            <w:tcW w:w="1093" w:type="pct"/>
            <w:tcBorders>
              <w:top w:val="nil"/>
              <w:left w:val="nil"/>
              <w:bottom w:val="single" w:color="auto" w:sz="4" w:space="0"/>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相对防效%</w:t>
            </w:r>
          </w:p>
        </w:tc>
      </w:tr>
      <w:tr>
        <w:tblPrEx>
          <w:tblCellMar>
            <w:top w:w="0" w:type="dxa"/>
            <w:left w:w="108" w:type="dxa"/>
            <w:bottom w:w="0" w:type="dxa"/>
            <w:right w:w="108" w:type="dxa"/>
          </w:tblCellMar>
        </w:tblPrEx>
        <w:trPr>
          <w:trHeight w:val="210" w:hRule="atLeast"/>
        </w:trPr>
        <w:tc>
          <w:tcPr>
            <w:tcW w:w="1042"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清水</w:t>
            </w:r>
          </w:p>
        </w:tc>
        <w:tc>
          <w:tcPr>
            <w:tcW w:w="690"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p>
        </w:tc>
        <w:tc>
          <w:tcPr>
            <w:tcW w:w="725"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 xml:space="preserve">25.56 </w:t>
            </w:r>
          </w:p>
        </w:tc>
        <w:tc>
          <w:tcPr>
            <w:tcW w:w="725"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 xml:space="preserve">52.89 </w:t>
            </w:r>
          </w:p>
        </w:tc>
        <w:tc>
          <w:tcPr>
            <w:tcW w:w="725"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 xml:space="preserve">90.12 </w:t>
            </w:r>
          </w:p>
        </w:tc>
        <w:tc>
          <w:tcPr>
            <w:tcW w:w="1093"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210" w:hRule="atLeast"/>
        </w:trPr>
        <w:tc>
          <w:tcPr>
            <w:tcW w:w="1042"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50%多菌灵</w:t>
            </w:r>
          </w:p>
        </w:tc>
        <w:tc>
          <w:tcPr>
            <w:tcW w:w="690"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750</w:t>
            </w:r>
          </w:p>
        </w:tc>
        <w:tc>
          <w:tcPr>
            <w:tcW w:w="725"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 xml:space="preserve">7.11 </w:t>
            </w:r>
          </w:p>
        </w:tc>
        <w:tc>
          <w:tcPr>
            <w:tcW w:w="725"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 xml:space="preserve">7.21 </w:t>
            </w:r>
          </w:p>
        </w:tc>
        <w:tc>
          <w:tcPr>
            <w:tcW w:w="725"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 xml:space="preserve">7.21 </w:t>
            </w:r>
          </w:p>
        </w:tc>
        <w:tc>
          <w:tcPr>
            <w:tcW w:w="1093"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 xml:space="preserve">92.00 </w:t>
            </w:r>
          </w:p>
        </w:tc>
      </w:tr>
      <w:tr>
        <w:tblPrEx>
          <w:tblCellMar>
            <w:top w:w="0" w:type="dxa"/>
            <w:left w:w="108" w:type="dxa"/>
            <w:bottom w:w="0" w:type="dxa"/>
            <w:right w:w="108" w:type="dxa"/>
          </w:tblCellMar>
        </w:tblPrEx>
        <w:trPr>
          <w:trHeight w:val="210" w:hRule="atLeast"/>
        </w:trPr>
        <w:tc>
          <w:tcPr>
            <w:tcW w:w="1042"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70%甲基硫菌灵</w:t>
            </w:r>
          </w:p>
        </w:tc>
        <w:tc>
          <w:tcPr>
            <w:tcW w:w="690"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25"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 xml:space="preserve">3.82 </w:t>
            </w:r>
          </w:p>
        </w:tc>
        <w:tc>
          <w:tcPr>
            <w:tcW w:w="725"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 xml:space="preserve">5.05 </w:t>
            </w:r>
          </w:p>
        </w:tc>
        <w:tc>
          <w:tcPr>
            <w:tcW w:w="725"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 xml:space="preserve">5.05 </w:t>
            </w:r>
          </w:p>
        </w:tc>
        <w:tc>
          <w:tcPr>
            <w:tcW w:w="1093"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 xml:space="preserve">94.40 </w:t>
            </w:r>
          </w:p>
        </w:tc>
      </w:tr>
      <w:tr>
        <w:tblPrEx>
          <w:tblCellMar>
            <w:top w:w="0" w:type="dxa"/>
            <w:left w:w="108" w:type="dxa"/>
            <w:bottom w:w="0" w:type="dxa"/>
            <w:right w:w="108" w:type="dxa"/>
          </w:tblCellMar>
        </w:tblPrEx>
        <w:trPr>
          <w:trHeight w:val="210" w:hRule="atLeast"/>
        </w:trPr>
        <w:tc>
          <w:tcPr>
            <w:tcW w:w="1042"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80%代森锰锌</w:t>
            </w:r>
          </w:p>
        </w:tc>
        <w:tc>
          <w:tcPr>
            <w:tcW w:w="690"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25"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 xml:space="preserve">14.98 </w:t>
            </w:r>
          </w:p>
        </w:tc>
        <w:tc>
          <w:tcPr>
            <w:tcW w:w="725"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 xml:space="preserve">16.10 </w:t>
            </w:r>
          </w:p>
        </w:tc>
        <w:tc>
          <w:tcPr>
            <w:tcW w:w="725"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 xml:space="preserve">16.96 </w:t>
            </w:r>
          </w:p>
        </w:tc>
        <w:tc>
          <w:tcPr>
            <w:tcW w:w="1093" w:type="pct"/>
            <w:tcBorders>
              <w:top w:val="nil"/>
              <w:left w:val="nil"/>
              <w:bottom w:val="nil"/>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 xml:space="preserve">81.18 </w:t>
            </w:r>
          </w:p>
        </w:tc>
      </w:tr>
      <w:tr>
        <w:tblPrEx>
          <w:tblCellMar>
            <w:top w:w="0" w:type="dxa"/>
            <w:left w:w="108" w:type="dxa"/>
            <w:bottom w:w="0" w:type="dxa"/>
            <w:right w:w="108" w:type="dxa"/>
          </w:tblCellMar>
        </w:tblPrEx>
        <w:trPr>
          <w:trHeight w:val="210" w:hRule="atLeast"/>
        </w:trPr>
        <w:tc>
          <w:tcPr>
            <w:tcW w:w="1042" w:type="pct"/>
            <w:tcBorders>
              <w:top w:val="nil"/>
              <w:left w:val="nil"/>
              <w:bottom w:val="single" w:color="auto" w:sz="4" w:space="0"/>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50%腐霉利</w:t>
            </w:r>
          </w:p>
        </w:tc>
        <w:tc>
          <w:tcPr>
            <w:tcW w:w="690" w:type="pct"/>
            <w:tcBorders>
              <w:top w:val="nil"/>
              <w:left w:val="nil"/>
              <w:bottom w:val="single" w:color="auto" w:sz="4" w:space="0"/>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25" w:type="pct"/>
            <w:tcBorders>
              <w:top w:val="nil"/>
              <w:left w:val="nil"/>
              <w:bottom w:val="single" w:color="auto" w:sz="4" w:space="0"/>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 xml:space="preserve">6.11 </w:t>
            </w:r>
          </w:p>
        </w:tc>
        <w:tc>
          <w:tcPr>
            <w:tcW w:w="725" w:type="pct"/>
            <w:tcBorders>
              <w:top w:val="nil"/>
              <w:left w:val="nil"/>
              <w:bottom w:val="single" w:color="auto" w:sz="4" w:space="0"/>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 xml:space="preserve">13.06 </w:t>
            </w:r>
          </w:p>
        </w:tc>
        <w:tc>
          <w:tcPr>
            <w:tcW w:w="725" w:type="pct"/>
            <w:tcBorders>
              <w:top w:val="nil"/>
              <w:left w:val="nil"/>
              <w:bottom w:val="single" w:color="auto" w:sz="4" w:space="0"/>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 xml:space="preserve">15.53 </w:t>
            </w:r>
          </w:p>
        </w:tc>
        <w:tc>
          <w:tcPr>
            <w:tcW w:w="1093" w:type="pct"/>
            <w:tcBorders>
              <w:top w:val="nil"/>
              <w:left w:val="nil"/>
              <w:bottom w:val="single" w:color="auto" w:sz="4" w:space="0"/>
              <w:right w:val="nil"/>
            </w:tcBorders>
            <w:shd w:val="clear" w:color="auto" w:fill="auto"/>
            <w:noWrap/>
            <w:vAlign w:val="center"/>
          </w:tcPr>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 xml:space="preserve">82.77 </w:t>
            </w:r>
          </w:p>
        </w:tc>
      </w:tr>
    </w:tbl>
    <w:p>
      <w:pPr>
        <w:pStyle w:val="23"/>
        <w:kinsoku w:val="0"/>
        <w:overflowPunct w:val="0"/>
        <w:autoSpaceDE w:val="0"/>
        <w:autoSpaceDN w:val="0"/>
        <w:ind w:left="424" w:leftChars="202" w:firstLine="413" w:firstLineChars="147"/>
        <w:rPr>
          <w:rFonts w:ascii="宋体" w:hAnsi="宋体" w:cs="宋体"/>
          <w:b/>
          <w:sz w:val="28"/>
          <w:szCs w:val="28"/>
        </w:rPr>
      </w:pPr>
      <w:r>
        <w:rPr>
          <w:rFonts w:hint="eastAsia" w:ascii="宋体" w:hAnsi="宋体" w:eastAsia="宋体" w:cs="Times New Roman"/>
          <w:b/>
          <w:sz w:val="28"/>
          <w:szCs w:val="28"/>
        </w:rPr>
        <w:t xml:space="preserve"> </w:t>
      </w:r>
      <w:r>
        <w:rPr>
          <w:rFonts w:hint="eastAsia" w:ascii="宋体" w:hAnsi="宋体" w:eastAsia="宋体" w:cs="Times New Roman"/>
          <w:sz w:val="28"/>
          <w:szCs w:val="28"/>
        </w:rPr>
        <w:t>农药残留检验结果显示，药后40d农药成分的残留量检验，结果显示50%多菌灵残留量3.90mg/kg，比国家标准0.5mg/kg超标7.8倍；</w:t>
      </w:r>
      <w:r>
        <w:rPr>
          <w:rFonts w:hint="eastAsia" w:ascii="宋体" w:hAnsi="宋体" w:eastAsia="宋体" w:cs="宋体"/>
          <w:kern w:val="0"/>
          <w:sz w:val="24"/>
          <w:szCs w:val="24"/>
        </w:rPr>
        <w:t>70%甲基硫菌灵</w:t>
      </w:r>
      <w:r>
        <w:rPr>
          <w:rFonts w:hint="eastAsia" w:ascii="宋体" w:hAnsi="宋体" w:eastAsia="宋体" w:cs="Times New Roman"/>
          <w:sz w:val="28"/>
          <w:szCs w:val="28"/>
        </w:rPr>
        <w:t>残留量1.34mg/kg，比国家标准0.5mg/kg超标2.68倍；80%代森锰锌残留量2.10mg/kg和</w:t>
      </w:r>
      <w:r>
        <w:rPr>
          <w:rFonts w:hint="eastAsia" w:ascii="宋体" w:hAnsi="宋体" w:eastAsia="宋体" w:cs="宋体"/>
          <w:sz w:val="28"/>
          <w:szCs w:val="28"/>
        </w:rPr>
        <w:t>50%腐霉利</w:t>
      </w:r>
      <w:r>
        <w:rPr>
          <w:rFonts w:hint="eastAsia" w:ascii="宋体" w:hAnsi="宋体" w:eastAsia="宋体" w:cs="Times New Roman"/>
          <w:sz w:val="28"/>
          <w:szCs w:val="28"/>
        </w:rPr>
        <w:t>残留量0.98mg/kg，远远低于国家规定的残留标准（5mg/kg）。</w:t>
      </w:r>
    </w:p>
    <w:p>
      <w:pPr>
        <w:pStyle w:val="23"/>
        <w:numPr>
          <w:ilvl w:val="0"/>
          <w:numId w:val="2"/>
        </w:numPr>
        <w:spacing w:line="360" w:lineRule="auto"/>
        <w:ind w:firstLineChars="0"/>
        <w:rPr>
          <w:rFonts w:ascii="宋体" w:hAnsi="宋体" w:cs="宋体"/>
          <w:b/>
          <w:sz w:val="28"/>
          <w:szCs w:val="28"/>
        </w:rPr>
      </w:pPr>
      <w:r>
        <w:rPr>
          <w:rFonts w:hint="eastAsia" w:ascii="宋体" w:hAnsi="宋体" w:cs="宋体"/>
          <w:b/>
          <w:sz w:val="28"/>
          <w:szCs w:val="28"/>
        </w:rPr>
        <w:t>国内同类标准制修订情况及与法律法规、强制性标准关系</w:t>
      </w:r>
    </w:p>
    <w:p>
      <w:pPr>
        <w:pStyle w:val="23"/>
        <w:numPr>
          <w:ilvl w:val="1"/>
          <w:numId w:val="2"/>
        </w:numPr>
        <w:spacing w:line="360" w:lineRule="auto"/>
        <w:ind w:firstLineChars="0"/>
        <w:rPr>
          <w:rFonts w:asciiTheme="minorEastAsia" w:hAnsiTheme="minorEastAsia"/>
          <w:sz w:val="28"/>
          <w:szCs w:val="28"/>
        </w:rPr>
      </w:pPr>
      <w:r>
        <w:rPr>
          <w:rFonts w:hint="eastAsia" w:ascii="宋体" w:hAnsi="宋体" w:cs="宋体"/>
          <w:b/>
          <w:sz w:val="28"/>
          <w:szCs w:val="28"/>
        </w:rPr>
        <w:t>与同类标准区别</w:t>
      </w:r>
    </w:p>
    <w:p>
      <w:pPr>
        <w:pStyle w:val="13"/>
        <w:spacing w:line="360" w:lineRule="auto"/>
        <w:ind w:left="424" w:leftChars="202" w:firstLineChars="150"/>
        <w:rPr>
          <w:rFonts w:asciiTheme="minorEastAsia" w:hAnsiTheme="minorEastAsia" w:eastAsiaTheme="minorEastAsia" w:cstheme="minorBidi"/>
          <w:kern w:val="2"/>
          <w:sz w:val="28"/>
          <w:szCs w:val="28"/>
        </w:rPr>
      </w:pPr>
      <w:r>
        <w:rPr>
          <w:rFonts w:hint="eastAsia" w:asciiTheme="minorEastAsia" w:hAnsiTheme="minorEastAsia" w:eastAsiaTheme="minorEastAsia" w:cstheme="minorBidi"/>
          <w:kern w:val="2"/>
          <w:sz w:val="28"/>
          <w:szCs w:val="28"/>
        </w:rPr>
        <w:t>《DB42/T 1624-2021 果桑菌核病绿色防控技术规程》、《DB50/T 542-2014 果桑桑椹菌核病防治技术规程》、《DB51/T 2461-2018 桑椹菌核病防控技术规程》三个地方标准分别针对湖北省、重庆市和四川省的桑椹菌核病的防治进行规范。经过详细比对，这三个规程提及的病源与广西的桑椹菌核病应同属类病原，但病害的发生时间不尽相同，防治策略和方法上也略有差异。而此规程主要结合广西的地理气候、果桑栽培品种、以及地方栽培模式对桑椹菌核病的发生防治进行编制，旨在针对广西桑椹菌核病发生情况提出综合防治措施，文中提出了桑椹菌核病监测和防治适期，针对广西桑椹菌核病防治提出了较为详细的防治措施。</w:t>
      </w:r>
    </w:p>
    <w:p>
      <w:pPr>
        <w:pStyle w:val="13"/>
        <w:spacing w:line="360" w:lineRule="auto"/>
        <w:ind w:left="424" w:leftChars="202" w:firstLine="560"/>
        <w:rPr>
          <w:rFonts w:asciiTheme="minorEastAsia" w:hAnsiTheme="minorEastAsia" w:eastAsiaTheme="minorEastAsia" w:cstheme="minorBidi"/>
          <w:kern w:val="2"/>
          <w:sz w:val="28"/>
          <w:szCs w:val="28"/>
        </w:rPr>
      </w:pPr>
      <w:r>
        <w:rPr>
          <w:rFonts w:hint="eastAsia" w:asciiTheme="minorEastAsia" w:hAnsiTheme="minorEastAsia" w:eastAsiaTheme="minorEastAsia" w:cstheme="minorBidi"/>
          <w:kern w:val="2"/>
          <w:sz w:val="28"/>
          <w:szCs w:val="28"/>
        </w:rPr>
        <w:t>《</w:t>
      </w:r>
      <w:r>
        <w:rPr>
          <w:rFonts w:asciiTheme="minorEastAsia" w:hAnsiTheme="minorEastAsia" w:eastAsiaTheme="minorEastAsia" w:cstheme="minorBidi"/>
          <w:kern w:val="2"/>
          <w:sz w:val="28"/>
          <w:szCs w:val="28"/>
        </w:rPr>
        <w:t>DB45/T 433</w:t>
      </w:r>
      <w:r>
        <w:rPr>
          <w:rFonts w:hint="eastAsia" w:asciiTheme="minorEastAsia" w:hAnsiTheme="minorEastAsia" w:eastAsiaTheme="minorEastAsia" w:cstheme="minorBidi"/>
          <w:kern w:val="2"/>
          <w:sz w:val="28"/>
          <w:szCs w:val="28"/>
        </w:rPr>
        <w:t>-</w:t>
      </w:r>
      <w:r>
        <w:rPr>
          <w:rFonts w:asciiTheme="minorEastAsia" w:hAnsiTheme="minorEastAsia" w:eastAsiaTheme="minorEastAsia" w:cstheme="minorBidi"/>
          <w:kern w:val="2"/>
          <w:sz w:val="28"/>
          <w:szCs w:val="28"/>
        </w:rPr>
        <w:t>2007</w:t>
      </w:r>
      <w:r>
        <w:rPr>
          <w:rFonts w:hint="eastAsia" w:asciiTheme="minorEastAsia" w:hAnsiTheme="minorEastAsia" w:eastAsiaTheme="minorEastAsia" w:cstheme="minorBidi"/>
          <w:kern w:val="2"/>
          <w:sz w:val="28"/>
          <w:szCs w:val="28"/>
        </w:rPr>
        <w:t xml:space="preserve"> 桑树主要病虫害综合防治技术规程》主要是对桑树部分病虫害编制的综合防治技术规程，对桑园部分病虫害的综合防治方法进行了概括，提出了化学防治适期和综合防治的常用农药，但是并未提及桑椹菌核病防治进行规范。</w:t>
      </w:r>
    </w:p>
    <w:p>
      <w:pPr>
        <w:pStyle w:val="23"/>
        <w:numPr>
          <w:ilvl w:val="1"/>
          <w:numId w:val="2"/>
        </w:numPr>
        <w:spacing w:line="360" w:lineRule="auto"/>
        <w:ind w:firstLineChars="0"/>
        <w:rPr>
          <w:rFonts w:asciiTheme="minorEastAsia" w:hAnsiTheme="minorEastAsia"/>
          <w:b/>
          <w:sz w:val="28"/>
          <w:szCs w:val="28"/>
        </w:rPr>
      </w:pPr>
      <w:r>
        <w:rPr>
          <w:rFonts w:hint="eastAsia" w:asciiTheme="minorEastAsia" w:hAnsiTheme="minorEastAsia"/>
          <w:b/>
          <w:sz w:val="28"/>
          <w:szCs w:val="28"/>
        </w:rPr>
        <w:t>创新点</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广西地处亚热带季风气候区，冬季</w:t>
      </w:r>
      <w:r>
        <w:rPr>
          <w:rFonts w:asciiTheme="minorEastAsia" w:hAnsiTheme="minorEastAsia"/>
          <w:sz w:val="28"/>
          <w:szCs w:val="28"/>
        </w:rPr>
        <w:t>霜少无雪</w:t>
      </w:r>
      <w:r>
        <w:rPr>
          <w:rFonts w:hint="eastAsia" w:asciiTheme="minorEastAsia" w:hAnsiTheme="minorEastAsia"/>
          <w:sz w:val="28"/>
          <w:szCs w:val="28"/>
        </w:rPr>
        <w:t>、</w:t>
      </w:r>
      <w:r>
        <w:rPr>
          <w:rFonts w:asciiTheme="minorEastAsia" w:hAnsiTheme="minorEastAsia"/>
          <w:sz w:val="28"/>
          <w:szCs w:val="28"/>
        </w:rPr>
        <w:t>气候温和</w:t>
      </w:r>
      <w:r>
        <w:rPr>
          <w:rFonts w:hint="eastAsia" w:asciiTheme="minorEastAsia" w:hAnsiTheme="minorEastAsia"/>
          <w:sz w:val="28"/>
          <w:szCs w:val="28"/>
        </w:rPr>
        <w:t>、春</w:t>
      </w:r>
      <w:r>
        <w:rPr>
          <w:rFonts w:asciiTheme="minorEastAsia" w:hAnsiTheme="minorEastAsia"/>
          <w:sz w:val="28"/>
          <w:szCs w:val="28"/>
        </w:rPr>
        <w:t>天</w:t>
      </w:r>
      <w:r>
        <w:rPr>
          <w:rFonts w:hint="eastAsia" w:asciiTheme="minorEastAsia" w:hAnsiTheme="minorEastAsia"/>
          <w:sz w:val="28"/>
          <w:szCs w:val="28"/>
        </w:rPr>
        <w:t>经常</w:t>
      </w:r>
      <w:r>
        <w:rPr>
          <w:rFonts w:asciiTheme="minorEastAsia" w:hAnsiTheme="minorEastAsia"/>
          <w:sz w:val="28"/>
          <w:szCs w:val="28"/>
        </w:rPr>
        <w:t>有回南天</w:t>
      </w:r>
      <w:r>
        <w:rPr>
          <w:rFonts w:hint="eastAsia" w:asciiTheme="minorEastAsia" w:hAnsiTheme="minorEastAsia"/>
          <w:sz w:val="28"/>
          <w:szCs w:val="28"/>
        </w:rPr>
        <w:t>气使得空气闷热潮湿的气候特点</w:t>
      </w:r>
      <w:r>
        <w:rPr>
          <w:rFonts w:asciiTheme="minorEastAsia" w:hAnsiTheme="minorEastAsia"/>
          <w:sz w:val="28"/>
          <w:szCs w:val="28"/>
        </w:rPr>
        <w:t>，</w:t>
      </w:r>
      <w:r>
        <w:rPr>
          <w:rFonts w:hint="eastAsia" w:asciiTheme="minorEastAsia" w:hAnsiTheme="minorEastAsia"/>
          <w:sz w:val="28"/>
          <w:szCs w:val="28"/>
        </w:rPr>
        <w:t>对广西桑椹菌核病的菌核萌发和菌丝生长非常有利，直接决定了广西桑椹菌核病病害的发生时期和发生的严重程度。本规程的创新点在于根据广西桑椹菌核病的气候特点和侵染循环提出桑椹菌核病的综合防治方</w:t>
      </w:r>
      <w:bookmarkStart w:id="0" w:name="_GoBack"/>
      <w:bookmarkEnd w:id="0"/>
      <w:r>
        <w:rPr>
          <w:rFonts w:hint="eastAsia" w:asciiTheme="minorEastAsia" w:hAnsiTheme="minorEastAsia"/>
          <w:sz w:val="28"/>
          <w:szCs w:val="28"/>
        </w:rPr>
        <w:t>法，结合广西果桑品种和栽培模式提出了桑椹菌核病的防治指标，对桑椹菌核病发生的预测和防治具有针对性，对指导广西地域内桑椹菌核病的有效防控具有重要意义，仅适用于本区域。</w:t>
      </w:r>
    </w:p>
    <w:p>
      <w:pPr>
        <w:pStyle w:val="23"/>
        <w:numPr>
          <w:ilvl w:val="0"/>
          <w:numId w:val="2"/>
        </w:numPr>
        <w:spacing w:line="360" w:lineRule="auto"/>
        <w:ind w:firstLineChars="0"/>
        <w:rPr>
          <w:rFonts w:ascii="宋体" w:hAnsi="宋体" w:eastAsia="宋体" w:cs="仿宋_GB2312"/>
          <w:b/>
          <w:sz w:val="28"/>
          <w:szCs w:val="28"/>
        </w:rPr>
      </w:pPr>
      <w:r>
        <w:rPr>
          <w:rFonts w:hint="eastAsia" w:ascii="宋体" w:hAnsi="宋体" w:cs="宋体"/>
          <w:b/>
          <w:sz w:val="28"/>
          <w:szCs w:val="28"/>
        </w:rPr>
        <w:t>与现行法律和强制性标准的关系</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本标准的内容与现行的法律、法规及强制性标准无冲突。</w:t>
      </w:r>
    </w:p>
    <w:p>
      <w:pPr>
        <w:pStyle w:val="23"/>
        <w:numPr>
          <w:ilvl w:val="0"/>
          <w:numId w:val="2"/>
        </w:numPr>
        <w:spacing w:line="360" w:lineRule="auto"/>
        <w:ind w:firstLineChars="0"/>
        <w:rPr>
          <w:rFonts w:ascii="宋体" w:hAnsi="宋体" w:eastAsia="宋体"/>
          <w:b/>
          <w:sz w:val="28"/>
          <w:szCs w:val="28"/>
        </w:rPr>
      </w:pPr>
      <w:r>
        <w:rPr>
          <w:rFonts w:hint="eastAsia" w:ascii="宋体" w:hAnsi="宋体" w:eastAsia="宋体"/>
          <w:b/>
          <w:sz w:val="28"/>
          <w:szCs w:val="28"/>
        </w:rPr>
        <w:t>自我承诺</w:t>
      </w:r>
    </w:p>
    <w:p>
      <w:pPr>
        <w:rPr>
          <w:rFonts w:ascii="宋体" w:hAnsi="宋体" w:eastAsia="宋体"/>
          <w:b/>
          <w:sz w:val="28"/>
          <w:szCs w:val="28"/>
        </w:rPr>
      </w:pPr>
      <w:r>
        <w:rPr>
          <w:rFonts w:hint="eastAsia" w:ascii="宋体" w:hAnsi="宋体" w:eastAsia="宋体"/>
          <w:b/>
          <w:sz w:val="28"/>
          <w:szCs w:val="28"/>
        </w:rPr>
        <w:t xml:space="preserve">   承诺标准内容和各项指标不低于国家强制性标准。</w:t>
      </w:r>
    </w:p>
    <w:p>
      <w:pPr>
        <w:spacing w:line="360" w:lineRule="auto"/>
      </w:pPr>
    </w:p>
    <w:p>
      <w:pPr>
        <w:spacing w:line="560" w:lineRule="exact"/>
        <w:ind w:firstLine="560" w:firstLineChars="200"/>
        <w:jc w:val="center"/>
        <w:rPr>
          <w:rFonts w:ascii="宋体" w:hAnsi="宋体" w:cs="宋体"/>
          <w:bCs/>
          <w:sz w:val="28"/>
          <w:szCs w:val="28"/>
        </w:rPr>
      </w:pPr>
      <w:r>
        <w:rPr>
          <w:rFonts w:hint="eastAsia" w:ascii="宋体" w:hAnsi="宋体" w:cs="宋体"/>
          <w:bCs/>
          <w:sz w:val="28"/>
          <w:szCs w:val="28"/>
        </w:rPr>
        <w:t xml:space="preserve">                  《</w:t>
      </w:r>
      <w:r>
        <w:rPr>
          <w:rFonts w:ascii="宋体" w:hAnsi="宋体" w:cs="宋体"/>
          <w:sz w:val="28"/>
          <w:szCs w:val="28"/>
        </w:rPr>
        <w:t>桑椹菌核病</w:t>
      </w:r>
      <w:r>
        <w:rPr>
          <w:rFonts w:hint="eastAsia" w:ascii="宋体" w:hAnsi="宋体" w:cs="宋体"/>
          <w:bCs/>
          <w:sz w:val="28"/>
          <w:szCs w:val="28"/>
        </w:rPr>
        <w:t>防治技术规程》编制工作组</w:t>
      </w:r>
    </w:p>
    <w:p>
      <w:pPr>
        <w:spacing w:line="560" w:lineRule="exact"/>
        <w:ind w:firstLine="4480" w:firstLineChars="1600"/>
        <w:rPr>
          <w:rFonts w:ascii="宋体" w:hAnsi="宋体" w:cs="宋体"/>
          <w:bCs/>
          <w:sz w:val="28"/>
          <w:szCs w:val="28"/>
        </w:rPr>
      </w:pPr>
      <w:r>
        <w:rPr>
          <w:rFonts w:hint="eastAsia" w:ascii="宋体" w:hAnsi="宋体" w:cs="宋体"/>
          <w:bCs/>
          <w:sz w:val="28"/>
          <w:szCs w:val="28"/>
        </w:rPr>
        <w:t>20</w:t>
      </w:r>
      <w:r>
        <w:rPr>
          <w:rFonts w:ascii="宋体" w:hAnsi="宋体" w:cs="宋体"/>
          <w:bCs/>
          <w:sz w:val="28"/>
          <w:szCs w:val="28"/>
        </w:rPr>
        <w:t>2</w:t>
      </w:r>
      <w:r>
        <w:rPr>
          <w:rFonts w:hint="eastAsia" w:ascii="宋体" w:hAnsi="宋体" w:cs="宋体"/>
          <w:bCs/>
          <w:sz w:val="28"/>
          <w:szCs w:val="28"/>
        </w:rPr>
        <w:t>2年12月20日</w:t>
      </w:r>
    </w:p>
    <w:p>
      <w:pPr>
        <w:spacing w:line="360" w:lineRule="auto"/>
      </w:pPr>
    </w:p>
    <w:sectPr>
      <w:footerReference r:id="rId3" w:type="default"/>
      <w:pgSz w:w="11906" w:h="16838"/>
      <w:pgMar w:top="1440" w:right="1463" w:bottom="1383"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
                </w:pPr>
                <w:r>
                  <w:fldChar w:fldCharType="begin"/>
                </w:r>
                <w:r>
                  <w:instrText xml:space="preserve"> PAGE  \* MERGEFORMAT </w:instrText>
                </w:r>
                <w:r>
                  <w:fldChar w:fldCharType="separate"/>
                </w:r>
                <w:r>
                  <w:t>3</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3F6EC2"/>
    <w:multiLevelType w:val="multilevel"/>
    <w:tmpl w:val="3C3F6EC2"/>
    <w:lvl w:ilvl="0" w:tentative="0">
      <w:start w:val="1"/>
      <w:numFmt w:val="decimal"/>
      <w:lvlText w:val="%1"/>
      <w:lvlJc w:val="left"/>
      <w:pPr>
        <w:ind w:left="425" w:hanging="425"/>
      </w:pPr>
      <w:rPr>
        <w:rFonts w:hint="eastAsia"/>
      </w:rPr>
    </w:lvl>
    <w:lvl w:ilvl="1" w:tentative="0">
      <w:start w:val="1"/>
      <w:numFmt w:val="decimal"/>
      <w:lvlText w:val="%1.%2"/>
      <w:lvlJc w:val="left"/>
      <w:pPr>
        <w:ind w:left="851" w:hanging="567"/>
      </w:pPr>
      <w:rPr>
        <w:rFonts w:hint="eastAsia"/>
        <w:b/>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6CEA2025"/>
    <w:multiLevelType w:val="multilevel"/>
    <w:tmpl w:val="6CEA2025"/>
    <w:lvl w:ilvl="0" w:tentative="0">
      <w:start w:val="1"/>
      <w:numFmt w:val="none"/>
      <w:pStyle w:val="21"/>
      <w:suff w:val="nothing"/>
      <w:lvlText w:val="%1"/>
      <w:lvlJc w:val="left"/>
      <w:pPr>
        <w:ind w:left="0" w:firstLine="0"/>
      </w:pPr>
      <w:rPr>
        <w:rFonts w:hint="eastAsia"/>
      </w:rPr>
    </w:lvl>
    <w:lvl w:ilvl="1" w:tentative="0">
      <w:start w:val="1"/>
      <w:numFmt w:val="decimal"/>
      <w:pStyle w:val="19"/>
      <w:suff w:val="nothing"/>
      <w:lvlText w:val="%1%2　"/>
      <w:lvlJc w:val="left"/>
      <w:pPr>
        <w:ind w:left="0" w:firstLine="0"/>
      </w:pPr>
      <w:rPr>
        <w:rFonts w:hint="eastAsia" w:ascii="黑体" w:eastAsia="黑体"/>
        <w:b w:val="0"/>
        <w:i w:val="0"/>
        <w:sz w:val="21"/>
      </w:rPr>
    </w:lvl>
    <w:lvl w:ilvl="2" w:tentative="0">
      <w:start w:val="1"/>
      <w:numFmt w:val="decimal"/>
      <w:pStyle w:val="20"/>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5"/>
      <w:suff w:val="nothing"/>
      <w:lvlText w:val="%1%2.%3.%4　"/>
      <w:lvlJc w:val="left"/>
      <w:pPr>
        <w:ind w:left="993" w:firstLine="0"/>
      </w:pPr>
      <w:rPr>
        <w:rFonts w:hint="eastAsia" w:ascii="黑体" w:eastAsia="黑体"/>
        <w:b w:val="0"/>
        <w:i w:val="0"/>
        <w:sz w:val="21"/>
      </w:rPr>
    </w:lvl>
    <w:lvl w:ilvl="4" w:tentative="0">
      <w:start w:val="1"/>
      <w:numFmt w:val="decimal"/>
      <w:pStyle w:val="16"/>
      <w:suff w:val="nothing"/>
      <w:lvlText w:val="%1%2.%3.%4.%5　"/>
      <w:lvlJc w:val="left"/>
      <w:pPr>
        <w:ind w:left="0" w:firstLine="0"/>
      </w:pPr>
      <w:rPr>
        <w:rFonts w:hint="eastAsia" w:ascii="黑体" w:eastAsia="黑体"/>
        <w:b w:val="0"/>
        <w:i w:val="0"/>
        <w:sz w:val="21"/>
      </w:rPr>
    </w:lvl>
    <w:lvl w:ilvl="5" w:tentative="0">
      <w:start w:val="1"/>
      <w:numFmt w:val="decimal"/>
      <w:pStyle w:val="17"/>
      <w:suff w:val="nothing"/>
      <w:lvlText w:val="%1%2.%3.%4.%5.%6　"/>
      <w:lvlJc w:val="left"/>
      <w:pPr>
        <w:ind w:left="0" w:firstLine="0"/>
      </w:pPr>
      <w:rPr>
        <w:rFonts w:hint="eastAsia" w:ascii="黑体" w:eastAsia="黑体"/>
        <w:b w:val="0"/>
        <w:i w:val="0"/>
        <w:sz w:val="21"/>
      </w:rPr>
    </w:lvl>
    <w:lvl w:ilvl="6" w:tentative="0">
      <w:start w:val="1"/>
      <w:numFmt w:val="decimal"/>
      <w:pStyle w:val="1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cwMzBhNDA5MWZkNjNjNjFjNmFkMDk0MGQ5YjMxZTYifQ=="/>
  </w:docVars>
  <w:rsids>
    <w:rsidRoot w:val="00C41F84"/>
    <w:rsid w:val="00000E2E"/>
    <w:rsid w:val="00020E1E"/>
    <w:rsid w:val="00036057"/>
    <w:rsid w:val="0005570D"/>
    <w:rsid w:val="000C6DFF"/>
    <w:rsid w:val="000E6752"/>
    <w:rsid w:val="00120223"/>
    <w:rsid w:val="00170AB6"/>
    <w:rsid w:val="00172898"/>
    <w:rsid w:val="00183435"/>
    <w:rsid w:val="00187620"/>
    <w:rsid w:val="001E0F2A"/>
    <w:rsid w:val="001E2AA4"/>
    <w:rsid w:val="002275B3"/>
    <w:rsid w:val="00280202"/>
    <w:rsid w:val="003323A4"/>
    <w:rsid w:val="0038642C"/>
    <w:rsid w:val="003E2144"/>
    <w:rsid w:val="00410E1B"/>
    <w:rsid w:val="00427FEA"/>
    <w:rsid w:val="00440CA3"/>
    <w:rsid w:val="00442D43"/>
    <w:rsid w:val="004632BC"/>
    <w:rsid w:val="00486C6A"/>
    <w:rsid w:val="004A5B79"/>
    <w:rsid w:val="00503AA5"/>
    <w:rsid w:val="00505897"/>
    <w:rsid w:val="00516203"/>
    <w:rsid w:val="0052539C"/>
    <w:rsid w:val="00531AE4"/>
    <w:rsid w:val="0056696D"/>
    <w:rsid w:val="005765E7"/>
    <w:rsid w:val="005B1D15"/>
    <w:rsid w:val="005B368A"/>
    <w:rsid w:val="005F19B8"/>
    <w:rsid w:val="00607E7D"/>
    <w:rsid w:val="00625A62"/>
    <w:rsid w:val="00674B42"/>
    <w:rsid w:val="006815A0"/>
    <w:rsid w:val="00692F38"/>
    <w:rsid w:val="00694D6E"/>
    <w:rsid w:val="006B5474"/>
    <w:rsid w:val="006C606A"/>
    <w:rsid w:val="006F294E"/>
    <w:rsid w:val="0070114F"/>
    <w:rsid w:val="00706E10"/>
    <w:rsid w:val="00730E89"/>
    <w:rsid w:val="007707E6"/>
    <w:rsid w:val="007710FF"/>
    <w:rsid w:val="007978BB"/>
    <w:rsid w:val="007B7F77"/>
    <w:rsid w:val="007F77B5"/>
    <w:rsid w:val="00856A5F"/>
    <w:rsid w:val="00893E8C"/>
    <w:rsid w:val="008A0DD5"/>
    <w:rsid w:val="008C0EE1"/>
    <w:rsid w:val="008C161B"/>
    <w:rsid w:val="009129BE"/>
    <w:rsid w:val="009446D7"/>
    <w:rsid w:val="009D7F3F"/>
    <w:rsid w:val="00A43B1F"/>
    <w:rsid w:val="00A53DA9"/>
    <w:rsid w:val="00A55345"/>
    <w:rsid w:val="00AC759F"/>
    <w:rsid w:val="00AD62A2"/>
    <w:rsid w:val="00AF7A41"/>
    <w:rsid w:val="00B240E6"/>
    <w:rsid w:val="00B3169F"/>
    <w:rsid w:val="00B43C9A"/>
    <w:rsid w:val="00B56771"/>
    <w:rsid w:val="00B9011E"/>
    <w:rsid w:val="00B97D70"/>
    <w:rsid w:val="00BD5FC4"/>
    <w:rsid w:val="00BE1A6D"/>
    <w:rsid w:val="00BE432C"/>
    <w:rsid w:val="00BE4621"/>
    <w:rsid w:val="00BF5E60"/>
    <w:rsid w:val="00C138E5"/>
    <w:rsid w:val="00C2316F"/>
    <w:rsid w:val="00C41F84"/>
    <w:rsid w:val="00C42ECD"/>
    <w:rsid w:val="00C67513"/>
    <w:rsid w:val="00C83E3A"/>
    <w:rsid w:val="00CC5A7F"/>
    <w:rsid w:val="00CF4506"/>
    <w:rsid w:val="00D41650"/>
    <w:rsid w:val="00D6229C"/>
    <w:rsid w:val="00D63768"/>
    <w:rsid w:val="00D65A3E"/>
    <w:rsid w:val="00D676D3"/>
    <w:rsid w:val="00DF23AC"/>
    <w:rsid w:val="00DF53B5"/>
    <w:rsid w:val="00E20E46"/>
    <w:rsid w:val="00E726ED"/>
    <w:rsid w:val="00E8007F"/>
    <w:rsid w:val="00EE4C6A"/>
    <w:rsid w:val="00F46393"/>
    <w:rsid w:val="00F53E00"/>
    <w:rsid w:val="00F73DA3"/>
    <w:rsid w:val="00F809AD"/>
    <w:rsid w:val="00F96224"/>
    <w:rsid w:val="67134000"/>
    <w:rsid w:val="7B430CF1"/>
    <w:rsid w:val="7FCD59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25"/>
    <w:semiHidden/>
    <w:unhideWhenUsed/>
    <w:qFormat/>
    <w:uiPriority w:val="99"/>
    <w:pPr>
      <w:adjustRightInd w:val="0"/>
      <w:spacing w:line="400" w:lineRule="exact"/>
    </w:pPr>
    <w:rPr>
      <w:rFonts w:ascii="Calibri" w:hAnsi="Calibri" w:eastAsia="宋体" w:cs="Times New Roman"/>
      <w:sz w:val="18"/>
      <w:szCs w:val="18"/>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customStyle="1" w:styleId="10">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11">
    <w:name w:val="标准文件_段"/>
    <w:link w:val="1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
    <w:name w:val="标准文件_段 Char"/>
    <w:link w:val="11"/>
    <w:qFormat/>
    <w:uiPriority w:val="0"/>
    <w:rPr>
      <w:rFonts w:ascii="宋体" w:hAnsi="Times New Roman" w:eastAsia="宋体" w:cs="Times New Roman"/>
      <w:kern w:val="0"/>
      <w:szCs w:val="20"/>
    </w:rPr>
  </w:style>
  <w:style w:type="paragraph" w:customStyle="1" w:styleId="13">
    <w:name w:val="段"/>
    <w:link w:val="1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4">
    <w:name w:val="段 Char"/>
    <w:basedOn w:val="7"/>
    <w:link w:val="13"/>
    <w:qFormat/>
    <w:uiPriority w:val="0"/>
    <w:rPr>
      <w:rFonts w:ascii="宋体" w:hAnsi="Times New Roman" w:eastAsia="宋体" w:cs="Times New Roman"/>
      <w:kern w:val="0"/>
      <w:szCs w:val="20"/>
    </w:rPr>
  </w:style>
  <w:style w:type="paragraph" w:customStyle="1" w:styleId="15">
    <w:name w:val="标准文件_二级条标题"/>
    <w:next w:val="11"/>
    <w:qFormat/>
    <w:uiPriority w:val="0"/>
    <w:pPr>
      <w:widowControl w:val="0"/>
      <w:numPr>
        <w:ilvl w:val="3"/>
        <w:numId w:val="1"/>
      </w:numPr>
      <w:spacing w:beforeLines="50" w:afterLines="50"/>
      <w:ind w:left="0"/>
      <w:jc w:val="both"/>
      <w:outlineLvl w:val="2"/>
    </w:pPr>
    <w:rPr>
      <w:rFonts w:ascii="黑体" w:hAnsi="Times New Roman" w:eastAsia="黑体" w:cs="Times New Roman"/>
      <w:sz w:val="21"/>
      <w:lang w:val="en-US" w:eastAsia="zh-CN" w:bidi="ar-SA"/>
    </w:rPr>
  </w:style>
  <w:style w:type="paragraph" w:customStyle="1" w:styleId="16">
    <w:name w:val="标准文件_三级条标题"/>
    <w:basedOn w:val="15"/>
    <w:next w:val="11"/>
    <w:qFormat/>
    <w:uiPriority w:val="0"/>
    <w:pPr>
      <w:widowControl/>
      <w:numPr>
        <w:ilvl w:val="4"/>
      </w:numPr>
      <w:outlineLvl w:val="3"/>
    </w:pPr>
  </w:style>
  <w:style w:type="paragraph" w:customStyle="1" w:styleId="17">
    <w:name w:val="标准文件_四级条标题"/>
    <w:next w:val="11"/>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18">
    <w:name w:val="标准文件_五级条标题"/>
    <w:next w:val="11"/>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19">
    <w:name w:val="标准文件_章标题"/>
    <w:next w:val="11"/>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20">
    <w:name w:val="标准文件_一级条标题"/>
    <w:basedOn w:val="19"/>
    <w:next w:val="11"/>
    <w:qFormat/>
    <w:uiPriority w:val="0"/>
    <w:pPr>
      <w:numPr>
        <w:ilvl w:val="2"/>
      </w:numPr>
      <w:spacing w:beforeLines="50" w:afterLines="50"/>
      <w:ind w:left="0"/>
      <w:outlineLvl w:val="1"/>
    </w:pPr>
  </w:style>
  <w:style w:type="paragraph" w:customStyle="1" w:styleId="21">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2">
    <w:name w:val="标准文件_术语条一"/>
    <w:basedOn w:val="1"/>
    <w:next w:val="11"/>
    <w:qFormat/>
    <w:uiPriority w:val="0"/>
    <w:pPr>
      <w:widowControl/>
      <w:ind w:hanging="567"/>
    </w:pPr>
    <w:rPr>
      <w:rFonts w:ascii="宋体" w:hAnsi="Times New Roman" w:eastAsia="宋体" w:cs="Times New Roman"/>
      <w:kern w:val="0"/>
      <w:szCs w:val="20"/>
    </w:rPr>
  </w:style>
  <w:style w:type="paragraph" w:styleId="23">
    <w:name w:val="List Paragraph"/>
    <w:basedOn w:val="1"/>
    <w:qFormat/>
    <w:uiPriority w:val="34"/>
    <w:pPr>
      <w:ind w:firstLine="420" w:firstLineChars="200"/>
    </w:pPr>
  </w:style>
  <w:style w:type="paragraph" w:customStyle="1" w:styleId="24">
    <w:name w:val="BodyText2"/>
    <w:basedOn w:val="1"/>
    <w:qFormat/>
    <w:uiPriority w:val="0"/>
    <w:pPr>
      <w:spacing w:after="120" w:line="480" w:lineRule="auto"/>
      <w:textAlignment w:val="baseline"/>
    </w:pPr>
    <w:rPr>
      <w:sz w:val="32"/>
      <w:szCs w:val="32"/>
    </w:rPr>
  </w:style>
  <w:style w:type="character" w:customStyle="1" w:styleId="25">
    <w:name w:val="批注框文本 Char"/>
    <w:basedOn w:val="7"/>
    <w:link w:val="2"/>
    <w:semiHidden/>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A6950A-B30C-49F7-81F2-88A252A64CEE}">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8</Pages>
  <Words>4266</Words>
  <Characters>4986</Characters>
  <Lines>38</Lines>
  <Paragraphs>10</Paragraphs>
  <TotalTime>124</TotalTime>
  <ScaleCrop>false</ScaleCrop>
  <LinksUpToDate>false</LinksUpToDate>
  <CharactersWithSpaces>5132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2022-09-08T08:35:00Z</dcterms:created>
  <dc:creator>lenovo</dc:creator>
  <cp:lastModifiedBy>誰念誰川</cp:lastModifiedBy>
  <dcterms:modified xsi:type="dcterms:W3CDTF">2023-04-11T08:55:28Z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7CEE1D2EEDEE4FE3B2A3C3153A8837ED</vt:lpwstr>
  </property>
</Properties>
</file>