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宋体" w:cs="Times New Roman"/>
          <w:color w:val="auto"/>
          <w:sz w:val="44"/>
          <w:szCs w:val="36"/>
        </w:rPr>
      </w:pPr>
      <w:r>
        <w:rPr>
          <w:rFonts w:hint="eastAsia" w:ascii="宋体" w:hAnsi="宋体" w:eastAsia="宋体" w:cs="Times New Roman"/>
          <w:color w:val="auto"/>
          <w:sz w:val="44"/>
          <w:szCs w:val="36"/>
        </w:rPr>
        <w:t>团体标准《桑里白粉病防治技术规程》</w:t>
      </w:r>
    </w:p>
    <w:p>
      <w:pPr>
        <w:spacing w:line="360" w:lineRule="auto"/>
        <w:jc w:val="center"/>
        <w:rPr>
          <w:rFonts w:ascii="宋体" w:hAnsi="宋体" w:eastAsia="宋体"/>
          <w:b/>
          <w:color w:val="auto"/>
          <w:sz w:val="28"/>
          <w:szCs w:val="28"/>
        </w:rPr>
      </w:pPr>
      <w:r>
        <w:rPr>
          <w:rFonts w:hint="eastAsia" w:ascii="宋体" w:hAnsi="宋体" w:eastAsia="宋体" w:cs="Times New Roman"/>
          <w:color w:val="auto"/>
          <w:sz w:val="44"/>
          <w:szCs w:val="36"/>
        </w:rPr>
        <w:t>编制说明</w:t>
      </w:r>
    </w:p>
    <w:p>
      <w:pPr>
        <w:spacing w:line="360" w:lineRule="auto"/>
        <w:jc w:val="center"/>
        <w:rPr>
          <w:rFonts w:ascii="宋体" w:hAnsi="宋体" w:eastAsia="宋体" w:cs="Times New Roman"/>
          <w:color w:val="auto"/>
          <w:sz w:val="44"/>
          <w:szCs w:val="36"/>
        </w:rPr>
      </w:pPr>
      <w:r>
        <w:rPr>
          <w:rFonts w:hint="eastAsia" w:ascii="宋体" w:hAnsi="宋体" w:eastAsia="宋体" w:cs="Times New Roman"/>
          <w:color w:val="auto"/>
          <w:sz w:val="44"/>
          <w:szCs w:val="36"/>
        </w:rPr>
        <w:t>（征求意见稿）</w:t>
      </w:r>
    </w:p>
    <w:p>
      <w:pPr>
        <w:spacing w:line="360" w:lineRule="auto"/>
        <w:jc w:val="center"/>
        <w:rPr>
          <w:rFonts w:ascii="宋体" w:hAnsi="宋体" w:eastAsia="宋体"/>
          <w:b/>
          <w:color w:val="auto"/>
          <w:sz w:val="28"/>
          <w:szCs w:val="28"/>
        </w:rPr>
      </w:pPr>
    </w:p>
    <w:p>
      <w:pPr>
        <w:pStyle w:val="14"/>
        <w:numPr>
          <w:ilvl w:val="0"/>
          <w:numId w:val="3"/>
        </w:numPr>
        <w:spacing w:line="360" w:lineRule="auto"/>
        <w:ind w:firstLineChars="0"/>
        <w:rPr>
          <w:rFonts w:ascii="宋体" w:hAnsi="宋体" w:eastAsia="宋体"/>
          <w:b/>
          <w:color w:val="auto"/>
          <w:sz w:val="28"/>
          <w:szCs w:val="28"/>
        </w:rPr>
      </w:pPr>
      <w:r>
        <w:rPr>
          <w:rFonts w:hint="eastAsia" w:ascii="宋体" w:hAnsi="宋体" w:eastAsia="宋体"/>
          <w:b/>
          <w:color w:val="auto"/>
          <w:sz w:val="28"/>
          <w:szCs w:val="28"/>
        </w:rPr>
        <w:t>任务来源与项目编号</w:t>
      </w:r>
    </w:p>
    <w:p>
      <w:pPr>
        <w:pStyle w:val="24"/>
        <w:spacing w:before="156" w:after="156"/>
        <w:rPr>
          <w:rFonts w:ascii="宋体" w:hAnsi="宋体" w:eastAsia="宋体"/>
          <w:color w:val="auto"/>
          <w:sz w:val="28"/>
          <w:szCs w:val="28"/>
        </w:rPr>
      </w:pPr>
      <w:r>
        <w:rPr>
          <w:rFonts w:hint="eastAsia" w:ascii="宋体" w:hAnsi="宋体" w:eastAsia="宋体" w:cs="宋体"/>
          <w:color w:val="auto"/>
          <w:sz w:val="28"/>
          <w:szCs w:val="28"/>
        </w:rPr>
        <w:t xml:space="preserve"> </w:t>
      </w:r>
      <w:r>
        <w:rPr>
          <w:rFonts w:hint="eastAsia" w:ascii="宋体" w:hAnsi="宋体" w:eastAsia="宋体" w:cs="宋体"/>
          <w:color w:val="auto"/>
          <w:sz w:val="28"/>
          <w:szCs w:val="28"/>
        </w:rPr>
        <w:t xml:space="preserve">   根据</w:t>
      </w:r>
      <w:r>
        <w:rPr>
          <w:rFonts w:hint="eastAsia" w:ascii="宋体" w:hAnsi="宋体" w:eastAsia="宋体"/>
          <w:color w:val="auto"/>
          <w:sz w:val="28"/>
          <w:szCs w:val="28"/>
        </w:rPr>
        <w:t>广西标准化协会</w:t>
      </w:r>
      <w:r>
        <w:rPr>
          <w:rFonts w:hint="eastAsia" w:ascii="宋体" w:hAnsi="宋体" w:eastAsia="宋体" w:cs="宋体"/>
          <w:color w:val="auto"/>
          <w:sz w:val="28"/>
          <w:szCs w:val="28"/>
        </w:rPr>
        <w:t>文件</w:t>
      </w:r>
      <w:r>
        <w:rPr>
          <w:rFonts w:hint="eastAsia" w:ascii="宋体" w:hAnsi="宋体" w:eastAsia="宋体" w:cs="宋体"/>
          <w:color w:val="auto"/>
          <w:sz w:val="28"/>
          <w:szCs w:val="28"/>
        </w:rPr>
        <w:t>《</w:t>
      </w:r>
      <w:r>
        <w:rPr>
          <w:rFonts w:hint="eastAsia" w:ascii="宋体" w:hAnsi="宋体" w:eastAsia="宋体"/>
          <w:color w:val="auto"/>
          <w:sz w:val="28"/>
          <w:szCs w:val="28"/>
        </w:rPr>
        <w:t>关于下达2022年第四批团体标准制修订项目计划的通知</w:t>
      </w:r>
      <w:r>
        <w:rPr>
          <w:rFonts w:hint="eastAsia" w:ascii="宋体" w:hAnsi="宋体" w:eastAsia="宋体" w:cs="宋体"/>
          <w:color w:val="auto"/>
          <w:sz w:val="28"/>
          <w:szCs w:val="28"/>
        </w:rPr>
        <w:t>》（</w:t>
      </w:r>
      <w:r>
        <w:rPr>
          <w:rFonts w:hint="eastAsia" w:ascii="宋体" w:hAnsi="宋体" w:eastAsia="宋体"/>
          <w:color w:val="auto"/>
          <w:sz w:val="28"/>
          <w:szCs w:val="28"/>
        </w:rPr>
        <w:t>桂标协[2022]18号</w:t>
      </w:r>
      <w:r>
        <w:rPr>
          <w:rFonts w:hint="eastAsia" w:ascii="宋体" w:hAnsi="宋体" w:eastAsia="宋体" w:cs="宋体"/>
          <w:color w:val="auto"/>
          <w:sz w:val="28"/>
          <w:szCs w:val="28"/>
        </w:rPr>
        <w:t>），《桑里白粉病防治技术规程》广西团体标准获得立项，</w:t>
      </w:r>
      <w:r>
        <w:rPr>
          <w:rFonts w:hint="eastAsia" w:ascii="宋体" w:hAnsi="宋体" w:eastAsia="宋体"/>
          <w:color w:val="auto"/>
          <w:sz w:val="28"/>
          <w:szCs w:val="28"/>
        </w:rPr>
        <w:t>立项编号2022-0403，</w:t>
      </w:r>
      <w:r>
        <w:rPr>
          <w:rFonts w:hint="eastAsia" w:ascii="宋体" w:hAnsi="宋体" w:eastAsia="宋体" w:cs="宋体"/>
          <w:color w:val="auto"/>
          <w:sz w:val="28"/>
          <w:szCs w:val="28"/>
        </w:rPr>
        <w:t>由</w:t>
      </w:r>
      <w:r>
        <w:rPr>
          <w:rFonts w:hint="eastAsia" w:ascii="宋体" w:hAnsi="宋体" w:eastAsia="宋体"/>
          <w:color w:val="auto"/>
          <w:sz w:val="28"/>
          <w:szCs w:val="28"/>
        </w:rPr>
        <w:t>广西壮族自治区蚕业技术推广站</w:t>
      </w:r>
      <w:r>
        <w:rPr>
          <w:rFonts w:hint="eastAsia" w:ascii="宋体" w:hAnsi="宋体" w:eastAsia="宋体" w:cs="宋体"/>
          <w:color w:val="auto"/>
          <w:sz w:val="28"/>
          <w:szCs w:val="28"/>
        </w:rPr>
        <w:t>提出并归口，</w:t>
      </w:r>
      <w:r>
        <w:rPr>
          <w:rFonts w:hint="eastAsia" w:ascii="宋体" w:hAnsi="宋体" w:eastAsia="宋体"/>
          <w:color w:val="auto"/>
          <w:sz w:val="28"/>
          <w:szCs w:val="28"/>
        </w:rPr>
        <w:t>由</w:t>
      </w:r>
      <w:r>
        <w:rPr>
          <w:rFonts w:hint="eastAsia" w:ascii="宋体" w:hAnsi="宋体" w:eastAsia="宋体" w:cs="宋体"/>
          <w:color w:val="auto"/>
          <w:sz w:val="28"/>
          <w:szCs w:val="28"/>
        </w:rPr>
        <w:t>广西壮族自治区蚕业技术推广站、河池市蚕业技术指导站、百色市蚕业技术指导站和来宾市农业科学院等4个单位共同起草。</w:t>
      </w:r>
    </w:p>
    <w:p>
      <w:pPr>
        <w:pStyle w:val="14"/>
        <w:numPr>
          <w:ilvl w:val="0"/>
          <w:numId w:val="3"/>
        </w:numPr>
        <w:spacing w:line="360" w:lineRule="auto"/>
        <w:ind w:firstLineChars="0"/>
        <w:rPr>
          <w:rFonts w:ascii="宋体" w:hAnsi="宋体" w:eastAsia="宋体"/>
          <w:b/>
          <w:color w:val="auto"/>
          <w:sz w:val="28"/>
          <w:szCs w:val="28"/>
        </w:rPr>
      </w:pPr>
      <w:r>
        <w:rPr>
          <w:rFonts w:hint="eastAsia" w:ascii="宋体" w:hAnsi="宋体" w:eastAsia="宋体"/>
          <w:b/>
          <w:color w:val="auto"/>
          <w:sz w:val="28"/>
          <w:szCs w:val="28"/>
        </w:rPr>
        <w:t>制定本标准的目的和意义</w:t>
      </w:r>
    </w:p>
    <w:p>
      <w:pPr>
        <w:spacing w:line="360" w:lineRule="auto"/>
        <w:ind w:firstLine="560" w:firstLineChars="200"/>
        <w:rPr>
          <w:rFonts w:ascii="宋体" w:hAnsi="宋体" w:eastAsia="宋体"/>
          <w:color w:val="auto"/>
          <w:sz w:val="28"/>
          <w:szCs w:val="28"/>
        </w:rPr>
      </w:pPr>
      <w:r>
        <w:rPr>
          <w:rFonts w:hint="eastAsia" w:ascii="宋体" w:hAnsi="宋体" w:eastAsia="宋体" w:cs="Times New Roman"/>
          <w:color w:val="auto"/>
          <w:sz w:val="28"/>
          <w:szCs w:val="28"/>
        </w:rPr>
        <w:t>桑树是我国重要经济作物，几个世纪以来一直作为家蚕的主要营养物质来源，在蚕桑产业链中具有重要作用。目前，我国蚕桑产业规模居世界首位，全国桑园面积近1200万亩，丝绸工业年产值约1500亿元，</w:t>
      </w:r>
      <w:r>
        <w:rPr>
          <w:rFonts w:ascii="宋体" w:hAnsi="宋体" w:eastAsia="宋体" w:cs="Times New Roman"/>
          <w:color w:val="auto"/>
          <w:sz w:val="28"/>
          <w:szCs w:val="28"/>
        </w:rPr>
        <w:t>蚕茧和生丝产量占全球80%以上，</w:t>
      </w:r>
      <w:r>
        <w:rPr>
          <w:rFonts w:hint="eastAsia" w:ascii="宋体" w:hAnsi="宋体" w:eastAsia="宋体" w:cs="Times New Roman"/>
          <w:color w:val="auto"/>
          <w:sz w:val="28"/>
          <w:szCs w:val="28"/>
        </w:rPr>
        <w:t>蚕桑产业成为重要的出口创汇产业及脱贫致富支柱产业。广西是我国桑蚕主产区之一，蚕茧和生丝产量均连续多年居全国首位，分别约占全国总产量的55%和35%。“</w:t>
      </w:r>
      <w:r>
        <w:rPr>
          <w:rFonts w:ascii="宋体" w:hAnsi="宋体" w:eastAsia="宋体" w:cs="Times New Roman"/>
          <w:color w:val="auto"/>
          <w:sz w:val="28"/>
          <w:szCs w:val="28"/>
        </w:rPr>
        <w:t>十三五</w:t>
      </w:r>
      <w:r>
        <w:rPr>
          <w:rFonts w:hint="eastAsia" w:ascii="宋体" w:hAnsi="宋体" w:eastAsia="宋体" w:cs="Times New Roman"/>
          <w:color w:val="auto"/>
          <w:sz w:val="28"/>
          <w:szCs w:val="28"/>
        </w:rPr>
        <w:t>”</w:t>
      </w:r>
      <w:r>
        <w:rPr>
          <w:rFonts w:ascii="宋体" w:hAnsi="宋体" w:eastAsia="宋体" w:cs="Times New Roman"/>
          <w:color w:val="auto"/>
          <w:sz w:val="28"/>
          <w:szCs w:val="28"/>
        </w:rPr>
        <w:t>以来，广西蚕桑坚持特色产业科学发展，加强自主科技创新，践行乡村振兴，农民种桑养蚕增收持续稳定，</w:t>
      </w:r>
      <w:r>
        <w:rPr>
          <w:rFonts w:hint="eastAsia" w:ascii="宋体" w:hAnsi="宋体" w:eastAsia="宋体" w:cs="Times New Roman"/>
          <w:color w:val="auto"/>
          <w:sz w:val="28"/>
          <w:szCs w:val="28"/>
        </w:rPr>
        <w:t>桑蚕产业成为广西重要创汇产业及脱贫攻坚特色产业。</w:t>
      </w:r>
    </w:p>
    <w:p>
      <w:pPr>
        <w:spacing w:line="360" w:lineRule="auto"/>
        <w:ind w:firstLine="560" w:firstLineChars="200"/>
        <w:rPr>
          <w:rFonts w:ascii="宋体" w:hAnsi="宋体" w:eastAsia="宋体" w:cs="Times New Roman"/>
          <w:color w:val="auto"/>
          <w:sz w:val="28"/>
          <w:szCs w:val="28"/>
        </w:rPr>
      </w:pPr>
      <w:r>
        <w:rPr>
          <w:rFonts w:hint="eastAsia" w:ascii="宋体" w:hAnsi="宋体" w:eastAsia="宋体" w:cs="Times New Roman"/>
          <w:color w:val="auto"/>
          <w:sz w:val="28"/>
          <w:szCs w:val="28"/>
        </w:rPr>
        <w:t>广西桑园多采有密植栽培方式，桑树丰产期间发条数多、叶片大而密闭等特点，给病病害提供了丰富的食物和有利的隐藏场所，导致广西桑园中桑树病虫害种类丰富、发生危害最多的区域，并且危害逐年加重，暴发频次增多。在众多桑树病害种类当中，桑里白粉病是桑树上严重的病害之一，桑叶感染病害后，会导致桑叶提早硬化、质量下降，喂食感染白粉病的桑叶的家蚕体质弱，易诱发蚕病，蚕茧量、茧层量、茧层率均降低。在全球气候变暖的大环境下，广西桑里白粉病原的越冬期缩短，桂南个别地方病原甚至出现不越冬的情况，导致病害提前发生并暴发流行。桑里白粉病以闭囊壳在落叶及树桩的残叶上越冬，于早春形成粉孢子飞散，成为初侵染源。其首先在枝条下部成熟叶片背面形成个别圆形霉斑，孢子可以随气流、雨滴等传播扩散，经10～15天左右霉斑即可布满整个叶背，严重病田除顶部2～3片嫩叶以外的全部叶背布满白粉，病害发展速度非常之迅猛。因此，制定桑里白粉病防治技术规程可为种植户、蚕农及技术人员提供技术指导，为广西现代蚕桑产业体系健康发展提供科技支撑，助力广西蚕桑高效化、高质量发展具有重要意义。</w:t>
      </w:r>
    </w:p>
    <w:p>
      <w:pPr>
        <w:pStyle w:val="14"/>
        <w:numPr>
          <w:ilvl w:val="0"/>
          <w:numId w:val="3"/>
        </w:numPr>
        <w:spacing w:line="360" w:lineRule="auto"/>
        <w:ind w:firstLineChars="0"/>
        <w:jc w:val="left"/>
        <w:rPr>
          <w:rFonts w:ascii="宋体" w:hAnsi="宋体" w:eastAsia="宋体" w:cs="宋体"/>
          <w:b/>
          <w:color w:val="auto"/>
          <w:sz w:val="28"/>
          <w:szCs w:val="28"/>
        </w:rPr>
      </w:pPr>
      <w:r>
        <w:rPr>
          <w:rFonts w:hint="eastAsia" w:ascii="宋体" w:hAnsi="宋体" w:eastAsia="宋体" w:cs="宋体"/>
          <w:b/>
          <w:color w:val="auto"/>
          <w:sz w:val="28"/>
          <w:szCs w:val="28"/>
        </w:rPr>
        <w:t>标准编制简况</w:t>
      </w:r>
    </w:p>
    <w:p>
      <w:pPr>
        <w:pStyle w:val="14"/>
        <w:numPr>
          <w:ilvl w:val="1"/>
          <w:numId w:val="3"/>
        </w:numPr>
        <w:spacing w:line="360" w:lineRule="auto"/>
        <w:ind w:firstLineChars="0"/>
        <w:rPr>
          <w:rFonts w:ascii="宋体" w:hAnsi="宋体" w:eastAsia="宋体" w:cs="宋体"/>
          <w:b/>
          <w:color w:val="auto"/>
          <w:sz w:val="28"/>
          <w:szCs w:val="28"/>
        </w:rPr>
      </w:pPr>
      <w:r>
        <w:rPr>
          <w:rFonts w:hint="eastAsia" w:ascii="宋体" w:hAnsi="宋体" w:eastAsia="宋体" w:cs="宋体"/>
          <w:b/>
          <w:color w:val="auto"/>
          <w:sz w:val="28"/>
          <w:szCs w:val="28"/>
        </w:rPr>
        <w:t>成立编制工作小组</w:t>
      </w:r>
    </w:p>
    <w:p>
      <w:pPr>
        <w:spacing w:line="360" w:lineRule="auto"/>
        <w:ind w:firstLine="280" w:firstLineChars="100"/>
        <w:rPr>
          <w:rFonts w:ascii="宋体" w:hAnsi="宋体" w:eastAsia="宋体" w:cs="宋体"/>
          <w:color w:val="auto"/>
          <w:sz w:val="28"/>
          <w:szCs w:val="28"/>
        </w:rPr>
      </w:pPr>
      <w:r>
        <w:rPr>
          <w:rFonts w:hint="eastAsia" w:ascii="宋体" w:hAnsi="宋体" w:eastAsia="宋体" w:cs="宋体"/>
          <w:bCs/>
          <w:color w:val="auto"/>
          <w:sz w:val="28"/>
          <w:szCs w:val="28"/>
        </w:rPr>
        <w:t>广西团体标准《</w:t>
      </w:r>
      <w:r>
        <w:rPr>
          <w:rFonts w:hint="eastAsia" w:ascii="宋体" w:hAnsi="宋体" w:eastAsia="宋体" w:cs="宋体"/>
          <w:color w:val="auto"/>
          <w:sz w:val="28"/>
          <w:szCs w:val="28"/>
        </w:rPr>
        <w:t>桑里白粉病防治技术规程</w:t>
      </w:r>
      <w:r>
        <w:rPr>
          <w:rFonts w:hint="eastAsia" w:ascii="宋体" w:hAnsi="宋体" w:eastAsia="宋体" w:cs="宋体"/>
          <w:bCs/>
          <w:color w:val="auto"/>
          <w:sz w:val="28"/>
          <w:szCs w:val="28"/>
        </w:rPr>
        <w:t>》项目任务下达后，</w:t>
      </w:r>
      <w:r>
        <w:rPr>
          <w:rFonts w:hint="eastAsia" w:ascii="宋体" w:hAnsi="宋体" w:eastAsia="宋体" w:cs="宋体"/>
          <w:color w:val="auto"/>
          <w:sz w:val="28"/>
          <w:szCs w:val="28"/>
        </w:rPr>
        <w:t>以广西壮族自治区蚕业技术推广站主要负责组织协调，广西壮族自治区蚕业技术推广站、河池市蚕业技术指导站、百色市蚕业技术指导站、来宾市农业科学院等4个单位共同</w:t>
      </w:r>
      <w:r>
        <w:rPr>
          <w:rFonts w:hint="eastAsia" w:ascii="宋体" w:hAnsi="宋体" w:eastAsia="宋体" w:cs="宋体"/>
          <w:bCs/>
          <w:color w:val="auto"/>
          <w:sz w:val="28"/>
          <w:szCs w:val="28"/>
        </w:rPr>
        <w:t>起草，按照标准编制要求和编写工作的程序，成立了编制工作小组，</w:t>
      </w:r>
      <w:r>
        <w:rPr>
          <w:rFonts w:hint="eastAsia" w:ascii="宋体" w:hAnsi="宋体" w:eastAsia="宋体" w:cs="宋体"/>
          <w:color w:val="auto"/>
          <w:sz w:val="28"/>
          <w:szCs w:val="28"/>
        </w:rPr>
        <w:t>制订编制工作方案，确定标准制定的负责人及进度。</w:t>
      </w:r>
    </w:p>
    <w:p>
      <w:pPr>
        <w:pStyle w:val="14"/>
        <w:numPr>
          <w:ilvl w:val="1"/>
          <w:numId w:val="3"/>
        </w:numPr>
        <w:spacing w:line="360" w:lineRule="auto"/>
        <w:ind w:firstLineChars="0"/>
        <w:rPr>
          <w:rFonts w:ascii="宋体" w:hAnsi="宋体" w:eastAsia="宋体" w:cs="宋体"/>
          <w:b/>
          <w:color w:val="auto"/>
          <w:sz w:val="28"/>
          <w:szCs w:val="28"/>
        </w:rPr>
      </w:pPr>
      <w:r>
        <w:rPr>
          <w:rFonts w:hint="eastAsia" w:ascii="宋体" w:hAnsi="宋体" w:eastAsia="宋体" w:cs="宋体"/>
          <w:b/>
          <w:color w:val="auto"/>
          <w:sz w:val="28"/>
          <w:szCs w:val="28"/>
        </w:rPr>
        <w:t xml:space="preserve"> 资料收集、调查分析</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bCs/>
          <w:color w:val="auto"/>
          <w:sz w:val="28"/>
          <w:szCs w:val="28"/>
        </w:rPr>
        <w:t>编制工作小组成员根据任务分工开展了资料收集和调查研究工作。一是收集</w:t>
      </w:r>
      <w:r>
        <w:rPr>
          <w:rFonts w:hint="eastAsia" w:ascii="宋体" w:hAnsi="宋体" w:eastAsia="宋体" w:cs="宋体"/>
          <w:color w:val="auto"/>
          <w:sz w:val="28"/>
          <w:szCs w:val="28"/>
        </w:rPr>
        <w:t>国内外有关桑里白粉病防治的文献资料的查询、收集和整理工作，查阅前人对桑里白粉病防治技术的研究情况和目前科学界对桑里白粉病综合防治技术的研究进展</w:t>
      </w:r>
      <w:r>
        <w:rPr>
          <w:rFonts w:hint="eastAsia" w:ascii="宋体" w:hAnsi="宋体" w:eastAsia="宋体" w:cs="宋体"/>
          <w:bCs/>
          <w:color w:val="auto"/>
          <w:sz w:val="28"/>
          <w:szCs w:val="28"/>
        </w:rPr>
        <w:t>；二是组织技术人员到基层蚕业管理部门、蚕桑主产区桑园进行实地考察和调研，了解和掌握当前各地区桑里白粉病发生动态及防控方法，以便确定标准的调查方法和防治时期，为规范我区桑里白粉病防控技术提供普遍适用的技术依据；三是组织技术人员开展桑里白粉病防治技术研发、</w:t>
      </w:r>
      <w:r>
        <w:rPr>
          <w:rFonts w:ascii="宋体" w:hAnsi="宋体" w:eastAsia="宋体" w:cs="宋体"/>
          <w:bCs/>
          <w:color w:val="auto"/>
          <w:sz w:val="28"/>
          <w:szCs w:val="28"/>
        </w:rPr>
        <w:t>防控</w:t>
      </w:r>
      <w:r>
        <w:rPr>
          <w:rFonts w:hint="eastAsia" w:ascii="宋体" w:hAnsi="宋体" w:eastAsia="宋体" w:cs="宋体"/>
          <w:bCs/>
          <w:color w:val="auto"/>
          <w:sz w:val="28"/>
          <w:szCs w:val="28"/>
        </w:rPr>
        <w:t>药物筛选等</w:t>
      </w:r>
      <w:r>
        <w:rPr>
          <w:rFonts w:ascii="宋体" w:hAnsi="宋体" w:eastAsia="宋体" w:cs="宋体"/>
          <w:bCs/>
          <w:color w:val="auto"/>
          <w:sz w:val="28"/>
          <w:szCs w:val="28"/>
        </w:rPr>
        <w:t>工作</w:t>
      </w:r>
      <w:r>
        <w:rPr>
          <w:rFonts w:hint="eastAsia" w:ascii="宋体" w:hAnsi="宋体" w:eastAsia="宋体" w:cs="宋体"/>
          <w:color w:val="auto"/>
          <w:sz w:val="28"/>
          <w:szCs w:val="28"/>
        </w:rPr>
        <w:t>。</w:t>
      </w:r>
    </w:p>
    <w:p>
      <w:pPr>
        <w:pStyle w:val="14"/>
        <w:numPr>
          <w:ilvl w:val="1"/>
          <w:numId w:val="3"/>
        </w:numPr>
        <w:spacing w:line="360" w:lineRule="auto"/>
        <w:ind w:firstLineChars="0"/>
        <w:rPr>
          <w:rFonts w:ascii="宋体" w:hAnsi="宋体" w:eastAsia="宋体" w:cs="宋体"/>
          <w:b/>
          <w:color w:val="auto"/>
          <w:sz w:val="28"/>
          <w:szCs w:val="28"/>
        </w:rPr>
      </w:pPr>
      <w:r>
        <w:rPr>
          <w:rFonts w:hint="eastAsia" w:ascii="宋体" w:hAnsi="宋体" w:eastAsia="宋体" w:cs="宋体"/>
          <w:b/>
          <w:color w:val="auto"/>
          <w:sz w:val="28"/>
          <w:szCs w:val="28"/>
        </w:rPr>
        <w:t xml:space="preserve">  形成征求意见稿</w:t>
      </w:r>
    </w:p>
    <w:p>
      <w:pPr>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标准起草工作小组在经过资料收集、调查分析的基础上，经过编制小组成员反复研讨，确定了主要规范内容和技术指标，形成了《桑里白粉病防治技术规程》标准的编制原则及纲要，并根据标准的格式和编写方法，按照GB/T 1.1-2020的标准编写格式规定，起草编写了《桑里白粉病防治技术规程》征求意见草稿。征求意见草稿经标准编制小组反复讨论、修改、专家认证后，于2022年10月底编写形成《桑里白粉病防治技术规程》广西团体标准征求意见稿。</w:t>
      </w:r>
    </w:p>
    <w:p>
      <w:pPr>
        <w:pStyle w:val="14"/>
        <w:numPr>
          <w:ilvl w:val="0"/>
          <w:numId w:val="3"/>
        </w:numPr>
        <w:spacing w:line="360" w:lineRule="auto"/>
        <w:ind w:firstLineChars="0"/>
        <w:rPr>
          <w:rFonts w:ascii="宋体" w:hAnsi="宋体" w:eastAsia="宋体" w:cs="宋体"/>
          <w:b/>
          <w:color w:val="auto"/>
          <w:sz w:val="28"/>
          <w:szCs w:val="28"/>
        </w:rPr>
      </w:pPr>
      <w:r>
        <w:rPr>
          <w:rFonts w:ascii="宋体" w:hAnsi="宋体" w:eastAsia="宋体" w:cs="宋体"/>
          <w:b/>
          <w:color w:val="auto"/>
          <w:sz w:val="28"/>
          <w:szCs w:val="28"/>
        </w:rPr>
        <w:t>标准编制原则</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本标准是在充分收集相关资料和文献，</w:t>
      </w:r>
      <w:r>
        <w:rPr>
          <w:rFonts w:hint="eastAsia" w:ascii="宋体" w:hAnsi="宋体" w:eastAsia="宋体" w:cs="宋体"/>
          <w:color w:val="auto"/>
          <w:sz w:val="28"/>
          <w:szCs w:val="28"/>
        </w:rPr>
        <w:t>分析桑里白粉病综合防控当前现状，</w:t>
      </w:r>
      <w:r>
        <w:rPr>
          <w:rFonts w:hint="eastAsia" w:ascii="宋体" w:hAnsi="宋体" w:eastAsia="宋体" w:cs="宋体"/>
          <w:color w:val="auto"/>
          <w:sz w:val="28"/>
          <w:szCs w:val="28"/>
        </w:rPr>
        <w:t>在现有国家、行业标准相关桑里白粉病综合防控技术要求的基础上，结合广西壮族自治区蚕业技术推广站多年的桑里白粉病防控经验、试验而总结起草。符合广西桑园桑里白粉病发生及防治技术推广现状，坚持简明、可操作性原则，提出病情监测方法和防治技术措施具有较强可实施性。</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本标准结合当前广西地理环境、气候条件、桑园管理、桑园桑里白粉病发生等生产技术及实际情况，使制定的标准符合产业生产技术水平，又能促进行业生产技术进步、产品品质提升，在标准中体现了防治措施的个别特色性、前瞻性和先进性。</w:t>
      </w:r>
    </w:p>
    <w:p>
      <w:pPr>
        <w:pStyle w:val="14"/>
        <w:numPr>
          <w:ilvl w:val="0"/>
          <w:numId w:val="3"/>
        </w:numPr>
        <w:autoSpaceDE w:val="0"/>
        <w:autoSpaceDN w:val="0"/>
        <w:adjustRightInd w:val="0"/>
        <w:spacing w:line="360" w:lineRule="auto"/>
        <w:ind w:firstLineChars="0"/>
        <w:jc w:val="left"/>
        <w:rPr>
          <w:rFonts w:ascii="宋体" w:hAnsi="宋体" w:eastAsia="宋体" w:cs="宋体"/>
          <w:b/>
          <w:color w:val="auto"/>
          <w:sz w:val="28"/>
          <w:szCs w:val="28"/>
        </w:rPr>
      </w:pPr>
      <w:r>
        <w:rPr>
          <w:rFonts w:hint="eastAsia" w:ascii="宋体" w:hAnsi="宋体" w:eastAsia="宋体" w:cs="宋体"/>
          <w:b/>
          <w:color w:val="auto"/>
          <w:sz w:val="28"/>
          <w:szCs w:val="28"/>
        </w:rPr>
        <w:t>标准内容及依据来源</w:t>
      </w:r>
    </w:p>
    <w:p>
      <w:pPr>
        <w:pStyle w:val="12"/>
        <w:numPr>
          <w:ilvl w:val="1"/>
          <w:numId w:val="3"/>
        </w:numPr>
        <w:spacing w:line="360" w:lineRule="auto"/>
        <w:ind w:firstLineChars="0"/>
        <w:rPr>
          <w:rFonts w:hAnsi="宋体" w:cs="仿宋_GB2312"/>
          <w:b/>
          <w:color w:val="auto"/>
          <w:sz w:val="28"/>
          <w:szCs w:val="28"/>
        </w:rPr>
      </w:pPr>
      <w:r>
        <w:rPr>
          <w:rFonts w:hint="eastAsia" w:hAnsi="宋体" w:cs="仿宋_GB2312"/>
          <w:b/>
          <w:color w:val="auto"/>
          <w:sz w:val="28"/>
          <w:szCs w:val="28"/>
        </w:rPr>
        <w:t>病情监测的确立</w:t>
      </w:r>
    </w:p>
    <w:p>
      <w:pPr>
        <w:pStyle w:val="12"/>
        <w:spacing w:line="360" w:lineRule="auto"/>
        <w:ind w:firstLine="0" w:firstLineChars="0"/>
        <w:rPr>
          <w:rFonts w:hAnsi="宋体"/>
          <w:color w:val="auto"/>
          <w:sz w:val="28"/>
          <w:szCs w:val="28"/>
        </w:rPr>
      </w:pPr>
      <w:r>
        <w:rPr>
          <w:rFonts w:hint="eastAsia" w:hAnsi="宋体"/>
          <w:color w:val="auto"/>
          <w:sz w:val="28"/>
          <w:szCs w:val="28"/>
        </w:rPr>
        <w:t xml:space="preserve">     桑里白粉病气温在10～29℃之间均有发生，日平均温度在20～25℃时最佳，相对湿度为 65～80%，病情发展迅速；日平均温度为 27～29℃，相对湿度 85%以上时，病情指数和病叶率呈下降趋势。由此，在广西的气候条件下，桑里白粉病主要发生在春季和秋末冬初，冬至前后进入休眠期，形成闭囊壳越冬。在南宁最早监测到桑里白粉病霉斑在2月初（如2021年2月2日即可监测到病斑），随后病情持续上升，至4月份达到顶峰。随着蚕桑生产推进，以及夏季炎热，雨季降临，病情得到缓解。下半年11月份以后，随着桑叶的老化和气温下降，桑里白粉病再次出现，直接越冬。由于上半年是桑园产量形成的关键期，约占全年总产量的60%左右，病害的发生直接影响到桑叶产量和蚕茧质量，因此，将2～5月编制为桑里白粉病的重点监测时期，也是病害药物防治的重要时期。</w:t>
      </w:r>
    </w:p>
    <w:p>
      <w:pPr>
        <w:pStyle w:val="12"/>
        <w:numPr>
          <w:ilvl w:val="1"/>
          <w:numId w:val="3"/>
        </w:numPr>
        <w:spacing w:line="360" w:lineRule="auto"/>
        <w:ind w:firstLineChars="0"/>
        <w:rPr>
          <w:rFonts w:hAnsi="宋体" w:cs="宋体"/>
          <w:b/>
          <w:color w:val="auto"/>
          <w:sz w:val="28"/>
          <w:szCs w:val="28"/>
        </w:rPr>
      </w:pPr>
      <w:r>
        <w:rPr>
          <w:rFonts w:hint="eastAsia" w:hAnsi="宋体" w:cs="宋体"/>
          <w:b/>
          <w:color w:val="auto"/>
          <w:sz w:val="28"/>
          <w:szCs w:val="28"/>
        </w:rPr>
        <w:t xml:space="preserve"> 防治措施的依据</w:t>
      </w:r>
    </w:p>
    <w:p>
      <w:pPr>
        <w:autoSpaceDE w:val="0"/>
        <w:autoSpaceDN w:val="0"/>
        <w:adjustRightInd w:val="0"/>
        <w:spacing w:line="360" w:lineRule="auto"/>
        <w:ind w:firstLine="420" w:firstLineChars="150"/>
        <w:jc w:val="left"/>
        <w:rPr>
          <w:rFonts w:hAnsi="宋体"/>
          <w:color w:val="auto"/>
          <w:sz w:val="28"/>
          <w:szCs w:val="28"/>
        </w:rPr>
      </w:pPr>
      <w:r>
        <w:rPr>
          <w:rFonts w:hint="eastAsia" w:hAnsi="宋体"/>
          <w:color w:val="auto"/>
          <w:sz w:val="28"/>
          <w:szCs w:val="28"/>
        </w:rPr>
        <w:t>（1）品种抗性差异。桑里白粉病发生与品种有一定关系，长期的田间调查工作中发现，伦教40，7862，农桑14，强桑1号等桑树品种叶片比较油亮，腊质层较厚的桑树品种发病轻或不发病，反之，叶片大而薄，容易硬化的品种，病害比较严重。</w:t>
      </w:r>
    </w:p>
    <w:p>
      <w:pPr>
        <w:autoSpaceDE w:val="0"/>
        <w:autoSpaceDN w:val="0"/>
        <w:adjustRightInd w:val="0"/>
        <w:spacing w:line="360" w:lineRule="auto"/>
        <w:ind w:firstLine="420" w:firstLineChars="150"/>
        <w:jc w:val="left"/>
        <w:rPr>
          <w:rFonts w:hAnsi="宋体"/>
          <w:color w:val="auto"/>
          <w:sz w:val="28"/>
          <w:szCs w:val="28"/>
        </w:rPr>
      </w:pPr>
      <w:r>
        <w:rPr>
          <w:rFonts w:hint="eastAsia" w:hAnsi="宋体"/>
          <w:color w:val="auto"/>
          <w:sz w:val="28"/>
          <w:szCs w:val="28"/>
        </w:rPr>
        <w:t>（2）清洁桑园的重要性。为探索病害综合防控效果，编制人员结合多年的桑园管理和病害调查工作经验，经多方验证后总结出：冬季未剪伐或桑园周边剪伐不彻底时，大量的闭囊壳残留在老叶上越冬，不采取清园消毒等措施，会引起次年病害提早发生且形成较为严重危害。主要例子如2017年冬季和2020年冬季，广西蚕业技术推广站桑园就因冬季清园不彻底而引起次年病害大流行；而2021年冬季剪伐时注重全园清理残叶落叶，清除桑园周边杂草，并采用1%有效氯进行消毒处理，发现2022年初发病期推迟至4月初，病情也明显减少，说明冬季清园和消毒处理，对桑里白粉病具有很好的防控效果。由此，广西11月份以后病害虽未对桑叶产量造成影响，但会对越冬病源基数的多少起决定作用，因此，清园工作更显得尤为重要。</w:t>
      </w:r>
      <w:bookmarkStart w:id="0" w:name="_GoBack"/>
      <w:bookmarkEnd w:id="0"/>
    </w:p>
    <w:p>
      <w:pPr>
        <w:autoSpaceDE w:val="0"/>
        <w:autoSpaceDN w:val="0"/>
        <w:adjustRightInd w:val="0"/>
        <w:spacing w:line="360" w:lineRule="auto"/>
        <w:ind w:firstLine="420" w:firstLineChars="150"/>
        <w:jc w:val="left"/>
        <w:rPr>
          <w:rFonts w:hAnsi="宋体"/>
          <w:color w:val="auto"/>
          <w:sz w:val="28"/>
          <w:szCs w:val="28"/>
        </w:rPr>
      </w:pPr>
      <w:r>
        <w:rPr>
          <w:rFonts w:hint="eastAsia" w:hAnsi="宋体"/>
          <w:color w:val="auto"/>
          <w:sz w:val="28"/>
          <w:szCs w:val="28"/>
        </w:rPr>
        <w:t>（3）化学防治。广西多为密植桑园，上半年发条数多、叶片大，桑园进入旺盛时平均2</w:t>
      </w:r>
      <w:r>
        <w:rPr>
          <w:rFonts w:hint="eastAsia" w:asciiTheme="minorEastAsia" w:hAnsiTheme="minorEastAsia"/>
          <w:color w:val="auto"/>
          <w:sz w:val="28"/>
          <w:szCs w:val="28"/>
        </w:rPr>
        <w:t>～</w:t>
      </w:r>
      <w:r>
        <w:rPr>
          <w:rFonts w:hint="eastAsia" w:hAnsi="宋体"/>
          <w:color w:val="auto"/>
          <w:sz w:val="28"/>
          <w:szCs w:val="28"/>
        </w:rPr>
        <w:t>3天即可长出一片叶子，如桑叶未能及时采摘，容易造成桑园郁闭，不通风不透光，使病情迅速发展，严重时只剩顶部2～3片嫩叶无病斑，因此，控制病害的扩散漫延是上半年工作的重点。</w:t>
      </w:r>
    </w:p>
    <w:p>
      <w:pPr>
        <w:autoSpaceDE w:val="0"/>
        <w:autoSpaceDN w:val="0"/>
        <w:adjustRightInd w:val="0"/>
        <w:spacing w:line="360" w:lineRule="auto"/>
        <w:ind w:firstLine="420" w:firstLineChars="150"/>
        <w:jc w:val="left"/>
        <w:rPr>
          <w:rFonts w:hAnsi="宋体"/>
          <w:color w:val="auto"/>
          <w:sz w:val="28"/>
          <w:szCs w:val="28"/>
        </w:rPr>
      </w:pPr>
      <w:r>
        <w:rPr>
          <w:rFonts w:hint="eastAsia" w:hAnsi="宋体"/>
          <w:color w:val="auto"/>
          <w:sz w:val="28"/>
          <w:szCs w:val="28"/>
        </w:rPr>
        <w:t>在桑里白粉病的化学防治药物方面， 2021年开始尝试了7种化学药剂的筛选试验。结果发现，7种药剂均对桑里白粉病的病叶增长率都有一定的抑制作用，其中以25%乙嘧酚悬浮剂、25%吡唑醚菌脂</w:t>
      </w:r>
      <w:r>
        <w:rPr>
          <w:rFonts w:hAnsi="宋体"/>
          <w:color w:val="auto"/>
          <w:sz w:val="28"/>
          <w:szCs w:val="28"/>
        </w:rPr>
        <w:t>悬浮剂</w:t>
      </w:r>
      <w:r>
        <w:rPr>
          <w:rFonts w:hint="eastAsia" w:hAnsi="宋体"/>
          <w:color w:val="auto"/>
          <w:sz w:val="28"/>
          <w:szCs w:val="28"/>
        </w:rPr>
        <w:t>和25%三唑酮粉剂对病菌的抑制效果最为明显，同时具有很好的保护和治疗作用。</w:t>
      </w:r>
    </w:p>
    <w:tbl>
      <w:tblPr>
        <w:tblStyle w:val="5"/>
        <w:tblW w:w="8802" w:type="dxa"/>
        <w:tblInd w:w="93" w:type="dxa"/>
        <w:tblLayout w:type="autofit"/>
        <w:tblCellMar>
          <w:top w:w="0" w:type="dxa"/>
          <w:left w:w="108" w:type="dxa"/>
          <w:bottom w:w="0" w:type="dxa"/>
          <w:right w:w="108" w:type="dxa"/>
        </w:tblCellMar>
      </w:tblPr>
      <w:tblGrid>
        <w:gridCol w:w="1050"/>
        <w:gridCol w:w="897"/>
        <w:gridCol w:w="897"/>
        <w:gridCol w:w="1388"/>
        <w:gridCol w:w="897"/>
        <w:gridCol w:w="1388"/>
        <w:gridCol w:w="897"/>
        <w:gridCol w:w="1388"/>
      </w:tblGrid>
      <w:tr>
        <w:tblPrEx>
          <w:tblCellMar>
            <w:top w:w="0" w:type="dxa"/>
            <w:left w:w="108" w:type="dxa"/>
            <w:bottom w:w="0" w:type="dxa"/>
            <w:right w:w="108" w:type="dxa"/>
          </w:tblCellMar>
        </w:tblPrEx>
        <w:trPr>
          <w:trHeight w:val="555" w:hRule="atLeast"/>
        </w:trPr>
        <w:tc>
          <w:tcPr>
            <w:tcW w:w="8802" w:type="dxa"/>
            <w:gridSpan w:val="8"/>
            <w:tcBorders>
              <w:top w:val="nil"/>
              <w:left w:val="nil"/>
              <w:bottom w:val="nil"/>
              <w:right w:val="nil"/>
            </w:tcBorders>
            <w:shd w:val="clear" w:color="auto" w:fill="auto"/>
            <w:noWrap/>
            <w:vAlign w:val="center"/>
          </w:tcPr>
          <w:p>
            <w:pPr>
              <w:widowControl/>
              <w:jc w:val="center"/>
              <w:rPr>
                <w:rFonts w:ascii="等线" w:hAnsi="等线" w:eastAsia="等线" w:cs="宋体"/>
                <w:b/>
                <w:bCs/>
                <w:color w:val="auto"/>
                <w:kern w:val="0"/>
                <w:sz w:val="22"/>
              </w:rPr>
            </w:pPr>
            <w:r>
              <w:rPr>
                <w:rFonts w:hint="eastAsia" w:ascii="等线" w:hAnsi="等线" w:eastAsia="等线" w:cs="宋体"/>
                <w:b/>
                <w:bCs/>
                <w:color w:val="auto"/>
                <w:kern w:val="0"/>
                <w:sz w:val="22"/>
              </w:rPr>
              <w:t>桑里白粉病药剂筛选试验</w:t>
            </w:r>
          </w:p>
        </w:tc>
      </w:tr>
      <w:tr>
        <w:tblPrEx>
          <w:tblCellMar>
            <w:top w:w="0" w:type="dxa"/>
            <w:left w:w="108" w:type="dxa"/>
            <w:bottom w:w="0" w:type="dxa"/>
            <w:right w:w="108" w:type="dxa"/>
          </w:tblCellMar>
        </w:tblPrEx>
        <w:trPr>
          <w:trHeight w:val="435" w:hRule="atLeast"/>
        </w:trPr>
        <w:tc>
          <w:tcPr>
            <w:tcW w:w="1050" w:type="dxa"/>
            <w:vMerge w:val="restart"/>
            <w:tcBorders>
              <w:top w:val="single" w:color="auto" w:sz="4" w:space="0"/>
              <w:left w:val="nil"/>
              <w:bottom w:val="single" w:color="000000"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处理</w:t>
            </w:r>
          </w:p>
        </w:tc>
        <w:tc>
          <w:tcPr>
            <w:tcW w:w="897" w:type="dxa"/>
            <w:tcBorders>
              <w:top w:val="single" w:color="auto" w:sz="4" w:space="0"/>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药前</w:t>
            </w:r>
          </w:p>
        </w:tc>
        <w:tc>
          <w:tcPr>
            <w:tcW w:w="2285" w:type="dxa"/>
            <w:gridSpan w:val="2"/>
            <w:tcBorders>
              <w:top w:val="single" w:color="auto" w:sz="4" w:space="0"/>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药后5d </w:t>
            </w:r>
          </w:p>
        </w:tc>
        <w:tc>
          <w:tcPr>
            <w:tcW w:w="2285" w:type="dxa"/>
            <w:gridSpan w:val="2"/>
            <w:tcBorders>
              <w:top w:val="single" w:color="auto" w:sz="4" w:space="0"/>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药后10d  </w:t>
            </w:r>
          </w:p>
        </w:tc>
        <w:tc>
          <w:tcPr>
            <w:tcW w:w="2285" w:type="dxa"/>
            <w:gridSpan w:val="2"/>
            <w:tcBorders>
              <w:top w:val="single" w:color="auto" w:sz="4" w:space="0"/>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药后15d  </w:t>
            </w:r>
          </w:p>
        </w:tc>
      </w:tr>
      <w:tr>
        <w:tblPrEx>
          <w:tblCellMar>
            <w:top w:w="0" w:type="dxa"/>
            <w:left w:w="108" w:type="dxa"/>
            <w:bottom w:w="0" w:type="dxa"/>
            <w:right w:w="108" w:type="dxa"/>
          </w:tblCellMar>
        </w:tblPrEx>
        <w:trPr>
          <w:trHeight w:val="435" w:hRule="atLeast"/>
        </w:trPr>
        <w:tc>
          <w:tcPr>
            <w:tcW w:w="1050" w:type="dxa"/>
            <w:vMerge w:val="continue"/>
            <w:tcBorders>
              <w:top w:val="single" w:color="auto" w:sz="4" w:space="0"/>
              <w:left w:val="nil"/>
              <w:bottom w:val="single" w:color="000000" w:sz="4" w:space="0"/>
              <w:right w:val="nil"/>
            </w:tcBorders>
            <w:vAlign w:val="center"/>
          </w:tcPr>
          <w:p>
            <w:pPr>
              <w:widowControl/>
              <w:jc w:val="left"/>
              <w:rPr>
                <w:rFonts w:ascii="等线" w:hAnsi="等线" w:eastAsia="等线" w:cs="宋体"/>
                <w:color w:val="auto"/>
                <w:kern w:val="0"/>
                <w:sz w:val="20"/>
                <w:szCs w:val="20"/>
              </w:rPr>
            </w:pP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病叶率%</w:t>
            </w: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病叶率%</w:t>
            </w:r>
          </w:p>
        </w:tc>
        <w:tc>
          <w:tcPr>
            <w:tcW w:w="1388"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病叶增长率%</w:t>
            </w: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病叶率%</w:t>
            </w:r>
          </w:p>
        </w:tc>
        <w:tc>
          <w:tcPr>
            <w:tcW w:w="1388"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病叶增长率%</w:t>
            </w: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病叶率%</w:t>
            </w:r>
          </w:p>
        </w:tc>
        <w:tc>
          <w:tcPr>
            <w:tcW w:w="1388"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病叶增长率%</w:t>
            </w:r>
          </w:p>
        </w:tc>
      </w:tr>
      <w:tr>
        <w:tblPrEx>
          <w:tblCellMar>
            <w:top w:w="0" w:type="dxa"/>
            <w:left w:w="108" w:type="dxa"/>
            <w:bottom w:w="0" w:type="dxa"/>
            <w:right w:w="108" w:type="dxa"/>
          </w:tblCellMar>
        </w:tblPrEx>
        <w:trPr>
          <w:trHeight w:val="435" w:hRule="atLeast"/>
        </w:trPr>
        <w:tc>
          <w:tcPr>
            <w:tcW w:w="1050"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ck</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44.86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53.37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18.97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61.88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37.94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70.39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56.91 </w:t>
            </w:r>
          </w:p>
        </w:tc>
      </w:tr>
      <w:tr>
        <w:tblPrEx>
          <w:tblCellMar>
            <w:top w:w="0" w:type="dxa"/>
            <w:left w:w="108" w:type="dxa"/>
            <w:bottom w:w="0" w:type="dxa"/>
            <w:right w:w="108" w:type="dxa"/>
          </w:tblCellMar>
        </w:tblPrEx>
        <w:trPr>
          <w:trHeight w:val="435" w:hRule="atLeast"/>
        </w:trPr>
        <w:tc>
          <w:tcPr>
            <w:tcW w:w="1050" w:type="dxa"/>
            <w:tcBorders>
              <w:top w:val="nil"/>
              <w:left w:val="nil"/>
              <w:bottom w:val="nil"/>
              <w:right w:val="nil"/>
            </w:tcBorders>
            <w:shd w:val="clear" w:color="auto" w:fill="auto"/>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70%甲基硫菌灵</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45.65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49.22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7.82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39.76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-12.90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40.23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-11.87 </w:t>
            </w:r>
          </w:p>
        </w:tc>
      </w:tr>
      <w:tr>
        <w:tblPrEx>
          <w:tblCellMar>
            <w:top w:w="0" w:type="dxa"/>
            <w:left w:w="108" w:type="dxa"/>
            <w:bottom w:w="0" w:type="dxa"/>
            <w:right w:w="108" w:type="dxa"/>
          </w:tblCellMar>
        </w:tblPrEx>
        <w:trPr>
          <w:trHeight w:val="435" w:hRule="atLeast"/>
        </w:trPr>
        <w:tc>
          <w:tcPr>
            <w:tcW w:w="1050" w:type="dxa"/>
            <w:tcBorders>
              <w:top w:val="nil"/>
              <w:left w:val="nil"/>
              <w:bottom w:val="nil"/>
              <w:right w:val="nil"/>
            </w:tcBorders>
            <w:shd w:val="clear" w:color="auto" w:fill="auto"/>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25%嘧菌酯悬浮剂</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50.70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41.15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-18.84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37.00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-27.02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37.05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-26.92 </w:t>
            </w:r>
          </w:p>
        </w:tc>
      </w:tr>
      <w:tr>
        <w:tblPrEx>
          <w:tblCellMar>
            <w:top w:w="0" w:type="dxa"/>
            <w:left w:w="108" w:type="dxa"/>
            <w:bottom w:w="0" w:type="dxa"/>
            <w:right w:w="108" w:type="dxa"/>
          </w:tblCellMar>
        </w:tblPrEx>
        <w:trPr>
          <w:trHeight w:val="435" w:hRule="atLeast"/>
        </w:trPr>
        <w:tc>
          <w:tcPr>
            <w:tcW w:w="1050" w:type="dxa"/>
            <w:tcBorders>
              <w:top w:val="nil"/>
              <w:left w:val="nil"/>
              <w:bottom w:val="nil"/>
              <w:right w:val="nil"/>
            </w:tcBorders>
            <w:shd w:val="clear" w:color="auto" w:fill="auto"/>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50%腐霉利粉剂</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55.50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33.47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-39.69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34.18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-38.41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34.45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-37.93 </w:t>
            </w:r>
          </w:p>
        </w:tc>
      </w:tr>
      <w:tr>
        <w:tblPrEx>
          <w:tblCellMar>
            <w:top w:w="0" w:type="dxa"/>
            <w:left w:w="108" w:type="dxa"/>
            <w:bottom w:w="0" w:type="dxa"/>
            <w:right w:w="108" w:type="dxa"/>
          </w:tblCellMar>
        </w:tblPrEx>
        <w:trPr>
          <w:trHeight w:val="435" w:hRule="atLeast"/>
        </w:trPr>
        <w:tc>
          <w:tcPr>
            <w:tcW w:w="1050" w:type="dxa"/>
            <w:tcBorders>
              <w:top w:val="nil"/>
              <w:left w:val="nil"/>
              <w:bottom w:val="nil"/>
              <w:right w:val="nil"/>
            </w:tcBorders>
            <w:shd w:val="clear" w:color="auto" w:fill="auto"/>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25%吡唑醚菌脂</w:t>
            </w:r>
            <w:r>
              <w:rPr>
                <w:rFonts w:ascii="Arial" w:hAnsi="Arial" w:cs="Arial"/>
                <w:color w:val="auto"/>
                <w:szCs w:val="21"/>
                <w:shd w:val="clear" w:color="auto" w:fill="FFFFFF"/>
              </w:rPr>
              <w:t>悬浮剂</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67.74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40.39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-40.37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12.75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-81.18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12.92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-80.93 </w:t>
            </w:r>
          </w:p>
        </w:tc>
      </w:tr>
      <w:tr>
        <w:tblPrEx>
          <w:tblCellMar>
            <w:top w:w="0" w:type="dxa"/>
            <w:left w:w="108" w:type="dxa"/>
            <w:bottom w:w="0" w:type="dxa"/>
            <w:right w:w="108" w:type="dxa"/>
          </w:tblCellMar>
        </w:tblPrEx>
        <w:trPr>
          <w:trHeight w:val="435" w:hRule="atLeast"/>
        </w:trPr>
        <w:tc>
          <w:tcPr>
            <w:tcW w:w="1050" w:type="dxa"/>
            <w:tcBorders>
              <w:top w:val="nil"/>
              <w:left w:val="nil"/>
              <w:bottom w:val="nil"/>
              <w:right w:val="nil"/>
            </w:tcBorders>
            <w:shd w:val="clear" w:color="auto" w:fill="auto"/>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25%三唑酮粉剂</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70.47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33.42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-52.58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30.47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-56.76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27.53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-60.93 </w:t>
            </w:r>
          </w:p>
        </w:tc>
      </w:tr>
      <w:tr>
        <w:tblPrEx>
          <w:tblCellMar>
            <w:top w:w="0" w:type="dxa"/>
            <w:left w:w="108" w:type="dxa"/>
            <w:bottom w:w="0" w:type="dxa"/>
            <w:right w:w="108" w:type="dxa"/>
          </w:tblCellMar>
        </w:tblPrEx>
        <w:trPr>
          <w:trHeight w:val="435" w:hRule="atLeast"/>
        </w:trPr>
        <w:tc>
          <w:tcPr>
            <w:tcW w:w="1050"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25%乙嘧酚悬浮剂</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69.80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47.25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-32.31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24.70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-64.61 </w:t>
            </w:r>
          </w:p>
        </w:tc>
        <w:tc>
          <w:tcPr>
            <w:tcW w:w="897"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12.15 </w:t>
            </w:r>
          </w:p>
        </w:tc>
        <w:tc>
          <w:tcPr>
            <w:tcW w:w="1388" w:type="dxa"/>
            <w:tcBorders>
              <w:top w:val="nil"/>
              <w:left w:val="nil"/>
              <w:bottom w:val="nil"/>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-82.59 </w:t>
            </w:r>
          </w:p>
        </w:tc>
      </w:tr>
      <w:tr>
        <w:tblPrEx>
          <w:tblCellMar>
            <w:top w:w="0" w:type="dxa"/>
            <w:left w:w="108" w:type="dxa"/>
            <w:bottom w:w="0" w:type="dxa"/>
            <w:right w:w="108" w:type="dxa"/>
          </w:tblCellMar>
        </w:tblPrEx>
        <w:trPr>
          <w:trHeight w:val="435" w:hRule="atLeast"/>
        </w:trPr>
        <w:tc>
          <w:tcPr>
            <w:tcW w:w="1050"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50%福美双粉剂</w:t>
            </w: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49.06 </w:t>
            </w: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53.82 </w:t>
            </w:r>
          </w:p>
        </w:tc>
        <w:tc>
          <w:tcPr>
            <w:tcW w:w="1388"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9.70 </w:t>
            </w: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58.57 </w:t>
            </w:r>
          </w:p>
        </w:tc>
        <w:tc>
          <w:tcPr>
            <w:tcW w:w="1388"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19.39 </w:t>
            </w:r>
          </w:p>
        </w:tc>
        <w:tc>
          <w:tcPr>
            <w:tcW w:w="897"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63.33 </w:t>
            </w:r>
          </w:p>
        </w:tc>
        <w:tc>
          <w:tcPr>
            <w:tcW w:w="1388" w:type="dxa"/>
            <w:tcBorders>
              <w:top w:val="nil"/>
              <w:left w:val="nil"/>
              <w:bottom w:val="single" w:color="auto" w:sz="4" w:space="0"/>
              <w:right w:val="nil"/>
            </w:tcBorders>
            <w:shd w:val="clear" w:color="auto" w:fill="auto"/>
            <w:noWrap/>
            <w:vAlign w:val="center"/>
          </w:tcPr>
          <w:p>
            <w:pPr>
              <w:widowControl/>
              <w:jc w:val="center"/>
              <w:rPr>
                <w:rFonts w:ascii="等线" w:hAnsi="等线" w:eastAsia="等线" w:cs="宋体"/>
                <w:color w:val="auto"/>
                <w:kern w:val="0"/>
                <w:sz w:val="20"/>
                <w:szCs w:val="20"/>
              </w:rPr>
            </w:pPr>
            <w:r>
              <w:rPr>
                <w:rFonts w:hint="eastAsia" w:ascii="等线" w:hAnsi="等线" w:eastAsia="等线" w:cs="宋体"/>
                <w:color w:val="auto"/>
                <w:kern w:val="0"/>
                <w:sz w:val="20"/>
                <w:szCs w:val="20"/>
              </w:rPr>
              <w:t xml:space="preserve">29.09 </w:t>
            </w:r>
          </w:p>
        </w:tc>
      </w:tr>
    </w:tbl>
    <w:p>
      <w:pPr>
        <w:autoSpaceDE w:val="0"/>
        <w:autoSpaceDN w:val="0"/>
        <w:adjustRightInd w:val="0"/>
        <w:spacing w:line="360" w:lineRule="auto"/>
        <w:ind w:firstLine="420" w:firstLineChars="150"/>
        <w:jc w:val="left"/>
        <w:rPr>
          <w:rFonts w:hint="eastAsia" w:hAnsi="宋体"/>
          <w:color w:val="auto"/>
          <w:sz w:val="28"/>
          <w:szCs w:val="28"/>
        </w:rPr>
      </w:pPr>
      <w:r>
        <w:rPr>
          <w:rFonts w:hint="eastAsia" w:hAnsi="宋体"/>
          <w:color w:val="auto"/>
          <w:sz w:val="28"/>
          <w:szCs w:val="28"/>
        </w:rPr>
        <w:t>对家蚕的安全性检测试验，药后5d采叶试蚕， 25%乙嘧酚悬浮剂、25%三唑酮粉剂、50%腐霉利粉剂、50%福美双粉剂和70%甲基硫菌灵粉剂对家蚕无中毒现象；药后10d，25%嘧菌酯悬浮剂对家蚕无中毒现象；药后15d，25%吡唑醚菌脂</w:t>
      </w:r>
      <w:r>
        <w:rPr>
          <w:rFonts w:hAnsi="宋体"/>
          <w:color w:val="auto"/>
          <w:sz w:val="28"/>
          <w:szCs w:val="28"/>
        </w:rPr>
        <w:t>悬浮剂</w:t>
      </w:r>
      <w:r>
        <w:rPr>
          <w:rFonts w:hint="eastAsia" w:hAnsi="宋体"/>
          <w:color w:val="auto"/>
          <w:sz w:val="28"/>
          <w:szCs w:val="28"/>
        </w:rPr>
        <w:t>仍有慢性中毒现象。</w:t>
      </w:r>
    </w:p>
    <w:p>
      <w:pPr>
        <w:autoSpaceDE w:val="0"/>
        <w:autoSpaceDN w:val="0"/>
        <w:adjustRightInd w:val="0"/>
        <w:spacing w:line="360" w:lineRule="auto"/>
        <w:ind w:firstLine="420" w:firstLineChars="150"/>
        <w:jc w:val="left"/>
        <w:rPr>
          <w:rFonts w:hAnsi="宋体"/>
          <w:color w:val="auto"/>
          <w:sz w:val="28"/>
          <w:szCs w:val="28"/>
        </w:rPr>
      </w:pPr>
      <w:r>
        <w:rPr>
          <w:rFonts w:hint="eastAsia" w:hAnsi="宋体"/>
          <w:color w:val="auto"/>
          <w:sz w:val="28"/>
          <w:szCs w:val="28"/>
        </w:rPr>
        <w:t>综合评价，认为25%乙嘧酚悬浮剂、25%三唑酮粉剂、50%腐霉利粉剂、70%甲基硫菌灵粉剂和25%嘧菌酯悬浮剂等5种药剂可以列入桑里白粉病的化学防治药剂。</w:t>
      </w:r>
    </w:p>
    <w:p>
      <w:pPr>
        <w:pStyle w:val="14"/>
        <w:numPr>
          <w:ilvl w:val="0"/>
          <w:numId w:val="3"/>
        </w:numPr>
        <w:autoSpaceDE w:val="0"/>
        <w:autoSpaceDN w:val="0"/>
        <w:adjustRightInd w:val="0"/>
        <w:spacing w:line="360" w:lineRule="auto"/>
        <w:ind w:firstLineChars="0"/>
        <w:jc w:val="left"/>
        <w:rPr>
          <w:rFonts w:ascii="宋体" w:hAnsi="宋体" w:eastAsia="宋体" w:cs="宋体"/>
          <w:b/>
          <w:color w:val="auto"/>
          <w:sz w:val="28"/>
          <w:szCs w:val="28"/>
        </w:rPr>
      </w:pPr>
      <w:r>
        <w:rPr>
          <w:rFonts w:hint="eastAsia" w:ascii="宋体" w:hAnsi="宋体" w:eastAsia="宋体" w:cs="仿宋_GB2312"/>
          <w:b/>
          <w:color w:val="auto"/>
          <w:sz w:val="28"/>
          <w:szCs w:val="28"/>
        </w:rPr>
        <w:t>与国内外标准同类标准情况简要说明及创新点</w:t>
      </w:r>
    </w:p>
    <w:p>
      <w:pPr>
        <w:pStyle w:val="12"/>
        <w:numPr>
          <w:ilvl w:val="1"/>
          <w:numId w:val="3"/>
        </w:numPr>
        <w:spacing w:line="360" w:lineRule="auto"/>
        <w:ind w:firstLineChars="0"/>
        <w:rPr>
          <w:rFonts w:hAnsi="宋体" w:cs="宋体"/>
          <w:color w:val="auto"/>
          <w:kern w:val="2"/>
          <w:sz w:val="28"/>
          <w:szCs w:val="28"/>
        </w:rPr>
      </w:pPr>
      <w:r>
        <w:rPr>
          <w:rFonts w:hint="eastAsia" w:hAnsi="宋体" w:cs="仿宋_GB2312"/>
          <w:b/>
          <w:color w:val="auto"/>
          <w:sz w:val="28"/>
          <w:szCs w:val="28"/>
        </w:rPr>
        <w:t>与国内外标准同类标准情况简要说明</w:t>
      </w:r>
    </w:p>
    <w:p>
      <w:pPr>
        <w:pStyle w:val="12"/>
        <w:spacing w:line="360" w:lineRule="auto"/>
        <w:ind w:firstLine="560"/>
        <w:rPr>
          <w:rFonts w:hAnsi="宋体" w:cs="宋体"/>
          <w:color w:val="auto"/>
          <w:kern w:val="2"/>
          <w:sz w:val="28"/>
          <w:szCs w:val="28"/>
        </w:rPr>
      </w:pPr>
      <w:r>
        <w:rPr>
          <w:rFonts w:hint="eastAsia" w:hAnsi="宋体" w:cs="宋体"/>
          <w:color w:val="auto"/>
          <w:kern w:val="2"/>
          <w:sz w:val="28"/>
          <w:szCs w:val="28"/>
        </w:rPr>
        <w:t>经过与《DB37/T 2608-2014  桑树病虫害防治规范（山东省地方标准）》比对，该规范并未提及桑里白粉病的防治规范；《</w:t>
      </w:r>
      <w:r>
        <w:rPr>
          <w:rFonts w:hAnsi="宋体" w:cs="宋体"/>
          <w:color w:val="auto"/>
          <w:kern w:val="2"/>
          <w:sz w:val="28"/>
          <w:szCs w:val="28"/>
        </w:rPr>
        <w:t>DB45/T 433</w:t>
      </w:r>
      <w:r>
        <w:rPr>
          <w:rFonts w:hint="eastAsia" w:hAnsi="宋体" w:cs="宋体"/>
          <w:color w:val="auto"/>
          <w:kern w:val="2"/>
          <w:sz w:val="28"/>
          <w:szCs w:val="28"/>
        </w:rPr>
        <w:t>-</w:t>
      </w:r>
      <w:r>
        <w:rPr>
          <w:rFonts w:hAnsi="宋体" w:cs="宋体"/>
          <w:color w:val="auto"/>
          <w:kern w:val="2"/>
          <w:sz w:val="28"/>
          <w:szCs w:val="28"/>
        </w:rPr>
        <w:t>2007</w:t>
      </w:r>
      <w:r>
        <w:rPr>
          <w:rFonts w:hint="eastAsia" w:hAnsi="宋体" w:cs="宋体"/>
          <w:color w:val="auto"/>
          <w:kern w:val="2"/>
          <w:sz w:val="28"/>
          <w:szCs w:val="28"/>
        </w:rPr>
        <w:t xml:space="preserve"> 桑树主要病虫害综合防治技术规程》只以表格的形式表达了桑里白粉病的化学防治药剂，并未专门对桑里白粉病的定义和防治措施进行详细规范。</w:t>
      </w:r>
    </w:p>
    <w:p>
      <w:pPr>
        <w:pStyle w:val="14"/>
        <w:numPr>
          <w:ilvl w:val="1"/>
          <w:numId w:val="3"/>
        </w:numPr>
        <w:spacing w:line="360" w:lineRule="auto"/>
        <w:ind w:firstLineChars="0"/>
        <w:rPr>
          <w:rFonts w:ascii="宋体" w:hAnsi="宋体" w:eastAsia="宋体" w:cs="宋体"/>
          <w:b/>
          <w:color w:val="auto"/>
          <w:kern w:val="0"/>
          <w:sz w:val="28"/>
          <w:szCs w:val="28"/>
        </w:rPr>
      </w:pPr>
      <w:r>
        <w:rPr>
          <w:rFonts w:hint="eastAsia" w:ascii="宋体" w:hAnsi="宋体" w:eastAsia="宋体" w:cs="宋体"/>
          <w:b/>
          <w:color w:val="auto"/>
          <w:kern w:val="0"/>
          <w:sz w:val="28"/>
          <w:szCs w:val="28"/>
        </w:rPr>
        <w:t>创新点</w:t>
      </w:r>
    </w:p>
    <w:p>
      <w:pPr>
        <w:spacing w:line="360" w:lineRule="auto"/>
        <w:ind w:firstLine="840" w:firstLineChars="300"/>
        <w:rPr>
          <w:rFonts w:ascii="宋体" w:hAnsi="宋体" w:eastAsia="宋体" w:cs="宋体"/>
          <w:color w:val="auto"/>
          <w:sz w:val="28"/>
          <w:szCs w:val="28"/>
        </w:rPr>
      </w:pPr>
      <w:r>
        <w:rPr>
          <w:rFonts w:hint="eastAsia" w:ascii="宋体" w:hAnsi="宋体" w:eastAsia="宋体" w:cs="宋体"/>
          <w:bCs/>
          <w:color w:val="auto"/>
          <w:sz w:val="28"/>
          <w:szCs w:val="28"/>
        </w:rPr>
        <w:t>国内查询到关于桑树病虫害防治技术规程如下： DB45/T 433-2007  《桑树主要病虫害综合防治技术规程》、DB32/T 355-2007 《 桑树病虫害防治技术规程》、DB45/T 86-2003  《 桑树栽培管理技术规程》、 DB3205/T 077-2004《桑树病虫害生态防治技术规程》 、DB41/T 2359-2022 《桑园主要病虫害防控技术规程》、T/FSXSC 02-2019 《桑树病虫害防治技术规程》、DB37/T 2608-2014 《桑树病虫害防治规范》、DB61/T 388.4-2007《桑树病虫害防治技术规程》等共8个，经认真比对均</w:t>
      </w:r>
      <w:r>
        <w:rPr>
          <w:rFonts w:hint="eastAsia" w:ascii="宋体" w:hAnsi="宋体" w:eastAsia="宋体" w:cs="宋体"/>
          <w:color w:val="auto"/>
          <w:sz w:val="28"/>
          <w:szCs w:val="28"/>
        </w:rPr>
        <w:t>未发现有针对桑里白粉病的防治技术标准。病害发生一般与当地特点的气候条件及桑园栽培管理模式密不可分。因此，本规程主要针对广西特定气候条件下病害的发生和防治行为进行规范，并提出适应本地区可操作性的处理方法和具体措施，仅适用于本区域。</w:t>
      </w:r>
    </w:p>
    <w:p>
      <w:pPr>
        <w:pStyle w:val="14"/>
        <w:numPr>
          <w:ilvl w:val="0"/>
          <w:numId w:val="3"/>
        </w:numPr>
        <w:spacing w:line="360" w:lineRule="auto"/>
        <w:ind w:firstLineChars="0"/>
        <w:rPr>
          <w:rFonts w:ascii="宋体" w:hAnsi="宋体" w:eastAsia="宋体" w:cs="宋体"/>
          <w:b/>
          <w:color w:val="auto"/>
          <w:sz w:val="28"/>
          <w:szCs w:val="28"/>
        </w:rPr>
      </w:pPr>
      <w:r>
        <w:rPr>
          <w:rFonts w:hint="eastAsia" w:ascii="宋体" w:hAnsi="宋体" w:eastAsia="宋体" w:cs="宋体"/>
          <w:b/>
          <w:color w:val="auto"/>
          <w:sz w:val="28"/>
          <w:szCs w:val="28"/>
        </w:rPr>
        <w:t>与现行法律和强制性标准的关系</w:t>
      </w:r>
    </w:p>
    <w:p>
      <w:pPr>
        <w:spacing w:line="360" w:lineRule="auto"/>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本标准</w:t>
      </w:r>
      <w:r>
        <w:rPr>
          <w:rFonts w:hint="eastAsia" w:ascii="宋体" w:hAnsi="宋体" w:eastAsia="宋体" w:cs="宋体"/>
          <w:bCs/>
          <w:color w:val="auto"/>
          <w:sz w:val="28"/>
          <w:szCs w:val="28"/>
        </w:rPr>
        <w:t>的内容与现行的法律、法规及强制性标准无冲突</w:t>
      </w:r>
      <w:r>
        <w:rPr>
          <w:rFonts w:hint="eastAsia" w:ascii="宋体" w:hAnsi="宋体" w:eastAsia="宋体" w:cs="宋体"/>
          <w:color w:val="auto"/>
          <w:sz w:val="28"/>
          <w:szCs w:val="28"/>
        </w:rPr>
        <w:t xml:space="preserve">。  </w:t>
      </w:r>
    </w:p>
    <w:p>
      <w:pPr>
        <w:pStyle w:val="14"/>
        <w:numPr>
          <w:ilvl w:val="0"/>
          <w:numId w:val="3"/>
        </w:numPr>
        <w:spacing w:line="360" w:lineRule="auto"/>
        <w:ind w:firstLineChars="0"/>
        <w:rPr>
          <w:rFonts w:ascii="宋体" w:hAnsi="宋体" w:eastAsia="宋体" w:cs="宋体"/>
          <w:b/>
          <w:color w:val="auto"/>
          <w:sz w:val="28"/>
          <w:szCs w:val="28"/>
        </w:rPr>
      </w:pPr>
      <w:r>
        <w:rPr>
          <w:rFonts w:hint="eastAsia" w:ascii="宋体" w:hAnsi="宋体" w:eastAsia="宋体" w:cs="宋体"/>
          <w:b/>
          <w:color w:val="auto"/>
          <w:sz w:val="28"/>
          <w:szCs w:val="28"/>
        </w:rPr>
        <w:t>自我承诺</w:t>
      </w:r>
    </w:p>
    <w:p>
      <w:pPr>
        <w:spacing w:line="360" w:lineRule="auto"/>
        <w:ind w:firstLine="551" w:firstLineChars="196"/>
        <w:rPr>
          <w:rFonts w:ascii="宋体" w:hAnsi="宋体" w:eastAsia="宋体" w:cs="宋体"/>
          <w:b/>
          <w:color w:val="auto"/>
          <w:sz w:val="28"/>
          <w:szCs w:val="28"/>
        </w:rPr>
      </w:pPr>
      <w:r>
        <w:rPr>
          <w:rFonts w:hint="eastAsia" w:ascii="宋体" w:hAnsi="宋体" w:eastAsia="宋体"/>
          <w:b/>
          <w:color w:val="auto"/>
          <w:sz w:val="28"/>
          <w:szCs w:val="28"/>
        </w:rPr>
        <w:t>承诺标准内容和各项指标不低于国家强制性标准。</w:t>
      </w:r>
    </w:p>
    <w:p>
      <w:pPr>
        <w:spacing w:line="360" w:lineRule="auto"/>
        <w:ind w:firstLine="560" w:firstLineChars="200"/>
        <w:rPr>
          <w:rFonts w:ascii="宋体" w:hAnsi="宋体" w:eastAsia="宋体" w:cs="宋体"/>
          <w:color w:val="auto"/>
          <w:sz w:val="28"/>
          <w:szCs w:val="28"/>
        </w:rPr>
      </w:pPr>
    </w:p>
    <w:p>
      <w:pPr>
        <w:spacing w:line="560" w:lineRule="exact"/>
        <w:ind w:firstLine="560" w:firstLineChars="200"/>
        <w:jc w:val="right"/>
        <w:rPr>
          <w:rFonts w:ascii="宋体" w:hAnsi="宋体" w:eastAsia="宋体" w:cs="宋体"/>
          <w:bCs/>
          <w:color w:val="auto"/>
          <w:sz w:val="28"/>
          <w:szCs w:val="28"/>
        </w:rPr>
      </w:pPr>
      <w:r>
        <w:rPr>
          <w:rFonts w:hint="eastAsia" w:ascii="宋体" w:hAnsi="宋体" w:eastAsia="宋体" w:cs="宋体"/>
          <w:bCs/>
          <w:color w:val="auto"/>
          <w:sz w:val="28"/>
          <w:szCs w:val="28"/>
        </w:rPr>
        <w:t xml:space="preserve">                《</w:t>
      </w:r>
      <w:r>
        <w:rPr>
          <w:rFonts w:ascii="宋体" w:hAnsi="宋体" w:eastAsia="宋体" w:cs="宋体"/>
          <w:color w:val="auto"/>
          <w:sz w:val="28"/>
          <w:szCs w:val="28"/>
        </w:rPr>
        <w:t>桑里白粉病</w:t>
      </w:r>
      <w:r>
        <w:rPr>
          <w:rFonts w:hint="eastAsia" w:ascii="宋体" w:hAnsi="宋体" w:eastAsia="宋体" w:cs="宋体"/>
          <w:bCs/>
          <w:color w:val="auto"/>
          <w:sz w:val="28"/>
          <w:szCs w:val="28"/>
        </w:rPr>
        <w:t>防治技术规程》</w:t>
      </w:r>
    </w:p>
    <w:p>
      <w:pPr>
        <w:spacing w:line="560" w:lineRule="exact"/>
        <w:ind w:firstLine="560" w:firstLineChars="200"/>
        <w:jc w:val="center"/>
        <w:rPr>
          <w:rFonts w:ascii="宋体" w:hAnsi="宋体" w:eastAsia="宋体" w:cs="宋体"/>
          <w:bCs/>
          <w:color w:val="auto"/>
          <w:sz w:val="28"/>
          <w:szCs w:val="28"/>
        </w:rPr>
      </w:pPr>
      <w:r>
        <w:rPr>
          <w:rFonts w:hint="eastAsia" w:ascii="宋体" w:hAnsi="宋体" w:eastAsia="宋体" w:cs="宋体"/>
          <w:bCs/>
          <w:color w:val="auto"/>
          <w:sz w:val="28"/>
          <w:szCs w:val="28"/>
        </w:rPr>
        <w:t xml:space="preserve">                              标准编制工作组</w:t>
      </w:r>
    </w:p>
    <w:p>
      <w:pPr>
        <w:spacing w:line="560" w:lineRule="exact"/>
        <w:ind w:firstLine="5740" w:firstLineChars="2050"/>
        <w:rPr>
          <w:rFonts w:ascii="宋体" w:hAnsi="宋体" w:eastAsia="宋体" w:cs="宋体"/>
          <w:bCs/>
          <w:color w:val="auto"/>
          <w:sz w:val="28"/>
          <w:szCs w:val="28"/>
        </w:rPr>
      </w:pPr>
      <w:r>
        <w:rPr>
          <w:rFonts w:hint="eastAsia" w:ascii="宋体" w:hAnsi="宋体" w:eastAsia="宋体" w:cs="宋体"/>
          <w:bCs/>
          <w:color w:val="auto"/>
          <w:sz w:val="28"/>
          <w:szCs w:val="28"/>
        </w:rPr>
        <w:t>20</w:t>
      </w:r>
      <w:r>
        <w:rPr>
          <w:rFonts w:ascii="宋体" w:hAnsi="宋体" w:eastAsia="宋体" w:cs="宋体"/>
          <w:bCs/>
          <w:color w:val="auto"/>
          <w:sz w:val="28"/>
          <w:szCs w:val="28"/>
        </w:rPr>
        <w:t>2</w:t>
      </w:r>
      <w:r>
        <w:rPr>
          <w:rFonts w:hint="eastAsia" w:ascii="宋体" w:hAnsi="宋体" w:eastAsia="宋体" w:cs="宋体"/>
          <w:bCs/>
          <w:color w:val="auto"/>
          <w:sz w:val="28"/>
          <w:szCs w:val="28"/>
        </w:rPr>
        <w:t>2年12月20日</w:t>
      </w:r>
    </w:p>
    <w:p>
      <w:pPr>
        <w:spacing w:line="560" w:lineRule="exact"/>
        <w:ind w:firstLine="3640" w:firstLineChars="1300"/>
        <w:rPr>
          <w:rFonts w:ascii="宋体" w:hAnsi="宋体" w:eastAsia="宋体" w:cs="宋体"/>
          <w:bCs/>
          <w:color w:val="auto"/>
          <w:sz w:val="28"/>
          <w:szCs w:val="28"/>
        </w:rPr>
      </w:pPr>
    </w:p>
    <w:sectPr>
      <w:footerReference r:id="rId3" w:type="default"/>
      <w:pgSz w:w="11906" w:h="16838"/>
      <w:pgMar w:top="1440" w:right="1463" w:bottom="1383"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6"/>
      <w:numFmt w:val="decimal"/>
      <w:lvlText w:val="%1"/>
      <w:lvlJc w:val="left"/>
      <w:pPr>
        <w:tabs>
          <w:tab w:val="left" w:pos="360"/>
        </w:tabs>
        <w:ind w:left="360" w:hanging="360"/>
      </w:pPr>
      <w:rPr>
        <w:rFonts w:hint="eastAsia"/>
      </w:rPr>
    </w:lvl>
    <w:lvl w:ilvl="1" w:tentative="0">
      <w:start w:val="1"/>
      <w:numFmt w:val="decimal"/>
      <w:pStyle w:val="23"/>
      <w:lvlText w:val="%1.%2"/>
      <w:lvlJc w:val="left"/>
      <w:pPr>
        <w:tabs>
          <w:tab w:val="left" w:pos="360"/>
        </w:tabs>
        <w:ind w:left="360" w:hanging="360"/>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720"/>
        </w:tabs>
        <w:ind w:left="720" w:hanging="720"/>
      </w:pPr>
      <w:rPr>
        <w:rFonts w:hint="eastAsia"/>
      </w:rPr>
    </w:lvl>
    <w:lvl w:ilvl="4" w:tentative="0">
      <w:start w:val="1"/>
      <w:numFmt w:val="decimal"/>
      <w:lvlText w:val="%1.%2.%3.%4.%5"/>
      <w:lvlJc w:val="left"/>
      <w:pPr>
        <w:tabs>
          <w:tab w:val="left" w:pos="1080"/>
        </w:tabs>
        <w:ind w:left="1080" w:hanging="1080"/>
      </w:pPr>
      <w:rPr>
        <w:rFonts w:hint="eastAsia"/>
      </w:rPr>
    </w:lvl>
    <w:lvl w:ilvl="5" w:tentative="0">
      <w:start w:val="1"/>
      <w:numFmt w:val="decimal"/>
      <w:lvlText w:val="%1.%2.%3.%4.%5.%6"/>
      <w:lvlJc w:val="left"/>
      <w:pPr>
        <w:tabs>
          <w:tab w:val="left" w:pos="1080"/>
        </w:tabs>
        <w:ind w:left="1080" w:hanging="1080"/>
      </w:pPr>
      <w:rPr>
        <w:rFonts w:hint="eastAsia"/>
      </w:rPr>
    </w:lvl>
    <w:lvl w:ilvl="6" w:tentative="0">
      <w:start w:val="1"/>
      <w:numFmt w:val="decimal"/>
      <w:lvlText w:val="%1.%2.%3.%4.%5.%6.%7"/>
      <w:lvlJc w:val="left"/>
      <w:pPr>
        <w:tabs>
          <w:tab w:val="left" w:pos="1080"/>
        </w:tabs>
        <w:ind w:left="1080" w:hanging="1080"/>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440"/>
        </w:tabs>
        <w:ind w:left="1440" w:hanging="1440"/>
      </w:pPr>
      <w:rPr>
        <w:rFonts w:hint="eastAsia"/>
      </w:rPr>
    </w:lvl>
  </w:abstractNum>
  <w:abstractNum w:abstractNumId="1">
    <w:nsid w:val="2C334F50"/>
    <w:multiLevelType w:val="multilevel"/>
    <w:tmpl w:val="2C334F50"/>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b/>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6CEA2025"/>
    <w:multiLevelType w:val="multilevel"/>
    <w:tmpl w:val="6CEA2025"/>
    <w:lvl w:ilvl="0" w:tentative="0">
      <w:start w:val="1"/>
      <w:numFmt w:val="none"/>
      <w:pStyle w:val="22"/>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6"/>
      <w:suff w:val="nothing"/>
      <w:lvlText w:val="%1%2.%3.%4　"/>
      <w:lvlJc w:val="left"/>
      <w:pPr>
        <w:ind w:left="851" w:firstLine="0"/>
      </w:pPr>
      <w:rPr>
        <w:rFonts w:hint="eastAsia" w:ascii="黑体" w:eastAsia="黑体"/>
        <w:b w:val="0"/>
        <w:i w:val="0"/>
        <w:sz w:val="21"/>
      </w:rPr>
    </w:lvl>
    <w:lvl w:ilvl="4" w:tentative="0">
      <w:start w:val="1"/>
      <w:numFmt w:val="decimal"/>
      <w:pStyle w:val="17"/>
      <w:suff w:val="nothing"/>
      <w:lvlText w:val="%1%2.%3.%4.%5　"/>
      <w:lvlJc w:val="left"/>
      <w:pPr>
        <w:ind w:left="0" w:firstLine="0"/>
      </w:pPr>
      <w:rPr>
        <w:rFonts w:hint="eastAsia" w:ascii="黑体" w:eastAsia="黑体"/>
        <w:b w:val="0"/>
        <w:i w:val="0"/>
        <w:sz w:val="21"/>
      </w:rPr>
    </w:lvl>
    <w:lvl w:ilvl="5" w:tentative="0">
      <w:start w:val="1"/>
      <w:numFmt w:val="decimal"/>
      <w:pStyle w:val="18"/>
      <w:suff w:val="nothing"/>
      <w:lvlText w:val="%1%2.%3.%4.%5.%6　"/>
      <w:lvlJc w:val="left"/>
      <w:pPr>
        <w:ind w:left="0" w:firstLine="0"/>
      </w:pPr>
      <w:rPr>
        <w:rFonts w:hint="eastAsia" w:ascii="黑体" w:eastAsia="黑体"/>
        <w:b w:val="0"/>
        <w:i w:val="0"/>
        <w:sz w:val="21"/>
      </w:rPr>
    </w:lvl>
    <w:lvl w:ilvl="6" w:tentative="0">
      <w:start w:val="1"/>
      <w:numFmt w:val="decimal"/>
      <w:pStyle w:val="1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cwMzBhNDA5MWZkNjNjNjFjNmFkMDk0MGQ5YjMxZTYifQ=="/>
  </w:docVars>
  <w:rsids>
    <w:rsidRoot w:val="00EE3113"/>
    <w:rsid w:val="0000037B"/>
    <w:rsid w:val="00042C74"/>
    <w:rsid w:val="000560D4"/>
    <w:rsid w:val="000804F9"/>
    <w:rsid w:val="00096B67"/>
    <w:rsid w:val="000B12E8"/>
    <w:rsid w:val="000C5DA7"/>
    <w:rsid w:val="000D0A3A"/>
    <w:rsid w:val="000D0C24"/>
    <w:rsid w:val="000E1403"/>
    <w:rsid w:val="001027D6"/>
    <w:rsid w:val="001103E4"/>
    <w:rsid w:val="00114137"/>
    <w:rsid w:val="00133269"/>
    <w:rsid w:val="00146A39"/>
    <w:rsid w:val="00156411"/>
    <w:rsid w:val="00167C07"/>
    <w:rsid w:val="001776B4"/>
    <w:rsid w:val="0018392A"/>
    <w:rsid w:val="0019141E"/>
    <w:rsid w:val="001B1B9E"/>
    <w:rsid w:val="001C1BA6"/>
    <w:rsid w:val="001D1677"/>
    <w:rsid w:val="001D7519"/>
    <w:rsid w:val="001D7D0D"/>
    <w:rsid w:val="001F0E6A"/>
    <w:rsid w:val="0021611B"/>
    <w:rsid w:val="002176E0"/>
    <w:rsid w:val="00222A42"/>
    <w:rsid w:val="00231452"/>
    <w:rsid w:val="00245F42"/>
    <w:rsid w:val="00246EC4"/>
    <w:rsid w:val="002675E5"/>
    <w:rsid w:val="002A0621"/>
    <w:rsid w:val="002C4031"/>
    <w:rsid w:val="002C5DC7"/>
    <w:rsid w:val="00306DAC"/>
    <w:rsid w:val="00317F04"/>
    <w:rsid w:val="00332CCA"/>
    <w:rsid w:val="0034187D"/>
    <w:rsid w:val="00344D84"/>
    <w:rsid w:val="003566C4"/>
    <w:rsid w:val="003614AF"/>
    <w:rsid w:val="00361B12"/>
    <w:rsid w:val="00371588"/>
    <w:rsid w:val="003775FC"/>
    <w:rsid w:val="00385D44"/>
    <w:rsid w:val="003860AF"/>
    <w:rsid w:val="00386EA3"/>
    <w:rsid w:val="003873E8"/>
    <w:rsid w:val="00393249"/>
    <w:rsid w:val="003D273B"/>
    <w:rsid w:val="003F5FEF"/>
    <w:rsid w:val="00441D02"/>
    <w:rsid w:val="004431BF"/>
    <w:rsid w:val="00443697"/>
    <w:rsid w:val="0045105D"/>
    <w:rsid w:val="0046752B"/>
    <w:rsid w:val="004A22D7"/>
    <w:rsid w:val="004D2315"/>
    <w:rsid w:val="00517296"/>
    <w:rsid w:val="00525A8C"/>
    <w:rsid w:val="005303FB"/>
    <w:rsid w:val="00541CF5"/>
    <w:rsid w:val="00546C58"/>
    <w:rsid w:val="00565982"/>
    <w:rsid w:val="00566845"/>
    <w:rsid w:val="00572BCC"/>
    <w:rsid w:val="0059556F"/>
    <w:rsid w:val="005A3A15"/>
    <w:rsid w:val="005C2A45"/>
    <w:rsid w:val="005D499E"/>
    <w:rsid w:val="005E5894"/>
    <w:rsid w:val="005F0E9C"/>
    <w:rsid w:val="0063401F"/>
    <w:rsid w:val="0063509C"/>
    <w:rsid w:val="0066399B"/>
    <w:rsid w:val="006672D9"/>
    <w:rsid w:val="006D40A5"/>
    <w:rsid w:val="006D5C5B"/>
    <w:rsid w:val="006D7479"/>
    <w:rsid w:val="006F6BE6"/>
    <w:rsid w:val="00715893"/>
    <w:rsid w:val="00734BCD"/>
    <w:rsid w:val="00743BE2"/>
    <w:rsid w:val="00756299"/>
    <w:rsid w:val="0075742D"/>
    <w:rsid w:val="00775870"/>
    <w:rsid w:val="00790003"/>
    <w:rsid w:val="0079626D"/>
    <w:rsid w:val="007A083D"/>
    <w:rsid w:val="007B5861"/>
    <w:rsid w:val="007C1986"/>
    <w:rsid w:val="007E5BA5"/>
    <w:rsid w:val="007F0955"/>
    <w:rsid w:val="007F38AF"/>
    <w:rsid w:val="007F4B0C"/>
    <w:rsid w:val="008147AE"/>
    <w:rsid w:val="008262DD"/>
    <w:rsid w:val="0083158C"/>
    <w:rsid w:val="00832C2D"/>
    <w:rsid w:val="00840257"/>
    <w:rsid w:val="00843B67"/>
    <w:rsid w:val="00854C3F"/>
    <w:rsid w:val="00864C34"/>
    <w:rsid w:val="00865BF9"/>
    <w:rsid w:val="008A07DE"/>
    <w:rsid w:val="008C7947"/>
    <w:rsid w:val="008D1414"/>
    <w:rsid w:val="008F52D8"/>
    <w:rsid w:val="00910D89"/>
    <w:rsid w:val="0091708C"/>
    <w:rsid w:val="0092557E"/>
    <w:rsid w:val="00942738"/>
    <w:rsid w:val="00954293"/>
    <w:rsid w:val="0095468B"/>
    <w:rsid w:val="00957508"/>
    <w:rsid w:val="00961D2B"/>
    <w:rsid w:val="009655C6"/>
    <w:rsid w:val="00994E0D"/>
    <w:rsid w:val="009C3E6A"/>
    <w:rsid w:val="009C655C"/>
    <w:rsid w:val="009D118E"/>
    <w:rsid w:val="009E37C0"/>
    <w:rsid w:val="009E3CE6"/>
    <w:rsid w:val="009F3B0A"/>
    <w:rsid w:val="009F4F3C"/>
    <w:rsid w:val="00A111F7"/>
    <w:rsid w:val="00A20348"/>
    <w:rsid w:val="00A25DED"/>
    <w:rsid w:val="00A270F1"/>
    <w:rsid w:val="00A36AFC"/>
    <w:rsid w:val="00A55155"/>
    <w:rsid w:val="00A65A8F"/>
    <w:rsid w:val="00A67839"/>
    <w:rsid w:val="00A778C1"/>
    <w:rsid w:val="00AB11F5"/>
    <w:rsid w:val="00B116F2"/>
    <w:rsid w:val="00B32FE2"/>
    <w:rsid w:val="00BD1AA6"/>
    <w:rsid w:val="00BD5249"/>
    <w:rsid w:val="00BE1418"/>
    <w:rsid w:val="00BF71BB"/>
    <w:rsid w:val="00BF78A6"/>
    <w:rsid w:val="00C2621E"/>
    <w:rsid w:val="00C4321B"/>
    <w:rsid w:val="00C46DF3"/>
    <w:rsid w:val="00C64E28"/>
    <w:rsid w:val="00C658CD"/>
    <w:rsid w:val="00C704FA"/>
    <w:rsid w:val="00C7115D"/>
    <w:rsid w:val="00C823D7"/>
    <w:rsid w:val="00CA6962"/>
    <w:rsid w:val="00CB4234"/>
    <w:rsid w:val="00CC0E46"/>
    <w:rsid w:val="00CC4012"/>
    <w:rsid w:val="00CD470D"/>
    <w:rsid w:val="00CE486C"/>
    <w:rsid w:val="00CF4A7C"/>
    <w:rsid w:val="00D0476C"/>
    <w:rsid w:val="00D1101D"/>
    <w:rsid w:val="00D254C8"/>
    <w:rsid w:val="00D444DD"/>
    <w:rsid w:val="00D50804"/>
    <w:rsid w:val="00D629C7"/>
    <w:rsid w:val="00D86DA7"/>
    <w:rsid w:val="00D93B34"/>
    <w:rsid w:val="00DA2B15"/>
    <w:rsid w:val="00DB11DD"/>
    <w:rsid w:val="00DC378D"/>
    <w:rsid w:val="00DD0C80"/>
    <w:rsid w:val="00DE3551"/>
    <w:rsid w:val="00E05809"/>
    <w:rsid w:val="00E12456"/>
    <w:rsid w:val="00E25CDC"/>
    <w:rsid w:val="00E96B34"/>
    <w:rsid w:val="00EE3113"/>
    <w:rsid w:val="00F00163"/>
    <w:rsid w:val="00F1504C"/>
    <w:rsid w:val="00F46F0D"/>
    <w:rsid w:val="00F5759A"/>
    <w:rsid w:val="00F9246F"/>
    <w:rsid w:val="00F92AFC"/>
    <w:rsid w:val="00F977EE"/>
    <w:rsid w:val="00FA1461"/>
    <w:rsid w:val="00FA6CE8"/>
    <w:rsid w:val="00FB7207"/>
    <w:rsid w:val="00FE1AC5"/>
    <w:rsid w:val="06592D49"/>
    <w:rsid w:val="292972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25"/>
    <w:semiHidden/>
    <w:unhideWhenUsed/>
    <w:qFormat/>
    <w:uiPriority w:val="99"/>
    <w:pPr>
      <w:ind w:left="100" w:leftChars="2500"/>
    </w:p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qFormat/>
    <w:uiPriority w:val="99"/>
    <w:rPr>
      <w:sz w:val="18"/>
      <w:szCs w:val="18"/>
    </w:rPr>
  </w:style>
  <w:style w:type="paragraph" w:customStyle="1" w:styleId="9">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
    <w:name w:val="标准文件_段"/>
    <w:link w:val="1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标准文件_段 Char"/>
    <w:link w:val="10"/>
    <w:qFormat/>
    <w:uiPriority w:val="0"/>
    <w:rPr>
      <w:rFonts w:ascii="宋体" w:hAnsi="Times New Roman" w:eastAsia="宋体" w:cs="Times New Roman"/>
      <w:kern w:val="0"/>
      <w:szCs w:val="20"/>
    </w:rPr>
  </w:style>
  <w:style w:type="paragraph" w:customStyle="1" w:styleId="12">
    <w:name w:val="段"/>
    <w:link w:val="1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3">
    <w:name w:val="段 Char"/>
    <w:basedOn w:val="6"/>
    <w:link w:val="12"/>
    <w:qFormat/>
    <w:uiPriority w:val="0"/>
    <w:rPr>
      <w:rFonts w:ascii="宋体" w:hAnsi="Times New Roman" w:eastAsia="宋体" w:cs="Times New Roman"/>
      <w:kern w:val="0"/>
      <w:szCs w:val="20"/>
    </w:rPr>
  </w:style>
  <w:style w:type="paragraph" w:styleId="14">
    <w:name w:val="List Paragraph"/>
    <w:basedOn w:val="1"/>
    <w:qFormat/>
    <w:uiPriority w:val="34"/>
    <w:pPr>
      <w:ind w:firstLine="420" w:firstLineChars="200"/>
    </w:pPr>
  </w:style>
  <w:style w:type="paragraph" w:customStyle="1" w:styleId="15">
    <w:name w:val="标准文件_术语条一"/>
    <w:basedOn w:val="1"/>
    <w:next w:val="10"/>
    <w:qFormat/>
    <w:uiPriority w:val="0"/>
    <w:pPr>
      <w:widowControl/>
      <w:ind w:hanging="567"/>
    </w:pPr>
    <w:rPr>
      <w:rFonts w:ascii="宋体" w:hAnsi="Times New Roman" w:eastAsia="宋体" w:cs="Times New Roman"/>
      <w:kern w:val="0"/>
      <w:szCs w:val="20"/>
    </w:rPr>
  </w:style>
  <w:style w:type="paragraph" w:customStyle="1" w:styleId="16">
    <w:name w:val="标准文件_二级条标题"/>
    <w:next w:val="10"/>
    <w:qFormat/>
    <w:uiPriority w:val="0"/>
    <w:pPr>
      <w:widowControl w:val="0"/>
      <w:numPr>
        <w:ilvl w:val="3"/>
        <w:numId w:val="1"/>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17">
    <w:name w:val="标准文件_三级条标题"/>
    <w:basedOn w:val="16"/>
    <w:next w:val="10"/>
    <w:qFormat/>
    <w:uiPriority w:val="0"/>
    <w:pPr>
      <w:widowControl/>
      <w:numPr>
        <w:ilvl w:val="4"/>
      </w:numPr>
      <w:outlineLvl w:val="3"/>
    </w:pPr>
  </w:style>
  <w:style w:type="paragraph" w:customStyle="1" w:styleId="18">
    <w:name w:val="标准文件_四级条标题"/>
    <w:next w:val="10"/>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19">
    <w:name w:val="标准文件_五级条标题"/>
    <w:next w:val="10"/>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0">
    <w:name w:val="标准文件_章标题"/>
    <w:next w:val="10"/>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1">
    <w:name w:val="标准文件_一级条标题"/>
    <w:basedOn w:val="20"/>
    <w:next w:val="10"/>
    <w:qFormat/>
    <w:uiPriority w:val="0"/>
    <w:pPr>
      <w:numPr>
        <w:ilvl w:val="2"/>
      </w:numPr>
      <w:spacing w:beforeLines="50" w:afterLines="50"/>
      <w:ind w:left="0"/>
      <w:outlineLvl w:val="1"/>
    </w:pPr>
  </w:style>
  <w:style w:type="paragraph" w:customStyle="1" w:styleId="22">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3">
    <w:name w:val="章标题"/>
    <w:next w:val="1"/>
    <w:qFormat/>
    <w:uiPriority w:val="0"/>
    <w:pPr>
      <w:numPr>
        <w:ilvl w:val="1"/>
        <w:numId w:val="2"/>
      </w:numPr>
      <w:spacing w:beforeLines="50" w:afterLines="50"/>
      <w:jc w:val="both"/>
      <w:outlineLvl w:val="1"/>
    </w:pPr>
    <w:rPr>
      <w:rFonts w:ascii="黑体" w:hAnsi="Calibri" w:eastAsia="黑体" w:cs="Times New Roman"/>
      <w:sz w:val="21"/>
      <w:lang w:val="en-US" w:eastAsia="zh-CN" w:bidi="ar-SA"/>
    </w:rPr>
  </w:style>
  <w:style w:type="paragraph" w:customStyle="1" w:styleId="24">
    <w:name w:val="BodyText2"/>
    <w:basedOn w:val="1"/>
    <w:qFormat/>
    <w:uiPriority w:val="0"/>
    <w:pPr>
      <w:spacing w:after="120" w:line="480" w:lineRule="auto"/>
      <w:textAlignment w:val="baseline"/>
    </w:pPr>
    <w:rPr>
      <w:sz w:val="32"/>
      <w:szCs w:val="32"/>
    </w:rPr>
  </w:style>
  <w:style w:type="character" w:customStyle="1" w:styleId="25">
    <w:name w:val="日期 Char"/>
    <w:basedOn w:val="6"/>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3695</Words>
  <Characters>4205</Characters>
  <Lines>31</Lines>
  <Paragraphs>8</Paragraphs>
  <TotalTime>1322</TotalTime>
  <ScaleCrop>false</ScaleCrop>
  <LinksUpToDate>false</LinksUpToDate>
  <CharactersWithSpaces>4359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2022-08-26T03:21:00Z</dcterms:created>
  <dc:creator>lenovo</dc:creator>
  <cp:lastModifiedBy>誰念誰川</cp:lastModifiedBy>
  <dcterms:modified xsi:type="dcterms:W3CDTF">2023-04-11T09:16:02Z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18A317D5AB9A428894299E5D4A60F612</vt:lpwstr>
  </property>
</Properties>
</file>