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eastAsia="宋体" w:cs="Times New Roman"/>
          <w:b/>
          <w:color w:val="auto"/>
          <w:sz w:val="44"/>
          <w:szCs w:val="44"/>
        </w:rPr>
      </w:pPr>
      <w:bookmarkStart w:id="0" w:name="_GoBack"/>
      <w:r>
        <w:rPr>
          <w:rFonts w:hint="eastAsia" w:ascii="宋体" w:hAnsi="宋体" w:eastAsia="宋体" w:cs="Times New Roman"/>
          <w:b/>
          <w:color w:val="auto"/>
          <w:sz w:val="44"/>
          <w:szCs w:val="44"/>
        </w:rPr>
        <w:t>团体标准《桑螟防治技术规程》</w:t>
      </w:r>
    </w:p>
    <w:p>
      <w:pPr>
        <w:spacing w:line="600" w:lineRule="exact"/>
        <w:jc w:val="center"/>
        <w:rPr>
          <w:rFonts w:ascii="宋体" w:hAnsi="宋体" w:eastAsia="宋体" w:cs="Times New Roman"/>
          <w:b/>
          <w:color w:val="auto"/>
          <w:sz w:val="44"/>
          <w:szCs w:val="44"/>
        </w:rPr>
      </w:pPr>
      <w:r>
        <w:rPr>
          <w:rFonts w:hint="eastAsia" w:ascii="宋体" w:hAnsi="宋体" w:eastAsia="宋体" w:cs="Times New Roman"/>
          <w:b/>
          <w:color w:val="auto"/>
          <w:sz w:val="44"/>
          <w:szCs w:val="44"/>
        </w:rPr>
        <w:t>编制说明</w:t>
      </w:r>
    </w:p>
    <w:p>
      <w:pPr>
        <w:spacing w:line="600" w:lineRule="exact"/>
        <w:jc w:val="center"/>
        <w:rPr>
          <w:rFonts w:ascii="宋体" w:hAnsi="宋体" w:eastAsia="宋体" w:cs="Times New Roman"/>
          <w:b/>
          <w:color w:val="auto"/>
          <w:sz w:val="44"/>
          <w:szCs w:val="44"/>
        </w:rPr>
      </w:pPr>
      <w:r>
        <w:rPr>
          <w:rFonts w:hint="eastAsia" w:ascii="宋体" w:hAnsi="宋体" w:eastAsia="宋体" w:cs="Times New Roman"/>
          <w:b/>
          <w:color w:val="auto"/>
          <w:sz w:val="44"/>
          <w:szCs w:val="44"/>
        </w:rPr>
        <w:t>（征求意见稿）</w:t>
      </w:r>
    </w:p>
    <w:p>
      <w:pPr>
        <w:spacing w:line="600" w:lineRule="exact"/>
        <w:jc w:val="center"/>
        <w:rPr>
          <w:rFonts w:ascii="宋体" w:hAnsi="宋体" w:eastAsia="宋体" w:cs="Times New Roman"/>
          <w:color w:val="auto"/>
          <w:sz w:val="28"/>
          <w:szCs w:val="28"/>
        </w:rPr>
      </w:pPr>
    </w:p>
    <w:p>
      <w:pPr>
        <w:pStyle w:val="2"/>
        <w:spacing w:before="0" w:beforeAutospacing="0" w:after="0" w:afterAutospacing="0"/>
        <w:ind w:left="431" w:hanging="431"/>
        <w:rPr>
          <w:rFonts w:asciiTheme="majorEastAsia" w:hAnsiTheme="majorEastAsia" w:eastAsiaTheme="majorEastAsia"/>
          <w:color w:val="auto"/>
          <w:sz w:val="28"/>
          <w:szCs w:val="28"/>
        </w:rPr>
      </w:pPr>
      <w:r>
        <w:rPr>
          <w:rFonts w:hint="eastAsia" w:asciiTheme="majorEastAsia" w:hAnsiTheme="majorEastAsia" w:eastAsiaTheme="majorEastAsia"/>
          <w:color w:val="auto"/>
          <w:sz w:val="28"/>
          <w:szCs w:val="28"/>
        </w:rPr>
        <w:t>任务来源与项目编号</w:t>
      </w:r>
    </w:p>
    <w:p>
      <w:pPr>
        <w:pStyle w:val="27"/>
        <w:spacing w:after="0"/>
        <w:ind w:firstLine="560" w:firstLineChars="200"/>
        <w:rPr>
          <w:rFonts w:ascii="宋体" w:hAnsi="宋体" w:eastAsia="宋体"/>
          <w:color w:val="auto"/>
          <w:sz w:val="28"/>
          <w:szCs w:val="28"/>
        </w:rPr>
      </w:pPr>
      <w:r>
        <w:rPr>
          <w:rFonts w:hint="eastAsia" w:ascii="宋体" w:hAnsi="宋体" w:cs="宋体"/>
          <w:color w:val="auto"/>
          <w:sz w:val="28"/>
          <w:szCs w:val="28"/>
        </w:rPr>
        <w:t>根据</w:t>
      </w:r>
      <w:r>
        <w:rPr>
          <w:rFonts w:hint="eastAsia" w:ascii="宋体" w:hAnsi="宋体" w:eastAsia="宋体"/>
          <w:color w:val="auto"/>
          <w:sz w:val="28"/>
          <w:szCs w:val="28"/>
        </w:rPr>
        <w:t>广西标准化协会</w:t>
      </w:r>
      <w:r>
        <w:rPr>
          <w:rFonts w:hint="eastAsia" w:ascii="宋体" w:hAnsi="宋体" w:cs="宋体"/>
          <w:color w:val="auto"/>
          <w:sz w:val="28"/>
          <w:szCs w:val="28"/>
        </w:rPr>
        <w:t>文件《</w:t>
      </w:r>
      <w:r>
        <w:rPr>
          <w:rFonts w:hint="eastAsia" w:ascii="宋体" w:hAnsi="宋体" w:eastAsia="宋体"/>
          <w:color w:val="auto"/>
          <w:sz w:val="28"/>
          <w:szCs w:val="28"/>
        </w:rPr>
        <w:t>关于下达2022年第四批团体标准制修订项目计划的通知</w:t>
      </w:r>
      <w:r>
        <w:rPr>
          <w:rFonts w:hint="eastAsia" w:ascii="宋体" w:hAnsi="宋体" w:cs="宋体"/>
          <w:color w:val="auto"/>
          <w:sz w:val="28"/>
          <w:szCs w:val="28"/>
        </w:rPr>
        <w:t>》（</w:t>
      </w:r>
      <w:r>
        <w:rPr>
          <w:rFonts w:hint="eastAsia" w:ascii="宋体" w:hAnsi="宋体" w:eastAsia="宋体"/>
          <w:color w:val="auto"/>
          <w:sz w:val="28"/>
          <w:szCs w:val="28"/>
        </w:rPr>
        <w:t>桂标协[2</w:t>
      </w:r>
      <w:r>
        <w:rPr>
          <w:rFonts w:hint="eastAsia" w:ascii="宋体" w:hAnsi="宋体" w:eastAsia="宋体"/>
          <w:color w:val="auto"/>
          <w:sz w:val="28"/>
          <w:szCs w:val="28"/>
        </w:rPr>
        <w:t>022]18号</w:t>
      </w:r>
      <w:r>
        <w:rPr>
          <w:rFonts w:hint="eastAsia" w:ascii="宋体" w:hAnsi="宋体" w:cs="宋体"/>
          <w:color w:val="auto"/>
          <w:sz w:val="28"/>
          <w:szCs w:val="28"/>
        </w:rPr>
        <w:t>），《桑螟防治技术规程》广西团体标准获得立项，</w:t>
      </w:r>
      <w:r>
        <w:rPr>
          <w:rFonts w:hint="eastAsia" w:ascii="宋体" w:hAnsi="宋体" w:eastAsia="宋体"/>
          <w:color w:val="auto"/>
          <w:sz w:val="28"/>
          <w:szCs w:val="28"/>
        </w:rPr>
        <w:t>立项编号2022-0404，</w:t>
      </w:r>
      <w:r>
        <w:rPr>
          <w:rFonts w:hint="eastAsia" w:ascii="宋体" w:hAnsi="宋体" w:cs="宋体"/>
          <w:color w:val="auto"/>
          <w:sz w:val="28"/>
          <w:szCs w:val="28"/>
        </w:rPr>
        <w:t>由</w:t>
      </w:r>
      <w:r>
        <w:rPr>
          <w:rFonts w:hint="eastAsia" w:ascii="宋体" w:hAnsi="宋体" w:eastAsia="宋体"/>
          <w:color w:val="auto"/>
          <w:sz w:val="28"/>
          <w:szCs w:val="28"/>
        </w:rPr>
        <w:t>广西壮族自治区蚕业技术推广站</w:t>
      </w:r>
      <w:r>
        <w:rPr>
          <w:rFonts w:hint="eastAsia" w:ascii="宋体" w:hAnsi="宋体" w:cs="宋体"/>
          <w:color w:val="auto"/>
          <w:sz w:val="28"/>
          <w:szCs w:val="28"/>
        </w:rPr>
        <w:t>提出并归口，</w:t>
      </w:r>
      <w:r>
        <w:rPr>
          <w:rFonts w:hint="eastAsia" w:ascii="宋体" w:hAnsi="宋体" w:eastAsia="宋体"/>
          <w:color w:val="auto"/>
          <w:sz w:val="28"/>
          <w:szCs w:val="28"/>
        </w:rPr>
        <w:t>由</w:t>
      </w:r>
      <w:r>
        <w:rPr>
          <w:rFonts w:hint="eastAsia" w:ascii="宋体" w:hAnsi="宋体" w:eastAsia="宋体" w:cs="宋体"/>
          <w:color w:val="auto"/>
          <w:sz w:val="28"/>
          <w:szCs w:val="28"/>
        </w:rPr>
        <w:t>广西壮族自治区蚕业技术推广站、河池市蚕业技术指导站、百色市蚕业技术指导站和来宾市农业科学院等4个单位共同起草。</w:t>
      </w:r>
    </w:p>
    <w:p>
      <w:pPr>
        <w:pStyle w:val="2"/>
        <w:spacing w:before="0" w:beforeAutospacing="0" w:after="0" w:afterAutospacing="0"/>
        <w:ind w:left="0" w:hanging="431"/>
        <w:rPr>
          <w:rFonts w:asciiTheme="majorEastAsia" w:hAnsiTheme="majorEastAsia" w:eastAsiaTheme="majorEastAsia"/>
          <w:color w:val="auto"/>
          <w:sz w:val="28"/>
          <w:szCs w:val="28"/>
        </w:rPr>
      </w:pPr>
      <w:r>
        <w:rPr>
          <w:rFonts w:hint="eastAsia" w:asciiTheme="majorEastAsia" w:hAnsiTheme="majorEastAsia" w:eastAsiaTheme="majorEastAsia"/>
          <w:color w:val="auto"/>
          <w:sz w:val="28"/>
          <w:szCs w:val="28"/>
        </w:rPr>
        <w:t>项目背景及目的意义</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随着国家西部大开发和“东桑西移”政策的落地实施，广西蚕桑产业高质量发展得到极大促进，广西桑园面积、蚕茧产量均稳居全国首位，广西成为了我国乃至世界最重要的蚕茧生产和茧丝加工基地。《广西蚕桑产业发展“十四五”规划》提出，以“稳量、提质、增效”为核心，以“产品、基地、园区”建设为重点，将蚕桑产业多元转型发展先行区、石漠化蚕桑生态治理示范区，率先构建现代蚕桑产业体系，使广西由蚕桑大省向蚕桑强省转变。</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广西适宜的天气条件和地理环境在为桑树提供优越生长环境的同时，也为害虫的创造了良好的生存繁殖条件，桑树主要害虫发生和为害的趋势逐年加重。其中，桑螟广西桑园的主要害虫之一，分布面积广，发生面积大，暴发能力强，严重发生时，可将整株桑叶吃光，使成片的桑树成为“光杆”，导致无叶喂蚕，其排泄物还会污染叶片，影响桑叶品质，并携带微孢子虫引起家蚕交叉传染，对桑叶产量和蚕茧质量造成不利影响，因此，加强桑螟田间动态，及时开展桑螟防治工作迫在眉睫。了解桑螟的为害特征及生物学特性，选择防治适期有效防治，是防控桑螟危害的关键。生产上，蚕农由于对桑螟的发生规律不了解，忽略了虫情监测，桑螟发生时用药不及时，或者防治方法不当，都可能导致桑螟防治效果差，发生危害难以控制，从而带来经济损失。</w:t>
      </w: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目前，广西缺乏针对桑螟的防治技术标准，在桑螟治理方面成效不显著。因此，通过制定防治技术规程，规范虫情监测和防治措施，正确把握害虫的防治时机，选择恰当的防治方法，合理施药，保障高效安全的防控害虫，从而推动蚕桑产业的健康发展具有重要意义。</w:t>
      </w:r>
    </w:p>
    <w:p>
      <w:pPr>
        <w:pStyle w:val="2"/>
        <w:spacing w:before="0" w:beforeAutospacing="0" w:after="0" w:afterAutospacing="0"/>
        <w:ind w:left="0" w:hanging="431"/>
        <w:rPr>
          <w:rFonts w:asciiTheme="majorEastAsia" w:hAnsiTheme="majorEastAsia" w:eastAsiaTheme="majorEastAsia"/>
          <w:color w:val="auto"/>
          <w:sz w:val="28"/>
          <w:szCs w:val="28"/>
        </w:rPr>
      </w:pPr>
      <w:r>
        <w:rPr>
          <w:rFonts w:hint="eastAsia" w:asciiTheme="majorEastAsia" w:hAnsiTheme="majorEastAsia" w:eastAsiaTheme="majorEastAsia"/>
          <w:color w:val="auto"/>
          <w:sz w:val="28"/>
          <w:szCs w:val="28"/>
        </w:rPr>
        <w:t>标准编制过程简况</w:t>
      </w:r>
    </w:p>
    <w:p>
      <w:pPr>
        <w:pStyle w:val="3"/>
        <w:spacing w:before="0" w:after="0" w:line="415" w:lineRule="auto"/>
        <w:ind w:left="0" w:hanging="578"/>
        <w:rPr>
          <w:color w:val="auto"/>
          <w:sz w:val="28"/>
          <w:szCs w:val="28"/>
        </w:rPr>
      </w:pPr>
      <w:r>
        <w:rPr>
          <w:rFonts w:hint="eastAsia"/>
          <w:color w:val="auto"/>
          <w:sz w:val="28"/>
          <w:szCs w:val="28"/>
        </w:rPr>
        <w:t>成立编制工作小组</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广西团体标准《桑螟防治技术规程》项目任务下达后，以广西壮族自治区蚕业技术推广站主要负责组织协调，广西壮族自治区蚕业技术推广站、河池市蚕业技术指导站、百色市蚕业技术指导站、来宾市农业科学院等4个单位共同</w:t>
      </w:r>
      <w:r>
        <w:rPr>
          <w:rFonts w:hint="eastAsia" w:ascii="宋体" w:hAnsi="宋体" w:eastAsia="宋体" w:cs="宋体"/>
          <w:bCs/>
          <w:color w:val="auto"/>
          <w:sz w:val="28"/>
          <w:szCs w:val="28"/>
        </w:rPr>
        <w:t>起草，按照标准编制要求和编写工作的程序，成立了编制工作小组，</w:t>
      </w:r>
      <w:r>
        <w:rPr>
          <w:rFonts w:hint="eastAsia" w:ascii="宋体" w:hAnsi="宋体" w:eastAsia="宋体" w:cs="宋体"/>
          <w:color w:val="auto"/>
          <w:sz w:val="28"/>
          <w:szCs w:val="28"/>
        </w:rPr>
        <w:t>制订编制工作方案，确定标准制定的负责人及进度。</w:t>
      </w:r>
    </w:p>
    <w:p>
      <w:pPr>
        <w:pStyle w:val="3"/>
        <w:spacing w:before="0" w:after="0" w:line="415" w:lineRule="auto"/>
        <w:ind w:left="0" w:hanging="578"/>
        <w:rPr>
          <w:color w:val="auto"/>
          <w:sz w:val="28"/>
          <w:szCs w:val="28"/>
        </w:rPr>
      </w:pPr>
      <w:r>
        <w:rPr>
          <w:rFonts w:hint="eastAsia"/>
          <w:color w:val="auto"/>
          <w:sz w:val="28"/>
          <w:szCs w:val="28"/>
        </w:rPr>
        <w:t>资料收集、调查分析</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bCs/>
          <w:color w:val="auto"/>
          <w:sz w:val="28"/>
          <w:szCs w:val="28"/>
        </w:rPr>
        <w:t>编制工作小组成员根据任务分工开展了资料收集和调查研究工作。一是收集</w:t>
      </w:r>
      <w:r>
        <w:rPr>
          <w:rFonts w:hint="eastAsia" w:ascii="宋体" w:hAnsi="宋体" w:eastAsia="宋体" w:cs="宋体"/>
          <w:color w:val="auto"/>
          <w:sz w:val="28"/>
          <w:szCs w:val="28"/>
        </w:rPr>
        <w:t>国内外有关桑螟防治的文献资料的查询、收集和整理工作，查阅前人对桑螟防治技术的研究情况和目前科学界对桑螟综合防治技术的研究进展</w:t>
      </w:r>
      <w:r>
        <w:rPr>
          <w:rFonts w:hint="eastAsia" w:ascii="宋体" w:hAnsi="宋体" w:eastAsia="宋体" w:cs="宋体"/>
          <w:bCs/>
          <w:color w:val="auto"/>
          <w:sz w:val="28"/>
          <w:szCs w:val="28"/>
        </w:rPr>
        <w:t>；二是组织技术人员到基层蚕业管理部门、蚕桑主产区桑园进行实地考察和调研，了解和掌握当前各地区桑螟发生动态及防控方法，以便确定标准的调查方法和防治时期，为规范我区桑螟防控技术提供普遍适用的技术依据；三是组织技术人员开展桑螟防治技术研发、</w:t>
      </w:r>
      <w:r>
        <w:rPr>
          <w:rFonts w:ascii="宋体" w:hAnsi="宋体" w:eastAsia="宋体" w:cs="宋体"/>
          <w:bCs/>
          <w:color w:val="auto"/>
          <w:sz w:val="28"/>
          <w:szCs w:val="28"/>
        </w:rPr>
        <w:t>防控</w:t>
      </w:r>
      <w:r>
        <w:rPr>
          <w:rFonts w:hint="eastAsia" w:ascii="宋体" w:hAnsi="宋体" w:eastAsia="宋体" w:cs="宋体"/>
          <w:bCs/>
          <w:color w:val="auto"/>
          <w:sz w:val="28"/>
          <w:szCs w:val="28"/>
        </w:rPr>
        <w:t>药物筛选等</w:t>
      </w:r>
      <w:r>
        <w:rPr>
          <w:rFonts w:ascii="宋体" w:hAnsi="宋体" w:eastAsia="宋体" w:cs="宋体"/>
          <w:bCs/>
          <w:color w:val="auto"/>
          <w:sz w:val="28"/>
          <w:szCs w:val="28"/>
        </w:rPr>
        <w:t>工作</w:t>
      </w:r>
      <w:r>
        <w:rPr>
          <w:rFonts w:hint="eastAsia" w:ascii="宋体" w:hAnsi="宋体" w:eastAsia="宋体" w:cs="宋体"/>
          <w:color w:val="auto"/>
          <w:sz w:val="28"/>
          <w:szCs w:val="28"/>
        </w:rPr>
        <w:t>。</w:t>
      </w:r>
    </w:p>
    <w:p>
      <w:pPr>
        <w:pStyle w:val="3"/>
        <w:spacing w:before="0" w:after="0" w:line="415" w:lineRule="auto"/>
        <w:ind w:left="0" w:hanging="578"/>
        <w:rPr>
          <w:color w:val="auto"/>
          <w:sz w:val="28"/>
          <w:szCs w:val="28"/>
        </w:rPr>
      </w:pPr>
      <w:r>
        <w:rPr>
          <w:rFonts w:hint="eastAsia"/>
          <w:color w:val="auto"/>
          <w:sz w:val="28"/>
          <w:szCs w:val="28"/>
        </w:rPr>
        <w:t>形成征求意见稿</w:t>
      </w: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标准起草工作小组在经过资料收集、调查分析的基础上，经过编制小组成员反复研讨，确定了主要规范内容和技术指标，形成了《桑螟防治技术规程》标准的编制原则及纲要，并根据标准的格式和编写方法，按照GB/T 1.1-2020的标准编写格式规定，起草编写了《桑螟防治技术规程》征求意见草稿。征求意见草稿经标准编制小组反复讨论、修改、专家认证后，于2022年10月底编写形成《桑螟防治技术规程》广西团体标准征求意见稿。</w:t>
      </w:r>
    </w:p>
    <w:p>
      <w:pPr>
        <w:pStyle w:val="2"/>
        <w:spacing w:before="0" w:beforeAutospacing="0" w:after="0" w:afterAutospacing="0"/>
        <w:ind w:left="0"/>
        <w:rPr>
          <w:color w:val="auto"/>
          <w:sz w:val="28"/>
          <w:szCs w:val="28"/>
        </w:rPr>
      </w:pPr>
      <w:r>
        <w:rPr>
          <w:rFonts w:hint="eastAsia"/>
          <w:color w:val="auto"/>
          <w:sz w:val="28"/>
          <w:szCs w:val="28"/>
        </w:rPr>
        <w:t>标准编制原则</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本标准是在充分收集相关资料和文献，</w:t>
      </w:r>
      <w:r>
        <w:rPr>
          <w:rFonts w:hint="eastAsia" w:ascii="宋体" w:hAnsi="宋体" w:eastAsia="宋体" w:cs="宋体"/>
          <w:color w:val="auto"/>
          <w:sz w:val="28"/>
          <w:szCs w:val="28"/>
        </w:rPr>
        <w:t>分析桑螟综合防控当前现状，</w:t>
      </w:r>
      <w:r>
        <w:rPr>
          <w:rFonts w:hint="eastAsia" w:ascii="宋体" w:hAnsi="宋体" w:eastAsia="宋体" w:cs="宋体"/>
          <w:color w:val="auto"/>
          <w:sz w:val="28"/>
          <w:szCs w:val="28"/>
        </w:rPr>
        <w:t>在现有国家、行业标准相关桑螟综合防控技术要求的基础上，结合广西壮族自治区蚕业技术推广站多年的桑螟防控经验、试验而总结起草，彰显规程的实用性和针对性。本标准结合当前广西地理环境、气候条件、桑园管理、桑园桑螟发生等生产技术及实际情况，使制定的标准符合产业生产技术水平，又能促进行业生产技术进步、产品品质提升，符合广西桑螟防治的先进性和特色性。</w:t>
      </w:r>
    </w:p>
    <w:p>
      <w:pPr>
        <w:pStyle w:val="2"/>
        <w:spacing w:before="0" w:beforeAutospacing="0" w:after="0" w:afterAutospacing="0" w:line="415" w:lineRule="auto"/>
        <w:ind w:left="0" w:hanging="578"/>
        <w:rPr>
          <w:rFonts w:cstheme="majorBidi"/>
          <w:color w:val="auto"/>
          <w:sz w:val="28"/>
          <w:szCs w:val="28"/>
        </w:rPr>
      </w:pPr>
      <w:r>
        <w:rPr>
          <w:rFonts w:hint="eastAsia"/>
          <w:color w:val="auto"/>
          <w:sz w:val="28"/>
          <w:szCs w:val="28"/>
        </w:rPr>
        <w:t>标准主要内容及依据来源</w:t>
      </w:r>
    </w:p>
    <w:p>
      <w:pPr>
        <w:pStyle w:val="2"/>
        <w:numPr>
          <w:ilvl w:val="0"/>
          <w:numId w:val="0"/>
        </w:numPr>
        <w:shd w:val="clear" w:color="auto" w:fill="FFFFFF"/>
        <w:spacing w:before="0" w:beforeAutospacing="0" w:after="0" w:afterAutospacing="0"/>
        <w:ind w:firstLine="700" w:firstLineChars="250"/>
        <w:rPr>
          <w:b w:val="0"/>
          <w:color w:val="auto"/>
          <w:sz w:val="28"/>
          <w:szCs w:val="28"/>
        </w:rPr>
      </w:pPr>
      <w:r>
        <w:rPr>
          <w:rFonts w:hint="eastAsia"/>
          <w:b w:val="0"/>
          <w:bCs w:val="0"/>
          <w:color w:val="auto"/>
          <w:sz w:val="28"/>
          <w:szCs w:val="28"/>
        </w:rPr>
        <w:t>编制组成员单位广西壮族自治区蚕业技术推广站下设桑树病虫害研究室，主要调查研究全区桑园主要病虫害的发生动态以及病虫害防治试验的开展和防治技术推广工作。</w:t>
      </w:r>
      <w:r>
        <w:rPr>
          <w:rFonts w:hint="eastAsia"/>
          <w:b w:val="0"/>
          <w:color w:val="auto"/>
          <w:sz w:val="28"/>
          <w:szCs w:val="28"/>
        </w:rPr>
        <w:t>2018年开始承接国家植物保护数据中心对桑螟的监测任务，开展了桑螟的虫情动态监测、虫情测报灯诱集监测和气象环境要素的监测工作。由于广西桑园是密植型桑园，养蚕批次紧密，地处亚热带季风气候区等因素，监测得出广西的桑园桑螟发生规律明显不同于其他省份，具有越冬时间短、发生世代多、虫口密度大、世代重叠严重、暴发能力强等特点。</w:t>
      </w:r>
    </w:p>
    <w:p>
      <w:pPr>
        <w:ind w:firstLine="560" w:firstLineChars="200"/>
        <w:rPr>
          <w:color w:val="auto"/>
          <w:sz w:val="28"/>
          <w:szCs w:val="28"/>
        </w:rPr>
      </w:pPr>
      <w:r>
        <w:rPr>
          <w:rFonts w:hint="eastAsia" w:ascii="宋体" w:hAnsi="宋体" w:eastAsia="宋体" w:cs="宋体"/>
          <w:color w:val="auto"/>
          <w:sz w:val="28"/>
          <w:szCs w:val="28"/>
        </w:rPr>
        <w:t>本标准的主要技术指标是由编制组通过多年的科学试验、生产实践以及调研访问等途径总结集成，并在广西南宁、河池、柳州、百色、来宾等桑蚕主产区进行多次反复试验验证。</w:t>
      </w:r>
    </w:p>
    <w:p>
      <w:pPr>
        <w:pStyle w:val="3"/>
        <w:spacing w:before="0" w:after="0"/>
        <w:ind w:left="0"/>
        <w:rPr>
          <w:color w:val="auto"/>
          <w:sz w:val="28"/>
          <w:szCs w:val="28"/>
        </w:rPr>
      </w:pPr>
      <w:r>
        <w:rPr>
          <w:rFonts w:hint="eastAsia"/>
          <w:color w:val="auto"/>
          <w:sz w:val="28"/>
          <w:szCs w:val="28"/>
        </w:rPr>
        <w:t>虫情监测的确立</w:t>
      </w:r>
    </w:p>
    <w:p>
      <w:pPr>
        <w:ind w:firstLine="560" w:firstLineChars="200"/>
        <w:rPr>
          <w:rFonts w:ascii="宋体" w:hAnsi="宋体" w:eastAsia="宋体" w:cs="宋体"/>
          <w:bCs/>
          <w:color w:val="auto"/>
          <w:kern w:val="36"/>
          <w:sz w:val="28"/>
          <w:szCs w:val="28"/>
        </w:rPr>
      </w:pPr>
      <w:r>
        <w:rPr>
          <w:rFonts w:hint="eastAsia" w:ascii="宋体" w:hAnsi="宋体" w:eastAsia="宋体" w:cs="宋体"/>
          <w:color w:val="auto"/>
          <w:sz w:val="28"/>
          <w:szCs w:val="28"/>
        </w:rPr>
        <w:t>（1）监测时间。</w:t>
      </w:r>
      <w:r>
        <w:rPr>
          <w:rFonts w:hint="eastAsia" w:ascii="宋体" w:hAnsi="宋体" w:eastAsia="宋体" w:cs="宋体"/>
          <w:bCs/>
          <w:color w:val="auto"/>
          <w:kern w:val="36"/>
          <w:sz w:val="28"/>
          <w:szCs w:val="28"/>
        </w:rPr>
        <w:t>编制组多年的实施调研和研究结果，从掌握的桑螟发生动态分析，广西桑螟越冬从11月中下旬开始至次年的2月中下旬，一般从3月初开始越冬代的成虫羽化，暖冬时从2月中旬即能诱到成虫，最早监测到的越冬代成虫是2012年2月中旬；一年发生8～10代，从第二代开始出现世代重叠，世代间隔不明显。因此，利用世代表示显然不容易区分。编制组经过多年田间调查经验和反复印证后，采用月份作为监测和防治的时间轴，具简单明了，可操作性强，又能有效监测到桑螟的主要发生动态</w:t>
      </w:r>
      <w:r>
        <w:rPr>
          <w:rFonts w:hint="eastAsia" w:ascii="宋体" w:hAnsi="宋体" w:eastAsia="宋体" w:cs="宋体"/>
          <w:bCs/>
          <w:color w:val="auto"/>
          <w:kern w:val="36"/>
          <w:sz w:val="28"/>
          <w:szCs w:val="28"/>
        </w:rPr>
        <w:t>(如图1）</w:t>
      </w:r>
      <w:r>
        <w:rPr>
          <w:rFonts w:hint="eastAsia" w:ascii="宋体" w:hAnsi="宋体" w:eastAsia="宋体" w:cs="宋体"/>
          <w:bCs/>
          <w:color w:val="auto"/>
          <w:kern w:val="36"/>
          <w:sz w:val="28"/>
          <w:szCs w:val="28"/>
        </w:rPr>
        <w:t>。</w:t>
      </w:r>
    </w:p>
    <w:p>
      <w:pPr>
        <w:ind w:firstLine="560" w:firstLineChars="200"/>
        <w:jc w:val="center"/>
        <w:rPr>
          <w:rFonts w:ascii="宋体" w:hAnsi="宋体" w:eastAsia="宋体" w:cs="宋体"/>
          <w:bCs/>
          <w:color w:val="auto"/>
          <w:kern w:val="36"/>
          <w:sz w:val="28"/>
          <w:szCs w:val="28"/>
        </w:rPr>
      </w:pPr>
      <w:r>
        <w:rPr>
          <w:rFonts w:hint="eastAsia" w:ascii="宋体" w:hAnsi="宋体" w:eastAsia="宋体" w:cs="宋体"/>
          <w:bCs/>
          <w:color w:val="auto"/>
          <w:kern w:val="36"/>
          <w:sz w:val="28"/>
          <w:szCs w:val="28"/>
        </w:rPr>
        <w:t>图1  桑螟发育动态图</w:t>
      </w:r>
    </w:p>
    <w:p>
      <w:pPr>
        <w:rPr>
          <w:rFonts w:ascii="宋体" w:hAnsi="宋体" w:eastAsia="宋体" w:cs="宋体"/>
          <w:bCs/>
          <w:color w:val="auto"/>
          <w:kern w:val="36"/>
          <w:sz w:val="28"/>
          <w:szCs w:val="28"/>
        </w:rPr>
      </w:pPr>
      <w:r>
        <w:rPr>
          <w:rFonts w:ascii="宋体" w:hAnsi="宋体" w:eastAsia="宋体" w:cs="宋体"/>
          <w:bCs/>
          <w:color w:val="auto"/>
          <w:kern w:val="36"/>
          <w:sz w:val="28"/>
          <w:szCs w:val="28"/>
        </w:rPr>
        <w:drawing>
          <wp:inline distT="0" distB="0" distL="0" distR="0">
            <wp:extent cx="5274310" cy="2950845"/>
            <wp:effectExtent l="19050" t="0" r="21590" b="1822"/>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（2）监测方法。主要参照国家蚕桑产业技术体系桑树病虫害防控体系施行的桑螟田间调查采样方法，并结合广西桑园以密植栽培模式为主和管理特点进行修正，经参照现有文献资料和田间调查多方验证后确立。</w:t>
      </w: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3）防治指标。因广西桑园种植模式的原因，以及5～6月份高温多湿的气候条件共同作用下，桑螟的田间虫口密度明显高于全国各地，暴发能力极强，在短时间内即可造成严重危害。如2012年6河池市、2020年9～10月南宁市武鸣区、2022年7月来宾市忻城县等地曾经有报道的桑螟暴发的记录，严重时单株虫口密度可达300头，田间虫口密度每亩50000头,被害芽率达90%以上，造成少养1～2批蚕的严重损失。因此在编制防治指标时，综合参考了国家蚕桑产业技术体系桑树病虫害防控体系施行的桑螟防治标准，结合本地区的栽培模式对密植桑园和嫁接桑园进行了区分，使防治规程更具指导性。</w:t>
      </w:r>
    </w:p>
    <w:p>
      <w:pPr>
        <w:pStyle w:val="3"/>
        <w:spacing w:before="0" w:after="0" w:line="415" w:lineRule="auto"/>
        <w:ind w:left="0" w:hanging="578"/>
        <w:rPr>
          <w:color w:val="auto"/>
          <w:sz w:val="28"/>
          <w:szCs w:val="28"/>
        </w:rPr>
      </w:pPr>
      <w:r>
        <w:rPr>
          <w:rFonts w:hint="eastAsia"/>
          <w:color w:val="auto"/>
          <w:sz w:val="28"/>
          <w:szCs w:val="28"/>
        </w:rPr>
        <w:t>防治措施的依据</w:t>
      </w:r>
    </w:p>
    <w:p>
      <w:pPr>
        <w:pStyle w:val="25"/>
        <w:numPr>
          <w:ilvl w:val="0"/>
          <w:numId w:val="0"/>
        </w:numPr>
        <w:spacing w:beforeLines="0" w:afterLines="0"/>
        <w:ind w:firstLine="420" w:firstLineChars="150"/>
        <w:rPr>
          <w:rFonts w:ascii="宋体" w:hAnsi="宋体" w:eastAsia="宋体" w:cs="宋体"/>
          <w:color w:val="auto"/>
          <w:kern w:val="2"/>
          <w:sz w:val="28"/>
          <w:szCs w:val="28"/>
        </w:rPr>
      </w:pPr>
      <w:r>
        <w:rPr>
          <w:rFonts w:hint="eastAsia" w:ascii="宋体" w:hAnsi="宋体" w:eastAsia="宋体" w:cs="宋体"/>
          <w:color w:val="auto"/>
          <w:kern w:val="2"/>
          <w:sz w:val="28"/>
          <w:szCs w:val="28"/>
        </w:rPr>
        <w:t>（1）农业防治。桑螟越冬通常以老熟幼虫和蛹在束草、树干的缝隙、蛀孔、枯枝落叶上隐藏越冬。因此，在农业防治时，强调</w:t>
      </w:r>
      <w:r>
        <w:rPr>
          <w:rFonts w:hint="eastAsia" w:ascii="宋体" w:hAnsi="宋体" w:eastAsia="宋体" w:cs="宋体"/>
          <w:color w:val="auto"/>
          <w:sz w:val="28"/>
          <w:szCs w:val="28"/>
        </w:rPr>
        <w:t>注重夏伐和冬伐，注意田间清理工作，是带走大量虫源、降低田间虫密度最直接有效的方法。</w:t>
      </w:r>
    </w:p>
    <w:p>
      <w:pPr>
        <w:spacing w:beforeLines="50"/>
        <w:ind w:firstLine="280" w:firstLineChars="100"/>
        <w:jc w:val="left"/>
        <w:rPr>
          <w:rFonts w:ascii="宋体" w:hAnsi="宋体" w:eastAsia="宋体" w:cs="宋体"/>
          <w:color w:val="auto"/>
          <w:sz w:val="28"/>
          <w:szCs w:val="28"/>
        </w:rPr>
      </w:pPr>
      <w:r>
        <w:rPr>
          <w:rFonts w:hint="eastAsia" w:ascii="宋体" w:hAnsi="宋体" w:eastAsia="宋体" w:cs="宋体"/>
          <w:color w:val="auto"/>
          <w:sz w:val="28"/>
          <w:szCs w:val="28"/>
        </w:rPr>
        <w:t>（2）物理防治。利用桑螟成虫的趋光性采用频振式杀虫灯或黑光灯进行诱杀。在桑园安装频振式杀虫灯诱杀桑螟成虫的</w:t>
      </w:r>
      <w:r>
        <w:rPr>
          <w:rFonts w:ascii="宋体" w:hAnsi="宋体" w:eastAsia="宋体" w:cs="宋体"/>
          <w:color w:val="auto"/>
          <w:sz w:val="28"/>
          <w:szCs w:val="28"/>
        </w:rPr>
        <w:t>研究</w:t>
      </w:r>
      <w:r>
        <w:rPr>
          <w:rFonts w:hint="eastAsia" w:ascii="宋体" w:hAnsi="宋体" w:eastAsia="宋体" w:cs="宋体"/>
          <w:color w:val="auto"/>
          <w:sz w:val="28"/>
          <w:szCs w:val="28"/>
        </w:rPr>
        <w:t>表明，</w:t>
      </w:r>
      <w:r>
        <w:rPr>
          <w:rFonts w:ascii="宋体" w:hAnsi="宋体" w:eastAsia="宋体" w:cs="宋体"/>
          <w:color w:val="auto"/>
          <w:sz w:val="28"/>
          <w:szCs w:val="28"/>
        </w:rPr>
        <w:t>灯控区比无灯区第一代桑螟幼虫量降低23.8%</w:t>
      </w:r>
      <w:r>
        <w:rPr>
          <w:rFonts w:hint="eastAsia" w:ascii="宋体" w:hAnsi="宋体" w:eastAsia="宋体" w:cs="宋体"/>
          <w:color w:val="auto"/>
          <w:sz w:val="28"/>
          <w:szCs w:val="28"/>
        </w:rPr>
        <w:t>；</w:t>
      </w:r>
      <w:r>
        <w:rPr>
          <w:rFonts w:ascii="宋体" w:hAnsi="宋体" w:eastAsia="宋体" w:cs="宋体"/>
          <w:color w:val="auto"/>
          <w:sz w:val="28"/>
          <w:szCs w:val="28"/>
        </w:rPr>
        <w:t>第二代幼虫量降低79.3%</w:t>
      </w:r>
      <w:r>
        <w:rPr>
          <w:rFonts w:hint="eastAsia" w:ascii="宋体" w:hAnsi="宋体" w:eastAsia="宋体" w:cs="宋体"/>
          <w:color w:val="auto"/>
          <w:sz w:val="28"/>
          <w:szCs w:val="28"/>
        </w:rPr>
        <w:t>。因此说明，诱杀桑螟成虫对下一代的种群数量具有一定的控制效果。</w:t>
      </w:r>
    </w:p>
    <w:p>
      <w:pPr>
        <w:spacing w:beforeLines="50"/>
        <w:jc w:val="center"/>
        <w:rPr>
          <w:rFonts w:eastAsia="黑体"/>
          <w:color w:val="auto"/>
          <w:kern w:val="0"/>
          <w:sz w:val="24"/>
          <w:szCs w:val="24"/>
        </w:rPr>
      </w:pPr>
      <w:r>
        <w:rPr>
          <w:rFonts w:eastAsia="黑体"/>
          <w:color w:val="auto"/>
          <w:kern w:val="0"/>
          <w:sz w:val="24"/>
          <w:szCs w:val="24"/>
        </w:rPr>
        <w:t>频振式杀虫灯对桑园桑螟的防控效果</w:t>
      </w:r>
    </w:p>
    <w:tbl>
      <w:tblPr>
        <w:tblStyle w:val="14"/>
        <w:tblW w:w="8660" w:type="dxa"/>
        <w:tblInd w:w="88" w:type="dxa"/>
        <w:tblLayout w:type="autofit"/>
        <w:tblCellMar>
          <w:top w:w="0" w:type="dxa"/>
          <w:left w:w="108" w:type="dxa"/>
          <w:bottom w:w="0" w:type="dxa"/>
          <w:right w:w="108" w:type="dxa"/>
        </w:tblCellMar>
      </w:tblPr>
      <w:tblGrid>
        <w:gridCol w:w="2900"/>
        <w:gridCol w:w="1080"/>
        <w:gridCol w:w="1260"/>
        <w:gridCol w:w="3420"/>
      </w:tblGrid>
      <w:tr>
        <w:tblPrEx>
          <w:tblCellMar>
            <w:top w:w="0" w:type="dxa"/>
            <w:left w:w="108" w:type="dxa"/>
            <w:bottom w:w="0" w:type="dxa"/>
            <w:right w:w="108" w:type="dxa"/>
          </w:tblCellMar>
        </w:tblPrEx>
        <w:trPr>
          <w:trHeight w:val="127" w:hRule="atLeast"/>
        </w:trPr>
        <w:tc>
          <w:tcPr>
            <w:tcW w:w="2900" w:type="dxa"/>
            <w:tcBorders>
              <w:top w:val="single" w:color="auto" w:sz="12" w:space="0"/>
              <w:left w:val="nil"/>
              <w:bottom w:val="single" w:color="auto" w:sz="4" w:space="0"/>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处理区</w:t>
            </w:r>
          </w:p>
        </w:tc>
        <w:tc>
          <w:tcPr>
            <w:tcW w:w="1080" w:type="dxa"/>
            <w:tcBorders>
              <w:top w:val="single" w:color="auto" w:sz="12" w:space="0"/>
              <w:left w:val="nil"/>
              <w:bottom w:val="single" w:color="auto" w:sz="4" w:space="0"/>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灯控区</w:t>
            </w:r>
          </w:p>
        </w:tc>
        <w:tc>
          <w:tcPr>
            <w:tcW w:w="1260" w:type="dxa"/>
            <w:tcBorders>
              <w:top w:val="single" w:color="auto" w:sz="12" w:space="0"/>
              <w:left w:val="nil"/>
              <w:bottom w:val="single" w:color="auto" w:sz="4" w:space="0"/>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无灯区</w:t>
            </w:r>
          </w:p>
        </w:tc>
        <w:tc>
          <w:tcPr>
            <w:tcW w:w="3420" w:type="dxa"/>
            <w:tcBorders>
              <w:top w:val="single" w:color="auto" w:sz="12" w:space="0"/>
              <w:left w:val="nil"/>
              <w:bottom w:val="single" w:color="auto" w:sz="4" w:space="0"/>
              <w:right w:val="nil"/>
            </w:tcBorders>
            <w:shd w:val="clear" w:color="auto" w:fill="auto"/>
            <w:vAlign w:val="center"/>
          </w:tcPr>
          <w:p>
            <w:pPr>
              <w:widowControl/>
              <w:spacing w:line="320" w:lineRule="exact"/>
              <w:jc w:val="center"/>
              <w:rPr>
                <w:color w:val="auto"/>
                <w:kern w:val="0"/>
                <w:sz w:val="24"/>
                <w:szCs w:val="24"/>
              </w:rPr>
            </w:pPr>
            <w:r>
              <w:rPr>
                <w:color w:val="auto"/>
                <w:sz w:val="24"/>
                <w:szCs w:val="24"/>
              </w:rPr>
              <w:t>灯控区比无灯区幼虫量降低率（</w:t>
            </w:r>
            <w:r>
              <w:rPr>
                <w:color w:val="auto"/>
                <w:kern w:val="0"/>
                <w:sz w:val="24"/>
                <w:szCs w:val="24"/>
              </w:rPr>
              <w:t>%）</w:t>
            </w:r>
          </w:p>
        </w:tc>
      </w:tr>
      <w:tr>
        <w:tblPrEx>
          <w:tblCellMar>
            <w:top w:w="0" w:type="dxa"/>
            <w:left w:w="108" w:type="dxa"/>
            <w:bottom w:w="0" w:type="dxa"/>
            <w:right w:w="108" w:type="dxa"/>
          </w:tblCellMar>
        </w:tblPrEx>
        <w:trPr>
          <w:trHeight w:val="70" w:hRule="atLeast"/>
        </w:trPr>
        <w:tc>
          <w:tcPr>
            <w:tcW w:w="2900" w:type="dxa"/>
            <w:tcBorders>
              <w:top w:val="single" w:color="auto" w:sz="4" w:space="0"/>
              <w:left w:val="nil"/>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第一代桑螟虫口密度(头/百株)</w:t>
            </w:r>
          </w:p>
        </w:tc>
        <w:tc>
          <w:tcPr>
            <w:tcW w:w="1080" w:type="dxa"/>
            <w:tcBorders>
              <w:top w:val="single" w:color="auto" w:sz="4" w:space="0"/>
              <w:left w:val="nil"/>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467.5</w:t>
            </w:r>
          </w:p>
        </w:tc>
        <w:tc>
          <w:tcPr>
            <w:tcW w:w="1260" w:type="dxa"/>
            <w:tcBorders>
              <w:top w:val="single" w:color="auto" w:sz="4" w:space="0"/>
              <w:left w:val="nil"/>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613.3 </w:t>
            </w:r>
          </w:p>
        </w:tc>
        <w:tc>
          <w:tcPr>
            <w:tcW w:w="3420" w:type="dxa"/>
            <w:tcBorders>
              <w:top w:val="single" w:color="auto" w:sz="4" w:space="0"/>
              <w:left w:val="nil"/>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23.8 </w:t>
            </w:r>
          </w:p>
        </w:tc>
      </w:tr>
      <w:tr>
        <w:tblPrEx>
          <w:tblCellMar>
            <w:top w:w="0" w:type="dxa"/>
            <w:left w:w="108" w:type="dxa"/>
            <w:bottom w:w="0" w:type="dxa"/>
            <w:right w:w="108" w:type="dxa"/>
          </w:tblCellMar>
        </w:tblPrEx>
        <w:trPr>
          <w:trHeight w:val="487" w:hRule="atLeast"/>
        </w:trPr>
        <w:tc>
          <w:tcPr>
            <w:tcW w:w="2900" w:type="dxa"/>
            <w:tcBorders>
              <w:top w:val="nil"/>
              <w:left w:val="nil"/>
              <w:bottom w:val="single" w:color="auto" w:sz="4" w:space="0"/>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第</w:t>
            </w:r>
            <w:r>
              <w:rPr>
                <w:rFonts w:hint="eastAsia"/>
                <w:color w:val="auto"/>
                <w:kern w:val="0"/>
                <w:sz w:val="24"/>
                <w:szCs w:val="24"/>
              </w:rPr>
              <w:t>二</w:t>
            </w:r>
            <w:r>
              <w:rPr>
                <w:color w:val="auto"/>
                <w:kern w:val="0"/>
                <w:sz w:val="24"/>
                <w:szCs w:val="24"/>
              </w:rPr>
              <w:t>代桑螟虫口密度(头/百株)</w:t>
            </w:r>
          </w:p>
        </w:tc>
        <w:tc>
          <w:tcPr>
            <w:tcW w:w="1080" w:type="dxa"/>
            <w:tcBorders>
              <w:top w:val="nil"/>
              <w:left w:val="nil"/>
              <w:bottom w:val="single" w:color="auto" w:sz="4" w:space="0"/>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52.5</w:t>
            </w:r>
          </w:p>
        </w:tc>
        <w:tc>
          <w:tcPr>
            <w:tcW w:w="1260" w:type="dxa"/>
            <w:tcBorders>
              <w:top w:val="nil"/>
              <w:left w:val="nil"/>
              <w:bottom w:val="single" w:color="auto" w:sz="4" w:space="0"/>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253.3 </w:t>
            </w:r>
          </w:p>
        </w:tc>
        <w:tc>
          <w:tcPr>
            <w:tcW w:w="3420" w:type="dxa"/>
            <w:tcBorders>
              <w:top w:val="nil"/>
              <w:left w:val="nil"/>
              <w:bottom w:val="single" w:color="auto" w:sz="4" w:space="0"/>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79.3 </w:t>
            </w:r>
          </w:p>
        </w:tc>
      </w:tr>
    </w:tbl>
    <w:p>
      <w:pPr>
        <w:spacing w:line="320" w:lineRule="exact"/>
        <w:rPr>
          <w:color w:val="auto"/>
          <w:szCs w:val="21"/>
        </w:rPr>
      </w:pPr>
    </w:p>
    <w:p>
      <w:pPr>
        <w:pStyle w:val="25"/>
        <w:numPr>
          <w:ilvl w:val="0"/>
          <w:numId w:val="0"/>
        </w:numPr>
        <w:spacing w:beforeLines="0" w:afterLines="0"/>
        <w:ind w:firstLine="420" w:firstLineChars="150"/>
        <w:rPr>
          <w:rFonts w:ascii="宋体" w:hAnsi="宋体" w:eastAsia="宋体" w:cs="宋体"/>
          <w:color w:val="auto"/>
          <w:sz w:val="28"/>
          <w:szCs w:val="28"/>
        </w:rPr>
      </w:pPr>
      <w:r>
        <w:rPr>
          <w:rFonts w:hint="eastAsia" w:ascii="宋体" w:hAnsi="宋体" w:eastAsia="宋体" w:cs="宋体"/>
          <w:color w:val="auto"/>
          <w:sz w:val="28"/>
          <w:szCs w:val="28"/>
        </w:rPr>
        <w:t>单盏灯的控诱</w:t>
      </w:r>
      <w:r>
        <w:rPr>
          <w:rFonts w:ascii="宋体" w:hAnsi="宋体" w:eastAsia="宋体" w:cs="宋体"/>
          <w:color w:val="auto"/>
          <w:sz w:val="28"/>
          <w:szCs w:val="28"/>
        </w:rPr>
        <w:t>范围观察</w:t>
      </w:r>
      <w:r>
        <w:rPr>
          <w:rFonts w:hint="eastAsia" w:ascii="宋体" w:hAnsi="宋体" w:eastAsia="宋体" w:cs="宋体"/>
          <w:color w:val="auto"/>
          <w:sz w:val="28"/>
          <w:szCs w:val="28"/>
        </w:rPr>
        <w:t>，</w:t>
      </w:r>
      <w:r>
        <w:rPr>
          <w:rFonts w:ascii="宋体" w:hAnsi="宋体" w:eastAsia="宋体" w:cs="宋体"/>
          <w:color w:val="auto"/>
          <w:sz w:val="28"/>
          <w:szCs w:val="28"/>
        </w:rPr>
        <w:t>以距灯35</w:t>
      </w:r>
      <w:r>
        <w:rPr>
          <w:rFonts w:hint="eastAsia" w:ascii="宋体" w:hAnsi="宋体" w:eastAsia="宋体" w:cs="宋体"/>
          <w:color w:val="auto"/>
          <w:sz w:val="28"/>
          <w:szCs w:val="28"/>
        </w:rPr>
        <w:t>～</w:t>
      </w:r>
      <w:r>
        <w:rPr>
          <w:rFonts w:ascii="宋体" w:hAnsi="宋体" w:eastAsia="宋体" w:cs="宋体"/>
          <w:color w:val="auto"/>
          <w:sz w:val="28"/>
          <w:szCs w:val="28"/>
        </w:rPr>
        <w:t>55米范围幼虫密度最少，而灯下0</w:t>
      </w:r>
      <w:r>
        <w:rPr>
          <w:rFonts w:hint="eastAsia" w:ascii="宋体" w:hAnsi="宋体" w:eastAsia="宋体" w:cs="宋体"/>
          <w:color w:val="auto"/>
          <w:sz w:val="28"/>
          <w:szCs w:val="28"/>
        </w:rPr>
        <w:t>～</w:t>
      </w:r>
      <w:r>
        <w:rPr>
          <w:rFonts w:ascii="宋体" w:hAnsi="宋体" w:eastAsia="宋体" w:cs="宋体"/>
          <w:color w:val="auto"/>
          <w:sz w:val="28"/>
          <w:szCs w:val="28"/>
        </w:rPr>
        <w:t>15m虫口密度最高。从分析结果来看，频振试杀虫灯诱杀桑园桑螟的灯距在35～55m左右效果最好。</w:t>
      </w:r>
      <w:r>
        <w:rPr>
          <w:rFonts w:hint="eastAsia" w:ascii="宋体" w:hAnsi="宋体" w:eastAsia="宋体" w:cs="宋体"/>
          <w:color w:val="auto"/>
          <w:sz w:val="28"/>
          <w:szCs w:val="28"/>
        </w:rPr>
        <w:t>因此,指导桑园安装频振式杀虫灯时为每hm</w:t>
      </w:r>
      <w:r>
        <w:rPr>
          <w:rFonts w:hint="eastAsia" w:ascii="宋体" w:hAnsi="宋体" w:eastAsia="宋体" w:cs="宋体"/>
          <w:color w:val="auto"/>
          <w:sz w:val="28"/>
          <w:szCs w:val="28"/>
          <w:vertAlign w:val="superscript"/>
        </w:rPr>
        <w:t>2</w:t>
      </w:r>
      <w:r>
        <w:rPr>
          <w:rFonts w:hint="eastAsia" w:ascii="宋体" w:hAnsi="宋体" w:eastAsia="宋体" w:cs="宋体"/>
          <w:color w:val="auto"/>
          <w:sz w:val="28"/>
          <w:szCs w:val="28"/>
        </w:rPr>
        <w:t>1～2盏灯。</w:t>
      </w:r>
    </w:p>
    <w:p>
      <w:pPr>
        <w:spacing w:beforeLines="50"/>
        <w:jc w:val="center"/>
        <w:rPr>
          <w:rFonts w:eastAsia="黑体"/>
          <w:color w:val="auto"/>
          <w:kern w:val="0"/>
          <w:sz w:val="24"/>
          <w:szCs w:val="24"/>
        </w:rPr>
      </w:pPr>
      <w:r>
        <w:rPr>
          <w:rFonts w:eastAsia="黑体"/>
          <w:color w:val="auto"/>
          <w:kern w:val="0"/>
          <w:sz w:val="18"/>
          <w:szCs w:val="18"/>
        </w:rPr>
        <w:t xml:space="preserve"> </w:t>
      </w:r>
      <w:r>
        <w:rPr>
          <w:rFonts w:eastAsia="黑体"/>
          <w:color w:val="auto"/>
          <w:kern w:val="0"/>
          <w:sz w:val="24"/>
          <w:szCs w:val="24"/>
        </w:rPr>
        <w:t xml:space="preserve"> 单灯诱虫田间范围的桑螟虫口密度</w:t>
      </w:r>
    </w:p>
    <w:tbl>
      <w:tblPr>
        <w:tblStyle w:val="14"/>
        <w:tblpPr w:leftFromText="180" w:rightFromText="180" w:vertAnchor="text" w:horzAnchor="margin" w:tblpX="72" w:tblpY="158"/>
        <w:tblW w:w="8568" w:type="dxa"/>
        <w:tblInd w:w="0" w:type="dxa"/>
        <w:tblLayout w:type="fixed"/>
        <w:tblCellMar>
          <w:top w:w="0" w:type="dxa"/>
          <w:left w:w="108" w:type="dxa"/>
          <w:bottom w:w="0" w:type="dxa"/>
          <w:right w:w="108" w:type="dxa"/>
        </w:tblCellMar>
      </w:tblPr>
      <w:tblGrid>
        <w:gridCol w:w="2988"/>
        <w:gridCol w:w="710"/>
        <w:gridCol w:w="710"/>
        <w:gridCol w:w="710"/>
        <w:gridCol w:w="710"/>
        <w:gridCol w:w="580"/>
        <w:gridCol w:w="900"/>
        <w:gridCol w:w="650"/>
        <w:gridCol w:w="610"/>
      </w:tblGrid>
      <w:tr>
        <w:tblPrEx>
          <w:tblCellMar>
            <w:top w:w="0" w:type="dxa"/>
            <w:left w:w="108" w:type="dxa"/>
            <w:bottom w:w="0" w:type="dxa"/>
            <w:right w:w="108" w:type="dxa"/>
          </w:tblCellMar>
        </w:tblPrEx>
        <w:trPr>
          <w:trHeight w:val="227" w:hRule="atLeast"/>
        </w:trPr>
        <w:tc>
          <w:tcPr>
            <w:tcW w:w="2988" w:type="dxa"/>
            <w:vMerge w:val="restart"/>
            <w:tcBorders>
              <w:top w:val="single" w:color="auto" w:sz="12" w:space="0"/>
              <w:left w:val="nil"/>
              <w:bottom w:val="single" w:color="000000" w:sz="4" w:space="0"/>
              <w:right w:val="nil"/>
            </w:tcBorders>
            <w:shd w:val="clear" w:color="auto" w:fill="auto"/>
            <w:vAlign w:val="center"/>
          </w:tcPr>
          <w:p>
            <w:pPr>
              <w:widowControl/>
              <w:spacing w:line="320" w:lineRule="exact"/>
              <w:jc w:val="center"/>
              <w:rPr>
                <w:color w:val="auto"/>
                <w:kern w:val="0"/>
                <w:sz w:val="24"/>
                <w:szCs w:val="24"/>
              </w:rPr>
            </w:pPr>
            <w:r>
              <w:rPr>
                <w:bCs/>
                <w:color w:val="auto"/>
                <w:kern w:val="0"/>
                <w:sz w:val="24"/>
                <w:szCs w:val="24"/>
              </w:rPr>
              <w:t>单灯诱虫田间范围</w:t>
            </w:r>
          </w:p>
        </w:tc>
        <w:tc>
          <w:tcPr>
            <w:tcW w:w="4320" w:type="dxa"/>
            <w:gridSpan w:val="6"/>
            <w:tcBorders>
              <w:top w:val="single" w:color="auto" w:sz="12" w:space="0"/>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重复区</w:t>
            </w:r>
          </w:p>
        </w:tc>
        <w:tc>
          <w:tcPr>
            <w:tcW w:w="1260" w:type="dxa"/>
            <w:gridSpan w:val="2"/>
            <w:tcBorders>
              <w:top w:val="single" w:color="auto" w:sz="12" w:space="0"/>
              <w:left w:val="nil"/>
              <w:bottom w:val="single" w:color="auto" w:sz="4" w:space="0"/>
              <w:right w:val="nil"/>
            </w:tcBorders>
            <w:shd w:val="clear" w:color="auto" w:fill="auto"/>
            <w:noWrap/>
            <w:vAlign w:val="center"/>
          </w:tcPr>
          <w:p>
            <w:pPr>
              <w:widowControl/>
              <w:spacing w:line="320" w:lineRule="exact"/>
              <w:ind w:left="15" w:leftChars="-51" w:right="-107" w:rightChars="-51" w:hanging="122" w:hangingChars="51"/>
              <w:jc w:val="center"/>
              <w:rPr>
                <w:color w:val="auto"/>
                <w:kern w:val="0"/>
                <w:sz w:val="24"/>
                <w:szCs w:val="24"/>
              </w:rPr>
            </w:pPr>
            <w:r>
              <w:rPr>
                <w:color w:val="auto"/>
                <w:kern w:val="0"/>
                <w:sz w:val="24"/>
                <w:szCs w:val="24"/>
              </w:rPr>
              <w:t>差异显著性　</w:t>
            </w:r>
          </w:p>
        </w:tc>
      </w:tr>
      <w:tr>
        <w:tblPrEx>
          <w:tblCellMar>
            <w:top w:w="0" w:type="dxa"/>
            <w:left w:w="108" w:type="dxa"/>
            <w:bottom w:w="0" w:type="dxa"/>
            <w:right w:w="108" w:type="dxa"/>
          </w:tblCellMar>
        </w:tblPrEx>
        <w:trPr>
          <w:trHeight w:val="227" w:hRule="atLeast"/>
        </w:trPr>
        <w:tc>
          <w:tcPr>
            <w:tcW w:w="2988" w:type="dxa"/>
            <w:vMerge w:val="continue"/>
            <w:tcBorders>
              <w:top w:val="nil"/>
              <w:left w:val="nil"/>
              <w:bottom w:val="single" w:color="000000" w:sz="4" w:space="0"/>
              <w:right w:val="nil"/>
            </w:tcBorders>
            <w:shd w:val="clear" w:color="auto" w:fill="auto"/>
            <w:vAlign w:val="center"/>
          </w:tcPr>
          <w:p>
            <w:pPr>
              <w:widowControl/>
              <w:spacing w:line="320" w:lineRule="exact"/>
              <w:jc w:val="left"/>
              <w:rPr>
                <w:color w:val="auto"/>
                <w:kern w:val="0"/>
                <w:sz w:val="24"/>
                <w:szCs w:val="24"/>
              </w:rPr>
            </w:pPr>
          </w:p>
        </w:tc>
        <w:tc>
          <w:tcPr>
            <w:tcW w:w="7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rFonts w:hint="eastAsia" w:ascii="宋体" w:hAnsi="宋体" w:cs="宋体"/>
                <w:color w:val="auto"/>
                <w:kern w:val="0"/>
                <w:sz w:val="24"/>
                <w:szCs w:val="24"/>
              </w:rPr>
              <w:t>Ⅰ</w:t>
            </w:r>
          </w:p>
        </w:tc>
        <w:tc>
          <w:tcPr>
            <w:tcW w:w="7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rFonts w:hint="eastAsia" w:ascii="宋体" w:hAnsi="宋体" w:cs="宋体"/>
                <w:color w:val="auto"/>
                <w:kern w:val="0"/>
                <w:sz w:val="24"/>
                <w:szCs w:val="24"/>
              </w:rPr>
              <w:t>Ⅱ</w:t>
            </w:r>
          </w:p>
        </w:tc>
        <w:tc>
          <w:tcPr>
            <w:tcW w:w="7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rFonts w:hint="eastAsia" w:ascii="宋体" w:hAnsi="宋体" w:cs="宋体"/>
                <w:color w:val="auto"/>
                <w:kern w:val="0"/>
                <w:sz w:val="24"/>
                <w:szCs w:val="24"/>
              </w:rPr>
              <w:t>Ⅲ</w:t>
            </w:r>
          </w:p>
        </w:tc>
        <w:tc>
          <w:tcPr>
            <w:tcW w:w="7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rFonts w:hint="eastAsia" w:ascii="宋体" w:hAnsi="宋体" w:cs="宋体"/>
                <w:color w:val="auto"/>
                <w:kern w:val="0"/>
                <w:sz w:val="24"/>
                <w:szCs w:val="24"/>
              </w:rPr>
              <w:t>Ⅳ</w:t>
            </w:r>
          </w:p>
        </w:tc>
        <w:tc>
          <w:tcPr>
            <w:tcW w:w="580" w:type="dxa"/>
            <w:tcBorders>
              <w:left w:val="nil"/>
              <w:bottom w:val="single" w:color="auto" w:sz="4" w:space="0"/>
            </w:tcBorders>
            <w:shd w:val="clear" w:color="auto" w:fill="auto"/>
            <w:noWrap/>
            <w:vAlign w:val="center"/>
          </w:tcPr>
          <w:p>
            <w:pPr>
              <w:spacing w:line="320" w:lineRule="exact"/>
              <w:jc w:val="center"/>
              <w:rPr>
                <w:color w:val="auto"/>
                <w:kern w:val="0"/>
                <w:sz w:val="24"/>
                <w:szCs w:val="24"/>
              </w:rPr>
            </w:pPr>
            <w:r>
              <w:rPr>
                <w:rFonts w:hint="eastAsia" w:ascii="宋体" w:hAnsi="宋体" w:cs="宋体"/>
                <w:color w:val="auto"/>
                <w:kern w:val="0"/>
                <w:sz w:val="24"/>
                <w:szCs w:val="24"/>
              </w:rPr>
              <w:t>Ⅴ</w:t>
            </w:r>
          </w:p>
        </w:tc>
        <w:tc>
          <w:tcPr>
            <w:tcW w:w="900" w:type="dxa"/>
            <w:tcBorders>
              <w:bottom w:val="single" w:color="auto" w:sz="4" w:space="0"/>
            </w:tcBorders>
            <w:shd w:val="clear" w:color="auto" w:fill="auto"/>
            <w:vAlign w:val="center"/>
          </w:tcPr>
          <w:p>
            <w:pPr>
              <w:widowControl/>
              <w:spacing w:line="320" w:lineRule="exact"/>
              <w:jc w:val="center"/>
              <w:rPr>
                <w:color w:val="auto"/>
                <w:spacing w:val="-20"/>
                <w:kern w:val="0"/>
                <w:sz w:val="24"/>
                <w:szCs w:val="24"/>
              </w:rPr>
            </w:pPr>
            <w:r>
              <w:rPr>
                <w:color w:val="auto"/>
                <w:spacing w:val="-20"/>
                <w:kern w:val="0"/>
                <w:sz w:val="24"/>
                <w:szCs w:val="24"/>
              </w:rPr>
              <w:t>平均值</w:t>
            </w:r>
          </w:p>
        </w:tc>
        <w:tc>
          <w:tcPr>
            <w:tcW w:w="650" w:type="dxa"/>
            <w:tcBorders>
              <w:top w:val="nil"/>
              <w:left w:val="nil"/>
              <w:bottom w:val="single" w:color="auto" w:sz="4" w:space="0"/>
              <w:right w:val="nil"/>
            </w:tcBorders>
            <w:shd w:val="clear" w:color="auto" w:fill="auto"/>
            <w:vAlign w:val="center"/>
          </w:tcPr>
          <w:p>
            <w:pPr>
              <w:spacing w:line="320" w:lineRule="exact"/>
              <w:jc w:val="center"/>
              <w:rPr>
                <w:color w:val="auto"/>
                <w:spacing w:val="-20"/>
                <w:kern w:val="0"/>
                <w:sz w:val="24"/>
                <w:szCs w:val="24"/>
              </w:rPr>
            </w:pPr>
            <w:r>
              <w:rPr>
                <w:color w:val="auto"/>
                <w:spacing w:val="-20"/>
                <w:kern w:val="0"/>
                <w:sz w:val="24"/>
                <w:szCs w:val="24"/>
              </w:rPr>
              <w:t>0.05</w:t>
            </w:r>
          </w:p>
        </w:tc>
        <w:tc>
          <w:tcPr>
            <w:tcW w:w="6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0.01</w:t>
            </w:r>
          </w:p>
        </w:tc>
      </w:tr>
      <w:tr>
        <w:tblPrEx>
          <w:tblCellMar>
            <w:top w:w="0" w:type="dxa"/>
            <w:left w:w="108" w:type="dxa"/>
            <w:bottom w:w="0" w:type="dxa"/>
            <w:right w:w="108" w:type="dxa"/>
          </w:tblCellMar>
        </w:tblPrEx>
        <w:trPr>
          <w:trHeight w:val="227" w:hRule="atLeast"/>
        </w:trPr>
        <w:tc>
          <w:tcPr>
            <w:tcW w:w="2988" w:type="dxa"/>
            <w:tcBorders>
              <w:top w:val="nil"/>
              <w:left w:val="nil"/>
              <w:bottom w:val="nil"/>
              <w:right w:val="nil"/>
            </w:tcBorders>
            <w:shd w:val="clear" w:color="auto" w:fill="auto"/>
            <w:noWrap/>
            <w:vAlign w:val="center"/>
          </w:tcPr>
          <w:p>
            <w:pPr>
              <w:widowControl/>
              <w:spacing w:line="320" w:lineRule="exact"/>
              <w:jc w:val="left"/>
              <w:rPr>
                <w:b/>
                <w:bCs/>
                <w:color w:val="auto"/>
                <w:kern w:val="0"/>
                <w:sz w:val="24"/>
                <w:szCs w:val="24"/>
              </w:rPr>
            </w:pPr>
            <w:r>
              <w:rPr>
                <w:b/>
                <w:bCs/>
                <w:color w:val="auto"/>
                <w:kern w:val="0"/>
                <w:sz w:val="24"/>
                <w:szCs w:val="24"/>
              </w:rPr>
              <w:t>A</w:t>
            </w:r>
            <w:r>
              <w:rPr>
                <w:color w:val="auto"/>
                <w:kern w:val="0"/>
                <w:sz w:val="24"/>
                <w:szCs w:val="24"/>
              </w:rPr>
              <w:t xml:space="preserve"> (距离诱虫灯下0-15m)</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1041</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881</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408</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228</w:t>
            </w:r>
          </w:p>
        </w:tc>
        <w:tc>
          <w:tcPr>
            <w:tcW w:w="580" w:type="dxa"/>
            <w:tcBorders>
              <w:top w:val="nil"/>
              <w:left w:val="nil"/>
              <w:bottom w:val="nil"/>
            </w:tcBorders>
            <w:shd w:val="clear" w:color="auto" w:fill="auto"/>
            <w:noWrap/>
            <w:vAlign w:val="center"/>
          </w:tcPr>
          <w:p>
            <w:pPr>
              <w:spacing w:line="320" w:lineRule="exact"/>
              <w:jc w:val="center"/>
              <w:rPr>
                <w:color w:val="auto"/>
                <w:kern w:val="0"/>
                <w:sz w:val="24"/>
                <w:szCs w:val="24"/>
              </w:rPr>
            </w:pPr>
            <w:r>
              <w:rPr>
                <w:color w:val="auto"/>
                <w:kern w:val="0"/>
                <w:sz w:val="24"/>
                <w:szCs w:val="24"/>
              </w:rPr>
              <w:t>136</w:t>
            </w:r>
          </w:p>
        </w:tc>
        <w:tc>
          <w:tcPr>
            <w:tcW w:w="900" w:type="dxa"/>
            <w:tcBorders>
              <w:top w:val="nil"/>
              <w:bottom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538.8 </w:t>
            </w:r>
          </w:p>
        </w:tc>
        <w:tc>
          <w:tcPr>
            <w:tcW w:w="650" w:type="dxa"/>
            <w:tcBorders>
              <w:top w:val="nil"/>
              <w:left w:val="nil"/>
              <w:bottom w:val="nil"/>
              <w:right w:val="nil"/>
            </w:tcBorders>
            <w:shd w:val="clear" w:color="auto" w:fill="auto"/>
            <w:vAlign w:val="center"/>
          </w:tcPr>
          <w:p>
            <w:pPr>
              <w:spacing w:line="320" w:lineRule="exact"/>
              <w:rPr>
                <w:color w:val="auto"/>
                <w:kern w:val="0"/>
                <w:sz w:val="24"/>
                <w:szCs w:val="24"/>
              </w:rPr>
            </w:pPr>
            <w:r>
              <w:rPr>
                <w:color w:val="auto"/>
                <w:kern w:val="0"/>
                <w:sz w:val="24"/>
                <w:szCs w:val="24"/>
              </w:rPr>
              <w:t>a</w:t>
            </w:r>
          </w:p>
        </w:tc>
        <w:tc>
          <w:tcPr>
            <w:tcW w:w="6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A</w:t>
            </w:r>
          </w:p>
        </w:tc>
      </w:tr>
      <w:tr>
        <w:tblPrEx>
          <w:tblCellMar>
            <w:top w:w="0" w:type="dxa"/>
            <w:left w:w="108" w:type="dxa"/>
            <w:bottom w:w="0" w:type="dxa"/>
            <w:right w:w="108" w:type="dxa"/>
          </w:tblCellMar>
        </w:tblPrEx>
        <w:trPr>
          <w:trHeight w:val="227" w:hRule="atLeast"/>
        </w:trPr>
        <w:tc>
          <w:tcPr>
            <w:tcW w:w="2988" w:type="dxa"/>
            <w:tcBorders>
              <w:top w:val="nil"/>
              <w:left w:val="nil"/>
              <w:bottom w:val="nil"/>
              <w:right w:val="nil"/>
            </w:tcBorders>
            <w:shd w:val="clear" w:color="auto" w:fill="auto"/>
            <w:noWrap/>
            <w:vAlign w:val="center"/>
          </w:tcPr>
          <w:p>
            <w:pPr>
              <w:widowControl/>
              <w:spacing w:line="320" w:lineRule="exact"/>
              <w:jc w:val="left"/>
              <w:rPr>
                <w:b/>
                <w:bCs/>
                <w:color w:val="auto"/>
                <w:kern w:val="0"/>
                <w:sz w:val="24"/>
                <w:szCs w:val="24"/>
              </w:rPr>
            </w:pPr>
            <w:r>
              <w:rPr>
                <w:b/>
                <w:bCs/>
                <w:color w:val="auto"/>
                <w:kern w:val="0"/>
                <w:sz w:val="24"/>
                <w:szCs w:val="24"/>
              </w:rPr>
              <w:t>B</w:t>
            </w:r>
            <w:r>
              <w:rPr>
                <w:color w:val="auto"/>
                <w:kern w:val="0"/>
                <w:sz w:val="24"/>
                <w:szCs w:val="24"/>
              </w:rPr>
              <w:t xml:space="preserve"> (距离诱虫灯下15-35m)</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230</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360</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646</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658</w:t>
            </w:r>
          </w:p>
        </w:tc>
        <w:tc>
          <w:tcPr>
            <w:tcW w:w="580" w:type="dxa"/>
            <w:tcBorders>
              <w:top w:val="nil"/>
              <w:left w:val="nil"/>
              <w:bottom w:val="nil"/>
            </w:tcBorders>
            <w:shd w:val="clear" w:color="auto" w:fill="auto"/>
            <w:noWrap/>
            <w:vAlign w:val="center"/>
          </w:tcPr>
          <w:p>
            <w:pPr>
              <w:spacing w:line="320" w:lineRule="exact"/>
              <w:jc w:val="center"/>
              <w:rPr>
                <w:color w:val="auto"/>
                <w:kern w:val="0"/>
                <w:sz w:val="24"/>
                <w:szCs w:val="24"/>
              </w:rPr>
            </w:pPr>
            <w:r>
              <w:rPr>
                <w:color w:val="auto"/>
                <w:kern w:val="0"/>
                <w:sz w:val="24"/>
                <w:szCs w:val="24"/>
              </w:rPr>
              <w:t>261</w:t>
            </w:r>
          </w:p>
        </w:tc>
        <w:tc>
          <w:tcPr>
            <w:tcW w:w="900" w:type="dxa"/>
            <w:tcBorders>
              <w:top w:val="nil"/>
              <w:bottom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431.0 </w:t>
            </w:r>
          </w:p>
        </w:tc>
        <w:tc>
          <w:tcPr>
            <w:tcW w:w="650" w:type="dxa"/>
            <w:tcBorders>
              <w:top w:val="nil"/>
              <w:left w:val="nil"/>
              <w:bottom w:val="nil"/>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ab</w:t>
            </w:r>
          </w:p>
        </w:tc>
        <w:tc>
          <w:tcPr>
            <w:tcW w:w="6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A</w:t>
            </w:r>
          </w:p>
        </w:tc>
      </w:tr>
      <w:tr>
        <w:tblPrEx>
          <w:tblCellMar>
            <w:top w:w="0" w:type="dxa"/>
            <w:left w:w="108" w:type="dxa"/>
            <w:bottom w:w="0" w:type="dxa"/>
            <w:right w:w="108" w:type="dxa"/>
          </w:tblCellMar>
        </w:tblPrEx>
        <w:trPr>
          <w:trHeight w:val="227" w:hRule="atLeast"/>
        </w:trPr>
        <w:tc>
          <w:tcPr>
            <w:tcW w:w="2988" w:type="dxa"/>
            <w:tcBorders>
              <w:top w:val="nil"/>
              <w:left w:val="nil"/>
              <w:bottom w:val="nil"/>
              <w:right w:val="nil"/>
            </w:tcBorders>
            <w:shd w:val="clear" w:color="auto" w:fill="auto"/>
            <w:noWrap/>
            <w:vAlign w:val="center"/>
          </w:tcPr>
          <w:p>
            <w:pPr>
              <w:widowControl/>
              <w:spacing w:line="320" w:lineRule="exact"/>
              <w:jc w:val="left"/>
              <w:rPr>
                <w:b/>
                <w:bCs/>
                <w:color w:val="auto"/>
                <w:kern w:val="0"/>
                <w:sz w:val="24"/>
                <w:szCs w:val="24"/>
              </w:rPr>
            </w:pPr>
            <w:r>
              <w:rPr>
                <w:b/>
                <w:bCs/>
                <w:color w:val="auto"/>
                <w:kern w:val="0"/>
                <w:sz w:val="24"/>
                <w:szCs w:val="24"/>
              </w:rPr>
              <w:t xml:space="preserve">C </w:t>
            </w:r>
            <w:r>
              <w:rPr>
                <w:color w:val="auto"/>
                <w:kern w:val="0"/>
                <w:sz w:val="24"/>
                <w:szCs w:val="24"/>
              </w:rPr>
              <w:t>(距离诱虫灯下35-55m)</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395</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182</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164</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108</w:t>
            </w:r>
          </w:p>
        </w:tc>
        <w:tc>
          <w:tcPr>
            <w:tcW w:w="580" w:type="dxa"/>
            <w:tcBorders>
              <w:top w:val="nil"/>
              <w:left w:val="nil"/>
              <w:bottom w:val="nil"/>
            </w:tcBorders>
            <w:shd w:val="clear" w:color="auto" w:fill="auto"/>
            <w:noWrap/>
            <w:vAlign w:val="center"/>
          </w:tcPr>
          <w:p>
            <w:pPr>
              <w:spacing w:line="320" w:lineRule="exact"/>
              <w:jc w:val="center"/>
              <w:rPr>
                <w:color w:val="auto"/>
                <w:kern w:val="0"/>
                <w:sz w:val="24"/>
                <w:szCs w:val="24"/>
              </w:rPr>
            </w:pPr>
            <w:r>
              <w:rPr>
                <w:color w:val="auto"/>
                <w:kern w:val="0"/>
                <w:sz w:val="24"/>
                <w:szCs w:val="24"/>
              </w:rPr>
              <w:t>120</w:t>
            </w:r>
          </w:p>
        </w:tc>
        <w:tc>
          <w:tcPr>
            <w:tcW w:w="900" w:type="dxa"/>
            <w:tcBorders>
              <w:top w:val="nil"/>
              <w:bottom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193.8 </w:t>
            </w:r>
          </w:p>
        </w:tc>
        <w:tc>
          <w:tcPr>
            <w:tcW w:w="650" w:type="dxa"/>
            <w:tcBorders>
              <w:top w:val="nil"/>
              <w:left w:val="nil"/>
              <w:bottom w:val="nil"/>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  b</w:t>
            </w:r>
          </w:p>
        </w:tc>
        <w:tc>
          <w:tcPr>
            <w:tcW w:w="6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A</w:t>
            </w:r>
          </w:p>
        </w:tc>
      </w:tr>
      <w:tr>
        <w:tblPrEx>
          <w:tblCellMar>
            <w:top w:w="0" w:type="dxa"/>
            <w:left w:w="108" w:type="dxa"/>
            <w:bottom w:w="0" w:type="dxa"/>
            <w:right w:w="108" w:type="dxa"/>
          </w:tblCellMar>
        </w:tblPrEx>
        <w:trPr>
          <w:trHeight w:val="227" w:hRule="atLeast"/>
        </w:trPr>
        <w:tc>
          <w:tcPr>
            <w:tcW w:w="2988" w:type="dxa"/>
            <w:tcBorders>
              <w:top w:val="nil"/>
              <w:left w:val="nil"/>
              <w:bottom w:val="nil"/>
              <w:right w:val="nil"/>
            </w:tcBorders>
            <w:shd w:val="clear" w:color="auto" w:fill="auto"/>
            <w:noWrap/>
            <w:vAlign w:val="center"/>
          </w:tcPr>
          <w:p>
            <w:pPr>
              <w:widowControl/>
              <w:spacing w:line="320" w:lineRule="exact"/>
              <w:jc w:val="left"/>
              <w:rPr>
                <w:b/>
                <w:bCs/>
                <w:color w:val="auto"/>
                <w:kern w:val="0"/>
                <w:sz w:val="24"/>
                <w:szCs w:val="24"/>
              </w:rPr>
            </w:pPr>
            <w:r>
              <w:rPr>
                <w:b/>
                <w:bCs/>
                <w:color w:val="auto"/>
                <w:kern w:val="0"/>
                <w:sz w:val="24"/>
                <w:szCs w:val="24"/>
              </w:rPr>
              <w:t>D</w:t>
            </w:r>
            <w:r>
              <w:rPr>
                <w:color w:val="auto"/>
                <w:kern w:val="0"/>
                <w:sz w:val="24"/>
                <w:szCs w:val="24"/>
              </w:rPr>
              <w:t xml:space="preserve"> (距离诱虫灯下35-75m)</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51</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615</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139</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209</w:t>
            </w:r>
          </w:p>
        </w:tc>
        <w:tc>
          <w:tcPr>
            <w:tcW w:w="580" w:type="dxa"/>
            <w:tcBorders>
              <w:top w:val="nil"/>
              <w:left w:val="nil"/>
              <w:bottom w:val="nil"/>
            </w:tcBorders>
            <w:shd w:val="clear" w:color="auto" w:fill="auto"/>
            <w:noWrap/>
            <w:vAlign w:val="center"/>
          </w:tcPr>
          <w:p>
            <w:pPr>
              <w:spacing w:line="320" w:lineRule="exact"/>
              <w:jc w:val="center"/>
              <w:rPr>
                <w:color w:val="auto"/>
                <w:kern w:val="0"/>
                <w:sz w:val="24"/>
                <w:szCs w:val="24"/>
              </w:rPr>
            </w:pPr>
            <w:r>
              <w:rPr>
                <w:color w:val="auto"/>
                <w:kern w:val="0"/>
                <w:sz w:val="24"/>
                <w:szCs w:val="24"/>
              </w:rPr>
              <w:t>440</w:t>
            </w:r>
          </w:p>
        </w:tc>
        <w:tc>
          <w:tcPr>
            <w:tcW w:w="900" w:type="dxa"/>
            <w:tcBorders>
              <w:top w:val="nil"/>
              <w:bottom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290.8 </w:t>
            </w:r>
          </w:p>
        </w:tc>
        <w:tc>
          <w:tcPr>
            <w:tcW w:w="650" w:type="dxa"/>
            <w:tcBorders>
              <w:top w:val="nil"/>
              <w:left w:val="nil"/>
              <w:bottom w:val="nil"/>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ab</w:t>
            </w:r>
          </w:p>
        </w:tc>
        <w:tc>
          <w:tcPr>
            <w:tcW w:w="6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A</w:t>
            </w:r>
          </w:p>
        </w:tc>
      </w:tr>
      <w:tr>
        <w:tblPrEx>
          <w:tblCellMar>
            <w:top w:w="0" w:type="dxa"/>
            <w:left w:w="108" w:type="dxa"/>
            <w:bottom w:w="0" w:type="dxa"/>
            <w:right w:w="108" w:type="dxa"/>
          </w:tblCellMar>
        </w:tblPrEx>
        <w:trPr>
          <w:trHeight w:val="227" w:hRule="atLeast"/>
        </w:trPr>
        <w:tc>
          <w:tcPr>
            <w:tcW w:w="2988" w:type="dxa"/>
            <w:tcBorders>
              <w:top w:val="nil"/>
              <w:left w:val="nil"/>
              <w:bottom w:val="nil"/>
              <w:right w:val="nil"/>
            </w:tcBorders>
            <w:shd w:val="clear" w:color="auto" w:fill="auto"/>
            <w:noWrap/>
            <w:vAlign w:val="center"/>
          </w:tcPr>
          <w:p>
            <w:pPr>
              <w:widowControl/>
              <w:spacing w:line="320" w:lineRule="exact"/>
              <w:jc w:val="left"/>
              <w:rPr>
                <w:b/>
                <w:bCs/>
                <w:color w:val="auto"/>
                <w:kern w:val="0"/>
                <w:sz w:val="24"/>
                <w:szCs w:val="24"/>
              </w:rPr>
            </w:pPr>
            <w:r>
              <w:rPr>
                <w:b/>
                <w:bCs/>
                <w:color w:val="auto"/>
                <w:kern w:val="0"/>
                <w:sz w:val="24"/>
                <w:szCs w:val="24"/>
              </w:rPr>
              <w:t>E</w:t>
            </w:r>
            <w:r>
              <w:rPr>
                <w:color w:val="auto"/>
                <w:kern w:val="0"/>
                <w:sz w:val="24"/>
                <w:szCs w:val="24"/>
              </w:rPr>
              <w:t xml:space="preserve"> (距离诱虫灯下75-100m)</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407</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437</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330</w:t>
            </w:r>
          </w:p>
        </w:tc>
        <w:tc>
          <w:tcPr>
            <w:tcW w:w="7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249</w:t>
            </w:r>
          </w:p>
        </w:tc>
        <w:tc>
          <w:tcPr>
            <w:tcW w:w="580" w:type="dxa"/>
            <w:tcBorders>
              <w:top w:val="nil"/>
              <w:left w:val="nil"/>
            </w:tcBorders>
            <w:shd w:val="clear" w:color="auto" w:fill="auto"/>
            <w:noWrap/>
            <w:vAlign w:val="center"/>
          </w:tcPr>
          <w:p>
            <w:pPr>
              <w:spacing w:line="320" w:lineRule="exact"/>
              <w:jc w:val="center"/>
              <w:rPr>
                <w:color w:val="auto"/>
                <w:kern w:val="0"/>
                <w:sz w:val="24"/>
                <w:szCs w:val="24"/>
              </w:rPr>
            </w:pPr>
            <w:r>
              <w:rPr>
                <w:color w:val="auto"/>
                <w:kern w:val="0"/>
                <w:sz w:val="24"/>
                <w:szCs w:val="24"/>
              </w:rPr>
              <w:t>161</w:t>
            </w:r>
          </w:p>
        </w:tc>
        <w:tc>
          <w:tcPr>
            <w:tcW w:w="900" w:type="dxa"/>
            <w:tcBorders>
              <w:top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316.8 </w:t>
            </w:r>
          </w:p>
        </w:tc>
        <w:tc>
          <w:tcPr>
            <w:tcW w:w="650" w:type="dxa"/>
            <w:tcBorders>
              <w:top w:val="nil"/>
              <w:left w:val="nil"/>
              <w:bottom w:val="nil"/>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ab</w:t>
            </w:r>
          </w:p>
        </w:tc>
        <w:tc>
          <w:tcPr>
            <w:tcW w:w="610" w:type="dxa"/>
            <w:tcBorders>
              <w:top w:val="nil"/>
              <w:left w:val="nil"/>
              <w:bottom w:val="nil"/>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A</w:t>
            </w:r>
          </w:p>
        </w:tc>
      </w:tr>
      <w:tr>
        <w:tblPrEx>
          <w:tblCellMar>
            <w:top w:w="0" w:type="dxa"/>
            <w:left w:w="108" w:type="dxa"/>
            <w:bottom w:w="0" w:type="dxa"/>
            <w:right w:w="108" w:type="dxa"/>
          </w:tblCellMar>
        </w:tblPrEx>
        <w:trPr>
          <w:trHeight w:val="227" w:hRule="atLeast"/>
        </w:trPr>
        <w:tc>
          <w:tcPr>
            <w:tcW w:w="2988" w:type="dxa"/>
            <w:tcBorders>
              <w:top w:val="nil"/>
              <w:left w:val="nil"/>
              <w:bottom w:val="single" w:color="auto" w:sz="4" w:space="0"/>
              <w:right w:val="nil"/>
            </w:tcBorders>
            <w:shd w:val="clear" w:color="auto" w:fill="auto"/>
            <w:noWrap/>
            <w:vAlign w:val="center"/>
          </w:tcPr>
          <w:p>
            <w:pPr>
              <w:widowControl/>
              <w:spacing w:line="320" w:lineRule="exact"/>
              <w:jc w:val="left"/>
              <w:rPr>
                <w:b/>
                <w:bCs/>
                <w:color w:val="auto"/>
                <w:kern w:val="0"/>
                <w:sz w:val="24"/>
                <w:szCs w:val="24"/>
              </w:rPr>
            </w:pPr>
            <w:r>
              <w:rPr>
                <w:b/>
                <w:bCs/>
                <w:color w:val="auto"/>
                <w:kern w:val="0"/>
                <w:sz w:val="24"/>
                <w:szCs w:val="24"/>
              </w:rPr>
              <w:t>F</w:t>
            </w:r>
            <w:r>
              <w:rPr>
                <w:color w:val="auto"/>
                <w:kern w:val="0"/>
                <w:sz w:val="24"/>
                <w:szCs w:val="24"/>
              </w:rPr>
              <w:t xml:space="preserve"> (距离诱虫灯下100m以外)</w:t>
            </w:r>
          </w:p>
        </w:tc>
        <w:tc>
          <w:tcPr>
            <w:tcW w:w="7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516</w:t>
            </w:r>
          </w:p>
        </w:tc>
        <w:tc>
          <w:tcPr>
            <w:tcW w:w="7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417</w:t>
            </w:r>
          </w:p>
        </w:tc>
        <w:tc>
          <w:tcPr>
            <w:tcW w:w="7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509</w:t>
            </w:r>
          </w:p>
        </w:tc>
        <w:tc>
          <w:tcPr>
            <w:tcW w:w="7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247</w:t>
            </w:r>
          </w:p>
        </w:tc>
        <w:tc>
          <w:tcPr>
            <w:tcW w:w="580" w:type="dxa"/>
            <w:tcBorders>
              <w:top w:val="nil"/>
              <w:left w:val="nil"/>
              <w:bottom w:val="single" w:color="auto" w:sz="4" w:space="0"/>
            </w:tcBorders>
            <w:shd w:val="clear" w:color="auto" w:fill="auto"/>
            <w:noWrap/>
            <w:vAlign w:val="center"/>
          </w:tcPr>
          <w:p>
            <w:pPr>
              <w:spacing w:line="320" w:lineRule="exact"/>
              <w:jc w:val="center"/>
              <w:rPr>
                <w:color w:val="auto"/>
                <w:kern w:val="0"/>
                <w:sz w:val="24"/>
                <w:szCs w:val="24"/>
              </w:rPr>
            </w:pPr>
            <w:r>
              <w:rPr>
                <w:color w:val="auto"/>
                <w:kern w:val="0"/>
                <w:sz w:val="24"/>
                <w:szCs w:val="24"/>
              </w:rPr>
              <w:t>208</w:t>
            </w:r>
          </w:p>
        </w:tc>
        <w:tc>
          <w:tcPr>
            <w:tcW w:w="900" w:type="dxa"/>
            <w:tcBorders>
              <w:top w:val="nil"/>
              <w:bottom w:val="single" w:color="auto" w:sz="4" w:space="0"/>
            </w:tcBorders>
            <w:shd w:val="clear" w:color="auto" w:fill="auto"/>
            <w:vAlign w:val="center"/>
          </w:tcPr>
          <w:p>
            <w:pPr>
              <w:widowControl/>
              <w:spacing w:line="320" w:lineRule="exact"/>
              <w:jc w:val="center"/>
              <w:rPr>
                <w:color w:val="auto"/>
                <w:kern w:val="0"/>
                <w:sz w:val="24"/>
                <w:szCs w:val="24"/>
              </w:rPr>
            </w:pPr>
            <w:r>
              <w:rPr>
                <w:color w:val="auto"/>
                <w:kern w:val="0"/>
                <w:sz w:val="24"/>
                <w:szCs w:val="24"/>
              </w:rPr>
              <w:t xml:space="preserve">379.4 </w:t>
            </w:r>
          </w:p>
        </w:tc>
        <w:tc>
          <w:tcPr>
            <w:tcW w:w="650" w:type="dxa"/>
            <w:tcBorders>
              <w:top w:val="nil"/>
              <w:left w:val="nil"/>
              <w:bottom w:val="single" w:color="auto" w:sz="4" w:space="0"/>
              <w:right w:val="nil"/>
            </w:tcBorders>
            <w:shd w:val="clear" w:color="auto" w:fill="auto"/>
            <w:vAlign w:val="center"/>
          </w:tcPr>
          <w:p>
            <w:pPr>
              <w:widowControl/>
              <w:spacing w:line="320" w:lineRule="exact"/>
              <w:jc w:val="center"/>
              <w:rPr>
                <w:color w:val="auto"/>
                <w:kern w:val="0"/>
                <w:sz w:val="24"/>
                <w:szCs w:val="24"/>
              </w:rPr>
            </w:pPr>
            <w:r>
              <w:rPr>
                <w:color w:val="auto"/>
                <w:kern w:val="0"/>
                <w:sz w:val="24"/>
                <w:szCs w:val="24"/>
              </w:rPr>
              <w:t>ab</w:t>
            </w:r>
          </w:p>
        </w:tc>
        <w:tc>
          <w:tcPr>
            <w:tcW w:w="610" w:type="dxa"/>
            <w:tcBorders>
              <w:top w:val="nil"/>
              <w:left w:val="nil"/>
              <w:bottom w:val="single" w:color="auto" w:sz="4" w:space="0"/>
              <w:right w:val="nil"/>
            </w:tcBorders>
            <w:shd w:val="clear" w:color="auto" w:fill="auto"/>
            <w:noWrap/>
            <w:vAlign w:val="center"/>
          </w:tcPr>
          <w:p>
            <w:pPr>
              <w:widowControl/>
              <w:spacing w:line="320" w:lineRule="exact"/>
              <w:jc w:val="center"/>
              <w:rPr>
                <w:color w:val="auto"/>
                <w:kern w:val="0"/>
                <w:sz w:val="24"/>
                <w:szCs w:val="24"/>
              </w:rPr>
            </w:pPr>
            <w:r>
              <w:rPr>
                <w:color w:val="auto"/>
                <w:kern w:val="0"/>
                <w:sz w:val="24"/>
                <w:szCs w:val="24"/>
              </w:rPr>
              <w:t>A</w:t>
            </w:r>
          </w:p>
        </w:tc>
      </w:tr>
    </w:tbl>
    <w:p>
      <w:pPr>
        <w:rPr>
          <w:color w:val="auto"/>
          <w:sz w:val="24"/>
          <w:szCs w:val="24"/>
        </w:rPr>
      </w:pPr>
    </w:p>
    <w:p>
      <w:pPr>
        <w:ind w:firstLine="560" w:firstLineChars="200"/>
        <w:rPr>
          <w:rFonts w:ascii="宋体" w:hAnsi="宋体" w:eastAsia="宋体" w:cs="宋体"/>
          <w:color w:val="auto"/>
          <w:kern w:val="0"/>
          <w:sz w:val="28"/>
          <w:szCs w:val="28"/>
        </w:rPr>
      </w:pPr>
      <w:r>
        <w:rPr>
          <w:rFonts w:hint="eastAsia" w:ascii="宋体" w:hAnsi="宋体" w:eastAsia="宋体" w:cs="宋体"/>
          <w:color w:val="auto"/>
          <w:sz w:val="28"/>
          <w:szCs w:val="28"/>
        </w:rPr>
        <w:t>（3</w:t>
      </w:r>
      <w:r>
        <w:rPr>
          <w:rFonts w:hint="eastAsia" w:ascii="宋体" w:hAnsi="宋体" w:eastAsia="宋体" w:cs="宋体"/>
          <w:color w:val="auto"/>
          <w:kern w:val="0"/>
          <w:sz w:val="28"/>
          <w:szCs w:val="28"/>
        </w:rPr>
        <w:t>）生物防治。在桑园管理中要注意保护和利用天敌，应尽可能少施用对天敌有害的农药，发挥天敌的自然控制作用，有条件的地方可通过人工保护、繁殖和释放其天敌进行生物防治。</w:t>
      </w: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4）化学防治。广西桑螟发生世代多，虫口密度大，“滚动式的养蚕模式”对桑螟的统防统治操作比较困难，对农药的选择和安全间隔期要求更加严格。根据虫情监测情况，一般4～6月份和8～9月份是田间虫口密度增速最快的时期，并因养蚕期间不便防治，具有暴发的潜在危险。因此，制定了这两个时期为重点防治时期，通过化学防治能够快速压低虫口密度，保障安全生产的目的。</w:t>
      </w:r>
    </w:p>
    <w:p>
      <w:pPr>
        <w:pStyle w:val="2"/>
        <w:spacing w:before="0" w:beforeAutospacing="0" w:after="0" w:afterAutospacing="0"/>
        <w:ind w:left="0"/>
        <w:rPr>
          <w:color w:val="auto"/>
          <w:sz w:val="28"/>
          <w:szCs w:val="28"/>
        </w:rPr>
      </w:pPr>
      <w:r>
        <w:rPr>
          <w:rFonts w:hint="eastAsia"/>
          <w:color w:val="auto"/>
          <w:sz w:val="28"/>
          <w:szCs w:val="28"/>
        </w:rPr>
        <w:t>与国内外标准同类标准情况简要说明及创新点</w:t>
      </w:r>
    </w:p>
    <w:p>
      <w:pPr>
        <w:pStyle w:val="3"/>
        <w:spacing w:before="0" w:after="0" w:line="415" w:lineRule="auto"/>
        <w:ind w:left="0" w:hanging="578"/>
        <w:rPr>
          <w:color w:val="auto"/>
          <w:sz w:val="28"/>
          <w:szCs w:val="28"/>
        </w:rPr>
      </w:pPr>
      <w:r>
        <w:rPr>
          <w:rFonts w:hint="eastAsia"/>
          <w:color w:val="auto"/>
          <w:sz w:val="28"/>
          <w:szCs w:val="28"/>
        </w:rPr>
        <w:t>国内外标准同类标准情况简要说明</w:t>
      </w:r>
    </w:p>
    <w:p>
      <w:pPr>
        <w:spacing w:line="360" w:lineRule="auto"/>
        <w:ind w:firstLine="560" w:firstLineChars="200"/>
        <w:rPr>
          <w:rFonts w:ascii="宋体" w:hAnsi="宋体" w:eastAsia="宋体" w:cs="宋体"/>
          <w:bCs/>
          <w:color w:val="auto"/>
          <w:sz w:val="28"/>
          <w:szCs w:val="28"/>
        </w:rPr>
      </w:pPr>
      <w:r>
        <w:rPr>
          <w:rFonts w:hint="eastAsia" w:ascii="宋体" w:hAnsi="宋体" w:eastAsia="宋体" w:cs="宋体"/>
          <w:bCs/>
          <w:color w:val="auto"/>
          <w:sz w:val="28"/>
          <w:szCs w:val="28"/>
        </w:rPr>
        <w:t>国内查询到的桑树病虫害同类防治技术规程如下： DB45/T 433-2007  《桑树主要病虫害综合防治技术规程》、DB32/T 355-2007 《 桑树病虫害防治技术规程》、DB45/T 86-2003  《 桑树栽培管理技术规程》、 DB3205/T 077-2004《桑树病虫害生态防治技术规程》 、DB41/T 2359-2022 《桑园主要病虫害防控技术规程》、T/FSXSC 02-2019 《桑树病虫害防治技术规程》、DB37/T 2608-2014 《桑树病虫害防治规范》、DB61/T 388.4-2007《桑树病虫害防治技术规程》等共8个。其中6个规程只是点到或未涉及相关内容，均未充分展开相关害虫的防治规范，与本规程比较相关的规程有两个，分别比对后区别如下：</w:t>
      </w:r>
    </w:p>
    <w:p>
      <w:pPr>
        <w:spacing w:line="360" w:lineRule="auto"/>
        <w:ind w:firstLine="560" w:firstLineChars="200"/>
        <w:rPr>
          <w:rFonts w:ascii="宋体" w:hAnsi="宋体" w:eastAsia="宋体" w:cs="宋体"/>
          <w:bCs/>
          <w:color w:val="auto"/>
          <w:sz w:val="28"/>
          <w:szCs w:val="28"/>
        </w:rPr>
      </w:pPr>
      <w:r>
        <w:rPr>
          <w:rFonts w:hint="eastAsia" w:ascii="宋体" w:hAnsi="宋体" w:eastAsia="宋体" w:cs="宋体"/>
          <w:bCs/>
          <w:color w:val="auto"/>
          <w:sz w:val="28"/>
          <w:szCs w:val="28"/>
        </w:rPr>
        <w:t>（1）DB37/T 2608-2014《桑树病虫害防治规范》主要根据山东的地理气候条件等制定的桑树多种病虫害防治规范，不具备代表广西特殊种养模式下桑螟的发生动态和防控措施；而此规程主要结合广西的地理气候、桑树栽培方式针对桑螟进行编制，具有很强的针对广西桑螟的虫情监测和防治适期及防治指标，对桑螟防治提出了较为详细的防治措施。</w:t>
      </w:r>
    </w:p>
    <w:p>
      <w:pPr>
        <w:spacing w:line="360" w:lineRule="auto"/>
        <w:ind w:firstLine="560" w:firstLineChars="200"/>
        <w:rPr>
          <w:rFonts w:ascii="宋体" w:hAnsi="宋体" w:eastAsia="宋体" w:cs="宋体"/>
          <w:bCs/>
          <w:color w:val="auto"/>
          <w:sz w:val="28"/>
          <w:szCs w:val="28"/>
        </w:rPr>
      </w:pPr>
      <w:r>
        <w:rPr>
          <w:rFonts w:hint="eastAsia" w:ascii="宋体" w:hAnsi="宋体" w:eastAsia="宋体" w:cs="宋体"/>
          <w:bCs/>
          <w:color w:val="auto"/>
          <w:sz w:val="28"/>
          <w:szCs w:val="28"/>
        </w:rPr>
        <w:t>（2）DB45/T 433-2007《桑树主要病虫害综合防治技术规程》主要是对桑树主要病虫害编制的综合防治技术规程，对桑园主要病虫害的综合防治方法进行了概括，只具广泛性。本规程通过多年的科研积累经验，提出针对广西特殊的桑园栽培模式和气候条件下，造成广西的桑园桑螟发生规律明显不同于其他省份的模型，提出具有针对性的监测方法和防治指标，编写较为详细的防治方法，具有很强的针对性和指导性。</w:t>
      </w:r>
    </w:p>
    <w:p>
      <w:pPr>
        <w:pStyle w:val="3"/>
        <w:spacing w:before="0" w:after="0" w:line="415" w:lineRule="auto"/>
        <w:ind w:left="0" w:hanging="578"/>
        <w:rPr>
          <w:color w:val="auto"/>
          <w:sz w:val="28"/>
          <w:szCs w:val="28"/>
        </w:rPr>
      </w:pPr>
      <w:r>
        <w:rPr>
          <w:rFonts w:hint="eastAsia"/>
          <w:color w:val="auto"/>
          <w:sz w:val="28"/>
          <w:szCs w:val="28"/>
        </w:rPr>
        <w:t>创新点</w:t>
      </w:r>
    </w:p>
    <w:p>
      <w:pPr>
        <w:pStyle w:val="2"/>
        <w:numPr>
          <w:ilvl w:val="0"/>
          <w:numId w:val="0"/>
        </w:numPr>
        <w:shd w:val="clear" w:color="auto" w:fill="FFFFFF"/>
        <w:spacing w:before="0" w:beforeAutospacing="0" w:after="0" w:afterAutospacing="0"/>
        <w:ind w:firstLine="700" w:firstLineChars="250"/>
        <w:rPr>
          <w:b w:val="0"/>
          <w:bCs w:val="0"/>
          <w:color w:val="auto"/>
          <w:sz w:val="28"/>
          <w:szCs w:val="28"/>
        </w:rPr>
      </w:pPr>
      <w:r>
        <w:rPr>
          <w:rFonts w:hint="eastAsia"/>
          <w:b w:val="0"/>
          <w:bCs w:val="0"/>
          <w:color w:val="auto"/>
          <w:sz w:val="28"/>
          <w:szCs w:val="28"/>
        </w:rPr>
        <w:t>本规程的创新点在于主要针对广西桑园栽培模式、气候特点和桑螟发生危害特点而编制的防治技术规程。由于各地区气候条件等因素的差异，桑螟发生规律不尽相同，调查时间及方法存在差异，而防治方法也由于各地的桑树栽培模式和养蚕模式而略有差异。因此，本规程结合本地区桑螟的发生特点和危害习性提出桑螟的防治指标，具有很强的针对性。</w:t>
      </w:r>
    </w:p>
    <w:p>
      <w:pPr>
        <w:pStyle w:val="2"/>
        <w:spacing w:before="0" w:beforeAutospacing="0" w:after="0" w:afterAutospacing="0"/>
        <w:ind w:left="0"/>
        <w:rPr>
          <w:color w:val="auto"/>
          <w:sz w:val="28"/>
          <w:szCs w:val="28"/>
        </w:rPr>
      </w:pPr>
      <w:r>
        <w:rPr>
          <w:rFonts w:hint="eastAsia"/>
          <w:color w:val="auto"/>
          <w:sz w:val="28"/>
          <w:szCs w:val="28"/>
        </w:rPr>
        <w:t>与现行法律和强制性标准的关系</w:t>
      </w:r>
    </w:p>
    <w:p>
      <w:pPr>
        <w:spacing w:line="360" w:lineRule="auto"/>
        <w:ind w:firstLine="560" w:firstLineChars="200"/>
        <w:rPr>
          <w:rFonts w:ascii="宋体" w:hAnsi="宋体" w:eastAsia="宋体" w:cs="宋体"/>
          <w:bCs/>
          <w:color w:val="auto"/>
          <w:sz w:val="28"/>
          <w:szCs w:val="28"/>
        </w:rPr>
      </w:pPr>
      <w:r>
        <w:rPr>
          <w:rFonts w:hint="eastAsia" w:ascii="宋体" w:hAnsi="宋体" w:eastAsia="宋体" w:cs="宋体"/>
          <w:bCs/>
          <w:color w:val="auto"/>
          <w:sz w:val="28"/>
          <w:szCs w:val="28"/>
        </w:rPr>
        <w:t>本标准的内容与现行的法律、法规及强制性标准无冲突。</w:t>
      </w:r>
    </w:p>
    <w:p>
      <w:pPr>
        <w:pStyle w:val="2"/>
        <w:spacing w:before="0" w:beforeAutospacing="0" w:after="0" w:afterAutospacing="0"/>
        <w:ind w:left="0"/>
        <w:rPr>
          <w:color w:val="auto"/>
          <w:sz w:val="28"/>
          <w:szCs w:val="28"/>
        </w:rPr>
      </w:pPr>
      <w:r>
        <w:rPr>
          <w:rFonts w:hint="eastAsia"/>
          <w:color w:val="auto"/>
          <w:sz w:val="28"/>
          <w:szCs w:val="28"/>
        </w:rPr>
        <w:t>自我承诺</w:t>
      </w:r>
    </w:p>
    <w:p>
      <w:pPr>
        <w:rPr>
          <w:rFonts w:ascii="宋体" w:hAnsi="宋体" w:eastAsia="宋体" w:cs="宋体"/>
          <w:bCs/>
          <w:color w:val="auto"/>
          <w:sz w:val="28"/>
          <w:szCs w:val="28"/>
        </w:rPr>
      </w:pPr>
      <w:r>
        <w:rPr>
          <w:rFonts w:hint="eastAsia" w:ascii="宋体" w:hAnsi="宋体" w:eastAsia="宋体"/>
          <w:b/>
          <w:color w:val="auto"/>
          <w:sz w:val="28"/>
          <w:szCs w:val="28"/>
        </w:rPr>
        <w:t xml:space="preserve">   </w:t>
      </w:r>
      <w:r>
        <w:rPr>
          <w:rFonts w:hint="eastAsia" w:ascii="宋体" w:hAnsi="宋体" w:eastAsia="宋体"/>
          <w:color w:val="auto"/>
          <w:sz w:val="28"/>
          <w:szCs w:val="28"/>
        </w:rPr>
        <w:t>承诺标准内容和各项指标不低于国家强制性标准。</w:t>
      </w:r>
    </w:p>
    <w:p>
      <w:pPr>
        <w:spacing w:line="560" w:lineRule="exact"/>
        <w:ind w:firstLine="560" w:firstLineChars="200"/>
        <w:jc w:val="right"/>
        <w:rPr>
          <w:rFonts w:ascii="宋体" w:hAnsi="宋体" w:eastAsia="宋体" w:cs="宋体"/>
          <w:bCs/>
          <w:color w:val="auto"/>
          <w:sz w:val="28"/>
          <w:szCs w:val="28"/>
        </w:rPr>
      </w:pPr>
      <w:r>
        <w:rPr>
          <w:rFonts w:hint="eastAsia" w:ascii="宋体" w:hAnsi="宋体" w:eastAsia="宋体" w:cs="宋体"/>
          <w:bCs/>
          <w:color w:val="auto"/>
          <w:sz w:val="28"/>
          <w:szCs w:val="28"/>
        </w:rPr>
        <w:t xml:space="preserve">  《桑螟防治技术规程》编制工作组</w:t>
      </w:r>
    </w:p>
    <w:p>
      <w:pPr>
        <w:spacing w:line="560" w:lineRule="exact"/>
        <w:ind w:firstLine="5320" w:firstLineChars="1900"/>
        <w:rPr>
          <w:rFonts w:ascii="宋体" w:hAnsi="宋体" w:eastAsia="宋体" w:cs="宋体"/>
          <w:bCs/>
          <w:color w:val="auto"/>
          <w:sz w:val="28"/>
          <w:szCs w:val="28"/>
        </w:rPr>
      </w:pPr>
      <w:r>
        <w:rPr>
          <w:rFonts w:hint="eastAsia" w:ascii="宋体" w:hAnsi="宋体" w:eastAsia="宋体" w:cs="宋体"/>
          <w:bCs/>
          <w:color w:val="auto"/>
          <w:sz w:val="28"/>
          <w:szCs w:val="28"/>
        </w:rPr>
        <w:t>20</w:t>
      </w:r>
      <w:r>
        <w:rPr>
          <w:rFonts w:ascii="宋体" w:hAnsi="宋体" w:eastAsia="宋体" w:cs="宋体"/>
          <w:bCs/>
          <w:color w:val="auto"/>
          <w:sz w:val="28"/>
          <w:szCs w:val="28"/>
        </w:rPr>
        <w:t>2</w:t>
      </w:r>
      <w:r>
        <w:rPr>
          <w:rFonts w:hint="eastAsia" w:ascii="宋体" w:hAnsi="宋体" w:eastAsia="宋体" w:cs="宋体"/>
          <w:bCs/>
          <w:color w:val="auto"/>
          <w:sz w:val="28"/>
          <w:szCs w:val="28"/>
        </w:rPr>
        <w:t>2年12月20日</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A00002EF" w:usb1="4000004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26"/>
      <w:suff w:val="nothing"/>
      <w:lvlText w:val="%1"/>
      <w:lvlJc w:val="left"/>
      <w:pPr>
        <w:ind w:left="0" w:firstLine="0"/>
      </w:pPr>
      <w:rPr>
        <w:rFonts w:hint="eastAsia"/>
      </w:rPr>
    </w:lvl>
    <w:lvl w:ilvl="1" w:tentative="0">
      <w:start w:val="1"/>
      <w:numFmt w:val="decimal"/>
      <w:pStyle w:val="24"/>
      <w:suff w:val="nothing"/>
      <w:lvlText w:val="%1%2　"/>
      <w:lvlJc w:val="left"/>
      <w:pPr>
        <w:ind w:left="0" w:firstLine="0"/>
      </w:pPr>
      <w:rPr>
        <w:rFonts w:hint="eastAsia" w:ascii="黑体" w:eastAsia="黑体"/>
        <w:b w:val="0"/>
        <w:i w:val="0"/>
        <w:sz w:val="21"/>
      </w:rPr>
    </w:lvl>
    <w:lvl w:ilvl="2" w:tentative="0">
      <w:start w:val="1"/>
      <w:numFmt w:val="decimal"/>
      <w:pStyle w:val="2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0"/>
      <w:suff w:val="nothing"/>
      <w:lvlText w:val="%1%2.%3.%4　"/>
      <w:lvlJc w:val="left"/>
      <w:pPr>
        <w:ind w:left="1134" w:firstLine="0"/>
      </w:pPr>
      <w:rPr>
        <w:rFonts w:hint="eastAsia" w:ascii="黑体" w:eastAsia="黑体"/>
        <w:b w:val="0"/>
        <w:i w:val="0"/>
        <w:sz w:val="21"/>
      </w:rPr>
    </w:lvl>
    <w:lvl w:ilvl="4" w:tentative="0">
      <w:start w:val="1"/>
      <w:numFmt w:val="decimal"/>
      <w:pStyle w:val="21"/>
      <w:suff w:val="nothing"/>
      <w:lvlText w:val="%1%2.%3.%4.%5　"/>
      <w:lvlJc w:val="left"/>
      <w:pPr>
        <w:ind w:left="0" w:firstLine="0"/>
      </w:pPr>
      <w:rPr>
        <w:rFonts w:hint="eastAsia" w:ascii="黑体" w:eastAsia="黑体"/>
        <w:b w:val="0"/>
        <w:i w:val="0"/>
        <w:sz w:val="21"/>
      </w:rPr>
    </w:lvl>
    <w:lvl w:ilvl="5" w:tentative="0">
      <w:start w:val="1"/>
      <w:numFmt w:val="decimal"/>
      <w:pStyle w:val="22"/>
      <w:suff w:val="nothing"/>
      <w:lvlText w:val="%1%2.%3.%4.%5.%6　"/>
      <w:lvlJc w:val="left"/>
      <w:pPr>
        <w:ind w:left="0" w:firstLine="0"/>
      </w:pPr>
      <w:rPr>
        <w:rFonts w:hint="eastAsia" w:ascii="黑体" w:eastAsia="黑体"/>
        <w:b w:val="0"/>
        <w:i w:val="0"/>
        <w:sz w:val="21"/>
      </w:rPr>
    </w:lvl>
    <w:lvl w:ilvl="6" w:tentative="0">
      <w:start w:val="1"/>
      <w:numFmt w:val="decimal"/>
      <w:pStyle w:val="2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720C0C70"/>
    <w:multiLevelType w:val="multilevel"/>
    <w:tmpl w:val="720C0C70"/>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b/>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cwMzBhNDA5MWZkNjNjNjFjNmFkMDk0MGQ5YjMxZTYifQ=="/>
  </w:docVars>
  <w:rsids>
    <w:rsidRoot w:val="00170AAC"/>
    <w:rsid w:val="00011B9A"/>
    <w:rsid w:val="00011DC3"/>
    <w:rsid w:val="000948AB"/>
    <w:rsid w:val="000D12B5"/>
    <w:rsid w:val="000D79D9"/>
    <w:rsid w:val="000E5ADC"/>
    <w:rsid w:val="00121F5F"/>
    <w:rsid w:val="00170AAC"/>
    <w:rsid w:val="00180BF9"/>
    <w:rsid w:val="001818A1"/>
    <w:rsid w:val="001869D8"/>
    <w:rsid w:val="001B10DB"/>
    <w:rsid w:val="001F0C72"/>
    <w:rsid w:val="001F38D1"/>
    <w:rsid w:val="00206E1B"/>
    <w:rsid w:val="00215D78"/>
    <w:rsid w:val="002200EB"/>
    <w:rsid w:val="002351DC"/>
    <w:rsid w:val="00240D5E"/>
    <w:rsid w:val="00253886"/>
    <w:rsid w:val="00255596"/>
    <w:rsid w:val="00267B53"/>
    <w:rsid w:val="00271350"/>
    <w:rsid w:val="00286B84"/>
    <w:rsid w:val="00291E2F"/>
    <w:rsid w:val="002A277D"/>
    <w:rsid w:val="002B3847"/>
    <w:rsid w:val="002D2479"/>
    <w:rsid w:val="002E6866"/>
    <w:rsid w:val="00342306"/>
    <w:rsid w:val="00342B97"/>
    <w:rsid w:val="00351B17"/>
    <w:rsid w:val="003539CC"/>
    <w:rsid w:val="0038694D"/>
    <w:rsid w:val="003B54C6"/>
    <w:rsid w:val="003F37AF"/>
    <w:rsid w:val="003F6E88"/>
    <w:rsid w:val="0042517C"/>
    <w:rsid w:val="00430080"/>
    <w:rsid w:val="00440018"/>
    <w:rsid w:val="00463A36"/>
    <w:rsid w:val="0047408D"/>
    <w:rsid w:val="004836B2"/>
    <w:rsid w:val="00490DD6"/>
    <w:rsid w:val="004B08A7"/>
    <w:rsid w:val="004B4226"/>
    <w:rsid w:val="004C5EFF"/>
    <w:rsid w:val="00502764"/>
    <w:rsid w:val="00511217"/>
    <w:rsid w:val="0052632C"/>
    <w:rsid w:val="00530031"/>
    <w:rsid w:val="00532A1B"/>
    <w:rsid w:val="00540554"/>
    <w:rsid w:val="00555100"/>
    <w:rsid w:val="0056243E"/>
    <w:rsid w:val="005629B9"/>
    <w:rsid w:val="005760D6"/>
    <w:rsid w:val="005C5B4B"/>
    <w:rsid w:val="005E230B"/>
    <w:rsid w:val="005F128B"/>
    <w:rsid w:val="0061109D"/>
    <w:rsid w:val="006208E4"/>
    <w:rsid w:val="006247D9"/>
    <w:rsid w:val="00634B4E"/>
    <w:rsid w:val="006C5896"/>
    <w:rsid w:val="006D6888"/>
    <w:rsid w:val="006F55F0"/>
    <w:rsid w:val="007275C2"/>
    <w:rsid w:val="0073482C"/>
    <w:rsid w:val="00786A8C"/>
    <w:rsid w:val="007A1025"/>
    <w:rsid w:val="007A4CD3"/>
    <w:rsid w:val="00812E57"/>
    <w:rsid w:val="00830F9D"/>
    <w:rsid w:val="00840242"/>
    <w:rsid w:val="008451AA"/>
    <w:rsid w:val="0084797A"/>
    <w:rsid w:val="008657AC"/>
    <w:rsid w:val="00870556"/>
    <w:rsid w:val="00871BC5"/>
    <w:rsid w:val="008A26AF"/>
    <w:rsid w:val="008A75B6"/>
    <w:rsid w:val="008B3A4D"/>
    <w:rsid w:val="008C175B"/>
    <w:rsid w:val="008C3489"/>
    <w:rsid w:val="008F2130"/>
    <w:rsid w:val="00905396"/>
    <w:rsid w:val="009136E1"/>
    <w:rsid w:val="00926E0E"/>
    <w:rsid w:val="00943B79"/>
    <w:rsid w:val="009535A1"/>
    <w:rsid w:val="009550A6"/>
    <w:rsid w:val="00957775"/>
    <w:rsid w:val="00957862"/>
    <w:rsid w:val="00960B45"/>
    <w:rsid w:val="00977288"/>
    <w:rsid w:val="0097751A"/>
    <w:rsid w:val="009815E8"/>
    <w:rsid w:val="00984899"/>
    <w:rsid w:val="009C0FB1"/>
    <w:rsid w:val="009C639E"/>
    <w:rsid w:val="009C6929"/>
    <w:rsid w:val="009E0C68"/>
    <w:rsid w:val="009E3DC7"/>
    <w:rsid w:val="009F719E"/>
    <w:rsid w:val="00A01718"/>
    <w:rsid w:val="00A02CE6"/>
    <w:rsid w:val="00A05670"/>
    <w:rsid w:val="00A11518"/>
    <w:rsid w:val="00A36E14"/>
    <w:rsid w:val="00A61468"/>
    <w:rsid w:val="00AA0397"/>
    <w:rsid w:val="00AB0B04"/>
    <w:rsid w:val="00AC2106"/>
    <w:rsid w:val="00AD3913"/>
    <w:rsid w:val="00B2288C"/>
    <w:rsid w:val="00B312D4"/>
    <w:rsid w:val="00B42E57"/>
    <w:rsid w:val="00B4671F"/>
    <w:rsid w:val="00B53DBF"/>
    <w:rsid w:val="00B65134"/>
    <w:rsid w:val="00B74698"/>
    <w:rsid w:val="00B96369"/>
    <w:rsid w:val="00BB42DD"/>
    <w:rsid w:val="00BC6F1A"/>
    <w:rsid w:val="00BD5D09"/>
    <w:rsid w:val="00BE3058"/>
    <w:rsid w:val="00BE6218"/>
    <w:rsid w:val="00C15584"/>
    <w:rsid w:val="00C315BC"/>
    <w:rsid w:val="00C43202"/>
    <w:rsid w:val="00C44E37"/>
    <w:rsid w:val="00C63348"/>
    <w:rsid w:val="00C655CC"/>
    <w:rsid w:val="00C9436F"/>
    <w:rsid w:val="00CB68A3"/>
    <w:rsid w:val="00CC0645"/>
    <w:rsid w:val="00CC57E5"/>
    <w:rsid w:val="00CD53A8"/>
    <w:rsid w:val="00CE46B5"/>
    <w:rsid w:val="00CE7DB2"/>
    <w:rsid w:val="00D22C51"/>
    <w:rsid w:val="00D44F6A"/>
    <w:rsid w:val="00D900A1"/>
    <w:rsid w:val="00DA4634"/>
    <w:rsid w:val="00DC053F"/>
    <w:rsid w:val="00DD26B3"/>
    <w:rsid w:val="00DE462C"/>
    <w:rsid w:val="00E1194C"/>
    <w:rsid w:val="00E37BBB"/>
    <w:rsid w:val="00E52171"/>
    <w:rsid w:val="00EC31CA"/>
    <w:rsid w:val="00EC75BC"/>
    <w:rsid w:val="00F12C34"/>
    <w:rsid w:val="00F254FB"/>
    <w:rsid w:val="00F40F9F"/>
    <w:rsid w:val="00F5581D"/>
    <w:rsid w:val="00F60048"/>
    <w:rsid w:val="00F96475"/>
    <w:rsid w:val="00FC1CC1"/>
    <w:rsid w:val="00FC32BC"/>
    <w:rsid w:val="00FC3458"/>
    <w:rsid w:val="00FF1646"/>
    <w:rsid w:val="476F1C7E"/>
    <w:rsid w:val="6840667D"/>
    <w:rsid w:val="6F9D4F8A"/>
    <w:rsid w:val="7EA03A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widowControl/>
      <w:numPr>
        <w:ilvl w:val="0"/>
        <w:numId w:val="1"/>
      </w:numPr>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29"/>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0"/>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1"/>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2"/>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33"/>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4"/>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35"/>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36"/>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37"/>
    <w:semiHidden/>
    <w:unhideWhenUsed/>
    <w:qFormat/>
    <w:uiPriority w:val="99"/>
    <w:rPr>
      <w:sz w:val="18"/>
      <w:szCs w:val="18"/>
    </w:rPr>
  </w:style>
  <w:style w:type="paragraph" w:styleId="12">
    <w:name w:val="footer"/>
    <w:basedOn w:val="1"/>
    <w:link w:val="19"/>
    <w:unhideWhenUsed/>
    <w:qFormat/>
    <w:uiPriority w:val="99"/>
    <w:pPr>
      <w:tabs>
        <w:tab w:val="center" w:pos="4153"/>
        <w:tab w:val="right" w:pos="8306"/>
      </w:tabs>
      <w:snapToGrid w:val="0"/>
      <w:jc w:val="left"/>
    </w:pPr>
    <w:rPr>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Paragraph"/>
    <w:basedOn w:val="1"/>
    <w:qFormat/>
    <w:uiPriority w:val="34"/>
    <w:pPr>
      <w:ind w:firstLine="420" w:firstLineChars="200"/>
    </w:pPr>
  </w:style>
  <w:style w:type="character" w:customStyle="1" w:styleId="17">
    <w:name w:val="p1"/>
    <w:basedOn w:val="15"/>
    <w:qFormat/>
    <w:uiPriority w:val="0"/>
  </w:style>
  <w:style w:type="character" w:customStyle="1" w:styleId="18">
    <w:name w:val="页眉 Char"/>
    <w:basedOn w:val="15"/>
    <w:link w:val="13"/>
    <w:qFormat/>
    <w:uiPriority w:val="99"/>
    <w:rPr>
      <w:sz w:val="18"/>
      <w:szCs w:val="18"/>
    </w:rPr>
  </w:style>
  <w:style w:type="character" w:customStyle="1" w:styleId="19">
    <w:name w:val="页脚 Char"/>
    <w:basedOn w:val="15"/>
    <w:link w:val="12"/>
    <w:qFormat/>
    <w:uiPriority w:val="99"/>
    <w:rPr>
      <w:sz w:val="18"/>
      <w:szCs w:val="18"/>
    </w:rPr>
  </w:style>
  <w:style w:type="paragraph" w:customStyle="1" w:styleId="20">
    <w:name w:val="标准文件_二级条标题"/>
    <w:next w:val="1"/>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21">
    <w:name w:val="标准文件_三级条标题"/>
    <w:basedOn w:val="20"/>
    <w:next w:val="1"/>
    <w:qFormat/>
    <w:uiPriority w:val="0"/>
    <w:pPr>
      <w:widowControl/>
      <w:numPr>
        <w:ilvl w:val="4"/>
      </w:numPr>
      <w:outlineLvl w:val="3"/>
    </w:pPr>
  </w:style>
  <w:style w:type="paragraph" w:customStyle="1" w:styleId="22">
    <w:name w:val="标准文件_四级条标题"/>
    <w:next w:val="1"/>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23">
    <w:name w:val="标准文件_五级条标题"/>
    <w:next w:val="1"/>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24">
    <w:name w:val="标准文件_章标题"/>
    <w:next w:val="1"/>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25">
    <w:name w:val="标准文件_一级条标题"/>
    <w:basedOn w:val="24"/>
    <w:next w:val="1"/>
    <w:qFormat/>
    <w:uiPriority w:val="0"/>
    <w:pPr>
      <w:numPr>
        <w:ilvl w:val="2"/>
      </w:numPr>
      <w:spacing w:beforeLines="50" w:afterLines="50"/>
      <w:outlineLvl w:val="1"/>
    </w:pPr>
  </w:style>
  <w:style w:type="paragraph" w:customStyle="1" w:styleId="26">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7">
    <w:name w:val="BodyText2"/>
    <w:basedOn w:val="1"/>
    <w:qFormat/>
    <w:uiPriority w:val="0"/>
    <w:pPr>
      <w:spacing w:after="120" w:line="480" w:lineRule="auto"/>
      <w:textAlignment w:val="baseline"/>
    </w:pPr>
    <w:rPr>
      <w:sz w:val="32"/>
      <w:szCs w:val="32"/>
    </w:rPr>
  </w:style>
  <w:style w:type="character" w:customStyle="1" w:styleId="28">
    <w:name w:val="标题 1 Char"/>
    <w:basedOn w:val="15"/>
    <w:link w:val="2"/>
    <w:qFormat/>
    <w:uiPriority w:val="9"/>
    <w:rPr>
      <w:rFonts w:ascii="宋体" w:hAnsi="宋体" w:eastAsia="宋体" w:cs="宋体"/>
      <w:b/>
      <w:bCs/>
      <w:kern w:val="36"/>
      <w:sz w:val="48"/>
      <w:szCs w:val="48"/>
    </w:rPr>
  </w:style>
  <w:style w:type="character" w:customStyle="1" w:styleId="29">
    <w:name w:val="标题 2 Char"/>
    <w:basedOn w:val="15"/>
    <w:link w:val="3"/>
    <w:qFormat/>
    <w:uiPriority w:val="9"/>
    <w:rPr>
      <w:rFonts w:asciiTheme="majorHAnsi" w:hAnsiTheme="majorHAnsi" w:eastAsiaTheme="majorEastAsia" w:cstheme="majorBidi"/>
      <w:b/>
      <w:bCs/>
      <w:kern w:val="2"/>
      <w:sz w:val="32"/>
      <w:szCs w:val="32"/>
    </w:rPr>
  </w:style>
  <w:style w:type="character" w:customStyle="1" w:styleId="30">
    <w:name w:val="标题 3 Char"/>
    <w:basedOn w:val="15"/>
    <w:link w:val="4"/>
    <w:semiHidden/>
    <w:qFormat/>
    <w:uiPriority w:val="9"/>
    <w:rPr>
      <w:b/>
      <w:bCs/>
      <w:kern w:val="2"/>
      <w:sz w:val="32"/>
      <w:szCs w:val="32"/>
    </w:rPr>
  </w:style>
  <w:style w:type="character" w:customStyle="1" w:styleId="31">
    <w:name w:val="标题 4 Char"/>
    <w:basedOn w:val="15"/>
    <w:link w:val="5"/>
    <w:semiHidden/>
    <w:qFormat/>
    <w:uiPriority w:val="9"/>
    <w:rPr>
      <w:rFonts w:asciiTheme="majorHAnsi" w:hAnsiTheme="majorHAnsi" w:eastAsiaTheme="majorEastAsia" w:cstheme="majorBidi"/>
      <w:b/>
      <w:bCs/>
      <w:kern w:val="2"/>
      <w:sz w:val="28"/>
      <w:szCs w:val="28"/>
    </w:rPr>
  </w:style>
  <w:style w:type="character" w:customStyle="1" w:styleId="32">
    <w:name w:val="标题 5 Char"/>
    <w:basedOn w:val="15"/>
    <w:link w:val="6"/>
    <w:semiHidden/>
    <w:qFormat/>
    <w:uiPriority w:val="9"/>
    <w:rPr>
      <w:b/>
      <w:bCs/>
      <w:kern w:val="2"/>
      <w:sz w:val="28"/>
      <w:szCs w:val="28"/>
    </w:rPr>
  </w:style>
  <w:style w:type="character" w:customStyle="1" w:styleId="33">
    <w:name w:val="标题 6 Char"/>
    <w:basedOn w:val="15"/>
    <w:link w:val="7"/>
    <w:semiHidden/>
    <w:qFormat/>
    <w:uiPriority w:val="9"/>
    <w:rPr>
      <w:rFonts w:asciiTheme="majorHAnsi" w:hAnsiTheme="majorHAnsi" w:eastAsiaTheme="majorEastAsia" w:cstheme="majorBidi"/>
      <w:b/>
      <w:bCs/>
      <w:kern w:val="2"/>
      <w:sz w:val="24"/>
      <w:szCs w:val="24"/>
    </w:rPr>
  </w:style>
  <w:style w:type="character" w:customStyle="1" w:styleId="34">
    <w:name w:val="标题 7 Char"/>
    <w:basedOn w:val="15"/>
    <w:link w:val="8"/>
    <w:semiHidden/>
    <w:qFormat/>
    <w:uiPriority w:val="9"/>
    <w:rPr>
      <w:b/>
      <w:bCs/>
      <w:kern w:val="2"/>
      <w:sz w:val="24"/>
      <w:szCs w:val="24"/>
    </w:rPr>
  </w:style>
  <w:style w:type="character" w:customStyle="1" w:styleId="35">
    <w:name w:val="标题 8 Char"/>
    <w:basedOn w:val="15"/>
    <w:link w:val="9"/>
    <w:semiHidden/>
    <w:qFormat/>
    <w:uiPriority w:val="9"/>
    <w:rPr>
      <w:rFonts w:asciiTheme="majorHAnsi" w:hAnsiTheme="majorHAnsi" w:eastAsiaTheme="majorEastAsia" w:cstheme="majorBidi"/>
      <w:kern w:val="2"/>
      <w:sz w:val="24"/>
      <w:szCs w:val="24"/>
    </w:rPr>
  </w:style>
  <w:style w:type="character" w:customStyle="1" w:styleId="36">
    <w:name w:val="标题 9 Char"/>
    <w:basedOn w:val="15"/>
    <w:link w:val="10"/>
    <w:semiHidden/>
    <w:uiPriority w:val="9"/>
    <w:rPr>
      <w:rFonts w:asciiTheme="majorHAnsi" w:hAnsiTheme="majorHAnsi" w:eastAsiaTheme="majorEastAsia" w:cstheme="majorBidi"/>
      <w:kern w:val="2"/>
      <w:sz w:val="21"/>
      <w:szCs w:val="21"/>
    </w:rPr>
  </w:style>
  <w:style w:type="character" w:customStyle="1" w:styleId="37">
    <w:name w:val="批注框文本 Char"/>
    <w:basedOn w:val="15"/>
    <w:link w:val="11"/>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HP\Desktop\&#25968;&#25454;&#25972;&#29702;\&#26705;&#34719;-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9862332703235"/>
          <c:y val="0.0477822569713664"/>
          <c:w val="0.68575434511813"/>
          <c:h val="0.718243549147928"/>
        </c:manualLayout>
      </c:layout>
      <c:lineChart>
        <c:grouping val="standard"/>
        <c:varyColors val="0"/>
        <c:ser>
          <c:idx val="0"/>
          <c:order val="0"/>
          <c:tx>
            <c:strRef>
              <c:f>Sheet3!$A$2</c:f>
              <c:strCache>
                <c:ptCount val="1"/>
                <c:pt idx="0">
                  <c:v>2018年南宁市</c:v>
                </c:pt>
              </c:strCache>
            </c:strRef>
          </c:tx>
          <c:marker>
            <c:symbol val="none"/>
          </c:marker>
          <c:dLbls>
            <c:delete val="1"/>
          </c:dLbls>
          <c:cat>
            <c:numRef>
              <c:f>Sheet3!$B$1:$BF$1</c:f>
              <c:numCache>
                <c:formatCode>m"月"d"日";@</c:formatCode>
                <c:ptCount val="57"/>
                <c:pt idx="0" c:formatCode="m&quot;月&quot;d&quot;日&quot;;@">
                  <c:v>44986</c:v>
                </c:pt>
                <c:pt idx="1" c:formatCode="m&quot;月&quot;d&quot;日&quot;;@">
                  <c:v>44990</c:v>
                </c:pt>
                <c:pt idx="2" c:formatCode="m&quot;月&quot;d&quot;日&quot;;@">
                  <c:v>44995</c:v>
                </c:pt>
                <c:pt idx="3" c:formatCode="m&quot;月&quot;d&quot;日&quot;;@">
                  <c:v>45000</c:v>
                </c:pt>
                <c:pt idx="4" c:formatCode="m&quot;月&quot;d&quot;日&quot;;@">
                  <c:v>45005</c:v>
                </c:pt>
                <c:pt idx="5" c:formatCode="m&quot;月&quot;d&quot;日&quot;;@">
                  <c:v>45011</c:v>
                </c:pt>
                <c:pt idx="6" c:formatCode="m&quot;月&quot;d&quot;日&quot;;@">
                  <c:v>45016</c:v>
                </c:pt>
                <c:pt idx="7" c:formatCode="m&quot;月&quot;d&quot;日&quot;;@">
                  <c:v>45021</c:v>
                </c:pt>
                <c:pt idx="8" c:formatCode="m&quot;月&quot;d&quot;日&quot;;@">
                  <c:v>45027</c:v>
                </c:pt>
                <c:pt idx="9" c:formatCode="m&quot;月&quot;d&quot;日&quot;;@">
                  <c:v>45032</c:v>
                </c:pt>
                <c:pt idx="10" c:formatCode="m&quot;月&quot;d&quot;日&quot;;@">
                  <c:v>45037</c:v>
                </c:pt>
                <c:pt idx="11" c:formatCode="m&quot;月&quot;d&quot;日&quot;;@">
                  <c:v>45044</c:v>
                </c:pt>
                <c:pt idx="12" c:formatCode="m&quot;月&quot;d&quot;日&quot;;@">
                  <c:v>45049</c:v>
                </c:pt>
                <c:pt idx="13" c:formatCode="m&quot;月&quot;d&quot;日&quot;;@">
                  <c:v>45054</c:v>
                </c:pt>
                <c:pt idx="14" c:formatCode="m&quot;月&quot;d&quot;日&quot;;@">
                  <c:v>45059</c:v>
                </c:pt>
                <c:pt idx="15" c:formatCode="m&quot;月&quot;d&quot;日&quot;;@">
                  <c:v>45064</c:v>
                </c:pt>
                <c:pt idx="16" c:formatCode="m&quot;月&quot;d&quot;日&quot;;@">
                  <c:v>45069</c:v>
                </c:pt>
                <c:pt idx="17" c:formatCode="m&quot;月&quot;d&quot;日&quot;;@">
                  <c:v>45074</c:v>
                </c:pt>
                <c:pt idx="18" c:formatCode="m&quot;月&quot;d&quot;日&quot;;@">
                  <c:v>45079</c:v>
                </c:pt>
                <c:pt idx="19" c:formatCode="m&quot;月&quot;d&quot;日&quot;;@">
                  <c:v>45084</c:v>
                </c:pt>
                <c:pt idx="20" c:formatCode="m&quot;月&quot;d&quot;日&quot;;@">
                  <c:v>45089</c:v>
                </c:pt>
                <c:pt idx="21" c:formatCode="m&quot;月&quot;d&quot;日&quot;;@">
                  <c:v>45094</c:v>
                </c:pt>
                <c:pt idx="22" c:formatCode="m&quot;月&quot;d&quot;日&quot;;@">
                  <c:v>45099</c:v>
                </c:pt>
                <c:pt idx="23" c:formatCode="m&quot;月&quot;d&quot;日&quot;;@">
                  <c:v>45104</c:v>
                </c:pt>
                <c:pt idx="24" c:formatCode="m&quot;月&quot;d&quot;日&quot;;@">
                  <c:v>45109</c:v>
                </c:pt>
                <c:pt idx="25" c:formatCode="m&quot;月&quot;d&quot;日&quot;;@">
                  <c:v>45115</c:v>
                </c:pt>
                <c:pt idx="26" c:formatCode="m&quot;月&quot;d&quot;日&quot;;@">
                  <c:v>45121</c:v>
                </c:pt>
                <c:pt idx="27" c:formatCode="m&quot;月&quot;d&quot;日&quot;;@">
                  <c:v>45126</c:v>
                </c:pt>
                <c:pt idx="28" c:formatCode="m&quot;月&quot;d&quot;日&quot;;@">
                  <c:v>45132</c:v>
                </c:pt>
                <c:pt idx="29" c:formatCode="m&quot;月&quot;d&quot;日&quot;;@">
                  <c:v>45138</c:v>
                </c:pt>
                <c:pt idx="30" c:formatCode="m&quot;月&quot;d&quot;日&quot;;@">
                  <c:v>45142</c:v>
                </c:pt>
                <c:pt idx="31" c:formatCode="m&quot;月&quot;d&quot;日&quot;">
                  <c:v>45145</c:v>
                </c:pt>
                <c:pt idx="32" c:formatCode="m&quot;月&quot;d&quot;日&quot;">
                  <c:v>45149</c:v>
                </c:pt>
                <c:pt idx="33" c:formatCode="m&quot;月&quot;d&quot;日&quot;">
                  <c:v>45153</c:v>
                </c:pt>
                <c:pt idx="34" c:formatCode="m&quot;月&quot;d&quot;日&quot;">
                  <c:v>45156</c:v>
                </c:pt>
                <c:pt idx="35" c:formatCode="m&quot;月&quot;d&quot;日&quot;">
                  <c:v>45159</c:v>
                </c:pt>
                <c:pt idx="36" c:formatCode="m&quot;月&quot;d&quot;日&quot;">
                  <c:v>45162</c:v>
                </c:pt>
                <c:pt idx="37" c:formatCode="m&quot;月&quot;d&quot;日&quot;">
                  <c:v>45166</c:v>
                </c:pt>
                <c:pt idx="38" c:formatCode="m&quot;月&quot;d&quot;日&quot;;@">
                  <c:v>45172</c:v>
                </c:pt>
                <c:pt idx="39" c:formatCode="m&quot;月&quot;d&quot;日&quot;;@">
                  <c:v>45177</c:v>
                </c:pt>
                <c:pt idx="40" c:formatCode="m&quot;月&quot;d&quot;日&quot;;@">
                  <c:v>45185</c:v>
                </c:pt>
                <c:pt idx="41" c:formatCode="m&quot;月&quot;d&quot;日&quot;;@">
                  <c:v>45188</c:v>
                </c:pt>
                <c:pt idx="42" c:formatCode="m&quot;月&quot;d&quot;日&quot;;@">
                  <c:v>45192</c:v>
                </c:pt>
                <c:pt idx="43" c:formatCode="m&quot;月&quot;d&quot;日&quot;;@">
                  <c:v>45197</c:v>
                </c:pt>
                <c:pt idx="44" c:formatCode="m&quot;月&quot;d&quot;日&quot;;@">
                  <c:v>45207</c:v>
                </c:pt>
                <c:pt idx="45" c:formatCode="m&quot;月&quot;d&quot;日&quot;;@">
                  <c:v>45209</c:v>
                </c:pt>
                <c:pt idx="46" c:formatCode="m&quot;月&quot;d&quot;日&quot;;@">
                  <c:v>45212</c:v>
                </c:pt>
                <c:pt idx="47" c:formatCode="m&quot;月&quot;d&quot;日&quot;;@">
                  <c:v>45217</c:v>
                </c:pt>
                <c:pt idx="48" c:formatCode="m&quot;月&quot;d&quot;日&quot;;@">
                  <c:v>45222</c:v>
                </c:pt>
                <c:pt idx="49" c:formatCode="m&quot;月&quot;d&quot;日&quot;;@">
                  <c:v>45224</c:v>
                </c:pt>
                <c:pt idx="50" c:formatCode="m&quot;月&quot;d&quot;日&quot;;@">
                  <c:v>45227</c:v>
                </c:pt>
                <c:pt idx="51" c:formatCode="m&quot;月&quot;d&quot;日&quot;;@">
                  <c:v>45230</c:v>
                </c:pt>
                <c:pt idx="52" c:formatCode="m&quot;月&quot;d&quot;日&quot;;@">
                  <c:v>45232</c:v>
                </c:pt>
                <c:pt idx="53" c:formatCode="m&quot;月&quot;d&quot;日&quot;;@">
                  <c:v>45237</c:v>
                </c:pt>
                <c:pt idx="54" c:formatCode="m&quot;月&quot;d&quot;日&quot;;@">
                  <c:v>45239</c:v>
                </c:pt>
                <c:pt idx="55" c:formatCode="m&quot;月&quot;d&quot;日&quot;;@">
                  <c:v>45242</c:v>
                </c:pt>
                <c:pt idx="56" c:formatCode="m&quot;月&quot;d&quot;日&quot;;@">
                  <c:v>45246</c:v>
                </c:pt>
              </c:numCache>
            </c:numRef>
          </c:cat>
          <c:val>
            <c:numRef>
              <c:f>Sheet3!$B$2:$BF$2</c:f>
              <c:numCache>
                <c:formatCode>General</c:formatCode>
                <c:ptCount val="57"/>
                <c:pt idx="0">
                  <c:v>0</c:v>
                </c:pt>
                <c:pt idx="1">
                  <c:v>0</c:v>
                </c:pt>
                <c:pt idx="2">
                  <c:v>100</c:v>
                </c:pt>
                <c:pt idx="3">
                  <c:v>800</c:v>
                </c:pt>
                <c:pt idx="4">
                  <c:v>2600</c:v>
                </c:pt>
                <c:pt idx="5">
                  <c:v>4100</c:v>
                </c:pt>
                <c:pt idx="6">
                  <c:v>2300</c:v>
                </c:pt>
                <c:pt idx="7">
                  <c:v>2300</c:v>
                </c:pt>
                <c:pt idx="8">
                  <c:v>1600</c:v>
                </c:pt>
                <c:pt idx="9">
                  <c:v>800</c:v>
                </c:pt>
                <c:pt idx="10">
                  <c:v>500</c:v>
                </c:pt>
                <c:pt idx="11">
                  <c:v>10200</c:v>
                </c:pt>
                <c:pt idx="12">
                  <c:v>11600</c:v>
                </c:pt>
                <c:pt idx="13">
                  <c:v>12100</c:v>
                </c:pt>
                <c:pt idx="14">
                  <c:v>10200</c:v>
                </c:pt>
                <c:pt idx="15">
                  <c:v>3500</c:v>
                </c:pt>
                <c:pt idx="16">
                  <c:v>400</c:v>
                </c:pt>
                <c:pt idx="17">
                  <c:v>500</c:v>
                </c:pt>
                <c:pt idx="18">
                  <c:v>3600</c:v>
                </c:pt>
                <c:pt idx="19">
                  <c:v>6000</c:v>
                </c:pt>
                <c:pt idx="20">
                  <c:v>4700</c:v>
                </c:pt>
                <c:pt idx="21">
                  <c:v>1000</c:v>
                </c:pt>
                <c:pt idx="22">
                  <c:v>600</c:v>
                </c:pt>
                <c:pt idx="23">
                  <c:v>400</c:v>
                </c:pt>
                <c:pt idx="24" c:formatCode="m&quot;月&quot;d&quot;日&quot;;@">
                  <c:v>0</c:v>
                </c:pt>
                <c:pt idx="25" c:formatCode="m&quot;月&quot;d&quot;日&quot;;@">
                  <c:v>0</c:v>
                </c:pt>
                <c:pt idx="26" c:formatCode="m&quot;月&quot;d&quot;日&quot;;@">
                  <c:v>0</c:v>
                </c:pt>
                <c:pt idx="27" c:formatCode="m&quot;月&quot;d&quot;日&quot;;@">
                  <c:v>0</c:v>
                </c:pt>
                <c:pt idx="28" c:formatCode="m&quot;月&quot;d&quot;日&quot;;@">
                  <c:v>0</c:v>
                </c:pt>
                <c:pt idx="29" c:formatCode="m&quot;月&quot;d&quot;日&quot;;@">
                  <c:v>0</c:v>
                </c:pt>
                <c:pt idx="30" c:formatCode="m&quot;月&quot;d&quot;日&quot;;@">
                  <c:v>0</c:v>
                </c:pt>
                <c:pt idx="31">
                  <c:v>2500</c:v>
                </c:pt>
                <c:pt idx="32">
                  <c:v>2500</c:v>
                </c:pt>
                <c:pt idx="33">
                  <c:v>9000</c:v>
                </c:pt>
                <c:pt idx="34">
                  <c:v>7500</c:v>
                </c:pt>
                <c:pt idx="35">
                  <c:v>4000</c:v>
                </c:pt>
                <c:pt idx="36">
                  <c:v>4500</c:v>
                </c:pt>
                <c:pt idx="37">
                  <c:v>500</c:v>
                </c:pt>
                <c:pt idx="38">
                  <c:v>100</c:v>
                </c:pt>
                <c:pt idx="39">
                  <c:v>700</c:v>
                </c:pt>
                <c:pt idx="40">
                  <c:v>800</c:v>
                </c:pt>
                <c:pt idx="41">
                  <c:v>1250</c:v>
                </c:pt>
                <c:pt idx="42">
                  <c:v>2600</c:v>
                </c:pt>
                <c:pt idx="43">
                  <c:v>13200</c:v>
                </c:pt>
                <c:pt idx="44">
                  <c:v>2700</c:v>
                </c:pt>
                <c:pt idx="45">
                  <c:v>2100</c:v>
                </c:pt>
                <c:pt idx="46">
                  <c:v>1200</c:v>
                </c:pt>
                <c:pt idx="47">
                  <c:v>600</c:v>
                </c:pt>
                <c:pt idx="48">
                  <c:v>1400</c:v>
                </c:pt>
                <c:pt idx="49">
                  <c:v>1530</c:v>
                </c:pt>
                <c:pt idx="50">
                  <c:v>3900</c:v>
                </c:pt>
                <c:pt idx="51">
                  <c:v>5200</c:v>
                </c:pt>
                <c:pt idx="52">
                  <c:v>6700</c:v>
                </c:pt>
                <c:pt idx="53">
                  <c:v>5100</c:v>
                </c:pt>
                <c:pt idx="54">
                  <c:v>3100</c:v>
                </c:pt>
                <c:pt idx="55">
                  <c:v>2300</c:v>
                </c:pt>
                <c:pt idx="56">
                  <c:v>2300</c:v>
                </c:pt>
              </c:numCache>
            </c:numRef>
          </c:val>
          <c:smooth val="0"/>
        </c:ser>
        <c:ser>
          <c:idx val="1"/>
          <c:order val="1"/>
          <c:tx>
            <c:strRef>
              <c:f>Sheet3!$A$3</c:f>
              <c:strCache>
                <c:ptCount val="1"/>
                <c:pt idx="0">
                  <c:v>2018年宜州市</c:v>
                </c:pt>
              </c:strCache>
            </c:strRef>
          </c:tx>
          <c:marker>
            <c:symbol val="none"/>
          </c:marker>
          <c:dLbls>
            <c:delete val="1"/>
          </c:dLbls>
          <c:cat>
            <c:numRef>
              <c:f>Sheet3!$B$1:$BF$1</c:f>
              <c:numCache>
                <c:formatCode>m"月"d"日";@</c:formatCode>
                <c:ptCount val="57"/>
                <c:pt idx="0" c:formatCode="m&quot;月&quot;d&quot;日&quot;;@">
                  <c:v>44986</c:v>
                </c:pt>
                <c:pt idx="1" c:formatCode="m&quot;月&quot;d&quot;日&quot;;@">
                  <c:v>44990</c:v>
                </c:pt>
                <c:pt idx="2" c:formatCode="m&quot;月&quot;d&quot;日&quot;;@">
                  <c:v>44995</c:v>
                </c:pt>
                <c:pt idx="3" c:formatCode="m&quot;月&quot;d&quot;日&quot;;@">
                  <c:v>45000</c:v>
                </c:pt>
                <c:pt idx="4" c:formatCode="m&quot;月&quot;d&quot;日&quot;;@">
                  <c:v>45005</c:v>
                </c:pt>
                <c:pt idx="5" c:formatCode="m&quot;月&quot;d&quot;日&quot;;@">
                  <c:v>45011</c:v>
                </c:pt>
                <c:pt idx="6" c:formatCode="m&quot;月&quot;d&quot;日&quot;;@">
                  <c:v>45016</c:v>
                </c:pt>
                <c:pt idx="7" c:formatCode="m&quot;月&quot;d&quot;日&quot;;@">
                  <c:v>45021</c:v>
                </c:pt>
                <c:pt idx="8" c:formatCode="m&quot;月&quot;d&quot;日&quot;;@">
                  <c:v>45027</c:v>
                </c:pt>
                <c:pt idx="9" c:formatCode="m&quot;月&quot;d&quot;日&quot;;@">
                  <c:v>45032</c:v>
                </c:pt>
                <c:pt idx="10" c:formatCode="m&quot;月&quot;d&quot;日&quot;;@">
                  <c:v>45037</c:v>
                </c:pt>
                <c:pt idx="11" c:formatCode="m&quot;月&quot;d&quot;日&quot;;@">
                  <c:v>45044</c:v>
                </c:pt>
                <c:pt idx="12" c:formatCode="m&quot;月&quot;d&quot;日&quot;;@">
                  <c:v>45049</c:v>
                </c:pt>
                <c:pt idx="13" c:formatCode="m&quot;月&quot;d&quot;日&quot;;@">
                  <c:v>45054</c:v>
                </c:pt>
                <c:pt idx="14" c:formatCode="m&quot;月&quot;d&quot;日&quot;;@">
                  <c:v>45059</c:v>
                </c:pt>
                <c:pt idx="15" c:formatCode="m&quot;月&quot;d&quot;日&quot;;@">
                  <c:v>45064</c:v>
                </c:pt>
                <c:pt idx="16" c:formatCode="m&quot;月&quot;d&quot;日&quot;;@">
                  <c:v>45069</c:v>
                </c:pt>
                <c:pt idx="17" c:formatCode="m&quot;月&quot;d&quot;日&quot;;@">
                  <c:v>45074</c:v>
                </c:pt>
                <c:pt idx="18" c:formatCode="m&quot;月&quot;d&quot;日&quot;;@">
                  <c:v>45079</c:v>
                </c:pt>
                <c:pt idx="19" c:formatCode="m&quot;月&quot;d&quot;日&quot;;@">
                  <c:v>45084</c:v>
                </c:pt>
                <c:pt idx="20" c:formatCode="m&quot;月&quot;d&quot;日&quot;;@">
                  <c:v>45089</c:v>
                </c:pt>
                <c:pt idx="21" c:formatCode="m&quot;月&quot;d&quot;日&quot;;@">
                  <c:v>45094</c:v>
                </c:pt>
                <c:pt idx="22" c:formatCode="m&quot;月&quot;d&quot;日&quot;;@">
                  <c:v>45099</c:v>
                </c:pt>
                <c:pt idx="23" c:formatCode="m&quot;月&quot;d&quot;日&quot;;@">
                  <c:v>45104</c:v>
                </c:pt>
                <c:pt idx="24" c:formatCode="m&quot;月&quot;d&quot;日&quot;;@">
                  <c:v>45109</c:v>
                </c:pt>
                <c:pt idx="25" c:formatCode="m&quot;月&quot;d&quot;日&quot;;@">
                  <c:v>45115</c:v>
                </c:pt>
                <c:pt idx="26" c:formatCode="m&quot;月&quot;d&quot;日&quot;;@">
                  <c:v>45121</c:v>
                </c:pt>
                <c:pt idx="27" c:formatCode="m&quot;月&quot;d&quot;日&quot;;@">
                  <c:v>45126</c:v>
                </c:pt>
                <c:pt idx="28" c:formatCode="m&quot;月&quot;d&quot;日&quot;;@">
                  <c:v>45132</c:v>
                </c:pt>
                <c:pt idx="29" c:formatCode="m&quot;月&quot;d&quot;日&quot;;@">
                  <c:v>45138</c:v>
                </c:pt>
                <c:pt idx="30" c:formatCode="m&quot;月&quot;d&quot;日&quot;;@">
                  <c:v>45142</c:v>
                </c:pt>
                <c:pt idx="31" c:formatCode="m&quot;月&quot;d&quot;日&quot;">
                  <c:v>45145</c:v>
                </c:pt>
                <c:pt idx="32" c:formatCode="m&quot;月&quot;d&quot;日&quot;">
                  <c:v>45149</c:v>
                </c:pt>
                <c:pt idx="33" c:formatCode="m&quot;月&quot;d&quot;日&quot;">
                  <c:v>45153</c:v>
                </c:pt>
                <c:pt idx="34" c:formatCode="m&quot;月&quot;d&quot;日&quot;">
                  <c:v>45156</c:v>
                </c:pt>
                <c:pt idx="35" c:formatCode="m&quot;月&quot;d&quot;日&quot;">
                  <c:v>45159</c:v>
                </c:pt>
                <c:pt idx="36" c:formatCode="m&quot;月&quot;d&quot;日&quot;">
                  <c:v>45162</c:v>
                </c:pt>
                <c:pt idx="37" c:formatCode="m&quot;月&quot;d&quot;日&quot;">
                  <c:v>45166</c:v>
                </c:pt>
                <c:pt idx="38" c:formatCode="m&quot;月&quot;d&quot;日&quot;;@">
                  <c:v>45172</c:v>
                </c:pt>
                <c:pt idx="39" c:formatCode="m&quot;月&quot;d&quot;日&quot;;@">
                  <c:v>45177</c:v>
                </c:pt>
                <c:pt idx="40" c:formatCode="m&quot;月&quot;d&quot;日&quot;;@">
                  <c:v>45185</c:v>
                </c:pt>
                <c:pt idx="41" c:formatCode="m&quot;月&quot;d&quot;日&quot;;@">
                  <c:v>45188</c:v>
                </c:pt>
                <c:pt idx="42" c:formatCode="m&quot;月&quot;d&quot;日&quot;;@">
                  <c:v>45192</c:v>
                </c:pt>
                <c:pt idx="43" c:formatCode="m&quot;月&quot;d&quot;日&quot;;@">
                  <c:v>45197</c:v>
                </c:pt>
                <c:pt idx="44" c:formatCode="m&quot;月&quot;d&quot;日&quot;;@">
                  <c:v>45207</c:v>
                </c:pt>
                <c:pt idx="45" c:formatCode="m&quot;月&quot;d&quot;日&quot;;@">
                  <c:v>45209</c:v>
                </c:pt>
                <c:pt idx="46" c:formatCode="m&quot;月&quot;d&quot;日&quot;;@">
                  <c:v>45212</c:v>
                </c:pt>
                <c:pt idx="47" c:formatCode="m&quot;月&quot;d&quot;日&quot;;@">
                  <c:v>45217</c:v>
                </c:pt>
                <c:pt idx="48" c:formatCode="m&quot;月&quot;d&quot;日&quot;;@">
                  <c:v>45222</c:v>
                </c:pt>
                <c:pt idx="49" c:formatCode="m&quot;月&quot;d&quot;日&quot;;@">
                  <c:v>45224</c:v>
                </c:pt>
                <c:pt idx="50" c:formatCode="m&quot;月&quot;d&quot;日&quot;;@">
                  <c:v>45227</c:v>
                </c:pt>
                <c:pt idx="51" c:formatCode="m&quot;月&quot;d&quot;日&quot;;@">
                  <c:v>45230</c:v>
                </c:pt>
                <c:pt idx="52" c:formatCode="m&quot;月&quot;d&quot;日&quot;;@">
                  <c:v>45232</c:v>
                </c:pt>
                <c:pt idx="53" c:formatCode="m&quot;月&quot;d&quot;日&quot;;@">
                  <c:v>45237</c:v>
                </c:pt>
                <c:pt idx="54" c:formatCode="m&quot;月&quot;d&quot;日&quot;;@">
                  <c:v>45239</c:v>
                </c:pt>
                <c:pt idx="55" c:formatCode="m&quot;月&quot;d&quot;日&quot;;@">
                  <c:v>45242</c:v>
                </c:pt>
                <c:pt idx="56" c:formatCode="m&quot;月&quot;d&quot;日&quot;;@">
                  <c:v>45246</c:v>
                </c:pt>
              </c:numCache>
            </c:numRef>
          </c:cat>
          <c:val>
            <c:numRef>
              <c:f>Sheet3!$B$3:$BF$3</c:f>
              <c:numCache>
                <c:formatCode>General</c:formatCode>
                <c:ptCount val="57"/>
                <c:pt idx="3">
                  <c:v>0</c:v>
                </c:pt>
                <c:pt idx="4">
                  <c:v>0</c:v>
                </c:pt>
                <c:pt idx="5">
                  <c:v>0</c:v>
                </c:pt>
                <c:pt idx="6">
                  <c:v>100</c:v>
                </c:pt>
                <c:pt idx="7">
                  <c:v>250</c:v>
                </c:pt>
                <c:pt idx="8">
                  <c:v>550</c:v>
                </c:pt>
                <c:pt idx="9">
                  <c:v>330</c:v>
                </c:pt>
                <c:pt idx="10">
                  <c:v>1250</c:v>
                </c:pt>
                <c:pt idx="11">
                  <c:v>2000</c:v>
                </c:pt>
                <c:pt idx="12">
                  <c:v>0</c:v>
                </c:pt>
                <c:pt idx="13">
                  <c:v>0</c:v>
                </c:pt>
                <c:pt idx="14">
                  <c:v>1500</c:v>
                </c:pt>
                <c:pt idx="15">
                  <c:v>3250</c:v>
                </c:pt>
                <c:pt idx="16">
                  <c:v>4500</c:v>
                </c:pt>
                <c:pt idx="17">
                  <c:v>0</c:v>
                </c:pt>
                <c:pt idx="18">
                  <c:v>0</c:v>
                </c:pt>
                <c:pt idx="19">
                  <c:v>2500</c:v>
                </c:pt>
                <c:pt idx="20">
                  <c:v>5750</c:v>
                </c:pt>
                <c:pt idx="21">
                  <c:v>6500</c:v>
                </c:pt>
                <c:pt idx="22">
                  <c:v>1250</c:v>
                </c:pt>
                <c:pt idx="23">
                  <c:v>1250</c:v>
                </c:pt>
                <c:pt idx="24">
                  <c:v>0</c:v>
                </c:pt>
                <c:pt idx="25">
                  <c:v>0</c:v>
                </c:pt>
                <c:pt idx="26">
                  <c:v>0</c:v>
                </c:pt>
                <c:pt idx="27">
                  <c:v>0</c:v>
                </c:pt>
                <c:pt idx="28">
                  <c:v>0</c:v>
                </c:pt>
                <c:pt idx="29">
                  <c:v>0</c:v>
                </c:pt>
                <c:pt idx="30">
                  <c:v>0</c:v>
                </c:pt>
                <c:pt idx="31">
                  <c:v>0</c:v>
                </c:pt>
                <c:pt idx="37">
                  <c:v>6000</c:v>
                </c:pt>
                <c:pt idx="38">
                  <c:v>2000</c:v>
                </c:pt>
                <c:pt idx="39">
                  <c:v>3500</c:v>
                </c:pt>
                <c:pt idx="40">
                  <c:v>3500</c:v>
                </c:pt>
                <c:pt idx="41">
                  <c:v>3250</c:v>
                </c:pt>
                <c:pt idx="42">
                  <c:v>1250</c:v>
                </c:pt>
                <c:pt idx="43">
                  <c:v>1000</c:v>
                </c:pt>
                <c:pt idx="44">
                  <c:v>1000</c:v>
                </c:pt>
                <c:pt idx="45">
                  <c:v>1250</c:v>
                </c:pt>
                <c:pt idx="46">
                  <c:v>2000</c:v>
                </c:pt>
              </c:numCache>
            </c:numRef>
          </c:val>
          <c:smooth val="0"/>
        </c:ser>
        <c:ser>
          <c:idx val="2"/>
          <c:order val="2"/>
          <c:tx>
            <c:strRef>
              <c:f>Sheet3!$A$4</c:f>
              <c:strCache>
                <c:ptCount val="1"/>
                <c:pt idx="0">
                  <c:v>2018年柳州市</c:v>
                </c:pt>
              </c:strCache>
            </c:strRef>
          </c:tx>
          <c:marker>
            <c:symbol val="none"/>
          </c:marker>
          <c:dLbls>
            <c:delete val="1"/>
          </c:dLbls>
          <c:cat>
            <c:numRef>
              <c:f>Sheet3!$B$1:$BF$1</c:f>
              <c:numCache>
                <c:formatCode>m"月"d"日";@</c:formatCode>
                <c:ptCount val="57"/>
                <c:pt idx="0" c:formatCode="m&quot;月&quot;d&quot;日&quot;;@">
                  <c:v>44986</c:v>
                </c:pt>
                <c:pt idx="1" c:formatCode="m&quot;月&quot;d&quot;日&quot;;@">
                  <c:v>44990</c:v>
                </c:pt>
                <c:pt idx="2" c:formatCode="m&quot;月&quot;d&quot;日&quot;;@">
                  <c:v>44995</c:v>
                </c:pt>
                <c:pt idx="3" c:formatCode="m&quot;月&quot;d&quot;日&quot;;@">
                  <c:v>45000</c:v>
                </c:pt>
                <c:pt idx="4" c:formatCode="m&quot;月&quot;d&quot;日&quot;;@">
                  <c:v>45005</c:v>
                </c:pt>
                <c:pt idx="5" c:formatCode="m&quot;月&quot;d&quot;日&quot;;@">
                  <c:v>45011</c:v>
                </c:pt>
                <c:pt idx="6" c:formatCode="m&quot;月&quot;d&quot;日&quot;;@">
                  <c:v>45016</c:v>
                </c:pt>
                <c:pt idx="7" c:formatCode="m&quot;月&quot;d&quot;日&quot;;@">
                  <c:v>45021</c:v>
                </c:pt>
                <c:pt idx="8" c:formatCode="m&quot;月&quot;d&quot;日&quot;;@">
                  <c:v>45027</c:v>
                </c:pt>
                <c:pt idx="9" c:formatCode="m&quot;月&quot;d&quot;日&quot;;@">
                  <c:v>45032</c:v>
                </c:pt>
                <c:pt idx="10" c:formatCode="m&quot;月&quot;d&quot;日&quot;;@">
                  <c:v>45037</c:v>
                </c:pt>
                <c:pt idx="11" c:formatCode="m&quot;月&quot;d&quot;日&quot;;@">
                  <c:v>45044</c:v>
                </c:pt>
                <c:pt idx="12" c:formatCode="m&quot;月&quot;d&quot;日&quot;;@">
                  <c:v>45049</c:v>
                </c:pt>
                <c:pt idx="13" c:formatCode="m&quot;月&quot;d&quot;日&quot;;@">
                  <c:v>45054</c:v>
                </c:pt>
                <c:pt idx="14" c:formatCode="m&quot;月&quot;d&quot;日&quot;;@">
                  <c:v>45059</c:v>
                </c:pt>
                <c:pt idx="15" c:formatCode="m&quot;月&quot;d&quot;日&quot;;@">
                  <c:v>45064</c:v>
                </c:pt>
                <c:pt idx="16" c:formatCode="m&quot;月&quot;d&quot;日&quot;;@">
                  <c:v>45069</c:v>
                </c:pt>
                <c:pt idx="17" c:formatCode="m&quot;月&quot;d&quot;日&quot;;@">
                  <c:v>45074</c:v>
                </c:pt>
                <c:pt idx="18" c:formatCode="m&quot;月&quot;d&quot;日&quot;;@">
                  <c:v>45079</c:v>
                </c:pt>
                <c:pt idx="19" c:formatCode="m&quot;月&quot;d&quot;日&quot;;@">
                  <c:v>45084</c:v>
                </c:pt>
                <c:pt idx="20" c:formatCode="m&quot;月&quot;d&quot;日&quot;;@">
                  <c:v>45089</c:v>
                </c:pt>
                <c:pt idx="21" c:formatCode="m&quot;月&quot;d&quot;日&quot;;@">
                  <c:v>45094</c:v>
                </c:pt>
                <c:pt idx="22" c:formatCode="m&quot;月&quot;d&quot;日&quot;;@">
                  <c:v>45099</c:v>
                </c:pt>
                <c:pt idx="23" c:formatCode="m&quot;月&quot;d&quot;日&quot;;@">
                  <c:v>45104</c:v>
                </c:pt>
                <c:pt idx="24" c:formatCode="m&quot;月&quot;d&quot;日&quot;;@">
                  <c:v>45109</c:v>
                </c:pt>
                <c:pt idx="25" c:formatCode="m&quot;月&quot;d&quot;日&quot;;@">
                  <c:v>45115</c:v>
                </c:pt>
                <c:pt idx="26" c:formatCode="m&quot;月&quot;d&quot;日&quot;;@">
                  <c:v>45121</c:v>
                </c:pt>
                <c:pt idx="27" c:formatCode="m&quot;月&quot;d&quot;日&quot;;@">
                  <c:v>45126</c:v>
                </c:pt>
                <c:pt idx="28" c:formatCode="m&quot;月&quot;d&quot;日&quot;;@">
                  <c:v>45132</c:v>
                </c:pt>
                <c:pt idx="29" c:formatCode="m&quot;月&quot;d&quot;日&quot;;@">
                  <c:v>45138</c:v>
                </c:pt>
                <c:pt idx="30" c:formatCode="m&quot;月&quot;d&quot;日&quot;;@">
                  <c:v>45142</c:v>
                </c:pt>
                <c:pt idx="31" c:formatCode="m&quot;月&quot;d&quot;日&quot;">
                  <c:v>45145</c:v>
                </c:pt>
                <c:pt idx="32" c:formatCode="m&quot;月&quot;d&quot;日&quot;">
                  <c:v>45149</c:v>
                </c:pt>
                <c:pt idx="33" c:formatCode="m&quot;月&quot;d&quot;日&quot;">
                  <c:v>45153</c:v>
                </c:pt>
                <c:pt idx="34" c:formatCode="m&quot;月&quot;d&quot;日&quot;">
                  <c:v>45156</c:v>
                </c:pt>
                <c:pt idx="35" c:formatCode="m&quot;月&quot;d&quot;日&quot;">
                  <c:v>45159</c:v>
                </c:pt>
                <c:pt idx="36" c:formatCode="m&quot;月&quot;d&quot;日&quot;">
                  <c:v>45162</c:v>
                </c:pt>
                <c:pt idx="37" c:formatCode="m&quot;月&quot;d&quot;日&quot;">
                  <c:v>45166</c:v>
                </c:pt>
                <c:pt idx="38" c:formatCode="m&quot;月&quot;d&quot;日&quot;;@">
                  <c:v>45172</c:v>
                </c:pt>
                <c:pt idx="39" c:formatCode="m&quot;月&quot;d&quot;日&quot;;@">
                  <c:v>45177</c:v>
                </c:pt>
                <c:pt idx="40" c:formatCode="m&quot;月&quot;d&quot;日&quot;;@">
                  <c:v>45185</c:v>
                </c:pt>
                <c:pt idx="41" c:formatCode="m&quot;月&quot;d&quot;日&quot;;@">
                  <c:v>45188</c:v>
                </c:pt>
                <c:pt idx="42" c:formatCode="m&quot;月&quot;d&quot;日&quot;;@">
                  <c:v>45192</c:v>
                </c:pt>
                <c:pt idx="43" c:formatCode="m&quot;月&quot;d&quot;日&quot;;@">
                  <c:v>45197</c:v>
                </c:pt>
                <c:pt idx="44" c:formatCode="m&quot;月&quot;d&quot;日&quot;;@">
                  <c:v>45207</c:v>
                </c:pt>
                <c:pt idx="45" c:formatCode="m&quot;月&quot;d&quot;日&quot;;@">
                  <c:v>45209</c:v>
                </c:pt>
                <c:pt idx="46" c:formatCode="m&quot;月&quot;d&quot;日&quot;;@">
                  <c:v>45212</c:v>
                </c:pt>
                <c:pt idx="47" c:formatCode="m&quot;月&quot;d&quot;日&quot;;@">
                  <c:v>45217</c:v>
                </c:pt>
                <c:pt idx="48" c:formatCode="m&quot;月&quot;d&quot;日&quot;;@">
                  <c:v>45222</c:v>
                </c:pt>
                <c:pt idx="49" c:formatCode="m&quot;月&quot;d&quot;日&quot;;@">
                  <c:v>45224</c:v>
                </c:pt>
                <c:pt idx="50" c:formatCode="m&quot;月&quot;d&quot;日&quot;;@">
                  <c:v>45227</c:v>
                </c:pt>
                <c:pt idx="51" c:formatCode="m&quot;月&quot;d&quot;日&quot;;@">
                  <c:v>45230</c:v>
                </c:pt>
                <c:pt idx="52" c:formatCode="m&quot;月&quot;d&quot;日&quot;;@">
                  <c:v>45232</c:v>
                </c:pt>
                <c:pt idx="53" c:formatCode="m&quot;月&quot;d&quot;日&quot;;@">
                  <c:v>45237</c:v>
                </c:pt>
                <c:pt idx="54" c:formatCode="m&quot;月&quot;d&quot;日&quot;;@">
                  <c:v>45239</c:v>
                </c:pt>
                <c:pt idx="55" c:formatCode="m&quot;月&quot;d&quot;日&quot;;@">
                  <c:v>45242</c:v>
                </c:pt>
                <c:pt idx="56" c:formatCode="m&quot;月&quot;d&quot;日&quot;;@">
                  <c:v>45246</c:v>
                </c:pt>
              </c:numCache>
            </c:numRef>
          </c:cat>
          <c:val>
            <c:numRef>
              <c:f>Sheet3!$B$4:$BF$4</c:f>
              <c:numCache>
                <c:formatCode>General</c:formatCode>
                <c:ptCount val="57"/>
                <c:pt idx="3">
                  <c:v>0</c:v>
                </c:pt>
                <c:pt idx="4">
                  <c:v>0</c:v>
                </c:pt>
                <c:pt idx="5">
                  <c:v>0</c:v>
                </c:pt>
                <c:pt idx="6">
                  <c:v>0</c:v>
                </c:pt>
                <c:pt idx="7">
                  <c:v>333.3</c:v>
                </c:pt>
                <c:pt idx="8">
                  <c:v>416.7</c:v>
                </c:pt>
                <c:pt idx="9">
                  <c:v>833.3</c:v>
                </c:pt>
                <c:pt idx="10">
                  <c:v>0</c:v>
                </c:pt>
                <c:pt idx="11">
                  <c:v>833.3</c:v>
                </c:pt>
                <c:pt idx="12">
                  <c:v>0</c:v>
                </c:pt>
                <c:pt idx="13">
                  <c:v>3333</c:v>
                </c:pt>
                <c:pt idx="14">
                  <c:v>2000</c:v>
                </c:pt>
                <c:pt idx="15">
                  <c:v>1667</c:v>
                </c:pt>
                <c:pt idx="16">
                  <c:v>1500</c:v>
                </c:pt>
                <c:pt idx="17">
                  <c:v>2000</c:v>
                </c:pt>
                <c:pt idx="18">
                  <c:v>2500</c:v>
                </c:pt>
                <c:pt idx="19">
                  <c:v>1500</c:v>
                </c:pt>
                <c:pt idx="20">
                  <c:v>3333</c:v>
                </c:pt>
                <c:pt idx="21">
                  <c:v>2500</c:v>
                </c:pt>
                <c:pt idx="22">
                  <c:v>1667</c:v>
                </c:pt>
                <c:pt idx="23">
                  <c:v>1667</c:v>
                </c:pt>
                <c:pt idx="24">
                  <c:v>4167</c:v>
                </c:pt>
                <c:pt idx="25">
                  <c:v>2500</c:v>
                </c:pt>
                <c:pt idx="26">
                  <c:v>1667</c:v>
                </c:pt>
                <c:pt idx="27">
                  <c:v>1250</c:v>
                </c:pt>
                <c:pt idx="29">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1500</c:v>
                </c:pt>
                <c:pt idx="46">
                  <c:v>1000</c:v>
                </c:pt>
                <c:pt idx="47">
                  <c:v>1750</c:v>
                </c:pt>
                <c:pt idx="48">
                  <c:v>0</c:v>
                </c:pt>
                <c:pt idx="49">
                  <c:v>0</c:v>
                </c:pt>
                <c:pt idx="50">
                  <c:v>0</c:v>
                </c:pt>
                <c:pt idx="51">
                  <c:v>0</c:v>
                </c:pt>
                <c:pt idx="52">
                  <c:v>0</c:v>
                </c:pt>
                <c:pt idx="53">
                  <c:v>0</c:v>
                </c:pt>
                <c:pt idx="54">
                  <c:v>0</c:v>
                </c:pt>
                <c:pt idx="55">
                  <c:v>0</c:v>
                </c:pt>
                <c:pt idx="56">
                  <c:v>0</c:v>
                </c:pt>
              </c:numCache>
            </c:numRef>
          </c:val>
          <c:smooth val="0"/>
        </c:ser>
        <c:dLbls>
          <c:showLegendKey val="0"/>
          <c:showVal val="0"/>
          <c:showCatName val="0"/>
          <c:showSerName val="0"/>
          <c:showPercent val="0"/>
          <c:showBubbleSize val="0"/>
        </c:dLbls>
        <c:marker val="0"/>
        <c:smooth val="0"/>
        <c:axId val="78787328"/>
        <c:axId val="78788864"/>
      </c:lineChart>
      <c:dateAx>
        <c:axId val="78787328"/>
        <c:scaling>
          <c:orientation val="minMax"/>
        </c:scaling>
        <c:delete val="0"/>
        <c:axPos val="b"/>
        <c:numFmt formatCode="m&quot;月&quot;d&quot;日&quot;;@"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78788864"/>
        <c:crosses val="autoZero"/>
        <c:auto val="1"/>
        <c:lblOffset val="100"/>
        <c:baseTimeUnit val="days"/>
      </c:dateAx>
      <c:valAx>
        <c:axId val="7878886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78787328"/>
        <c:crosses val="autoZero"/>
        <c:crossBetween val="between"/>
      </c:valAx>
    </c:plotArea>
    <c:legend>
      <c:legendPos val="r"/>
      <c:layout>
        <c:manualLayout>
          <c:xMode val="edge"/>
          <c:yMode val="edge"/>
          <c:x val="0.825957139417289"/>
          <c:y val="0.077698947585302"/>
          <c:w val="0.142740187816037"/>
          <c:h val="0.435747331009093"/>
        </c:manualLayout>
      </c:layout>
      <c:overlay val="0"/>
      <c:txPr>
        <a:bodyPr rot="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9</Pages>
  <Words>4173</Words>
  <Characters>4528</Characters>
  <Lines>33</Lines>
  <Paragraphs>9</Paragraphs>
  <TotalTime>696</TotalTime>
  <ScaleCrop>false</ScaleCrop>
  <LinksUpToDate>false</LinksUpToDate>
  <CharactersWithSpaces>4580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2022-08-16T09:29:00Z</dcterms:created>
  <dc:creator>赵烨芸</dc:creator>
  <cp:lastModifiedBy>誰念誰川</cp:lastModifiedBy>
  <dcterms:modified xsi:type="dcterms:W3CDTF">2023-04-11T09:19:46Z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01AA152B9E304DA3BB81CA1BEC237BAA</vt:lpwstr>
  </property>
</Properties>
</file>