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宋体" w:hAnsi="宋体" w:eastAsia="宋体" w:cs="Times New Roman"/>
          <w:b/>
          <w:color w:val="auto"/>
          <w:sz w:val="44"/>
          <w:szCs w:val="44"/>
        </w:rPr>
      </w:pPr>
      <w:r>
        <w:rPr>
          <w:rFonts w:hint="eastAsia" w:ascii="宋体" w:hAnsi="宋体" w:eastAsia="宋体" w:cs="Times New Roman"/>
          <w:b/>
          <w:color w:val="auto"/>
          <w:sz w:val="44"/>
          <w:szCs w:val="44"/>
        </w:rPr>
        <w:t>团体标准《桑蓟马防治技术规程》</w:t>
      </w:r>
    </w:p>
    <w:p>
      <w:pPr>
        <w:spacing w:line="600" w:lineRule="exact"/>
        <w:jc w:val="center"/>
        <w:rPr>
          <w:rFonts w:ascii="宋体" w:hAnsi="宋体" w:eastAsia="宋体" w:cs="Times New Roman"/>
          <w:b/>
          <w:color w:val="auto"/>
          <w:sz w:val="44"/>
          <w:szCs w:val="44"/>
        </w:rPr>
      </w:pPr>
      <w:r>
        <w:rPr>
          <w:rFonts w:hint="eastAsia" w:ascii="宋体" w:hAnsi="宋体" w:eastAsia="宋体" w:cs="Times New Roman"/>
          <w:b/>
          <w:color w:val="auto"/>
          <w:sz w:val="44"/>
          <w:szCs w:val="44"/>
        </w:rPr>
        <w:t>编制说明</w:t>
      </w:r>
    </w:p>
    <w:p>
      <w:pPr>
        <w:spacing w:line="600" w:lineRule="exact"/>
        <w:jc w:val="center"/>
        <w:rPr>
          <w:rFonts w:ascii="宋体" w:hAnsi="宋体" w:eastAsia="宋体" w:cs="Times New Roman"/>
          <w:b/>
          <w:color w:val="auto"/>
          <w:sz w:val="44"/>
          <w:szCs w:val="44"/>
        </w:rPr>
      </w:pPr>
      <w:r>
        <w:rPr>
          <w:rFonts w:hint="eastAsia" w:ascii="宋体" w:hAnsi="宋体" w:eastAsia="宋体" w:cs="Times New Roman"/>
          <w:b/>
          <w:color w:val="auto"/>
          <w:sz w:val="44"/>
          <w:szCs w:val="44"/>
        </w:rPr>
        <w:t>（征求意见稿）</w:t>
      </w:r>
    </w:p>
    <w:p>
      <w:pPr>
        <w:spacing w:line="600" w:lineRule="exact"/>
        <w:jc w:val="center"/>
        <w:rPr>
          <w:rFonts w:ascii="宋体" w:hAnsi="宋体" w:eastAsia="宋体" w:cs="Times New Roman"/>
          <w:color w:val="auto"/>
          <w:sz w:val="28"/>
          <w:szCs w:val="28"/>
        </w:rPr>
      </w:pPr>
      <w:bookmarkStart w:id="0" w:name="_GoBack"/>
      <w:bookmarkEnd w:id="0"/>
    </w:p>
    <w:p>
      <w:pPr>
        <w:rPr>
          <w:rFonts w:ascii="宋体" w:hAnsi="宋体" w:eastAsia="宋体" w:cs="宋体"/>
          <w:b/>
          <w:color w:val="auto"/>
          <w:sz w:val="28"/>
          <w:szCs w:val="28"/>
        </w:rPr>
      </w:pPr>
      <w:r>
        <w:rPr>
          <w:rFonts w:hint="eastAsia" w:ascii="宋体" w:hAnsi="宋体" w:eastAsia="宋体" w:cs="宋体"/>
          <w:b/>
          <w:color w:val="auto"/>
          <w:sz w:val="28"/>
          <w:szCs w:val="28"/>
        </w:rPr>
        <w:t>1  任务来源与项目编号</w:t>
      </w:r>
    </w:p>
    <w:p>
      <w:pPr>
        <w:pStyle w:val="2"/>
        <w:ind w:firstLine="560" w:firstLineChars="200"/>
        <w:rPr>
          <w:rFonts w:ascii="宋体" w:hAnsi="宋体" w:eastAsia="宋体"/>
          <w:color w:val="auto"/>
          <w:sz w:val="28"/>
          <w:szCs w:val="28"/>
        </w:rPr>
      </w:pPr>
      <w:r>
        <w:rPr>
          <w:rFonts w:hint="eastAsia" w:ascii="宋体" w:hAnsi="宋体" w:cs="宋体"/>
          <w:color w:val="auto"/>
          <w:sz w:val="28"/>
          <w:szCs w:val="28"/>
        </w:rPr>
        <w:t>根据</w:t>
      </w:r>
      <w:r>
        <w:rPr>
          <w:rFonts w:hint="eastAsia" w:ascii="宋体" w:hAnsi="宋体" w:eastAsia="宋体"/>
          <w:color w:val="auto"/>
          <w:sz w:val="28"/>
          <w:szCs w:val="28"/>
        </w:rPr>
        <w:t>广西标准化协会</w:t>
      </w:r>
      <w:r>
        <w:rPr>
          <w:rFonts w:hint="eastAsia" w:ascii="宋体" w:hAnsi="宋体" w:cs="宋体"/>
          <w:color w:val="auto"/>
          <w:sz w:val="28"/>
          <w:szCs w:val="28"/>
        </w:rPr>
        <w:t>文件《</w:t>
      </w:r>
      <w:r>
        <w:rPr>
          <w:rFonts w:hint="eastAsia" w:ascii="宋体" w:hAnsi="宋体" w:eastAsia="宋体"/>
          <w:color w:val="auto"/>
          <w:sz w:val="28"/>
          <w:szCs w:val="28"/>
        </w:rPr>
        <w:t>关于下达2022年第四批团体标准制修订项目计划的通知</w:t>
      </w:r>
      <w:r>
        <w:rPr>
          <w:rFonts w:hint="eastAsia" w:ascii="宋体" w:hAnsi="宋体" w:cs="宋体"/>
          <w:color w:val="auto"/>
          <w:sz w:val="28"/>
          <w:szCs w:val="28"/>
        </w:rPr>
        <w:t>》（</w:t>
      </w:r>
      <w:r>
        <w:rPr>
          <w:rFonts w:hint="eastAsia" w:ascii="宋体" w:hAnsi="宋体" w:eastAsia="宋体"/>
          <w:color w:val="auto"/>
          <w:sz w:val="28"/>
          <w:szCs w:val="28"/>
        </w:rPr>
        <w:t>桂标协[2022]18号</w:t>
      </w:r>
      <w:r>
        <w:rPr>
          <w:rFonts w:hint="eastAsia" w:ascii="宋体" w:hAnsi="宋体" w:cs="宋体"/>
          <w:color w:val="auto"/>
          <w:sz w:val="28"/>
          <w:szCs w:val="28"/>
        </w:rPr>
        <w:t>），《桑蓟马防治技术规程》广西团体标准获得立项，</w:t>
      </w:r>
      <w:r>
        <w:rPr>
          <w:rFonts w:hint="eastAsia" w:ascii="宋体" w:hAnsi="宋体" w:eastAsia="宋体"/>
          <w:color w:val="auto"/>
          <w:sz w:val="28"/>
          <w:szCs w:val="28"/>
        </w:rPr>
        <w:t>立项编号2022-0405，</w:t>
      </w:r>
      <w:r>
        <w:rPr>
          <w:rFonts w:hint="eastAsia" w:ascii="宋体" w:hAnsi="宋体" w:cs="宋体"/>
          <w:color w:val="auto"/>
          <w:sz w:val="28"/>
          <w:szCs w:val="28"/>
        </w:rPr>
        <w:t>由</w:t>
      </w:r>
      <w:r>
        <w:rPr>
          <w:rFonts w:hint="eastAsia" w:ascii="宋体" w:hAnsi="宋体" w:eastAsia="宋体"/>
          <w:color w:val="auto"/>
          <w:sz w:val="28"/>
          <w:szCs w:val="28"/>
        </w:rPr>
        <w:t>广西壮族自治区蚕业技术推广站</w:t>
      </w:r>
      <w:r>
        <w:rPr>
          <w:rFonts w:hint="eastAsia" w:ascii="宋体" w:hAnsi="宋体" w:cs="宋体"/>
          <w:color w:val="auto"/>
          <w:sz w:val="28"/>
          <w:szCs w:val="28"/>
        </w:rPr>
        <w:t>提出并归口，</w:t>
      </w:r>
      <w:r>
        <w:rPr>
          <w:rFonts w:hint="eastAsia" w:ascii="宋体" w:hAnsi="宋体" w:eastAsia="宋体"/>
          <w:color w:val="auto"/>
          <w:sz w:val="28"/>
          <w:szCs w:val="28"/>
        </w:rPr>
        <w:t>由</w:t>
      </w:r>
      <w:r>
        <w:rPr>
          <w:rFonts w:hint="eastAsia" w:ascii="宋体" w:hAnsi="宋体" w:eastAsia="宋体" w:cs="宋体"/>
          <w:color w:val="auto"/>
          <w:sz w:val="28"/>
          <w:szCs w:val="28"/>
        </w:rPr>
        <w:t>广西壮族自治区蚕业技术推广站、河池市蚕业技术指导站、百色市蚕业技术指导站和来宾市农业科学院等4个单位共同起草。</w:t>
      </w:r>
    </w:p>
    <w:p>
      <w:pPr>
        <w:spacing w:line="360" w:lineRule="auto"/>
        <w:rPr>
          <w:rFonts w:ascii="宋体" w:hAnsi="宋体" w:eastAsia="宋体" w:cs="宋体"/>
          <w:b/>
          <w:color w:val="auto"/>
          <w:sz w:val="28"/>
          <w:szCs w:val="28"/>
        </w:rPr>
      </w:pPr>
      <w:r>
        <w:rPr>
          <w:rFonts w:hint="eastAsia" w:ascii="宋体" w:hAnsi="宋体" w:eastAsia="宋体" w:cs="宋体"/>
          <w:b/>
          <w:color w:val="auto"/>
          <w:sz w:val="28"/>
          <w:szCs w:val="28"/>
        </w:rPr>
        <w:t>2  项目背景及目的意义</w:t>
      </w:r>
    </w:p>
    <w:p>
      <w:pPr>
        <w:spacing w:line="360" w:lineRule="auto"/>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中国是全球蚕桑产业的第一大国，而广西的桑园面积、蚕茧产量连续17年保持全国第一，形成了“世界桑蚕看中国，中国桑蚕看广西”。</w:t>
      </w:r>
    </w:p>
    <w:p>
      <w:pPr>
        <w:spacing w:line="360" w:lineRule="auto"/>
        <w:rPr>
          <w:rFonts w:ascii="宋体" w:hAnsi="宋体" w:eastAsia="宋体" w:cs="宋体"/>
          <w:color w:val="auto"/>
          <w:sz w:val="28"/>
          <w:szCs w:val="28"/>
        </w:rPr>
      </w:pPr>
      <w:r>
        <w:rPr>
          <w:rFonts w:hint="eastAsia" w:ascii="宋体" w:hAnsi="宋体" w:eastAsia="宋体" w:cs="宋体"/>
          <w:color w:val="auto"/>
          <w:sz w:val="28"/>
          <w:szCs w:val="28"/>
        </w:rPr>
        <w:t>2021年广西桑园面积287.66万亩，占全国总面积24.07%。蚕桑产业的发展为广西农民增收、农业增效和扶贫攻坚作出了重大贡献。</w:t>
      </w:r>
    </w:p>
    <w:p>
      <w:pPr>
        <w:spacing w:line="360" w:lineRule="auto"/>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而伴随桑蚕业的迅猛发展，种桑养蚕规模的不断扩大，广西适宜的天气条件和地理环境在为桑树提供优越生长环境的同时，也为害虫的创造了良好的生存繁殖条件，桑树主要害虫发生和为害的趋势逐年加重。其中，桑蓟马是我区桑树的重要害虫之一，在桑蚕产业主产区呈现出发生面积扩大、发生逐年加重的趋势。桑蓟马，别名举尾虫，属于缨翅目蓟马科，以若虫及成虫刺吸叶汁，使叶片形成无数灰白色小凹点而失绿变硬，高温干旱天气时，虫口密度高，为害最严重，严重时成片桑园枝条的中、上部适熟叶全部失水卷缩，呈锈褐色，造成叶质低劣，对秋季桑叶产质量和蚕种生产影响很大。因此，做好桑蓟马的预测及防治工作，有效控制桑蓟马的爆发，是促进我区桑蚕产业稳步、健康发展的急迫任务。</w:t>
      </w:r>
    </w:p>
    <w:p>
      <w:pPr>
        <w:spacing w:line="360" w:lineRule="auto"/>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广西壮族自治区蚕业技术推广站设有蚕桑病虫害研究室，下设专门的桑树病虫害研究岗位，主要调查研究全区桑园主要病虫害的发生动态以及病虫害防治试验的开展和防治技术推广工作，在桑蓟马的防控工作积累了较多的经验和成果。河池、百色、来宾是广西蚕桑产业的主产区，河池市蚕业技术指导站、百色市蚕业技术指导站和来宾市农业科学院也长期从事辖区桑树病害的监测和防控工作。因此本团队有能力制定该标准。</w:t>
      </w:r>
    </w:p>
    <w:p>
      <w:pPr>
        <w:spacing w:line="360" w:lineRule="auto"/>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由于桑蓟马个体微小，多在叶背，肉眼不易发现，其以刺吸汁液造成危害，受害叶片初期远看没有明显的症状，容易造成发现和诊断滞后, 从而错过防治适期，防治效果差。目前，我区仍没有针对桑蓟马的统一标准，还是个空白。因此，本团队通过制定《桑蓟马防治技术规程》，统一规范桑蓟马虫情监测时间、方法及桑蓟马综合防治技术，为蚕桑农户等相关桑蚕生产人员提供有效防治桑蓟马的标准依据，对助力桑蚕产业高质量发展具有现实意义。</w:t>
      </w:r>
    </w:p>
    <w:p>
      <w:pPr>
        <w:rPr>
          <w:rFonts w:ascii="宋体" w:hAnsi="宋体" w:eastAsia="宋体" w:cs="宋体"/>
          <w:b/>
          <w:color w:val="auto"/>
          <w:sz w:val="28"/>
          <w:szCs w:val="28"/>
        </w:rPr>
      </w:pPr>
      <w:r>
        <w:rPr>
          <w:rFonts w:hint="eastAsia" w:ascii="宋体" w:hAnsi="宋体" w:eastAsia="宋体" w:cs="宋体"/>
          <w:b/>
          <w:color w:val="auto"/>
          <w:sz w:val="28"/>
          <w:szCs w:val="28"/>
        </w:rPr>
        <w:t xml:space="preserve">3 </w:t>
      </w:r>
      <w:r>
        <w:rPr>
          <w:rFonts w:ascii="宋体" w:hAnsi="宋体" w:eastAsia="宋体" w:cs="宋体"/>
          <w:b/>
          <w:color w:val="auto"/>
          <w:sz w:val="28"/>
          <w:szCs w:val="28"/>
        </w:rPr>
        <w:t xml:space="preserve"> </w:t>
      </w:r>
      <w:r>
        <w:rPr>
          <w:rFonts w:hint="eastAsia" w:ascii="宋体" w:hAnsi="宋体" w:eastAsia="宋体" w:cs="宋体"/>
          <w:b/>
          <w:color w:val="auto"/>
          <w:sz w:val="28"/>
          <w:szCs w:val="28"/>
        </w:rPr>
        <w:t>标准编制过程简况</w:t>
      </w:r>
    </w:p>
    <w:p>
      <w:pPr>
        <w:spacing w:line="360" w:lineRule="auto"/>
        <w:rPr>
          <w:rFonts w:ascii="宋体" w:hAnsi="宋体" w:eastAsia="宋体" w:cs="宋体"/>
          <w:b/>
          <w:color w:val="auto"/>
          <w:sz w:val="28"/>
          <w:szCs w:val="28"/>
        </w:rPr>
      </w:pPr>
      <w:r>
        <w:rPr>
          <w:rFonts w:hint="eastAsia" w:ascii="宋体" w:hAnsi="宋体" w:eastAsia="宋体" w:cs="宋体"/>
          <w:b/>
          <w:color w:val="auto"/>
          <w:sz w:val="28"/>
          <w:szCs w:val="28"/>
        </w:rPr>
        <w:t>3.1  成立编制工作小组</w:t>
      </w:r>
    </w:p>
    <w:p>
      <w:pPr>
        <w:spacing w:line="360" w:lineRule="auto"/>
        <w:ind w:firstLine="560" w:firstLineChars="200"/>
        <w:rPr>
          <w:rFonts w:ascii="宋体" w:hAnsi="宋体" w:eastAsia="宋体" w:cs="宋体"/>
          <w:color w:val="auto"/>
          <w:sz w:val="28"/>
          <w:szCs w:val="28"/>
        </w:rPr>
      </w:pPr>
      <w:r>
        <w:rPr>
          <w:rFonts w:hint="eastAsia" w:ascii="宋体" w:hAnsi="宋体" w:eastAsia="宋体" w:cs="宋体"/>
          <w:bCs/>
          <w:color w:val="auto"/>
          <w:sz w:val="28"/>
          <w:szCs w:val="28"/>
        </w:rPr>
        <w:t>广西团体标准《</w:t>
      </w:r>
      <w:r>
        <w:rPr>
          <w:rFonts w:hint="eastAsia" w:ascii="宋体" w:hAnsi="宋体" w:eastAsia="宋体" w:cs="宋体"/>
          <w:color w:val="auto"/>
          <w:sz w:val="28"/>
          <w:szCs w:val="28"/>
        </w:rPr>
        <w:t>桑蓟马防治技术规程</w:t>
      </w:r>
      <w:r>
        <w:rPr>
          <w:rFonts w:hint="eastAsia" w:ascii="宋体" w:hAnsi="宋体" w:eastAsia="宋体" w:cs="宋体"/>
          <w:bCs/>
          <w:color w:val="auto"/>
          <w:sz w:val="28"/>
          <w:szCs w:val="28"/>
        </w:rPr>
        <w:t>》项目任务下达后，</w:t>
      </w:r>
      <w:r>
        <w:rPr>
          <w:rFonts w:hint="eastAsia" w:ascii="宋体" w:hAnsi="宋体" w:eastAsia="宋体" w:cs="宋体"/>
          <w:color w:val="auto"/>
          <w:sz w:val="28"/>
          <w:szCs w:val="28"/>
        </w:rPr>
        <w:t>以广西壮族自治区蚕业技术推广站主要负责组织协调，广西壮族自治区蚕业技术推广站、河池市蚕业技术指导站、百色市蚕业技术指导站、来宾市农业科学院等4个单位共同</w:t>
      </w:r>
      <w:r>
        <w:rPr>
          <w:rFonts w:hint="eastAsia" w:ascii="宋体" w:hAnsi="宋体" w:eastAsia="宋体" w:cs="宋体"/>
          <w:bCs/>
          <w:color w:val="auto"/>
          <w:sz w:val="28"/>
          <w:szCs w:val="28"/>
        </w:rPr>
        <w:t>起草，按照标准编制要求和编写工作的程序，成立了编制工作小组，</w:t>
      </w:r>
      <w:r>
        <w:rPr>
          <w:rFonts w:hint="eastAsia" w:ascii="宋体" w:hAnsi="宋体" w:eastAsia="宋体" w:cs="宋体"/>
          <w:color w:val="auto"/>
          <w:sz w:val="28"/>
          <w:szCs w:val="28"/>
        </w:rPr>
        <w:t>制订编制工作方案，确定标准制定的负责人及进度。</w:t>
      </w:r>
    </w:p>
    <w:p>
      <w:pPr>
        <w:rPr>
          <w:rFonts w:ascii="宋体" w:hAnsi="宋体" w:eastAsia="宋体" w:cs="宋体"/>
          <w:b/>
          <w:color w:val="auto"/>
          <w:sz w:val="28"/>
          <w:szCs w:val="28"/>
        </w:rPr>
      </w:pPr>
      <w:r>
        <w:rPr>
          <w:rFonts w:hint="eastAsia" w:ascii="宋体" w:hAnsi="宋体" w:eastAsia="宋体" w:cs="宋体"/>
          <w:b/>
          <w:color w:val="auto"/>
          <w:sz w:val="28"/>
          <w:szCs w:val="28"/>
        </w:rPr>
        <w:t>3.2  资料收集、调查分析</w:t>
      </w:r>
    </w:p>
    <w:p>
      <w:pPr>
        <w:ind w:firstLine="560" w:firstLineChars="200"/>
        <w:rPr>
          <w:rFonts w:ascii="宋体" w:hAnsi="宋体" w:eastAsia="宋体" w:cs="宋体"/>
          <w:color w:val="auto"/>
          <w:sz w:val="28"/>
          <w:szCs w:val="28"/>
        </w:rPr>
      </w:pPr>
      <w:r>
        <w:rPr>
          <w:rFonts w:hint="eastAsia" w:ascii="宋体" w:hAnsi="宋体" w:eastAsia="宋体" w:cs="宋体"/>
          <w:bCs/>
          <w:color w:val="auto"/>
          <w:sz w:val="28"/>
          <w:szCs w:val="28"/>
        </w:rPr>
        <w:t>编制工作小组成员根据任务分工开展了资料收集和调查研究工作。一是收集</w:t>
      </w:r>
      <w:r>
        <w:rPr>
          <w:rFonts w:hint="eastAsia" w:ascii="宋体" w:hAnsi="宋体" w:eastAsia="宋体" w:cs="宋体"/>
          <w:color w:val="auto"/>
          <w:sz w:val="28"/>
          <w:szCs w:val="28"/>
        </w:rPr>
        <w:t>国内外有关桑蓟马防治的文献资料的查询、收集和整理工作，查阅前人对桑蓟马防治技术的研究情况和目前科学界对桑蓟马综合防治技术的研究进展</w:t>
      </w:r>
      <w:r>
        <w:rPr>
          <w:rFonts w:hint="eastAsia" w:ascii="宋体" w:hAnsi="宋体" w:eastAsia="宋体" w:cs="宋体"/>
          <w:bCs/>
          <w:color w:val="auto"/>
          <w:sz w:val="28"/>
          <w:szCs w:val="28"/>
        </w:rPr>
        <w:t>；二是组织技术人员到基层蚕业管理部门、蚕桑主产区桑园进行实地考察和调研，了解和掌握当前各地区桑蓟马发生动态及防控方法，以便确定标准的调查方法和防治时期，为规范我区桑蓟马防控技术提供普遍适用的技术依据；三是组织技术人员开展桑蓟马防治技术研发、</w:t>
      </w:r>
      <w:r>
        <w:rPr>
          <w:rFonts w:ascii="宋体" w:hAnsi="宋体" w:eastAsia="宋体" w:cs="宋体"/>
          <w:bCs/>
          <w:color w:val="auto"/>
          <w:sz w:val="28"/>
          <w:szCs w:val="28"/>
        </w:rPr>
        <w:t>防控</w:t>
      </w:r>
      <w:r>
        <w:rPr>
          <w:rFonts w:hint="eastAsia" w:ascii="宋体" w:hAnsi="宋体" w:eastAsia="宋体" w:cs="宋体"/>
          <w:bCs/>
          <w:color w:val="auto"/>
          <w:sz w:val="28"/>
          <w:szCs w:val="28"/>
        </w:rPr>
        <w:t>药物筛选等</w:t>
      </w:r>
      <w:r>
        <w:rPr>
          <w:rFonts w:ascii="宋体" w:hAnsi="宋体" w:eastAsia="宋体" w:cs="宋体"/>
          <w:bCs/>
          <w:color w:val="auto"/>
          <w:sz w:val="28"/>
          <w:szCs w:val="28"/>
        </w:rPr>
        <w:t>工作</w:t>
      </w:r>
      <w:r>
        <w:rPr>
          <w:rFonts w:hint="eastAsia" w:ascii="宋体" w:hAnsi="宋体" w:eastAsia="宋体" w:cs="宋体"/>
          <w:color w:val="auto"/>
          <w:sz w:val="28"/>
          <w:szCs w:val="28"/>
        </w:rPr>
        <w:t>。</w:t>
      </w:r>
    </w:p>
    <w:p>
      <w:pPr>
        <w:rPr>
          <w:rFonts w:ascii="宋体" w:hAnsi="宋体" w:eastAsia="宋体" w:cs="宋体"/>
          <w:b/>
          <w:color w:val="auto"/>
          <w:sz w:val="28"/>
          <w:szCs w:val="28"/>
        </w:rPr>
      </w:pPr>
      <w:r>
        <w:rPr>
          <w:rFonts w:hint="eastAsia" w:ascii="宋体" w:hAnsi="宋体" w:eastAsia="宋体" w:cs="宋体"/>
          <w:b/>
          <w:color w:val="auto"/>
          <w:sz w:val="28"/>
          <w:szCs w:val="28"/>
        </w:rPr>
        <w:t>3.3  形成征求意见稿</w:t>
      </w:r>
    </w:p>
    <w:p>
      <w:pPr>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标准起草工作小组在经过资料收集、调查分析的基础上，经过编制小组成员反复研讨，确定了主要规范内容和技术指标，形成了《桑蓟马防治技术规程》标准的编制原则及纲要，并根据标准的格式和编写方法，按照GB/T 1.1-2020的标准编写格式规定，起草编写了《桑蓟马防治技术规程》征求意见草稿。征求意见草稿经标准编制小组反复讨论、修改、专家认证后，于2022年10月底编写形成《桑蓟马防治技术规程》广西团体标准征求意见稿。</w:t>
      </w:r>
    </w:p>
    <w:p>
      <w:pPr>
        <w:autoSpaceDE w:val="0"/>
        <w:autoSpaceDN w:val="0"/>
        <w:adjustRightInd w:val="0"/>
        <w:spacing w:line="560" w:lineRule="exact"/>
        <w:jc w:val="left"/>
        <w:rPr>
          <w:rFonts w:ascii="宋体" w:hAnsi="宋体" w:eastAsia="宋体" w:cs="仿宋_GB2312"/>
          <w:b/>
          <w:color w:val="auto"/>
          <w:sz w:val="28"/>
          <w:szCs w:val="28"/>
        </w:rPr>
      </w:pPr>
      <w:r>
        <w:rPr>
          <w:rFonts w:ascii="宋体" w:hAnsi="宋体" w:eastAsia="宋体" w:cs="仿宋_GB2312"/>
          <w:b/>
          <w:color w:val="auto"/>
          <w:sz w:val="28"/>
          <w:szCs w:val="28"/>
        </w:rPr>
        <w:t xml:space="preserve">4  </w:t>
      </w:r>
      <w:r>
        <w:rPr>
          <w:rFonts w:hint="eastAsia" w:ascii="宋体" w:hAnsi="宋体" w:eastAsia="宋体" w:cs="仿宋_GB2312"/>
          <w:b/>
          <w:color w:val="auto"/>
          <w:sz w:val="28"/>
          <w:szCs w:val="28"/>
        </w:rPr>
        <w:t>标准主要内容及依据来源</w:t>
      </w:r>
    </w:p>
    <w:p>
      <w:pPr>
        <w:autoSpaceDE w:val="0"/>
        <w:autoSpaceDN w:val="0"/>
        <w:adjustRightInd w:val="0"/>
        <w:spacing w:line="560" w:lineRule="exact"/>
        <w:jc w:val="left"/>
        <w:rPr>
          <w:rFonts w:ascii="宋体" w:hAnsi="宋体" w:eastAsia="宋体" w:cs="仿宋_GB2312"/>
          <w:b/>
          <w:color w:val="auto"/>
          <w:sz w:val="28"/>
          <w:szCs w:val="28"/>
        </w:rPr>
      </w:pPr>
      <w:r>
        <w:rPr>
          <w:rFonts w:hint="eastAsia" w:ascii="宋体" w:hAnsi="宋体" w:eastAsia="宋体" w:cs="宋体"/>
          <w:b/>
          <w:color w:val="auto"/>
          <w:sz w:val="28"/>
          <w:szCs w:val="28"/>
        </w:rPr>
        <w:t xml:space="preserve">4.1  虫情监测的依据 </w:t>
      </w:r>
    </w:p>
    <w:p>
      <w:pPr>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预测预报是进行害虫综合防治的必要前提，而虫情监测的时间、频次、方法又是实现精准预测预报的前提。因此，桑蓟马虫情监测是桑蓟马防治技术的关键内容。</w:t>
      </w:r>
    </w:p>
    <w:p>
      <w:pPr>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（1）监测时间。根据多年对桑蓟马的跟踪调查和经验分析，结合广西气候特点，3月份桑树上发生第一代若虫，春季约</w:t>
      </w:r>
      <w:r>
        <w:rPr>
          <w:rFonts w:ascii="宋体" w:hAnsi="宋体" w:eastAsia="宋体" w:cs="宋体"/>
          <w:color w:val="auto"/>
          <w:sz w:val="28"/>
          <w:szCs w:val="28"/>
        </w:rPr>
        <w:t>1</w:t>
      </w:r>
      <w:r>
        <w:rPr>
          <w:rFonts w:hint="eastAsia" w:ascii="宋体" w:hAnsi="宋体" w:eastAsia="宋体" w:cs="宋体"/>
          <w:color w:val="auto"/>
          <w:sz w:val="28"/>
          <w:szCs w:val="28"/>
        </w:rPr>
        <w:t>个月繁殖一代，因此将监测的起始制定为</w:t>
      </w:r>
      <w:r>
        <w:rPr>
          <w:rFonts w:ascii="宋体" w:hAnsi="宋体" w:eastAsia="宋体" w:cs="宋体"/>
          <w:color w:val="auto"/>
          <w:sz w:val="28"/>
          <w:szCs w:val="28"/>
        </w:rPr>
        <w:t>4</w:t>
      </w:r>
      <w:r>
        <w:rPr>
          <w:rFonts w:hint="eastAsia" w:ascii="宋体" w:hAnsi="宋体" w:eastAsia="宋体" w:cs="宋体"/>
          <w:color w:val="auto"/>
          <w:sz w:val="28"/>
          <w:szCs w:val="28"/>
        </w:rPr>
        <w:t>月份。因</w:t>
      </w:r>
      <w:r>
        <w:rPr>
          <w:rFonts w:hint="eastAsia" w:ascii="Arial" w:hAnsi="Arial" w:eastAsia="宋体" w:cs="Arial"/>
          <w:color w:val="auto"/>
          <w:sz w:val="27"/>
          <w:szCs w:val="27"/>
          <w:shd w:val="clear" w:color="auto" w:fill="FFFFFF"/>
        </w:rPr>
        <w:t>桑蓟马具有在高温干旱条件下繁殖速度非常快的习性，</w:t>
      </w:r>
      <w:r>
        <w:rPr>
          <w:rFonts w:ascii="宋体" w:hAnsi="宋体" w:eastAsia="宋体" w:cs="宋体"/>
          <w:color w:val="auto"/>
          <w:sz w:val="28"/>
          <w:szCs w:val="28"/>
        </w:rPr>
        <w:t>10d</w:t>
      </w:r>
      <w:r>
        <w:rPr>
          <w:rFonts w:hint="eastAsia" w:ascii="宋体" w:hAnsi="宋体" w:eastAsia="宋体" w:cs="宋体"/>
          <w:color w:val="auto"/>
          <w:sz w:val="28"/>
          <w:szCs w:val="28"/>
        </w:rPr>
        <w:t>～</w:t>
      </w:r>
      <w:r>
        <w:rPr>
          <w:rFonts w:ascii="宋体" w:hAnsi="宋体" w:eastAsia="宋体" w:cs="宋体"/>
          <w:color w:val="auto"/>
          <w:sz w:val="28"/>
          <w:szCs w:val="28"/>
        </w:rPr>
        <w:t>15d</w:t>
      </w:r>
      <w:r>
        <w:rPr>
          <w:rFonts w:hint="eastAsia" w:ascii="宋体" w:hAnsi="宋体" w:eastAsia="宋体" w:cs="宋体"/>
          <w:color w:val="auto"/>
          <w:sz w:val="28"/>
          <w:szCs w:val="28"/>
        </w:rPr>
        <w:t>即可繁殖一代。因此，桑蓟马在广西通常在</w:t>
      </w:r>
      <w:r>
        <w:rPr>
          <w:rFonts w:ascii="宋体" w:hAnsi="宋体" w:eastAsia="宋体" w:cs="宋体"/>
          <w:color w:val="auto"/>
          <w:sz w:val="28"/>
          <w:szCs w:val="28"/>
        </w:rPr>
        <w:t>9</w:t>
      </w:r>
      <w:r>
        <w:rPr>
          <w:rFonts w:hint="eastAsia" w:ascii="宋体" w:hAnsi="宋体" w:eastAsia="宋体" w:cs="宋体"/>
          <w:color w:val="auto"/>
          <w:sz w:val="28"/>
          <w:szCs w:val="28"/>
        </w:rPr>
        <w:t>～</w:t>
      </w:r>
      <w:r>
        <w:rPr>
          <w:rFonts w:ascii="宋体" w:hAnsi="宋体" w:eastAsia="宋体" w:cs="宋体"/>
          <w:color w:val="auto"/>
          <w:sz w:val="28"/>
          <w:szCs w:val="28"/>
        </w:rPr>
        <w:t>10</w:t>
      </w:r>
      <w:r>
        <w:rPr>
          <w:rFonts w:hint="eastAsia" w:ascii="宋体" w:hAnsi="宋体" w:eastAsia="宋体" w:cs="宋体"/>
          <w:color w:val="auto"/>
          <w:sz w:val="28"/>
          <w:szCs w:val="28"/>
        </w:rPr>
        <w:t>月的高温干旱少雨的秋季进入为害高峰期。本着“预防为主、综合防治”的原则，因此将</w:t>
      </w:r>
      <w:r>
        <w:rPr>
          <w:rFonts w:ascii="宋体" w:hAnsi="宋体" w:eastAsia="宋体" w:cs="宋体"/>
          <w:color w:val="auto"/>
          <w:sz w:val="28"/>
          <w:szCs w:val="28"/>
        </w:rPr>
        <w:t>7</w:t>
      </w:r>
      <w:r>
        <w:rPr>
          <w:rFonts w:hint="eastAsia" w:ascii="宋体" w:hAnsi="宋体" w:eastAsia="宋体" w:cs="宋体"/>
          <w:color w:val="auto"/>
          <w:sz w:val="28"/>
          <w:szCs w:val="28"/>
        </w:rPr>
        <w:t>～</w:t>
      </w:r>
      <w:r>
        <w:rPr>
          <w:rFonts w:ascii="宋体" w:hAnsi="宋体" w:eastAsia="宋体" w:cs="宋体"/>
          <w:color w:val="auto"/>
          <w:sz w:val="28"/>
          <w:szCs w:val="28"/>
        </w:rPr>
        <w:t>9</w:t>
      </w:r>
      <w:r>
        <w:rPr>
          <w:rFonts w:hint="eastAsia" w:ascii="宋体" w:hAnsi="宋体" w:eastAsia="宋体" w:cs="宋体"/>
          <w:color w:val="auto"/>
          <w:sz w:val="28"/>
          <w:szCs w:val="28"/>
        </w:rPr>
        <w:t>月设重点监测，通过提前监测，结合气象预报，才能提早做出防控预案。由于广西不同地域气候有差异，且有异常天气出现时，如2020年在玉林4～5月份桑蓟马为害严重 ，2022年7～8月份即夏伐后部分地区出现比较严重的危害，因此也不局限于在7～9月重点监测以及增加监测频次，要是根据高温干旱少雨影响桑蓟马为害的关键因素，灵活把握监测时间和频次。</w:t>
      </w:r>
    </w:p>
    <w:p>
      <w:pPr>
        <w:pStyle w:val="21"/>
        <w:ind w:firstLine="560"/>
        <w:rPr>
          <w:color w:val="auto"/>
          <w:sz w:val="28"/>
          <w:szCs w:val="28"/>
        </w:rPr>
      </w:pPr>
      <w:r>
        <w:rPr>
          <w:rFonts w:hint="eastAsia"/>
          <w:color w:val="auto"/>
          <w:sz w:val="28"/>
          <w:szCs w:val="28"/>
        </w:rPr>
        <w:t>以2019</w:t>
      </w:r>
      <w:r>
        <w:rPr>
          <w:rFonts w:hint="eastAsia"/>
          <w:color w:val="auto"/>
        </w:rPr>
        <w:t>～</w:t>
      </w:r>
      <w:r>
        <w:rPr>
          <w:rFonts w:hint="eastAsia"/>
          <w:color w:val="auto"/>
          <w:sz w:val="28"/>
          <w:szCs w:val="28"/>
        </w:rPr>
        <w:t>2021年田间调查数据为例（如图1）：南宁从3月桑树上发生第一代若虫，上半年桑蓟马发生量较低，在5</w:t>
      </w:r>
      <w:r>
        <w:rPr>
          <w:rFonts w:hint="eastAsia"/>
          <w:color w:val="auto"/>
        </w:rPr>
        <w:t>～</w:t>
      </w:r>
      <w:r>
        <w:rPr>
          <w:rFonts w:hint="eastAsia"/>
          <w:color w:val="auto"/>
          <w:sz w:val="28"/>
          <w:szCs w:val="28"/>
        </w:rPr>
        <w:t>6月几乎无蓟马发生，而在8</w:t>
      </w:r>
      <w:r>
        <w:rPr>
          <w:rFonts w:hint="eastAsia"/>
          <w:color w:val="auto"/>
        </w:rPr>
        <w:t>～</w:t>
      </w:r>
      <w:r>
        <w:rPr>
          <w:rFonts w:hint="eastAsia"/>
          <w:color w:val="auto"/>
          <w:sz w:val="28"/>
          <w:szCs w:val="28"/>
        </w:rPr>
        <w:t>9月份，蓟马发生为害最为严重。通过桑蓟马的田间动态调查得出桑蓟马发生规律和为害特点，以及在田间调查过程中观察到的桑蓟马取食习性，依此确立桑蓟马的调查时间4月至11月，其中7月上旬至9月高温干旱季节增加调查频次。</w:t>
      </w:r>
    </w:p>
    <w:p>
      <w:pPr>
        <w:pStyle w:val="2"/>
        <w:rPr>
          <w:color w:val="auto"/>
        </w:rPr>
      </w:pPr>
    </w:p>
    <w:p>
      <w:pPr>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drawing>
          <wp:anchor distT="0" distB="0" distL="114300" distR="114300" simplePos="0" relativeHeight="251659264" behindDoc="0" locked="0" layoutInCell="1" allowOverlap="1">
            <wp:simplePos x="0" y="0"/>
            <wp:positionH relativeFrom="column">
              <wp:posOffset>123190</wp:posOffset>
            </wp:positionH>
            <wp:positionV relativeFrom="paragraph">
              <wp:posOffset>-104775</wp:posOffset>
            </wp:positionV>
            <wp:extent cx="5438775" cy="2409825"/>
            <wp:effectExtent l="0" t="0" r="0" b="0"/>
            <wp:wrapTopAndBottom/>
            <wp:docPr id="5"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anchor>
        </w:drawing>
      </w:r>
      <w:r>
        <w:rPr>
          <w:rFonts w:hint="eastAsia" w:ascii="宋体" w:hAnsi="宋体" w:eastAsia="宋体" w:cs="宋体"/>
          <w:color w:val="auto"/>
          <w:sz w:val="28"/>
          <w:szCs w:val="28"/>
        </w:rPr>
        <w:t>（2）调查方法和虫情分级标准。主要参照国家蚕桑产业技术体系桑树病虫害防控体系施行的桑蓟马田间调查采样方法，并结合广西桑园以密植栽培模式为主和管理特点进行修正，经参照现有文献资料和田间调查多方验证后确立。调查叶位是根据桑蓟马的取食习性和多年调查过程中发现其在不同季节不同气候条件下重点为害叶位有所差异而确定。</w:t>
      </w:r>
    </w:p>
    <w:p>
      <w:pPr>
        <w:ind w:firstLine="138" w:firstLineChars="49"/>
        <w:rPr>
          <w:rFonts w:ascii="宋体" w:hAnsi="宋体" w:eastAsia="宋体" w:cs="宋体"/>
          <w:b/>
          <w:color w:val="auto"/>
          <w:sz w:val="28"/>
          <w:szCs w:val="28"/>
        </w:rPr>
      </w:pPr>
      <w:r>
        <w:rPr>
          <w:rFonts w:hint="eastAsia" w:ascii="宋体" w:hAnsi="宋体" w:eastAsia="宋体" w:cs="宋体"/>
          <w:b/>
          <w:color w:val="auto"/>
          <w:sz w:val="28"/>
          <w:szCs w:val="28"/>
        </w:rPr>
        <w:t>4.2  防治措施的依据</w:t>
      </w:r>
    </w:p>
    <w:p>
      <w:pPr>
        <w:pStyle w:val="17"/>
        <w:numPr>
          <w:ilvl w:val="0"/>
          <w:numId w:val="0"/>
        </w:numPr>
        <w:spacing w:beforeLines="0" w:afterLines="0"/>
        <w:ind w:firstLine="420" w:firstLineChars="150"/>
        <w:rPr>
          <w:rFonts w:ascii="宋体" w:hAnsi="宋体" w:eastAsia="宋体" w:cs="宋体"/>
          <w:color w:val="auto"/>
          <w:kern w:val="2"/>
          <w:sz w:val="28"/>
          <w:szCs w:val="28"/>
        </w:rPr>
      </w:pPr>
      <w:r>
        <w:rPr>
          <w:rFonts w:hint="eastAsia" w:ascii="宋体" w:hAnsi="宋体" w:eastAsia="宋体" w:cs="宋体"/>
          <w:color w:val="auto"/>
          <w:kern w:val="2"/>
          <w:sz w:val="28"/>
          <w:szCs w:val="28"/>
        </w:rPr>
        <w:t>（1）农业防治。桑蓟马通常以成虫在禾本科杂草中越冬，虫口基数变化与桑园水肥管理、气象条件等密切相关，高温干旱少雨季节空气湿度较低时</w:t>
      </w:r>
      <w:r>
        <w:rPr>
          <w:rFonts w:ascii="宋体" w:hAnsi="宋体" w:eastAsia="宋体" w:cs="宋体"/>
          <w:color w:val="auto"/>
          <w:kern w:val="2"/>
          <w:sz w:val="28"/>
          <w:szCs w:val="28"/>
        </w:rPr>
        <w:t>有利于其大发生</w:t>
      </w:r>
      <w:r>
        <w:rPr>
          <w:rFonts w:hint="eastAsia" w:ascii="宋体" w:hAnsi="宋体" w:eastAsia="宋体" w:cs="宋体"/>
          <w:color w:val="auto"/>
          <w:kern w:val="2"/>
          <w:sz w:val="28"/>
          <w:szCs w:val="28"/>
        </w:rPr>
        <w:t>，发生世代缩短。因此，根据桑蓟马的越冬习性和发生特点，在农业防治时，强调清洁桑园，收集落叶、杂草和枯枝集中处理消灭越冬虫源；注重肥水管理，不偏施氮肥；高温干旱天气空气中的相对湿度较低时，要及时桑园灌溉抗旱。</w:t>
      </w:r>
    </w:p>
    <w:p>
      <w:pPr>
        <w:pStyle w:val="17"/>
        <w:numPr>
          <w:ilvl w:val="0"/>
          <w:numId w:val="0"/>
        </w:numPr>
        <w:spacing w:beforeLines="0" w:afterLines="0"/>
        <w:ind w:firstLine="420" w:firstLineChars="150"/>
        <w:rPr>
          <w:rFonts w:ascii="宋体" w:hAnsi="宋体" w:eastAsia="宋体" w:cs="宋体"/>
          <w:color w:val="auto"/>
          <w:kern w:val="2"/>
          <w:sz w:val="28"/>
          <w:szCs w:val="28"/>
        </w:rPr>
      </w:pPr>
      <w:r>
        <w:rPr>
          <w:rFonts w:hint="eastAsia" w:ascii="宋体" w:hAnsi="宋体" w:eastAsia="宋体" w:cs="宋体"/>
          <w:color w:val="auto"/>
          <w:kern w:val="2"/>
          <w:sz w:val="28"/>
          <w:szCs w:val="28"/>
        </w:rPr>
        <w:t>（2）物理防治。</w:t>
      </w:r>
      <w:r>
        <w:rPr>
          <w:rFonts w:ascii="宋体" w:hAnsi="宋体" w:eastAsia="宋体" w:cs="宋体"/>
          <w:color w:val="auto"/>
          <w:kern w:val="2"/>
          <w:sz w:val="28"/>
          <w:szCs w:val="28"/>
        </w:rPr>
        <w:t>蓝色粘虫板对蓟马的诱集效果已得到证实</w:t>
      </w:r>
      <w:r>
        <w:rPr>
          <w:rFonts w:hint="eastAsia" w:ascii="宋体" w:hAnsi="宋体" w:eastAsia="宋体" w:cs="宋体"/>
          <w:color w:val="auto"/>
          <w:kern w:val="2"/>
          <w:sz w:val="28"/>
          <w:szCs w:val="28"/>
        </w:rPr>
        <w:t>，</w:t>
      </w:r>
      <w:r>
        <w:rPr>
          <w:rFonts w:ascii="宋体" w:hAnsi="宋体" w:eastAsia="宋体" w:cs="宋体"/>
          <w:color w:val="auto"/>
          <w:kern w:val="2"/>
          <w:sz w:val="28"/>
          <w:szCs w:val="28"/>
        </w:rPr>
        <w:t>不仅可用于防治害虫</w:t>
      </w:r>
      <w:r>
        <w:rPr>
          <w:rFonts w:hint="eastAsia" w:ascii="宋体" w:hAnsi="宋体" w:eastAsia="宋体" w:cs="宋体"/>
          <w:color w:val="auto"/>
          <w:kern w:val="2"/>
          <w:sz w:val="28"/>
          <w:szCs w:val="28"/>
        </w:rPr>
        <w:t>，</w:t>
      </w:r>
      <w:r>
        <w:rPr>
          <w:rFonts w:ascii="宋体" w:hAnsi="宋体" w:eastAsia="宋体" w:cs="宋体"/>
          <w:color w:val="auto"/>
          <w:kern w:val="2"/>
          <w:sz w:val="28"/>
          <w:szCs w:val="28"/>
        </w:rPr>
        <w:t>也可用于监测害虫的发生动态</w:t>
      </w:r>
      <w:r>
        <w:rPr>
          <w:rFonts w:hint="eastAsia" w:ascii="宋体" w:hAnsi="宋体" w:eastAsia="宋体" w:cs="宋体"/>
          <w:color w:val="auto"/>
          <w:kern w:val="2"/>
          <w:sz w:val="28"/>
          <w:szCs w:val="28"/>
        </w:rPr>
        <w:t>。结合广西桑园为密植型栽培模式，在挂蓝色粘虫板诱杀时，建议预测和初发生期可以每亩悬挂约25～35张，为害高峰期时每亩悬挂适当增加至50张。</w:t>
      </w:r>
    </w:p>
    <w:p>
      <w:pPr>
        <w:pStyle w:val="2"/>
        <w:rPr>
          <w:rFonts w:ascii="宋体" w:hAnsi="宋体" w:eastAsia="宋体" w:cs="宋体"/>
          <w:color w:val="auto"/>
          <w:sz w:val="28"/>
          <w:szCs w:val="28"/>
        </w:rPr>
      </w:pPr>
      <w:r>
        <w:rPr>
          <w:rFonts w:hint="eastAsia" w:ascii="宋体" w:hAnsi="宋体" w:eastAsia="宋体" w:cs="宋体"/>
          <w:color w:val="auto"/>
          <w:sz w:val="28"/>
          <w:szCs w:val="28"/>
        </w:rPr>
        <w:t xml:space="preserve">   （3）化学防治。桑蓟马种群数量大，繁殖速度快，迁飞距离远，还是多虫态同时并存，在生产上，很难通过喷施化学药剂，就能将所有蓟马杀死，既不可能也不现实，尤其是在夏秋季。因此，喷药防治只能将蓟马控制在合理的范围内。</w:t>
      </w:r>
    </w:p>
    <w:p>
      <w:pPr>
        <w:pStyle w:val="2"/>
        <w:ind w:firstLine="700" w:firstLineChars="250"/>
        <w:rPr>
          <w:color w:val="auto"/>
          <w:sz w:val="28"/>
          <w:szCs w:val="28"/>
        </w:rPr>
      </w:pPr>
      <w:r>
        <w:rPr>
          <w:rFonts w:hint="eastAsia"/>
          <w:color w:val="auto"/>
          <w:sz w:val="28"/>
          <w:szCs w:val="28"/>
        </w:rPr>
        <w:t>编制组在前期田间药剂筛查中发现（如表1），参试的6种药剂对桑蓟马药后1d的相对防效都达90%以上，但药后7d的防效除了万灵和毒死蜱这两种高毒高残效期的药剂外，其它4种药剂的防治效果明显降低，表明这4种药剂药效持效期较短。在广西滚动式的养蚕模式和近年蚕桑农药中毒事件频繁发生的背景下，为保证蚕桑生产的安全起见，在桑园管理过程中用农药治理病虫害时，我们并不主张使用残效期长的药剂种类，因此，本标准推荐的防治药剂以短期防效为主。</w:t>
      </w:r>
    </w:p>
    <w:tbl>
      <w:tblPr>
        <w:tblStyle w:val="6"/>
        <w:tblW w:w="9120" w:type="dxa"/>
        <w:tblInd w:w="93" w:type="dxa"/>
        <w:tblLayout w:type="autofit"/>
        <w:tblCellMar>
          <w:top w:w="0" w:type="dxa"/>
          <w:left w:w="108" w:type="dxa"/>
          <w:bottom w:w="0" w:type="dxa"/>
          <w:right w:w="108" w:type="dxa"/>
        </w:tblCellMar>
      </w:tblPr>
      <w:tblGrid>
        <w:gridCol w:w="1446"/>
        <w:gridCol w:w="718"/>
        <w:gridCol w:w="719"/>
        <w:gridCol w:w="816"/>
        <w:gridCol w:w="816"/>
        <w:gridCol w:w="719"/>
        <w:gridCol w:w="816"/>
        <w:gridCol w:w="816"/>
        <w:gridCol w:w="719"/>
        <w:gridCol w:w="816"/>
        <w:gridCol w:w="719"/>
      </w:tblGrid>
      <w:tr>
        <w:tblPrEx>
          <w:tblCellMar>
            <w:top w:w="0" w:type="dxa"/>
            <w:left w:w="108" w:type="dxa"/>
            <w:bottom w:w="0" w:type="dxa"/>
            <w:right w:w="108" w:type="dxa"/>
          </w:tblCellMar>
        </w:tblPrEx>
        <w:trPr>
          <w:trHeight w:val="465" w:hRule="atLeast"/>
        </w:trPr>
        <w:tc>
          <w:tcPr>
            <w:tcW w:w="9120" w:type="dxa"/>
            <w:gridSpan w:val="11"/>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表1  桑蓟马防治效果对比试验</w:t>
            </w:r>
          </w:p>
        </w:tc>
      </w:tr>
      <w:tr>
        <w:tblPrEx>
          <w:tblCellMar>
            <w:top w:w="0" w:type="dxa"/>
            <w:left w:w="108" w:type="dxa"/>
            <w:bottom w:w="0" w:type="dxa"/>
            <w:right w:w="108" w:type="dxa"/>
          </w:tblCellMar>
        </w:tblPrEx>
        <w:trPr>
          <w:trHeight w:val="300" w:hRule="atLeast"/>
        </w:trPr>
        <w:tc>
          <w:tcPr>
            <w:tcW w:w="1920" w:type="dxa"/>
            <w:vMerge w:val="restart"/>
            <w:tcBorders>
              <w:top w:val="single" w:color="auto" w:sz="4" w:space="0"/>
              <w:left w:val="nil"/>
              <w:bottom w:val="single" w:color="000000" w:sz="4" w:space="0"/>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处理</w:t>
            </w:r>
          </w:p>
        </w:tc>
        <w:tc>
          <w:tcPr>
            <w:tcW w:w="720" w:type="dxa"/>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药前</w:t>
            </w:r>
          </w:p>
        </w:tc>
        <w:tc>
          <w:tcPr>
            <w:tcW w:w="2160" w:type="dxa"/>
            <w:gridSpan w:val="3"/>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药后1d</w:t>
            </w:r>
          </w:p>
        </w:tc>
        <w:tc>
          <w:tcPr>
            <w:tcW w:w="2160" w:type="dxa"/>
            <w:gridSpan w:val="3"/>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药后3d</w:t>
            </w:r>
          </w:p>
        </w:tc>
        <w:tc>
          <w:tcPr>
            <w:tcW w:w="2160" w:type="dxa"/>
            <w:gridSpan w:val="3"/>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药后7d</w:t>
            </w:r>
          </w:p>
        </w:tc>
      </w:tr>
      <w:tr>
        <w:tblPrEx>
          <w:tblCellMar>
            <w:top w:w="0" w:type="dxa"/>
            <w:left w:w="108" w:type="dxa"/>
            <w:bottom w:w="0" w:type="dxa"/>
            <w:right w:w="108" w:type="dxa"/>
          </w:tblCellMar>
        </w:tblPrEx>
        <w:trPr>
          <w:trHeight w:val="795" w:hRule="atLeast"/>
        </w:trPr>
        <w:tc>
          <w:tcPr>
            <w:tcW w:w="1920" w:type="dxa"/>
            <w:vMerge w:val="continue"/>
            <w:tcBorders>
              <w:top w:val="single" w:color="auto" w:sz="4" w:space="0"/>
              <w:left w:val="nil"/>
              <w:bottom w:val="single" w:color="000000" w:sz="4" w:space="0"/>
              <w:right w:val="nil"/>
            </w:tcBorders>
            <w:vAlign w:val="center"/>
          </w:tcPr>
          <w:p>
            <w:pPr>
              <w:widowControl/>
              <w:jc w:val="left"/>
              <w:rPr>
                <w:rFonts w:ascii="宋体" w:hAnsi="宋体" w:eastAsia="宋体" w:cs="宋体"/>
                <w:color w:val="auto"/>
                <w:kern w:val="0"/>
                <w:sz w:val="20"/>
                <w:szCs w:val="20"/>
              </w:rPr>
            </w:pPr>
          </w:p>
        </w:tc>
        <w:tc>
          <w:tcPr>
            <w:tcW w:w="72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auto"/>
                <w:kern w:val="0"/>
                <w:sz w:val="16"/>
                <w:szCs w:val="16"/>
              </w:rPr>
            </w:pPr>
            <w:r>
              <w:rPr>
                <w:rFonts w:hint="eastAsia" w:ascii="宋体" w:hAnsi="宋体" w:eastAsia="宋体" w:cs="宋体"/>
                <w:color w:val="auto"/>
                <w:kern w:val="0"/>
                <w:sz w:val="16"/>
                <w:szCs w:val="16"/>
              </w:rPr>
              <w:t>平均虫口密度（头/叶)</w:t>
            </w:r>
          </w:p>
        </w:tc>
        <w:tc>
          <w:tcPr>
            <w:tcW w:w="72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auto"/>
                <w:kern w:val="0"/>
                <w:sz w:val="16"/>
                <w:szCs w:val="16"/>
              </w:rPr>
            </w:pPr>
            <w:r>
              <w:rPr>
                <w:rFonts w:hint="eastAsia" w:ascii="宋体" w:hAnsi="宋体" w:eastAsia="宋体" w:cs="宋体"/>
                <w:color w:val="auto"/>
                <w:kern w:val="0"/>
                <w:sz w:val="16"/>
                <w:szCs w:val="16"/>
              </w:rPr>
              <w:t>平均虫口密度（头/叶)</w:t>
            </w:r>
          </w:p>
        </w:tc>
        <w:tc>
          <w:tcPr>
            <w:tcW w:w="72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auto"/>
                <w:kern w:val="0"/>
                <w:sz w:val="16"/>
                <w:szCs w:val="16"/>
              </w:rPr>
            </w:pPr>
            <w:r>
              <w:rPr>
                <w:rFonts w:hint="eastAsia" w:ascii="宋体" w:hAnsi="宋体" w:eastAsia="宋体" w:cs="宋体"/>
                <w:color w:val="auto"/>
                <w:kern w:val="0"/>
                <w:sz w:val="16"/>
                <w:szCs w:val="16"/>
              </w:rPr>
              <w:t>虫口减退率（%）</w:t>
            </w:r>
          </w:p>
        </w:tc>
        <w:tc>
          <w:tcPr>
            <w:tcW w:w="72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auto"/>
                <w:kern w:val="0"/>
                <w:sz w:val="16"/>
                <w:szCs w:val="16"/>
              </w:rPr>
            </w:pPr>
            <w:r>
              <w:rPr>
                <w:rFonts w:hint="eastAsia" w:ascii="宋体" w:hAnsi="宋体" w:eastAsia="宋体" w:cs="宋体"/>
                <w:color w:val="auto"/>
                <w:kern w:val="0"/>
                <w:sz w:val="16"/>
                <w:szCs w:val="16"/>
              </w:rPr>
              <w:t>相对防效（%）</w:t>
            </w:r>
          </w:p>
        </w:tc>
        <w:tc>
          <w:tcPr>
            <w:tcW w:w="72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auto"/>
                <w:kern w:val="0"/>
                <w:sz w:val="16"/>
                <w:szCs w:val="16"/>
              </w:rPr>
            </w:pPr>
            <w:r>
              <w:rPr>
                <w:rFonts w:hint="eastAsia" w:ascii="宋体" w:hAnsi="宋体" w:eastAsia="宋体" w:cs="宋体"/>
                <w:color w:val="auto"/>
                <w:kern w:val="0"/>
                <w:sz w:val="16"/>
                <w:szCs w:val="16"/>
              </w:rPr>
              <w:t>平均虫口密度（头/叶)</w:t>
            </w:r>
          </w:p>
        </w:tc>
        <w:tc>
          <w:tcPr>
            <w:tcW w:w="72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auto"/>
                <w:kern w:val="0"/>
                <w:sz w:val="16"/>
                <w:szCs w:val="16"/>
              </w:rPr>
            </w:pPr>
            <w:r>
              <w:rPr>
                <w:rFonts w:hint="eastAsia" w:ascii="宋体" w:hAnsi="宋体" w:eastAsia="宋体" w:cs="宋体"/>
                <w:color w:val="auto"/>
                <w:kern w:val="0"/>
                <w:sz w:val="16"/>
                <w:szCs w:val="16"/>
              </w:rPr>
              <w:t>虫口减退率（%）</w:t>
            </w:r>
          </w:p>
        </w:tc>
        <w:tc>
          <w:tcPr>
            <w:tcW w:w="72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auto"/>
                <w:kern w:val="0"/>
                <w:sz w:val="16"/>
                <w:szCs w:val="16"/>
              </w:rPr>
            </w:pPr>
            <w:r>
              <w:rPr>
                <w:rFonts w:hint="eastAsia" w:ascii="宋体" w:hAnsi="宋体" w:eastAsia="宋体" w:cs="宋体"/>
                <w:color w:val="auto"/>
                <w:kern w:val="0"/>
                <w:sz w:val="16"/>
                <w:szCs w:val="16"/>
              </w:rPr>
              <w:t>相对防效（%）</w:t>
            </w:r>
          </w:p>
        </w:tc>
        <w:tc>
          <w:tcPr>
            <w:tcW w:w="72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auto"/>
                <w:kern w:val="0"/>
                <w:sz w:val="16"/>
                <w:szCs w:val="16"/>
              </w:rPr>
            </w:pPr>
            <w:r>
              <w:rPr>
                <w:rFonts w:hint="eastAsia" w:ascii="宋体" w:hAnsi="宋体" w:eastAsia="宋体" w:cs="宋体"/>
                <w:color w:val="auto"/>
                <w:kern w:val="0"/>
                <w:sz w:val="16"/>
                <w:szCs w:val="16"/>
              </w:rPr>
              <w:t>平均虫口密度（头/叶)</w:t>
            </w:r>
          </w:p>
        </w:tc>
        <w:tc>
          <w:tcPr>
            <w:tcW w:w="72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auto"/>
                <w:kern w:val="0"/>
                <w:sz w:val="16"/>
                <w:szCs w:val="16"/>
              </w:rPr>
            </w:pPr>
            <w:r>
              <w:rPr>
                <w:rFonts w:hint="eastAsia" w:ascii="宋体" w:hAnsi="宋体" w:eastAsia="宋体" w:cs="宋体"/>
                <w:color w:val="auto"/>
                <w:kern w:val="0"/>
                <w:sz w:val="16"/>
                <w:szCs w:val="16"/>
              </w:rPr>
              <w:t>虫口减退率（%）</w:t>
            </w:r>
          </w:p>
        </w:tc>
        <w:tc>
          <w:tcPr>
            <w:tcW w:w="72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auto"/>
                <w:kern w:val="0"/>
                <w:sz w:val="16"/>
                <w:szCs w:val="16"/>
              </w:rPr>
            </w:pPr>
            <w:r>
              <w:rPr>
                <w:rFonts w:hint="eastAsia" w:ascii="宋体" w:hAnsi="宋体" w:eastAsia="宋体" w:cs="宋体"/>
                <w:color w:val="auto"/>
                <w:kern w:val="0"/>
                <w:sz w:val="16"/>
                <w:szCs w:val="16"/>
              </w:rPr>
              <w:t>相对防效（%）</w:t>
            </w:r>
          </w:p>
        </w:tc>
      </w:tr>
      <w:tr>
        <w:tblPrEx>
          <w:tblCellMar>
            <w:top w:w="0" w:type="dxa"/>
            <w:left w:w="108" w:type="dxa"/>
            <w:bottom w:w="0" w:type="dxa"/>
            <w:right w:w="108" w:type="dxa"/>
          </w:tblCellMar>
        </w:tblPrEx>
        <w:trPr>
          <w:trHeight w:val="465" w:hRule="atLeast"/>
        </w:trPr>
        <w:tc>
          <w:tcPr>
            <w:tcW w:w="19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16"/>
                <w:szCs w:val="16"/>
              </w:rPr>
            </w:pPr>
            <w:r>
              <w:rPr>
                <w:rFonts w:hint="eastAsia" w:ascii="宋体" w:hAnsi="宋体" w:eastAsia="宋体" w:cs="宋体"/>
                <w:color w:val="auto"/>
                <w:kern w:val="0"/>
                <w:sz w:val="16"/>
                <w:szCs w:val="16"/>
              </w:rPr>
              <w:t>CK</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33.60</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17.80</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47.02</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33.20</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1.19</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46.20</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xml:space="preserve">-37.50 </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p>
        </w:tc>
      </w:tr>
      <w:tr>
        <w:tblPrEx>
          <w:tblCellMar>
            <w:top w:w="0" w:type="dxa"/>
            <w:left w:w="108" w:type="dxa"/>
            <w:bottom w:w="0" w:type="dxa"/>
            <w:right w:w="108" w:type="dxa"/>
          </w:tblCellMar>
        </w:tblPrEx>
        <w:trPr>
          <w:trHeight w:val="465" w:hRule="atLeast"/>
        </w:trPr>
        <w:tc>
          <w:tcPr>
            <w:tcW w:w="19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16"/>
                <w:szCs w:val="16"/>
              </w:rPr>
            </w:pPr>
            <w:r>
              <w:rPr>
                <w:rFonts w:hint="eastAsia" w:ascii="宋体" w:hAnsi="宋体" w:eastAsia="宋体" w:cs="宋体"/>
                <w:color w:val="auto"/>
                <w:kern w:val="0"/>
                <w:sz w:val="16"/>
                <w:szCs w:val="16"/>
              </w:rPr>
              <w:t>40%乐果乳油1000倍</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22.40</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0.80</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96.43</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95.51</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5.00</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77.68</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84.94</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20.20</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9.82</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56.28</w:t>
            </w:r>
          </w:p>
        </w:tc>
      </w:tr>
      <w:tr>
        <w:tblPrEx>
          <w:tblCellMar>
            <w:top w:w="0" w:type="dxa"/>
            <w:left w:w="108" w:type="dxa"/>
            <w:bottom w:w="0" w:type="dxa"/>
            <w:right w:w="108" w:type="dxa"/>
          </w:tblCellMar>
        </w:tblPrEx>
        <w:trPr>
          <w:trHeight w:val="465" w:hRule="atLeast"/>
        </w:trPr>
        <w:tc>
          <w:tcPr>
            <w:tcW w:w="19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16"/>
                <w:szCs w:val="16"/>
              </w:rPr>
            </w:pPr>
            <w:r>
              <w:rPr>
                <w:rFonts w:hint="eastAsia" w:ascii="宋体" w:hAnsi="宋体" w:eastAsia="宋体" w:cs="宋体"/>
                <w:color w:val="auto"/>
                <w:kern w:val="0"/>
                <w:sz w:val="16"/>
                <w:szCs w:val="16"/>
              </w:rPr>
              <w:t>80%敌敌畏乳油1000倍</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27.60</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1.00</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96.38</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94.38</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5.20</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81.16</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84.34</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27.20</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1.45</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41.13</w:t>
            </w:r>
          </w:p>
        </w:tc>
      </w:tr>
      <w:tr>
        <w:tblPrEx>
          <w:tblCellMar>
            <w:top w:w="0" w:type="dxa"/>
            <w:left w:w="108" w:type="dxa"/>
            <w:bottom w:w="0" w:type="dxa"/>
            <w:right w:w="108" w:type="dxa"/>
          </w:tblCellMar>
        </w:tblPrEx>
        <w:trPr>
          <w:trHeight w:val="465" w:hRule="atLeast"/>
        </w:trPr>
        <w:tc>
          <w:tcPr>
            <w:tcW w:w="19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16"/>
                <w:szCs w:val="16"/>
              </w:rPr>
            </w:pPr>
            <w:r>
              <w:rPr>
                <w:rFonts w:hint="eastAsia" w:ascii="宋体" w:hAnsi="宋体" w:eastAsia="宋体" w:cs="宋体"/>
                <w:color w:val="auto"/>
                <w:kern w:val="0"/>
                <w:sz w:val="16"/>
                <w:szCs w:val="16"/>
              </w:rPr>
              <w:t>乐果+敌敌畏各1000倍</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26.40</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0.80</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96.97</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95.51</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0.60</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97.73</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98.19</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25.80</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2.27</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44.16</w:t>
            </w:r>
          </w:p>
        </w:tc>
      </w:tr>
      <w:tr>
        <w:tblPrEx>
          <w:tblCellMar>
            <w:top w:w="0" w:type="dxa"/>
            <w:left w:w="108" w:type="dxa"/>
            <w:bottom w:w="0" w:type="dxa"/>
            <w:right w:w="108" w:type="dxa"/>
          </w:tblCellMar>
        </w:tblPrEx>
        <w:trPr>
          <w:trHeight w:val="465" w:hRule="atLeast"/>
        </w:trPr>
        <w:tc>
          <w:tcPr>
            <w:tcW w:w="19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16"/>
                <w:szCs w:val="16"/>
              </w:rPr>
            </w:pPr>
            <w:r>
              <w:rPr>
                <w:rFonts w:hint="eastAsia" w:ascii="宋体" w:hAnsi="宋体" w:eastAsia="宋体" w:cs="宋体"/>
                <w:color w:val="auto"/>
                <w:kern w:val="0"/>
                <w:sz w:val="16"/>
                <w:szCs w:val="16"/>
              </w:rPr>
              <w:t>万灵3000倍</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31.80</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0.80</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97.48</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95.51</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0.20</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99.37</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99.40</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3.60</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88.68</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92.21</w:t>
            </w:r>
          </w:p>
        </w:tc>
      </w:tr>
      <w:tr>
        <w:tblPrEx>
          <w:tblCellMar>
            <w:top w:w="0" w:type="dxa"/>
            <w:left w:w="108" w:type="dxa"/>
            <w:bottom w:w="0" w:type="dxa"/>
            <w:right w:w="108" w:type="dxa"/>
          </w:tblCellMar>
        </w:tblPrEx>
        <w:trPr>
          <w:trHeight w:val="465" w:hRule="atLeast"/>
        </w:trPr>
        <w:tc>
          <w:tcPr>
            <w:tcW w:w="19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16"/>
                <w:szCs w:val="16"/>
              </w:rPr>
            </w:pPr>
            <w:r>
              <w:rPr>
                <w:rFonts w:hint="eastAsia" w:ascii="宋体" w:hAnsi="宋体" w:eastAsia="宋体" w:cs="宋体"/>
                <w:color w:val="auto"/>
                <w:kern w:val="0"/>
                <w:sz w:val="16"/>
                <w:szCs w:val="16"/>
              </w:rPr>
              <w:t>40%毒死蜱乳油2000倍</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27.00</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0.00</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100.00</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100.00</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0.00</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100.00</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100.00</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2.40</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91.11</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94.81</w:t>
            </w:r>
          </w:p>
        </w:tc>
      </w:tr>
      <w:tr>
        <w:tblPrEx>
          <w:tblCellMar>
            <w:top w:w="0" w:type="dxa"/>
            <w:left w:w="108" w:type="dxa"/>
            <w:bottom w:w="0" w:type="dxa"/>
            <w:right w:w="108" w:type="dxa"/>
          </w:tblCellMar>
        </w:tblPrEx>
        <w:trPr>
          <w:trHeight w:val="465" w:hRule="atLeast"/>
        </w:trPr>
        <w:tc>
          <w:tcPr>
            <w:tcW w:w="19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16"/>
                <w:szCs w:val="16"/>
              </w:rPr>
            </w:pPr>
            <w:r>
              <w:rPr>
                <w:rFonts w:hint="eastAsia" w:ascii="宋体" w:hAnsi="宋体" w:eastAsia="宋体" w:cs="宋体"/>
                <w:color w:val="auto"/>
                <w:kern w:val="0"/>
                <w:sz w:val="16"/>
                <w:szCs w:val="16"/>
              </w:rPr>
              <w:t>50%辛硫磷1000倍</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40.80</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0.40</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99.02</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97.75</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4.00</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90.20</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87.95</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26.80</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34.31</w:t>
            </w:r>
          </w:p>
        </w:tc>
        <w:tc>
          <w:tcPr>
            <w:tcW w:w="720" w:type="dxa"/>
            <w:tcBorders>
              <w:top w:val="nil"/>
              <w:left w:val="nil"/>
              <w:bottom w:val="nil"/>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41.99</w:t>
            </w:r>
          </w:p>
        </w:tc>
      </w:tr>
      <w:tr>
        <w:tblPrEx>
          <w:tblCellMar>
            <w:top w:w="0" w:type="dxa"/>
            <w:left w:w="108" w:type="dxa"/>
            <w:bottom w:w="0" w:type="dxa"/>
            <w:right w:w="108" w:type="dxa"/>
          </w:tblCellMar>
        </w:tblPrEx>
        <w:trPr>
          <w:trHeight w:val="465" w:hRule="atLeast"/>
        </w:trPr>
        <w:tc>
          <w:tcPr>
            <w:tcW w:w="192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auto"/>
                <w:kern w:val="0"/>
                <w:sz w:val="16"/>
                <w:szCs w:val="16"/>
              </w:rPr>
            </w:pPr>
            <w:r>
              <w:rPr>
                <w:rFonts w:hint="eastAsia" w:ascii="宋体" w:hAnsi="宋体" w:eastAsia="宋体" w:cs="宋体"/>
                <w:color w:val="auto"/>
                <w:kern w:val="0"/>
                <w:sz w:val="16"/>
                <w:szCs w:val="16"/>
              </w:rPr>
              <w:t>50%桑虫6净乳油1000倍</w:t>
            </w:r>
          </w:p>
        </w:tc>
        <w:tc>
          <w:tcPr>
            <w:tcW w:w="72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61.80</w:t>
            </w:r>
          </w:p>
        </w:tc>
        <w:tc>
          <w:tcPr>
            <w:tcW w:w="72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1.40</w:t>
            </w:r>
          </w:p>
        </w:tc>
        <w:tc>
          <w:tcPr>
            <w:tcW w:w="72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97.73</w:t>
            </w:r>
          </w:p>
        </w:tc>
        <w:tc>
          <w:tcPr>
            <w:tcW w:w="72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92.13</w:t>
            </w:r>
          </w:p>
        </w:tc>
        <w:tc>
          <w:tcPr>
            <w:tcW w:w="72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15.20</w:t>
            </w:r>
          </w:p>
        </w:tc>
        <w:tc>
          <w:tcPr>
            <w:tcW w:w="72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75.40</w:t>
            </w:r>
          </w:p>
        </w:tc>
        <w:tc>
          <w:tcPr>
            <w:tcW w:w="72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54.22</w:t>
            </w:r>
          </w:p>
        </w:tc>
        <w:tc>
          <w:tcPr>
            <w:tcW w:w="72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19.40</w:t>
            </w:r>
          </w:p>
        </w:tc>
        <w:tc>
          <w:tcPr>
            <w:tcW w:w="72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68.61</w:t>
            </w:r>
          </w:p>
        </w:tc>
        <w:tc>
          <w:tcPr>
            <w:tcW w:w="72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58.01</w:t>
            </w:r>
          </w:p>
        </w:tc>
      </w:tr>
    </w:tbl>
    <w:p>
      <w:pPr>
        <w:spacing w:line="360" w:lineRule="auto"/>
        <w:rPr>
          <w:rFonts w:ascii="宋体" w:hAnsi="宋体" w:eastAsia="宋体" w:cs="仿宋_GB2312"/>
          <w:b/>
          <w:color w:val="auto"/>
          <w:sz w:val="28"/>
          <w:szCs w:val="28"/>
        </w:rPr>
      </w:pPr>
      <w:r>
        <w:rPr>
          <w:rFonts w:hint="eastAsia" w:ascii="宋体" w:hAnsi="宋体" w:eastAsia="宋体" w:cs="仿宋_GB2312"/>
          <w:b/>
          <w:color w:val="auto"/>
          <w:sz w:val="28"/>
          <w:szCs w:val="28"/>
        </w:rPr>
        <w:t>5  与国内外标准同类标准情况简要说明及创新点</w:t>
      </w:r>
    </w:p>
    <w:p>
      <w:pPr>
        <w:spacing w:line="360" w:lineRule="auto"/>
        <w:rPr>
          <w:rFonts w:ascii="宋体" w:hAnsi="宋体" w:eastAsia="宋体" w:cs="宋体"/>
          <w:b/>
          <w:bCs/>
          <w:color w:val="auto"/>
          <w:sz w:val="28"/>
          <w:szCs w:val="28"/>
        </w:rPr>
      </w:pPr>
      <w:r>
        <w:rPr>
          <w:rFonts w:hint="eastAsia" w:ascii="宋体" w:hAnsi="宋体" w:eastAsia="宋体" w:cs="宋体"/>
          <w:b/>
          <w:bCs/>
          <w:color w:val="auto"/>
          <w:sz w:val="28"/>
          <w:szCs w:val="28"/>
        </w:rPr>
        <w:t xml:space="preserve">5.1 </w:t>
      </w:r>
      <w:r>
        <w:rPr>
          <w:rFonts w:hint="eastAsia" w:ascii="宋体" w:hAnsi="宋体" w:eastAsia="宋体" w:cs="仿宋_GB2312"/>
          <w:b/>
          <w:color w:val="auto"/>
          <w:sz w:val="28"/>
          <w:szCs w:val="28"/>
        </w:rPr>
        <w:t>国内外标准同类标准情况简要说明</w:t>
      </w:r>
    </w:p>
    <w:p>
      <w:pPr>
        <w:spacing w:line="360" w:lineRule="auto"/>
        <w:ind w:firstLine="560" w:firstLineChars="200"/>
        <w:rPr>
          <w:rFonts w:ascii="宋体" w:hAnsi="宋体" w:eastAsia="宋体" w:cs="宋体"/>
          <w:bCs/>
          <w:color w:val="auto"/>
          <w:sz w:val="28"/>
          <w:szCs w:val="28"/>
        </w:rPr>
      </w:pPr>
      <w:r>
        <w:rPr>
          <w:rFonts w:hint="eastAsia" w:ascii="宋体" w:hAnsi="宋体" w:eastAsia="宋体" w:cs="宋体"/>
          <w:bCs/>
          <w:color w:val="auto"/>
          <w:sz w:val="28"/>
          <w:szCs w:val="28"/>
        </w:rPr>
        <w:t>国内查询到的桑树病虫害同类防治技术规程如下： DB45/T 433-2007  《桑树主要病虫害综合防治技术规程》、DB32/T 355-2007 《 桑树病虫害防治技术规程》、DB45/T 86-2003  《 桑树栽培管理技术规程》、 DB3205/T 077-2004《桑树病虫害生态防治技术规程》 、DB41/T 2359-2022 《桑园主要病虫害防控技术规程》、T/FSXSC 02-2019 《桑树病虫害防治技术规程》、DB37/T 2608-2014 《桑树病虫害防治规范》、DB61/T 388.4-2007《桑树病虫害防治技术规程》等共8个。其中6个规程只是点到或未涉及相关内容，均未充分展开相关害虫的防治规范，与本规程比较相关的规程有两个，分别比对后区别如下：</w:t>
      </w:r>
    </w:p>
    <w:p>
      <w:pPr>
        <w:spacing w:line="360" w:lineRule="auto"/>
        <w:ind w:firstLine="560" w:firstLineChars="200"/>
        <w:rPr>
          <w:rFonts w:ascii="宋体" w:hAnsi="宋体" w:eastAsia="宋体" w:cs="宋体"/>
          <w:bCs/>
          <w:color w:val="auto"/>
          <w:sz w:val="28"/>
          <w:szCs w:val="28"/>
        </w:rPr>
      </w:pPr>
      <w:r>
        <w:rPr>
          <w:rFonts w:hint="eastAsia" w:ascii="宋体" w:hAnsi="宋体" w:eastAsia="宋体" w:cs="宋体"/>
          <w:bCs/>
          <w:color w:val="auto"/>
          <w:sz w:val="28"/>
          <w:szCs w:val="28"/>
        </w:rPr>
        <w:t>《DB37/T 2608-2014 桑树病虫害防治规范》主要根据山东的地理气候条件等制定的桑树多种病虫害防治规范，不具备代表广西特殊种养模式下桑蓟马的发生动态和防控措施；而此规程主要针对广西的地理气候、桑树栽培方式编制，对桑蓟马农业防治、物理防治、化学防治提出了较为详细的方法，对广西桑蓟马的防控更有针对性。</w:t>
      </w:r>
    </w:p>
    <w:p>
      <w:pPr>
        <w:spacing w:line="360" w:lineRule="auto"/>
        <w:ind w:firstLine="560" w:firstLineChars="200"/>
        <w:rPr>
          <w:rFonts w:ascii="宋体" w:hAnsi="宋体" w:eastAsia="宋体" w:cs="宋体"/>
          <w:bCs/>
          <w:color w:val="auto"/>
          <w:sz w:val="28"/>
          <w:szCs w:val="28"/>
        </w:rPr>
      </w:pPr>
      <w:r>
        <w:rPr>
          <w:rFonts w:hint="eastAsia" w:ascii="宋体" w:hAnsi="宋体" w:eastAsia="宋体" w:cs="宋体"/>
          <w:bCs/>
          <w:color w:val="auto"/>
          <w:sz w:val="28"/>
          <w:szCs w:val="28"/>
        </w:rPr>
        <w:t>《DB45/T 433-2007 桑树主要病虫害综合防治技术规程》主要是对桑树主要病虫害编制的综合防治技术规程，以表格的形式综合概述主要病虫的化学防治和常用农药，均未针对本地区特殊种养模式下桑蓟马的虫情监测方法、严重度区分和具体防治方法等信息；而此规程具有针对性具体编制了桑蓟马的虫情监测策略、虫情危害分级标准及具体的防治技术措施，具有很强的指导性。</w:t>
      </w:r>
    </w:p>
    <w:p>
      <w:pPr>
        <w:spacing w:line="360" w:lineRule="auto"/>
        <w:ind w:firstLine="422" w:firstLineChars="150"/>
        <w:rPr>
          <w:rFonts w:ascii="宋体" w:hAnsi="宋体" w:eastAsia="宋体" w:cs="仿宋_GB2312"/>
          <w:b/>
          <w:color w:val="auto"/>
          <w:sz w:val="28"/>
          <w:szCs w:val="28"/>
        </w:rPr>
      </w:pPr>
      <w:r>
        <w:rPr>
          <w:rFonts w:hint="eastAsia" w:ascii="宋体" w:hAnsi="宋体" w:eastAsia="宋体" w:cs="仿宋_GB2312"/>
          <w:b/>
          <w:color w:val="auto"/>
          <w:sz w:val="28"/>
          <w:szCs w:val="28"/>
        </w:rPr>
        <w:t>5.2  创新点</w:t>
      </w:r>
    </w:p>
    <w:p>
      <w:pPr>
        <w:spacing w:line="360" w:lineRule="auto"/>
        <w:ind w:firstLine="560" w:firstLineChars="200"/>
        <w:rPr>
          <w:rFonts w:ascii="宋体" w:hAnsi="宋体" w:eastAsia="宋体" w:cs="宋体"/>
          <w:bCs/>
          <w:color w:val="auto"/>
          <w:sz w:val="28"/>
          <w:szCs w:val="28"/>
        </w:rPr>
      </w:pPr>
      <w:r>
        <w:rPr>
          <w:rFonts w:hint="eastAsia" w:ascii="宋体" w:hAnsi="宋体" w:eastAsia="宋体" w:cs="宋体"/>
          <w:bCs/>
          <w:color w:val="auto"/>
          <w:sz w:val="28"/>
          <w:szCs w:val="28"/>
        </w:rPr>
        <w:t>本规程的创新点在于主要针对广西桑园栽培模式、气候特点和桑蓟马发生危害特点而编制的防治技术规程。由于各地区气候条件等因素的差异，桑蓟马发生规律不尽相同，调查时间及方法存在差异，而防治方法也由于各地的桑树栽培模式和养蚕模式而略有差异。因此，本规程结合本地区桑蓟马的发生特点和危害习性提出桑蓟马的监测方法和防治措施，具有很强的针对性和可操作性，对桑蓟马的有效防控具有重要意义。</w:t>
      </w:r>
    </w:p>
    <w:p>
      <w:pPr>
        <w:rPr>
          <w:rFonts w:ascii="宋体" w:hAnsi="宋体" w:eastAsia="宋体" w:cs="仿宋_GB2312"/>
          <w:b/>
          <w:color w:val="auto"/>
          <w:sz w:val="28"/>
          <w:szCs w:val="28"/>
        </w:rPr>
      </w:pPr>
      <w:r>
        <w:rPr>
          <w:rFonts w:hint="eastAsia" w:ascii="宋体" w:hAnsi="宋体" w:eastAsia="宋体" w:cs="仿宋_GB2312"/>
          <w:b/>
          <w:color w:val="auto"/>
          <w:sz w:val="28"/>
          <w:szCs w:val="28"/>
        </w:rPr>
        <w:t xml:space="preserve">6  </w:t>
      </w:r>
      <w:r>
        <w:rPr>
          <w:rFonts w:hint="eastAsia" w:ascii="宋体" w:hAnsi="宋体" w:cs="宋体"/>
          <w:b/>
          <w:color w:val="auto"/>
          <w:sz w:val="28"/>
          <w:szCs w:val="28"/>
        </w:rPr>
        <w:t>与现行法律和强制性标准的关系</w:t>
      </w:r>
    </w:p>
    <w:p>
      <w:pPr>
        <w:spacing w:line="360" w:lineRule="auto"/>
        <w:ind w:firstLine="560" w:firstLineChars="200"/>
        <w:rPr>
          <w:rFonts w:ascii="宋体" w:hAnsi="宋体" w:eastAsia="宋体" w:cs="宋体"/>
          <w:bCs/>
          <w:color w:val="auto"/>
          <w:sz w:val="28"/>
          <w:szCs w:val="28"/>
        </w:rPr>
      </w:pPr>
      <w:r>
        <w:rPr>
          <w:rFonts w:hint="eastAsia" w:ascii="宋体" w:hAnsi="宋体" w:eastAsia="宋体" w:cs="宋体"/>
          <w:bCs/>
          <w:color w:val="auto"/>
          <w:sz w:val="28"/>
          <w:szCs w:val="28"/>
        </w:rPr>
        <w:t>本标准的内容与现行的法律、法规及强制性标准无冲突。</w:t>
      </w:r>
    </w:p>
    <w:p>
      <w:pPr>
        <w:rPr>
          <w:rFonts w:ascii="宋体" w:hAnsi="宋体" w:eastAsia="宋体"/>
          <w:b/>
          <w:color w:val="auto"/>
          <w:sz w:val="28"/>
          <w:szCs w:val="28"/>
        </w:rPr>
      </w:pPr>
      <w:r>
        <w:rPr>
          <w:rFonts w:hint="eastAsia" w:ascii="宋体" w:hAnsi="宋体" w:eastAsia="宋体"/>
          <w:b/>
          <w:color w:val="auto"/>
          <w:sz w:val="28"/>
          <w:szCs w:val="28"/>
        </w:rPr>
        <w:t>7  自我承诺</w:t>
      </w:r>
    </w:p>
    <w:p>
      <w:pPr>
        <w:rPr>
          <w:rFonts w:ascii="宋体" w:hAnsi="宋体" w:eastAsia="宋体"/>
          <w:b/>
          <w:color w:val="auto"/>
          <w:sz w:val="28"/>
          <w:szCs w:val="28"/>
        </w:rPr>
      </w:pPr>
      <w:r>
        <w:rPr>
          <w:rFonts w:hint="eastAsia" w:ascii="宋体" w:hAnsi="宋体" w:eastAsia="宋体"/>
          <w:b/>
          <w:color w:val="auto"/>
          <w:sz w:val="28"/>
          <w:szCs w:val="28"/>
        </w:rPr>
        <w:t xml:space="preserve">   承诺标准内容和各项指标不低于国家强制性标准。</w:t>
      </w:r>
    </w:p>
    <w:p>
      <w:pPr>
        <w:spacing w:line="560" w:lineRule="exact"/>
        <w:ind w:right="280" w:firstLine="560" w:firstLineChars="200"/>
        <w:jc w:val="right"/>
        <w:rPr>
          <w:rFonts w:ascii="宋体" w:hAnsi="宋体" w:eastAsia="宋体" w:cs="宋体"/>
          <w:bCs/>
          <w:color w:val="auto"/>
          <w:sz w:val="28"/>
          <w:szCs w:val="28"/>
        </w:rPr>
      </w:pPr>
    </w:p>
    <w:p>
      <w:pPr>
        <w:spacing w:line="560" w:lineRule="exact"/>
        <w:ind w:right="280" w:firstLine="560" w:firstLineChars="200"/>
        <w:jc w:val="right"/>
        <w:rPr>
          <w:rFonts w:ascii="宋体" w:hAnsi="宋体" w:eastAsia="宋体" w:cs="宋体"/>
          <w:bCs/>
          <w:color w:val="auto"/>
          <w:sz w:val="28"/>
          <w:szCs w:val="28"/>
        </w:rPr>
      </w:pPr>
    </w:p>
    <w:p>
      <w:pPr>
        <w:spacing w:line="560" w:lineRule="exact"/>
        <w:ind w:firstLine="560" w:firstLineChars="200"/>
        <w:jc w:val="right"/>
        <w:rPr>
          <w:rFonts w:ascii="宋体" w:hAnsi="宋体" w:eastAsia="宋体" w:cs="宋体"/>
          <w:bCs/>
          <w:color w:val="auto"/>
          <w:sz w:val="28"/>
          <w:szCs w:val="28"/>
        </w:rPr>
      </w:pPr>
      <w:r>
        <w:rPr>
          <w:rFonts w:hint="eastAsia" w:ascii="宋体" w:hAnsi="宋体" w:eastAsia="宋体" w:cs="宋体"/>
          <w:bCs/>
          <w:color w:val="auto"/>
          <w:sz w:val="28"/>
          <w:szCs w:val="28"/>
        </w:rPr>
        <w:t xml:space="preserve">  《桑蓟马防治技术规程》编制工作组</w:t>
      </w:r>
    </w:p>
    <w:p>
      <w:pPr>
        <w:spacing w:line="560" w:lineRule="exact"/>
        <w:ind w:firstLine="5320" w:firstLineChars="1900"/>
        <w:rPr>
          <w:rFonts w:ascii="宋体" w:hAnsi="宋体" w:eastAsia="宋体" w:cs="宋体"/>
          <w:bCs/>
          <w:color w:val="auto"/>
          <w:sz w:val="28"/>
          <w:szCs w:val="28"/>
        </w:rPr>
      </w:pPr>
      <w:r>
        <w:rPr>
          <w:rFonts w:hint="eastAsia" w:ascii="宋体" w:hAnsi="宋体" w:eastAsia="宋体" w:cs="宋体"/>
          <w:bCs/>
          <w:color w:val="auto"/>
          <w:sz w:val="28"/>
          <w:szCs w:val="28"/>
        </w:rPr>
        <w:t>20</w:t>
      </w:r>
      <w:r>
        <w:rPr>
          <w:rFonts w:ascii="宋体" w:hAnsi="宋体" w:eastAsia="宋体" w:cs="宋体"/>
          <w:bCs/>
          <w:color w:val="auto"/>
          <w:sz w:val="28"/>
          <w:szCs w:val="28"/>
        </w:rPr>
        <w:t>2</w:t>
      </w:r>
      <w:r>
        <w:rPr>
          <w:rFonts w:hint="eastAsia" w:ascii="宋体" w:hAnsi="宋体" w:eastAsia="宋体" w:cs="宋体"/>
          <w:bCs/>
          <w:color w:val="auto"/>
          <w:sz w:val="28"/>
          <w:szCs w:val="28"/>
        </w:rPr>
        <w:t>2年12月20日</w:t>
      </w:r>
    </w:p>
    <w:p>
      <w:pPr>
        <w:ind w:firstLine="560" w:firstLineChars="200"/>
        <w:rPr>
          <w:rFonts w:ascii="宋体" w:hAnsi="宋体" w:eastAsia="宋体" w:cs="宋体"/>
          <w:bCs/>
          <w:color w:val="auto"/>
          <w:sz w:val="28"/>
          <w:szCs w:val="28"/>
        </w:rPr>
      </w:pPr>
    </w:p>
    <w:p>
      <w:pPr>
        <w:ind w:firstLine="560" w:firstLineChars="200"/>
        <w:rPr>
          <w:rFonts w:ascii="宋体" w:hAnsi="宋体" w:eastAsia="宋体" w:cs="宋体"/>
          <w:bCs/>
          <w:color w:val="auto"/>
          <w:sz w:val="28"/>
          <w:szCs w:val="28"/>
        </w:rPr>
      </w:pPr>
    </w:p>
    <w:p>
      <w:pPr>
        <w:ind w:firstLine="560" w:firstLineChars="200"/>
        <w:rPr>
          <w:rFonts w:ascii="宋体" w:hAnsi="宋体" w:eastAsia="宋体" w:cs="宋体"/>
          <w:bCs/>
          <w:color w:val="auto"/>
          <w:sz w:val="28"/>
          <w:szCs w:val="28"/>
        </w:rPr>
      </w:pPr>
    </w:p>
    <w:sectPr>
      <w:footerReference r:id="rId3" w:type="default"/>
      <w:pgSz w:w="11906" w:h="16838"/>
      <w:pgMar w:top="1440" w:right="1519" w:bottom="1383"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fldChar w:fldCharType="begin"/>
                </w:r>
                <w:r>
                  <w:instrText xml:space="preserve"> PAGE  \* MERGEFORMAT </w:instrText>
                </w:r>
                <w:r>
                  <w:fldChar w:fldCharType="separate"/>
                </w:r>
                <w:r>
                  <w:t>4</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pStyle w:val="18"/>
      <w:suff w:val="nothing"/>
      <w:lvlText w:val="%1"/>
      <w:lvlJc w:val="left"/>
      <w:pPr>
        <w:ind w:left="0" w:firstLine="0"/>
      </w:pPr>
      <w:rPr>
        <w:rFonts w:hint="eastAsia"/>
      </w:rPr>
    </w:lvl>
    <w:lvl w:ilvl="1" w:tentative="0">
      <w:start w:val="1"/>
      <w:numFmt w:val="decimal"/>
      <w:pStyle w:val="16"/>
      <w:suff w:val="nothing"/>
      <w:lvlText w:val="%1%2　"/>
      <w:lvlJc w:val="left"/>
      <w:pPr>
        <w:ind w:left="0" w:firstLine="0"/>
      </w:pPr>
      <w:rPr>
        <w:rFonts w:hint="eastAsia" w:ascii="黑体" w:eastAsia="黑体"/>
        <w:b w:val="0"/>
        <w:i w:val="0"/>
        <w:sz w:val="21"/>
      </w:rPr>
    </w:lvl>
    <w:lvl w:ilvl="2" w:tentative="0">
      <w:start w:val="1"/>
      <w:numFmt w:val="decimal"/>
      <w:pStyle w:val="1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12"/>
      <w:suff w:val="nothing"/>
      <w:lvlText w:val="%1%2.%3.%4　"/>
      <w:lvlJc w:val="left"/>
      <w:pPr>
        <w:ind w:left="1134" w:firstLine="0"/>
      </w:pPr>
      <w:rPr>
        <w:rFonts w:hint="eastAsia" w:ascii="黑体" w:eastAsia="黑体"/>
        <w:b w:val="0"/>
        <w:i w:val="0"/>
        <w:sz w:val="21"/>
      </w:rPr>
    </w:lvl>
    <w:lvl w:ilvl="4" w:tentative="0">
      <w:start w:val="1"/>
      <w:numFmt w:val="decimal"/>
      <w:pStyle w:val="13"/>
      <w:suff w:val="nothing"/>
      <w:lvlText w:val="%1%2.%3.%4.%5　"/>
      <w:lvlJc w:val="left"/>
      <w:pPr>
        <w:ind w:left="0" w:firstLine="0"/>
      </w:pPr>
      <w:rPr>
        <w:rFonts w:hint="eastAsia" w:ascii="黑体" w:eastAsia="黑体"/>
        <w:b w:val="0"/>
        <w:i w:val="0"/>
        <w:sz w:val="21"/>
      </w:rPr>
    </w:lvl>
    <w:lvl w:ilvl="5" w:tentative="0">
      <w:start w:val="1"/>
      <w:numFmt w:val="decimal"/>
      <w:pStyle w:val="14"/>
      <w:suff w:val="nothing"/>
      <w:lvlText w:val="%1%2.%3.%4.%5.%6　"/>
      <w:lvlJc w:val="left"/>
      <w:pPr>
        <w:ind w:left="0" w:firstLine="0"/>
      </w:pPr>
      <w:rPr>
        <w:rFonts w:hint="eastAsia" w:ascii="黑体" w:eastAsia="黑体"/>
        <w:b w:val="0"/>
        <w:i w:val="0"/>
        <w:sz w:val="21"/>
      </w:rPr>
    </w:lvl>
    <w:lvl w:ilvl="6" w:tentative="0">
      <w:start w:val="1"/>
      <w:numFmt w:val="decimal"/>
      <w:pStyle w:val="1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jcwMzBhNDA5MWZkNjNjNjFjNmFkMDk0MGQ5YjMxZTYifQ=="/>
  </w:docVars>
  <w:rsids>
    <w:rsidRoot w:val="00170AAC"/>
    <w:rsid w:val="00001490"/>
    <w:rsid w:val="000029C6"/>
    <w:rsid w:val="00002CFF"/>
    <w:rsid w:val="00011DC3"/>
    <w:rsid w:val="00040C3A"/>
    <w:rsid w:val="0009579F"/>
    <w:rsid w:val="000A4CF9"/>
    <w:rsid w:val="000A696A"/>
    <w:rsid w:val="000B2142"/>
    <w:rsid w:val="000D79D9"/>
    <w:rsid w:val="000E5ADC"/>
    <w:rsid w:val="000E7BE5"/>
    <w:rsid w:val="00115A57"/>
    <w:rsid w:val="0011632B"/>
    <w:rsid w:val="00121F5F"/>
    <w:rsid w:val="001332D4"/>
    <w:rsid w:val="00134395"/>
    <w:rsid w:val="00137C91"/>
    <w:rsid w:val="001437BE"/>
    <w:rsid w:val="00155BF6"/>
    <w:rsid w:val="001579A4"/>
    <w:rsid w:val="00170AAC"/>
    <w:rsid w:val="001A170A"/>
    <w:rsid w:val="001B10DB"/>
    <w:rsid w:val="001B666C"/>
    <w:rsid w:val="001F0C72"/>
    <w:rsid w:val="001F6302"/>
    <w:rsid w:val="00206E1B"/>
    <w:rsid w:val="00207323"/>
    <w:rsid w:val="00215A88"/>
    <w:rsid w:val="002200EB"/>
    <w:rsid w:val="00231FE5"/>
    <w:rsid w:val="002843A9"/>
    <w:rsid w:val="002A277D"/>
    <w:rsid w:val="002E6866"/>
    <w:rsid w:val="003137B3"/>
    <w:rsid w:val="00326F15"/>
    <w:rsid w:val="00331D83"/>
    <w:rsid w:val="003424FF"/>
    <w:rsid w:val="003539CC"/>
    <w:rsid w:val="00372BDB"/>
    <w:rsid w:val="003977F5"/>
    <w:rsid w:val="003E0C20"/>
    <w:rsid w:val="00412446"/>
    <w:rsid w:val="0042010A"/>
    <w:rsid w:val="00440018"/>
    <w:rsid w:val="00442324"/>
    <w:rsid w:val="004550AF"/>
    <w:rsid w:val="00455283"/>
    <w:rsid w:val="00463A36"/>
    <w:rsid w:val="00477FFC"/>
    <w:rsid w:val="004836B2"/>
    <w:rsid w:val="004A72B4"/>
    <w:rsid w:val="004B4226"/>
    <w:rsid w:val="004C024F"/>
    <w:rsid w:val="004C1822"/>
    <w:rsid w:val="004C3784"/>
    <w:rsid w:val="004C5EFF"/>
    <w:rsid w:val="00522858"/>
    <w:rsid w:val="00523A40"/>
    <w:rsid w:val="0052632C"/>
    <w:rsid w:val="00540554"/>
    <w:rsid w:val="00547759"/>
    <w:rsid w:val="005760D6"/>
    <w:rsid w:val="005808F9"/>
    <w:rsid w:val="0059777F"/>
    <w:rsid w:val="005C506C"/>
    <w:rsid w:val="005C5B4B"/>
    <w:rsid w:val="005C6564"/>
    <w:rsid w:val="005E230B"/>
    <w:rsid w:val="005F128B"/>
    <w:rsid w:val="005F4D2D"/>
    <w:rsid w:val="006051D1"/>
    <w:rsid w:val="006208E4"/>
    <w:rsid w:val="006247D9"/>
    <w:rsid w:val="00624A8C"/>
    <w:rsid w:val="00660D62"/>
    <w:rsid w:val="006651AF"/>
    <w:rsid w:val="00670813"/>
    <w:rsid w:val="00676049"/>
    <w:rsid w:val="006C41D8"/>
    <w:rsid w:val="0072341B"/>
    <w:rsid w:val="007250F0"/>
    <w:rsid w:val="0073482C"/>
    <w:rsid w:val="00750410"/>
    <w:rsid w:val="00761DF3"/>
    <w:rsid w:val="00784EC7"/>
    <w:rsid w:val="007A4CD3"/>
    <w:rsid w:val="007E22BE"/>
    <w:rsid w:val="007F1F59"/>
    <w:rsid w:val="00825AF6"/>
    <w:rsid w:val="00840242"/>
    <w:rsid w:val="008657AC"/>
    <w:rsid w:val="00872298"/>
    <w:rsid w:val="00890971"/>
    <w:rsid w:val="00894352"/>
    <w:rsid w:val="008A1B5F"/>
    <w:rsid w:val="008A26AF"/>
    <w:rsid w:val="008C3489"/>
    <w:rsid w:val="008E0922"/>
    <w:rsid w:val="008F6812"/>
    <w:rsid w:val="00905396"/>
    <w:rsid w:val="0090666D"/>
    <w:rsid w:val="009350C0"/>
    <w:rsid w:val="00943B79"/>
    <w:rsid w:val="00947D40"/>
    <w:rsid w:val="00951438"/>
    <w:rsid w:val="00957862"/>
    <w:rsid w:val="00963744"/>
    <w:rsid w:val="00977288"/>
    <w:rsid w:val="009815E8"/>
    <w:rsid w:val="00982E7A"/>
    <w:rsid w:val="009B686F"/>
    <w:rsid w:val="009D5BA3"/>
    <w:rsid w:val="009F719E"/>
    <w:rsid w:val="00A2526D"/>
    <w:rsid w:val="00A36BF7"/>
    <w:rsid w:val="00A97571"/>
    <w:rsid w:val="00AB0695"/>
    <w:rsid w:val="00AB0856"/>
    <w:rsid w:val="00AD1D9E"/>
    <w:rsid w:val="00AD3A07"/>
    <w:rsid w:val="00AD6724"/>
    <w:rsid w:val="00B24FBE"/>
    <w:rsid w:val="00B53DBF"/>
    <w:rsid w:val="00B70C2A"/>
    <w:rsid w:val="00B907C3"/>
    <w:rsid w:val="00BC17A7"/>
    <w:rsid w:val="00BD4415"/>
    <w:rsid w:val="00BD5D09"/>
    <w:rsid w:val="00BD5F44"/>
    <w:rsid w:val="00BE7C0B"/>
    <w:rsid w:val="00BF0115"/>
    <w:rsid w:val="00C61404"/>
    <w:rsid w:val="00C63348"/>
    <w:rsid w:val="00C662C9"/>
    <w:rsid w:val="00C81F64"/>
    <w:rsid w:val="00C862C8"/>
    <w:rsid w:val="00CB5477"/>
    <w:rsid w:val="00CB68A3"/>
    <w:rsid w:val="00CC0645"/>
    <w:rsid w:val="00CC57E5"/>
    <w:rsid w:val="00CE7DB2"/>
    <w:rsid w:val="00D13AB6"/>
    <w:rsid w:val="00D4272A"/>
    <w:rsid w:val="00D44F6A"/>
    <w:rsid w:val="00D82F01"/>
    <w:rsid w:val="00D90475"/>
    <w:rsid w:val="00E125E8"/>
    <w:rsid w:val="00E17220"/>
    <w:rsid w:val="00E53163"/>
    <w:rsid w:val="00E82D6B"/>
    <w:rsid w:val="00EA1631"/>
    <w:rsid w:val="00EF129B"/>
    <w:rsid w:val="00F12B70"/>
    <w:rsid w:val="00F12C34"/>
    <w:rsid w:val="00F23782"/>
    <w:rsid w:val="00F75128"/>
    <w:rsid w:val="00F96475"/>
    <w:rsid w:val="00FD204D"/>
    <w:rsid w:val="020C4C12"/>
    <w:rsid w:val="14994CA5"/>
    <w:rsid w:val="1A846F04"/>
    <w:rsid w:val="29420730"/>
    <w:rsid w:val="37096F3D"/>
    <w:rsid w:val="3732114A"/>
    <w:rsid w:val="454D5693"/>
    <w:rsid w:val="67A225C4"/>
    <w:rsid w:val="6D2E177B"/>
    <w:rsid w:val="7F9A0AE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5"/>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BodyText2"/>
    <w:basedOn w:val="1"/>
    <w:qFormat/>
    <w:uiPriority w:val="0"/>
    <w:pPr>
      <w:spacing w:after="120" w:line="480" w:lineRule="auto"/>
      <w:textAlignment w:val="baseline"/>
    </w:pPr>
    <w:rPr>
      <w:sz w:val="32"/>
      <w:szCs w:val="32"/>
    </w:rPr>
  </w:style>
  <w:style w:type="paragraph" w:styleId="3">
    <w:name w:val="Balloon Text"/>
    <w:basedOn w:val="1"/>
    <w:link w:val="19"/>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List Paragraph"/>
    <w:basedOn w:val="1"/>
    <w:qFormat/>
    <w:uiPriority w:val="34"/>
    <w:pPr>
      <w:ind w:firstLine="420" w:firstLineChars="200"/>
    </w:pPr>
  </w:style>
  <w:style w:type="character" w:customStyle="1" w:styleId="9">
    <w:name w:val="p1"/>
    <w:basedOn w:val="7"/>
    <w:qFormat/>
    <w:uiPriority w:val="0"/>
  </w:style>
  <w:style w:type="character" w:customStyle="1" w:styleId="10">
    <w:name w:val="页眉 Char"/>
    <w:basedOn w:val="7"/>
    <w:link w:val="5"/>
    <w:qFormat/>
    <w:uiPriority w:val="99"/>
    <w:rPr>
      <w:sz w:val="18"/>
      <w:szCs w:val="18"/>
    </w:rPr>
  </w:style>
  <w:style w:type="character" w:customStyle="1" w:styleId="11">
    <w:name w:val="页脚 Char"/>
    <w:basedOn w:val="7"/>
    <w:link w:val="4"/>
    <w:qFormat/>
    <w:uiPriority w:val="99"/>
    <w:rPr>
      <w:sz w:val="18"/>
      <w:szCs w:val="18"/>
    </w:rPr>
  </w:style>
  <w:style w:type="paragraph" w:customStyle="1" w:styleId="12">
    <w:name w:val="标准文件_二级条标题"/>
    <w:next w:val="1"/>
    <w:qFormat/>
    <w:uiPriority w:val="0"/>
    <w:pPr>
      <w:widowControl w:val="0"/>
      <w:numPr>
        <w:ilvl w:val="3"/>
        <w:numId w:val="1"/>
      </w:numPr>
      <w:spacing w:beforeLines="50" w:afterLines="50"/>
      <w:ind w:left="0"/>
      <w:jc w:val="both"/>
      <w:outlineLvl w:val="2"/>
    </w:pPr>
    <w:rPr>
      <w:rFonts w:ascii="黑体" w:hAnsi="Times New Roman" w:eastAsia="黑体" w:cs="Times New Roman"/>
      <w:sz w:val="21"/>
      <w:lang w:val="en-US" w:eastAsia="zh-CN" w:bidi="ar-SA"/>
    </w:rPr>
  </w:style>
  <w:style w:type="paragraph" w:customStyle="1" w:styleId="13">
    <w:name w:val="标准文件_三级条标题"/>
    <w:basedOn w:val="12"/>
    <w:next w:val="1"/>
    <w:qFormat/>
    <w:uiPriority w:val="0"/>
    <w:pPr>
      <w:widowControl/>
      <w:numPr>
        <w:ilvl w:val="4"/>
      </w:numPr>
      <w:outlineLvl w:val="3"/>
    </w:pPr>
  </w:style>
  <w:style w:type="paragraph" w:customStyle="1" w:styleId="14">
    <w:name w:val="标准文件_四级条标题"/>
    <w:next w:val="1"/>
    <w:qFormat/>
    <w:uiPriority w:val="0"/>
    <w:pPr>
      <w:widowControl w:val="0"/>
      <w:numPr>
        <w:ilvl w:val="5"/>
        <w:numId w:val="1"/>
      </w:numPr>
      <w:spacing w:beforeLines="50" w:afterLines="50"/>
      <w:jc w:val="both"/>
      <w:outlineLvl w:val="4"/>
    </w:pPr>
    <w:rPr>
      <w:rFonts w:ascii="黑体" w:hAnsi="Times New Roman" w:eastAsia="黑体" w:cs="Times New Roman"/>
      <w:sz w:val="21"/>
      <w:lang w:val="en-US" w:eastAsia="zh-CN" w:bidi="ar-SA"/>
    </w:rPr>
  </w:style>
  <w:style w:type="paragraph" w:customStyle="1" w:styleId="15">
    <w:name w:val="标准文件_五级条标题"/>
    <w:next w:val="1"/>
    <w:qFormat/>
    <w:uiPriority w:val="0"/>
    <w:pPr>
      <w:widowControl w:val="0"/>
      <w:numPr>
        <w:ilvl w:val="6"/>
        <w:numId w:val="1"/>
      </w:numPr>
      <w:spacing w:beforeLines="50" w:afterLines="50"/>
      <w:jc w:val="both"/>
      <w:outlineLvl w:val="5"/>
    </w:pPr>
    <w:rPr>
      <w:rFonts w:ascii="黑体" w:hAnsi="Times New Roman" w:eastAsia="黑体" w:cs="Times New Roman"/>
      <w:sz w:val="21"/>
      <w:lang w:val="en-US" w:eastAsia="zh-CN" w:bidi="ar-SA"/>
    </w:rPr>
  </w:style>
  <w:style w:type="paragraph" w:customStyle="1" w:styleId="16">
    <w:name w:val="标准文件_章标题"/>
    <w:next w:val="1"/>
    <w:qFormat/>
    <w:uiPriority w:val="0"/>
    <w:pPr>
      <w:numPr>
        <w:ilvl w:val="1"/>
        <w:numId w:val="1"/>
      </w:numPr>
      <w:spacing w:beforeLines="100" w:afterLines="100"/>
      <w:jc w:val="both"/>
      <w:outlineLvl w:val="0"/>
    </w:pPr>
    <w:rPr>
      <w:rFonts w:ascii="黑体" w:hAnsi="Times New Roman" w:eastAsia="黑体" w:cs="Times New Roman"/>
      <w:sz w:val="21"/>
      <w:lang w:val="en-US" w:eastAsia="zh-CN" w:bidi="ar-SA"/>
    </w:rPr>
  </w:style>
  <w:style w:type="paragraph" w:customStyle="1" w:styleId="17">
    <w:name w:val="标准文件_一级条标题"/>
    <w:basedOn w:val="16"/>
    <w:next w:val="1"/>
    <w:qFormat/>
    <w:uiPriority w:val="0"/>
    <w:pPr>
      <w:numPr>
        <w:ilvl w:val="2"/>
      </w:numPr>
      <w:spacing w:beforeLines="50" w:afterLines="50"/>
      <w:outlineLvl w:val="1"/>
    </w:pPr>
  </w:style>
  <w:style w:type="paragraph" w:customStyle="1" w:styleId="18">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character" w:customStyle="1" w:styleId="19">
    <w:name w:val="批注框文本 Char"/>
    <w:basedOn w:val="7"/>
    <w:link w:val="3"/>
    <w:semiHidden/>
    <w:qFormat/>
    <w:uiPriority w:val="99"/>
    <w:rPr>
      <w:rFonts w:asciiTheme="minorHAnsi" w:hAnsiTheme="minorHAnsi" w:eastAsiaTheme="minorEastAsia" w:cstheme="minorBidi"/>
      <w:kern w:val="2"/>
      <w:sz w:val="18"/>
      <w:szCs w:val="18"/>
    </w:rPr>
  </w:style>
  <w:style w:type="character" w:customStyle="1" w:styleId="20">
    <w:name w:val="段 Char"/>
    <w:link w:val="21"/>
    <w:qFormat/>
    <w:uiPriority w:val="0"/>
    <w:rPr>
      <w:rFonts w:ascii="宋体"/>
    </w:rPr>
  </w:style>
  <w:style w:type="paragraph" w:customStyle="1" w:styleId="21">
    <w:name w:val="段"/>
    <w:link w:val="20"/>
    <w:qFormat/>
    <w:uiPriority w:val="0"/>
    <w:pPr>
      <w:autoSpaceDE w:val="0"/>
      <w:autoSpaceDN w:val="0"/>
      <w:ind w:firstLine="200" w:firstLineChars="200"/>
      <w:jc w:val="both"/>
    </w:pPr>
    <w:rPr>
      <w:rFonts w:ascii="宋体" w:hAnsi="Times New Roman" w:eastAsia="宋体" w:cs="Times New Roman"/>
      <w:lang w:val="en-US" w:eastAsia="zh-CN" w:bidi="ar-SA"/>
    </w:rPr>
  </w:style>
  <w:style w:type="paragraph" w:customStyle="1" w:styleId="22">
    <w:name w:val="标准文件_段"/>
    <w:link w:val="23"/>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3">
    <w:name w:val="标准文件_段 Char"/>
    <w:link w:val="22"/>
    <w:qFormat/>
    <w:uiPriority w:val="0"/>
    <w:rPr>
      <w:rFonts w:ascii="宋体"/>
      <w:sz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2" Type="http://schemas.openxmlformats.org/officeDocument/2006/relationships/themeOverride" Target="../theme/themeOverride1.xml"/><Relationship Id="rId1" Type="http://schemas.openxmlformats.org/officeDocument/2006/relationships/oleObject" Target="file:///C:\Users\HZC\Desktop\&#20108;&#23457;&#22242;&#20307;&#26631;&#20934;\&#25968;&#25454;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a:defRPr lang="zh-CN" sz="1800" b="1" i="0" u="none" strike="noStrike" kern="1200" baseline="0">
                <a:solidFill>
                  <a:srgbClr val="FF0000"/>
                </a:solidFill>
                <a:latin typeface="+mn-lt"/>
                <a:ea typeface="+mn-ea"/>
                <a:cs typeface="+mn-cs"/>
              </a:defRPr>
            </a:pPr>
            <a:r>
              <a:rPr lang="zh-CN" altLang="en-US" sz="1100" baseline="0">
                <a:solidFill>
                  <a:srgbClr val="FF0000"/>
                </a:solidFill>
              </a:rPr>
              <a:t>图</a:t>
            </a:r>
            <a:r>
              <a:rPr lang="en-US" altLang="zh-CN" sz="1100" baseline="0">
                <a:solidFill>
                  <a:srgbClr val="FF0000"/>
                </a:solidFill>
              </a:rPr>
              <a:t>1   2019-2021</a:t>
            </a:r>
            <a:r>
              <a:rPr lang="zh-CN" altLang="en-US" sz="1100" baseline="0">
                <a:solidFill>
                  <a:srgbClr val="FF0000"/>
                </a:solidFill>
              </a:rPr>
              <a:t>年桑蓟马田间动态调查</a:t>
            </a:r>
            <a:endParaRPr lang="zh-CN" altLang="en-US" sz="1100">
              <a:solidFill>
                <a:srgbClr val="FF0000"/>
              </a:solidFill>
            </a:endParaRPr>
          </a:p>
        </c:rich>
      </c:tx>
      <c:layout>
        <c:manualLayout>
          <c:xMode val="edge"/>
          <c:yMode val="edge"/>
          <c:x val="0.299210247972735"/>
          <c:y val="0"/>
        </c:manualLayout>
      </c:layout>
      <c:overlay val="0"/>
    </c:title>
    <c:autoTitleDeleted val="0"/>
    <c:plotArea>
      <c:layout>
        <c:manualLayout>
          <c:layoutTarget val="inner"/>
          <c:xMode val="edge"/>
          <c:yMode val="edge"/>
          <c:x val="0.1740940964469"/>
          <c:y val="0.130000082278116"/>
          <c:w val="0.668492968229718"/>
          <c:h val="0.636576243016645"/>
        </c:manualLayout>
      </c:layout>
      <c:lineChart>
        <c:grouping val="standard"/>
        <c:varyColors val="0"/>
        <c:ser>
          <c:idx val="0"/>
          <c:order val="0"/>
          <c:tx>
            <c:strRef>
              <c:f>Sheet1!$A$19</c:f>
              <c:strCache>
                <c:ptCount val="1"/>
                <c:pt idx="0">
                  <c:v>2019年</c:v>
                </c:pt>
              </c:strCache>
            </c:strRef>
          </c:tx>
          <c:dLbls>
            <c:delete val="1"/>
          </c:dLbls>
          <c:cat>
            <c:strRef>
              <c:f>Sheet1!$B$18:$M$18</c:f>
              <c:strCache>
                <c:ptCount val="12"/>
                <c:pt idx="0">
                  <c:v>1月</c:v>
                </c:pt>
                <c:pt idx="1">
                  <c:v>2月</c:v>
                </c:pt>
                <c:pt idx="2">
                  <c:v>3月</c:v>
                </c:pt>
                <c:pt idx="3">
                  <c:v>4月</c:v>
                </c:pt>
                <c:pt idx="4">
                  <c:v>5月</c:v>
                </c:pt>
                <c:pt idx="5">
                  <c:v>6月</c:v>
                </c:pt>
                <c:pt idx="6">
                  <c:v>7月</c:v>
                </c:pt>
                <c:pt idx="7">
                  <c:v>8月</c:v>
                </c:pt>
                <c:pt idx="8">
                  <c:v>9月</c:v>
                </c:pt>
                <c:pt idx="9">
                  <c:v>10月</c:v>
                </c:pt>
                <c:pt idx="10">
                  <c:v>11月</c:v>
                </c:pt>
                <c:pt idx="11">
                  <c:v>12月</c:v>
                </c:pt>
              </c:strCache>
            </c:strRef>
          </c:cat>
          <c:val>
            <c:numRef>
              <c:f>Sheet1!$B$19:$M$19</c:f>
              <c:numCache>
                <c:formatCode>General</c:formatCode>
                <c:ptCount val="12"/>
                <c:pt idx="2">
                  <c:v>8</c:v>
                </c:pt>
                <c:pt idx="3">
                  <c:v>15</c:v>
                </c:pt>
                <c:pt idx="4">
                  <c:v>0.2</c:v>
                </c:pt>
                <c:pt idx="5">
                  <c:v>0.4</c:v>
                </c:pt>
                <c:pt idx="7">
                  <c:v>45</c:v>
                </c:pt>
                <c:pt idx="8">
                  <c:v>86</c:v>
                </c:pt>
                <c:pt idx="9">
                  <c:v>37</c:v>
                </c:pt>
                <c:pt idx="10">
                  <c:v>5</c:v>
                </c:pt>
                <c:pt idx="11">
                  <c:v>2.5</c:v>
                </c:pt>
              </c:numCache>
            </c:numRef>
          </c:val>
          <c:smooth val="0"/>
        </c:ser>
        <c:ser>
          <c:idx val="1"/>
          <c:order val="1"/>
          <c:tx>
            <c:strRef>
              <c:f>Sheet1!$A$20</c:f>
              <c:strCache>
                <c:ptCount val="1"/>
                <c:pt idx="0">
                  <c:v>2020年</c:v>
                </c:pt>
              </c:strCache>
            </c:strRef>
          </c:tx>
          <c:dLbls>
            <c:delete val="1"/>
          </c:dLbls>
          <c:cat>
            <c:strRef>
              <c:f>Sheet1!$B$18:$M$18</c:f>
              <c:strCache>
                <c:ptCount val="12"/>
                <c:pt idx="0">
                  <c:v>1月</c:v>
                </c:pt>
                <c:pt idx="1">
                  <c:v>2月</c:v>
                </c:pt>
                <c:pt idx="2">
                  <c:v>3月</c:v>
                </c:pt>
                <c:pt idx="3">
                  <c:v>4月</c:v>
                </c:pt>
                <c:pt idx="4">
                  <c:v>5月</c:v>
                </c:pt>
                <c:pt idx="5">
                  <c:v>6月</c:v>
                </c:pt>
                <c:pt idx="6">
                  <c:v>7月</c:v>
                </c:pt>
                <c:pt idx="7">
                  <c:v>8月</c:v>
                </c:pt>
                <c:pt idx="8">
                  <c:v>9月</c:v>
                </c:pt>
                <c:pt idx="9">
                  <c:v>10月</c:v>
                </c:pt>
                <c:pt idx="10">
                  <c:v>11月</c:v>
                </c:pt>
                <c:pt idx="11">
                  <c:v>12月</c:v>
                </c:pt>
              </c:strCache>
            </c:strRef>
          </c:cat>
          <c:val>
            <c:numRef>
              <c:f>Sheet1!$B$20:$M$20</c:f>
              <c:numCache>
                <c:formatCode>General</c:formatCode>
                <c:ptCount val="12"/>
                <c:pt idx="2">
                  <c:v>7</c:v>
                </c:pt>
                <c:pt idx="3">
                  <c:v>11</c:v>
                </c:pt>
                <c:pt idx="4">
                  <c:v>0.5</c:v>
                </c:pt>
                <c:pt idx="5">
                  <c:v>0.5</c:v>
                </c:pt>
                <c:pt idx="7">
                  <c:v>50</c:v>
                </c:pt>
                <c:pt idx="8">
                  <c:v>82</c:v>
                </c:pt>
                <c:pt idx="9">
                  <c:v>81</c:v>
                </c:pt>
                <c:pt idx="10">
                  <c:v>12</c:v>
                </c:pt>
                <c:pt idx="11">
                  <c:v>4</c:v>
                </c:pt>
              </c:numCache>
            </c:numRef>
          </c:val>
          <c:smooth val="0"/>
        </c:ser>
        <c:ser>
          <c:idx val="2"/>
          <c:order val="2"/>
          <c:tx>
            <c:strRef>
              <c:f>Sheet1!$A$21</c:f>
              <c:strCache>
                <c:ptCount val="1"/>
                <c:pt idx="0">
                  <c:v>2021年</c:v>
                </c:pt>
              </c:strCache>
            </c:strRef>
          </c:tx>
          <c:dLbls>
            <c:delete val="1"/>
          </c:dLbls>
          <c:cat>
            <c:strRef>
              <c:f>Sheet1!$B$18:$M$18</c:f>
              <c:strCache>
                <c:ptCount val="12"/>
                <c:pt idx="0">
                  <c:v>1月</c:v>
                </c:pt>
                <c:pt idx="1">
                  <c:v>2月</c:v>
                </c:pt>
                <c:pt idx="2">
                  <c:v>3月</c:v>
                </c:pt>
                <c:pt idx="3">
                  <c:v>4月</c:v>
                </c:pt>
                <c:pt idx="4">
                  <c:v>5月</c:v>
                </c:pt>
                <c:pt idx="5">
                  <c:v>6月</c:v>
                </c:pt>
                <c:pt idx="6">
                  <c:v>7月</c:v>
                </c:pt>
                <c:pt idx="7">
                  <c:v>8月</c:v>
                </c:pt>
                <c:pt idx="8">
                  <c:v>9月</c:v>
                </c:pt>
                <c:pt idx="9">
                  <c:v>10月</c:v>
                </c:pt>
                <c:pt idx="10">
                  <c:v>11月</c:v>
                </c:pt>
                <c:pt idx="11">
                  <c:v>12月</c:v>
                </c:pt>
              </c:strCache>
            </c:strRef>
          </c:cat>
          <c:val>
            <c:numRef>
              <c:f>Sheet1!$B$21:$M$21</c:f>
              <c:numCache>
                <c:formatCode>General</c:formatCode>
                <c:ptCount val="12"/>
                <c:pt idx="2">
                  <c:v>9</c:v>
                </c:pt>
                <c:pt idx="3">
                  <c:v>13</c:v>
                </c:pt>
                <c:pt idx="4">
                  <c:v>0.4</c:v>
                </c:pt>
                <c:pt idx="5">
                  <c:v>0.2</c:v>
                </c:pt>
                <c:pt idx="7">
                  <c:v>47</c:v>
                </c:pt>
                <c:pt idx="8">
                  <c:v>91</c:v>
                </c:pt>
                <c:pt idx="9">
                  <c:v>63</c:v>
                </c:pt>
                <c:pt idx="10">
                  <c:v>9</c:v>
                </c:pt>
                <c:pt idx="11">
                  <c:v>5</c:v>
                </c:pt>
              </c:numCache>
            </c:numRef>
          </c:val>
          <c:smooth val="0"/>
        </c:ser>
        <c:dLbls>
          <c:showLegendKey val="0"/>
          <c:showVal val="0"/>
          <c:showCatName val="0"/>
          <c:showSerName val="0"/>
          <c:showPercent val="0"/>
          <c:showBubbleSize val="0"/>
        </c:dLbls>
        <c:marker val="1"/>
        <c:smooth val="0"/>
        <c:axId val="426281984"/>
        <c:axId val="95011584"/>
      </c:lineChart>
      <c:catAx>
        <c:axId val="426281984"/>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95011584"/>
        <c:crosses val="autoZero"/>
        <c:auto val="1"/>
        <c:lblAlgn val="ctr"/>
        <c:lblOffset val="100"/>
        <c:noMultiLvlLbl val="0"/>
      </c:catAx>
      <c:valAx>
        <c:axId val="95011584"/>
        <c:scaling>
          <c:orientation val="minMax"/>
        </c:scaling>
        <c:delete val="0"/>
        <c:axPos val="l"/>
        <c:majorGridlines/>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虫口发生量（头</a:t>
                </a:r>
                <a:r>
                  <a:rPr lang="en-US" altLang="zh-CN"/>
                  <a:t>/</a:t>
                </a:r>
                <a:r>
                  <a:rPr lang="zh-CN" altLang="en-US"/>
                  <a:t>叶）</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426281984"/>
        <c:crosses val="autoZero"/>
        <c:crossBetween val="between"/>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noFill/>
    <a:ln w="9525" cap="flat" cmpd="sng" algn="ctr">
      <a:noFill/>
      <a:prstDash val="solid"/>
      <a:round/>
    </a:ln>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5B1539-E8D2-472F-B62E-AE9137C11AC3}">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8</Pages>
  <Words>4040</Words>
  <Characters>4585</Characters>
  <Lines>34</Lines>
  <Paragraphs>9</Paragraphs>
  <TotalTime>136</TotalTime>
  <ScaleCrop>false</ScaleCrop>
  <LinksUpToDate>false</LinksUpToDate>
  <CharactersWithSpaces>4652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2022-08-01T03:14:00Z</dcterms:created>
  <dc:creator>赵烨芸</dc:creator>
  <cp:lastModifiedBy>誰念誰川</cp:lastModifiedBy>
  <dcterms:modified xsi:type="dcterms:W3CDTF">2023-04-11T08:57:27Z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2460A8BE130A4657A6A558BF54BD6F40</vt:lpwstr>
  </property>
</Properties>
</file>