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68F" w:rsidRDefault="0085068F">
      <w:pPr>
        <w:snapToGrid w:val="0"/>
        <w:spacing w:line="560" w:lineRule="exact"/>
        <w:jc w:val="center"/>
        <w:rPr>
          <w:rFonts w:ascii="仿宋_GB2312" w:eastAsia="仿宋_GB2312" w:hAnsi="仿宋_GB2312" w:cs="仿宋_GB2312"/>
          <w:b/>
          <w:color w:val="000000" w:themeColor="text1"/>
          <w:sz w:val="32"/>
          <w:szCs w:val="32"/>
        </w:rPr>
      </w:pPr>
    </w:p>
    <w:p w:rsidR="0085068F" w:rsidRDefault="0085068F">
      <w:pPr>
        <w:snapToGrid w:val="0"/>
        <w:spacing w:line="560" w:lineRule="exact"/>
        <w:jc w:val="center"/>
        <w:rPr>
          <w:rFonts w:ascii="仿宋_GB2312" w:eastAsia="仿宋_GB2312" w:hAnsi="仿宋_GB2312" w:cs="仿宋_GB2312"/>
          <w:b/>
          <w:color w:val="000000" w:themeColor="text1"/>
          <w:sz w:val="32"/>
          <w:szCs w:val="32"/>
        </w:rPr>
      </w:pPr>
    </w:p>
    <w:p w:rsidR="0085068F" w:rsidRDefault="0085068F">
      <w:pPr>
        <w:spacing w:line="560" w:lineRule="exact"/>
        <w:jc w:val="center"/>
        <w:rPr>
          <w:rFonts w:ascii="仿宋_GB2312" w:eastAsia="仿宋_GB2312" w:hAnsi="仿宋_GB2312" w:cs="仿宋_GB2312"/>
          <w:color w:val="000000" w:themeColor="text1"/>
          <w:sz w:val="32"/>
          <w:szCs w:val="32"/>
        </w:rPr>
      </w:pPr>
    </w:p>
    <w:p w:rsidR="0085068F" w:rsidRDefault="0085068F">
      <w:pPr>
        <w:spacing w:line="560" w:lineRule="exact"/>
        <w:jc w:val="center"/>
        <w:rPr>
          <w:rFonts w:ascii="仿宋_GB2312" w:eastAsia="仿宋_GB2312" w:hAnsi="仿宋_GB2312" w:cs="仿宋_GB2312"/>
          <w:color w:val="000000" w:themeColor="text1"/>
          <w:sz w:val="32"/>
          <w:szCs w:val="32"/>
        </w:rPr>
      </w:pPr>
    </w:p>
    <w:p w:rsidR="0085068F" w:rsidRDefault="0085068F">
      <w:pPr>
        <w:spacing w:line="560" w:lineRule="exact"/>
        <w:jc w:val="center"/>
        <w:rPr>
          <w:rFonts w:ascii="仿宋_GB2312" w:eastAsia="仿宋_GB2312" w:hAnsi="仿宋_GB2312" w:cs="仿宋_GB2312"/>
          <w:color w:val="000000" w:themeColor="text1"/>
          <w:sz w:val="32"/>
          <w:szCs w:val="32"/>
        </w:rPr>
      </w:pPr>
    </w:p>
    <w:p w:rsidR="0085068F" w:rsidRPr="005556C4" w:rsidRDefault="00A647FD">
      <w:pPr>
        <w:spacing w:line="480" w:lineRule="auto"/>
        <w:jc w:val="center"/>
        <w:rPr>
          <w:rFonts w:ascii="方正小标宋简体" w:eastAsia="方正小标宋简体" w:hAnsi="方正小标宋简体" w:cs="方正小标宋_GBK"/>
          <w:color w:val="000000" w:themeColor="text1"/>
          <w:sz w:val="44"/>
          <w:szCs w:val="44"/>
        </w:rPr>
      </w:pPr>
      <w:r w:rsidRPr="005556C4">
        <w:rPr>
          <w:rFonts w:ascii="方正小标宋简体" w:eastAsia="方正小标宋简体" w:hAnsi="方正小标宋简体" w:cs="方正小标宋_GBK" w:hint="eastAsia"/>
          <w:color w:val="000000" w:themeColor="text1"/>
          <w:sz w:val="44"/>
          <w:szCs w:val="44"/>
        </w:rPr>
        <w:t>团体标准《铝冶炼行业企业安全风险分级管控与隐患排查治理双重预防机制建设指南》</w:t>
      </w:r>
      <w:r w:rsidR="005556C4" w:rsidRPr="005556C4">
        <w:rPr>
          <w:rFonts w:ascii="方正小标宋简体" w:eastAsia="方正小标宋简体" w:hAnsi="方正小标宋简体" w:cs="方正小标宋_GBK" w:hint="eastAsia"/>
          <w:color w:val="000000" w:themeColor="text1"/>
          <w:sz w:val="44"/>
          <w:szCs w:val="44"/>
        </w:rPr>
        <w:t>(征求意见稿</w:t>
      </w:r>
      <w:r w:rsidR="005556C4" w:rsidRPr="005556C4">
        <w:rPr>
          <w:rFonts w:ascii="方正小标宋简体" w:eastAsia="方正小标宋简体" w:hAnsi="方正小标宋简体" w:cs="方正小标宋_GBK"/>
          <w:color w:val="000000" w:themeColor="text1"/>
          <w:sz w:val="44"/>
          <w:szCs w:val="44"/>
        </w:rPr>
        <w:t>)</w:t>
      </w:r>
      <w:r w:rsidRPr="005556C4">
        <w:rPr>
          <w:rFonts w:ascii="方正小标宋简体" w:eastAsia="方正小标宋简体" w:hAnsi="方正小标宋简体" w:cs="方正小标宋_GBK" w:hint="eastAsia"/>
          <w:color w:val="000000" w:themeColor="text1"/>
          <w:sz w:val="44"/>
          <w:szCs w:val="44"/>
        </w:rPr>
        <w:t>编制说明</w:t>
      </w:r>
    </w:p>
    <w:p w:rsidR="0085068F" w:rsidRDefault="0085068F">
      <w:pPr>
        <w:pStyle w:val="af4"/>
        <w:snapToGrid w:val="0"/>
        <w:spacing w:line="360" w:lineRule="auto"/>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p>
    <w:p w:rsidR="0085068F" w:rsidRDefault="00A647FD">
      <w:pPr>
        <w:pStyle w:val="af4"/>
        <w:snapToGrid w:val="0"/>
        <w:spacing w:line="560" w:lineRule="exact"/>
        <w:ind w:firstLineChars="0" w:firstLine="0"/>
        <w:jc w:val="center"/>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w:t>
      </w:r>
      <w:r>
        <w:rPr>
          <w:rFonts w:ascii="仿宋_GB2312" w:eastAsia="仿宋_GB2312" w:hAnsi="仿宋_GB2312" w:cs="仿宋_GB2312"/>
          <w:color w:val="000000" w:themeColor="text1"/>
          <w:sz w:val="32"/>
          <w:szCs w:val="32"/>
        </w:rPr>
        <w:t>02</w:t>
      </w:r>
      <w:r>
        <w:rPr>
          <w:rFonts w:ascii="仿宋_GB2312" w:eastAsia="仿宋_GB2312" w:hAnsi="仿宋_GB2312" w:cs="仿宋_GB2312" w:hint="eastAsia"/>
          <w:color w:val="000000" w:themeColor="text1"/>
          <w:sz w:val="32"/>
          <w:szCs w:val="32"/>
        </w:rPr>
        <w:t>3年5月</w:t>
      </w:r>
    </w:p>
    <w:p w:rsidR="0085068F" w:rsidRDefault="00A647FD">
      <w:pPr>
        <w:widowControl/>
        <w:jc w:val="left"/>
        <w:rPr>
          <w:rFonts w:ascii="仿宋_GB2312" w:eastAsia="仿宋_GB2312" w:hAnsi="仿宋_GB2312" w:cs="仿宋_GB2312"/>
          <w:color w:val="000000" w:themeColor="text1"/>
          <w:kern w:val="0"/>
          <w:sz w:val="32"/>
          <w:szCs w:val="32"/>
        </w:rPr>
        <w:sectPr w:rsidR="0085068F">
          <w:footerReference w:type="even" r:id="rId8"/>
          <w:pgSz w:w="11906" w:h="16838"/>
          <w:pgMar w:top="1440" w:right="1800" w:bottom="1440" w:left="1800" w:header="851" w:footer="992" w:gutter="0"/>
          <w:pgNumType w:fmt="upperRoman" w:start="1" w:chapStyle="1"/>
          <w:cols w:space="425"/>
          <w:docGrid w:type="lines" w:linePitch="312"/>
        </w:sectPr>
      </w:pPr>
      <w:r>
        <w:rPr>
          <w:rFonts w:ascii="仿宋_GB2312" w:eastAsia="仿宋_GB2312" w:hAnsi="仿宋_GB2312" w:cs="仿宋_GB2312"/>
          <w:color w:val="000000" w:themeColor="text1"/>
          <w:sz w:val="32"/>
          <w:szCs w:val="32"/>
        </w:rPr>
        <w:br w:type="page"/>
      </w:r>
    </w:p>
    <w:p w:rsidR="0085068F" w:rsidRDefault="0085068F">
      <w:pPr>
        <w:pStyle w:val="af4"/>
        <w:snapToGrid w:val="0"/>
        <w:spacing w:line="560" w:lineRule="exact"/>
        <w:ind w:firstLineChars="0" w:firstLine="0"/>
        <w:jc w:val="center"/>
        <w:rPr>
          <w:rFonts w:ascii="仿宋_GB2312" w:eastAsia="仿宋_GB2312" w:hAnsi="仿宋_GB2312" w:cs="仿宋_GB2312"/>
          <w:b/>
          <w:color w:val="000000" w:themeColor="text1"/>
          <w:sz w:val="32"/>
          <w:szCs w:val="32"/>
        </w:rPr>
      </w:pPr>
    </w:p>
    <w:p w:rsidR="0085068F" w:rsidRDefault="00A647FD">
      <w:pPr>
        <w:pStyle w:val="af4"/>
        <w:snapToGrid w:val="0"/>
        <w:spacing w:line="560" w:lineRule="exact"/>
        <w:ind w:firstLineChars="0" w:firstLine="0"/>
        <w:jc w:val="center"/>
        <w:rPr>
          <w:rFonts w:ascii="仿宋_GB2312" w:eastAsia="仿宋_GB2312" w:hAnsi="仿宋_GB2312" w:cs="仿宋_GB2312"/>
          <w:b/>
          <w:color w:val="000000" w:themeColor="text1"/>
          <w:sz w:val="44"/>
          <w:szCs w:val="44"/>
        </w:rPr>
      </w:pPr>
      <w:r>
        <w:rPr>
          <w:rFonts w:ascii="仿宋_GB2312" w:eastAsia="仿宋_GB2312" w:hAnsi="仿宋_GB2312" w:cs="仿宋_GB2312" w:hint="eastAsia"/>
          <w:b/>
          <w:color w:val="000000" w:themeColor="text1"/>
          <w:sz w:val="44"/>
          <w:szCs w:val="44"/>
        </w:rPr>
        <w:t>目    录</w:t>
      </w:r>
    </w:p>
    <w:p w:rsidR="0085068F" w:rsidRDefault="0085068F">
      <w:pPr>
        <w:pStyle w:val="af4"/>
        <w:snapToGrid w:val="0"/>
        <w:spacing w:line="560" w:lineRule="exact"/>
        <w:ind w:firstLineChars="0" w:firstLine="0"/>
        <w:jc w:val="center"/>
        <w:rPr>
          <w:rFonts w:ascii="仿宋_GB2312" w:eastAsia="仿宋_GB2312" w:hAnsi="仿宋_GB2312" w:cs="仿宋_GB2312"/>
          <w:b/>
          <w:color w:val="000000" w:themeColor="text1"/>
          <w:sz w:val="32"/>
          <w:szCs w:val="32"/>
        </w:rPr>
      </w:pPr>
    </w:p>
    <w:p w:rsidR="0085068F" w:rsidRDefault="0085068F">
      <w:pPr>
        <w:pStyle w:val="af4"/>
        <w:snapToGrid w:val="0"/>
        <w:spacing w:line="560" w:lineRule="exact"/>
        <w:ind w:firstLineChars="0" w:firstLine="0"/>
        <w:jc w:val="center"/>
        <w:rPr>
          <w:rFonts w:ascii="仿宋_GB2312" w:eastAsia="仿宋_GB2312" w:hAnsi="仿宋_GB2312" w:cs="仿宋_GB2312"/>
          <w:b/>
          <w:color w:val="000000" w:themeColor="text1"/>
          <w:sz w:val="28"/>
          <w:szCs w:val="28"/>
        </w:rPr>
      </w:pPr>
    </w:p>
    <w:p w:rsidR="0085068F" w:rsidRDefault="00A647FD">
      <w:pPr>
        <w:pStyle w:val="TOC1"/>
        <w:tabs>
          <w:tab w:val="right" w:leader="dot" w:pos="8296"/>
        </w:tabs>
        <w:rPr>
          <w:rFonts w:ascii="仿宋_GB2312" w:eastAsia="仿宋_GB2312" w:hAnsi="宋体"/>
          <w:sz w:val="32"/>
          <w:szCs w:val="32"/>
        </w:rPr>
      </w:pPr>
      <w:r>
        <w:rPr>
          <w:rFonts w:ascii="宋体" w:eastAsia="宋体" w:hAnsi="宋体" w:cs="仿宋_GB2312" w:hint="eastAsia"/>
          <w:color w:val="000000" w:themeColor="text1"/>
          <w:sz w:val="32"/>
          <w:szCs w:val="32"/>
        </w:rPr>
        <w:fldChar w:fldCharType="begin"/>
      </w:r>
      <w:r>
        <w:rPr>
          <w:rFonts w:ascii="宋体" w:eastAsia="宋体" w:hAnsi="宋体" w:cs="仿宋_GB2312" w:hint="eastAsia"/>
          <w:color w:val="000000" w:themeColor="text1"/>
          <w:sz w:val="32"/>
          <w:szCs w:val="32"/>
        </w:rPr>
        <w:instrText xml:space="preserve"> TOC \o "1-3" \h \z \u </w:instrText>
      </w:r>
      <w:r>
        <w:rPr>
          <w:rFonts w:ascii="宋体" w:eastAsia="宋体" w:hAnsi="宋体" w:cs="仿宋_GB2312" w:hint="eastAsia"/>
          <w:color w:val="000000" w:themeColor="text1"/>
          <w:sz w:val="32"/>
          <w:szCs w:val="32"/>
        </w:rPr>
        <w:fldChar w:fldCharType="separate"/>
      </w:r>
      <w:hyperlink w:anchor="_Toc134114173" w:history="1">
        <w:r>
          <w:rPr>
            <w:rStyle w:val="af3"/>
            <w:rFonts w:ascii="仿宋_GB2312" w:eastAsia="仿宋_GB2312" w:hAnsi="宋体" w:hint="eastAsia"/>
            <w:sz w:val="32"/>
            <w:szCs w:val="32"/>
          </w:rPr>
          <w:t>一、标准来源</w:t>
        </w:r>
        <w:r>
          <w:rPr>
            <w:rFonts w:ascii="仿宋_GB2312" w:eastAsia="仿宋_GB2312" w:hAnsi="宋体" w:hint="eastAsia"/>
            <w:sz w:val="32"/>
            <w:szCs w:val="32"/>
          </w:rPr>
          <w:tab/>
        </w:r>
        <w:r>
          <w:rPr>
            <w:rFonts w:ascii="仿宋_GB2312" w:eastAsia="仿宋_GB2312" w:hAnsi="宋体" w:hint="eastAsia"/>
            <w:sz w:val="32"/>
            <w:szCs w:val="32"/>
          </w:rPr>
          <w:fldChar w:fldCharType="begin"/>
        </w:r>
        <w:r>
          <w:rPr>
            <w:rFonts w:ascii="仿宋_GB2312" w:eastAsia="仿宋_GB2312" w:hAnsi="宋体" w:hint="eastAsia"/>
            <w:sz w:val="32"/>
            <w:szCs w:val="32"/>
          </w:rPr>
          <w:instrText xml:space="preserve"> PAGEREF _Toc134114173 \h </w:instrText>
        </w:r>
        <w:r>
          <w:rPr>
            <w:rFonts w:ascii="仿宋_GB2312" w:eastAsia="仿宋_GB2312" w:hAnsi="宋体" w:hint="eastAsia"/>
            <w:sz w:val="32"/>
            <w:szCs w:val="32"/>
          </w:rPr>
        </w:r>
        <w:r>
          <w:rPr>
            <w:rFonts w:ascii="仿宋_GB2312" w:eastAsia="仿宋_GB2312" w:hAnsi="宋体" w:hint="eastAsia"/>
            <w:sz w:val="32"/>
            <w:szCs w:val="32"/>
          </w:rPr>
          <w:fldChar w:fldCharType="separate"/>
        </w:r>
        <w:r>
          <w:rPr>
            <w:rFonts w:ascii="仿宋_GB2312" w:eastAsia="仿宋_GB2312" w:hAnsi="宋体" w:hint="eastAsia"/>
            <w:sz w:val="32"/>
            <w:szCs w:val="32"/>
          </w:rPr>
          <w:t>- 1 -</w:t>
        </w:r>
        <w:r>
          <w:rPr>
            <w:rFonts w:ascii="仿宋_GB2312" w:eastAsia="仿宋_GB2312" w:hAnsi="宋体" w:hint="eastAsia"/>
            <w:sz w:val="32"/>
            <w:szCs w:val="32"/>
          </w:rPr>
          <w:fldChar w:fldCharType="end"/>
        </w:r>
      </w:hyperlink>
    </w:p>
    <w:p w:rsidR="0085068F" w:rsidRDefault="00545F54">
      <w:pPr>
        <w:pStyle w:val="TOC1"/>
        <w:tabs>
          <w:tab w:val="right" w:leader="dot" w:pos="8296"/>
        </w:tabs>
        <w:rPr>
          <w:rFonts w:ascii="仿宋_GB2312" w:eastAsia="仿宋_GB2312" w:hAnsi="宋体"/>
          <w:sz w:val="32"/>
          <w:szCs w:val="32"/>
        </w:rPr>
      </w:pPr>
      <w:hyperlink w:anchor="_Toc134114174" w:history="1">
        <w:r w:rsidR="00A647FD">
          <w:rPr>
            <w:rStyle w:val="af3"/>
            <w:rFonts w:ascii="仿宋_GB2312" w:eastAsia="仿宋_GB2312" w:hAnsi="宋体" w:hint="eastAsia"/>
            <w:sz w:val="32"/>
            <w:szCs w:val="32"/>
          </w:rPr>
          <w:t>二、标准编制背景及目的意义</w:t>
        </w:r>
        <w:r w:rsidR="00A647FD">
          <w:rPr>
            <w:rFonts w:ascii="仿宋_GB2312" w:eastAsia="仿宋_GB2312" w:hAnsi="宋体" w:hint="eastAsia"/>
            <w:sz w:val="32"/>
            <w:szCs w:val="32"/>
          </w:rPr>
          <w:tab/>
        </w:r>
        <w:r w:rsidR="00A647FD">
          <w:rPr>
            <w:rFonts w:ascii="仿宋_GB2312" w:eastAsia="仿宋_GB2312" w:hAnsi="宋体" w:hint="eastAsia"/>
            <w:sz w:val="32"/>
            <w:szCs w:val="32"/>
          </w:rPr>
          <w:fldChar w:fldCharType="begin"/>
        </w:r>
        <w:r w:rsidR="00A647FD">
          <w:rPr>
            <w:rFonts w:ascii="仿宋_GB2312" w:eastAsia="仿宋_GB2312" w:hAnsi="宋体" w:hint="eastAsia"/>
            <w:sz w:val="32"/>
            <w:szCs w:val="32"/>
          </w:rPr>
          <w:instrText xml:space="preserve"> PAGEREF _Toc134114174 \h </w:instrText>
        </w:r>
        <w:r w:rsidR="00A647FD">
          <w:rPr>
            <w:rFonts w:ascii="仿宋_GB2312" w:eastAsia="仿宋_GB2312" w:hAnsi="宋体" w:hint="eastAsia"/>
            <w:sz w:val="32"/>
            <w:szCs w:val="32"/>
          </w:rPr>
        </w:r>
        <w:r w:rsidR="00A647FD">
          <w:rPr>
            <w:rFonts w:ascii="仿宋_GB2312" w:eastAsia="仿宋_GB2312" w:hAnsi="宋体" w:hint="eastAsia"/>
            <w:sz w:val="32"/>
            <w:szCs w:val="32"/>
          </w:rPr>
          <w:fldChar w:fldCharType="separate"/>
        </w:r>
        <w:r w:rsidR="00A647FD">
          <w:rPr>
            <w:rFonts w:ascii="仿宋_GB2312" w:eastAsia="仿宋_GB2312" w:hAnsi="宋体" w:hint="eastAsia"/>
            <w:sz w:val="32"/>
            <w:szCs w:val="32"/>
          </w:rPr>
          <w:t>- 1 -</w:t>
        </w:r>
        <w:r w:rsidR="00A647FD">
          <w:rPr>
            <w:rFonts w:ascii="仿宋_GB2312" w:eastAsia="仿宋_GB2312" w:hAnsi="宋体" w:hint="eastAsia"/>
            <w:sz w:val="32"/>
            <w:szCs w:val="32"/>
          </w:rPr>
          <w:fldChar w:fldCharType="end"/>
        </w:r>
      </w:hyperlink>
    </w:p>
    <w:p w:rsidR="0085068F" w:rsidRDefault="00545F54">
      <w:pPr>
        <w:pStyle w:val="TOC1"/>
        <w:tabs>
          <w:tab w:val="right" w:leader="dot" w:pos="8296"/>
        </w:tabs>
        <w:rPr>
          <w:rFonts w:ascii="仿宋_GB2312" w:eastAsia="仿宋_GB2312" w:hAnsi="宋体"/>
          <w:sz w:val="32"/>
          <w:szCs w:val="32"/>
        </w:rPr>
      </w:pPr>
      <w:hyperlink w:anchor="_Toc134114175" w:history="1">
        <w:r w:rsidR="00A647FD">
          <w:rPr>
            <w:rStyle w:val="af3"/>
            <w:rFonts w:ascii="仿宋_GB2312" w:eastAsia="仿宋_GB2312" w:hAnsi="宋体" w:hint="eastAsia"/>
            <w:sz w:val="32"/>
            <w:szCs w:val="32"/>
          </w:rPr>
          <w:t>三、项目编制过程</w:t>
        </w:r>
        <w:r w:rsidR="00A647FD">
          <w:rPr>
            <w:rFonts w:ascii="仿宋_GB2312" w:eastAsia="仿宋_GB2312" w:hAnsi="宋体" w:hint="eastAsia"/>
            <w:sz w:val="32"/>
            <w:szCs w:val="32"/>
          </w:rPr>
          <w:tab/>
        </w:r>
        <w:r w:rsidR="00A647FD">
          <w:rPr>
            <w:rFonts w:ascii="仿宋_GB2312" w:eastAsia="仿宋_GB2312" w:hAnsi="宋体" w:hint="eastAsia"/>
            <w:sz w:val="32"/>
            <w:szCs w:val="32"/>
          </w:rPr>
          <w:fldChar w:fldCharType="begin"/>
        </w:r>
        <w:r w:rsidR="00A647FD">
          <w:rPr>
            <w:rFonts w:ascii="仿宋_GB2312" w:eastAsia="仿宋_GB2312" w:hAnsi="宋体" w:hint="eastAsia"/>
            <w:sz w:val="32"/>
            <w:szCs w:val="32"/>
          </w:rPr>
          <w:instrText xml:space="preserve"> PAGEREF _Toc134114175 \h </w:instrText>
        </w:r>
        <w:r w:rsidR="00A647FD">
          <w:rPr>
            <w:rFonts w:ascii="仿宋_GB2312" w:eastAsia="仿宋_GB2312" w:hAnsi="宋体" w:hint="eastAsia"/>
            <w:sz w:val="32"/>
            <w:szCs w:val="32"/>
          </w:rPr>
        </w:r>
        <w:r w:rsidR="00A647FD">
          <w:rPr>
            <w:rFonts w:ascii="仿宋_GB2312" w:eastAsia="仿宋_GB2312" w:hAnsi="宋体" w:hint="eastAsia"/>
            <w:sz w:val="32"/>
            <w:szCs w:val="32"/>
          </w:rPr>
          <w:fldChar w:fldCharType="separate"/>
        </w:r>
        <w:r w:rsidR="00A647FD">
          <w:rPr>
            <w:rFonts w:ascii="仿宋_GB2312" w:eastAsia="仿宋_GB2312" w:hAnsi="宋体" w:hint="eastAsia"/>
            <w:sz w:val="32"/>
            <w:szCs w:val="32"/>
          </w:rPr>
          <w:t>- 2 -</w:t>
        </w:r>
        <w:r w:rsidR="00A647FD">
          <w:rPr>
            <w:rFonts w:ascii="仿宋_GB2312" w:eastAsia="仿宋_GB2312" w:hAnsi="宋体" w:hint="eastAsia"/>
            <w:sz w:val="32"/>
            <w:szCs w:val="32"/>
          </w:rPr>
          <w:fldChar w:fldCharType="end"/>
        </w:r>
      </w:hyperlink>
    </w:p>
    <w:p w:rsidR="0085068F" w:rsidRDefault="00545F54">
      <w:pPr>
        <w:pStyle w:val="TOC1"/>
        <w:tabs>
          <w:tab w:val="right" w:leader="dot" w:pos="8296"/>
        </w:tabs>
        <w:rPr>
          <w:rFonts w:ascii="仿宋_GB2312" w:eastAsia="仿宋_GB2312" w:hAnsi="宋体"/>
          <w:sz w:val="32"/>
          <w:szCs w:val="32"/>
        </w:rPr>
      </w:pPr>
      <w:hyperlink w:anchor="_Toc134114176" w:history="1">
        <w:r w:rsidR="00A647FD">
          <w:rPr>
            <w:rStyle w:val="af3"/>
            <w:rFonts w:ascii="仿宋_GB2312" w:eastAsia="仿宋_GB2312" w:hAnsi="宋体" w:hint="eastAsia"/>
            <w:sz w:val="32"/>
            <w:szCs w:val="32"/>
          </w:rPr>
          <w:t>四、标准制定原则</w:t>
        </w:r>
        <w:r w:rsidR="00A647FD">
          <w:rPr>
            <w:rFonts w:ascii="仿宋_GB2312" w:eastAsia="仿宋_GB2312" w:hAnsi="宋体" w:hint="eastAsia"/>
            <w:sz w:val="32"/>
            <w:szCs w:val="32"/>
          </w:rPr>
          <w:tab/>
        </w:r>
        <w:r w:rsidR="00A647FD">
          <w:rPr>
            <w:rFonts w:ascii="仿宋_GB2312" w:eastAsia="仿宋_GB2312" w:hAnsi="宋体" w:hint="eastAsia"/>
            <w:sz w:val="32"/>
            <w:szCs w:val="32"/>
          </w:rPr>
          <w:fldChar w:fldCharType="begin"/>
        </w:r>
        <w:r w:rsidR="00A647FD">
          <w:rPr>
            <w:rFonts w:ascii="仿宋_GB2312" w:eastAsia="仿宋_GB2312" w:hAnsi="宋体" w:hint="eastAsia"/>
            <w:sz w:val="32"/>
            <w:szCs w:val="32"/>
          </w:rPr>
          <w:instrText xml:space="preserve"> PAGEREF _Toc134114176 \h </w:instrText>
        </w:r>
        <w:r w:rsidR="00A647FD">
          <w:rPr>
            <w:rFonts w:ascii="仿宋_GB2312" w:eastAsia="仿宋_GB2312" w:hAnsi="宋体" w:hint="eastAsia"/>
            <w:sz w:val="32"/>
            <w:szCs w:val="32"/>
          </w:rPr>
        </w:r>
        <w:r w:rsidR="00A647FD">
          <w:rPr>
            <w:rFonts w:ascii="仿宋_GB2312" w:eastAsia="仿宋_GB2312" w:hAnsi="宋体" w:hint="eastAsia"/>
            <w:sz w:val="32"/>
            <w:szCs w:val="32"/>
          </w:rPr>
          <w:fldChar w:fldCharType="separate"/>
        </w:r>
        <w:r w:rsidR="00A647FD">
          <w:rPr>
            <w:rFonts w:ascii="仿宋_GB2312" w:eastAsia="仿宋_GB2312" w:hAnsi="宋体" w:hint="eastAsia"/>
            <w:sz w:val="32"/>
            <w:szCs w:val="32"/>
          </w:rPr>
          <w:t>- 4 -</w:t>
        </w:r>
        <w:r w:rsidR="00A647FD">
          <w:rPr>
            <w:rFonts w:ascii="仿宋_GB2312" w:eastAsia="仿宋_GB2312" w:hAnsi="宋体" w:hint="eastAsia"/>
            <w:sz w:val="32"/>
            <w:szCs w:val="32"/>
          </w:rPr>
          <w:fldChar w:fldCharType="end"/>
        </w:r>
      </w:hyperlink>
    </w:p>
    <w:p w:rsidR="0085068F" w:rsidRDefault="00545F54">
      <w:pPr>
        <w:pStyle w:val="TOC1"/>
        <w:tabs>
          <w:tab w:val="right" w:leader="dot" w:pos="8296"/>
        </w:tabs>
        <w:rPr>
          <w:rFonts w:ascii="仿宋_GB2312" w:eastAsia="仿宋_GB2312" w:hAnsi="宋体"/>
          <w:sz w:val="32"/>
          <w:szCs w:val="32"/>
        </w:rPr>
      </w:pPr>
      <w:hyperlink w:anchor="_Toc134114177" w:history="1">
        <w:r w:rsidR="00A647FD">
          <w:rPr>
            <w:rStyle w:val="af3"/>
            <w:rFonts w:ascii="仿宋_GB2312" w:eastAsia="仿宋_GB2312" w:hAnsi="宋体" w:hint="eastAsia"/>
            <w:sz w:val="32"/>
            <w:szCs w:val="32"/>
          </w:rPr>
          <w:t>五、标准主要章节内容及确定依据</w:t>
        </w:r>
        <w:r w:rsidR="00A647FD">
          <w:rPr>
            <w:rFonts w:ascii="仿宋_GB2312" w:eastAsia="仿宋_GB2312" w:hAnsi="宋体" w:hint="eastAsia"/>
            <w:sz w:val="32"/>
            <w:szCs w:val="32"/>
          </w:rPr>
          <w:tab/>
        </w:r>
        <w:r w:rsidR="00A647FD">
          <w:rPr>
            <w:rFonts w:ascii="仿宋_GB2312" w:eastAsia="仿宋_GB2312" w:hAnsi="宋体" w:hint="eastAsia"/>
            <w:sz w:val="32"/>
            <w:szCs w:val="32"/>
          </w:rPr>
          <w:fldChar w:fldCharType="begin"/>
        </w:r>
        <w:r w:rsidR="00A647FD">
          <w:rPr>
            <w:rFonts w:ascii="仿宋_GB2312" w:eastAsia="仿宋_GB2312" w:hAnsi="宋体" w:hint="eastAsia"/>
            <w:sz w:val="32"/>
            <w:szCs w:val="32"/>
          </w:rPr>
          <w:instrText xml:space="preserve"> PAGEREF _Toc134114177 \h </w:instrText>
        </w:r>
        <w:r w:rsidR="00A647FD">
          <w:rPr>
            <w:rFonts w:ascii="仿宋_GB2312" w:eastAsia="仿宋_GB2312" w:hAnsi="宋体" w:hint="eastAsia"/>
            <w:sz w:val="32"/>
            <w:szCs w:val="32"/>
          </w:rPr>
        </w:r>
        <w:r w:rsidR="00A647FD">
          <w:rPr>
            <w:rFonts w:ascii="仿宋_GB2312" w:eastAsia="仿宋_GB2312" w:hAnsi="宋体" w:hint="eastAsia"/>
            <w:sz w:val="32"/>
            <w:szCs w:val="32"/>
          </w:rPr>
          <w:fldChar w:fldCharType="separate"/>
        </w:r>
        <w:r w:rsidR="00A647FD">
          <w:rPr>
            <w:rFonts w:ascii="仿宋_GB2312" w:eastAsia="仿宋_GB2312" w:hAnsi="宋体" w:hint="eastAsia"/>
            <w:sz w:val="32"/>
            <w:szCs w:val="32"/>
          </w:rPr>
          <w:t>- 5 -</w:t>
        </w:r>
        <w:r w:rsidR="00A647FD">
          <w:rPr>
            <w:rFonts w:ascii="仿宋_GB2312" w:eastAsia="仿宋_GB2312" w:hAnsi="宋体" w:hint="eastAsia"/>
            <w:sz w:val="32"/>
            <w:szCs w:val="32"/>
          </w:rPr>
          <w:fldChar w:fldCharType="end"/>
        </w:r>
      </w:hyperlink>
    </w:p>
    <w:p w:rsidR="0085068F" w:rsidRDefault="00545F54">
      <w:pPr>
        <w:pStyle w:val="TOC1"/>
        <w:tabs>
          <w:tab w:val="right" w:leader="dot" w:pos="8296"/>
        </w:tabs>
        <w:rPr>
          <w:rFonts w:ascii="仿宋_GB2312" w:eastAsia="仿宋_GB2312" w:hAnsi="宋体"/>
          <w:sz w:val="32"/>
          <w:szCs w:val="32"/>
        </w:rPr>
      </w:pPr>
      <w:hyperlink w:anchor="_Toc134114178" w:history="1">
        <w:r w:rsidR="00A647FD">
          <w:rPr>
            <w:rStyle w:val="af3"/>
            <w:rFonts w:ascii="仿宋_GB2312" w:eastAsia="仿宋_GB2312" w:hAnsi="宋体" w:hint="eastAsia"/>
            <w:sz w:val="32"/>
            <w:szCs w:val="32"/>
          </w:rPr>
          <w:t>六、国内外同类标准制修订情况及与法律法规、强制性标准关系</w:t>
        </w:r>
        <w:r w:rsidR="00A647FD">
          <w:rPr>
            <w:rFonts w:ascii="仿宋_GB2312" w:eastAsia="仿宋_GB2312" w:hAnsi="宋体" w:hint="eastAsia"/>
            <w:sz w:val="32"/>
            <w:szCs w:val="32"/>
          </w:rPr>
          <w:tab/>
        </w:r>
        <w:r w:rsidR="00A647FD">
          <w:rPr>
            <w:rFonts w:ascii="仿宋_GB2312" w:eastAsia="仿宋_GB2312" w:hAnsi="宋体" w:hint="eastAsia"/>
            <w:sz w:val="32"/>
            <w:szCs w:val="32"/>
          </w:rPr>
          <w:fldChar w:fldCharType="begin"/>
        </w:r>
        <w:r w:rsidR="00A647FD">
          <w:rPr>
            <w:rFonts w:ascii="仿宋_GB2312" w:eastAsia="仿宋_GB2312" w:hAnsi="宋体" w:hint="eastAsia"/>
            <w:sz w:val="32"/>
            <w:szCs w:val="32"/>
          </w:rPr>
          <w:instrText xml:space="preserve"> PAGEREF _Toc134114178 \h </w:instrText>
        </w:r>
        <w:r w:rsidR="00A647FD">
          <w:rPr>
            <w:rFonts w:ascii="仿宋_GB2312" w:eastAsia="仿宋_GB2312" w:hAnsi="宋体" w:hint="eastAsia"/>
            <w:sz w:val="32"/>
            <w:szCs w:val="32"/>
          </w:rPr>
        </w:r>
        <w:r w:rsidR="00A647FD">
          <w:rPr>
            <w:rFonts w:ascii="仿宋_GB2312" w:eastAsia="仿宋_GB2312" w:hAnsi="宋体" w:hint="eastAsia"/>
            <w:sz w:val="32"/>
            <w:szCs w:val="32"/>
          </w:rPr>
          <w:fldChar w:fldCharType="separate"/>
        </w:r>
        <w:r w:rsidR="00A647FD">
          <w:rPr>
            <w:rFonts w:ascii="仿宋_GB2312" w:eastAsia="仿宋_GB2312" w:hAnsi="宋体" w:hint="eastAsia"/>
            <w:sz w:val="32"/>
            <w:szCs w:val="32"/>
          </w:rPr>
          <w:t>- 14 -</w:t>
        </w:r>
        <w:r w:rsidR="00A647FD">
          <w:rPr>
            <w:rFonts w:ascii="仿宋_GB2312" w:eastAsia="仿宋_GB2312" w:hAnsi="宋体" w:hint="eastAsia"/>
            <w:sz w:val="32"/>
            <w:szCs w:val="32"/>
          </w:rPr>
          <w:fldChar w:fldCharType="end"/>
        </w:r>
      </w:hyperlink>
    </w:p>
    <w:p w:rsidR="0085068F" w:rsidRDefault="00545F54">
      <w:pPr>
        <w:pStyle w:val="TOC1"/>
        <w:tabs>
          <w:tab w:val="right" w:leader="dot" w:pos="8296"/>
        </w:tabs>
        <w:rPr>
          <w:rFonts w:ascii="仿宋_GB2312" w:eastAsia="仿宋_GB2312" w:hAnsi="宋体"/>
          <w:sz w:val="32"/>
          <w:szCs w:val="32"/>
        </w:rPr>
      </w:pPr>
      <w:hyperlink w:anchor="_Toc134114179" w:history="1">
        <w:r w:rsidR="00A647FD">
          <w:rPr>
            <w:rStyle w:val="af3"/>
            <w:rFonts w:ascii="仿宋_GB2312" w:eastAsia="仿宋_GB2312" w:hAnsi="宋体" w:hint="eastAsia"/>
            <w:sz w:val="32"/>
            <w:szCs w:val="32"/>
          </w:rPr>
          <w:t>七、重大分歧意见的处理经过和依据</w:t>
        </w:r>
        <w:r w:rsidR="00A647FD">
          <w:rPr>
            <w:rFonts w:ascii="仿宋_GB2312" w:eastAsia="仿宋_GB2312" w:hAnsi="宋体" w:hint="eastAsia"/>
            <w:sz w:val="32"/>
            <w:szCs w:val="32"/>
          </w:rPr>
          <w:tab/>
        </w:r>
        <w:r w:rsidR="00A647FD">
          <w:rPr>
            <w:rFonts w:ascii="仿宋_GB2312" w:eastAsia="仿宋_GB2312" w:hAnsi="宋体" w:hint="eastAsia"/>
            <w:sz w:val="32"/>
            <w:szCs w:val="32"/>
          </w:rPr>
          <w:fldChar w:fldCharType="begin"/>
        </w:r>
        <w:r w:rsidR="00A647FD">
          <w:rPr>
            <w:rFonts w:ascii="仿宋_GB2312" w:eastAsia="仿宋_GB2312" w:hAnsi="宋体" w:hint="eastAsia"/>
            <w:sz w:val="32"/>
            <w:szCs w:val="32"/>
          </w:rPr>
          <w:instrText xml:space="preserve"> PAGEREF _Toc134114179 \h </w:instrText>
        </w:r>
        <w:r w:rsidR="00A647FD">
          <w:rPr>
            <w:rFonts w:ascii="仿宋_GB2312" w:eastAsia="仿宋_GB2312" w:hAnsi="宋体" w:hint="eastAsia"/>
            <w:sz w:val="32"/>
            <w:szCs w:val="32"/>
          </w:rPr>
        </w:r>
        <w:r w:rsidR="00A647FD">
          <w:rPr>
            <w:rFonts w:ascii="仿宋_GB2312" w:eastAsia="仿宋_GB2312" w:hAnsi="宋体" w:hint="eastAsia"/>
            <w:sz w:val="32"/>
            <w:szCs w:val="32"/>
          </w:rPr>
          <w:fldChar w:fldCharType="separate"/>
        </w:r>
        <w:r w:rsidR="00A647FD">
          <w:rPr>
            <w:rFonts w:ascii="仿宋_GB2312" w:eastAsia="仿宋_GB2312" w:hAnsi="宋体" w:hint="eastAsia"/>
            <w:sz w:val="32"/>
            <w:szCs w:val="32"/>
          </w:rPr>
          <w:t>- 15 -</w:t>
        </w:r>
        <w:r w:rsidR="00A647FD">
          <w:rPr>
            <w:rFonts w:ascii="仿宋_GB2312" w:eastAsia="仿宋_GB2312" w:hAnsi="宋体" w:hint="eastAsia"/>
            <w:sz w:val="32"/>
            <w:szCs w:val="32"/>
          </w:rPr>
          <w:fldChar w:fldCharType="end"/>
        </w:r>
      </w:hyperlink>
    </w:p>
    <w:p w:rsidR="0085068F" w:rsidRDefault="00545F54">
      <w:pPr>
        <w:pStyle w:val="TOC1"/>
        <w:tabs>
          <w:tab w:val="right" w:leader="dot" w:pos="8296"/>
        </w:tabs>
        <w:rPr>
          <w:rFonts w:ascii="仿宋_GB2312" w:eastAsia="仿宋_GB2312" w:hAnsi="宋体"/>
          <w:sz w:val="32"/>
          <w:szCs w:val="32"/>
        </w:rPr>
      </w:pPr>
      <w:hyperlink w:anchor="_Toc134114180" w:history="1">
        <w:r w:rsidR="00A647FD">
          <w:rPr>
            <w:rStyle w:val="af3"/>
            <w:rFonts w:ascii="仿宋_GB2312" w:eastAsia="仿宋_GB2312" w:hAnsi="宋体" w:hint="eastAsia"/>
            <w:sz w:val="32"/>
            <w:szCs w:val="32"/>
          </w:rPr>
          <w:t>八、自我承诺</w:t>
        </w:r>
        <w:r w:rsidR="00A647FD">
          <w:rPr>
            <w:rFonts w:ascii="仿宋_GB2312" w:eastAsia="仿宋_GB2312" w:hAnsi="宋体" w:hint="eastAsia"/>
            <w:sz w:val="32"/>
            <w:szCs w:val="32"/>
          </w:rPr>
          <w:tab/>
        </w:r>
        <w:r w:rsidR="00A647FD">
          <w:rPr>
            <w:rFonts w:ascii="仿宋_GB2312" w:eastAsia="仿宋_GB2312" w:hAnsi="宋体" w:hint="eastAsia"/>
            <w:sz w:val="32"/>
            <w:szCs w:val="32"/>
          </w:rPr>
          <w:fldChar w:fldCharType="begin"/>
        </w:r>
        <w:r w:rsidR="00A647FD">
          <w:rPr>
            <w:rFonts w:ascii="仿宋_GB2312" w:eastAsia="仿宋_GB2312" w:hAnsi="宋体" w:hint="eastAsia"/>
            <w:sz w:val="32"/>
            <w:szCs w:val="32"/>
          </w:rPr>
          <w:instrText xml:space="preserve"> PAGEREF _Toc134114180 \h </w:instrText>
        </w:r>
        <w:r w:rsidR="00A647FD">
          <w:rPr>
            <w:rFonts w:ascii="仿宋_GB2312" w:eastAsia="仿宋_GB2312" w:hAnsi="宋体" w:hint="eastAsia"/>
            <w:sz w:val="32"/>
            <w:szCs w:val="32"/>
          </w:rPr>
        </w:r>
        <w:r w:rsidR="00A647FD">
          <w:rPr>
            <w:rFonts w:ascii="仿宋_GB2312" w:eastAsia="仿宋_GB2312" w:hAnsi="宋体" w:hint="eastAsia"/>
            <w:sz w:val="32"/>
            <w:szCs w:val="32"/>
          </w:rPr>
          <w:fldChar w:fldCharType="separate"/>
        </w:r>
        <w:r w:rsidR="00A647FD">
          <w:rPr>
            <w:rFonts w:ascii="仿宋_GB2312" w:eastAsia="仿宋_GB2312" w:hAnsi="宋体" w:hint="eastAsia"/>
            <w:sz w:val="32"/>
            <w:szCs w:val="32"/>
          </w:rPr>
          <w:t>- 15 -</w:t>
        </w:r>
        <w:r w:rsidR="00A647FD">
          <w:rPr>
            <w:rFonts w:ascii="仿宋_GB2312" w:eastAsia="仿宋_GB2312" w:hAnsi="宋体" w:hint="eastAsia"/>
            <w:sz w:val="32"/>
            <w:szCs w:val="32"/>
          </w:rPr>
          <w:fldChar w:fldCharType="end"/>
        </w:r>
      </w:hyperlink>
    </w:p>
    <w:p w:rsidR="0085068F" w:rsidRDefault="00A647FD">
      <w:pPr>
        <w:spacing w:line="560" w:lineRule="exact"/>
        <w:rPr>
          <w:rFonts w:ascii="仿宋_GB2312" w:eastAsia="仿宋_GB2312" w:hAnsi="仿宋_GB2312" w:cs="仿宋_GB2312"/>
          <w:b/>
          <w:color w:val="000000" w:themeColor="text1"/>
          <w:sz w:val="28"/>
          <w:szCs w:val="28"/>
        </w:rPr>
      </w:pPr>
      <w:r>
        <w:rPr>
          <w:rFonts w:ascii="宋体" w:eastAsia="宋体" w:hAnsi="宋体" w:cs="仿宋_GB2312" w:hint="eastAsia"/>
          <w:color w:val="000000" w:themeColor="text1"/>
          <w:sz w:val="32"/>
          <w:szCs w:val="32"/>
        </w:rPr>
        <w:fldChar w:fldCharType="end"/>
      </w:r>
    </w:p>
    <w:p w:rsidR="0085068F" w:rsidRDefault="0085068F">
      <w:pPr>
        <w:widowControl/>
        <w:jc w:val="left"/>
        <w:rPr>
          <w:rFonts w:ascii="仿宋_GB2312" w:eastAsia="仿宋_GB2312" w:hAnsi="仿宋_GB2312" w:cs="仿宋_GB2312"/>
          <w:b/>
          <w:color w:val="000000" w:themeColor="text1"/>
          <w:sz w:val="32"/>
          <w:szCs w:val="32"/>
        </w:rPr>
        <w:sectPr w:rsidR="0085068F">
          <w:footerReference w:type="default" r:id="rId9"/>
          <w:pgSz w:w="11906" w:h="16838"/>
          <w:pgMar w:top="1440" w:right="1800" w:bottom="1440" w:left="1800" w:header="851" w:footer="992" w:gutter="0"/>
          <w:cols w:space="425"/>
          <w:docGrid w:type="lines" w:linePitch="312"/>
        </w:sectPr>
      </w:pPr>
    </w:p>
    <w:p w:rsidR="0085068F" w:rsidRDefault="00A647FD">
      <w:pPr>
        <w:pStyle w:val="1"/>
        <w:rPr>
          <w:color w:val="000000" w:themeColor="text1"/>
        </w:rPr>
      </w:pPr>
      <w:bookmarkStart w:id="0" w:name="_Toc134114173"/>
      <w:r>
        <w:rPr>
          <w:rFonts w:hint="eastAsia"/>
          <w:color w:val="000000" w:themeColor="text1"/>
        </w:rPr>
        <w:lastRenderedPageBreak/>
        <w:t>一、标准来源</w:t>
      </w:r>
      <w:bookmarkEnd w:id="0"/>
    </w:p>
    <w:p w:rsidR="0085068F" w:rsidRDefault="00A647FD">
      <w:pPr>
        <w:numPr>
          <w:ilvl w:val="255"/>
          <w:numId w:val="0"/>
        </w:numPr>
        <w:spacing w:line="560" w:lineRule="exact"/>
        <w:ind w:firstLineChars="200" w:firstLine="640"/>
        <w:jc w:val="left"/>
        <w:rPr>
          <w:rFonts w:ascii="仿宋_GB2312" w:eastAsia="仿宋_GB2312" w:hAnsi="仿宋" w:cs="Times New Roman"/>
          <w:color w:val="000000" w:themeColor="text1"/>
          <w:sz w:val="32"/>
          <w:szCs w:val="32"/>
          <w:shd w:val="clear" w:color="auto" w:fill="FFFFFF"/>
        </w:rPr>
      </w:pPr>
      <w:r>
        <w:rPr>
          <w:rFonts w:ascii="仿宋_GB2312" w:eastAsia="仿宋_GB2312" w:hAnsi="仿宋" w:cs="Times New Roman" w:hint="eastAsia"/>
          <w:color w:val="000000" w:themeColor="text1"/>
          <w:sz w:val="32"/>
          <w:szCs w:val="32"/>
          <w:shd w:val="clear" w:color="auto" w:fill="FFFFFF"/>
        </w:rPr>
        <w:t>202</w:t>
      </w:r>
      <w:r>
        <w:rPr>
          <w:rFonts w:ascii="仿宋_GB2312" w:eastAsia="仿宋_GB2312" w:hAnsi="仿宋" w:cs="Times New Roman"/>
          <w:color w:val="000000" w:themeColor="text1"/>
          <w:sz w:val="32"/>
          <w:szCs w:val="32"/>
          <w:shd w:val="clear" w:color="auto" w:fill="FFFFFF"/>
        </w:rPr>
        <w:t>2</w:t>
      </w:r>
      <w:r>
        <w:rPr>
          <w:rFonts w:ascii="仿宋_GB2312" w:eastAsia="仿宋_GB2312" w:hAnsi="仿宋" w:cs="Times New Roman" w:hint="eastAsia"/>
          <w:color w:val="000000" w:themeColor="text1"/>
          <w:sz w:val="32"/>
          <w:szCs w:val="32"/>
          <w:shd w:val="clear" w:color="auto" w:fill="FFFFFF"/>
        </w:rPr>
        <w:t>年</w:t>
      </w:r>
      <w:r>
        <w:rPr>
          <w:rFonts w:ascii="仿宋_GB2312" w:eastAsia="仿宋_GB2312" w:hAnsi="仿宋" w:cs="Times New Roman"/>
          <w:color w:val="000000" w:themeColor="text1"/>
          <w:sz w:val="32"/>
          <w:szCs w:val="32"/>
          <w:shd w:val="clear" w:color="auto" w:fill="FFFFFF"/>
        </w:rPr>
        <w:t>11</w:t>
      </w:r>
      <w:r>
        <w:rPr>
          <w:rFonts w:ascii="仿宋_GB2312" w:eastAsia="仿宋_GB2312" w:hAnsi="仿宋" w:cs="Times New Roman" w:hint="eastAsia"/>
          <w:color w:val="000000" w:themeColor="text1"/>
          <w:sz w:val="32"/>
          <w:szCs w:val="32"/>
          <w:shd w:val="clear" w:color="auto" w:fill="FFFFFF"/>
        </w:rPr>
        <w:t>月，根据《广西标准化协会关于下达2022 年第八十一批团体标准制修订项目计划的通知》（桂标协[2022]199号）的通知，团体标准《铝冶炼行业企业安全风险分级管控与隐患排查治理双重预防机制建设指南》通过立项审批。该标准由广西安全生产科学研究院牵头组织起草。</w:t>
      </w:r>
    </w:p>
    <w:p w:rsidR="0085068F" w:rsidRDefault="00A647FD">
      <w:pPr>
        <w:pStyle w:val="1"/>
        <w:rPr>
          <w:color w:val="000000" w:themeColor="text1"/>
        </w:rPr>
      </w:pPr>
      <w:bookmarkStart w:id="1" w:name="_Toc134114174"/>
      <w:r>
        <w:rPr>
          <w:rFonts w:hint="eastAsia"/>
          <w:color w:val="000000" w:themeColor="text1"/>
        </w:rPr>
        <w:t>二、标准编制背景及目的意义</w:t>
      </w:r>
      <w:bookmarkEnd w:id="1"/>
    </w:p>
    <w:p w:rsidR="0085068F" w:rsidRDefault="00A647FD">
      <w:pPr>
        <w:numPr>
          <w:ilvl w:val="255"/>
          <w:numId w:val="0"/>
        </w:numPr>
        <w:spacing w:line="560" w:lineRule="exact"/>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（一）标准编制背景</w:t>
      </w:r>
    </w:p>
    <w:p w:rsidR="0085068F" w:rsidRDefault="00A647FD">
      <w:pPr>
        <w:spacing w:line="520" w:lineRule="exact"/>
        <w:ind w:firstLineChars="200" w:firstLine="643"/>
        <w:rPr>
          <w:rFonts w:ascii="仿宋" w:eastAsia="仿宋" w:hAnsi="仿宋"/>
          <w:b/>
          <w:bCs/>
          <w:color w:val="000000" w:themeColor="text1"/>
          <w:sz w:val="32"/>
          <w:szCs w:val="32"/>
        </w:rPr>
      </w:pPr>
      <w:r>
        <w:rPr>
          <w:rFonts w:ascii="仿宋" w:eastAsia="仿宋" w:hAnsi="仿宋" w:hint="eastAsia"/>
          <w:b/>
          <w:bCs/>
          <w:color w:val="000000" w:themeColor="text1"/>
          <w:sz w:val="32"/>
          <w:szCs w:val="32"/>
        </w:rPr>
        <w:t>1</w:t>
      </w:r>
      <w:r>
        <w:rPr>
          <w:rFonts w:ascii="仿宋" w:eastAsia="仿宋" w:hAnsi="仿宋"/>
          <w:b/>
          <w:bCs/>
          <w:color w:val="000000" w:themeColor="text1"/>
          <w:sz w:val="32"/>
          <w:szCs w:val="32"/>
        </w:rPr>
        <w:t>.</w:t>
      </w:r>
      <w:r>
        <w:rPr>
          <w:rFonts w:ascii="仿宋" w:eastAsia="仿宋" w:hAnsi="仿宋" w:hint="eastAsia"/>
          <w:b/>
          <w:bCs/>
          <w:color w:val="000000" w:themeColor="text1"/>
          <w:sz w:val="32"/>
          <w:szCs w:val="32"/>
        </w:rPr>
        <w:t>国家及自治区有关文件</w:t>
      </w:r>
    </w:p>
    <w:p w:rsidR="00C86F81" w:rsidRDefault="00006BFE">
      <w:pPr>
        <w:numPr>
          <w:ilvl w:val="255"/>
          <w:numId w:val="0"/>
        </w:numPr>
        <w:spacing w:line="560" w:lineRule="exact"/>
        <w:ind w:firstLineChars="200" w:firstLine="640"/>
        <w:jc w:val="left"/>
        <w:rPr>
          <w:rFonts w:ascii="仿宋" w:eastAsia="仿宋" w:hAnsi="仿宋"/>
          <w:sz w:val="32"/>
          <w:szCs w:val="32"/>
        </w:rPr>
      </w:pPr>
      <w:r>
        <w:rPr>
          <w:rFonts w:ascii="仿宋" w:eastAsia="仿宋" w:hAnsi="仿宋" w:hint="eastAsia"/>
          <w:sz w:val="32"/>
          <w:szCs w:val="32"/>
        </w:rPr>
        <w:t>《中华人民共和国安全生产法》第四条“</w:t>
      </w:r>
      <w:r w:rsidRPr="00072A04">
        <w:rPr>
          <w:rFonts w:ascii="仿宋" w:eastAsia="仿宋" w:hAnsi="仿宋" w:hint="eastAsia"/>
          <w:sz w:val="32"/>
          <w:szCs w:val="32"/>
        </w:rPr>
        <w:t>生产经营单位必须遵守本法和其他有关安全生产的法律、法规，加强安全生产管理，建立健全全员安全生产责任制和安全生产规章制度，加大对安全生产</w:t>
      </w:r>
      <w:r w:rsidRPr="00006BFE">
        <w:rPr>
          <w:rFonts w:ascii="仿宋" w:eastAsia="仿宋" w:hAnsi="仿宋" w:hint="eastAsia"/>
          <w:sz w:val="32"/>
          <w:szCs w:val="32"/>
        </w:rPr>
        <w:t>资金、物资、技术、人员的投入保障力度，改善安全生产条件，加强安全生产标准化、信息化建设，</w:t>
      </w:r>
      <w:r w:rsidRPr="00006BFE">
        <w:rPr>
          <w:rFonts w:ascii="仿宋" w:eastAsia="仿宋" w:hAnsi="仿宋" w:hint="eastAsia"/>
          <w:b/>
          <w:bCs/>
          <w:sz w:val="32"/>
          <w:szCs w:val="32"/>
        </w:rPr>
        <w:t>构建安全风险分级管控和隐患排查治理双重预防机制</w:t>
      </w:r>
      <w:r w:rsidRPr="00006BFE">
        <w:rPr>
          <w:rFonts w:ascii="仿宋" w:eastAsia="仿宋" w:hAnsi="仿宋" w:hint="eastAsia"/>
          <w:sz w:val="32"/>
          <w:szCs w:val="32"/>
        </w:rPr>
        <w:t>，健全风险防范化解机制，提高安全生产水平，确保安全生产”及第四十一条“</w:t>
      </w:r>
      <w:r w:rsidRPr="00006BFE">
        <w:rPr>
          <w:rFonts w:ascii="仿宋" w:eastAsia="仿宋" w:hAnsi="仿宋" w:hint="eastAsia"/>
          <w:b/>
          <w:bCs/>
          <w:sz w:val="32"/>
          <w:szCs w:val="32"/>
        </w:rPr>
        <w:t>生产经营单位应当建立安全风险分级管控制度，按照安全风险分级采取相应的管控措施</w:t>
      </w:r>
      <w:r w:rsidRPr="00006BFE">
        <w:rPr>
          <w:rFonts w:ascii="仿宋" w:eastAsia="仿宋" w:hAnsi="仿宋" w:hint="eastAsia"/>
          <w:sz w:val="32"/>
          <w:szCs w:val="32"/>
        </w:rPr>
        <w:t>。”及</w:t>
      </w:r>
      <w:r w:rsidRPr="00006BFE">
        <w:rPr>
          <w:rFonts w:ascii="仿宋" w:eastAsia="仿宋" w:hAnsi="仿宋"/>
          <w:color w:val="000000" w:themeColor="text1"/>
          <w:sz w:val="32"/>
          <w:szCs w:val="32"/>
        </w:rPr>
        <w:t>国务院安委办</w:t>
      </w:r>
      <w:r w:rsidRPr="00006BFE">
        <w:rPr>
          <w:rFonts w:ascii="仿宋" w:eastAsia="仿宋" w:hAnsi="仿宋" w:hint="eastAsia"/>
          <w:color w:val="000000" w:themeColor="text1"/>
          <w:sz w:val="32"/>
          <w:szCs w:val="32"/>
        </w:rPr>
        <w:t>《关于实施遏制重特大事故工作指南构建双重预防机制的意见》“（二）工作目标。</w:t>
      </w:r>
      <w:r w:rsidRPr="00006BFE">
        <w:rPr>
          <w:rFonts w:ascii="仿宋" w:eastAsia="仿宋" w:hAnsi="仿宋" w:hint="eastAsia"/>
          <w:b/>
          <w:bCs/>
          <w:color w:val="000000" w:themeColor="text1"/>
          <w:sz w:val="32"/>
          <w:szCs w:val="32"/>
        </w:rPr>
        <w:t>尽快建立健全安全风险分级管控和隐患排查治理的工作制度和规范</w:t>
      </w:r>
      <w:r w:rsidRPr="00006BFE">
        <w:rPr>
          <w:rFonts w:ascii="仿宋" w:eastAsia="仿宋" w:hAnsi="仿宋" w:hint="eastAsia"/>
          <w:color w:val="000000" w:themeColor="text1"/>
          <w:sz w:val="32"/>
          <w:szCs w:val="32"/>
        </w:rPr>
        <w:t>，完善技术工程支撑、智能化管控、第三方专业化服务的保障措施，实现企业安全风险自辨自控、隐患自查自治，形成政府领导有力、部门监管有效、企业责任落实、社会参与有序的工作格局，提升安</w:t>
      </w:r>
      <w:r w:rsidRPr="00006BFE">
        <w:rPr>
          <w:rFonts w:ascii="仿宋" w:eastAsia="仿宋" w:hAnsi="仿宋" w:hint="eastAsia"/>
          <w:color w:val="000000" w:themeColor="text1"/>
          <w:sz w:val="32"/>
          <w:szCs w:val="32"/>
        </w:rPr>
        <w:lastRenderedPageBreak/>
        <w:t>全生产整体预控能力，夯实遏制重特大事故的坚强基础。”</w:t>
      </w:r>
      <w:r w:rsidRPr="00951859">
        <w:rPr>
          <w:rFonts w:ascii="仿宋" w:eastAsia="仿宋" w:hAnsi="仿宋" w:hint="eastAsia"/>
          <w:b/>
          <w:bCs/>
          <w:sz w:val="32"/>
          <w:szCs w:val="32"/>
        </w:rPr>
        <w:t>从国家法律层面确定了</w:t>
      </w:r>
      <w:r w:rsidRPr="00006BFE">
        <w:rPr>
          <w:rFonts w:ascii="仿宋" w:eastAsia="仿宋" w:hAnsi="仿宋" w:hint="eastAsia"/>
          <w:b/>
          <w:bCs/>
          <w:sz w:val="32"/>
          <w:szCs w:val="32"/>
        </w:rPr>
        <w:t>所有的生产经营单位均要</w:t>
      </w:r>
      <w:r w:rsidRPr="00006BFE">
        <w:rPr>
          <w:rFonts w:ascii="仿宋" w:eastAsia="仿宋" w:hAnsi="仿宋" w:hint="eastAsia"/>
          <w:b/>
          <w:bCs/>
          <w:sz w:val="32"/>
          <w:szCs w:val="32"/>
        </w:rPr>
        <w:t>构建</w:t>
      </w:r>
      <w:r w:rsidRPr="00006BFE">
        <w:rPr>
          <w:rFonts w:ascii="仿宋" w:eastAsia="仿宋" w:hAnsi="仿宋" w:hint="eastAsia"/>
          <w:b/>
          <w:bCs/>
          <w:sz w:val="32"/>
          <w:szCs w:val="32"/>
        </w:rPr>
        <w:t>安全风险分级管控和隐患排查治理双重预防机制</w:t>
      </w:r>
      <w:r w:rsidRPr="00006BFE">
        <w:rPr>
          <w:rFonts w:ascii="仿宋" w:eastAsia="仿宋" w:hAnsi="仿宋" w:hint="eastAsia"/>
          <w:sz w:val="32"/>
          <w:szCs w:val="32"/>
        </w:rPr>
        <w:t>。</w:t>
      </w:r>
    </w:p>
    <w:p w:rsidR="0085068F" w:rsidRDefault="00C86F81">
      <w:pPr>
        <w:numPr>
          <w:ilvl w:val="255"/>
          <w:numId w:val="0"/>
        </w:numPr>
        <w:spacing w:line="560" w:lineRule="exact"/>
        <w:ind w:firstLineChars="200" w:firstLine="640"/>
        <w:jc w:val="left"/>
        <w:rPr>
          <w:rFonts w:ascii="仿宋_GB2312" w:eastAsia="仿宋_GB2312" w:hAnsi="仿宋" w:cs="Times New Roman"/>
          <w:color w:val="000000" w:themeColor="text1"/>
          <w:sz w:val="32"/>
          <w:szCs w:val="32"/>
          <w:shd w:val="clear" w:color="auto" w:fill="FFFFFF"/>
        </w:rPr>
      </w:pPr>
      <w:r>
        <w:rPr>
          <w:rFonts w:ascii="仿宋_GB2312" w:eastAsia="仿宋_GB2312" w:hAnsi="仿宋" w:cs="Times New Roman" w:hint="eastAsia"/>
          <w:color w:val="000000" w:themeColor="text1"/>
          <w:sz w:val="32"/>
          <w:szCs w:val="32"/>
          <w:shd w:val="clear" w:color="auto" w:fill="FFFFFF"/>
        </w:rPr>
        <w:t>同时</w:t>
      </w:r>
      <w:r w:rsidR="00A647FD">
        <w:rPr>
          <w:rFonts w:ascii="仿宋_GB2312" w:eastAsia="仿宋_GB2312" w:hAnsi="仿宋" w:cs="Times New Roman" w:hint="eastAsia"/>
          <w:color w:val="000000" w:themeColor="text1"/>
          <w:sz w:val="32"/>
          <w:szCs w:val="32"/>
          <w:shd w:val="clear" w:color="auto" w:fill="FFFFFF"/>
        </w:rPr>
        <w:t>广西壮族自治区应急管理厅</w:t>
      </w:r>
      <w:r w:rsidR="00006BFE">
        <w:rPr>
          <w:rFonts w:ascii="仿宋_GB2312" w:eastAsia="仿宋_GB2312" w:hAnsi="仿宋" w:cs="Times New Roman" w:hint="eastAsia"/>
          <w:color w:val="000000" w:themeColor="text1"/>
          <w:sz w:val="32"/>
          <w:szCs w:val="32"/>
          <w:shd w:val="clear" w:color="auto" w:fill="FFFFFF"/>
        </w:rPr>
        <w:t>及</w:t>
      </w:r>
      <w:r w:rsidR="00A647FD">
        <w:rPr>
          <w:rFonts w:ascii="仿宋_GB2312" w:eastAsia="仿宋_GB2312" w:hAnsi="仿宋" w:cs="Times New Roman" w:hint="eastAsia"/>
          <w:color w:val="000000" w:themeColor="text1"/>
          <w:sz w:val="32"/>
          <w:szCs w:val="32"/>
          <w:shd w:val="clear" w:color="auto" w:fill="FFFFFF"/>
        </w:rPr>
        <w:t>广西壮族自治区发展和改革委员会《广西应急体系建设“十四五”规划》中要求，要加快推进“双重预防体系”标准规范的制定，同时本标准的立项也是广西壮族自治区应急管理厅开展“标准化建设年”工作的有力支撑，将有助于指导我区铝冶炼行业企业规范构建双重预防机制，是当下预防和化解重特大生产安全事故的有力抓手和重要保障。</w:t>
      </w:r>
    </w:p>
    <w:p w:rsidR="0085068F" w:rsidRDefault="00A647FD">
      <w:pPr>
        <w:numPr>
          <w:ilvl w:val="255"/>
          <w:numId w:val="0"/>
        </w:numPr>
        <w:spacing w:line="560" w:lineRule="exact"/>
        <w:ind w:firstLineChars="200" w:firstLine="602"/>
        <w:jc w:val="left"/>
        <w:rPr>
          <w:rFonts w:ascii="仿宋" w:eastAsia="仿宋" w:hAnsi="仿宋" w:cs="Arial"/>
          <w:b/>
          <w:bCs/>
          <w:color w:val="000000" w:themeColor="text1"/>
          <w:sz w:val="30"/>
          <w:szCs w:val="30"/>
          <w:shd w:val="clear" w:color="auto" w:fill="FFFFFF"/>
        </w:rPr>
      </w:pPr>
      <w:r>
        <w:rPr>
          <w:rFonts w:ascii="仿宋" w:eastAsia="仿宋" w:hAnsi="仿宋" w:cs="Arial" w:hint="eastAsia"/>
          <w:b/>
          <w:bCs/>
          <w:color w:val="000000" w:themeColor="text1"/>
          <w:sz w:val="30"/>
          <w:szCs w:val="30"/>
          <w:shd w:val="clear" w:color="auto" w:fill="FFFFFF"/>
        </w:rPr>
        <w:t>2</w:t>
      </w:r>
      <w:r>
        <w:rPr>
          <w:rFonts w:ascii="仿宋" w:eastAsia="仿宋" w:hAnsi="仿宋" w:cs="Arial"/>
          <w:b/>
          <w:bCs/>
          <w:color w:val="000000" w:themeColor="text1"/>
          <w:sz w:val="30"/>
          <w:szCs w:val="30"/>
          <w:shd w:val="clear" w:color="auto" w:fill="FFFFFF"/>
        </w:rPr>
        <w:t>.</w:t>
      </w:r>
      <w:r>
        <w:rPr>
          <w:rFonts w:ascii="仿宋" w:eastAsia="仿宋" w:hAnsi="仿宋" w:cs="Arial" w:hint="eastAsia"/>
          <w:b/>
          <w:bCs/>
          <w:color w:val="000000" w:themeColor="text1"/>
          <w:sz w:val="30"/>
          <w:szCs w:val="30"/>
          <w:shd w:val="clear" w:color="auto" w:fill="FFFFFF"/>
        </w:rPr>
        <w:t>广西铝冶炼行业企业安全生产形势</w:t>
      </w:r>
    </w:p>
    <w:p w:rsidR="0085068F" w:rsidRDefault="00A647FD">
      <w:pPr>
        <w:numPr>
          <w:ilvl w:val="255"/>
          <w:numId w:val="0"/>
        </w:numPr>
        <w:spacing w:line="560" w:lineRule="exact"/>
        <w:ind w:firstLineChars="200" w:firstLine="640"/>
        <w:jc w:val="left"/>
        <w:rPr>
          <w:rFonts w:ascii="仿宋_GB2312" w:eastAsia="仿宋_GB2312" w:hAnsi="仿宋" w:cs="Times New Roman"/>
          <w:color w:val="000000" w:themeColor="text1"/>
          <w:sz w:val="32"/>
          <w:szCs w:val="32"/>
          <w:shd w:val="clear" w:color="auto" w:fill="FFFFFF"/>
        </w:rPr>
      </w:pPr>
      <w:r>
        <w:rPr>
          <w:rFonts w:ascii="仿宋_GB2312" w:eastAsia="仿宋_GB2312" w:hAnsi="仿宋" w:cs="Times New Roman" w:hint="eastAsia"/>
          <w:color w:val="000000" w:themeColor="text1"/>
          <w:sz w:val="32"/>
          <w:szCs w:val="32"/>
          <w:shd w:val="clear" w:color="auto" w:fill="FFFFFF"/>
        </w:rPr>
        <w:t>最近几年开展的各类安全检查发现，铝冶炼行业企业在双重预防机制建设及运行过程中存在一些典型问题：一是风险辨识不全，方法应用不当；二是没有根据不同作业的风险级别，明确风险分析的开展方式；三是拿到风险分析报告后，没有跟进制定风险管控措施；四是没有按层级开展风险管控，采取笼统管理抓不住要害；五是风险管控中存在流程不清晰、责任不明确、执行不到位的情况；六是隐患排查治理过程没有形成闭环管理；七是缺少信息化平台的支持。</w:t>
      </w:r>
    </w:p>
    <w:p w:rsidR="0085068F" w:rsidRDefault="00A647FD">
      <w:pPr>
        <w:numPr>
          <w:ilvl w:val="255"/>
          <w:numId w:val="0"/>
        </w:numPr>
        <w:spacing w:line="560" w:lineRule="exact"/>
        <w:ind w:firstLineChars="200" w:firstLine="640"/>
        <w:jc w:val="left"/>
        <w:rPr>
          <w:rFonts w:ascii="仿宋_GB2312" w:eastAsia="仿宋_GB2312" w:hAnsi="仿宋" w:cs="Times New Roman"/>
          <w:color w:val="000000" w:themeColor="text1"/>
          <w:sz w:val="32"/>
          <w:szCs w:val="32"/>
          <w:shd w:val="clear" w:color="auto" w:fill="FFFFFF"/>
        </w:rPr>
      </w:pPr>
      <w:r>
        <w:rPr>
          <w:rFonts w:ascii="仿宋_GB2312" w:eastAsia="仿宋_GB2312" w:hAnsi="仿宋" w:cs="Times New Roman" w:hint="eastAsia"/>
          <w:color w:val="000000" w:themeColor="text1"/>
          <w:sz w:val="32"/>
          <w:szCs w:val="32"/>
          <w:shd w:val="clear" w:color="auto" w:fill="FFFFFF"/>
        </w:rPr>
        <w:t>而目前广西暂无铝冶炼行业企业双重预防机制建设相关标准，缺乏指导广西铝冶炼行业企业建设双重预防机制的通用性文件，铝冶炼行业企业双重预防机制建设质量良莠不齐，亟需通过制定铝冶炼行业企业双重预防机制建设标准化文件，提高铝冶炼行业企业双重预防机制建设的水平。</w:t>
      </w:r>
    </w:p>
    <w:p w:rsidR="0085068F" w:rsidRDefault="00A647FD">
      <w:pPr>
        <w:numPr>
          <w:ilvl w:val="255"/>
          <w:numId w:val="0"/>
        </w:numPr>
        <w:spacing w:line="560" w:lineRule="exact"/>
        <w:ind w:firstLineChars="200" w:firstLine="640"/>
        <w:jc w:val="left"/>
        <w:rPr>
          <w:rFonts w:ascii="仿宋_GB2312" w:eastAsia="仿宋_GB2312" w:hAnsi="仿宋" w:cs="Times New Roman"/>
          <w:color w:val="000000" w:themeColor="text1"/>
          <w:sz w:val="32"/>
          <w:szCs w:val="32"/>
          <w:shd w:val="clear" w:color="auto" w:fill="FFFFFF"/>
        </w:rPr>
      </w:pPr>
      <w:r>
        <w:rPr>
          <w:rFonts w:ascii="仿宋_GB2312" w:eastAsia="仿宋_GB2312" w:hAnsi="仿宋" w:cs="Times New Roman" w:hint="eastAsia"/>
          <w:color w:val="000000" w:themeColor="text1"/>
          <w:sz w:val="32"/>
          <w:szCs w:val="32"/>
          <w:shd w:val="clear" w:color="auto" w:fill="FFFFFF"/>
        </w:rPr>
        <w:lastRenderedPageBreak/>
        <w:t>综上所述，亟需制定广西</w:t>
      </w:r>
      <w:r w:rsidR="00C86F81">
        <w:rPr>
          <w:rFonts w:ascii="仿宋_GB2312" w:eastAsia="仿宋_GB2312" w:hAnsi="仿宋" w:cs="Times New Roman" w:hint="eastAsia"/>
          <w:color w:val="000000" w:themeColor="text1"/>
          <w:sz w:val="32"/>
          <w:szCs w:val="32"/>
          <w:shd w:val="clear" w:color="auto" w:fill="FFFFFF"/>
        </w:rPr>
        <w:t>团体</w:t>
      </w:r>
      <w:r>
        <w:rPr>
          <w:rFonts w:ascii="仿宋_GB2312" w:eastAsia="仿宋_GB2312" w:hAnsi="仿宋" w:cs="Times New Roman" w:hint="eastAsia"/>
          <w:color w:val="000000" w:themeColor="text1"/>
          <w:sz w:val="32"/>
          <w:szCs w:val="32"/>
          <w:shd w:val="clear" w:color="auto" w:fill="FFFFFF"/>
        </w:rPr>
        <w:t>标准《铝冶炼行业企业安全风险分级管控与隐患排查治理双重预防机制建设指南》进行指导和规范。</w:t>
      </w:r>
    </w:p>
    <w:p w:rsidR="0085068F" w:rsidRDefault="00A647FD">
      <w:pPr>
        <w:numPr>
          <w:ilvl w:val="255"/>
          <w:numId w:val="0"/>
        </w:numPr>
        <w:spacing w:line="560" w:lineRule="exact"/>
        <w:jc w:val="left"/>
        <w:rPr>
          <w:rFonts w:ascii="仿宋_GB2312" w:eastAsia="楷体" w:hAnsi="仿宋_GB2312" w:cs="仿宋_GB2312"/>
          <w:b/>
          <w:color w:val="000000" w:themeColor="text1"/>
          <w:sz w:val="32"/>
          <w:szCs w:val="32"/>
        </w:rPr>
      </w:pPr>
      <w:r>
        <w:rPr>
          <w:rFonts w:ascii="楷体" w:eastAsia="楷体" w:hAnsi="楷体" w:cs="仿宋_GB2312" w:hint="eastAsia"/>
          <w:b/>
          <w:color w:val="000000" w:themeColor="text1"/>
          <w:sz w:val="32"/>
          <w:szCs w:val="32"/>
        </w:rPr>
        <w:t>（二）项目目的意义</w:t>
      </w:r>
    </w:p>
    <w:p w:rsidR="0085068F" w:rsidRDefault="00A647FD">
      <w:pPr>
        <w:numPr>
          <w:ilvl w:val="255"/>
          <w:numId w:val="0"/>
        </w:numPr>
        <w:spacing w:line="560" w:lineRule="exact"/>
        <w:ind w:firstLineChars="200" w:firstLine="640"/>
        <w:jc w:val="left"/>
        <w:rPr>
          <w:rFonts w:ascii="仿宋_GB2312" w:eastAsia="仿宋_GB2312" w:hAnsi="仿宋" w:cs="Times New Roman"/>
          <w:color w:val="000000" w:themeColor="text1"/>
          <w:sz w:val="32"/>
          <w:szCs w:val="32"/>
          <w:shd w:val="clear" w:color="auto" w:fill="FFFFFF"/>
        </w:rPr>
      </w:pPr>
      <w:r>
        <w:rPr>
          <w:rFonts w:ascii="仿宋_GB2312" w:eastAsia="仿宋_GB2312" w:hAnsi="仿宋" w:cs="Times New Roman" w:hint="eastAsia"/>
          <w:color w:val="000000" w:themeColor="text1"/>
          <w:sz w:val="32"/>
          <w:szCs w:val="32"/>
          <w:shd w:val="clear" w:color="auto" w:fill="FFFFFF"/>
        </w:rPr>
        <w:t>制定本标准旨在贯彻落实党中央关于安全生产工作的重大决策部署，引导企业开展和完善基于信息化的安全风险分级管控和隐患排查治理双重预防机制建设，提高企业双重预防机制建设水平，遏制生产安全重特大事故的发生。</w:t>
      </w:r>
    </w:p>
    <w:p w:rsidR="0085068F" w:rsidRDefault="00A647FD">
      <w:pPr>
        <w:pStyle w:val="1"/>
        <w:rPr>
          <w:color w:val="000000" w:themeColor="text1"/>
        </w:rPr>
      </w:pPr>
      <w:bookmarkStart w:id="2" w:name="_Toc134114175"/>
      <w:r>
        <w:rPr>
          <w:rFonts w:hint="eastAsia"/>
          <w:color w:val="000000" w:themeColor="text1"/>
        </w:rPr>
        <w:t>三、项目编制过程</w:t>
      </w:r>
      <w:bookmarkEnd w:id="2"/>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标准编制工作主要分六个阶段：</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（一）第一阶段：成立编制工作组，确定工作方案。</w:t>
      </w:r>
    </w:p>
    <w:p w:rsidR="0085068F" w:rsidRDefault="00A647FD">
      <w:pPr>
        <w:spacing w:line="560" w:lineRule="exact"/>
        <w:ind w:firstLineChars="200" w:firstLine="640"/>
        <w:rPr>
          <w:rFonts w:ascii="仿宋" w:eastAsia="仿宋" w:hAnsi="仿宋" w:cs="仿宋_GB2312"/>
          <w:color w:val="000000" w:themeColor="text1"/>
          <w:sz w:val="32"/>
          <w:szCs w:val="32"/>
        </w:rPr>
      </w:pPr>
      <w:r>
        <w:rPr>
          <w:rFonts w:ascii="仿宋" w:eastAsia="仿宋" w:hAnsi="仿宋" w:hint="eastAsia"/>
          <w:color w:val="000000" w:themeColor="text1"/>
          <w:sz w:val="32"/>
          <w:szCs w:val="32"/>
        </w:rPr>
        <w:t>由广西安全生产科学研究院、广西吉锐安全技术有限公司</w:t>
      </w:r>
      <w:r w:rsidR="0077408A">
        <w:rPr>
          <w:rFonts w:ascii="仿宋" w:eastAsia="仿宋" w:hAnsi="仿宋" w:hint="eastAsia"/>
          <w:color w:val="000000" w:themeColor="text1"/>
          <w:sz w:val="32"/>
          <w:szCs w:val="32"/>
        </w:rPr>
        <w:t>等公司</w:t>
      </w:r>
      <w:r>
        <w:rPr>
          <w:rFonts w:ascii="仿宋" w:eastAsia="仿宋" w:hAnsi="仿宋" w:hint="eastAsia"/>
          <w:color w:val="000000" w:themeColor="text1"/>
          <w:sz w:val="32"/>
          <w:szCs w:val="32"/>
        </w:rPr>
        <w:t>明确专人组成编制工作组，编制组全体成员共同研究讨论，明确各项具体工作，制定标准起草工作方案。</w:t>
      </w:r>
      <w:r>
        <w:rPr>
          <w:rFonts w:ascii="仿宋" w:eastAsia="仿宋" w:hAnsi="仿宋" w:cs="仿宋_GB2312" w:hint="eastAsia"/>
          <w:color w:val="000000" w:themeColor="text1"/>
          <w:sz w:val="32"/>
          <w:szCs w:val="32"/>
        </w:rPr>
        <w:t>编制小组收集、整理区内外有关铝冶炼行业企业双重预防机制建设的标准规范、文献等相关资料，经认真分析、研究，最终确定《铝冶炼行业企业安全风险分级管控与隐患排查治理双重预防机制建设指南》团体标准草案框架和标准要素。</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（二）第二阶段：制定标准草案，完成标准立项。</w:t>
      </w:r>
    </w:p>
    <w:p w:rsidR="0085068F" w:rsidRDefault="00A647FD">
      <w:pPr>
        <w:spacing w:line="560" w:lineRule="exact"/>
        <w:ind w:firstLineChars="200" w:firstLine="640"/>
        <w:rPr>
          <w:rFonts w:ascii="仿宋_GB2312" w:eastAsia="仿宋_GB2312" w:hAnsi="黑体"/>
          <w:color w:val="000000" w:themeColor="text1"/>
          <w:sz w:val="32"/>
          <w:szCs w:val="32"/>
        </w:rPr>
      </w:pPr>
      <w:r>
        <w:rPr>
          <w:rFonts w:ascii="仿宋_GB2312" w:eastAsia="仿宋_GB2312" w:hAnsi="仿宋" w:hint="eastAsia"/>
          <w:color w:val="000000" w:themeColor="text1"/>
          <w:sz w:val="32"/>
          <w:szCs w:val="32"/>
        </w:rPr>
        <w:t>结合我区对</w:t>
      </w:r>
      <w:r>
        <w:rPr>
          <w:rFonts w:ascii="仿宋_GB2312" w:eastAsia="仿宋_GB2312" w:hAnsi="仿宋" w:cs="仿宋_GB2312" w:hint="eastAsia"/>
          <w:color w:val="000000" w:themeColor="text1"/>
          <w:sz w:val="32"/>
          <w:szCs w:val="32"/>
        </w:rPr>
        <w:t>铝冶炼行业企业双重预防机制建设</w:t>
      </w:r>
      <w:r>
        <w:rPr>
          <w:rFonts w:ascii="仿宋_GB2312" w:eastAsia="仿宋_GB2312" w:hAnsi="仿宋" w:hint="eastAsia"/>
          <w:color w:val="000000" w:themeColor="text1"/>
          <w:sz w:val="32"/>
          <w:szCs w:val="32"/>
        </w:rPr>
        <w:t>的最新要求，按照GB/T 1.1—2020《标准化工作导则 第1部分：标准化文件的结构</w:t>
      </w:r>
      <w:r>
        <w:rPr>
          <w:rFonts w:ascii="仿宋_GB2312" w:eastAsia="仿宋_GB2312" w:hAnsi="仿宋" w:cs="仿宋_GB2312" w:hint="eastAsia"/>
          <w:color w:val="000000" w:themeColor="text1"/>
          <w:sz w:val="32"/>
          <w:szCs w:val="32"/>
        </w:rPr>
        <w:t>和起草规则》规定，并参考</w:t>
      </w:r>
      <w:r>
        <w:rPr>
          <w:rFonts w:ascii="仿宋" w:eastAsia="仿宋" w:hAnsi="仿宋" w:hint="eastAsia"/>
          <w:color w:val="000000" w:themeColor="text1"/>
          <w:sz w:val="32"/>
          <w:szCs w:val="32"/>
        </w:rPr>
        <w:t>《铝冶炼行业企业安全生产风险分级管控体系实施指南》（</w:t>
      </w:r>
      <w:r>
        <w:rPr>
          <w:rFonts w:ascii="仿宋" w:eastAsia="仿宋" w:hAnsi="仿宋"/>
          <w:color w:val="000000" w:themeColor="text1"/>
          <w:sz w:val="32"/>
          <w:szCs w:val="32"/>
        </w:rPr>
        <w:t>DB37/T 3186-2018</w:t>
      </w:r>
      <w:r>
        <w:rPr>
          <w:rFonts w:ascii="仿宋" w:eastAsia="仿宋" w:hAnsi="仿宋" w:hint="eastAsia"/>
          <w:color w:val="000000" w:themeColor="text1"/>
          <w:sz w:val="32"/>
          <w:szCs w:val="32"/>
        </w:rPr>
        <w:t>）、《</w:t>
      </w:r>
      <w:r>
        <w:rPr>
          <w:rFonts w:ascii="仿宋" w:eastAsia="仿宋" w:hAnsi="仿宋"/>
          <w:color w:val="000000" w:themeColor="text1"/>
          <w:sz w:val="32"/>
          <w:szCs w:val="32"/>
        </w:rPr>
        <w:t>铝冶炼行业企业生产安全事故隐患排查治</w:t>
      </w:r>
      <w:r>
        <w:rPr>
          <w:rFonts w:ascii="仿宋" w:eastAsia="仿宋" w:hAnsi="仿宋"/>
          <w:color w:val="000000" w:themeColor="text1"/>
          <w:sz w:val="32"/>
          <w:szCs w:val="32"/>
        </w:rPr>
        <w:lastRenderedPageBreak/>
        <w:t>理体系实施指南</w:t>
      </w:r>
      <w:r>
        <w:rPr>
          <w:rFonts w:ascii="仿宋" w:eastAsia="仿宋" w:hAnsi="仿宋" w:hint="eastAsia"/>
          <w:color w:val="000000" w:themeColor="text1"/>
          <w:sz w:val="32"/>
          <w:szCs w:val="32"/>
        </w:rPr>
        <w:t>》（</w:t>
      </w:r>
      <w:r>
        <w:rPr>
          <w:rFonts w:ascii="仿宋" w:eastAsia="仿宋" w:hAnsi="仿宋"/>
          <w:color w:val="000000" w:themeColor="text1"/>
          <w:sz w:val="32"/>
          <w:szCs w:val="32"/>
        </w:rPr>
        <w:t>DB37/T 3187-2018</w:t>
      </w:r>
      <w:r>
        <w:rPr>
          <w:rFonts w:ascii="仿宋" w:eastAsia="仿宋" w:hAnsi="仿宋" w:hint="eastAsia"/>
          <w:color w:val="000000" w:themeColor="text1"/>
          <w:sz w:val="32"/>
          <w:szCs w:val="32"/>
        </w:rPr>
        <w:t>）</w:t>
      </w:r>
      <w:r>
        <w:rPr>
          <w:rFonts w:ascii="仿宋_GB2312" w:eastAsia="仿宋_GB2312" w:hAnsi="仿宋" w:cs="仿宋_GB2312" w:hint="eastAsia"/>
          <w:color w:val="000000" w:themeColor="text1"/>
          <w:sz w:val="32"/>
          <w:szCs w:val="32"/>
        </w:rPr>
        <w:t>等文件，经编制组全体成员共同研究讨论，</w:t>
      </w:r>
      <w:r>
        <w:rPr>
          <w:rFonts w:ascii="仿宋_GB2312" w:eastAsia="仿宋_GB2312" w:hAnsi="仿宋" w:hint="eastAsia"/>
          <w:color w:val="000000" w:themeColor="text1"/>
          <w:sz w:val="32"/>
          <w:szCs w:val="32"/>
        </w:rPr>
        <w:t>起草完成团体标准《</w:t>
      </w:r>
      <w:r>
        <w:rPr>
          <w:rFonts w:ascii="仿宋_GB2312" w:eastAsia="仿宋_GB2312" w:hAnsi="仿宋" w:cs="仿宋_GB2312" w:hint="eastAsia"/>
          <w:color w:val="000000" w:themeColor="text1"/>
          <w:sz w:val="32"/>
          <w:szCs w:val="32"/>
        </w:rPr>
        <w:t>铝冶炼行业企业安全风险分级管控与隐患排查治理双重预防机制建设指南</w:t>
      </w:r>
      <w:r>
        <w:rPr>
          <w:rFonts w:ascii="仿宋_GB2312" w:eastAsia="仿宋_GB2312" w:hAnsi="仿宋" w:hint="eastAsia"/>
          <w:color w:val="000000" w:themeColor="text1"/>
          <w:sz w:val="32"/>
          <w:szCs w:val="32"/>
        </w:rPr>
        <w:t>》（草案）。随后推动完成团体标准申报工作，2022年12月正式立项。</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（三）第三阶段：开展调研，完成标准初稿。</w:t>
      </w:r>
    </w:p>
    <w:p w:rsidR="0085068F" w:rsidRDefault="00A647FD">
      <w:pPr>
        <w:spacing w:line="560" w:lineRule="exact"/>
        <w:ind w:firstLineChars="200" w:firstLine="640"/>
        <w:rPr>
          <w:rFonts w:ascii="仿宋" w:eastAsia="仿宋" w:hAnsi="仿宋"/>
          <w:sz w:val="32"/>
          <w:szCs w:val="32"/>
        </w:rPr>
      </w:pPr>
      <w:r>
        <w:rPr>
          <w:rFonts w:ascii="仿宋" w:eastAsia="仿宋" w:hAnsi="仿宋" w:hint="eastAsia"/>
          <w:sz w:val="32"/>
          <w:szCs w:val="32"/>
        </w:rPr>
        <w:t>202</w:t>
      </w:r>
      <w:r>
        <w:rPr>
          <w:rFonts w:ascii="仿宋" w:eastAsia="仿宋" w:hAnsi="仿宋"/>
          <w:sz w:val="32"/>
          <w:szCs w:val="32"/>
        </w:rPr>
        <w:t>2</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标准编制组先后到广西来宾银海铝业有限责任公司等公司开展实地调研。通过多地走访调研，深入了解铝冶炼行业企业管理和部门安全监管的难点、痛点、重点，对铝冶炼行业企业安全风险管控中的薄弱环节进行了交流探讨，为标准草案的修改完善提供了宝贵的建议。</w:t>
      </w:r>
    </w:p>
    <w:p w:rsidR="0085068F" w:rsidRDefault="00A647FD">
      <w:pPr>
        <w:spacing w:line="560" w:lineRule="exact"/>
        <w:ind w:firstLineChars="200" w:firstLine="640"/>
        <w:rPr>
          <w:rFonts w:ascii="仿宋" w:eastAsia="仿宋" w:hAnsi="仿宋"/>
          <w:sz w:val="32"/>
          <w:szCs w:val="32"/>
        </w:rPr>
      </w:pPr>
      <w:r>
        <w:rPr>
          <w:rFonts w:ascii="仿宋" w:eastAsia="仿宋" w:hAnsi="仿宋" w:hint="eastAsia"/>
          <w:sz w:val="32"/>
          <w:szCs w:val="32"/>
        </w:rPr>
        <w:t>202</w:t>
      </w:r>
      <w:r>
        <w:rPr>
          <w:rFonts w:ascii="仿宋" w:eastAsia="仿宋" w:hAnsi="仿宋"/>
          <w:sz w:val="32"/>
          <w:szCs w:val="32"/>
        </w:rPr>
        <w:t>3</w:t>
      </w:r>
      <w:r>
        <w:rPr>
          <w:rFonts w:ascii="仿宋" w:eastAsia="仿宋" w:hAnsi="仿宋" w:hint="eastAsia"/>
          <w:sz w:val="32"/>
          <w:szCs w:val="32"/>
        </w:rPr>
        <w:t>年</w:t>
      </w:r>
      <w:r>
        <w:rPr>
          <w:rFonts w:ascii="仿宋" w:eastAsia="仿宋" w:hAnsi="仿宋"/>
          <w:sz w:val="32"/>
          <w:szCs w:val="32"/>
        </w:rPr>
        <w:t>1</w:t>
      </w:r>
      <w:r>
        <w:rPr>
          <w:rFonts w:ascii="仿宋" w:eastAsia="仿宋" w:hAnsi="仿宋" w:hint="eastAsia"/>
          <w:sz w:val="32"/>
          <w:szCs w:val="32"/>
        </w:rPr>
        <w:t>月，标准编制组组织多次内部讨论会，同时咨询多位专家意见和建议，尤其是在风险评估阶段，明确提出了固有风险和现有风险，并相应体现在评价记录表中。编制组根据反馈意见对草案进一步地修改，最终形成征求意见稿。</w:t>
      </w:r>
    </w:p>
    <w:p w:rsidR="0085068F" w:rsidRDefault="00A647FD">
      <w:pPr>
        <w:pStyle w:val="1"/>
        <w:rPr>
          <w:color w:val="000000" w:themeColor="text1"/>
        </w:rPr>
      </w:pPr>
      <w:bookmarkStart w:id="3" w:name="_Toc134114176"/>
      <w:r>
        <w:rPr>
          <w:rFonts w:hint="eastAsia"/>
          <w:color w:val="000000" w:themeColor="text1"/>
        </w:rPr>
        <w:t>四、标准制定原则</w:t>
      </w:r>
      <w:bookmarkEnd w:id="3"/>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（一）实用性原则</w:t>
      </w:r>
    </w:p>
    <w:p w:rsidR="0085068F" w:rsidRDefault="00A647F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是在充分收集相关资料和文献，分析国内关于铝冶炼行业企业开展双重预防机制建设相关文件要求，坚持与现行有关强制性标准协调一致，结合起草单位多年开展双重预防机制建设实践经验，开展标准起草工作。标准内容符合当前双重预防机制建设发展方向和行业需求，标准条款切实可行，具有较强的实用性和可操作性。</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lastRenderedPageBreak/>
        <w:t>（二）协调性原则</w:t>
      </w:r>
    </w:p>
    <w:p w:rsidR="0085068F" w:rsidRDefault="00A647F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本标准编写过程中充分尊重知识产权，同时注重与相关法律法规的衔接，在内容上与现行法律法规、强制性标准协调一致。</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（三）规范性原则</w:t>
      </w:r>
    </w:p>
    <w:p w:rsidR="0085068F" w:rsidRDefault="00A647F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本标准参照GB/T 1.1—2020《标准化工作导则  第1部分：标准化文件的结构和起草规则》的规定起草，标准涉及铝冶炼行业企业双重预防机制建设的术语和定义、总体要求、计划与准备、安全风险分级管控、隐患排查治理、文件管理、信息化建设、持续改进等内容表达准确，引用数据来源真实可靠，指标科学、论证充分，标准质量有保证。</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（四）前瞻性原则</w:t>
      </w:r>
    </w:p>
    <w:p w:rsidR="0085068F" w:rsidRDefault="00A647FD">
      <w:pPr>
        <w:spacing w:line="560" w:lineRule="exact"/>
        <w:ind w:firstLineChars="200" w:firstLine="640"/>
        <w:rPr>
          <w:rFonts w:ascii="仿宋" w:eastAsia="仿宋" w:hAnsi="仿宋"/>
          <w:sz w:val="32"/>
          <w:szCs w:val="32"/>
        </w:rPr>
      </w:pPr>
      <w:r>
        <w:rPr>
          <w:rFonts w:ascii="仿宋_GB2312" w:eastAsia="仿宋_GB2312" w:hAnsi="宋体" w:hint="eastAsia"/>
          <w:sz w:val="32"/>
          <w:szCs w:val="32"/>
        </w:rPr>
        <w:t>本标准在充分考虑当前铝冶炼行业企业开展双重预防机制建设现状和未来需求的基础上，标准条款规定的主要技术内容尽可能与我国现有水平相一致，避免起点过低或过高，在标准中还体现了个别特色性和先进性条款，为铝冶炼行业企业高质量开展双重预防机制建设起到重要指导作用。</w:t>
      </w:r>
    </w:p>
    <w:p w:rsidR="0085068F" w:rsidRDefault="00A647FD">
      <w:pPr>
        <w:pStyle w:val="1"/>
        <w:rPr>
          <w:rFonts w:ascii="仿宋_GB2312" w:eastAsia="仿宋_GB2312" w:hAnsi="仿宋_GB2312" w:cs="仿宋_GB2312"/>
          <w:b/>
          <w:bCs/>
          <w:color w:val="000000" w:themeColor="text1"/>
          <w:szCs w:val="32"/>
        </w:rPr>
      </w:pPr>
      <w:bookmarkStart w:id="4" w:name="_Toc134114177"/>
      <w:r>
        <w:rPr>
          <w:rFonts w:hint="eastAsia"/>
          <w:color w:val="000000" w:themeColor="text1"/>
        </w:rPr>
        <w:t>五、标准主要章节内容及确定依据</w:t>
      </w:r>
      <w:bookmarkEnd w:id="4"/>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团体标准《铝治炼行业企业安全风险分级管控与隐患排查治理双重预防机制建设指南》条款内容主要参考</w:t>
      </w:r>
      <w:bookmarkStart w:id="5" w:name="_Hlk132818737"/>
      <w:r>
        <w:rPr>
          <w:rFonts w:ascii="仿宋" w:eastAsia="仿宋" w:hAnsi="仿宋" w:hint="eastAsia"/>
          <w:color w:val="000000" w:themeColor="text1"/>
          <w:sz w:val="32"/>
          <w:szCs w:val="32"/>
        </w:rPr>
        <w:t>《中华人民共和国安全生产法》、</w:t>
      </w:r>
      <w:r>
        <w:rPr>
          <w:rFonts w:ascii="仿宋" w:eastAsia="仿宋" w:hAnsi="仿宋"/>
          <w:color w:val="000000" w:themeColor="text1"/>
          <w:sz w:val="32"/>
          <w:szCs w:val="32"/>
        </w:rPr>
        <w:t>国务院安委办</w:t>
      </w:r>
      <w:r>
        <w:rPr>
          <w:rFonts w:ascii="仿宋" w:eastAsia="仿宋" w:hAnsi="仿宋" w:hint="eastAsia"/>
          <w:color w:val="000000" w:themeColor="text1"/>
          <w:sz w:val="32"/>
          <w:szCs w:val="32"/>
        </w:rPr>
        <w:t>《关于实施遏制重特大事故工作指南构建双重预防机制的意见》</w:t>
      </w:r>
      <w:bookmarkEnd w:id="5"/>
      <w:r>
        <w:rPr>
          <w:rFonts w:ascii="仿宋" w:eastAsia="仿宋" w:hAnsi="仿宋" w:hint="eastAsia"/>
          <w:color w:val="000000" w:themeColor="text1"/>
          <w:sz w:val="32"/>
          <w:szCs w:val="32"/>
        </w:rPr>
        <w:t>、《铝行业规范条件》、《企业安全生产标准化基本规范》（G</w:t>
      </w:r>
      <w:r>
        <w:rPr>
          <w:rFonts w:ascii="仿宋" w:eastAsia="仿宋" w:hAnsi="仿宋"/>
          <w:color w:val="000000" w:themeColor="text1"/>
          <w:sz w:val="32"/>
          <w:szCs w:val="32"/>
        </w:rPr>
        <w:t>B 33000</w:t>
      </w:r>
      <w:r>
        <w:rPr>
          <w:rFonts w:ascii="仿宋" w:eastAsia="仿宋" w:hAnsi="仿宋" w:hint="eastAsia"/>
          <w:color w:val="000000" w:themeColor="text1"/>
          <w:sz w:val="32"/>
          <w:szCs w:val="32"/>
        </w:rPr>
        <w:t>）、《铝冶炼行业企业安全生产风险分级管控体系实施指南》</w:t>
      </w:r>
      <w:r>
        <w:rPr>
          <w:rFonts w:ascii="仿宋" w:eastAsia="仿宋" w:hAnsi="仿宋" w:hint="eastAsia"/>
          <w:color w:val="000000" w:themeColor="text1"/>
          <w:sz w:val="32"/>
          <w:szCs w:val="32"/>
        </w:rPr>
        <w:lastRenderedPageBreak/>
        <w:t>（</w:t>
      </w:r>
      <w:r>
        <w:rPr>
          <w:rFonts w:ascii="仿宋" w:eastAsia="仿宋" w:hAnsi="仿宋"/>
          <w:color w:val="000000" w:themeColor="text1"/>
          <w:sz w:val="32"/>
          <w:szCs w:val="32"/>
        </w:rPr>
        <w:t>DB37/T 3186-2018</w:t>
      </w:r>
      <w:r>
        <w:rPr>
          <w:rFonts w:ascii="仿宋" w:eastAsia="仿宋" w:hAnsi="仿宋" w:hint="eastAsia"/>
          <w:color w:val="000000" w:themeColor="text1"/>
          <w:sz w:val="32"/>
          <w:szCs w:val="32"/>
        </w:rPr>
        <w:t>）、《</w:t>
      </w:r>
      <w:r>
        <w:rPr>
          <w:rFonts w:ascii="仿宋" w:eastAsia="仿宋" w:hAnsi="仿宋"/>
          <w:color w:val="000000" w:themeColor="text1"/>
          <w:sz w:val="32"/>
          <w:szCs w:val="32"/>
        </w:rPr>
        <w:t>铝冶炼行业企业生产安全事故隐患排查治理体系实施指南</w:t>
      </w:r>
      <w:r>
        <w:rPr>
          <w:rFonts w:ascii="仿宋" w:eastAsia="仿宋" w:hAnsi="仿宋" w:hint="eastAsia"/>
          <w:color w:val="000000" w:themeColor="text1"/>
          <w:sz w:val="32"/>
          <w:szCs w:val="32"/>
        </w:rPr>
        <w:t>》（</w:t>
      </w:r>
      <w:r>
        <w:rPr>
          <w:rFonts w:ascii="仿宋" w:eastAsia="仿宋" w:hAnsi="仿宋"/>
          <w:color w:val="000000" w:themeColor="text1"/>
          <w:sz w:val="32"/>
          <w:szCs w:val="32"/>
        </w:rPr>
        <w:t>DB37/T 3187-2018</w:t>
      </w:r>
      <w:r>
        <w:rPr>
          <w:rFonts w:ascii="仿宋" w:eastAsia="仿宋" w:hAnsi="仿宋" w:hint="eastAsia"/>
          <w:color w:val="000000" w:themeColor="text1"/>
          <w:sz w:val="32"/>
          <w:szCs w:val="32"/>
        </w:rPr>
        <w:t>）等文件及标准，并结合区内实际进行起草。本标准主要内容有术语和定义、总体要求、计划与准备、安全风险分级管控、隐患排查治理、文件管理、信息化建设、持续改进等部分。</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（一）术语和定义</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本标准对铝冶炼行业、主要负责人、相关方、固有风险、现有风险进行了定义。具体如下：</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t>1.</w:t>
      </w:r>
      <w:r>
        <w:rPr>
          <w:rFonts w:ascii="仿宋" w:eastAsia="仿宋" w:hAnsi="仿宋" w:hint="eastAsia"/>
          <w:color w:val="000000" w:themeColor="text1"/>
          <w:sz w:val="32"/>
          <w:szCs w:val="32"/>
        </w:rPr>
        <w:t>铝冶炼行业定义主要参考了《铝行业规范条件》第一章及第二章对于氧化铝、电解铝、再生铝的相关要求及技术指标，同时结合区内铝冶炼行业实际，并经过编制组内部讨论后定义为：对铝矿山原料通过冶炼、电解、铸型及对废杂铝料进行熔炼等提炼铝的生产活动。</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2</w:t>
      </w:r>
      <w:r>
        <w:rPr>
          <w:rFonts w:ascii="仿宋" w:eastAsia="仿宋" w:hAnsi="仿宋"/>
          <w:color w:val="000000" w:themeColor="text1"/>
          <w:sz w:val="32"/>
          <w:szCs w:val="32"/>
        </w:rPr>
        <w:t>.</w:t>
      </w:r>
      <w:r>
        <w:rPr>
          <w:rFonts w:ascii="仿宋" w:eastAsia="仿宋" w:hAnsi="仿宋" w:hint="eastAsia"/>
          <w:color w:val="000000" w:themeColor="text1"/>
          <w:sz w:val="32"/>
          <w:szCs w:val="32"/>
        </w:rPr>
        <w:t>主要负责人定义主要参考了《企业安全生产标准化基本规范》G</w:t>
      </w:r>
      <w:r>
        <w:rPr>
          <w:rFonts w:ascii="仿宋" w:eastAsia="仿宋" w:hAnsi="仿宋"/>
          <w:color w:val="000000" w:themeColor="text1"/>
          <w:sz w:val="32"/>
          <w:szCs w:val="32"/>
        </w:rPr>
        <w:t>B 33000</w:t>
      </w:r>
      <w:r>
        <w:rPr>
          <w:rFonts w:ascii="仿宋" w:eastAsia="仿宋" w:hAnsi="仿宋" w:hint="eastAsia"/>
          <w:color w:val="000000" w:themeColor="text1"/>
          <w:sz w:val="32"/>
          <w:szCs w:val="32"/>
        </w:rPr>
        <w:t>第3章第3</w:t>
      </w:r>
      <w:r>
        <w:rPr>
          <w:rFonts w:ascii="仿宋" w:eastAsia="仿宋" w:hAnsi="仿宋"/>
          <w:color w:val="000000" w:themeColor="text1"/>
          <w:sz w:val="32"/>
          <w:szCs w:val="32"/>
        </w:rPr>
        <w:t>.3</w:t>
      </w:r>
      <w:r>
        <w:rPr>
          <w:rFonts w:ascii="仿宋" w:eastAsia="仿宋" w:hAnsi="仿宋" w:hint="eastAsia"/>
          <w:color w:val="000000" w:themeColor="text1"/>
          <w:sz w:val="32"/>
          <w:szCs w:val="32"/>
        </w:rPr>
        <w:t>条关于企业主要负责人的定义，同时结合区内铝冶炼行业企业实际，并经过编制组内部讨论后定义为：铝冶炼行业企业对生产经营活动有决策权并对本单位承担主要责任的单位主要领导。</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3</w:t>
      </w:r>
      <w:r>
        <w:rPr>
          <w:rFonts w:ascii="仿宋" w:eastAsia="仿宋" w:hAnsi="仿宋"/>
          <w:color w:val="000000" w:themeColor="text1"/>
          <w:sz w:val="32"/>
          <w:szCs w:val="32"/>
        </w:rPr>
        <w:t>.</w:t>
      </w:r>
      <w:r>
        <w:rPr>
          <w:rFonts w:ascii="仿宋" w:eastAsia="仿宋" w:hAnsi="仿宋" w:hint="eastAsia"/>
          <w:color w:val="000000" w:themeColor="text1"/>
          <w:sz w:val="32"/>
          <w:szCs w:val="32"/>
        </w:rPr>
        <w:t>相关方定义主要参考了《企业安全生产标准化基本规范》G</w:t>
      </w:r>
      <w:r>
        <w:rPr>
          <w:rFonts w:ascii="仿宋" w:eastAsia="仿宋" w:hAnsi="仿宋"/>
          <w:color w:val="000000" w:themeColor="text1"/>
          <w:sz w:val="32"/>
          <w:szCs w:val="32"/>
        </w:rPr>
        <w:t>B 33000</w:t>
      </w:r>
      <w:r>
        <w:rPr>
          <w:rFonts w:ascii="仿宋" w:eastAsia="仿宋" w:hAnsi="仿宋" w:hint="eastAsia"/>
          <w:color w:val="000000" w:themeColor="text1"/>
          <w:sz w:val="32"/>
          <w:szCs w:val="32"/>
        </w:rPr>
        <w:t>第3</w:t>
      </w:r>
      <w:r>
        <w:rPr>
          <w:rFonts w:ascii="仿宋" w:eastAsia="仿宋" w:hAnsi="仿宋"/>
          <w:color w:val="000000" w:themeColor="text1"/>
          <w:sz w:val="32"/>
          <w:szCs w:val="32"/>
        </w:rPr>
        <w:t>.3</w:t>
      </w:r>
      <w:r>
        <w:rPr>
          <w:rFonts w:ascii="仿宋" w:eastAsia="仿宋" w:hAnsi="仿宋" w:hint="eastAsia"/>
          <w:color w:val="000000" w:themeColor="text1"/>
          <w:sz w:val="32"/>
          <w:szCs w:val="32"/>
        </w:rPr>
        <w:t>条-第3</w:t>
      </w:r>
      <w:r>
        <w:rPr>
          <w:rFonts w:ascii="仿宋" w:eastAsia="仿宋" w:hAnsi="仿宋"/>
          <w:color w:val="000000" w:themeColor="text1"/>
          <w:sz w:val="32"/>
          <w:szCs w:val="32"/>
        </w:rPr>
        <w:t>.6</w:t>
      </w:r>
      <w:r>
        <w:rPr>
          <w:rFonts w:ascii="仿宋" w:eastAsia="仿宋" w:hAnsi="仿宋" w:hint="eastAsia"/>
          <w:color w:val="000000" w:themeColor="text1"/>
          <w:sz w:val="32"/>
          <w:szCs w:val="32"/>
        </w:rPr>
        <w:t>条中关于相关方、承包商、供应商的定义，同时结合区内铝冶炼行业企业实际，并经过编制组内部讨论后定义为：工作场所内外与企业安全生产绩效有关或受其影响的个人或单位，如承包商、供应商、参观人员、实习人员等。</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lastRenderedPageBreak/>
        <w:t>4.</w:t>
      </w:r>
      <w:r>
        <w:rPr>
          <w:rFonts w:ascii="仿宋" w:eastAsia="仿宋" w:hAnsi="仿宋" w:hint="eastAsia"/>
          <w:color w:val="000000" w:themeColor="text1"/>
          <w:sz w:val="32"/>
          <w:szCs w:val="32"/>
        </w:rPr>
        <w:t>固有风险改写自《风险管理 术语》（GB/T 23694）第2</w:t>
      </w:r>
      <w:r>
        <w:rPr>
          <w:rFonts w:ascii="仿宋" w:eastAsia="仿宋" w:hAnsi="仿宋"/>
          <w:color w:val="000000" w:themeColor="text1"/>
          <w:sz w:val="32"/>
          <w:szCs w:val="32"/>
        </w:rPr>
        <w:t>.1</w:t>
      </w:r>
      <w:r>
        <w:rPr>
          <w:rFonts w:ascii="仿宋" w:eastAsia="仿宋" w:hAnsi="仿宋" w:hint="eastAsia"/>
          <w:color w:val="000000" w:themeColor="text1"/>
          <w:sz w:val="32"/>
          <w:szCs w:val="32"/>
        </w:rPr>
        <w:t>条中关于风险的定义，同时结合区内铝冶炼行业企业实际，并经过编制组内部讨论后定义为：是指风险点（单元、设备设施、作业活动等）因其固有危险性（涉及危险物质或能量或其他情况）而潜在的风险。或者是在不考虑现有管控措施的情况下，风险点可能潜在的风险。</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t>5.</w:t>
      </w:r>
      <w:r>
        <w:rPr>
          <w:rFonts w:ascii="仿宋" w:eastAsia="仿宋" w:hAnsi="仿宋" w:hint="eastAsia"/>
          <w:color w:val="000000" w:themeColor="text1"/>
          <w:sz w:val="32"/>
          <w:szCs w:val="32"/>
        </w:rPr>
        <w:t>现有风险改写自《风险管理 术语》（GB/T 23694）第4</w:t>
      </w:r>
      <w:r>
        <w:rPr>
          <w:rFonts w:ascii="仿宋" w:eastAsia="仿宋" w:hAnsi="仿宋"/>
          <w:color w:val="000000" w:themeColor="text1"/>
          <w:sz w:val="32"/>
          <w:szCs w:val="32"/>
        </w:rPr>
        <w:t>.8.1.6</w:t>
      </w:r>
      <w:r>
        <w:rPr>
          <w:rFonts w:ascii="仿宋" w:eastAsia="仿宋" w:hAnsi="仿宋" w:hint="eastAsia"/>
          <w:color w:val="000000" w:themeColor="text1"/>
          <w:sz w:val="32"/>
          <w:szCs w:val="32"/>
        </w:rPr>
        <w:t>条中关于剩余风险的定义，同时结合区内铝冶炼行业企业实际，并经过编制组内部讨论后定义为：风险点在现有风险管控措施的基础上仍然潜在的风险。</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（二）总体要求</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标准编制组根据以下国家法律法规、标准及相关文件进行综合提炼，结合区内铝冶炼行业企业实际，并经过技术讨论对铝冶炼行业企业双重预防机制的</w:t>
      </w:r>
      <w:r>
        <w:rPr>
          <w:rFonts w:ascii="仿宋" w:eastAsia="仿宋" w:hAnsi="仿宋" w:hint="eastAsia"/>
          <w:b/>
          <w:bCs/>
          <w:color w:val="000000" w:themeColor="text1"/>
          <w:sz w:val="32"/>
          <w:szCs w:val="32"/>
        </w:rPr>
        <w:t>基本原则</w:t>
      </w:r>
      <w:r>
        <w:rPr>
          <w:rFonts w:ascii="仿宋" w:eastAsia="仿宋" w:hAnsi="仿宋" w:hint="eastAsia"/>
          <w:color w:val="000000" w:themeColor="text1"/>
          <w:sz w:val="32"/>
          <w:szCs w:val="32"/>
        </w:rPr>
        <w:t>与</w:t>
      </w:r>
      <w:r>
        <w:rPr>
          <w:rFonts w:ascii="仿宋" w:eastAsia="仿宋" w:hAnsi="仿宋" w:hint="eastAsia"/>
          <w:b/>
          <w:bCs/>
          <w:color w:val="000000" w:themeColor="text1"/>
          <w:sz w:val="32"/>
          <w:szCs w:val="32"/>
        </w:rPr>
        <w:t>基本程序</w:t>
      </w:r>
      <w:r>
        <w:rPr>
          <w:rFonts w:ascii="仿宋" w:eastAsia="仿宋" w:hAnsi="仿宋" w:hint="eastAsia"/>
          <w:color w:val="000000" w:themeColor="text1"/>
          <w:sz w:val="32"/>
          <w:szCs w:val="32"/>
        </w:rPr>
        <w:t>进行了规定。</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主要</w:t>
      </w:r>
      <w:bookmarkStart w:id="6" w:name="_Hlk132818691"/>
      <w:r>
        <w:rPr>
          <w:rFonts w:ascii="仿宋" w:eastAsia="仿宋" w:hAnsi="仿宋" w:hint="eastAsia"/>
          <w:color w:val="000000" w:themeColor="text1"/>
          <w:sz w:val="32"/>
          <w:szCs w:val="32"/>
        </w:rPr>
        <w:t>参考的是《中华人民共和国安全生产法》第四条“加强安全标准</w:t>
      </w:r>
      <w:r w:rsidRPr="00A872CA">
        <w:rPr>
          <w:rFonts w:ascii="仿宋" w:eastAsia="仿宋" w:hAnsi="仿宋" w:hint="eastAsia"/>
          <w:color w:val="000000" w:themeColor="text1"/>
          <w:sz w:val="32"/>
          <w:szCs w:val="32"/>
        </w:rPr>
        <w:t>化、信息化建设，构建安全风险分级管控和隐患排查治理双重预防机制建设，健全风险防范化解机制，提高安全生产水平，确保安全生产。”和</w:t>
      </w:r>
      <w:r w:rsidRPr="00A872CA">
        <w:rPr>
          <w:rFonts w:ascii="仿宋" w:eastAsia="仿宋" w:hAnsi="仿宋"/>
          <w:color w:val="000000" w:themeColor="text1"/>
          <w:sz w:val="32"/>
          <w:szCs w:val="32"/>
        </w:rPr>
        <w:t>国务院安委办</w:t>
      </w:r>
      <w:r w:rsidRPr="00A872CA">
        <w:rPr>
          <w:rFonts w:ascii="仿宋" w:eastAsia="仿宋" w:hAnsi="仿宋" w:hint="eastAsia"/>
          <w:color w:val="000000" w:themeColor="text1"/>
          <w:sz w:val="32"/>
          <w:szCs w:val="32"/>
        </w:rPr>
        <w:t>《关于实施遏制重特大事故工作指南构建双重预防机制的意见》</w:t>
      </w:r>
      <w:bookmarkEnd w:id="6"/>
      <w:r w:rsidRPr="00A872CA">
        <w:rPr>
          <w:rFonts w:ascii="仿宋" w:eastAsia="仿宋" w:hAnsi="仿宋" w:hint="eastAsia"/>
          <w:color w:val="000000" w:themeColor="text1"/>
          <w:sz w:val="32"/>
          <w:szCs w:val="32"/>
        </w:rPr>
        <w:t>总体思路“准确把握安全生产的特点和规律，坚持风险预控、关口前移，全面推行安全风险分级管控，进一步强化隐患排查治理，推进事故预防工作科学化、信息化、标准化，实现把风险控制在隐患形成之前、把隐患消灭在事故前面”及工作</w:t>
      </w:r>
      <w:r w:rsidRPr="00A872CA">
        <w:rPr>
          <w:rFonts w:ascii="仿宋" w:eastAsia="仿宋" w:hAnsi="仿宋" w:hint="eastAsia"/>
          <w:color w:val="000000" w:themeColor="text1"/>
          <w:sz w:val="32"/>
          <w:szCs w:val="32"/>
        </w:rPr>
        <w:lastRenderedPageBreak/>
        <w:t>目标中“尽快建立健全安全风险分级管控和隐患排查治理的工作制度和规范，完善技术工程支撑、智能化管控、第三方专业化服务的保障措施，实现企业安全风险自辨自控、隐患自查自治，形成政府领导有力、部门监管有效、企业责任落实、社会参与有序的工作格局，提升安全生产整体预控能力，夯实遏制重特大事故的坚强基础”及广西壮族自治区应急管理厅《企业安全生产“标准化建设年”工作实施方案》总体目标中“企业建立并保持安全标准化管理体系，健全完善安全风险分级管控制度，按照安全风险分级采取相应的管控措施，“三违”现象得到有效控制，事故总量</w:t>
      </w:r>
      <w:r>
        <w:rPr>
          <w:rFonts w:ascii="仿宋" w:eastAsia="仿宋" w:hAnsi="仿宋" w:hint="eastAsia"/>
          <w:color w:val="000000" w:themeColor="text1"/>
          <w:sz w:val="32"/>
          <w:szCs w:val="32"/>
        </w:rPr>
        <w:t>持续下降，较大及以上事故得到有效遏制。”</w:t>
      </w:r>
    </w:p>
    <w:p w:rsidR="0085068F" w:rsidRDefault="00A647FD">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（三）计划与准备</w:t>
      </w:r>
    </w:p>
    <w:p w:rsidR="0085068F" w:rsidRDefault="00A647FD">
      <w:pPr>
        <w:spacing w:line="560" w:lineRule="exact"/>
        <w:ind w:firstLineChars="200" w:firstLine="640"/>
        <w:rPr>
          <w:rFonts w:ascii="仿宋" w:eastAsia="仿宋" w:hAnsi="仿宋"/>
          <w:sz w:val="32"/>
          <w:szCs w:val="32"/>
        </w:rPr>
      </w:pPr>
      <w:r>
        <w:rPr>
          <w:rFonts w:ascii="仿宋" w:eastAsia="仿宋" w:hAnsi="仿宋" w:hint="eastAsia"/>
          <w:color w:val="000000" w:themeColor="text1"/>
          <w:sz w:val="32"/>
          <w:szCs w:val="32"/>
        </w:rPr>
        <w:t>标准编制组主要依据</w:t>
      </w:r>
      <w:r>
        <w:rPr>
          <w:rFonts w:ascii="仿宋" w:eastAsia="仿宋" w:hAnsi="仿宋" w:hint="eastAsia"/>
          <w:sz w:val="32"/>
          <w:szCs w:val="32"/>
        </w:rPr>
        <w:t>《中华人民共和国安全生产法》第四条“</w:t>
      </w:r>
      <w:r>
        <w:rPr>
          <w:rFonts w:ascii="仿宋" w:eastAsia="仿宋" w:hAnsi="仿宋"/>
          <w:sz w:val="32"/>
          <w:szCs w:val="32"/>
        </w:rPr>
        <w:t>加强安全生产管理，建立健全全员安全生产责任制和安全生产规章制度，加大对安全生产资金、物资、技术、人员的投入保障力度，改善安全生产条件</w:t>
      </w:r>
      <w:r>
        <w:rPr>
          <w:rFonts w:ascii="仿宋" w:eastAsia="仿宋" w:hAnsi="仿宋" w:hint="eastAsia"/>
          <w:sz w:val="32"/>
          <w:szCs w:val="32"/>
        </w:rPr>
        <w:t>。”第二十二条“生产经营单位的全员安全生产责任制应当明确各岗位的责任人员、责任范围和考核标准等内容。”第二十八条“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r>
        <w:rPr>
          <w:rFonts w:ascii="仿宋" w:eastAsia="仿宋" w:hAnsi="仿宋" w:hint="eastAsia"/>
          <w:color w:val="000000" w:themeColor="text1"/>
          <w:sz w:val="32"/>
          <w:szCs w:val="32"/>
        </w:rPr>
        <w:t>进行综合提炼，结合区内铝冶炼行业企业实际，并经过技术</w:t>
      </w:r>
      <w:r>
        <w:rPr>
          <w:rFonts w:ascii="仿宋" w:eastAsia="仿宋" w:hAnsi="仿宋" w:hint="eastAsia"/>
          <w:color w:val="000000" w:themeColor="text1"/>
          <w:sz w:val="32"/>
          <w:szCs w:val="32"/>
        </w:rPr>
        <w:lastRenderedPageBreak/>
        <w:t>讨论，明确了</w:t>
      </w:r>
      <w:r>
        <w:rPr>
          <w:rFonts w:ascii="仿宋" w:eastAsia="仿宋" w:hAnsi="仿宋" w:hint="eastAsia"/>
          <w:sz w:val="32"/>
          <w:szCs w:val="32"/>
        </w:rPr>
        <w:t>铝冶炼行业企业双重预防机制计划与准备阶段应包括：组织机构、制度建立、前期调研及资料收集、安全教育及培训、工作方案制定等内容及要求。</w:t>
      </w:r>
    </w:p>
    <w:p w:rsidR="0085068F" w:rsidRDefault="00A647FD">
      <w:pPr>
        <w:spacing w:line="560" w:lineRule="exact"/>
        <w:ind w:firstLineChars="200" w:firstLine="640"/>
        <w:rPr>
          <w:rFonts w:ascii="仿宋" w:eastAsia="仿宋" w:hAnsi="仿宋"/>
          <w:sz w:val="32"/>
          <w:szCs w:val="32"/>
        </w:rPr>
      </w:pPr>
      <w:r>
        <w:rPr>
          <w:rFonts w:ascii="仿宋" w:eastAsia="仿宋" w:hAnsi="仿宋" w:hint="eastAsia"/>
          <w:sz w:val="32"/>
          <w:szCs w:val="32"/>
        </w:rPr>
        <w:t>同时标准编制组还参考了《铝冶炼行业企业安全生产风险分级管控体系实施指南》（</w:t>
      </w:r>
      <w:r>
        <w:rPr>
          <w:rFonts w:ascii="仿宋" w:eastAsia="仿宋" w:hAnsi="仿宋"/>
          <w:sz w:val="32"/>
          <w:szCs w:val="32"/>
        </w:rPr>
        <w:t>DB37/T 3186-2018</w:t>
      </w:r>
      <w:r>
        <w:rPr>
          <w:rFonts w:ascii="仿宋" w:eastAsia="仿宋" w:hAnsi="仿宋" w:hint="eastAsia"/>
          <w:sz w:val="32"/>
          <w:szCs w:val="32"/>
        </w:rPr>
        <w:t>）基本要求关于成立组织机构、全员培训、编写体系文件的相关内容及《</w:t>
      </w:r>
      <w:r>
        <w:rPr>
          <w:rFonts w:ascii="仿宋" w:eastAsia="仿宋" w:hAnsi="仿宋"/>
          <w:sz w:val="32"/>
          <w:szCs w:val="32"/>
        </w:rPr>
        <w:t>铝冶炼行业企业生产安全事故隐患排查治理体系实施指南</w:t>
      </w:r>
      <w:r>
        <w:rPr>
          <w:rFonts w:ascii="仿宋" w:eastAsia="仿宋" w:hAnsi="仿宋" w:hint="eastAsia"/>
          <w:sz w:val="32"/>
          <w:szCs w:val="32"/>
        </w:rPr>
        <w:t>》（</w:t>
      </w:r>
      <w:r>
        <w:rPr>
          <w:rFonts w:ascii="仿宋" w:eastAsia="仿宋" w:hAnsi="仿宋"/>
          <w:sz w:val="32"/>
          <w:szCs w:val="32"/>
        </w:rPr>
        <w:t>DB37/T 3187-2018</w:t>
      </w:r>
      <w:r>
        <w:rPr>
          <w:rFonts w:ascii="仿宋" w:eastAsia="仿宋" w:hAnsi="仿宋" w:hint="eastAsia"/>
          <w:sz w:val="32"/>
          <w:szCs w:val="32"/>
        </w:rPr>
        <w:t>）基本要求关于运行要求、绩效考核的相关内容及其他法律法规、相关标准等。</w:t>
      </w:r>
    </w:p>
    <w:p w:rsidR="0085068F" w:rsidRDefault="00A647FD">
      <w:pPr>
        <w:spacing w:line="56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（四）安全风险分级管控</w:t>
      </w:r>
    </w:p>
    <w:p w:rsidR="0085068F" w:rsidRDefault="00A647FD">
      <w:pPr>
        <w:spacing w:line="560" w:lineRule="exact"/>
        <w:ind w:firstLineChars="200" w:firstLine="640"/>
        <w:rPr>
          <w:rFonts w:ascii="仿宋" w:eastAsia="仿宋" w:hAnsi="仿宋"/>
          <w:sz w:val="32"/>
          <w:szCs w:val="32"/>
        </w:rPr>
      </w:pPr>
      <w:r>
        <w:rPr>
          <w:rFonts w:ascii="仿宋" w:eastAsia="仿宋" w:hAnsi="仿宋" w:hint="eastAsia"/>
          <w:color w:val="000000" w:themeColor="text1"/>
          <w:sz w:val="32"/>
          <w:szCs w:val="32"/>
        </w:rPr>
        <w:t>标准编制组主要根据以下国家法律法规、标准及相关文件进行综合提炼，结合区内铝冶炼行业企业实际，并经过技术讨论，提出了</w:t>
      </w:r>
      <w:r>
        <w:rPr>
          <w:rFonts w:ascii="仿宋" w:eastAsia="仿宋" w:hAnsi="仿宋" w:hint="eastAsia"/>
          <w:sz w:val="32"/>
          <w:szCs w:val="32"/>
        </w:rPr>
        <w:t>铝冶炼行业企业开展双重预防机制建设中关于安全风险分级管控的具体工作内容，主要包括</w:t>
      </w:r>
      <w:r>
        <w:rPr>
          <w:rFonts w:ascii="仿宋" w:eastAsia="仿宋" w:hAnsi="仿宋" w:hint="eastAsia"/>
          <w:b/>
          <w:bCs/>
          <w:sz w:val="32"/>
          <w:szCs w:val="32"/>
        </w:rPr>
        <w:t>风险划分、风险辨识、风险评价、风险分级、风险分级管控、风险告知</w:t>
      </w:r>
      <w:r>
        <w:rPr>
          <w:rFonts w:ascii="仿宋" w:eastAsia="仿宋" w:hAnsi="仿宋" w:hint="eastAsia"/>
          <w:sz w:val="32"/>
          <w:szCs w:val="32"/>
        </w:rPr>
        <w:t>等内容。</w:t>
      </w:r>
    </w:p>
    <w:p w:rsidR="0085068F" w:rsidRPr="00072A04" w:rsidRDefault="00A647FD" w:rsidP="00072A04">
      <w:pPr>
        <w:pStyle w:val="af5"/>
        <w:ind w:firstLine="640"/>
        <w:rPr>
          <w:rFonts w:ascii="仿宋" w:eastAsia="仿宋" w:hAnsi="仿宋"/>
          <w:sz w:val="32"/>
          <w:szCs w:val="32"/>
        </w:rPr>
      </w:pPr>
      <w:r>
        <w:rPr>
          <w:rFonts w:ascii="仿宋" w:eastAsia="仿宋" w:hAnsi="仿宋" w:hint="eastAsia"/>
          <w:color w:val="000000" w:themeColor="text1"/>
          <w:sz w:val="32"/>
          <w:szCs w:val="32"/>
        </w:rPr>
        <w:t>项目编制组依据</w:t>
      </w:r>
      <w:r>
        <w:rPr>
          <w:rFonts w:ascii="仿宋" w:eastAsia="仿宋" w:hAnsi="仿宋" w:hint="eastAsia"/>
          <w:sz w:val="32"/>
          <w:szCs w:val="32"/>
        </w:rPr>
        <w:t>《中华人民共和国安全生产法》</w:t>
      </w:r>
      <w:r w:rsidR="00072A04">
        <w:rPr>
          <w:rFonts w:ascii="仿宋" w:eastAsia="仿宋" w:hAnsi="仿宋" w:hint="eastAsia"/>
          <w:sz w:val="32"/>
          <w:szCs w:val="32"/>
        </w:rPr>
        <w:t>第四条“</w:t>
      </w:r>
      <w:r w:rsidR="00072A04" w:rsidRPr="00072A04">
        <w:rPr>
          <w:rFonts w:ascii="仿宋" w:eastAsia="仿宋" w:hAnsi="仿宋" w:hint="eastAsia"/>
          <w:sz w:val="32"/>
          <w:szCs w:val="32"/>
        </w:rPr>
        <w:t>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w:t>
      </w:r>
      <w:r w:rsidR="00072A04" w:rsidRPr="00C86F81">
        <w:rPr>
          <w:rFonts w:ascii="仿宋" w:eastAsia="仿宋" w:hAnsi="仿宋" w:hint="eastAsia"/>
          <w:sz w:val="32"/>
          <w:szCs w:val="32"/>
        </w:rPr>
        <w:t>设，构建安全风险分级管控和隐患排查治理双重预防机制，健全风险防范化解机制，提高安全生产水平，</w:t>
      </w:r>
      <w:r w:rsidR="00072A04" w:rsidRPr="00C86F81">
        <w:rPr>
          <w:rFonts w:ascii="仿宋" w:eastAsia="仿宋" w:hAnsi="仿宋" w:hint="eastAsia"/>
          <w:sz w:val="32"/>
          <w:szCs w:val="32"/>
        </w:rPr>
        <w:lastRenderedPageBreak/>
        <w:t>确保安全生产”及</w:t>
      </w:r>
      <w:r w:rsidRPr="00C86F81">
        <w:rPr>
          <w:rFonts w:ascii="仿宋" w:eastAsia="仿宋" w:hAnsi="仿宋" w:cstheme="minorBidi" w:hint="eastAsia"/>
          <w:kern w:val="2"/>
          <w:sz w:val="32"/>
          <w:szCs w:val="32"/>
        </w:rPr>
        <w:t>第四十一条“生产经营单位应当建立安全风险分级管控制度，按照安全风险分级采取相应的管控措施。”</w:t>
      </w:r>
      <w:r w:rsidR="0063598B" w:rsidRPr="00C86F81">
        <w:rPr>
          <w:rFonts w:ascii="仿宋" w:eastAsia="仿宋" w:hAnsi="仿宋" w:cstheme="minorBidi" w:hint="eastAsia"/>
          <w:kern w:val="2"/>
          <w:sz w:val="32"/>
          <w:szCs w:val="32"/>
        </w:rPr>
        <w:t>及</w:t>
      </w:r>
      <w:bookmarkStart w:id="7" w:name="_Hlk134711664"/>
      <w:r w:rsidRPr="00C86F81">
        <w:rPr>
          <w:rFonts w:ascii="仿宋" w:eastAsia="仿宋" w:hAnsi="仿宋"/>
          <w:color w:val="000000" w:themeColor="text1"/>
          <w:sz w:val="32"/>
          <w:szCs w:val="32"/>
        </w:rPr>
        <w:t>国务院安委办</w:t>
      </w:r>
      <w:r w:rsidRPr="00C86F81">
        <w:rPr>
          <w:rFonts w:ascii="仿宋" w:eastAsia="仿宋" w:hAnsi="仿宋" w:hint="eastAsia"/>
          <w:color w:val="000000" w:themeColor="text1"/>
          <w:sz w:val="32"/>
          <w:szCs w:val="32"/>
        </w:rPr>
        <w:t>《关于实施遏制重特大事故工作指南构建双重预防机制的意见》</w:t>
      </w:r>
      <w:bookmarkEnd w:id="7"/>
      <w:r w:rsidR="0063598B" w:rsidRPr="00C86F81">
        <w:rPr>
          <w:rFonts w:ascii="仿宋" w:eastAsia="仿宋" w:hAnsi="仿宋" w:hint="eastAsia"/>
          <w:color w:val="000000" w:themeColor="text1"/>
          <w:sz w:val="32"/>
          <w:szCs w:val="32"/>
        </w:rPr>
        <w:t>“（二）工作目标。尽快建立健全安全风险分级管控和隐患排查治理的工作制度和规范，完善技术工程支撑、智能化管控、第三方专业化服务的保障措施，实现企业安全风险自辨自控、隐患自查自治，形成政府领导有力、部门监管有效、企业责任落实、社会参与有序的工作格局，提升安全生产整体预控能力，夯实遏制重特大事故的坚强基础</w:t>
      </w:r>
      <w:r w:rsidR="00A3141F" w:rsidRPr="00C86F81">
        <w:rPr>
          <w:rFonts w:ascii="仿宋" w:eastAsia="仿宋" w:hAnsi="仿宋" w:hint="eastAsia"/>
          <w:color w:val="000000" w:themeColor="text1"/>
          <w:sz w:val="32"/>
          <w:szCs w:val="32"/>
        </w:rPr>
        <w:t>。</w:t>
      </w:r>
      <w:r w:rsidR="0063598B" w:rsidRPr="00C86F81">
        <w:rPr>
          <w:rFonts w:ascii="仿宋" w:eastAsia="仿宋" w:hAnsi="仿宋" w:hint="eastAsia"/>
          <w:color w:val="000000" w:themeColor="text1"/>
          <w:sz w:val="32"/>
          <w:szCs w:val="32"/>
        </w:rPr>
        <w:t>”</w:t>
      </w:r>
      <w:r w:rsidR="0063598B" w:rsidRPr="00C86F81">
        <w:rPr>
          <w:rFonts w:ascii="仿宋" w:eastAsia="仿宋" w:hAnsi="仿宋" w:cstheme="minorBidi" w:hint="eastAsia"/>
          <w:kern w:val="2"/>
          <w:sz w:val="32"/>
          <w:szCs w:val="32"/>
        </w:rPr>
        <w:t>从国家法律层面确定了所有的生产经营单位均要构建安全风险分级管控体系，同时</w:t>
      </w:r>
      <w:r w:rsidR="00C86F81">
        <w:rPr>
          <w:rFonts w:ascii="仿宋" w:eastAsia="仿宋" w:hAnsi="仿宋" w:cstheme="minorBidi" w:hint="eastAsia"/>
          <w:kern w:val="2"/>
          <w:sz w:val="32"/>
          <w:szCs w:val="32"/>
        </w:rPr>
        <w:t>标准</w:t>
      </w:r>
      <w:r w:rsidR="0063598B">
        <w:rPr>
          <w:rFonts w:ascii="仿宋" w:eastAsia="仿宋" w:hAnsi="仿宋" w:cstheme="minorBidi" w:hint="eastAsia"/>
          <w:kern w:val="2"/>
          <w:sz w:val="32"/>
          <w:szCs w:val="32"/>
        </w:rPr>
        <w:t>编制组还根据该文件</w:t>
      </w:r>
      <w:r>
        <w:rPr>
          <w:rFonts w:ascii="仿宋" w:eastAsia="仿宋" w:hAnsi="仿宋" w:hint="eastAsia"/>
          <w:color w:val="000000" w:themeColor="text1"/>
          <w:sz w:val="32"/>
          <w:szCs w:val="32"/>
        </w:rPr>
        <w:t>“</w:t>
      </w:r>
      <w:r w:rsidR="00B00793">
        <w:rPr>
          <w:rFonts w:ascii="仿宋" w:eastAsia="仿宋" w:hAnsi="仿宋" w:hint="eastAsia"/>
          <w:color w:val="000000" w:themeColor="text1"/>
          <w:sz w:val="32"/>
          <w:szCs w:val="32"/>
        </w:rPr>
        <w:t>第二章：</w:t>
      </w:r>
      <w:r w:rsidR="00C86F81">
        <w:rPr>
          <w:rFonts w:ascii="仿宋" w:eastAsia="仿宋" w:hAnsi="仿宋" w:hint="eastAsia"/>
          <w:color w:val="000000" w:themeColor="text1"/>
          <w:sz w:val="32"/>
          <w:szCs w:val="32"/>
        </w:rPr>
        <w:t>（一）</w:t>
      </w:r>
      <w:r w:rsidR="00B00793">
        <w:rPr>
          <w:rFonts w:ascii="仿宋" w:eastAsia="仿宋" w:hAnsi="仿宋" w:hint="eastAsia"/>
          <w:color w:val="000000" w:themeColor="text1"/>
          <w:sz w:val="32"/>
          <w:szCs w:val="32"/>
        </w:rPr>
        <w:t>（</w:t>
      </w:r>
      <w:r w:rsidR="00B00793" w:rsidRPr="00D34FFD">
        <w:rPr>
          <w:rFonts w:ascii="仿宋" w:eastAsia="仿宋" w:hAnsi="仿宋" w:hint="eastAsia"/>
          <w:color w:val="000000" w:themeColor="text1"/>
          <w:sz w:val="32"/>
          <w:szCs w:val="32"/>
        </w:rPr>
        <w:t>全面开展安全风险辨识</w:t>
      </w:r>
      <w:r w:rsidR="00B00793">
        <w:rPr>
          <w:rFonts w:ascii="仿宋" w:eastAsia="仿宋" w:hAnsi="仿宋" w:hint="eastAsia"/>
          <w:color w:val="000000" w:themeColor="text1"/>
          <w:sz w:val="32"/>
          <w:szCs w:val="32"/>
        </w:rPr>
        <w:t>）、</w:t>
      </w:r>
      <w:r w:rsidR="00B00793" w:rsidRPr="00D34FFD">
        <w:rPr>
          <w:rFonts w:ascii="仿宋" w:eastAsia="仿宋" w:hAnsi="仿宋" w:hint="eastAsia"/>
          <w:color w:val="000000" w:themeColor="text1"/>
          <w:sz w:val="32"/>
          <w:szCs w:val="32"/>
        </w:rPr>
        <w:t>（二）科学评定安全风险等级</w:t>
      </w:r>
      <w:r w:rsidR="00B00793">
        <w:rPr>
          <w:rFonts w:ascii="仿宋" w:eastAsia="仿宋" w:hAnsi="仿宋" w:hint="eastAsia"/>
          <w:color w:val="000000" w:themeColor="text1"/>
          <w:sz w:val="32"/>
          <w:szCs w:val="32"/>
        </w:rPr>
        <w:t>、</w:t>
      </w:r>
      <w:r w:rsidR="00B00793" w:rsidRPr="00D34FFD">
        <w:rPr>
          <w:rFonts w:ascii="仿宋" w:eastAsia="仿宋" w:hAnsi="仿宋" w:hint="eastAsia"/>
          <w:color w:val="000000" w:themeColor="text1"/>
          <w:sz w:val="32"/>
          <w:szCs w:val="32"/>
        </w:rPr>
        <w:t>（三）有效管控安全风险</w:t>
      </w:r>
      <w:r w:rsidR="00B00793">
        <w:rPr>
          <w:rFonts w:ascii="仿宋" w:eastAsia="仿宋" w:hAnsi="仿宋" w:hint="eastAsia"/>
          <w:color w:val="000000" w:themeColor="text1"/>
          <w:sz w:val="32"/>
          <w:szCs w:val="32"/>
        </w:rPr>
        <w:t>、</w:t>
      </w:r>
      <w:r w:rsidR="00B00793" w:rsidRPr="00D34FFD">
        <w:rPr>
          <w:rFonts w:ascii="仿宋" w:eastAsia="仿宋" w:hAnsi="仿宋" w:hint="eastAsia"/>
          <w:color w:val="000000" w:themeColor="text1"/>
          <w:sz w:val="32"/>
          <w:szCs w:val="32"/>
        </w:rPr>
        <w:t>（四）实施安全风险公告警示</w:t>
      </w:r>
      <w:r>
        <w:rPr>
          <w:rFonts w:ascii="仿宋" w:eastAsia="仿宋" w:hAnsi="仿宋" w:cstheme="minorBidi" w:hint="eastAsia"/>
          <w:kern w:val="2"/>
          <w:sz w:val="32"/>
          <w:szCs w:val="32"/>
        </w:rPr>
        <w:t>”的相关要求，明确了铝冶炼行业企业</w:t>
      </w:r>
      <w:r w:rsidRPr="000113B5">
        <w:rPr>
          <w:rFonts w:ascii="仿宋" w:eastAsia="仿宋" w:hAnsi="仿宋" w:cstheme="minorBidi" w:hint="eastAsia"/>
          <w:kern w:val="2"/>
          <w:sz w:val="32"/>
          <w:szCs w:val="32"/>
        </w:rPr>
        <w:t>开展安全风险分级管控体系建设的</w:t>
      </w:r>
      <w:bookmarkStart w:id="8" w:name="_Hlk134712057"/>
      <w:r w:rsidR="00182143">
        <w:rPr>
          <w:rFonts w:ascii="仿宋" w:eastAsia="仿宋" w:hAnsi="仿宋" w:cstheme="minorBidi" w:hint="eastAsia"/>
          <w:kern w:val="2"/>
          <w:sz w:val="32"/>
          <w:szCs w:val="32"/>
        </w:rPr>
        <w:t>总体思路</w:t>
      </w:r>
      <w:r w:rsidR="00B71170">
        <w:rPr>
          <w:rFonts w:ascii="仿宋" w:eastAsia="仿宋" w:hAnsi="仿宋" w:cstheme="minorBidi" w:hint="eastAsia"/>
          <w:kern w:val="2"/>
          <w:sz w:val="32"/>
          <w:szCs w:val="32"/>
        </w:rPr>
        <w:t>及</w:t>
      </w:r>
      <w:r w:rsidR="00B00793">
        <w:rPr>
          <w:rFonts w:ascii="仿宋" w:eastAsia="仿宋" w:hAnsi="仿宋" w:cstheme="minorBidi" w:hint="eastAsia"/>
          <w:kern w:val="2"/>
          <w:sz w:val="32"/>
          <w:szCs w:val="32"/>
        </w:rPr>
        <w:t>具体</w:t>
      </w:r>
      <w:r w:rsidR="00182143">
        <w:rPr>
          <w:rFonts w:ascii="仿宋" w:eastAsia="仿宋" w:hAnsi="仿宋" w:cstheme="minorBidi" w:hint="eastAsia"/>
          <w:kern w:val="2"/>
          <w:sz w:val="32"/>
          <w:szCs w:val="32"/>
        </w:rPr>
        <w:t>方向</w:t>
      </w:r>
      <w:bookmarkEnd w:id="8"/>
      <w:r w:rsidR="00C86F81">
        <w:rPr>
          <w:rFonts w:ascii="仿宋" w:eastAsia="仿宋" w:hAnsi="仿宋" w:cstheme="minorBidi" w:hint="eastAsia"/>
          <w:kern w:val="2"/>
          <w:sz w:val="32"/>
          <w:szCs w:val="32"/>
        </w:rPr>
        <w:t>。</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2"/>
      </w:tblGrid>
      <w:tr w:rsidR="0085068F">
        <w:tc>
          <w:tcPr>
            <w:tcW w:w="8522" w:type="dxa"/>
          </w:tcPr>
          <w:p w:rsidR="0085068F" w:rsidRDefault="00A647FD">
            <w:pPr>
              <w:pStyle w:val="af5"/>
              <w:ind w:firstLineChars="0" w:firstLine="0"/>
              <w:rPr>
                <w:rFonts w:ascii="仿宋" w:eastAsia="仿宋" w:hAnsi="仿宋"/>
                <w:b/>
                <w:bCs/>
                <w:color w:val="000000" w:themeColor="text1"/>
                <w:sz w:val="32"/>
                <w:szCs w:val="32"/>
              </w:rPr>
            </w:pPr>
            <w:r>
              <w:rPr>
                <w:rFonts w:ascii="仿宋" w:eastAsia="仿宋" w:hAnsi="仿宋" w:cstheme="minorBidi"/>
                <w:noProof/>
                <w:kern w:val="2"/>
                <w:sz w:val="32"/>
                <w:szCs w:val="32"/>
              </w:rPr>
              <w:lastRenderedPageBreak/>
              <w:drawing>
                <wp:inline distT="0" distB="0" distL="0" distR="0">
                  <wp:extent cx="5394325" cy="3829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394325" cy="3829050"/>
                          </a:xfrm>
                          <a:prstGeom prst="rect">
                            <a:avLst/>
                          </a:prstGeom>
                        </pic:spPr>
                      </pic:pic>
                    </a:graphicData>
                  </a:graphic>
                </wp:inline>
              </w:drawing>
            </w:r>
          </w:p>
        </w:tc>
      </w:tr>
    </w:tbl>
    <w:p w:rsidR="0085068F" w:rsidRPr="000B635C" w:rsidRDefault="00A647FD" w:rsidP="000B635C">
      <w:pPr>
        <w:pStyle w:val="af5"/>
        <w:ind w:firstLine="640"/>
        <w:rPr>
          <w:rFonts w:ascii="仿宋" w:eastAsia="仿宋" w:hAnsi="仿宋" w:hint="eastAsia"/>
          <w:sz w:val="32"/>
          <w:szCs w:val="32"/>
        </w:rPr>
      </w:pPr>
      <w:r>
        <w:rPr>
          <w:rFonts w:ascii="仿宋" w:eastAsia="仿宋" w:hAnsi="仿宋" w:cstheme="minorBidi" w:hint="eastAsia"/>
          <w:kern w:val="2"/>
          <w:sz w:val="32"/>
          <w:szCs w:val="32"/>
        </w:rPr>
        <w:t>项目编制组依据《</w:t>
      </w:r>
      <w:r>
        <w:rPr>
          <w:rFonts w:ascii="仿宋" w:eastAsia="仿宋" w:hAnsi="仿宋"/>
          <w:sz w:val="32"/>
          <w:szCs w:val="32"/>
        </w:rPr>
        <w:t>企业安全生产标准化基本规范》</w:t>
      </w:r>
      <w:r>
        <w:rPr>
          <w:rFonts w:ascii="仿宋" w:eastAsia="仿宋" w:hAnsi="仿宋" w:hint="eastAsia"/>
          <w:sz w:val="32"/>
          <w:szCs w:val="32"/>
        </w:rPr>
        <w:t>（</w:t>
      </w:r>
      <w:r>
        <w:rPr>
          <w:rFonts w:ascii="仿宋" w:eastAsia="仿宋" w:hAnsi="仿宋"/>
          <w:sz w:val="32"/>
          <w:szCs w:val="32"/>
        </w:rPr>
        <w:t>GB/T</w:t>
      </w:r>
      <w:r>
        <w:rPr>
          <w:rFonts w:ascii="仿宋" w:eastAsia="仿宋" w:hAnsi="仿宋" w:cstheme="minorBidi"/>
          <w:sz w:val="32"/>
          <w:szCs w:val="32"/>
        </w:rPr>
        <w:t xml:space="preserve"> </w:t>
      </w:r>
      <w:r>
        <w:rPr>
          <w:rFonts w:ascii="仿宋" w:eastAsia="仿宋" w:hAnsi="仿宋"/>
          <w:sz w:val="32"/>
          <w:szCs w:val="32"/>
        </w:rPr>
        <w:t>33000-2016</w:t>
      </w:r>
      <w:r>
        <w:rPr>
          <w:rFonts w:ascii="仿宋" w:eastAsia="仿宋" w:hAnsi="仿宋" w:hint="eastAsia"/>
          <w:sz w:val="32"/>
          <w:szCs w:val="32"/>
        </w:rPr>
        <w:t>）“安全风险管理”中的安全风险辨识、安全风险评估、安全风险控制、变更管理、重大危险源辨识与管理，确定了铝冶炼行业企</w:t>
      </w:r>
      <w:r w:rsidRPr="000113B5">
        <w:rPr>
          <w:rFonts w:ascii="仿宋" w:eastAsia="仿宋" w:hAnsi="仿宋" w:hint="eastAsia"/>
          <w:sz w:val="32"/>
          <w:szCs w:val="32"/>
        </w:rPr>
        <w:t>业安全风险分级管控</w:t>
      </w:r>
      <w:r w:rsidR="00182143">
        <w:rPr>
          <w:rFonts w:ascii="仿宋" w:eastAsia="仿宋" w:hAnsi="仿宋" w:hint="eastAsia"/>
          <w:sz w:val="32"/>
          <w:szCs w:val="32"/>
        </w:rPr>
        <w:t>体系</w:t>
      </w:r>
      <w:r w:rsidRPr="000113B5">
        <w:rPr>
          <w:rFonts w:ascii="仿宋" w:eastAsia="仿宋" w:hAnsi="仿宋" w:hint="eastAsia"/>
          <w:sz w:val="32"/>
          <w:szCs w:val="32"/>
        </w:rPr>
        <w:t>开展程序与基本内容应包括风险划分、</w:t>
      </w:r>
      <w:r>
        <w:rPr>
          <w:rFonts w:ascii="仿宋" w:eastAsia="仿宋" w:hAnsi="仿宋" w:hint="eastAsia"/>
          <w:sz w:val="32"/>
          <w:szCs w:val="32"/>
        </w:rPr>
        <w:t>风险辨识、风险评价、风险分级、风险分级管控、风险告知等内容</w:t>
      </w:r>
      <w:r w:rsidR="000B635C">
        <w:rPr>
          <w:rFonts w:ascii="仿宋" w:eastAsia="仿宋" w:hAnsi="仿宋" w:hint="eastAsia"/>
          <w:sz w:val="32"/>
          <w:szCs w:val="32"/>
        </w:rPr>
        <w:t>。</w:t>
      </w:r>
    </w:p>
    <w:p w:rsidR="0085068F" w:rsidRDefault="00A647FD">
      <w:pPr>
        <w:pStyle w:val="af5"/>
        <w:ind w:firstLine="640"/>
        <w:rPr>
          <w:rFonts w:ascii="仿宋" w:eastAsia="仿宋" w:hAnsi="仿宋" w:cstheme="minorBidi"/>
          <w:kern w:val="2"/>
          <w:sz w:val="32"/>
          <w:szCs w:val="32"/>
        </w:rPr>
      </w:pPr>
      <w:r>
        <w:rPr>
          <w:rFonts w:ascii="仿宋" w:eastAsia="仿宋" w:hAnsi="仿宋" w:cstheme="minorBidi" w:hint="eastAsia"/>
          <w:kern w:val="2"/>
          <w:sz w:val="32"/>
          <w:szCs w:val="32"/>
        </w:rPr>
        <w:t>项目编制组还参考了应急管理部办公厅《工贸行业安全生产专项整治“百日清零行动”工作方案》(应急厅函〔2022〕127号)“重点整治范围和事项（二）铝加工（深井铸造）重点整治事项（铝7条）。”作为本标准中重大风险的直接判定条件：</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2"/>
      </w:tblGrid>
      <w:tr w:rsidR="0085068F">
        <w:tc>
          <w:tcPr>
            <w:tcW w:w="8522" w:type="dxa"/>
          </w:tcPr>
          <w:p w:rsidR="0085068F" w:rsidRDefault="00A647FD">
            <w:pPr>
              <w:pStyle w:val="af5"/>
              <w:ind w:firstLineChars="0" w:firstLine="0"/>
              <w:rPr>
                <w:rFonts w:ascii="仿宋" w:eastAsia="仿宋" w:hAnsi="仿宋" w:cstheme="minorBidi"/>
                <w:kern w:val="2"/>
                <w:sz w:val="32"/>
                <w:szCs w:val="32"/>
              </w:rPr>
            </w:pPr>
            <w:r>
              <w:rPr>
                <w:rFonts w:ascii="仿宋" w:eastAsia="仿宋" w:hAnsi="仿宋" w:cstheme="minorBidi"/>
                <w:noProof/>
                <w:kern w:val="2"/>
                <w:sz w:val="32"/>
                <w:szCs w:val="32"/>
              </w:rPr>
              <w:lastRenderedPageBreak/>
              <w:drawing>
                <wp:inline distT="0" distB="0" distL="0" distR="0">
                  <wp:extent cx="5315585" cy="21050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315585" cy="2105025"/>
                          </a:xfrm>
                          <a:prstGeom prst="rect">
                            <a:avLst/>
                          </a:prstGeom>
                        </pic:spPr>
                      </pic:pic>
                    </a:graphicData>
                  </a:graphic>
                </wp:inline>
              </w:drawing>
            </w:r>
          </w:p>
        </w:tc>
      </w:tr>
    </w:tbl>
    <w:p w:rsidR="0085068F" w:rsidRDefault="00A647FD">
      <w:pPr>
        <w:pStyle w:val="af5"/>
        <w:ind w:firstLine="640"/>
        <w:rPr>
          <w:rFonts w:ascii="仿宋" w:eastAsia="仿宋" w:hAnsi="仿宋"/>
          <w:sz w:val="32"/>
          <w:szCs w:val="32"/>
        </w:rPr>
      </w:pPr>
      <w:r>
        <w:rPr>
          <w:rFonts w:ascii="仿宋" w:eastAsia="仿宋" w:hAnsi="仿宋" w:cstheme="minorBidi" w:hint="eastAsia"/>
          <w:kern w:val="2"/>
          <w:sz w:val="32"/>
          <w:szCs w:val="32"/>
        </w:rPr>
        <w:t>同时项目编制组依据《风险管理 风险评估技术》（GB/T 27921）中关于风险评估过程、风险评估技术的选择，</w:t>
      </w:r>
      <w:r w:rsidR="000B635C">
        <w:rPr>
          <w:rFonts w:ascii="仿宋" w:eastAsia="仿宋" w:hAnsi="仿宋" w:cstheme="minorBidi" w:hint="eastAsia"/>
          <w:kern w:val="2"/>
          <w:sz w:val="32"/>
          <w:szCs w:val="32"/>
        </w:rPr>
        <w:t>提供了</w:t>
      </w:r>
      <w:r>
        <w:rPr>
          <w:rFonts w:ascii="仿宋" w:eastAsia="仿宋" w:hAnsi="仿宋" w:cstheme="minorBidi" w:hint="eastAsia"/>
          <w:kern w:val="2"/>
          <w:sz w:val="32"/>
          <w:szCs w:val="32"/>
        </w:rPr>
        <w:t>铝冶炼行业企业在风险评估时</w:t>
      </w:r>
      <w:r w:rsidR="000B635C">
        <w:rPr>
          <w:rFonts w:ascii="仿宋" w:eastAsia="仿宋" w:hAnsi="仿宋" w:cstheme="minorBidi" w:hint="eastAsia"/>
          <w:kern w:val="2"/>
          <w:sz w:val="32"/>
          <w:szCs w:val="32"/>
        </w:rPr>
        <w:t>宜</w:t>
      </w:r>
      <w:r>
        <w:rPr>
          <w:rFonts w:ascii="仿宋" w:eastAsia="仿宋" w:hAnsi="仿宋" w:cstheme="minorBidi" w:hint="eastAsia"/>
          <w:kern w:val="2"/>
          <w:sz w:val="32"/>
          <w:szCs w:val="32"/>
        </w:rPr>
        <w:t>选择的风险评价方法</w:t>
      </w:r>
      <w:r w:rsidR="000B635C">
        <w:rPr>
          <w:rFonts w:ascii="仿宋" w:eastAsia="仿宋" w:hAnsi="仿宋" w:hint="eastAsia"/>
          <w:sz w:val="32"/>
          <w:szCs w:val="32"/>
        </w:rPr>
        <w:t>。</w:t>
      </w:r>
    </w:p>
    <w:p w:rsidR="0085068F" w:rsidRDefault="00A647FD">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（五）隐患排查治理</w:t>
      </w:r>
    </w:p>
    <w:p w:rsidR="0085068F" w:rsidRPr="00545F54" w:rsidRDefault="00A647FD">
      <w:pPr>
        <w:spacing w:line="560" w:lineRule="exact"/>
        <w:ind w:firstLineChars="200" w:firstLine="640"/>
        <w:rPr>
          <w:rFonts w:ascii="仿宋" w:eastAsia="仿宋" w:hAnsi="仿宋"/>
          <w:sz w:val="32"/>
          <w:szCs w:val="32"/>
        </w:rPr>
      </w:pPr>
      <w:r>
        <w:rPr>
          <w:rFonts w:ascii="仿宋" w:eastAsia="仿宋" w:hAnsi="仿宋" w:hint="eastAsia"/>
          <w:color w:val="000000" w:themeColor="text1"/>
          <w:sz w:val="32"/>
          <w:szCs w:val="32"/>
        </w:rPr>
        <w:t>标准编制组主要根据以下国家法律法规、标准及相关文件进行综合提炼，结合区内铝冶炼行业企业实际，并经过技术讨论，提出了</w:t>
      </w:r>
      <w:r>
        <w:rPr>
          <w:rFonts w:ascii="仿宋" w:eastAsia="仿宋" w:hAnsi="仿宋" w:hint="eastAsia"/>
          <w:sz w:val="32"/>
          <w:szCs w:val="32"/>
        </w:rPr>
        <w:t>铝冶炼行业企业</w:t>
      </w:r>
      <w:r w:rsidRPr="00545F54">
        <w:rPr>
          <w:rFonts w:ascii="仿宋" w:eastAsia="仿宋" w:hAnsi="仿宋" w:hint="eastAsia"/>
          <w:sz w:val="32"/>
          <w:szCs w:val="32"/>
        </w:rPr>
        <w:t>开展双重预防机制建设中关于隐患排查治理的具体工作内容，主要包括隐患分级、排查要求、排查实施、隐患治理、隐患治理验收。</w:t>
      </w:r>
    </w:p>
    <w:p w:rsidR="00283CE4" w:rsidRDefault="00A647FD">
      <w:pPr>
        <w:spacing w:line="560" w:lineRule="exact"/>
        <w:ind w:firstLineChars="200" w:firstLine="640"/>
        <w:rPr>
          <w:rFonts w:ascii="仿宋" w:eastAsia="仿宋" w:hAnsi="仿宋"/>
          <w:sz w:val="32"/>
          <w:szCs w:val="32"/>
        </w:rPr>
      </w:pPr>
      <w:r w:rsidRPr="00545F54">
        <w:rPr>
          <w:rFonts w:ascii="仿宋" w:eastAsia="仿宋" w:hAnsi="仿宋" w:hint="eastAsia"/>
          <w:color w:val="000000" w:themeColor="text1"/>
          <w:sz w:val="32"/>
          <w:szCs w:val="32"/>
        </w:rPr>
        <w:t>标准编制组</w:t>
      </w:r>
      <w:r w:rsidRPr="00545F54">
        <w:rPr>
          <w:rFonts w:ascii="仿宋" w:eastAsia="仿宋" w:hAnsi="仿宋" w:hint="eastAsia"/>
          <w:sz w:val="32"/>
          <w:szCs w:val="32"/>
        </w:rPr>
        <w:t>依据《中华人民共和国安全生产法》第二十一条（第五款）：“生产经营单位的主要负责人组织建立并落实安全风险分级管控和隐患排查治理双重预防工作机制，督促、检查本单位的安全生产工作，及时消除生产安全事故隐患。”及第四十一条：“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w:t>
      </w:r>
      <w:r w:rsidR="00283CE4" w:rsidRPr="00545F54">
        <w:rPr>
          <w:rFonts w:ascii="仿宋" w:eastAsia="仿宋" w:hAnsi="仿宋" w:hint="eastAsia"/>
          <w:sz w:val="32"/>
          <w:szCs w:val="32"/>
        </w:rPr>
        <w:t>及</w:t>
      </w:r>
      <w:r w:rsidR="00283CE4" w:rsidRPr="00545F54">
        <w:rPr>
          <w:rFonts w:ascii="仿宋" w:eastAsia="仿宋" w:hAnsi="仿宋"/>
          <w:color w:val="000000" w:themeColor="text1"/>
          <w:sz w:val="32"/>
          <w:szCs w:val="32"/>
        </w:rPr>
        <w:t>国务院安委办</w:t>
      </w:r>
      <w:r w:rsidR="00283CE4" w:rsidRPr="00545F54">
        <w:rPr>
          <w:rFonts w:ascii="仿宋" w:eastAsia="仿宋" w:hAnsi="仿宋" w:hint="eastAsia"/>
          <w:color w:val="000000" w:themeColor="text1"/>
          <w:sz w:val="32"/>
          <w:szCs w:val="32"/>
        </w:rPr>
        <w:t>《关于实施遏制重特</w:t>
      </w:r>
      <w:r w:rsidR="00283CE4" w:rsidRPr="00545F54">
        <w:rPr>
          <w:rFonts w:ascii="仿宋" w:eastAsia="仿宋" w:hAnsi="仿宋" w:hint="eastAsia"/>
          <w:color w:val="000000" w:themeColor="text1"/>
          <w:sz w:val="32"/>
          <w:szCs w:val="32"/>
        </w:rPr>
        <w:lastRenderedPageBreak/>
        <w:t>大事故工作指南构建双重预防机制的意见》“（二）工作目标。尽快建立健全安全风险分级管控和隐患排查治理的工作制度和规范，完善技术工程支撑、智能化管控、第三方专业化服务的保障措施，实现企业安全风险自辨自控、隐患自查自治，形成政府领导有力、部门监管有效、企业责任落实、社会参与有序的工作格局，提升安全生产整体预控能力，夯实遏制重特大事故的坚强基础。”</w:t>
      </w:r>
      <w:r w:rsidR="00283CE4" w:rsidRPr="00545F54">
        <w:rPr>
          <w:rFonts w:ascii="仿宋" w:eastAsia="仿宋" w:hAnsi="仿宋" w:hint="eastAsia"/>
          <w:sz w:val="32"/>
          <w:szCs w:val="32"/>
        </w:rPr>
        <w:t>从国家法律层面确定了所有的生产经营单位均要构建隐患排查治理体系，同时编制编制组还根据该文件</w:t>
      </w:r>
      <w:r w:rsidR="00283CE4" w:rsidRPr="00545F54">
        <w:rPr>
          <w:rFonts w:ascii="仿宋" w:eastAsia="仿宋" w:hAnsi="仿宋" w:hint="eastAsia"/>
          <w:color w:val="000000" w:themeColor="text1"/>
          <w:sz w:val="32"/>
          <w:szCs w:val="32"/>
        </w:rPr>
        <w:t>“</w:t>
      </w:r>
      <w:r w:rsidR="00283CE4" w:rsidRPr="00545F54">
        <w:rPr>
          <w:rFonts w:ascii="仿宋" w:eastAsia="仿宋" w:hAnsi="仿宋" w:cs="Times New Roman" w:hint="eastAsia"/>
          <w:color w:val="000000" w:themeColor="text1"/>
          <w:kern w:val="0"/>
          <w:sz w:val="32"/>
          <w:szCs w:val="32"/>
        </w:rPr>
        <w:t>着力构建企业双</w:t>
      </w:r>
      <w:r w:rsidR="00283CE4" w:rsidRPr="00545F54">
        <w:rPr>
          <w:rFonts w:ascii="仿宋" w:eastAsia="仿宋" w:hAnsi="仿宋" w:hint="eastAsia"/>
          <w:sz w:val="32"/>
          <w:szCs w:val="32"/>
        </w:rPr>
        <w:t>重预防机制中第（五）条建立完善隐患排查治理体系”的</w:t>
      </w:r>
      <w:r w:rsidR="00283CE4">
        <w:rPr>
          <w:rFonts w:ascii="仿宋" w:eastAsia="仿宋" w:hAnsi="仿宋" w:hint="eastAsia"/>
          <w:sz w:val="32"/>
          <w:szCs w:val="32"/>
        </w:rPr>
        <w:t>相关要求进一步</w:t>
      </w:r>
      <w:r>
        <w:rPr>
          <w:rFonts w:ascii="仿宋" w:eastAsia="仿宋" w:hAnsi="仿宋" w:hint="eastAsia"/>
          <w:sz w:val="32"/>
          <w:szCs w:val="32"/>
        </w:rPr>
        <w:t>明确了铝冶炼行业企业隐患排查治理体系建设的</w:t>
      </w:r>
      <w:r w:rsidR="00545F54">
        <w:rPr>
          <w:rFonts w:ascii="仿宋" w:eastAsia="仿宋" w:hAnsi="仿宋" w:hint="eastAsia"/>
          <w:sz w:val="32"/>
          <w:szCs w:val="32"/>
        </w:rPr>
        <w:t>基本流程及步骤</w:t>
      </w:r>
      <w:bookmarkStart w:id="9" w:name="_GoBack"/>
      <w:bookmarkEnd w:id="9"/>
      <w:r>
        <w:rPr>
          <w:rFonts w:ascii="仿宋" w:eastAsia="仿宋" w:hAnsi="仿宋" w:hint="eastAsia"/>
          <w:sz w:val="32"/>
          <w:szCs w:val="32"/>
        </w:rPr>
        <w:t>。</w:t>
      </w:r>
    </w:p>
    <w:p w:rsidR="0085068F" w:rsidRDefault="00A647FD">
      <w:pPr>
        <w:spacing w:line="560" w:lineRule="exact"/>
        <w:ind w:firstLineChars="200" w:firstLine="640"/>
        <w:rPr>
          <w:rFonts w:ascii="仿宋" w:eastAsia="仿宋" w:hAnsi="仿宋"/>
          <w:sz w:val="32"/>
          <w:szCs w:val="32"/>
        </w:rPr>
      </w:pPr>
      <w:r>
        <w:rPr>
          <w:rFonts w:ascii="仿宋" w:eastAsia="仿宋" w:hAnsi="仿宋" w:hint="eastAsia"/>
          <w:sz w:val="32"/>
          <w:szCs w:val="32"/>
        </w:rPr>
        <w:t>同时标准编制组还参考了《</w:t>
      </w:r>
      <w:r>
        <w:rPr>
          <w:rFonts w:ascii="仿宋" w:eastAsia="仿宋" w:hAnsi="仿宋"/>
          <w:sz w:val="32"/>
          <w:szCs w:val="32"/>
        </w:rPr>
        <w:t>企业安全生产标准化基本规范》</w:t>
      </w:r>
      <w:r>
        <w:rPr>
          <w:rFonts w:ascii="仿宋" w:eastAsia="仿宋" w:hAnsi="仿宋" w:hint="eastAsia"/>
          <w:sz w:val="32"/>
          <w:szCs w:val="32"/>
        </w:rPr>
        <w:t>（</w:t>
      </w:r>
      <w:r>
        <w:rPr>
          <w:rFonts w:ascii="仿宋" w:eastAsia="仿宋" w:hAnsi="仿宋"/>
          <w:sz w:val="32"/>
          <w:szCs w:val="32"/>
        </w:rPr>
        <w:t>GB/T 33000-2016</w:t>
      </w:r>
      <w:r>
        <w:rPr>
          <w:rFonts w:ascii="仿宋" w:eastAsia="仿宋" w:hAnsi="仿宋" w:hint="eastAsia"/>
          <w:sz w:val="32"/>
          <w:szCs w:val="32"/>
        </w:rPr>
        <w:t>）“隐患排查治理”中的隐患排查、隐患治理、验收与评估、信息记录、通报和报送、预测预警等内容，确定了铝冶炼行业企业隐患排查治理工作的</w:t>
      </w:r>
      <w:r w:rsidRPr="00545F54">
        <w:rPr>
          <w:rFonts w:ascii="仿宋" w:eastAsia="仿宋" w:hAnsi="仿宋" w:hint="eastAsia"/>
          <w:sz w:val="32"/>
          <w:szCs w:val="32"/>
        </w:rPr>
        <w:t>开展程序与基本内容</w:t>
      </w:r>
      <w:r>
        <w:rPr>
          <w:rFonts w:ascii="仿宋" w:eastAsia="仿宋" w:hAnsi="仿宋" w:hint="eastAsia"/>
          <w:sz w:val="32"/>
          <w:szCs w:val="32"/>
        </w:rPr>
        <w:t>。</w:t>
      </w:r>
    </w:p>
    <w:p w:rsidR="0085068F" w:rsidRDefault="00A647FD">
      <w:pPr>
        <w:spacing w:line="560" w:lineRule="exact"/>
        <w:ind w:firstLineChars="200" w:firstLine="640"/>
        <w:rPr>
          <w:rFonts w:ascii="仿宋" w:eastAsia="仿宋" w:hAnsi="仿宋"/>
          <w:sz w:val="32"/>
          <w:szCs w:val="32"/>
        </w:rPr>
      </w:pPr>
      <w:r>
        <w:rPr>
          <w:rFonts w:ascii="仿宋" w:eastAsia="仿宋" w:hAnsi="仿宋" w:hint="eastAsia"/>
          <w:sz w:val="32"/>
          <w:szCs w:val="32"/>
        </w:rPr>
        <w:t>同时本标准明确规定铝冶炼行业企业应依据《工贸行业重大生产安全事故隐患判定标准》（中华人民共和国应急管理部令（第10号）），自行判定企业内存在的重大事故隐患并按相关要求开展整改、治理及验收工作</w:t>
      </w:r>
      <w:r w:rsidR="00545F54">
        <w:rPr>
          <w:rFonts w:ascii="仿宋" w:eastAsia="仿宋" w:hAnsi="仿宋" w:hint="eastAsia"/>
          <w:sz w:val="32"/>
          <w:szCs w:val="32"/>
        </w:rPr>
        <w:t>。</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2"/>
      </w:tblGrid>
      <w:tr w:rsidR="0085068F">
        <w:trPr>
          <w:trHeight w:val="4633"/>
        </w:trPr>
        <w:tc>
          <w:tcPr>
            <w:tcW w:w="8431" w:type="dxa"/>
          </w:tcPr>
          <w:p w:rsidR="0085068F" w:rsidRDefault="00A647FD">
            <w:pPr>
              <w:spacing w:line="560" w:lineRule="exact"/>
              <w:rPr>
                <w:rFonts w:ascii="仿宋" w:eastAsia="仿宋" w:hAnsi="仿宋"/>
                <w:sz w:val="32"/>
                <w:szCs w:val="32"/>
              </w:rPr>
            </w:pPr>
            <w:r>
              <w:rPr>
                <w:noProof/>
              </w:rPr>
              <w:lastRenderedPageBreak/>
              <w:drawing>
                <wp:anchor distT="0" distB="0" distL="114300" distR="114300" simplePos="0" relativeHeight="251659264" behindDoc="0" locked="0" layoutInCell="1" allowOverlap="1">
                  <wp:simplePos x="0" y="0"/>
                  <wp:positionH relativeFrom="margin">
                    <wp:posOffset>0</wp:posOffset>
                  </wp:positionH>
                  <wp:positionV relativeFrom="margin">
                    <wp:posOffset>212725</wp:posOffset>
                  </wp:positionV>
                  <wp:extent cx="5273675" cy="2707005"/>
                  <wp:effectExtent l="0" t="0" r="3175" b="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273675" cy="2707005"/>
                          </a:xfrm>
                          <a:prstGeom prst="rect">
                            <a:avLst/>
                          </a:prstGeom>
                        </pic:spPr>
                      </pic:pic>
                    </a:graphicData>
                  </a:graphic>
                </wp:anchor>
              </w:drawing>
            </w:r>
          </w:p>
        </w:tc>
      </w:tr>
    </w:tbl>
    <w:p w:rsidR="0085068F" w:rsidRDefault="00A647FD">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（六）文件管理</w:t>
      </w:r>
    </w:p>
    <w:p w:rsidR="0085068F" w:rsidRDefault="00A647FD">
      <w:pPr>
        <w:numPr>
          <w:ilvl w:val="255"/>
          <w:numId w:val="0"/>
        </w:numPr>
        <w:spacing w:line="560" w:lineRule="exact"/>
        <w:ind w:firstLineChars="200" w:firstLine="640"/>
        <w:jc w:val="left"/>
        <w:rPr>
          <w:rFonts w:ascii="仿宋" w:eastAsia="仿宋" w:hAnsi="仿宋"/>
          <w:color w:val="000000" w:themeColor="text1"/>
          <w:sz w:val="32"/>
          <w:szCs w:val="32"/>
        </w:rPr>
      </w:pPr>
      <w:bookmarkStart w:id="10" w:name="_Hlk134109842"/>
      <w:r>
        <w:rPr>
          <w:rFonts w:ascii="仿宋" w:eastAsia="仿宋" w:hAnsi="仿宋" w:hint="eastAsia"/>
          <w:color w:val="000000" w:themeColor="text1"/>
          <w:sz w:val="32"/>
          <w:szCs w:val="32"/>
        </w:rPr>
        <w:t>标准编制组依据</w:t>
      </w:r>
      <w:r>
        <w:rPr>
          <w:rFonts w:ascii="仿宋" w:eastAsia="仿宋" w:hAnsi="仿宋"/>
          <w:color w:val="000000" w:themeColor="text1"/>
          <w:sz w:val="32"/>
          <w:szCs w:val="32"/>
        </w:rPr>
        <w:t>《企业安全生产标准化基本规范》</w:t>
      </w:r>
      <w:r>
        <w:rPr>
          <w:rFonts w:ascii="仿宋" w:eastAsia="仿宋" w:hAnsi="仿宋" w:hint="eastAsia"/>
          <w:color w:val="000000" w:themeColor="text1"/>
          <w:sz w:val="32"/>
          <w:szCs w:val="32"/>
        </w:rPr>
        <w:t>（</w:t>
      </w:r>
      <w:r>
        <w:rPr>
          <w:rFonts w:ascii="仿宋" w:eastAsia="仿宋" w:hAnsi="仿宋"/>
          <w:color w:val="000000" w:themeColor="text1"/>
          <w:sz w:val="32"/>
          <w:szCs w:val="32"/>
        </w:rPr>
        <w:t>GB/T 33000-2016</w:t>
      </w:r>
      <w:r>
        <w:rPr>
          <w:rFonts w:ascii="仿宋" w:eastAsia="仿宋" w:hAnsi="仿宋" w:hint="eastAsia"/>
          <w:color w:val="000000" w:themeColor="text1"/>
          <w:sz w:val="32"/>
          <w:szCs w:val="32"/>
        </w:rPr>
        <w:t>）》“企业应建立文件和记录管理制度,明确安全生产和职业卫生规章制度、操作规程的编制、评审、发布、使用、修订、作废以及文件和记录管理的职责、程序和要求。企业应建立健全主要安全生产和职业卫生过程与结果的记录，并建立和保存有关记录的电子档案，支持查询和检案，便于自身管理使用和行业主管部门调取检查。”及安全评价通则（</w:t>
      </w:r>
      <w:r>
        <w:rPr>
          <w:rFonts w:ascii="仿宋" w:eastAsia="仿宋" w:hAnsi="仿宋"/>
          <w:color w:val="000000" w:themeColor="text1"/>
          <w:sz w:val="32"/>
          <w:szCs w:val="32"/>
        </w:rPr>
        <w:t>AQ 8001-2007</w:t>
      </w:r>
      <w:r>
        <w:rPr>
          <w:rFonts w:ascii="仿宋" w:eastAsia="仿宋" w:hAnsi="仿宋" w:hint="eastAsia"/>
          <w:color w:val="000000" w:themeColor="text1"/>
          <w:sz w:val="32"/>
          <w:szCs w:val="32"/>
        </w:rPr>
        <w:t>）“安全评价报告格式要求”，同时结合区内铝冶炼行业企业实际，并经过技术讨论，规定了铝冶炼行业企业双重预防机制建设文件管理的相关要求，主要包括</w:t>
      </w:r>
      <w:r>
        <w:rPr>
          <w:rFonts w:ascii="仿宋" w:eastAsia="仿宋" w:hAnsi="仿宋" w:hint="eastAsia"/>
          <w:b/>
          <w:bCs/>
          <w:color w:val="000000" w:themeColor="text1"/>
          <w:sz w:val="32"/>
          <w:szCs w:val="32"/>
        </w:rPr>
        <w:t>报告内容及报告格式</w:t>
      </w:r>
      <w:r>
        <w:rPr>
          <w:rFonts w:ascii="仿宋" w:eastAsia="仿宋" w:hAnsi="仿宋" w:hint="eastAsia"/>
          <w:color w:val="000000" w:themeColor="text1"/>
          <w:sz w:val="32"/>
          <w:szCs w:val="32"/>
        </w:rPr>
        <w:t>的相关要求</w:t>
      </w:r>
      <w:bookmarkEnd w:id="10"/>
      <w:r>
        <w:rPr>
          <w:rFonts w:ascii="仿宋" w:eastAsia="仿宋" w:hAnsi="仿宋" w:hint="eastAsia"/>
          <w:color w:val="000000" w:themeColor="text1"/>
          <w:sz w:val="32"/>
          <w:szCs w:val="32"/>
        </w:rPr>
        <w:t>。</w:t>
      </w:r>
    </w:p>
    <w:p w:rsidR="0085068F" w:rsidRDefault="00A647FD">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（七）信息化建设</w:t>
      </w:r>
    </w:p>
    <w:p w:rsidR="0085068F" w:rsidRDefault="00A647FD">
      <w:pPr>
        <w:numPr>
          <w:ilvl w:val="255"/>
          <w:numId w:val="0"/>
        </w:numPr>
        <w:spacing w:line="560" w:lineRule="exact"/>
        <w:ind w:firstLineChars="200" w:firstLine="640"/>
        <w:jc w:val="left"/>
        <w:rPr>
          <w:rFonts w:ascii="仿宋" w:eastAsia="仿宋" w:hAnsi="仿宋"/>
          <w:sz w:val="32"/>
          <w:szCs w:val="32"/>
        </w:rPr>
      </w:pPr>
      <w:bookmarkStart w:id="11" w:name="_Hlk134109884"/>
      <w:r>
        <w:rPr>
          <w:rFonts w:ascii="仿宋" w:eastAsia="仿宋" w:hAnsi="仿宋" w:hint="eastAsia"/>
          <w:color w:val="000000" w:themeColor="text1"/>
          <w:sz w:val="32"/>
          <w:szCs w:val="32"/>
        </w:rPr>
        <w:t>标准编制组依据《中华人民共和国安全生产法》第四条“加强安全标准化、信息化建设，构建安全风险分级管控和</w:t>
      </w:r>
      <w:r>
        <w:rPr>
          <w:rFonts w:ascii="仿宋" w:eastAsia="仿宋" w:hAnsi="仿宋" w:hint="eastAsia"/>
          <w:color w:val="000000" w:themeColor="text1"/>
          <w:sz w:val="32"/>
          <w:szCs w:val="32"/>
        </w:rPr>
        <w:lastRenderedPageBreak/>
        <w:t>隐患排查治理双重预防机制建设，健全风险防范化解机制，提高安全生产水平，确保安全生产。”及</w:t>
      </w:r>
      <w:r>
        <w:rPr>
          <w:rFonts w:ascii="仿宋" w:eastAsia="仿宋" w:hAnsi="仿宋"/>
          <w:color w:val="000000" w:themeColor="text1"/>
          <w:sz w:val="32"/>
          <w:szCs w:val="32"/>
        </w:rPr>
        <w:t>国务院安委办</w:t>
      </w:r>
      <w:r>
        <w:rPr>
          <w:rFonts w:ascii="仿宋" w:eastAsia="仿宋" w:hAnsi="仿宋" w:hint="eastAsia"/>
          <w:color w:val="000000" w:themeColor="text1"/>
          <w:sz w:val="32"/>
          <w:szCs w:val="32"/>
        </w:rPr>
        <w:t>《关于实施遏制重特大事故工作指南构建双重预防机制的意见》第四章“强化智能化、信息化技术的应用。各地区、各有关部门要抓紧建立功能齐全的安全生产监管综合智能化平台，实现政府、企业、部门及社会服务组织之间的互联互通、信息共享，为构建双重预防机制提供信息化支撑。要督促企业加强内部智能化、信息化管理平台建设，将所有辨识出的风险和排查出的隐患全部录入管理平台，逐步实现对企业风险管控和隐患排查治理情况的信息化管理。要针对可能引发重特大事故的重点区域、重点单位、重点部位和关键环节，加强远程监测、自动化控制、自动预警和紧急避险等设施设备的使用，强化技术安全防范措施，努力实现企业风险防控和隐患排查治理异常情况自动报警。”同时结合区内铝冶炼行业企业实际，并经过技术讨论，规定了</w:t>
      </w:r>
      <w:r>
        <w:rPr>
          <w:rFonts w:ascii="仿宋" w:eastAsia="仿宋" w:hAnsi="仿宋" w:hint="eastAsia"/>
          <w:b/>
          <w:bCs/>
          <w:sz w:val="32"/>
          <w:szCs w:val="32"/>
        </w:rPr>
        <w:t>铝冶炼行业企业安全生产信息管理平台的相关要求及基本功能</w:t>
      </w:r>
      <w:bookmarkEnd w:id="11"/>
      <w:r>
        <w:rPr>
          <w:rFonts w:ascii="仿宋" w:eastAsia="仿宋" w:hAnsi="仿宋" w:hint="eastAsia"/>
          <w:sz w:val="32"/>
          <w:szCs w:val="32"/>
        </w:rPr>
        <w:t>。</w:t>
      </w:r>
    </w:p>
    <w:p w:rsidR="0085068F" w:rsidRDefault="00A647FD">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（八）持续改进</w:t>
      </w:r>
    </w:p>
    <w:p w:rsidR="0085068F" w:rsidRDefault="00A647FD">
      <w:pPr>
        <w:numPr>
          <w:ilvl w:val="255"/>
          <w:numId w:val="0"/>
        </w:numPr>
        <w:spacing w:line="560" w:lineRule="exact"/>
        <w:ind w:firstLineChars="200" w:firstLine="640"/>
        <w:jc w:val="left"/>
        <w:rPr>
          <w:rFonts w:ascii="仿宋" w:eastAsia="仿宋" w:hAnsi="仿宋"/>
          <w:sz w:val="32"/>
          <w:szCs w:val="32"/>
        </w:rPr>
      </w:pPr>
      <w:bookmarkStart w:id="12" w:name="_Hlk134109915"/>
      <w:r>
        <w:rPr>
          <w:rFonts w:ascii="仿宋" w:eastAsia="仿宋" w:hAnsi="仿宋" w:hint="eastAsia"/>
          <w:sz w:val="32"/>
          <w:szCs w:val="32"/>
        </w:rPr>
        <w:t>主要规定了铝冶炼行业企业双重预防机制的</w:t>
      </w:r>
      <w:r>
        <w:rPr>
          <w:rFonts w:ascii="仿宋" w:eastAsia="仿宋" w:hAnsi="仿宋" w:hint="eastAsia"/>
          <w:b/>
          <w:bCs/>
          <w:sz w:val="32"/>
          <w:szCs w:val="32"/>
        </w:rPr>
        <w:t>评估与更新</w:t>
      </w:r>
      <w:r>
        <w:rPr>
          <w:rFonts w:ascii="仿宋" w:eastAsia="仿宋" w:hAnsi="仿宋" w:hint="eastAsia"/>
          <w:sz w:val="32"/>
          <w:szCs w:val="32"/>
        </w:rPr>
        <w:t>等相关内容。</w:t>
      </w:r>
    </w:p>
    <w:p w:rsidR="0085068F" w:rsidRDefault="00A647FD">
      <w:pPr>
        <w:numPr>
          <w:ilvl w:val="255"/>
          <w:numId w:val="0"/>
        </w:numPr>
        <w:spacing w:line="560" w:lineRule="exact"/>
        <w:ind w:firstLineChars="200" w:firstLine="640"/>
        <w:jc w:val="left"/>
        <w:rPr>
          <w:rFonts w:ascii="仿宋" w:eastAsia="仿宋" w:hAnsi="仿宋"/>
          <w:color w:val="0000FF"/>
          <w:sz w:val="32"/>
          <w:szCs w:val="32"/>
        </w:rPr>
      </w:pPr>
      <w:r>
        <w:rPr>
          <w:rFonts w:ascii="仿宋" w:eastAsia="仿宋" w:hAnsi="仿宋" w:hint="eastAsia"/>
          <w:color w:val="000000" w:themeColor="text1"/>
          <w:sz w:val="32"/>
          <w:szCs w:val="32"/>
        </w:rPr>
        <w:t>标准编制组依据</w:t>
      </w:r>
      <w:r>
        <w:rPr>
          <w:rFonts w:ascii="仿宋" w:eastAsia="仿宋" w:hAnsi="仿宋"/>
          <w:color w:val="000000" w:themeColor="text1"/>
          <w:sz w:val="32"/>
          <w:szCs w:val="32"/>
        </w:rPr>
        <w:t>《企业安全生产标准化基本规范》</w:t>
      </w:r>
      <w:r>
        <w:rPr>
          <w:rFonts w:ascii="仿宋" w:eastAsia="仿宋" w:hAnsi="仿宋" w:hint="eastAsia"/>
          <w:color w:val="000000" w:themeColor="text1"/>
          <w:sz w:val="32"/>
          <w:szCs w:val="32"/>
        </w:rPr>
        <w:t>（</w:t>
      </w:r>
      <w:r>
        <w:rPr>
          <w:rFonts w:ascii="仿宋" w:eastAsia="仿宋" w:hAnsi="仿宋"/>
          <w:color w:val="000000" w:themeColor="text1"/>
          <w:sz w:val="32"/>
          <w:szCs w:val="32"/>
        </w:rPr>
        <w:t>GB/T 33000-2016</w:t>
      </w:r>
      <w:r>
        <w:rPr>
          <w:rFonts w:ascii="仿宋" w:eastAsia="仿宋" w:hAnsi="仿宋" w:hint="eastAsia"/>
          <w:color w:val="000000" w:themeColor="text1"/>
          <w:sz w:val="32"/>
          <w:szCs w:val="32"/>
        </w:rPr>
        <w:t>）》“企业每年至少应对安全生产标准化管理体系的运行情况进行一次自评,验证各项安全生产制度措施的适宜性、充分性和有效性，检查安全生产和职业卫生管理目标指标的完成情况企业主要负责人应全面负责组织自评工</w:t>
      </w:r>
      <w:r>
        <w:rPr>
          <w:rFonts w:ascii="仿宋" w:eastAsia="仿宋" w:hAnsi="仿宋" w:hint="eastAsia"/>
          <w:color w:val="000000" w:themeColor="text1"/>
          <w:sz w:val="32"/>
          <w:szCs w:val="32"/>
        </w:rPr>
        <w:lastRenderedPageBreak/>
        <w:t>作，并将自评结果向本企业所有部门、单位和从业人员通报。自评结果应形成正式文件,并作为年度安全绩效考评的重要依据。企业应落实安全生产报告制度，定期向业绩考核等有关部门报告安全生产情况，并向社会公示。企业发生生产安全责任死亡事故，应重新进行安全绩效评定，全面查找安全生产标准化管理体系中存在的缺陷。”及“企业应根据安全生产标准化管理体系的自评结果和安全生产预测预警系统所反映的趋势，以及绩效评定情况，客观分析企业安全生产标准化管理体系的运行质量，及时调整完善相关制度文件和过程管控，持续改进，不断提高安全生产绩效。”同时结合区内铝冶炼行业企业实际，并经过技术讨论，规定了</w:t>
      </w:r>
      <w:r>
        <w:rPr>
          <w:rFonts w:ascii="仿宋" w:eastAsia="仿宋" w:hAnsi="仿宋" w:hint="eastAsia"/>
          <w:sz w:val="32"/>
          <w:szCs w:val="32"/>
        </w:rPr>
        <w:t>铝冶炼行业企业双重预防机制的评估与更新相关要求</w:t>
      </w:r>
      <w:bookmarkEnd w:id="12"/>
      <w:r>
        <w:rPr>
          <w:rFonts w:ascii="仿宋" w:eastAsia="仿宋" w:hAnsi="仿宋" w:hint="eastAsia"/>
          <w:sz w:val="32"/>
          <w:szCs w:val="32"/>
        </w:rPr>
        <w:t>。</w:t>
      </w:r>
    </w:p>
    <w:p w:rsidR="0085068F" w:rsidRDefault="00A647FD">
      <w:pPr>
        <w:pStyle w:val="1"/>
        <w:rPr>
          <w:color w:val="000000" w:themeColor="text1"/>
        </w:rPr>
      </w:pPr>
      <w:bookmarkStart w:id="13" w:name="_Toc134114178"/>
      <w:r>
        <w:rPr>
          <w:rFonts w:hint="eastAsia"/>
          <w:color w:val="000000" w:themeColor="text1"/>
        </w:rPr>
        <w:t>六、国内外同类标准制修订情况及与法律法规、强制性标准关系</w:t>
      </w:r>
      <w:bookmarkEnd w:id="13"/>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经查新，国内外已制定的同类标准有：</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1．国家标准</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无</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2.行业标准</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无</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3．地方标准</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《铝冶炼行业企业安全生产风险分级管控体系实施指南》（</w:t>
      </w:r>
      <w:r>
        <w:rPr>
          <w:rFonts w:ascii="仿宋" w:eastAsia="仿宋" w:hAnsi="仿宋"/>
          <w:color w:val="000000" w:themeColor="text1"/>
          <w:sz w:val="32"/>
          <w:szCs w:val="32"/>
        </w:rPr>
        <w:t>DB37/T 3186-2018</w:t>
      </w:r>
      <w:r>
        <w:rPr>
          <w:rFonts w:ascii="仿宋" w:eastAsia="仿宋" w:hAnsi="仿宋" w:hint="eastAsia"/>
          <w:color w:val="000000" w:themeColor="text1"/>
          <w:sz w:val="32"/>
          <w:szCs w:val="32"/>
        </w:rPr>
        <w:t>）发布部门：山东省市场监督管理局</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《铝冶炼行业企业生产安全事故隐患排查治理体系实</w:t>
      </w:r>
      <w:r>
        <w:rPr>
          <w:rFonts w:ascii="仿宋" w:eastAsia="仿宋" w:hAnsi="仿宋" w:hint="eastAsia"/>
          <w:color w:val="000000" w:themeColor="text1"/>
          <w:sz w:val="32"/>
          <w:szCs w:val="32"/>
        </w:rPr>
        <w:lastRenderedPageBreak/>
        <w:t>施指南》（</w:t>
      </w:r>
      <w:r>
        <w:rPr>
          <w:rFonts w:ascii="仿宋" w:eastAsia="仿宋" w:hAnsi="仿宋"/>
          <w:color w:val="000000" w:themeColor="text1"/>
          <w:sz w:val="32"/>
          <w:szCs w:val="32"/>
        </w:rPr>
        <w:t>DB37/T 3187-2018</w:t>
      </w:r>
      <w:r>
        <w:rPr>
          <w:rFonts w:ascii="仿宋" w:eastAsia="仿宋" w:hAnsi="仿宋" w:hint="eastAsia"/>
          <w:color w:val="000000" w:themeColor="text1"/>
          <w:sz w:val="32"/>
          <w:szCs w:val="32"/>
        </w:rPr>
        <w:t>）发布部门：山东省市场监督管理局</w:t>
      </w:r>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本标准的内容与现行的法律、法规及强制性标准无冲突，标准的编写符合GB/T 1.1-2020的要求。</w:t>
      </w:r>
    </w:p>
    <w:p w:rsidR="0085068F" w:rsidRDefault="00A647FD">
      <w:pPr>
        <w:pStyle w:val="1"/>
        <w:rPr>
          <w:rFonts w:ascii="仿宋_GB2312" w:eastAsia="仿宋_GB2312" w:hAnsi="仿宋_GB2312" w:cs="仿宋_GB2312"/>
          <w:b/>
          <w:bCs/>
          <w:color w:val="000000" w:themeColor="text1"/>
          <w:szCs w:val="32"/>
        </w:rPr>
      </w:pPr>
      <w:bookmarkStart w:id="14" w:name="_Toc134114179"/>
      <w:r>
        <w:rPr>
          <w:rFonts w:hint="eastAsia"/>
          <w:color w:val="000000" w:themeColor="text1"/>
        </w:rPr>
        <w:t>七、重大分歧意见的处理经过和依据</w:t>
      </w:r>
      <w:bookmarkEnd w:id="14"/>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本标准起草过程无重大分歧意见。</w:t>
      </w:r>
    </w:p>
    <w:p w:rsidR="0085068F" w:rsidRDefault="00A647FD">
      <w:pPr>
        <w:pStyle w:val="1"/>
        <w:rPr>
          <w:color w:val="000000" w:themeColor="text1"/>
        </w:rPr>
      </w:pPr>
      <w:bookmarkStart w:id="15" w:name="_Toc134114180"/>
      <w:bookmarkStart w:id="16" w:name="_Hlk134110212"/>
      <w:r>
        <w:rPr>
          <w:rFonts w:hint="eastAsia"/>
          <w:color w:val="000000" w:themeColor="text1"/>
        </w:rPr>
        <w:t>八、自我承诺</w:t>
      </w:r>
      <w:bookmarkEnd w:id="15"/>
    </w:p>
    <w:p w:rsidR="0085068F" w:rsidRDefault="00A647FD">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本标准内容与各项指标不低于强制性标准。</w:t>
      </w:r>
    </w:p>
    <w:bookmarkEnd w:id="16"/>
    <w:p w:rsidR="0085068F" w:rsidRDefault="0085068F">
      <w:pPr>
        <w:spacing w:line="560" w:lineRule="exact"/>
        <w:ind w:firstLineChars="200" w:firstLine="640"/>
        <w:rPr>
          <w:rFonts w:ascii="仿宋" w:eastAsia="仿宋" w:hAnsi="仿宋"/>
          <w:color w:val="000000" w:themeColor="text1"/>
          <w:sz w:val="32"/>
          <w:szCs w:val="32"/>
        </w:rPr>
      </w:pPr>
    </w:p>
    <w:p w:rsidR="0085068F" w:rsidRDefault="0085068F">
      <w:pPr>
        <w:spacing w:line="560" w:lineRule="exact"/>
        <w:ind w:firstLineChars="200" w:firstLine="640"/>
        <w:rPr>
          <w:rFonts w:ascii="仿宋" w:eastAsia="仿宋" w:hAnsi="仿宋"/>
          <w:color w:val="000000" w:themeColor="text1"/>
          <w:sz w:val="32"/>
          <w:szCs w:val="32"/>
        </w:rPr>
      </w:pPr>
    </w:p>
    <w:p w:rsidR="0085068F" w:rsidRDefault="0085068F">
      <w:pPr>
        <w:spacing w:line="560" w:lineRule="exact"/>
        <w:ind w:firstLineChars="200" w:firstLine="640"/>
        <w:rPr>
          <w:rFonts w:ascii="仿宋" w:eastAsia="仿宋" w:hAnsi="仿宋"/>
          <w:color w:val="000000" w:themeColor="text1"/>
          <w:sz w:val="32"/>
          <w:szCs w:val="32"/>
        </w:rPr>
      </w:pPr>
    </w:p>
    <w:p w:rsidR="0085068F" w:rsidRDefault="0085068F">
      <w:pPr>
        <w:spacing w:line="560" w:lineRule="exact"/>
        <w:ind w:firstLineChars="200" w:firstLine="640"/>
        <w:rPr>
          <w:rFonts w:ascii="仿宋" w:eastAsia="仿宋" w:hAnsi="仿宋"/>
          <w:color w:val="000000" w:themeColor="text1"/>
          <w:sz w:val="32"/>
          <w:szCs w:val="32"/>
        </w:rPr>
      </w:pPr>
    </w:p>
    <w:p w:rsidR="0085068F" w:rsidRDefault="0085068F">
      <w:pPr>
        <w:spacing w:line="560" w:lineRule="exact"/>
        <w:ind w:firstLineChars="200" w:firstLine="640"/>
        <w:rPr>
          <w:rFonts w:ascii="仿宋" w:eastAsia="仿宋" w:hAnsi="仿宋"/>
          <w:color w:val="000000" w:themeColor="text1"/>
          <w:sz w:val="32"/>
          <w:szCs w:val="32"/>
        </w:rPr>
      </w:pPr>
    </w:p>
    <w:p w:rsidR="0085068F" w:rsidRDefault="0085068F">
      <w:pPr>
        <w:spacing w:line="560" w:lineRule="exact"/>
        <w:ind w:firstLineChars="200" w:firstLine="640"/>
        <w:rPr>
          <w:rFonts w:ascii="仿宋" w:eastAsia="仿宋" w:hAnsi="仿宋"/>
          <w:color w:val="000000" w:themeColor="text1"/>
          <w:sz w:val="32"/>
          <w:szCs w:val="32"/>
        </w:rPr>
      </w:pPr>
    </w:p>
    <w:p w:rsidR="0085068F" w:rsidRDefault="0085068F">
      <w:pPr>
        <w:spacing w:line="560" w:lineRule="exact"/>
        <w:ind w:firstLineChars="200" w:firstLine="640"/>
        <w:rPr>
          <w:rFonts w:ascii="仿宋" w:eastAsia="仿宋" w:hAnsi="仿宋"/>
          <w:color w:val="000000" w:themeColor="text1"/>
          <w:sz w:val="32"/>
          <w:szCs w:val="32"/>
        </w:rPr>
      </w:pPr>
    </w:p>
    <w:p w:rsidR="0085068F" w:rsidRDefault="0085068F">
      <w:pPr>
        <w:spacing w:line="560" w:lineRule="exact"/>
        <w:ind w:firstLineChars="200" w:firstLine="640"/>
        <w:rPr>
          <w:rFonts w:ascii="仿宋" w:eastAsia="仿宋" w:hAnsi="仿宋"/>
          <w:color w:val="000000" w:themeColor="text1"/>
          <w:sz w:val="32"/>
          <w:szCs w:val="32"/>
        </w:rPr>
      </w:pPr>
    </w:p>
    <w:p w:rsidR="0085068F" w:rsidRDefault="00A647FD">
      <w:pPr>
        <w:spacing w:line="560" w:lineRule="exact"/>
        <w:jc w:val="right"/>
        <w:rPr>
          <w:rFonts w:ascii="仿宋_GB2312" w:eastAsia="仿宋_GB2312" w:hAnsi="宋体"/>
          <w:sz w:val="32"/>
          <w:szCs w:val="32"/>
        </w:rPr>
      </w:pPr>
      <w:bookmarkStart w:id="17" w:name="_Hlk134110219"/>
      <w:r>
        <w:rPr>
          <w:rFonts w:ascii="仿宋_GB2312" w:eastAsia="仿宋_GB2312" w:hAnsi="宋体" w:hint="eastAsia"/>
          <w:sz w:val="32"/>
          <w:szCs w:val="32"/>
        </w:rPr>
        <w:t>团体标准《铝治炼行业企业安全风险分级管控与隐患排查治理双重预防机制建设指南》标准编制工作组</w:t>
      </w:r>
    </w:p>
    <w:p w:rsidR="0085068F" w:rsidRDefault="00A647FD">
      <w:pPr>
        <w:spacing w:line="560" w:lineRule="exact"/>
        <w:jc w:val="righ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20</w:t>
      </w:r>
      <w:r>
        <w:rPr>
          <w:rFonts w:ascii="仿宋_GB2312" w:eastAsia="仿宋_GB2312" w:hAnsi="宋体"/>
          <w:sz w:val="32"/>
          <w:szCs w:val="32"/>
        </w:rPr>
        <w:t>23</w:t>
      </w:r>
      <w:r>
        <w:rPr>
          <w:rFonts w:ascii="仿宋_GB2312" w:eastAsia="仿宋_GB2312" w:hAnsi="宋体" w:hint="eastAsia"/>
          <w:sz w:val="32"/>
          <w:szCs w:val="32"/>
        </w:rPr>
        <w:t>年5月6日</w:t>
      </w:r>
      <w:bookmarkEnd w:id="17"/>
    </w:p>
    <w:sectPr w:rsidR="0085068F">
      <w:footerReference w:type="even" r:id="rId13"/>
      <w:footerReference w:type="default" r:id="rId14"/>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805" w:rsidRDefault="00A647FD">
      <w:r>
        <w:separator/>
      </w:r>
    </w:p>
  </w:endnote>
  <w:endnote w:type="continuationSeparator" w:id="0">
    <w:p w:rsidR="00236805" w:rsidRDefault="00A64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仿宋_GB2312">
    <w:panose1 w:val="02010609030101010101"/>
    <w:charset w:val="86"/>
    <w:family w:val="modern"/>
    <w:pitch w:val="fixed"/>
    <w:sig w:usb0="00000001" w:usb1="080E0000" w:usb2="00000010" w:usb3="00000000" w:csb0="00040000" w:csb1="00000000"/>
  </w:font>
  <w:font w:name="方正小标宋简体">
    <w:panose1 w:val="00000600000000000000"/>
    <w:charset w:val="86"/>
    <w:family w:val="auto"/>
    <w:pitch w:val="variable"/>
    <w:sig w:usb0="800002BF" w:usb1="184F6CF8" w:usb2="00000012" w:usb3="00000000" w:csb0="00160001" w:csb1="00000000"/>
  </w:font>
  <w:font w:name="方正小标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68F" w:rsidRDefault="0085068F">
    <w:pPr>
      <w:pStyle w:val="ab"/>
      <w:rPr>
        <w:sz w:val="32"/>
        <w:szCs w:val="32"/>
      </w:rPr>
    </w:pPr>
  </w:p>
  <w:p w:rsidR="0085068F" w:rsidRDefault="0085068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3161652"/>
      <w:docPartObj>
        <w:docPartGallery w:val="AutoText"/>
      </w:docPartObj>
    </w:sdtPr>
    <w:sdtEndPr/>
    <w:sdtContent>
      <w:p w:rsidR="0085068F" w:rsidRDefault="00A647FD">
        <w:pPr>
          <w:pStyle w:val="ab"/>
        </w:pPr>
        <w:r>
          <w:fldChar w:fldCharType="begin"/>
        </w:r>
        <w:r>
          <w:instrText>PAGE   \* MERGEFORMAT</w:instrText>
        </w:r>
        <w:r>
          <w:fldChar w:fldCharType="separate"/>
        </w:r>
        <w:r>
          <w:rPr>
            <w:lang w:val="zh-CN"/>
          </w:rPr>
          <w:t>2</w:t>
        </w:r>
        <w:r>
          <w:fldChar w:fldCharType="end"/>
        </w:r>
      </w:p>
    </w:sdtContent>
  </w:sdt>
  <w:p w:rsidR="0085068F" w:rsidRDefault="0085068F">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4734920"/>
      <w:docPartObj>
        <w:docPartGallery w:val="AutoText"/>
      </w:docPartObj>
    </w:sdtPr>
    <w:sdtEndPr>
      <w:rPr>
        <w:sz w:val="32"/>
        <w:szCs w:val="32"/>
        <w:lang w:val="zh-CN"/>
      </w:rPr>
    </w:sdtEndPr>
    <w:sdtContent>
      <w:p w:rsidR="0085068F" w:rsidRDefault="00A647FD">
        <w:pPr>
          <w:pStyle w:val="ab"/>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lang w:val="zh-CN"/>
          </w:rPr>
          <w:t>1</w:t>
        </w:r>
        <w:r>
          <w:rPr>
            <w:sz w:val="32"/>
            <w:szCs w:val="32"/>
            <w:lang w:val="zh-CN"/>
          </w:rPr>
          <w:fldChar w:fldCharType="end"/>
        </w:r>
      </w:p>
    </w:sdtContent>
  </w:sdt>
  <w:p w:rsidR="0085068F" w:rsidRDefault="0085068F">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022255"/>
      <w:docPartObj>
        <w:docPartGallery w:val="AutoText"/>
      </w:docPartObj>
    </w:sdtPr>
    <w:sdtEndPr>
      <w:rPr>
        <w:sz w:val="32"/>
        <w:szCs w:val="32"/>
      </w:rPr>
    </w:sdtEndPr>
    <w:sdtContent>
      <w:p w:rsidR="0085068F" w:rsidRDefault="00A647FD">
        <w:pPr>
          <w:pStyle w:val="ab"/>
          <w:jc w:val="right"/>
          <w:rPr>
            <w:sz w:val="32"/>
            <w:szCs w:val="32"/>
          </w:rPr>
        </w:pPr>
        <w:r>
          <w:rPr>
            <w:sz w:val="32"/>
            <w:szCs w:val="32"/>
          </w:rPr>
          <w:fldChar w:fldCharType="begin"/>
        </w:r>
        <w:r>
          <w:rPr>
            <w:sz w:val="32"/>
            <w:szCs w:val="32"/>
          </w:rPr>
          <w:instrText>PAGE   \* MERGEFORMAT</w:instrText>
        </w:r>
        <w:r>
          <w:rPr>
            <w:sz w:val="32"/>
            <w:szCs w:val="32"/>
          </w:rPr>
          <w:fldChar w:fldCharType="separate"/>
        </w:r>
        <w:r>
          <w:rPr>
            <w:sz w:val="32"/>
            <w:szCs w:val="32"/>
            <w:lang w:val="zh-CN"/>
          </w:rPr>
          <w:t>2</w:t>
        </w:r>
        <w:r>
          <w:rPr>
            <w:sz w:val="32"/>
            <w:szCs w:val="32"/>
          </w:rPr>
          <w:fldChar w:fldCharType="end"/>
        </w:r>
      </w:p>
    </w:sdtContent>
  </w:sdt>
  <w:p w:rsidR="0085068F" w:rsidRDefault="0085068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805" w:rsidRDefault="00A647FD">
      <w:r>
        <w:separator/>
      </w:r>
    </w:p>
  </w:footnote>
  <w:footnote w:type="continuationSeparator" w:id="0">
    <w:p w:rsidR="00236805" w:rsidRDefault="00A64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C50F90"/>
    <w:multiLevelType w:val="multilevel"/>
    <w:tmpl w:val="44C50F90"/>
    <w:lvl w:ilvl="0">
      <w:start w:val="1"/>
      <w:numFmt w:val="lowerLetter"/>
      <w:pStyle w:val="a"/>
      <w:lvlText w:val="%1)"/>
      <w:lvlJc w:val="left"/>
      <w:pPr>
        <w:tabs>
          <w:tab w:val="left" w:pos="851"/>
        </w:tabs>
        <w:ind w:left="851" w:hanging="426"/>
      </w:pPr>
      <w:rPr>
        <w:rFonts w:ascii="宋体" w:eastAsia="宋体" w:hAnsi="Times New Roman" w:hint="eastAsia"/>
        <w:sz w:val="21"/>
      </w:rPr>
    </w:lvl>
    <w:lvl w:ilvl="1">
      <w:start w:val="1"/>
      <w:numFmt w:val="decimal"/>
      <w:pStyle w:val="a0"/>
      <w:lvlText w:val="%2)"/>
      <w:lvlJc w:val="left"/>
      <w:pPr>
        <w:tabs>
          <w:tab w:val="left" w:pos="1276"/>
        </w:tabs>
        <w:ind w:left="1276" w:hanging="425"/>
      </w:pPr>
      <w:rPr>
        <w:rFonts w:ascii="宋体" w:eastAsia="宋体" w:hAnsi="Times New Roman" w:hint="eastAsia"/>
        <w:sz w:val="21"/>
      </w:rPr>
    </w:lvl>
    <w:lvl w:ilvl="2">
      <w:start w:val="1"/>
      <w:numFmt w:val="decimal"/>
      <w:pStyle w:val="a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15:restartNumberingAfterBreak="0">
    <w:nsid w:val="686112E6"/>
    <w:multiLevelType w:val="multilevel"/>
    <w:tmpl w:val="686112E6"/>
    <w:lvl w:ilvl="0">
      <w:numFmt w:val="decimal"/>
      <w:lvlText w:val="%1"/>
      <w:lvlJc w:val="left"/>
      <w:pPr>
        <w:ind w:left="432" w:hanging="432"/>
      </w:pPr>
      <w:rPr>
        <w:rFonts w:cs="Times New Roman" w:hint="eastAsia"/>
      </w:rPr>
    </w:lvl>
    <w:lvl w:ilvl="1">
      <w:start w:val="1"/>
      <w:numFmt w:val="decimal"/>
      <w:pStyle w:val="2"/>
      <w:lvlText w:val="%1.%2"/>
      <w:lvlJc w:val="left"/>
      <w:pPr>
        <w:ind w:left="576" w:hanging="576"/>
      </w:pPr>
      <w:rPr>
        <w:rFonts w:ascii="宋体" w:eastAsia="宋体" w:hAnsi="宋体" w:cs="Times New Roman" w:hint="eastAsia"/>
      </w:rPr>
    </w:lvl>
    <w:lvl w:ilvl="2">
      <w:start w:val="1"/>
      <w:numFmt w:val="decimal"/>
      <w:lvlText w:val="%1.%2.%3"/>
      <w:lvlJc w:val="left"/>
      <w:pPr>
        <w:ind w:left="720" w:hanging="720"/>
      </w:pPr>
      <w:rPr>
        <w:rFonts w:cs="Times New Roman" w:hint="eastAsia"/>
      </w:rPr>
    </w:lvl>
    <w:lvl w:ilvl="3">
      <w:start w:val="1"/>
      <w:numFmt w:val="decimal"/>
      <w:lvlText w:val="%1.%2.%3.%4"/>
      <w:lvlJc w:val="left"/>
      <w:pPr>
        <w:ind w:left="864" w:hanging="864"/>
      </w:pPr>
      <w:rPr>
        <w:rFonts w:cs="Times New Roman" w:hint="eastAsia"/>
        <w:color w:val="auto"/>
      </w:rPr>
    </w:lvl>
    <w:lvl w:ilvl="4">
      <w:start w:val="1"/>
      <w:numFmt w:val="decimal"/>
      <w:lvlText w:val="%1.%2.%3.%4.%5"/>
      <w:lvlJc w:val="left"/>
      <w:pPr>
        <w:ind w:left="1008" w:hanging="1008"/>
      </w:pPr>
      <w:rPr>
        <w:rFonts w:cs="Times New Roman" w:hint="eastAsia"/>
      </w:rPr>
    </w:lvl>
    <w:lvl w:ilvl="5">
      <w:start w:val="1"/>
      <w:numFmt w:val="decimal"/>
      <w:lvlText w:val="%1.%2.%3.%4.%5.%6"/>
      <w:lvlJc w:val="left"/>
      <w:pPr>
        <w:ind w:left="1152" w:hanging="1152"/>
      </w:pPr>
      <w:rPr>
        <w:rFonts w:cs="Times New Roman" w:hint="eastAsia"/>
      </w:rPr>
    </w:lvl>
    <w:lvl w:ilvl="6">
      <w:start w:val="1"/>
      <w:numFmt w:val="decimal"/>
      <w:lvlText w:val="%1.%2.%3.%4.%5.%6.%7"/>
      <w:lvlJc w:val="left"/>
      <w:pPr>
        <w:ind w:left="1296" w:hanging="1296"/>
      </w:pPr>
      <w:rPr>
        <w:rFonts w:cs="Times New Roman" w:hint="eastAsia"/>
      </w:rPr>
    </w:lvl>
    <w:lvl w:ilvl="7">
      <w:start w:val="1"/>
      <w:numFmt w:val="decimal"/>
      <w:lvlText w:val="%1.%2.%3.%4.%5.%6.%7.%8"/>
      <w:lvlJc w:val="left"/>
      <w:pPr>
        <w:ind w:left="1440" w:hanging="1440"/>
      </w:pPr>
      <w:rPr>
        <w:rFonts w:cs="Times New Roman" w:hint="eastAsia"/>
      </w:rPr>
    </w:lvl>
    <w:lvl w:ilvl="8">
      <w:start w:val="1"/>
      <w:numFmt w:val="decimal"/>
      <w:lvlText w:val="%1.%2.%3.%4.%5.%6.%7.%8.%9"/>
      <w:lvlJc w:val="left"/>
      <w:pPr>
        <w:ind w:left="1584" w:hanging="1584"/>
      </w:pPr>
      <w:rPr>
        <w:rFonts w:cs="Times New Roman" w:hint="eastAsia"/>
      </w:rPr>
    </w:lvl>
  </w:abstractNum>
  <w:abstractNum w:abstractNumId="2"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2"/>
      <w:suff w:val="nothing"/>
      <w:lvlText w:val="%1%2　"/>
      <w:lvlJc w:val="left"/>
      <w:pPr>
        <w:ind w:left="567" w:firstLine="0"/>
      </w:pPr>
      <w:rPr>
        <w:rFonts w:ascii="黑体" w:eastAsia="黑体" w:hint="eastAsia"/>
        <w:b w:val="0"/>
        <w:i w:val="0"/>
        <w:sz w:val="21"/>
      </w:rPr>
    </w:lvl>
    <w:lvl w:ilvl="2">
      <w:start w:val="1"/>
      <w:numFmt w:val="decimal"/>
      <w:pStyle w:val="a3"/>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142" w:firstLine="0"/>
      </w:pPr>
      <w:rPr>
        <w:rFonts w:ascii="黑体" w:eastAsia="黑体" w:hAnsi="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defaultTabStop w:val="420"/>
  <w:evenAndOddHeaders/>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E4MTg3YTMzMmRmZjRlNTI5MjViN2NjYjBiMjY5MzMifQ=="/>
    <w:docVar w:name="KSO_WPS_MARK_KEY" w:val="de93f386-d28d-4da0-a742-2d07c70317e4"/>
  </w:docVars>
  <w:rsids>
    <w:rsidRoot w:val="00ED0E90"/>
    <w:rsid w:val="000003CC"/>
    <w:rsid w:val="00006BFE"/>
    <w:rsid w:val="00007095"/>
    <w:rsid w:val="000113B5"/>
    <w:rsid w:val="00020791"/>
    <w:rsid w:val="000218BD"/>
    <w:rsid w:val="00036C20"/>
    <w:rsid w:val="00036CF5"/>
    <w:rsid w:val="00060224"/>
    <w:rsid w:val="00063D60"/>
    <w:rsid w:val="00072A04"/>
    <w:rsid w:val="00091075"/>
    <w:rsid w:val="00091A00"/>
    <w:rsid w:val="00092827"/>
    <w:rsid w:val="00093D12"/>
    <w:rsid w:val="00097D0F"/>
    <w:rsid w:val="000B14F2"/>
    <w:rsid w:val="000B635C"/>
    <w:rsid w:val="000C5322"/>
    <w:rsid w:val="000D02B3"/>
    <w:rsid w:val="000E166D"/>
    <w:rsid w:val="000F278A"/>
    <w:rsid w:val="000F46CA"/>
    <w:rsid w:val="000F7498"/>
    <w:rsid w:val="001147F3"/>
    <w:rsid w:val="00115570"/>
    <w:rsid w:val="001352F9"/>
    <w:rsid w:val="0014315F"/>
    <w:rsid w:val="0014773F"/>
    <w:rsid w:val="001479A7"/>
    <w:rsid w:val="00153A10"/>
    <w:rsid w:val="001564C6"/>
    <w:rsid w:val="00165F50"/>
    <w:rsid w:val="00172EBC"/>
    <w:rsid w:val="0017625C"/>
    <w:rsid w:val="00177775"/>
    <w:rsid w:val="00177CAB"/>
    <w:rsid w:val="00182143"/>
    <w:rsid w:val="001A166D"/>
    <w:rsid w:val="001A4716"/>
    <w:rsid w:val="001A626C"/>
    <w:rsid w:val="001A7B47"/>
    <w:rsid w:val="001B0CC7"/>
    <w:rsid w:val="001B74BA"/>
    <w:rsid w:val="001E1D91"/>
    <w:rsid w:val="001F1A9B"/>
    <w:rsid w:val="00207DA8"/>
    <w:rsid w:val="00220B38"/>
    <w:rsid w:val="0022163C"/>
    <w:rsid w:val="00227955"/>
    <w:rsid w:val="00234439"/>
    <w:rsid w:val="0023449A"/>
    <w:rsid w:val="00236805"/>
    <w:rsid w:val="002574E4"/>
    <w:rsid w:val="0026727A"/>
    <w:rsid w:val="002713B8"/>
    <w:rsid w:val="00277FC4"/>
    <w:rsid w:val="0028235F"/>
    <w:rsid w:val="00283C59"/>
    <w:rsid w:val="00283CE4"/>
    <w:rsid w:val="002842A2"/>
    <w:rsid w:val="002A112C"/>
    <w:rsid w:val="002A4FEF"/>
    <w:rsid w:val="002B27C5"/>
    <w:rsid w:val="002D04AF"/>
    <w:rsid w:val="002F02C5"/>
    <w:rsid w:val="003041E8"/>
    <w:rsid w:val="00304833"/>
    <w:rsid w:val="00307D35"/>
    <w:rsid w:val="003160FE"/>
    <w:rsid w:val="00355226"/>
    <w:rsid w:val="003576A2"/>
    <w:rsid w:val="00366888"/>
    <w:rsid w:val="00377A24"/>
    <w:rsid w:val="00382F55"/>
    <w:rsid w:val="0038456F"/>
    <w:rsid w:val="003A6530"/>
    <w:rsid w:val="003A7AAC"/>
    <w:rsid w:val="003B4A4B"/>
    <w:rsid w:val="003C1855"/>
    <w:rsid w:val="003D0110"/>
    <w:rsid w:val="003D36A5"/>
    <w:rsid w:val="003E0167"/>
    <w:rsid w:val="003E7801"/>
    <w:rsid w:val="003F0A66"/>
    <w:rsid w:val="003F0CDD"/>
    <w:rsid w:val="004069AA"/>
    <w:rsid w:val="00422FE7"/>
    <w:rsid w:val="00423DF3"/>
    <w:rsid w:val="0043139A"/>
    <w:rsid w:val="004340E0"/>
    <w:rsid w:val="00440968"/>
    <w:rsid w:val="00442DCB"/>
    <w:rsid w:val="00444641"/>
    <w:rsid w:val="00456030"/>
    <w:rsid w:val="00457364"/>
    <w:rsid w:val="0046086B"/>
    <w:rsid w:val="00463D57"/>
    <w:rsid w:val="004672FC"/>
    <w:rsid w:val="0047204D"/>
    <w:rsid w:val="00487623"/>
    <w:rsid w:val="004A0396"/>
    <w:rsid w:val="004B631B"/>
    <w:rsid w:val="004C786B"/>
    <w:rsid w:val="005011AD"/>
    <w:rsid w:val="00504628"/>
    <w:rsid w:val="0051668B"/>
    <w:rsid w:val="005277F0"/>
    <w:rsid w:val="00533239"/>
    <w:rsid w:val="005335E1"/>
    <w:rsid w:val="00536FE0"/>
    <w:rsid w:val="00545F54"/>
    <w:rsid w:val="005534B5"/>
    <w:rsid w:val="005556C4"/>
    <w:rsid w:val="00576316"/>
    <w:rsid w:val="005816FC"/>
    <w:rsid w:val="00583A00"/>
    <w:rsid w:val="0058570E"/>
    <w:rsid w:val="0059110E"/>
    <w:rsid w:val="005A6F61"/>
    <w:rsid w:val="005C203F"/>
    <w:rsid w:val="005C546E"/>
    <w:rsid w:val="005C5679"/>
    <w:rsid w:val="005D294D"/>
    <w:rsid w:val="005D5372"/>
    <w:rsid w:val="006033B8"/>
    <w:rsid w:val="00613C4F"/>
    <w:rsid w:val="00622174"/>
    <w:rsid w:val="00624E3F"/>
    <w:rsid w:val="00625A4B"/>
    <w:rsid w:val="0063598B"/>
    <w:rsid w:val="00653876"/>
    <w:rsid w:val="00666482"/>
    <w:rsid w:val="00673E4C"/>
    <w:rsid w:val="0069036E"/>
    <w:rsid w:val="00693A1B"/>
    <w:rsid w:val="006B2C01"/>
    <w:rsid w:val="006C212C"/>
    <w:rsid w:val="006D76C5"/>
    <w:rsid w:val="006E475C"/>
    <w:rsid w:val="0072729B"/>
    <w:rsid w:val="0073591E"/>
    <w:rsid w:val="00735FE0"/>
    <w:rsid w:val="007364F3"/>
    <w:rsid w:val="0075438A"/>
    <w:rsid w:val="0077408A"/>
    <w:rsid w:val="007814A5"/>
    <w:rsid w:val="007834C4"/>
    <w:rsid w:val="007B07A2"/>
    <w:rsid w:val="007C0F95"/>
    <w:rsid w:val="007C2F00"/>
    <w:rsid w:val="007F0450"/>
    <w:rsid w:val="007F2ED0"/>
    <w:rsid w:val="007F6BDA"/>
    <w:rsid w:val="0082724C"/>
    <w:rsid w:val="0085068F"/>
    <w:rsid w:val="008626DB"/>
    <w:rsid w:val="00864E7C"/>
    <w:rsid w:val="008750F4"/>
    <w:rsid w:val="00882608"/>
    <w:rsid w:val="00883D52"/>
    <w:rsid w:val="00894C79"/>
    <w:rsid w:val="008C459C"/>
    <w:rsid w:val="008C6CB3"/>
    <w:rsid w:val="008D232D"/>
    <w:rsid w:val="008F753E"/>
    <w:rsid w:val="0091182C"/>
    <w:rsid w:val="00913054"/>
    <w:rsid w:val="00921A5D"/>
    <w:rsid w:val="009344B7"/>
    <w:rsid w:val="00936719"/>
    <w:rsid w:val="00941374"/>
    <w:rsid w:val="00945108"/>
    <w:rsid w:val="00951859"/>
    <w:rsid w:val="00956E54"/>
    <w:rsid w:val="009607BC"/>
    <w:rsid w:val="00970248"/>
    <w:rsid w:val="00973E23"/>
    <w:rsid w:val="00991D3E"/>
    <w:rsid w:val="009B2E86"/>
    <w:rsid w:val="009B369A"/>
    <w:rsid w:val="009D4500"/>
    <w:rsid w:val="009D7A5B"/>
    <w:rsid w:val="009E1119"/>
    <w:rsid w:val="009F7867"/>
    <w:rsid w:val="00A042B7"/>
    <w:rsid w:val="00A077D2"/>
    <w:rsid w:val="00A15937"/>
    <w:rsid w:val="00A3141F"/>
    <w:rsid w:val="00A36599"/>
    <w:rsid w:val="00A53C92"/>
    <w:rsid w:val="00A607A5"/>
    <w:rsid w:val="00A647FD"/>
    <w:rsid w:val="00A8485F"/>
    <w:rsid w:val="00A872CA"/>
    <w:rsid w:val="00A91BAA"/>
    <w:rsid w:val="00A93FB4"/>
    <w:rsid w:val="00A956B4"/>
    <w:rsid w:val="00AA2E3A"/>
    <w:rsid w:val="00AB64F2"/>
    <w:rsid w:val="00AD00A9"/>
    <w:rsid w:val="00AD526A"/>
    <w:rsid w:val="00AD66E1"/>
    <w:rsid w:val="00AE41FB"/>
    <w:rsid w:val="00AE780D"/>
    <w:rsid w:val="00AF3149"/>
    <w:rsid w:val="00B00793"/>
    <w:rsid w:val="00B1426A"/>
    <w:rsid w:val="00B336EF"/>
    <w:rsid w:val="00B42459"/>
    <w:rsid w:val="00B60779"/>
    <w:rsid w:val="00B6617F"/>
    <w:rsid w:val="00B71170"/>
    <w:rsid w:val="00B946D0"/>
    <w:rsid w:val="00B962A5"/>
    <w:rsid w:val="00BA5F8D"/>
    <w:rsid w:val="00BB577F"/>
    <w:rsid w:val="00BC482C"/>
    <w:rsid w:val="00BC4CFC"/>
    <w:rsid w:val="00BD741A"/>
    <w:rsid w:val="00BF437F"/>
    <w:rsid w:val="00BF5C90"/>
    <w:rsid w:val="00C019AD"/>
    <w:rsid w:val="00C055B0"/>
    <w:rsid w:val="00C05BCF"/>
    <w:rsid w:val="00C06729"/>
    <w:rsid w:val="00C10C9D"/>
    <w:rsid w:val="00C13B94"/>
    <w:rsid w:val="00C1729E"/>
    <w:rsid w:val="00C274E5"/>
    <w:rsid w:val="00C33487"/>
    <w:rsid w:val="00C34FC0"/>
    <w:rsid w:val="00C41D89"/>
    <w:rsid w:val="00C46811"/>
    <w:rsid w:val="00C55B40"/>
    <w:rsid w:val="00C5732C"/>
    <w:rsid w:val="00C82B48"/>
    <w:rsid w:val="00C85578"/>
    <w:rsid w:val="00C86F81"/>
    <w:rsid w:val="00C960A8"/>
    <w:rsid w:val="00CA2E2F"/>
    <w:rsid w:val="00CD3CAF"/>
    <w:rsid w:val="00CD5FD9"/>
    <w:rsid w:val="00CD749E"/>
    <w:rsid w:val="00CE4B23"/>
    <w:rsid w:val="00CE5150"/>
    <w:rsid w:val="00CE76F5"/>
    <w:rsid w:val="00D041A3"/>
    <w:rsid w:val="00D047D7"/>
    <w:rsid w:val="00D23C7F"/>
    <w:rsid w:val="00D2522E"/>
    <w:rsid w:val="00D26DD8"/>
    <w:rsid w:val="00D31A83"/>
    <w:rsid w:val="00D32300"/>
    <w:rsid w:val="00D35C60"/>
    <w:rsid w:val="00D37D2C"/>
    <w:rsid w:val="00D62F3A"/>
    <w:rsid w:val="00D7210B"/>
    <w:rsid w:val="00D76B42"/>
    <w:rsid w:val="00D85051"/>
    <w:rsid w:val="00D907D5"/>
    <w:rsid w:val="00DD0E01"/>
    <w:rsid w:val="00DE50C0"/>
    <w:rsid w:val="00E00032"/>
    <w:rsid w:val="00E1776A"/>
    <w:rsid w:val="00E37D34"/>
    <w:rsid w:val="00E42492"/>
    <w:rsid w:val="00E435A6"/>
    <w:rsid w:val="00E4507D"/>
    <w:rsid w:val="00E606FC"/>
    <w:rsid w:val="00E668FE"/>
    <w:rsid w:val="00E70154"/>
    <w:rsid w:val="00E85E78"/>
    <w:rsid w:val="00E90ED8"/>
    <w:rsid w:val="00E92BE3"/>
    <w:rsid w:val="00E93E03"/>
    <w:rsid w:val="00EA0C63"/>
    <w:rsid w:val="00EA4629"/>
    <w:rsid w:val="00EB1DC3"/>
    <w:rsid w:val="00EB6936"/>
    <w:rsid w:val="00EC6BFC"/>
    <w:rsid w:val="00ED0E90"/>
    <w:rsid w:val="00F17015"/>
    <w:rsid w:val="00F35E1D"/>
    <w:rsid w:val="00F376FE"/>
    <w:rsid w:val="00F45D22"/>
    <w:rsid w:val="00F831D7"/>
    <w:rsid w:val="00F84FFA"/>
    <w:rsid w:val="00F91E9E"/>
    <w:rsid w:val="00FA0710"/>
    <w:rsid w:val="00FA7870"/>
    <w:rsid w:val="00FB3A1A"/>
    <w:rsid w:val="00FB7927"/>
    <w:rsid w:val="00FF4350"/>
    <w:rsid w:val="0120757A"/>
    <w:rsid w:val="013C3CEB"/>
    <w:rsid w:val="016B16ED"/>
    <w:rsid w:val="01DB1E9B"/>
    <w:rsid w:val="02150348"/>
    <w:rsid w:val="027D35DB"/>
    <w:rsid w:val="0282192C"/>
    <w:rsid w:val="02A94615"/>
    <w:rsid w:val="02F26100"/>
    <w:rsid w:val="033D1D15"/>
    <w:rsid w:val="03692DD3"/>
    <w:rsid w:val="03763778"/>
    <w:rsid w:val="0464657C"/>
    <w:rsid w:val="0520744E"/>
    <w:rsid w:val="0567012E"/>
    <w:rsid w:val="058D72AB"/>
    <w:rsid w:val="059E2736"/>
    <w:rsid w:val="05C232AB"/>
    <w:rsid w:val="06464AD5"/>
    <w:rsid w:val="078D7D14"/>
    <w:rsid w:val="08155AE3"/>
    <w:rsid w:val="08AF5C03"/>
    <w:rsid w:val="095F77B1"/>
    <w:rsid w:val="0A145499"/>
    <w:rsid w:val="0A1C4841"/>
    <w:rsid w:val="0AFB05D8"/>
    <w:rsid w:val="0BF9011C"/>
    <w:rsid w:val="0C3824CA"/>
    <w:rsid w:val="0CDE38A3"/>
    <w:rsid w:val="0D724903"/>
    <w:rsid w:val="0DBC1323"/>
    <w:rsid w:val="0DE7223A"/>
    <w:rsid w:val="0E095611"/>
    <w:rsid w:val="0E32235B"/>
    <w:rsid w:val="0E4A39F3"/>
    <w:rsid w:val="0EFE7059"/>
    <w:rsid w:val="0F0E27FB"/>
    <w:rsid w:val="0F4B2383"/>
    <w:rsid w:val="0F5A4111"/>
    <w:rsid w:val="0FFC103F"/>
    <w:rsid w:val="101512CC"/>
    <w:rsid w:val="105A17CC"/>
    <w:rsid w:val="105E06DF"/>
    <w:rsid w:val="10D603EB"/>
    <w:rsid w:val="10FB5A5D"/>
    <w:rsid w:val="1139092F"/>
    <w:rsid w:val="117109C5"/>
    <w:rsid w:val="1179423F"/>
    <w:rsid w:val="11C651F2"/>
    <w:rsid w:val="1203633A"/>
    <w:rsid w:val="121B6CE0"/>
    <w:rsid w:val="12DD201C"/>
    <w:rsid w:val="12E54C44"/>
    <w:rsid w:val="13357928"/>
    <w:rsid w:val="134C3F90"/>
    <w:rsid w:val="141775A1"/>
    <w:rsid w:val="14866693"/>
    <w:rsid w:val="14C5254E"/>
    <w:rsid w:val="15116642"/>
    <w:rsid w:val="154B7399"/>
    <w:rsid w:val="16242ACD"/>
    <w:rsid w:val="16B421BF"/>
    <w:rsid w:val="17127110"/>
    <w:rsid w:val="17133B23"/>
    <w:rsid w:val="17E71EE0"/>
    <w:rsid w:val="19336CE8"/>
    <w:rsid w:val="19540283"/>
    <w:rsid w:val="19BB6F72"/>
    <w:rsid w:val="19DA1C7E"/>
    <w:rsid w:val="1A192BA7"/>
    <w:rsid w:val="1AA6469A"/>
    <w:rsid w:val="1AD958A5"/>
    <w:rsid w:val="1B0D7F78"/>
    <w:rsid w:val="1BD542E7"/>
    <w:rsid w:val="1BD71730"/>
    <w:rsid w:val="1C0E4509"/>
    <w:rsid w:val="1C240A62"/>
    <w:rsid w:val="1C67411D"/>
    <w:rsid w:val="1C905967"/>
    <w:rsid w:val="1CB07F3D"/>
    <w:rsid w:val="1CD363C8"/>
    <w:rsid w:val="1DB504B5"/>
    <w:rsid w:val="1DFC6FA9"/>
    <w:rsid w:val="1E0C19CA"/>
    <w:rsid w:val="1EF6794B"/>
    <w:rsid w:val="1F4676C7"/>
    <w:rsid w:val="1F6600AB"/>
    <w:rsid w:val="1FDD5529"/>
    <w:rsid w:val="20355697"/>
    <w:rsid w:val="207901EC"/>
    <w:rsid w:val="20856E02"/>
    <w:rsid w:val="20B773A9"/>
    <w:rsid w:val="21427D53"/>
    <w:rsid w:val="21981F2C"/>
    <w:rsid w:val="22D76826"/>
    <w:rsid w:val="23A75E11"/>
    <w:rsid w:val="24B33084"/>
    <w:rsid w:val="24D773CE"/>
    <w:rsid w:val="25334FDD"/>
    <w:rsid w:val="25862D78"/>
    <w:rsid w:val="25CD1CE0"/>
    <w:rsid w:val="25E62658"/>
    <w:rsid w:val="271C0D45"/>
    <w:rsid w:val="275A2C42"/>
    <w:rsid w:val="27A438C3"/>
    <w:rsid w:val="27E82B53"/>
    <w:rsid w:val="29282ECD"/>
    <w:rsid w:val="29555DA4"/>
    <w:rsid w:val="29705A9A"/>
    <w:rsid w:val="2985444A"/>
    <w:rsid w:val="29D10A18"/>
    <w:rsid w:val="29EE1B68"/>
    <w:rsid w:val="2A022DBC"/>
    <w:rsid w:val="2A1123B3"/>
    <w:rsid w:val="2A30277B"/>
    <w:rsid w:val="2A341A35"/>
    <w:rsid w:val="2ABA57CA"/>
    <w:rsid w:val="2AED18B6"/>
    <w:rsid w:val="2B05336F"/>
    <w:rsid w:val="2B1854DF"/>
    <w:rsid w:val="2B277532"/>
    <w:rsid w:val="2BAB4ED6"/>
    <w:rsid w:val="2C246CED"/>
    <w:rsid w:val="2C7E38F5"/>
    <w:rsid w:val="2C8C1C7F"/>
    <w:rsid w:val="2C8D7E36"/>
    <w:rsid w:val="2CA066CA"/>
    <w:rsid w:val="2CD17F6B"/>
    <w:rsid w:val="2CF30241"/>
    <w:rsid w:val="2D0F1A5D"/>
    <w:rsid w:val="2D4D4C71"/>
    <w:rsid w:val="2DF52013"/>
    <w:rsid w:val="2E153388"/>
    <w:rsid w:val="2E9E7BA5"/>
    <w:rsid w:val="2F4C17D3"/>
    <w:rsid w:val="305B4683"/>
    <w:rsid w:val="312B7118"/>
    <w:rsid w:val="3168431A"/>
    <w:rsid w:val="31BD374C"/>
    <w:rsid w:val="31CF7C11"/>
    <w:rsid w:val="31DD3473"/>
    <w:rsid w:val="31F80230"/>
    <w:rsid w:val="3232059B"/>
    <w:rsid w:val="32E51D23"/>
    <w:rsid w:val="339814E1"/>
    <w:rsid w:val="346E5735"/>
    <w:rsid w:val="34B429A1"/>
    <w:rsid w:val="34E22D4A"/>
    <w:rsid w:val="35241567"/>
    <w:rsid w:val="35327611"/>
    <w:rsid w:val="35731008"/>
    <w:rsid w:val="359E0633"/>
    <w:rsid w:val="36010DC7"/>
    <w:rsid w:val="365D4B13"/>
    <w:rsid w:val="366412F1"/>
    <w:rsid w:val="372B7E56"/>
    <w:rsid w:val="37451D73"/>
    <w:rsid w:val="37767D7C"/>
    <w:rsid w:val="3779003B"/>
    <w:rsid w:val="37B80CA2"/>
    <w:rsid w:val="37CC086E"/>
    <w:rsid w:val="38093125"/>
    <w:rsid w:val="384338DF"/>
    <w:rsid w:val="386E5884"/>
    <w:rsid w:val="38DD12C1"/>
    <w:rsid w:val="38DE772D"/>
    <w:rsid w:val="38FA1B78"/>
    <w:rsid w:val="39A47794"/>
    <w:rsid w:val="3A8A2260"/>
    <w:rsid w:val="3AE26185"/>
    <w:rsid w:val="3C40060A"/>
    <w:rsid w:val="3C685B9A"/>
    <w:rsid w:val="3CA41375"/>
    <w:rsid w:val="3D042AFF"/>
    <w:rsid w:val="3D362F2C"/>
    <w:rsid w:val="3D547F37"/>
    <w:rsid w:val="3D7624CE"/>
    <w:rsid w:val="3D8E307A"/>
    <w:rsid w:val="3E463F3E"/>
    <w:rsid w:val="3E686D95"/>
    <w:rsid w:val="3F12066E"/>
    <w:rsid w:val="3F2D6C94"/>
    <w:rsid w:val="3F5C06C6"/>
    <w:rsid w:val="3F717515"/>
    <w:rsid w:val="3F743A71"/>
    <w:rsid w:val="3F9502E6"/>
    <w:rsid w:val="3FAE2D62"/>
    <w:rsid w:val="40473E7C"/>
    <w:rsid w:val="40A73469"/>
    <w:rsid w:val="40B255CC"/>
    <w:rsid w:val="40BD3C09"/>
    <w:rsid w:val="41AF4A5A"/>
    <w:rsid w:val="41C124FA"/>
    <w:rsid w:val="424712F2"/>
    <w:rsid w:val="43675B75"/>
    <w:rsid w:val="43716B70"/>
    <w:rsid w:val="43D20461"/>
    <w:rsid w:val="441D34AB"/>
    <w:rsid w:val="45625E4D"/>
    <w:rsid w:val="45E73466"/>
    <w:rsid w:val="46087AA3"/>
    <w:rsid w:val="46447084"/>
    <w:rsid w:val="46742867"/>
    <w:rsid w:val="46A65D5F"/>
    <w:rsid w:val="46E94BB6"/>
    <w:rsid w:val="475C2618"/>
    <w:rsid w:val="47E26CD8"/>
    <w:rsid w:val="482C02AD"/>
    <w:rsid w:val="48E9238F"/>
    <w:rsid w:val="490B0E50"/>
    <w:rsid w:val="49103D08"/>
    <w:rsid w:val="4A0A2044"/>
    <w:rsid w:val="4A4D1BB1"/>
    <w:rsid w:val="4AD65E78"/>
    <w:rsid w:val="4B0B6770"/>
    <w:rsid w:val="4B2D1544"/>
    <w:rsid w:val="4B336D7A"/>
    <w:rsid w:val="4C345030"/>
    <w:rsid w:val="4C625226"/>
    <w:rsid w:val="4C676930"/>
    <w:rsid w:val="4D0143CD"/>
    <w:rsid w:val="4D2479C7"/>
    <w:rsid w:val="4D782433"/>
    <w:rsid w:val="4D943880"/>
    <w:rsid w:val="4E327915"/>
    <w:rsid w:val="4E905945"/>
    <w:rsid w:val="4E9969E1"/>
    <w:rsid w:val="4F517DD9"/>
    <w:rsid w:val="4FB22449"/>
    <w:rsid w:val="500F4FE6"/>
    <w:rsid w:val="509E7B61"/>
    <w:rsid w:val="509F195D"/>
    <w:rsid w:val="50E42BD2"/>
    <w:rsid w:val="50E464D7"/>
    <w:rsid w:val="515C1119"/>
    <w:rsid w:val="515F0C5A"/>
    <w:rsid w:val="520769E1"/>
    <w:rsid w:val="521B4242"/>
    <w:rsid w:val="52AD56F5"/>
    <w:rsid w:val="52C9339B"/>
    <w:rsid w:val="531D23A1"/>
    <w:rsid w:val="53494BCA"/>
    <w:rsid w:val="53F84596"/>
    <w:rsid w:val="5422409E"/>
    <w:rsid w:val="54CA79F7"/>
    <w:rsid w:val="55067C1C"/>
    <w:rsid w:val="5532202B"/>
    <w:rsid w:val="55571611"/>
    <w:rsid w:val="556B3D87"/>
    <w:rsid w:val="55835522"/>
    <w:rsid w:val="55B90088"/>
    <w:rsid w:val="55EA5025"/>
    <w:rsid w:val="55EE059B"/>
    <w:rsid w:val="55F1747D"/>
    <w:rsid w:val="55F51882"/>
    <w:rsid w:val="56241298"/>
    <w:rsid w:val="568D0C4B"/>
    <w:rsid w:val="56BF476E"/>
    <w:rsid w:val="5711469C"/>
    <w:rsid w:val="57250C0D"/>
    <w:rsid w:val="57366D72"/>
    <w:rsid w:val="5746303F"/>
    <w:rsid w:val="574F7113"/>
    <w:rsid w:val="577926DD"/>
    <w:rsid w:val="5801538D"/>
    <w:rsid w:val="584B29B9"/>
    <w:rsid w:val="587055C1"/>
    <w:rsid w:val="58D55DAD"/>
    <w:rsid w:val="58F6617C"/>
    <w:rsid w:val="58F91987"/>
    <w:rsid w:val="59584F72"/>
    <w:rsid w:val="59FB5488"/>
    <w:rsid w:val="5A5230EC"/>
    <w:rsid w:val="5AAF60DA"/>
    <w:rsid w:val="5C7D1A75"/>
    <w:rsid w:val="5CE64D75"/>
    <w:rsid w:val="5D0D4D49"/>
    <w:rsid w:val="5D0E3F66"/>
    <w:rsid w:val="5D4C131D"/>
    <w:rsid w:val="5DC5190C"/>
    <w:rsid w:val="5E7E7106"/>
    <w:rsid w:val="5ECC3A8A"/>
    <w:rsid w:val="5EF8779B"/>
    <w:rsid w:val="5F6726D7"/>
    <w:rsid w:val="5F833E60"/>
    <w:rsid w:val="60010E02"/>
    <w:rsid w:val="6023110A"/>
    <w:rsid w:val="604F1859"/>
    <w:rsid w:val="60650EE5"/>
    <w:rsid w:val="607A584C"/>
    <w:rsid w:val="60CC68B3"/>
    <w:rsid w:val="611107E4"/>
    <w:rsid w:val="614C440B"/>
    <w:rsid w:val="618C44D1"/>
    <w:rsid w:val="61AF6631"/>
    <w:rsid w:val="61B43727"/>
    <w:rsid w:val="621C5108"/>
    <w:rsid w:val="62265F2B"/>
    <w:rsid w:val="623847B1"/>
    <w:rsid w:val="624415FA"/>
    <w:rsid w:val="627E63BC"/>
    <w:rsid w:val="6288679D"/>
    <w:rsid w:val="63377888"/>
    <w:rsid w:val="63474E4F"/>
    <w:rsid w:val="64231C1D"/>
    <w:rsid w:val="64573E64"/>
    <w:rsid w:val="645A683E"/>
    <w:rsid w:val="646C2B77"/>
    <w:rsid w:val="64FB3888"/>
    <w:rsid w:val="65541D2A"/>
    <w:rsid w:val="65C31778"/>
    <w:rsid w:val="65F73A8D"/>
    <w:rsid w:val="669458A1"/>
    <w:rsid w:val="66EA680C"/>
    <w:rsid w:val="672400FF"/>
    <w:rsid w:val="68E536F1"/>
    <w:rsid w:val="691A687B"/>
    <w:rsid w:val="69490D00"/>
    <w:rsid w:val="699B209F"/>
    <w:rsid w:val="69CB1BD7"/>
    <w:rsid w:val="69EF4DB2"/>
    <w:rsid w:val="6B394D5D"/>
    <w:rsid w:val="6B541194"/>
    <w:rsid w:val="6BDB23DF"/>
    <w:rsid w:val="6CBF73B4"/>
    <w:rsid w:val="6CD42EC4"/>
    <w:rsid w:val="6CFD3720"/>
    <w:rsid w:val="6D1E7961"/>
    <w:rsid w:val="6D5B74BE"/>
    <w:rsid w:val="6DA67F88"/>
    <w:rsid w:val="6E0A2AD0"/>
    <w:rsid w:val="6E0F798F"/>
    <w:rsid w:val="6E246056"/>
    <w:rsid w:val="6EF269E3"/>
    <w:rsid w:val="6F0435E1"/>
    <w:rsid w:val="6F5231A3"/>
    <w:rsid w:val="6F5E0D04"/>
    <w:rsid w:val="6F65559C"/>
    <w:rsid w:val="70380A8E"/>
    <w:rsid w:val="706B0AC3"/>
    <w:rsid w:val="70D61CD6"/>
    <w:rsid w:val="7151659E"/>
    <w:rsid w:val="71747B4D"/>
    <w:rsid w:val="71BB6FD0"/>
    <w:rsid w:val="71E42593"/>
    <w:rsid w:val="727E10E0"/>
    <w:rsid w:val="73287C41"/>
    <w:rsid w:val="736A15CD"/>
    <w:rsid w:val="73914970"/>
    <w:rsid w:val="73D06C8B"/>
    <w:rsid w:val="740B29AE"/>
    <w:rsid w:val="76292F80"/>
    <w:rsid w:val="76951DB3"/>
    <w:rsid w:val="769D2256"/>
    <w:rsid w:val="77526740"/>
    <w:rsid w:val="77617212"/>
    <w:rsid w:val="7992077D"/>
    <w:rsid w:val="79E35B3B"/>
    <w:rsid w:val="7A00074C"/>
    <w:rsid w:val="7A3E5749"/>
    <w:rsid w:val="7AF62FBB"/>
    <w:rsid w:val="7AFF55DF"/>
    <w:rsid w:val="7C356C80"/>
    <w:rsid w:val="7C370E08"/>
    <w:rsid w:val="7CB9134C"/>
    <w:rsid w:val="7D3B0CA8"/>
    <w:rsid w:val="7D476BDA"/>
    <w:rsid w:val="7D841289"/>
    <w:rsid w:val="7DCC258A"/>
    <w:rsid w:val="7DFA33C2"/>
    <w:rsid w:val="7E112F8A"/>
    <w:rsid w:val="7E641B62"/>
    <w:rsid w:val="7EE2693A"/>
    <w:rsid w:val="7F7B5A5B"/>
    <w:rsid w:val="7F9C6417"/>
    <w:rsid w:val="7FEF2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9D74B9C"/>
  <w15:docId w15:val="{21A74E86-3133-4DA0-87ED-9C7BC701F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4"/>
    <w:next w:val="a4"/>
    <w:qFormat/>
    <w:pPr>
      <w:shd w:val="pct10" w:color="auto" w:fill="FFFFFF"/>
      <w:spacing w:line="360" w:lineRule="auto"/>
      <w:jc w:val="left"/>
      <w:outlineLvl w:val="0"/>
    </w:pPr>
    <w:rPr>
      <w:rFonts w:ascii="Arial" w:eastAsia="黑体" w:hAnsi="Arial"/>
      <w:kern w:val="44"/>
      <w:sz w:val="32"/>
    </w:rPr>
  </w:style>
  <w:style w:type="paragraph" w:styleId="2">
    <w:name w:val="heading 2"/>
    <w:basedOn w:val="a4"/>
    <w:next w:val="a4"/>
    <w:uiPriority w:val="9"/>
    <w:unhideWhenUsed/>
    <w:qFormat/>
    <w:pPr>
      <w:keepNext/>
      <w:keepLines/>
      <w:numPr>
        <w:ilvl w:val="1"/>
        <w:numId w:val="1"/>
      </w:numPr>
      <w:outlineLvl w:val="1"/>
    </w:pPr>
    <w:rPr>
      <w:rFonts w:ascii="Arial" w:eastAsia="黑体" w:hAnsi="Arial"/>
      <w:b/>
      <w:bCs/>
      <w:sz w:val="28"/>
      <w:szCs w:val="32"/>
    </w:rPr>
  </w:style>
  <w:style w:type="paragraph" w:styleId="4">
    <w:name w:val="heading 4"/>
    <w:basedOn w:val="a4"/>
    <w:next w:val="a4"/>
    <w:link w:val="40"/>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qFormat/>
    <w:pPr>
      <w:shd w:val="clear" w:color="auto" w:fill="FFFFFF"/>
      <w:spacing w:before="600" w:line="282" w:lineRule="exact"/>
      <w:ind w:hanging="320"/>
      <w:jc w:val="left"/>
    </w:pPr>
    <w:rPr>
      <w:rFonts w:ascii="MingLiU" w:eastAsia="MingLiU" w:hAnsi="Calibri" w:cs="MingLiU"/>
      <w:sz w:val="18"/>
      <w:szCs w:val="18"/>
    </w:rPr>
  </w:style>
  <w:style w:type="paragraph" w:styleId="a9">
    <w:name w:val="Balloon Text"/>
    <w:basedOn w:val="a4"/>
    <w:link w:val="aa"/>
    <w:qFormat/>
    <w:rPr>
      <w:sz w:val="18"/>
      <w:szCs w:val="18"/>
    </w:rPr>
  </w:style>
  <w:style w:type="paragraph" w:styleId="ab">
    <w:name w:val="footer"/>
    <w:basedOn w:val="a4"/>
    <w:link w:val="ac"/>
    <w:uiPriority w:val="99"/>
    <w:qFormat/>
    <w:pPr>
      <w:tabs>
        <w:tab w:val="center" w:pos="4153"/>
        <w:tab w:val="right" w:pos="8306"/>
      </w:tabs>
      <w:snapToGrid w:val="0"/>
      <w:jc w:val="left"/>
    </w:pPr>
    <w:rPr>
      <w:sz w:val="18"/>
    </w:rPr>
  </w:style>
  <w:style w:type="paragraph" w:styleId="ad">
    <w:name w:val="header"/>
    <w:basedOn w:val="a4"/>
    <w:link w:val="ae"/>
    <w:qFormat/>
    <w:pPr>
      <w:pBdr>
        <w:bottom w:val="single" w:sz="6" w:space="1" w:color="auto"/>
      </w:pBdr>
      <w:tabs>
        <w:tab w:val="center" w:pos="4153"/>
        <w:tab w:val="right" w:pos="8306"/>
      </w:tabs>
      <w:snapToGrid w:val="0"/>
      <w:jc w:val="center"/>
    </w:pPr>
    <w:rPr>
      <w:sz w:val="18"/>
      <w:szCs w:val="18"/>
    </w:rPr>
  </w:style>
  <w:style w:type="paragraph" w:styleId="TOC1">
    <w:name w:val="toc 1"/>
    <w:basedOn w:val="a4"/>
    <w:next w:val="a4"/>
    <w:uiPriority w:val="39"/>
    <w:qFormat/>
  </w:style>
  <w:style w:type="paragraph" w:styleId="af">
    <w:name w:val="Normal (Web)"/>
    <w:basedOn w:val="a4"/>
    <w:qFormat/>
    <w:pPr>
      <w:spacing w:beforeAutospacing="1" w:afterAutospacing="1"/>
      <w:jc w:val="left"/>
    </w:pPr>
    <w:rPr>
      <w:rFonts w:cs="Times New Roman"/>
      <w:kern w:val="0"/>
      <w:sz w:val="24"/>
    </w:rPr>
  </w:style>
  <w:style w:type="table" w:styleId="af0">
    <w:name w:val="Table Grid"/>
    <w:basedOn w:val="a6"/>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5"/>
    <w:uiPriority w:val="22"/>
    <w:qFormat/>
    <w:rPr>
      <w:b/>
    </w:rPr>
  </w:style>
  <w:style w:type="character" w:styleId="af2">
    <w:name w:val="Emphasis"/>
    <w:basedOn w:val="a5"/>
    <w:uiPriority w:val="20"/>
    <w:qFormat/>
    <w:rPr>
      <w:i/>
      <w:iCs/>
    </w:rPr>
  </w:style>
  <w:style w:type="character" w:styleId="af3">
    <w:name w:val="Hyperlink"/>
    <w:basedOn w:val="a5"/>
    <w:uiPriority w:val="99"/>
    <w:unhideWhenUsed/>
    <w:qFormat/>
    <w:rPr>
      <w:color w:val="0563C1" w:themeColor="hyperlink"/>
      <w:u w:val="single"/>
    </w:rPr>
  </w:style>
  <w:style w:type="paragraph" w:customStyle="1" w:styleId="af4">
    <w:name w:val="段"/>
    <w:qFormat/>
    <w:pPr>
      <w:autoSpaceDE w:val="0"/>
      <w:autoSpaceDN w:val="0"/>
      <w:ind w:firstLineChars="200" w:firstLine="200"/>
      <w:jc w:val="both"/>
    </w:pPr>
    <w:rPr>
      <w:rFonts w:ascii="宋体"/>
    </w:rPr>
  </w:style>
  <w:style w:type="paragraph" w:customStyle="1" w:styleId="a2">
    <w:name w:val="标准文件_章标题"/>
    <w:next w:val="af5"/>
    <w:qFormat/>
    <w:pPr>
      <w:numPr>
        <w:ilvl w:val="1"/>
        <w:numId w:val="2"/>
      </w:numPr>
      <w:spacing w:beforeLines="100" w:before="100" w:afterLines="100" w:after="100"/>
      <w:ind w:left="0"/>
      <w:jc w:val="both"/>
      <w:outlineLvl w:val="0"/>
    </w:pPr>
    <w:rPr>
      <w:rFonts w:ascii="黑体" w:eastAsia="黑体"/>
      <w:sz w:val="21"/>
    </w:rPr>
  </w:style>
  <w:style w:type="paragraph" w:customStyle="1" w:styleId="af5">
    <w:name w:val="标准文件_段"/>
    <w:link w:val="Char"/>
    <w:qFormat/>
    <w:pPr>
      <w:autoSpaceDE w:val="0"/>
      <w:autoSpaceDN w:val="0"/>
      <w:ind w:firstLineChars="200" w:firstLine="200"/>
      <w:jc w:val="both"/>
    </w:pPr>
    <w:rPr>
      <w:rFonts w:ascii="宋体"/>
      <w:sz w:val="21"/>
    </w:rPr>
  </w:style>
  <w:style w:type="paragraph" w:customStyle="1" w:styleId="a3">
    <w:name w:val="标准文件_一级条标题"/>
    <w:basedOn w:val="a2"/>
    <w:next w:val="af5"/>
    <w:qFormat/>
    <w:pPr>
      <w:numPr>
        <w:ilvl w:val="2"/>
      </w:numPr>
      <w:spacing w:beforeLines="50" w:before="50" w:afterLines="50" w:after="50"/>
      <w:outlineLvl w:val="1"/>
    </w:pPr>
  </w:style>
  <w:style w:type="character" w:customStyle="1" w:styleId="ae">
    <w:name w:val="页眉 字符"/>
    <w:basedOn w:val="a5"/>
    <w:link w:val="ad"/>
    <w:qFormat/>
    <w:rPr>
      <w:rFonts w:asciiTheme="minorHAnsi" w:eastAsiaTheme="minorEastAsia" w:hAnsiTheme="minorHAnsi" w:cstheme="minorBidi"/>
      <w:kern w:val="2"/>
      <w:sz w:val="18"/>
      <w:szCs w:val="18"/>
    </w:rPr>
  </w:style>
  <w:style w:type="character" w:customStyle="1" w:styleId="aa">
    <w:name w:val="批注框文本 字符"/>
    <w:basedOn w:val="a5"/>
    <w:link w:val="a9"/>
    <w:qFormat/>
    <w:rPr>
      <w:rFonts w:asciiTheme="minorHAnsi" w:eastAsiaTheme="minorEastAsia" w:hAnsiTheme="minorHAnsi" w:cstheme="minorBidi"/>
      <w:kern w:val="2"/>
      <w:sz w:val="18"/>
      <w:szCs w:val="18"/>
    </w:rPr>
  </w:style>
  <w:style w:type="paragraph" w:customStyle="1" w:styleId="10">
    <w:name w:val="列表段落1"/>
    <w:basedOn w:val="a4"/>
    <w:uiPriority w:val="99"/>
    <w:qFormat/>
    <w:pPr>
      <w:ind w:firstLineChars="200" w:firstLine="420"/>
    </w:pPr>
  </w:style>
  <w:style w:type="character" w:customStyle="1" w:styleId="Char">
    <w:name w:val="标准文件_段 Char"/>
    <w:link w:val="af5"/>
    <w:qFormat/>
    <w:rPr>
      <w:rFonts w:ascii="宋体"/>
      <w:sz w:val="21"/>
    </w:rPr>
  </w:style>
  <w:style w:type="paragraph" w:customStyle="1" w:styleId="a0">
    <w:name w:val="标准文件_数字编号列项（二级）"/>
    <w:qFormat/>
    <w:pPr>
      <w:numPr>
        <w:ilvl w:val="1"/>
        <w:numId w:val="3"/>
      </w:numPr>
      <w:jc w:val="both"/>
    </w:pPr>
    <w:rPr>
      <w:rFonts w:ascii="宋体"/>
      <w:sz w:val="21"/>
    </w:rPr>
  </w:style>
  <w:style w:type="paragraph" w:customStyle="1" w:styleId="a1">
    <w:name w:val="标准文件_编号列项（三级）"/>
    <w:qFormat/>
    <w:pPr>
      <w:numPr>
        <w:ilvl w:val="2"/>
        <w:numId w:val="3"/>
      </w:numPr>
    </w:pPr>
    <w:rPr>
      <w:rFonts w:ascii="宋体"/>
      <w:sz w:val="21"/>
    </w:rPr>
  </w:style>
  <w:style w:type="paragraph" w:customStyle="1" w:styleId="a">
    <w:name w:val="标准文件_字母编号列项（一级）"/>
    <w:qFormat/>
    <w:pPr>
      <w:numPr>
        <w:numId w:val="3"/>
      </w:numPr>
      <w:jc w:val="both"/>
    </w:pPr>
    <w:rPr>
      <w:rFonts w:ascii="宋体"/>
      <w:sz w:val="21"/>
    </w:rPr>
  </w:style>
  <w:style w:type="character" w:customStyle="1" w:styleId="40">
    <w:name w:val="标题 4 字符"/>
    <w:basedOn w:val="a5"/>
    <w:link w:val="4"/>
    <w:semiHidden/>
    <w:qFormat/>
    <w:rPr>
      <w:rFonts w:asciiTheme="majorHAnsi" w:eastAsiaTheme="majorEastAsia" w:hAnsiTheme="majorHAnsi" w:cstheme="majorBidi"/>
      <w:b/>
      <w:bCs/>
      <w:kern w:val="2"/>
      <w:sz w:val="28"/>
      <w:szCs w:val="28"/>
    </w:rPr>
  </w:style>
  <w:style w:type="character" w:customStyle="1" w:styleId="ac">
    <w:name w:val="页脚 字符"/>
    <w:basedOn w:val="a5"/>
    <w:link w:val="ab"/>
    <w:uiPriority w:val="99"/>
    <w:qFormat/>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0C677-C79B-4BB6-8289-D02365D48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19</Pages>
  <Words>1365</Words>
  <Characters>7782</Characters>
  <Application>Microsoft Office Word</Application>
  <DocSecurity>0</DocSecurity>
  <Lines>64</Lines>
  <Paragraphs>18</Paragraphs>
  <ScaleCrop>false</ScaleCrop>
  <Company>微软中国</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196</cp:revision>
  <dcterms:created xsi:type="dcterms:W3CDTF">2014-10-29T12:08:00Z</dcterms:created>
  <dcterms:modified xsi:type="dcterms:W3CDTF">2023-05-11T08:03:00Z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6EC28D3A32034B1397FE0DD7DBE1FD58</vt:lpwstr>
  </property>
</Properties>
</file>