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0" w:after="0" w:line="600" w:lineRule="exact"/>
        <w:jc w:val="center"/>
        <w:rPr>
          <w:rFonts w:hint="eastAsia" w:ascii="方正小标宋简体" w:eastAsia="方正小标宋简体"/>
          <w:b w:val="0"/>
          <w:color w:val="auto"/>
          <w:szCs w:val="36"/>
        </w:rPr>
      </w:pPr>
      <w:r>
        <w:rPr>
          <w:rFonts w:hint="eastAsia" w:ascii="方正小标宋简体" w:eastAsia="方正小标宋简体"/>
          <w:b w:val="0"/>
          <w:color w:val="auto"/>
          <w:szCs w:val="36"/>
        </w:rPr>
        <w:t>团体标准《</w:t>
      </w:r>
      <w:r>
        <w:rPr>
          <w:rFonts w:hint="eastAsia" w:ascii="方正小标宋简体" w:eastAsia="方正小标宋简体"/>
          <w:b w:val="0"/>
          <w:color w:val="auto"/>
          <w:szCs w:val="36"/>
          <w:lang w:val="en-US" w:eastAsia="zh-CN"/>
        </w:rPr>
        <w:t>益髓艾炷灸防治轻度认知障碍技术规范</w:t>
      </w:r>
      <w:r>
        <w:rPr>
          <w:rFonts w:hint="eastAsia" w:ascii="方正小标宋简体" w:eastAsia="方正小标宋简体"/>
          <w:b w:val="0"/>
          <w:color w:val="auto"/>
          <w:szCs w:val="36"/>
        </w:rPr>
        <w:t>》（征求意见稿）编制说明</w:t>
      </w:r>
    </w:p>
    <w:p>
      <w:pPr>
        <w:numPr>
          <w:ilvl w:val="0"/>
          <w:numId w:val="2"/>
        </w:numPr>
        <w:jc w:val="both"/>
        <w:rPr>
          <w:rFonts w:hint="eastAsia" w:ascii="黑体" w:hAnsi="黑体" w:eastAsia="黑体"/>
          <w:color w:val="auto"/>
          <w:sz w:val="28"/>
          <w:szCs w:val="28"/>
        </w:rPr>
      </w:pPr>
      <w:r>
        <w:rPr>
          <w:rFonts w:hint="eastAsia" w:ascii="黑体" w:hAnsi="黑体" w:eastAsia="黑体"/>
          <w:color w:val="auto"/>
          <w:sz w:val="28"/>
          <w:szCs w:val="28"/>
        </w:rPr>
        <w:t>任务来源、起草单位</w:t>
      </w:r>
    </w:p>
    <w:p>
      <w:pPr>
        <w:numPr>
          <w:ilvl w:val="0"/>
          <w:numId w:val="0"/>
        </w:numPr>
        <w:ind w:firstLine="480" w:firstLineChars="200"/>
        <w:jc w:val="both"/>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根据《广西标准化协会关于下达2023年第四批团体标准制修订项目计划的通知》（桂标协[2023]17号）文件精神，由</w:t>
      </w:r>
      <w:r>
        <w:rPr>
          <w:rFonts w:hint="eastAsia" w:ascii="仿宋" w:hAnsi="仿宋" w:eastAsia="仿宋" w:cs="仿宋"/>
          <w:sz w:val="24"/>
          <w:szCs w:val="24"/>
        </w:rPr>
        <w:t>广西中医药大学第一附属医院</w:t>
      </w:r>
      <w:r>
        <w:rPr>
          <w:rFonts w:hint="eastAsia" w:ascii="仿宋" w:hAnsi="仿宋" w:eastAsia="仿宋" w:cs="仿宋"/>
          <w:sz w:val="24"/>
          <w:szCs w:val="24"/>
          <w:lang w:val="en-US" w:eastAsia="zh-CN"/>
        </w:rPr>
        <w:t>提出，与</w:t>
      </w:r>
      <w:r>
        <w:rPr>
          <w:rFonts w:hint="eastAsia" w:ascii="仿宋" w:hAnsi="仿宋" w:eastAsia="仿宋" w:cs="仿宋"/>
          <w:sz w:val="24"/>
          <w:szCs w:val="24"/>
        </w:rPr>
        <w:t>广西壮族自治区江滨医院、广西壮族自治区人民医院、广西中医药大学附属瑞康医院、广西广投康养有限公司、广西梧州市中医医院</w:t>
      </w:r>
      <w:r>
        <w:rPr>
          <w:rFonts w:hint="eastAsia" w:ascii="仿宋" w:hAnsi="仿宋" w:eastAsia="仿宋" w:cs="仿宋"/>
          <w:sz w:val="24"/>
          <w:szCs w:val="24"/>
          <w:lang w:val="en-US" w:eastAsia="zh-CN"/>
        </w:rPr>
        <w:t>共同起草的体标准《益髓艾炷灸防治轻度认知障碍技术规范》（项目编号：2023-0404）。</w:t>
      </w:r>
    </w:p>
    <w:p>
      <w:pPr>
        <w:numPr>
          <w:ilvl w:val="0"/>
          <w:numId w:val="0"/>
        </w:numPr>
        <w:ind w:firstLine="480" w:firstLineChars="200"/>
        <w:jc w:val="both"/>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为高质量完成团体标准《益髓艾炷灸防治轻度认知障碍技术规范》的编制工作，我们成立了标准编制工作组，具体分工如下：</w:t>
      </w:r>
    </w:p>
    <w:tbl>
      <w:tblPr>
        <w:tblStyle w:val="5"/>
        <w:tblW w:w="9180"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02"/>
        <w:gridCol w:w="575"/>
        <w:gridCol w:w="611"/>
        <w:gridCol w:w="1509"/>
        <w:gridCol w:w="1456"/>
        <w:gridCol w:w="2496"/>
        <w:gridCol w:w="1531"/>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姓名</w:t>
            </w:r>
          </w:p>
        </w:tc>
        <w:tc>
          <w:tcPr>
            <w:tcW w:w="575"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性别</w:t>
            </w:r>
          </w:p>
        </w:tc>
        <w:tc>
          <w:tcPr>
            <w:tcW w:w="611"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年龄</w:t>
            </w:r>
          </w:p>
        </w:tc>
        <w:tc>
          <w:tcPr>
            <w:tcW w:w="1509"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职务/职称</w:t>
            </w:r>
          </w:p>
        </w:tc>
        <w:tc>
          <w:tcPr>
            <w:tcW w:w="1456"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从事专业</w:t>
            </w:r>
          </w:p>
        </w:tc>
        <w:tc>
          <w:tcPr>
            <w:tcW w:w="2496"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工作单位</w:t>
            </w:r>
          </w:p>
        </w:tc>
        <w:tc>
          <w:tcPr>
            <w:tcW w:w="1531" w:type="dxa"/>
            <w:tcBorders>
              <w:tl2br w:val="nil"/>
              <w:tr2bl w:val="nil"/>
            </w:tcBorders>
            <w:vAlign w:val="center"/>
          </w:tcPr>
          <w:p>
            <w:pPr>
              <w:jc w:val="center"/>
              <w:rPr>
                <w:rFonts w:hint="eastAsia" w:ascii="仿宋" w:hAnsi="仿宋" w:eastAsia="仿宋" w:cs="仿宋"/>
                <w:b/>
                <w:sz w:val="24"/>
                <w:szCs w:val="24"/>
              </w:rPr>
            </w:pPr>
            <w:r>
              <w:rPr>
                <w:rFonts w:hint="eastAsia" w:ascii="仿宋" w:hAnsi="仿宋" w:eastAsia="仿宋" w:cs="仿宋"/>
                <w:b/>
                <w:spacing w:val="-6"/>
                <w:sz w:val="24"/>
                <w:szCs w:val="24"/>
              </w:rPr>
              <w:t>责任分工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赵利华</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55</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 xml:space="preserve"> 主持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卢琰琰</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42</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广西壮族自治区江滨医院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黄楠</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25</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针灸推拿学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tabs>
                <w:tab w:val="left" w:pos="331"/>
              </w:tabs>
              <w:jc w:val="left"/>
              <w:rPr>
                <w:rFonts w:hint="eastAsia" w:ascii="仿宋" w:hAnsi="仿宋" w:eastAsia="仿宋" w:cs="仿宋"/>
                <w:sz w:val="24"/>
                <w:szCs w:val="24"/>
              </w:rPr>
            </w:pPr>
            <w:r>
              <w:rPr>
                <w:rFonts w:hint="eastAsia" w:ascii="仿宋" w:hAnsi="仿宋" w:eastAsia="仿宋" w:cs="仿宋"/>
                <w:sz w:val="24"/>
                <w:szCs w:val="24"/>
              </w:rPr>
              <w:t>粟胜勇</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男</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46</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黄新格</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34</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邹卓成</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男</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43</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副主任医师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唐丽颖</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42</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副主任医师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广西壮族自治区江滨医院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黄慧敏</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37</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广西中医药大学附属瑞康医院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闫红霞</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37</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副主任医师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梧州市中医医院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黄瑜</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50</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葛云</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女</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41</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中级经济师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休闲运动学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广西广投康养有限公司</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参与编制</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002"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黄鼎坚</w:t>
            </w:r>
          </w:p>
        </w:tc>
        <w:tc>
          <w:tcPr>
            <w:tcW w:w="575"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男</w:t>
            </w:r>
          </w:p>
        </w:tc>
        <w:tc>
          <w:tcPr>
            <w:tcW w:w="61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83</w:t>
            </w:r>
          </w:p>
        </w:tc>
        <w:tc>
          <w:tcPr>
            <w:tcW w:w="1509"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主任医师</w:t>
            </w:r>
          </w:p>
        </w:tc>
        <w:tc>
          <w:tcPr>
            <w:tcW w:w="145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针灸学</w:t>
            </w:r>
          </w:p>
        </w:tc>
        <w:tc>
          <w:tcPr>
            <w:tcW w:w="2496"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广西中医药大学第一附属医院</w:t>
            </w:r>
          </w:p>
        </w:tc>
        <w:tc>
          <w:tcPr>
            <w:tcW w:w="1531" w:type="dxa"/>
            <w:tcBorders>
              <w:tl2br w:val="nil"/>
              <w:tr2bl w:val="nil"/>
            </w:tcBorders>
            <w:vAlign w:val="center"/>
          </w:tcPr>
          <w:p>
            <w:pPr>
              <w:jc w:val="center"/>
              <w:rPr>
                <w:rFonts w:hint="eastAsia" w:ascii="仿宋" w:hAnsi="仿宋" w:eastAsia="仿宋" w:cs="仿宋"/>
                <w:sz w:val="24"/>
                <w:szCs w:val="24"/>
              </w:rPr>
            </w:pPr>
            <w:r>
              <w:rPr>
                <w:rFonts w:hint="eastAsia" w:ascii="仿宋" w:hAnsi="仿宋" w:eastAsia="仿宋" w:cs="仿宋"/>
                <w:sz w:val="24"/>
                <w:szCs w:val="24"/>
              </w:rPr>
              <w:t>指导编制</w:t>
            </w:r>
          </w:p>
        </w:tc>
      </w:tr>
    </w:tbl>
    <w:p>
      <w:pPr>
        <w:numPr>
          <w:ilvl w:val="0"/>
          <w:numId w:val="0"/>
        </w:numPr>
        <w:ind w:leftChars="0"/>
        <w:rPr>
          <w:rFonts w:hint="eastAsia" w:ascii="仿宋" w:hAnsi="仿宋" w:eastAsia="仿宋" w:cs="仿宋"/>
          <w:sz w:val="24"/>
          <w:szCs w:val="24"/>
          <w:lang w:val="en-US" w:eastAsia="zh-CN"/>
        </w:rPr>
      </w:pPr>
    </w:p>
    <w:p>
      <w:pPr>
        <w:numPr>
          <w:ilvl w:val="0"/>
          <w:numId w:val="0"/>
        </w:num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二、项目背景及意义</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随着我国老龄化社会进程推进，阿尔茨海默病（AD）等神经退行性疾病成为最常见的老化相关疾病之一，全球老年AD病患已逾5000万，而中国占其中1/4，已成为突出的公共卫生问题。AD起病隐匿，当需要到医院就诊时，通常已处于AD中晚期，给公共医疗资源和患者家庭带来了巨大的负担。现代医学治疗不能终止或逆转AD病程，早诊断、早干预、早治疗，是医学界对于AD的一致建议。轻度认知障碍（MCI）是认知功能存在损害,但尚未达到痴呆程度的介于正常认知老化到痴呆之间的过渡阶段，MCI患者是痴呆的高危人群。有研究表明，60岁以上老年人中，轻度认知障碍（MCI）患病率为5％～20％，每年MCI患者向痴呆的转化率为8％～15％。因此，作为AD的前驱阶段，MCI被视作挽救认知功能的关键时期，针对这一”窗口期”早期识别及干预，从而延缓进展为痴呆的过程，是当前防治AD的重要策略。本标准用于建立起一套完整、规范的益髓艾炷灸防治轻度认知障碍技术规范：诊断上，将通过中医体质辨识及神经心理量表测评识别MCI易患体质，评估其认知水平；治疗上，确立一套补肾健脾益髓穴位处方+3壮/穴/次+隔日治疗+30次治疗量的益髓艾炷灸量化调养方案，明确益髓灸操作方法及注意事项等系统、规范的防治MCI的诊疗模式，便于下沉临床一线、在社区基层医疗机构推广应用。</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为实施积极应对人口老龄化国家战略，2021年12月30日中共中央国务院出台了《”十四五”国家老龄事业发展和养老服务体系规划》，明确提出完善老年健康支撑体系，实施老年健康促进工程，推动老年健康领域科研成果转化，遴选推广一批老年健康适宜技术，提高基层的老年健康服务能力。同时强调发挥中医药在老年病、慢性病防治等方面的优势和作用。中医药学凝聚着深邃的哲学智慧和中华民族几千年的健康养生理念及其实践经验，是中国古代科学的瑰宝，也是打开中华文明宝库的钥匙。将非药物干预方法这一祖国医学瑰宝应用于MCI的防治，提高民族医药特色疗法防治老年疾病的水平，对实现”健康老龄化”社会有重大意义。目前，尚未形成符合广西地区特点的中医艾灸防治MCI规范技术体系，编写本规范可提高大众对轻度认知障碍这一关键阶段的重视程度，尽早识别并进行有效干预措施，延缓轻度认知障碍发生、发展的进程。同时推出一套精准、合理、有效的艾炷灸穴位处方（益髓艾炷灸），提供详细、全面、规范的操作技术流程，为广西地区各级各类医院、养老机构提供益髓艾炷灸防治MCI的临床操作规范，使相关人员操作更加规范，更具有安全性、有效性，逆转或延缓MCI患者认知功能障碍进一步加重，提高MCI患者整体生存质量。</w:t>
      </w:r>
    </w:p>
    <w:p>
      <w:pPr>
        <w:numPr>
          <w:ilvl w:val="0"/>
          <w:numId w:val="0"/>
        </w:numPr>
        <w:rPr>
          <w:rFonts w:hint="eastAsia" w:ascii="黑体" w:hAnsi="黑体" w:eastAsia="黑体" w:cs="黑体"/>
          <w:b w:val="0"/>
          <w:bCs w:val="0"/>
          <w:sz w:val="28"/>
          <w:szCs w:val="28"/>
          <w:lang w:val="en-US" w:eastAsia="zh-CN"/>
        </w:rPr>
      </w:pPr>
      <w:r>
        <w:rPr>
          <w:rFonts w:hint="eastAsia" w:ascii="黑体" w:hAnsi="黑体" w:eastAsia="黑体" w:cs="黑体"/>
          <w:b w:val="0"/>
          <w:bCs w:val="0"/>
          <w:sz w:val="28"/>
          <w:szCs w:val="28"/>
          <w:lang w:val="en-US" w:eastAsia="zh-CN"/>
        </w:rPr>
        <w:t>三、主要起草过程</w:t>
      </w:r>
    </w:p>
    <w:p>
      <w:pPr>
        <w:numPr>
          <w:ilvl w:val="0"/>
          <w:numId w:val="0"/>
        </w:numP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（一）成立标准编制工作组</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团体标准《益髓艾炷灸防治轻度认知障碍技术规范》任务下达后，由赵利华明确专人组成起草工作小组，经起草组全体成员共同研究讨论，确立标准起草编写方案，并按照项目要求，明确了任务分工，确定了工作重点和时间进度。</w:t>
      </w:r>
    </w:p>
    <w:p>
      <w:pPr>
        <w:numPr>
          <w:ilvl w:val="0"/>
          <w:numId w:val="3"/>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搜集整理文献资料</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标准编制工作组收集了国内有关</w:t>
      </w:r>
      <w:r>
        <w:rPr>
          <w:rFonts w:hint="eastAsia" w:ascii="仿宋" w:hAnsi="仿宋" w:eastAsia="仿宋" w:cs="仿宋"/>
          <w:sz w:val="24"/>
          <w:szCs w:val="24"/>
          <w:lang w:val="en-US" w:eastAsia="zh-CN"/>
        </w:rPr>
        <w:t>认知障碍、艾炷灸</w:t>
      </w:r>
      <w:r>
        <w:rPr>
          <w:rFonts w:hint="default" w:ascii="仿宋" w:hAnsi="仿宋" w:eastAsia="仿宋" w:cs="仿宋"/>
          <w:sz w:val="24"/>
          <w:szCs w:val="24"/>
          <w:lang w:val="en-US" w:eastAsia="zh-CN"/>
        </w:rPr>
        <w:t>相关的文献资料。具体列出如下：</w:t>
      </w:r>
    </w:p>
    <w:p>
      <w:pPr>
        <w:numPr>
          <w:ilvl w:val="0"/>
          <w:numId w:val="0"/>
        </w:numPr>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GB/T  21709.1-2008《针灸技术操作规范  第1部分：艾灸》</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GB/T  12346-2021《腧穴名称与定位》</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T/CGSS 019—2021</w:t>
      </w:r>
      <w:r>
        <w:rPr>
          <w:rFonts w:hint="default" w:ascii="仿宋" w:hAnsi="仿宋" w:eastAsia="仿宋" w:cs="仿宋"/>
          <w:sz w:val="24"/>
          <w:szCs w:val="24"/>
          <w:lang w:val="en-US" w:eastAsia="zh-CN"/>
        </w:rPr>
        <w:tab/>
      </w:r>
      <w:r>
        <w:rPr>
          <w:rFonts w:hint="default" w:ascii="仿宋" w:hAnsi="仿宋" w:eastAsia="仿宋" w:cs="仿宋"/>
          <w:sz w:val="24"/>
          <w:szCs w:val="24"/>
          <w:lang w:val="en-US" w:eastAsia="zh-CN"/>
        </w:rPr>
        <w:t>认知障碍老年人照护服务规范</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T/CGSS 016—2020</w:t>
      </w:r>
      <w:r>
        <w:rPr>
          <w:rFonts w:hint="default" w:ascii="仿宋" w:hAnsi="仿宋" w:eastAsia="仿宋" w:cs="仿宋"/>
          <w:sz w:val="24"/>
          <w:szCs w:val="24"/>
          <w:lang w:val="en-US" w:eastAsia="zh-CN"/>
        </w:rPr>
        <w:tab/>
      </w:r>
      <w:r>
        <w:rPr>
          <w:rFonts w:hint="default" w:ascii="仿宋" w:hAnsi="仿宋" w:eastAsia="仿宋" w:cs="仿宋"/>
          <w:sz w:val="24"/>
          <w:szCs w:val="24"/>
          <w:lang w:val="en-US" w:eastAsia="zh-CN"/>
        </w:rPr>
        <w:t>认知障碍照护师规范</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T/CGSS 022—2022</w:t>
      </w:r>
      <w:r>
        <w:rPr>
          <w:rFonts w:hint="default" w:ascii="仿宋" w:hAnsi="仿宋" w:eastAsia="仿宋" w:cs="仿宋"/>
          <w:sz w:val="24"/>
          <w:szCs w:val="24"/>
          <w:lang w:val="en-US" w:eastAsia="zh-CN"/>
        </w:rPr>
        <w:tab/>
      </w:r>
      <w:r>
        <w:rPr>
          <w:rFonts w:hint="default" w:ascii="仿宋" w:hAnsi="仿宋" w:eastAsia="仿宋" w:cs="仿宋"/>
          <w:sz w:val="24"/>
          <w:szCs w:val="24"/>
          <w:lang w:val="en-US" w:eastAsia="zh-CN"/>
        </w:rPr>
        <w:t>认知障碍神经心理评估师规范</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T/CACM 1085-2018《中医治未病技术操作规范 调神益智针法预防血管性认知障碍》</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T/SHCNSLH 000001—2020《上海市长宁区社区和居家认知障碍照护规范》</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T/ZAS 3008—2021</w:t>
      </w:r>
      <w:r>
        <w:rPr>
          <w:rFonts w:hint="default" w:ascii="仿宋" w:hAnsi="仿宋" w:eastAsia="仿宋" w:cs="仿宋"/>
          <w:sz w:val="24"/>
          <w:szCs w:val="24"/>
          <w:lang w:val="en-US" w:eastAsia="zh-CN"/>
        </w:rPr>
        <w:tab/>
      </w:r>
      <w:r>
        <w:rPr>
          <w:rFonts w:hint="default" w:ascii="仿宋" w:hAnsi="仿宋" w:eastAsia="仿宋" w:cs="仿宋"/>
          <w:sz w:val="24"/>
          <w:szCs w:val="24"/>
          <w:lang w:val="en-US" w:eastAsia="zh-CN"/>
        </w:rPr>
        <w:t>认知障碍老人团体活动规范</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T/JSSG 016—2023</w:t>
      </w:r>
      <w:r>
        <w:rPr>
          <w:rFonts w:hint="default" w:ascii="仿宋" w:hAnsi="仿宋" w:eastAsia="仿宋" w:cs="仿宋"/>
          <w:sz w:val="24"/>
          <w:szCs w:val="24"/>
          <w:lang w:val="en-US" w:eastAsia="zh-CN"/>
        </w:rPr>
        <w:tab/>
      </w:r>
      <w:r>
        <w:rPr>
          <w:rFonts w:hint="default" w:ascii="仿宋" w:hAnsi="仿宋" w:eastAsia="仿宋" w:cs="仿宋"/>
          <w:sz w:val="24"/>
          <w:szCs w:val="24"/>
          <w:lang w:val="en-US" w:eastAsia="zh-CN"/>
        </w:rPr>
        <w:t>老年轻度认知障碍患者医务社会工作服务规范</w:t>
      </w:r>
    </w:p>
    <w:p>
      <w:pPr>
        <w:numPr>
          <w:ilvl w:val="0"/>
          <w:numId w:val="0"/>
        </w:numP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（三）研讨确定标准主体内容</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标准编制工作组在对收集的资料进行整理研究后，标准编制工作组召开了标准编制会议，对标准的整体框架进行了研究，并对标准的关键性问题进行了初步探讨。经过研究，标准的主体内容包括确立了益髓灸的适应症、治疗穴位处方、治疗方法和疗程、操作要领和细节、意外处理及注意事项。</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（四）调研、形成草案、征求意见稿</w:t>
      </w:r>
    </w:p>
    <w:p>
      <w:pPr>
        <w:numPr>
          <w:ilvl w:val="0"/>
          <w:numId w:val="0"/>
        </w:numP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 xml:space="preserve">    2023年1月～2023年4月，标准起草工作小组进行了广泛实地调研工作，查阅了大量的国内外文献资料，对益髓艾炷灸防治轻度认知障碍进行系统总结。经编制组反复讨论，形成了标准的基本构架，对主要内容进行了讨论并对项目的工作进行了部署和安排。在前期工作的基础之上，通过理清逻辑脉络，整合已有的参考资料中有关防治轻度认知障碍的资料内容，并结合益髓艾炷灸及前期研究的基础上，按照简化、统一等原则编制完成团体标准《益髓艾炷灸防治轻度认知障碍技术规范》（草案）。</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2023年5月，编制组深入南宁市、多家社区卫生服务中心及居委社区进行分组调研，并向其进行征求意见。标准编制工作组多次召开会议，对标准草案进行反复修改和研究讨论，形成团体标准《益髓艾炷灸防治轻度认知障碍技术规范》（征求意见稿）和（征求意见稿）编制说明。</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2023年6月，编制工作组根据收集意见进行多次讨论修改形成团体标准《益髓艾炷灸防治轻度认知障碍技术规范》（征求意见稿）和编制说明（第二次）。</w:t>
      </w:r>
    </w:p>
    <w:p>
      <w:pPr>
        <w:numPr>
          <w:ilvl w:val="0"/>
          <w:numId w:val="0"/>
        </w:num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四、标准制定原则</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（一）实用性原则</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本文件是在充分收集相关资料和文献，分析当前防治轻度认知障碍现状及趋势，参考防治认知障碍的相关国家、团体标准并结合前期研究成果及多年临床经验而总结起草的。符合当前防治轻度认知障碍的局势要求，有利于提高大众对轻度认知障碍这一关键阶段的重视程度，为广西地区各级各类医院、养老机构提供益髓艾炷灸防治MCI的临床操作规范，使相关人员操作更加规范，更具有安全性、有效性，逆转或延缓MCI患者认知功能障碍进一步加重，提高MCI患者整体生存质量，具有较强的实用性和可操作性。</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（二）协调性原则</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本文件编写过程中注意了与防治轻度认知障碍相关法律法规的协调问题，在内容上与现行法律法规、标准协调一致。</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（三）规范性原则</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本文件严格参照GB/T 1.1—2020《标准化工作导则 第1部分：标准化文件的结构和起草规则》的要求和规定编写本标准的内容，保证标准的编写质量。</w:t>
      </w:r>
    </w:p>
    <w:p>
      <w:pPr>
        <w:numPr>
          <w:ilvl w:val="0"/>
          <w:numId w:val="0"/>
        </w:num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（四）前瞻性原则</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本文件在兼顾当前防治轻度认知障碍实际情况的同时，根据当前益髓艾炷灸防治轻度认知障碍无适合标准进行统一规范的现状，在标准中体现了个别特色性、前瞻性和先进性条款，作为对益髓艾炷灸防治轻度认知障碍的指导。</w:t>
      </w:r>
    </w:p>
    <w:p>
      <w:pPr>
        <w:spacing w:before="156" w:beforeLines="50" w:after="156" w:afterLines="50" w:line="460" w:lineRule="exact"/>
        <w:rPr>
          <w:rFonts w:ascii="黑体" w:hAnsi="黑体" w:eastAsia="黑体" w:cs="黑体"/>
          <w:bCs/>
          <w:sz w:val="28"/>
          <w:szCs w:val="28"/>
        </w:rPr>
      </w:pPr>
      <w:r>
        <w:rPr>
          <w:rFonts w:hint="eastAsia" w:ascii="黑体" w:hAnsi="黑体" w:eastAsia="黑体" w:cs="黑体"/>
          <w:bCs/>
          <w:sz w:val="28"/>
          <w:szCs w:val="28"/>
          <w:lang w:val="en-US" w:eastAsia="zh-CN"/>
        </w:rPr>
        <w:t>五、</w:t>
      </w:r>
      <w:r>
        <w:rPr>
          <w:rFonts w:hint="eastAsia" w:ascii="黑体" w:hAnsi="黑体" w:eastAsia="黑体"/>
          <w:color w:val="auto"/>
          <w:sz w:val="28"/>
          <w:szCs w:val="28"/>
        </w:rPr>
        <w:t>主要条款的说明</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团体标准《益髓艾炷灸防治轻度认知障碍技术规范》主要内容包括确立益髓灸穴位处方、体质配穴、治疗方法和疗程、操作要领和细节。本标准规定了益髓艾炷灸防治轻度认知障碍的术语和定义、诊断、治疗、操作步骤、意外处理、注意事项。</w:t>
      </w:r>
    </w:p>
    <w:p>
      <w:pPr>
        <w:numPr>
          <w:ilvl w:val="0"/>
          <w:numId w:val="0"/>
        </w:numP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（一）益髓灸穴位处方</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在传统中医学说中，历代医家素有</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病变在脑</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首取督脉</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之说。脑为</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髓海</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，又为</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元神之府</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，主持着人体日常的各种活动以及五脏六腑的协调工作，百会为</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百脉之会</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，内通于脑，故百会为治</w:t>
      </w:r>
      <w:r>
        <w:rPr>
          <w:rFonts w:hint="eastAsia" w:ascii="仿宋" w:hAnsi="仿宋" w:eastAsia="仿宋" w:cs="仿宋"/>
          <w:sz w:val="24"/>
          <w:szCs w:val="24"/>
          <w:lang w:val="en-US" w:eastAsia="zh-CN"/>
        </w:rPr>
        <w:t>脑</w:t>
      </w:r>
      <w:r>
        <w:rPr>
          <w:rFonts w:hint="default" w:ascii="仿宋" w:hAnsi="仿宋" w:eastAsia="仿宋" w:cs="仿宋"/>
          <w:sz w:val="24"/>
          <w:szCs w:val="24"/>
          <w:lang w:val="en-US" w:eastAsia="zh-CN"/>
        </w:rPr>
        <w:t>之要穴，督脉上汇于足太阳、手足少阳、足厥阴，对脑部的气血调解有重要的作用，有醒神开窍，滋养元神，宁神定志的功效。肾生髓，髓汇于脑，当肾亏时脑部会出现相应的病理变化，关元穴位于任脉、足三阴交汇处，元阴元阳交关之所，男子藏精，女子生血，且为小肠的募穴，可通水道，能达培元固本、调运肝肾的目的。《脾胃论· 脾胃盛衰论》说:</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三元真气衰惫皆由脾胃先虚而气不上行所致也”，补后天脾而补先天肾。足三里为足阳明胃经合穴，阳明经多气多血，助气血运行。同时足阳明经别属胃,散之脾,上通于心，可通谷道、气道，可达健脾、宁心、安神之效；三阴交为足太阴、厥阴、少阴三经交会穴，此三经又有支脉络心、肺、脑，可理脾胃、补肝肾。</w:t>
      </w:r>
      <w:r>
        <w:rPr>
          <w:rFonts w:hint="eastAsia" w:ascii="仿宋" w:hAnsi="仿宋" w:eastAsia="仿宋" w:cs="仿宋"/>
          <w:sz w:val="24"/>
          <w:szCs w:val="24"/>
          <w:lang w:val="en-US" w:eastAsia="zh-CN"/>
        </w:rPr>
        <w:t>悬钟穴为髓会，“主骨所生病”，而肾主骨生髓，故悬钟可补肾益髓。故</w:t>
      </w:r>
      <w:r>
        <w:rPr>
          <w:rFonts w:hint="default" w:ascii="仿宋" w:hAnsi="仿宋" w:eastAsia="仿宋" w:cs="仿宋"/>
          <w:sz w:val="24"/>
          <w:szCs w:val="24"/>
          <w:lang w:val="en-US" w:eastAsia="zh-CN"/>
        </w:rPr>
        <w:t>选用百会、关元、足三里、三阴交</w:t>
      </w:r>
      <w:r>
        <w:rPr>
          <w:rFonts w:hint="eastAsia" w:ascii="仿宋" w:hAnsi="仿宋" w:eastAsia="仿宋" w:cs="仿宋"/>
          <w:sz w:val="24"/>
          <w:szCs w:val="24"/>
          <w:lang w:val="en-US" w:eastAsia="zh-CN"/>
        </w:rPr>
        <w:t>（或悬钟）</w:t>
      </w:r>
      <w:r>
        <w:rPr>
          <w:rFonts w:hint="default" w:ascii="仿宋" w:hAnsi="仿宋" w:eastAsia="仿宋" w:cs="仿宋"/>
          <w:sz w:val="24"/>
          <w:szCs w:val="24"/>
          <w:lang w:val="en-US" w:eastAsia="zh-CN"/>
        </w:rPr>
        <w:t>合用，有补肾健脾益髓、宁心安神益智之效。</w:t>
      </w:r>
      <w:r>
        <w:rPr>
          <w:rFonts w:hint="eastAsia" w:ascii="仿宋" w:hAnsi="仿宋" w:eastAsia="仿宋" w:cs="仿宋"/>
          <w:sz w:val="24"/>
          <w:szCs w:val="24"/>
          <w:lang w:val="en-US" w:eastAsia="zh-CN"/>
        </w:rPr>
        <w:t>穴位定位依据GB/T  12346-2021《腧穴名称与定位》进行定位。</w:t>
      </w:r>
    </w:p>
    <w:p>
      <w:pPr>
        <w:numPr>
          <w:ilvl w:val="0"/>
          <w:numId w:val="0"/>
        </w:numPr>
        <w:ind w:leftChars="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（二）</w:t>
      </w:r>
      <w:r>
        <w:rPr>
          <w:rFonts w:hint="eastAsia" w:ascii="仿宋" w:hAnsi="仿宋" w:eastAsia="仿宋" w:cs="仿宋"/>
          <w:color w:val="auto"/>
          <w:sz w:val="24"/>
          <w:szCs w:val="24"/>
          <w:lang w:val="en-US" w:eastAsia="zh-CN"/>
        </w:rPr>
        <w:t>体质配穴</w:t>
      </w:r>
    </w:p>
    <w:p>
      <w:pPr>
        <w:numPr>
          <w:ilvl w:val="0"/>
          <w:numId w:val="0"/>
        </w:numPr>
        <w:ind w:leftChars="0" w:firstLine="48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基于中医体质学的4P医学模式：预测性</w:t>
      </w:r>
      <w:r>
        <w:rPr>
          <w:rFonts w:hint="default" w:ascii="Times New Roman" w:hAnsi="Times New Roman" w:eastAsia="仿宋" w:cs="Times New Roman"/>
          <w:sz w:val="24"/>
          <w:szCs w:val="24"/>
          <w:lang w:val="en-US" w:eastAsia="zh-CN"/>
        </w:rPr>
        <w:t>（predictive）</w:t>
      </w:r>
      <w:r>
        <w:rPr>
          <w:rFonts w:hint="eastAsia" w:ascii="仿宋" w:hAnsi="仿宋" w:eastAsia="仿宋" w:cs="仿宋"/>
          <w:sz w:val="24"/>
          <w:szCs w:val="24"/>
          <w:lang w:val="en-US" w:eastAsia="zh-CN"/>
        </w:rPr>
        <w:t>、预防性</w:t>
      </w:r>
    </w:p>
    <w:p>
      <w:pPr>
        <w:numPr>
          <w:ilvl w:val="0"/>
          <w:numId w:val="0"/>
        </w:numPr>
        <w:rPr>
          <w:rFonts w:hint="eastAsia" w:ascii="仿宋" w:hAnsi="仿宋" w:eastAsia="仿宋" w:cs="仿宋"/>
          <w:sz w:val="24"/>
          <w:szCs w:val="24"/>
          <w:lang w:val="en-US" w:eastAsia="zh-CN"/>
        </w:rPr>
      </w:pPr>
      <w:r>
        <w:rPr>
          <w:rFonts w:hint="default" w:ascii="Times New Roman" w:hAnsi="Times New Roman" w:eastAsia="仿宋" w:cs="Times New Roman"/>
          <w:sz w:val="24"/>
          <w:szCs w:val="24"/>
          <w:lang w:val="en-US" w:eastAsia="zh-CN"/>
        </w:rPr>
        <w:t>（preventive）</w:t>
      </w:r>
      <w:r>
        <w:rPr>
          <w:rFonts w:hint="eastAsia" w:ascii="仿宋" w:hAnsi="仿宋" w:eastAsia="仿宋" w:cs="仿宋"/>
          <w:sz w:val="24"/>
          <w:szCs w:val="24"/>
          <w:lang w:val="en-US" w:eastAsia="zh-CN"/>
        </w:rPr>
        <w:t>、个体化</w:t>
      </w:r>
      <w:r>
        <w:rPr>
          <w:rFonts w:hint="default" w:ascii="Times New Roman" w:hAnsi="Times New Roman" w:eastAsia="仿宋" w:cs="Times New Roman"/>
          <w:sz w:val="24"/>
          <w:szCs w:val="24"/>
          <w:lang w:val="en-US" w:eastAsia="zh-CN"/>
        </w:rPr>
        <w:t>（personalized）</w:t>
      </w:r>
      <w:r>
        <w:rPr>
          <w:rFonts w:hint="eastAsia" w:ascii="仿宋" w:hAnsi="仿宋" w:eastAsia="仿宋" w:cs="仿宋"/>
          <w:sz w:val="24"/>
          <w:szCs w:val="24"/>
          <w:lang w:val="en-US" w:eastAsia="zh-CN"/>
        </w:rPr>
        <w:t>和参与性</w:t>
      </w:r>
      <w:r>
        <w:rPr>
          <w:rFonts w:hint="default" w:ascii="Times New Roman" w:hAnsi="Times New Roman" w:eastAsia="仿宋" w:cs="Times New Roman"/>
          <w:sz w:val="24"/>
          <w:szCs w:val="24"/>
          <w:lang w:val="en-US" w:eastAsia="zh-CN"/>
        </w:rPr>
        <w:t>（participatory）</w:t>
      </w:r>
      <w:r>
        <w:rPr>
          <w:rFonts w:hint="eastAsia" w:ascii="仿宋" w:hAnsi="仿宋" w:eastAsia="仿宋" w:cs="仿宋"/>
          <w:sz w:val="24"/>
          <w:szCs w:val="24"/>
          <w:lang w:val="en-US" w:eastAsia="zh-CN"/>
        </w:rPr>
        <w:t>，选择符合MCI个体体质的针对化配穴也是提高防治疗效的关键因素。参照参照中华中医药学会颁布的《中医体质分类与判定》标准进行体质类型判定。根据中医体质类型选择相应配穴，阳虚体质者配命门，阴虚体质者配太溪，气郁体质者配太冲，瘀血体质者配膈俞，气虚体质者配气海，湿热体质者配阴陵泉，痰湿体质者配丰隆，特禀体质者配血海。</w:t>
      </w:r>
    </w:p>
    <w:p>
      <w:pPr>
        <w:numPr>
          <w:ilvl w:val="0"/>
          <w:numId w:val="0"/>
        </w:numPr>
        <w:jc w:val="center"/>
        <w:rPr>
          <w:rFonts w:hint="eastAsia" w:eastAsiaTheme="minorEastAsia"/>
          <w:lang w:eastAsia="zh-CN"/>
        </w:rPr>
      </w:pPr>
    </w:p>
    <w:p>
      <w:pPr>
        <w:pStyle w:val="3"/>
        <w:numPr>
          <w:ilvl w:val="0"/>
          <w:numId w:val="0"/>
        </w:numPr>
        <w:jc w:val="center"/>
        <w:rPr>
          <w:rFonts w:hint="eastAsia"/>
          <w:lang w:eastAsia="zh-CN"/>
        </w:rPr>
      </w:pPr>
      <w:r>
        <w:rPr>
          <w:rFonts w:hint="eastAsia"/>
          <w:lang w:eastAsia="zh-CN"/>
        </w:rPr>
        <w:drawing>
          <wp:inline distT="0" distB="0" distL="114300" distR="114300">
            <wp:extent cx="2226310" cy="2494280"/>
            <wp:effectExtent l="0" t="0" r="13970" b="5080"/>
            <wp:docPr id="7" name="图片 7" descr="e6164bf57019ccacb7f702cda74c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6164bf57019ccacb7f702cda74cda1"/>
                    <pic:cNvPicPr>
                      <a:picLocks noChangeAspect="1"/>
                    </pic:cNvPicPr>
                  </pic:nvPicPr>
                  <pic:blipFill>
                    <a:blip r:embed="rId4"/>
                    <a:stretch>
                      <a:fillRect/>
                    </a:stretch>
                  </pic:blipFill>
                  <pic:spPr>
                    <a:xfrm>
                      <a:off x="0" y="0"/>
                      <a:ext cx="2226310" cy="2494280"/>
                    </a:xfrm>
                    <a:prstGeom prst="rect">
                      <a:avLst/>
                    </a:prstGeom>
                  </pic:spPr>
                </pic:pic>
              </a:graphicData>
            </a:graphic>
          </wp:inline>
        </w:drawing>
      </w:r>
    </w:p>
    <w:p>
      <w:pPr>
        <w:pStyle w:val="3"/>
        <w:numPr>
          <w:ilvl w:val="0"/>
          <w:numId w:val="0"/>
        </w:numPr>
        <w:jc w:val="center"/>
        <w:rPr>
          <w:rFonts w:hint="eastAsia"/>
          <w:lang w:eastAsia="zh-CN"/>
        </w:rPr>
      </w:pPr>
      <w:r>
        <w:t xml:space="preserve">图 </w:t>
      </w:r>
      <w:r>
        <w:fldChar w:fldCharType="begin"/>
      </w:r>
      <w:r>
        <w:instrText xml:space="preserve"> SEQ 图 \* ARABIC </w:instrText>
      </w:r>
      <w:r>
        <w:fldChar w:fldCharType="separate"/>
      </w:r>
      <w:r>
        <w:t>1</w:t>
      </w:r>
      <w:r>
        <w:fldChar w:fldCharType="end"/>
      </w:r>
      <w:r>
        <w:rPr>
          <w:rFonts w:hint="eastAsia"/>
          <w:lang w:eastAsia="zh-CN"/>
        </w:rPr>
        <w:t>主穴示图</w:t>
      </w:r>
    </w:p>
    <w:p>
      <w:pPr>
        <w:jc w:val="center"/>
        <w:rPr>
          <w:rFonts w:hint="eastAsia"/>
          <w:lang w:eastAsia="zh-CN"/>
        </w:rPr>
      </w:pPr>
      <w:r>
        <w:rPr>
          <w:rFonts w:hint="eastAsia"/>
          <w:lang w:eastAsia="zh-CN"/>
        </w:rPr>
        <w:drawing>
          <wp:inline distT="0" distB="0" distL="114300" distR="114300">
            <wp:extent cx="5272405" cy="2237105"/>
            <wp:effectExtent l="0" t="0" r="635" b="3175"/>
            <wp:docPr id="9" name="图片 9" descr="微信图片_20230720215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30720215402"/>
                    <pic:cNvPicPr>
                      <a:picLocks noChangeAspect="1"/>
                    </pic:cNvPicPr>
                  </pic:nvPicPr>
                  <pic:blipFill>
                    <a:blip r:embed="rId5"/>
                    <a:stretch>
                      <a:fillRect/>
                    </a:stretch>
                  </pic:blipFill>
                  <pic:spPr>
                    <a:xfrm>
                      <a:off x="0" y="0"/>
                      <a:ext cx="5272405" cy="2237105"/>
                    </a:xfrm>
                    <a:prstGeom prst="rect">
                      <a:avLst/>
                    </a:prstGeom>
                  </pic:spPr>
                </pic:pic>
              </a:graphicData>
            </a:graphic>
          </wp:inline>
        </w:drawing>
      </w:r>
      <w:bookmarkStart w:id="0" w:name="_GoBack"/>
      <w:bookmarkEnd w:id="0"/>
    </w:p>
    <w:p>
      <w:pPr>
        <w:pStyle w:val="3"/>
        <w:jc w:val="center"/>
        <w:rPr>
          <w:rFonts w:hint="default" w:eastAsia="黑体"/>
          <w:lang w:val="en-US" w:eastAsia="zh-CN"/>
        </w:rPr>
      </w:pPr>
      <w:r>
        <w:t xml:space="preserve">图 </w:t>
      </w:r>
      <w:r>
        <w:fldChar w:fldCharType="begin"/>
      </w:r>
      <w:r>
        <w:instrText xml:space="preserve"> SEQ 图 \* ARABIC </w:instrText>
      </w:r>
      <w:r>
        <w:fldChar w:fldCharType="separate"/>
      </w:r>
      <w:r>
        <w:t>2</w:t>
      </w:r>
      <w:r>
        <w:fldChar w:fldCharType="end"/>
      </w:r>
      <w:r>
        <w:rPr>
          <w:rFonts w:hint="eastAsia"/>
          <w:lang w:val="en-US" w:eastAsia="zh-CN"/>
        </w:rPr>
        <w:t>体质配穴示图</w:t>
      </w:r>
    </w:p>
    <w:p>
      <w:pPr>
        <w:numPr>
          <w:ilvl w:val="0"/>
          <w:numId w:val="0"/>
        </w:numPr>
        <w:jc w:val="center"/>
        <w:rPr>
          <w:rFonts w:hint="eastAsia"/>
          <w:lang w:val="en-US" w:eastAsia="zh-CN"/>
        </w:rPr>
      </w:pPr>
    </w:p>
    <w:p>
      <w:pPr>
        <w:numPr>
          <w:ilvl w:val="0"/>
          <w:numId w:val="3"/>
        </w:numPr>
        <w:ind w:left="0" w:leftChars="0" w:firstLine="0" w:firstLineChars="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益髓艾炷灸治疗方法</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标准编制组多年来对</w:t>
      </w:r>
      <w:r>
        <w:rPr>
          <w:rFonts w:hint="eastAsia" w:ascii="仿宋" w:hAnsi="仿宋" w:eastAsia="仿宋" w:cs="仿宋"/>
          <w:sz w:val="24"/>
          <w:szCs w:val="24"/>
          <w:lang w:val="en-US" w:eastAsia="zh-CN"/>
        </w:rPr>
        <w:t>益髓艾炷灸防治轻度认知障碍</w:t>
      </w:r>
      <w:r>
        <w:rPr>
          <w:rFonts w:hint="default" w:ascii="仿宋" w:hAnsi="仿宋" w:eastAsia="仿宋" w:cs="仿宋"/>
          <w:sz w:val="24"/>
          <w:szCs w:val="24"/>
          <w:lang w:val="en-US" w:eastAsia="zh-CN"/>
        </w:rPr>
        <w:t>进行了研究探讨和临床试验，在实际应用中效果良好。根据标准编制组多年研究和工作经验，对</w:t>
      </w:r>
      <w:r>
        <w:rPr>
          <w:rFonts w:hint="eastAsia" w:ascii="仿宋" w:hAnsi="仿宋" w:eastAsia="仿宋" w:cs="仿宋"/>
          <w:sz w:val="24"/>
          <w:szCs w:val="24"/>
          <w:lang w:val="en-US" w:eastAsia="zh-CN"/>
        </w:rPr>
        <w:t>益髓艾炷灸</w:t>
      </w:r>
      <w:r>
        <w:rPr>
          <w:rFonts w:hint="default" w:ascii="仿宋" w:hAnsi="仿宋" w:eastAsia="仿宋" w:cs="仿宋"/>
          <w:sz w:val="24"/>
          <w:szCs w:val="24"/>
          <w:lang w:val="en-US" w:eastAsia="zh-CN"/>
        </w:rPr>
        <w:t>操作步骤、疗程、注意事项的内容进行了确定。</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标准编制组通过临床试验观察了</w:t>
      </w:r>
      <w:r>
        <w:rPr>
          <w:rFonts w:hint="eastAsia" w:ascii="仿宋" w:hAnsi="仿宋" w:eastAsia="仿宋" w:cs="仿宋"/>
          <w:sz w:val="24"/>
          <w:szCs w:val="24"/>
          <w:lang w:val="en-US" w:eastAsia="zh-CN"/>
        </w:rPr>
        <w:t>益髓艾炷灸</w:t>
      </w:r>
      <w:r>
        <w:rPr>
          <w:rFonts w:hint="default" w:ascii="仿宋" w:hAnsi="仿宋" w:eastAsia="仿宋" w:cs="仿宋"/>
          <w:sz w:val="24"/>
          <w:szCs w:val="24"/>
          <w:lang w:val="en-US" w:eastAsia="zh-CN"/>
        </w:rPr>
        <w:t>对</w:t>
      </w:r>
      <w:r>
        <w:rPr>
          <w:rFonts w:hint="eastAsia" w:ascii="仿宋" w:hAnsi="仿宋" w:eastAsia="仿宋" w:cs="仿宋"/>
          <w:sz w:val="24"/>
          <w:szCs w:val="24"/>
          <w:lang w:val="en-US" w:eastAsia="zh-CN"/>
        </w:rPr>
        <w:t>轻度认知障碍</w:t>
      </w:r>
      <w:r>
        <w:rPr>
          <w:rFonts w:hint="default" w:ascii="仿宋" w:hAnsi="仿宋" w:eastAsia="仿宋" w:cs="仿宋"/>
          <w:sz w:val="24"/>
          <w:szCs w:val="24"/>
          <w:lang w:val="en-US" w:eastAsia="zh-CN"/>
        </w:rPr>
        <w:t>的疗效。前期研究中，标准编制组对</w:t>
      </w:r>
      <w:r>
        <w:rPr>
          <w:rFonts w:hint="eastAsia" w:ascii="仿宋" w:hAnsi="仿宋" w:eastAsia="仿宋" w:cs="仿宋"/>
          <w:sz w:val="24"/>
          <w:szCs w:val="24"/>
          <w:lang w:val="en-US" w:eastAsia="zh-CN"/>
        </w:rPr>
        <w:t>152</w:t>
      </w:r>
      <w:r>
        <w:rPr>
          <w:rFonts w:hint="default" w:ascii="仿宋" w:hAnsi="仿宋" w:eastAsia="仿宋" w:cs="仿宋"/>
          <w:sz w:val="24"/>
          <w:szCs w:val="24"/>
          <w:lang w:val="en-US" w:eastAsia="zh-CN"/>
        </w:rPr>
        <w:t>例</w:t>
      </w:r>
      <w:r>
        <w:rPr>
          <w:rFonts w:hint="eastAsia" w:ascii="仿宋" w:hAnsi="仿宋" w:eastAsia="仿宋" w:cs="仿宋"/>
          <w:sz w:val="24"/>
          <w:szCs w:val="24"/>
          <w:lang w:val="en-US" w:eastAsia="zh-CN"/>
        </w:rPr>
        <w:t>MCI</w:t>
      </w:r>
      <w:r>
        <w:rPr>
          <w:rFonts w:hint="default" w:ascii="仿宋" w:hAnsi="仿宋" w:eastAsia="仿宋" w:cs="仿宋"/>
          <w:sz w:val="24"/>
          <w:szCs w:val="24"/>
          <w:lang w:val="en-US" w:eastAsia="zh-CN"/>
        </w:rPr>
        <w:t>患者</w:t>
      </w:r>
      <w:r>
        <w:rPr>
          <w:rFonts w:hint="eastAsia" w:ascii="仿宋" w:hAnsi="仿宋" w:eastAsia="仿宋" w:cs="仿宋"/>
          <w:sz w:val="24"/>
          <w:szCs w:val="24"/>
          <w:lang w:val="en-US" w:eastAsia="zh-CN"/>
        </w:rPr>
        <w:t>随机分组为</w:t>
      </w:r>
      <w:r>
        <w:rPr>
          <w:rFonts w:hint="default" w:ascii="仿宋" w:hAnsi="仿宋" w:eastAsia="仿宋" w:cs="仿宋"/>
          <w:sz w:val="24"/>
          <w:szCs w:val="24"/>
          <w:lang w:val="en-US" w:eastAsia="zh-CN"/>
        </w:rPr>
        <w:t>治疗组</w:t>
      </w:r>
      <w:r>
        <w:rPr>
          <w:rFonts w:hint="eastAsia" w:ascii="仿宋" w:hAnsi="仿宋" w:eastAsia="仿宋" w:cs="仿宋"/>
          <w:sz w:val="24"/>
          <w:szCs w:val="24"/>
          <w:lang w:val="en-US" w:eastAsia="zh-CN"/>
        </w:rPr>
        <w:t>、</w:t>
      </w:r>
      <w:r>
        <w:rPr>
          <w:rFonts w:hint="default" w:ascii="仿宋" w:hAnsi="仿宋" w:eastAsia="仿宋" w:cs="仿宋"/>
          <w:sz w:val="24"/>
          <w:szCs w:val="24"/>
          <w:lang w:val="en-US" w:eastAsia="zh-CN"/>
        </w:rPr>
        <w:t>对照组</w:t>
      </w:r>
      <w:r>
        <w:rPr>
          <w:rFonts w:hint="eastAsia" w:ascii="仿宋" w:hAnsi="仿宋" w:eastAsia="仿宋" w:cs="仿宋"/>
          <w:sz w:val="24"/>
          <w:szCs w:val="24"/>
          <w:lang w:val="en-US" w:eastAsia="zh-CN"/>
        </w:rPr>
        <w:t>和药物组</w:t>
      </w:r>
      <w:r>
        <w:rPr>
          <w:rFonts w:hint="default" w:ascii="仿宋" w:hAnsi="仿宋" w:eastAsia="仿宋" w:cs="仿宋"/>
          <w:sz w:val="24"/>
          <w:szCs w:val="24"/>
          <w:lang w:val="en-US" w:eastAsia="zh-CN"/>
        </w:rPr>
        <w:t>治疗并观察记录其疗效，</w:t>
      </w:r>
      <w:r>
        <w:rPr>
          <w:rFonts w:hint="eastAsia" w:ascii="仿宋" w:hAnsi="仿宋" w:eastAsia="仿宋" w:cs="仿宋"/>
          <w:sz w:val="24"/>
          <w:szCs w:val="24"/>
          <w:lang w:val="en-US" w:eastAsia="zh-CN"/>
        </w:rPr>
        <w:t>同时对62例同龄非MCI正常对照组进行观察。治疗</w:t>
      </w:r>
      <w:r>
        <w:rPr>
          <w:rFonts w:hint="default" w:ascii="仿宋" w:hAnsi="仿宋" w:eastAsia="仿宋" w:cs="仿宋"/>
          <w:sz w:val="24"/>
          <w:szCs w:val="24"/>
          <w:lang w:val="en-US" w:eastAsia="zh-CN"/>
        </w:rPr>
        <w:t>组接受</w:t>
      </w:r>
      <w:r>
        <w:rPr>
          <w:rFonts w:hint="eastAsia" w:ascii="仿宋" w:hAnsi="仿宋" w:eastAsia="仿宋" w:cs="仿宋"/>
          <w:sz w:val="24"/>
          <w:szCs w:val="24"/>
          <w:lang w:val="en-US" w:eastAsia="zh-CN"/>
        </w:rPr>
        <w:t>益髓艾炷灸</w:t>
      </w:r>
      <w:r>
        <w:rPr>
          <w:rFonts w:hint="default" w:ascii="仿宋" w:hAnsi="仿宋" w:eastAsia="仿宋" w:cs="仿宋"/>
          <w:sz w:val="24"/>
          <w:szCs w:val="24"/>
          <w:lang w:val="en-US" w:eastAsia="zh-CN"/>
        </w:rPr>
        <w:t>治疗，</w:t>
      </w:r>
      <w:r>
        <w:rPr>
          <w:rFonts w:hint="eastAsia" w:ascii="仿宋" w:hAnsi="仿宋" w:eastAsia="仿宋" w:cs="仿宋"/>
          <w:sz w:val="24"/>
          <w:szCs w:val="24"/>
          <w:lang w:val="en-US" w:eastAsia="zh-CN"/>
        </w:rPr>
        <w:t>对照组接受非穴治疗，药物组接受口服盐酸多奈哌齐治疗</w:t>
      </w:r>
      <w:r>
        <w:rPr>
          <w:rFonts w:hint="default" w:ascii="仿宋" w:hAnsi="仿宋" w:eastAsia="仿宋" w:cs="仿宋"/>
          <w:sz w:val="24"/>
          <w:szCs w:val="24"/>
          <w:lang w:val="en-US" w:eastAsia="zh-CN"/>
        </w:rPr>
        <w:t>。</w:t>
      </w:r>
    </w:p>
    <w:p>
      <w:pPr>
        <w:pStyle w:val="11"/>
        <w:ind w:firstLine="42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益髓艾炷灸治疗：在穴位皮肤局部先涂抹适量增加粘附作用的凡士林，按照“先上后下、先阳后阴，先躯干后四肢”的顺序，依次用酒精灯点燃艾炷后置于百会、关元、足三里、悬钟或三阴交穴位上。每壮灸约3～5min，当患者感觉灼热不适时更换艾炷，连续灸三壮。灸后用棉签轻按压穴位。隔日治疗1次，15次为一个疗程，连续两个疗程，共30次。</w:t>
      </w:r>
    </w:p>
    <w:p>
      <w:pPr>
        <w:pStyle w:val="11"/>
        <w:ind w:firstLine="42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非穴治疗：取穴：选头部左侧率谷上1寸 (约3.33 cm) 、关元旁开向右3寸 (10.00 cm) 、髌骨下缘 (双) 、外踝尖上1寸 (约3.33 cm) (双) 。操作步骤及疗程同益髓艾炷灸。</w:t>
      </w:r>
    </w:p>
    <w:p>
      <w:pPr>
        <w:pStyle w:val="11"/>
        <w:ind w:firstLine="420"/>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药物治疗：口服盐酸多奈哌齐每次5 mg, 每晚睡前1次, 30 天为1个疗程, 共2个疗程。</w:t>
      </w:r>
    </w:p>
    <w:p>
      <w:pPr>
        <w:pStyle w:val="11"/>
        <w:ind w:firstLine="420"/>
        <w:jc w:val="center"/>
        <w:rPr>
          <w:rFonts w:hint="eastAsia" w:ascii="仿宋" w:hAnsi="仿宋" w:eastAsia="仿宋" w:cs="仿宋"/>
          <w:sz w:val="24"/>
          <w:szCs w:val="24"/>
          <w:lang w:val="en-US" w:eastAsia="zh-CN"/>
        </w:rPr>
      </w:pPr>
    </w:p>
    <w:p>
      <w:pPr>
        <w:pStyle w:val="11"/>
        <w:ind w:firstLine="420"/>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2876550" cy="4358640"/>
            <wp:effectExtent l="0" t="0" r="0" b="3810"/>
            <wp:docPr id="8" name="图片 8" descr="微信图片_20230720214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30720214549"/>
                    <pic:cNvPicPr>
                      <a:picLocks noChangeAspect="1"/>
                    </pic:cNvPicPr>
                  </pic:nvPicPr>
                  <pic:blipFill>
                    <a:blip r:embed="rId6"/>
                    <a:srcRect l="9694" t="4360" r="14866" b="9896"/>
                    <a:stretch>
                      <a:fillRect/>
                    </a:stretch>
                  </pic:blipFill>
                  <pic:spPr>
                    <a:xfrm rot="16200000">
                      <a:off x="0" y="0"/>
                      <a:ext cx="2876550" cy="4358640"/>
                    </a:xfrm>
                    <a:prstGeom prst="rect">
                      <a:avLst/>
                    </a:prstGeom>
                  </pic:spPr>
                </pic:pic>
              </a:graphicData>
            </a:graphic>
          </wp:inline>
        </w:drawing>
      </w:r>
    </w:p>
    <w:p>
      <w:pPr>
        <w:pStyle w:val="3"/>
        <w:ind w:firstLine="420"/>
        <w:jc w:val="center"/>
        <w:rPr>
          <w:rFonts w:hint="eastAsia"/>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val="en-US" w:eastAsia="zh-CN"/>
        </w:rPr>
        <w:t xml:space="preserve"> 艾柱图</w:t>
      </w:r>
    </w:p>
    <w:p>
      <w:pPr>
        <w:rPr>
          <w:rFonts w:hint="default"/>
          <w:lang w:val="en-US" w:eastAsia="zh-CN"/>
        </w:rPr>
      </w:pPr>
    </w:p>
    <w:p>
      <w:pPr>
        <w:pStyle w:val="11"/>
        <w:ind w:firstLine="420"/>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3863340" cy="3863340"/>
            <wp:effectExtent l="0" t="0" r="7620" b="7620"/>
            <wp:docPr id="3" name="图片 3" descr="微信图片_2022070519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20705192721"/>
                    <pic:cNvPicPr>
                      <a:picLocks noChangeAspect="1"/>
                    </pic:cNvPicPr>
                  </pic:nvPicPr>
                  <pic:blipFill>
                    <a:blip r:embed="rId7"/>
                    <a:stretch>
                      <a:fillRect/>
                    </a:stretch>
                  </pic:blipFill>
                  <pic:spPr>
                    <a:xfrm>
                      <a:off x="0" y="0"/>
                      <a:ext cx="3863340" cy="3863340"/>
                    </a:xfrm>
                    <a:prstGeom prst="rect">
                      <a:avLst/>
                    </a:prstGeom>
                  </pic:spPr>
                </pic:pic>
              </a:graphicData>
            </a:graphic>
          </wp:inline>
        </w:drawing>
      </w:r>
    </w:p>
    <w:p>
      <w:pPr>
        <w:pStyle w:val="3"/>
        <w:ind w:firstLine="420"/>
        <w:jc w:val="center"/>
        <w:rPr>
          <w:rFonts w:hint="eastAsia" w:ascii="仿宋" w:hAnsi="仿宋" w:eastAsia="宋体" w:cs="仿宋"/>
          <w:sz w:val="24"/>
          <w:szCs w:val="24"/>
          <w:lang w:val="en-US" w:eastAsia="zh-CN"/>
        </w:rPr>
      </w:pPr>
      <w:r>
        <w:t xml:space="preserve">图 </w:t>
      </w:r>
      <w:r>
        <w:rPr>
          <w:rFonts w:hint="eastAsia"/>
          <w:lang w:val="en-US" w:eastAsia="zh-CN"/>
        </w:rPr>
        <w:t>3</w:t>
      </w:r>
      <w:r>
        <w:rPr>
          <w:rFonts w:hint="eastAsia"/>
          <w:lang w:eastAsia="zh-CN"/>
        </w:rPr>
        <w:t xml:space="preserve"> 益髓艾炷灸治疗（1）</w:t>
      </w:r>
    </w:p>
    <w:p>
      <w:pPr>
        <w:pStyle w:val="11"/>
        <w:ind w:firstLine="420"/>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 xml:space="preserve"> </w:t>
      </w:r>
      <w:r>
        <w:rPr>
          <w:rFonts w:hint="eastAsia" w:ascii="仿宋" w:hAnsi="仿宋" w:eastAsia="仿宋" w:cs="仿宋"/>
          <w:sz w:val="24"/>
          <w:szCs w:val="24"/>
          <w:lang w:val="en-US" w:eastAsia="zh-CN"/>
        </w:rPr>
        <w:drawing>
          <wp:inline distT="0" distB="0" distL="114300" distR="114300">
            <wp:extent cx="3924300" cy="3924300"/>
            <wp:effectExtent l="0" t="0" r="7620" b="7620"/>
            <wp:docPr id="5" name="图片 5" descr="98260736cdca833b9f26af44e2ca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8260736cdca833b9f26af44e2caac0"/>
                    <pic:cNvPicPr>
                      <a:picLocks noChangeAspect="1"/>
                    </pic:cNvPicPr>
                  </pic:nvPicPr>
                  <pic:blipFill>
                    <a:blip r:embed="rId8"/>
                    <a:stretch>
                      <a:fillRect/>
                    </a:stretch>
                  </pic:blipFill>
                  <pic:spPr>
                    <a:xfrm>
                      <a:off x="0" y="0"/>
                      <a:ext cx="3924300" cy="3924300"/>
                    </a:xfrm>
                    <a:prstGeom prst="rect">
                      <a:avLst/>
                    </a:prstGeom>
                  </pic:spPr>
                </pic:pic>
              </a:graphicData>
            </a:graphic>
          </wp:inline>
        </w:drawing>
      </w:r>
    </w:p>
    <w:p>
      <w:pPr>
        <w:pStyle w:val="3"/>
        <w:ind w:firstLine="420"/>
        <w:jc w:val="center"/>
        <w:rPr>
          <w:rFonts w:hint="default" w:ascii="仿宋" w:hAnsi="仿宋" w:eastAsia="仿宋" w:cs="仿宋"/>
          <w:sz w:val="24"/>
          <w:szCs w:val="24"/>
          <w:lang w:val="en-US" w:eastAsia="zh-CN"/>
        </w:rPr>
      </w:pPr>
      <w:r>
        <w:t xml:space="preserve">图 </w:t>
      </w:r>
      <w:r>
        <w:fldChar w:fldCharType="begin"/>
      </w:r>
      <w:r>
        <w:instrText xml:space="preserve"> SEQ 图 \* ARABIC </w:instrText>
      </w:r>
      <w:r>
        <w:fldChar w:fldCharType="separate"/>
      </w:r>
      <w:r>
        <w:t>4</w:t>
      </w:r>
      <w:r>
        <w:fldChar w:fldCharType="end"/>
      </w:r>
      <w:r>
        <w:rPr>
          <w:rFonts w:hint="eastAsia"/>
          <w:lang w:eastAsia="zh-CN"/>
        </w:rPr>
        <w:t xml:space="preserve"> 益髓艾炷灸治疗（2）</w:t>
      </w:r>
      <w:r>
        <w:rPr>
          <w:rFonts w:hint="eastAsia" w:ascii="仿宋" w:hAnsi="仿宋" w:eastAsia="仿宋" w:cs="仿宋"/>
          <w:sz w:val="24"/>
          <w:szCs w:val="24"/>
          <w:lang w:val="en-US" w:eastAsia="zh-CN"/>
        </w:rPr>
        <w:t xml:space="preserve">                         </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在治疗前、后采用简易精神状态检查 (MMSE) 、蒙特利尔认知评估 (MoCA) 量表积分的变化及疗效评价进行评定。</w:t>
      </w:r>
    </w:p>
    <w:p>
      <w:pPr>
        <w:numPr>
          <w:ilvl w:val="0"/>
          <w:numId w:val="0"/>
        </w:numPr>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采用SPSS23.0软件进行t检验、方差分析、χ2检验及秩和检验。</w:t>
      </w:r>
    </w:p>
    <w:p>
      <w:pPr>
        <w:pStyle w:val="3"/>
        <w:jc w:val="center"/>
      </w:pPr>
    </w:p>
    <w:p>
      <w:pPr>
        <w:pStyle w:val="3"/>
        <w:jc w:val="center"/>
        <w:rPr>
          <w:rFonts w:hint="eastAsia"/>
          <w:lang w:eastAsia="zh-CN"/>
        </w:rPr>
      </w:pPr>
      <w:r>
        <w:t xml:space="preserve">表 </w:t>
      </w:r>
      <w:r>
        <w:fldChar w:fldCharType="begin"/>
      </w:r>
      <w:r>
        <w:instrText xml:space="preserve"> SEQ 表 \* ARABIC </w:instrText>
      </w:r>
      <w:r>
        <w:fldChar w:fldCharType="separate"/>
      </w:r>
      <w:r>
        <w:t>1</w:t>
      </w:r>
      <w:r>
        <w:fldChar w:fldCharType="end"/>
      </w:r>
      <w:r>
        <w:rPr>
          <w:rFonts w:hint="eastAsia"/>
          <w:lang w:eastAsia="zh-CN"/>
        </w:rPr>
        <w:t xml:space="preserve"> 各组治疗前后MMSE评分、MoCA评分(</w:t>
      </w:r>
      <m:oMath>
        <m:acc>
          <m:accPr>
            <m:chr m:val="̅"/>
            <m:ctrlPr>
              <w:rPr>
                <w:rFonts w:hint="default" w:ascii="Cambria Math" w:hAnsi="Cambria Math" w:cs="宋体"/>
                <w:i/>
                <w:color w:val="auto"/>
                <w:sz w:val="24"/>
              </w:rPr>
            </m:ctrlPr>
          </m:accPr>
          <m:e>
            <m:r>
              <m:rPr/>
              <w:rPr>
                <w:rFonts w:hint="default" w:ascii="Cambria Math" w:hAnsi="Cambria Math" w:cs="宋体"/>
                <w:color w:val="auto"/>
                <w:sz w:val="24"/>
                <w:lang w:val="en-US" w:eastAsia="zh-CN"/>
              </w:rPr>
              <m:t>x</m:t>
            </m:r>
            <m:ctrlPr>
              <w:rPr>
                <w:rFonts w:hint="default" w:ascii="Cambria Math" w:hAnsi="Cambria Math" w:cs="宋体"/>
                <w:i/>
                <w:color w:val="auto"/>
                <w:sz w:val="24"/>
              </w:rPr>
            </m:ctrlPr>
          </m:e>
        </m:acc>
      </m:oMath>
      <w:r>
        <w:rPr>
          <w:rFonts w:hint="eastAsia"/>
          <w:lang w:eastAsia="zh-CN"/>
        </w:rPr>
        <w:t>±s）</w:t>
      </w:r>
    </w:p>
    <w:tbl>
      <w:tblPr>
        <w:tblStyle w:val="5"/>
        <w:tblW w:w="7632" w:type="dxa"/>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58"/>
        <w:gridCol w:w="579"/>
        <w:gridCol w:w="1523"/>
        <w:gridCol w:w="1523"/>
        <w:gridCol w:w="1"/>
        <w:gridCol w:w="1522"/>
        <w:gridCol w:w="1526"/>
      </w:tblGrid>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vMerge w:val="restart"/>
            <w:shd w:val="clear" w:color="auto" w:fill="auto"/>
            <w:vAlign w:val="center"/>
          </w:tcPr>
          <w:p>
            <w:pPr>
              <w:keepNext w:val="0"/>
              <w:keepLines w:val="0"/>
              <w:widowControl/>
              <w:suppressLineNumbers w:val="0"/>
              <w:jc w:val="center"/>
              <w:textAlignment w:val="center"/>
              <w:rPr>
                <w:rFonts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组别</w:t>
            </w:r>
          </w:p>
        </w:tc>
        <w:tc>
          <w:tcPr>
            <w:tcW w:w="579" w:type="dxa"/>
            <w:vMerge w:val="restart"/>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iCs/>
                <w:color w:val="000000"/>
                <w:sz w:val="20"/>
                <w:szCs w:val="20"/>
                <w:u w:val="none"/>
              </w:rPr>
            </w:pPr>
            <w:r>
              <w:rPr>
                <w:rFonts w:hint="default" w:ascii="Arial Unicode MS" w:hAnsi="Arial Unicode MS" w:eastAsia="Arial Unicode MS" w:cs="Arial Unicode MS"/>
                <w:i/>
                <w:iCs/>
                <w:color w:val="000000"/>
                <w:kern w:val="0"/>
                <w:sz w:val="20"/>
                <w:szCs w:val="20"/>
                <w:u w:val="none"/>
                <w:lang w:val="en-US" w:eastAsia="zh-CN" w:bidi="ar"/>
              </w:rPr>
              <w:t>n</w:t>
            </w:r>
          </w:p>
        </w:tc>
        <w:tc>
          <w:tcPr>
            <w:tcW w:w="3047" w:type="dxa"/>
            <w:gridSpan w:val="3"/>
            <w:tcBorders>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治疗前</w:t>
            </w:r>
          </w:p>
        </w:tc>
        <w:tc>
          <w:tcPr>
            <w:tcW w:w="3048" w:type="dxa"/>
            <w:gridSpan w:val="2"/>
            <w:tcBorders>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治疗后</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vMerge w:val="continue"/>
            <w:tcBorders>
              <w:bottom w:val="single" w:color="000000" w:sz="6" w:space="0"/>
            </w:tcBorders>
            <w:shd w:val="clear" w:color="auto" w:fill="auto"/>
            <w:vAlign w:val="center"/>
          </w:tcPr>
          <w:p>
            <w:pPr>
              <w:jc w:val="center"/>
              <w:rPr>
                <w:rFonts w:hint="default" w:ascii="Arial Unicode MS" w:hAnsi="Arial Unicode MS" w:eastAsia="Arial Unicode MS" w:cs="Arial Unicode MS"/>
                <w:i w:val="0"/>
                <w:iCs w:val="0"/>
                <w:color w:val="000000"/>
                <w:sz w:val="20"/>
                <w:szCs w:val="20"/>
                <w:u w:val="none"/>
              </w:rPr>
            </w:pPr>
          </w:p>
        </w:tc>
        <w:tc>
          <w:tcPr>
            <w:tcW w:w="579" w:type="dxa"/>
            <w:vMerge w:val="continue"/>
            <w:tcBorders>
              <w:bottom w:val="single" w:color="000000" w:sz="6" w:space="0"/>
            </w:tcBorders>
            <w:shd w:val="clear" w:color="auto" w:fill="auto"/>
            <w:vAlign w:val="center"/>
          </w:tcPr>
          <w:p>
            <w:pPr>
              <w:jc w:val="center"/>
              <w:rPr>
                <w:rFonts w:hint="default" w:ascii="Arial Unicode MS" w:hAnsi="Arial Unicode MS" w:eastAsia="Arial Unicode MS" w:cs="Arial Unicode MS"/>
                <w:i/>
                <w:iCs/>
                <w:color w:val="000000"/>
                <w:sz w:val="20"/>
                <w:szCs w:val="20"/>
                <w:u w:val="none"/>
              </w:rPr>
            </w:pPr>
          </w:p>
        </w:tc>
        <w:tc>
          <w:tcPr>
            <w:tcW w:w="1523" w:type="dxa"/>
            <w:tcBorders>
              <w:top w:val="single" w:color="000000" w:sz="6" w:space="0"/>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MMSE(分)</w:t>
            </w:r>
          </w:p>
        </w:tc>
        <w:tc>
          <w:tcPr>
            <w:tcW w:w="1523" w:type="dxa"/>
            <w:tcBorders>
              <w:top w:val="single" w:color="000000" w:sz="6" w:space="0"/>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MoCA(分)</w:t>
            </w:r>
          </w:p>
        </w:tc>
        <w:tc>
          <w:tcPr>
            <w:tcW w:w="1523" w:type="dxa"/>
            <w:gridSpan w:val="2"/>
            <w:tcBorders>
              <w:top w:val="single" w:color="000000" w:sz="6" w:space="0"/>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MMSE(分)</w:t>
            </w:r>
          </w:p>
        </w:tc>
        <w:tc>
          <w:tcPr>
            <w:tcW w:w="1526" w:type="dxa"/>
            <w:tcBorders>
              <w:top w:val="single" w:color="000000" w:sz="6" w:space="0"/>
              <w:bottom w:val="single" w:color="000000" w:sz="6" w:space="0"/>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MoCA(分)</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艾灸组</w:t>
            </w:r>
          </w:p>
        </w:tc>
        <w:tc>
          <w:tcPr>
            <w:tcW w:w="579" w:type="dxa"/>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31</w:t>
            </w:r>
          </w:p>
        </w:tc>
        <w:tc>
          <w:tcPr>
            <w:tcW w:w="1523" w:type="dxa"/>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25.97±1.02</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21.90±2.94</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gridSpan w:val="2"/>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29.00±1.24</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c>
          <w:tcPr>
            <w:tcW w:w="1526" w:type="dxa"/>
            <w:tcBorders>
              <w:top w:val="single" w:color="000000" w:sz="6" w:space="0"/>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26.39±2.91</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药物组</w:t>
            </w:r>
          </w:p>
        </w:tc>
        <w:tc>
          <w:tcPr>
            <w:tcW w:w="579"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20</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25.40±1.23</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21.10±3.42</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27.85±2.56</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c>
          <w:tcPr>
            <w:tcW w:w="1526"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24.85±3.53</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非穴组</w:t>
            </w:r>
          </w:p>
        </w:tc>
        <w:tc>
          <w:tcPr>
            <w:tcW w:w="579"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24</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26.13±1.08</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22.08±3.01</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1)</w:t>
            </w:r>
          </w:p>
        </w:tc>
        <w:tc>
          <w:tcPr>
            <w:tcW w:w="1523" w:type="dxa"/>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28.25±1.87</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c>
          <w:tcPr>
            <w:tcW w:w="1526"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26.08±3.05</w:t>
            </w:r>
            <w:r>
              <w:rPr>
                <w:rFonts w:hint="default" w:ascii="Arial Unicode MS" w:hAnsi="Arial Unicode MS" w:eastAsia="Arial Unicode MS" w:cs="Arial Unicode MS"/>
                <w:i w:val="0"/>
                <w:iCs w:val="0"/>
                <w:color w:val="000000"/>
                <w:kern w:val="0"/>
                <w:sz w:val="20"/>
                <w:szCs w:val="20"/>
                <w:u w:val="none"/>
                <w:vertAlign w:val="superscript"/>
                <w:lang w:val="en-US" w:eastAsia="zh-CN" w:bidi="ar"/>
              </w:rPr>
              <w:t>2)</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NC组</w:t>
            </w:r>
          </w:p>
        </w:tc>
        <w:tc>
          <w:tcPr>
            <w:tcW w:w="579"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62</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29.03±0.83</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25.16±2.98</w:t>
            </w:r>
          </w:p>
        </w:tc>
        <w:tc>
          <w:tcPr>
            <w:tcW w:w="1523" w:type="dxa"/>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29.03±0.83</w:t>
            </w:r>
          </w:p>
        </w:tc>
        <w:tc>
          <w:tcPr>
            <w:tcW w:w="1526"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25.16±2.98</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iCs/>
                <w:color w:val="000000"/>
                <w:sz w:val="20"/>
                <w:szCs w:val="20"/>
                <w:u w:val="none"/>
              </w:rPr>
            </w:pPr>
            <w:r>
              <w:rPr>
                <w:rFonts w:hint="default" w:ascii="Arial Unicode MS" w:hAnsi="Arial Unicode MS" w:eastAsia="Arial Unicode MS" w:cs="Arial Unicode MS"/>
                <w:i/>
                <w:iCs/>
                <w:color w:val="000000"/>
                <w:kern w:val="0"/>
                <w:sz w:val="20"/>
                <w:szCs w:val="20"/>
                <w:u w:val="none"/>
                <w:lang w:val="en-US" w:eastAsia="zh-CN" w:bidi="ar"/>
              </w:rPr>
              <w:t>F</w:t>
            </w:r>
            <w:r>
              <w:rPr>
                <w:rFonts w:hint="default" w:ascii="Arial Unicode MS" w:hAnsi="Arial Unicode MS" w:eastAsia="Arial Unicode MS" w:cs="Arial Unicode MS"/>
                <w:i w:val="0"/>
                <w:iCs w:val="0"/>
                <w:color w:val="000000"/>
                <w:kern w:val="0"/>
                <w:sz w:val="20"/>
                <w:szCs w:val="20"/>
                <w:u w:val="none"/>
                <w:lang w:val="en-US" w:eastAsia="zh-CN" w:bidi="ar"/>
              </w:rPr>
              <w:t>值</w:t>
            </w:r>
          </w:p>
        </w:tc>
        <w:tc>
          <w:tcPr>
            <w:tcW w:w="579" w:type="dxa"/>
            <w:tcBorders>
              <w:tl2br w:val="nil"/>
              <w:tr2bl w:val="nil"/>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105.029</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14.706</w:t>
            </w:r>
          </w:p>
        </w:tc>
        <w:tc>
          <w:tcPr>
            <w:tcW w:w="1523" w:type="dxa"/>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4.371</w:t>
            </w:r>
          </w:p>
        </w:tc>
        <w:tc>
          <w:tcPr>
            <w:tcW w:w="1526"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1.7</w:t>
            </w:r>
          </w:p>
        </w:tc>
      </w:tr>
      <w:tr>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center"/>
        </w:trPr>
        <w:tc>
          <w:tcPr>
            <w:tcW w:w="958"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iCs/>
                <w:color w:val="000000"/>
                <w:sz w:val="20"/>
                <w:szCs w:val="20"/>
                <w:u w:val="none"/>
              </w:rPr>
            </w:pPr>
            <w:r>
              <w:rPr>
                <w:rFonts w:hint="default" w:ascii="Arial Unicode MS" w:hAnsi="Arial Unicode MS" w:eastAsia="Arial Unicode MS" w:cs="Arial Unicode MS"/>
                <w:i/>
                <w:iCs/>
                <w:color w:val="000000"/>
                <w:kern w:val="0"/>
                <w:sz w:val="20"/>
                <w:szCs w:val="20"/>
                <w:u w:val="none"/>
                <w:lang w:val="en-US" w:eastAsia="zh-CN" w:bidi="ar"/>
              </w:rPr>
              <w:t>P</w:t>
            </w:r>
            <w:r>
              <w:rPr>
                <w:rFonts w:hint="default" w:ascii="Arial Unicode MS" w:hAnsi="Arial Unicode MS" w:eastAsia="Arial Unicode MS" w:cs="Arial Unicode MS"/>
                <w:i w:val="0"/>
                <w:iCs w:val="0"/>
                <w:color w:val="000000"/>
                <w:kern w:val="0"/>
                <w:sz w:val="20"/>
                <w:szCs w:val="20"/>
                <w:u w:val="none"/>
                <w:lang w:val="en-US" w:eastAsia="zh-CN" w:bidi="ar"/>
              </w:rPr>
              <w:t>值</w:t>
            </w:r>
          </w:p>
        </w:tc>
        <w:tc>
          <w:tcPr>
            <w:tcW w:w="579" w:type="dxa"/>
            <w:tcBorders>
              <w:tl2br w:val="nil"/>
              <w:tr2bl w:val="nil"/>
            </w:tcBorders>
            <w:shd w:val="clear" w:color="auto" w:fill="auto"/>
            <w:vAlign w:val="center"/>
          </w:tcPr>
          <w:p>
            <w:pPr>
              <w:jc w:val="center"/>
              <w:rPr>
                <w:rFonts w:hint="eastAsia" w:ascii="宋体" w:hAnsi="宋体" w:eastAsia="宋体" w:cs="宋体"/>
                <w:i w:val="0"/>
                <w:iCs w:val="0"/>
                <w:color w:val="000000"/>
                <w:sz w:val="22"/>
                <w:szCs w:val="22"/>
                <w:u w:val="none"/>
              </w:rPr>
            </w:pP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&lt;0.001</w:t>
            </w:r>
          </w:p>
        </w:tc>
        <w:tc>
          <w:tcPr>
            <w:tcW w:w="1523"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&lt;0.001</w:t>
            </w:r>
          </w:p>
        </w:tc>
        <w:tc>
          <w:tcPr>
            <w:tcW w:w="1523" w:type="dxa"/>
            <w:gridSpan w:val="2"/>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0.224</w:t>
            </w:r>
          </w:p>
        </w:tc>
        <w:tc>
          <w:tcPr>
            <w:tcW w:w="1526" w:type="dxa"/>
            <w:tcBorders>
              <w:tl2br w:val="nil"/>
              <w:tr2bl w:val="nil"/>
            </w:tcBorders>
            <w:shd w:val="clear" w:color="auto" w:fill="auto"/>
            <w:vAlign w:val="center"/>
          </w:tcPr>
          <w:p>
            <w:pPr>
              <w:keepNext w:val="0"/>
              <w:keepLines w:val="0"/>
              <w:widowControl/>
              <w:suppressLineNumbers w:val="0"/>
              <w:jc w:val="center"/>
              <w:textAlignment w:val="center"/>
              <w:rPr>
                <w:rFonts w:hint="default" w:ascii="Arial Unicode MS" w:hAnsi="Arial Unicode MS" w:eastAsia="Arial Unicode MS" w:cs="Arial Unicode MS"/>
                <w:i w:val="0"/>
                <w:iCs w:val="0"/>
                <w:color w:val="000000"/>
                <w:sz w:val="20"/>
                <w:szCs w:val="20"/>
                <w:u w:val="none"/>
              </w:rPr>
            </w:pPr>
            <w:r>
              <w:rPr>
                <w:rFonts w:hint="default" w:ascii="Arial Unicode MS" w:hAnsi="Arial Unicode MS" w:eastAsia="Arial Unicode MS" w:cs="Arial Unicode MS"/>
                <w:i w:val="0"/>
                <w:iCs w:val="0"/>
                <w:color w:val="000000"/>
                <w:kern w:val="0"/>
                <w:sz w:val="20"/>
                <w:szCs w:val="20"/>
                <w:u w:val="none"/>
                <w:lang w:val="en-US" w:eastAsia="zh-CN" w:bidi="ar"/>
              </w:rPr>
              <w:t>0.17</w:t>
            </w:r>
          </w:p>
        </w:tc>
      </w:tr>
    </w:tbl>
    <w:p>
      <w:pPr>
        <w:rPr>
          <w:rFonts w:hint="eastAsia"/>
          <w:lang w:eastAsia="zh-CN"/>
        </w:rPr>
      </w:pP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结果显示，艾灸组、药物组及非穴组治疗前MMSE评分、MoCA评分均明显低于正常对照组，差异有统计学意义 (P&lt;0.05)。治疗后MMSE、MoCA评分均较前升高, 与正常对照组差异无无统计学意义 (P&gt;0.05)。</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标准编制组根据上述试验结果并结合临床工作对益髓艾炷灸具体操作进行了确定并明确了3壮/穴/次，共24壮/次，时长约30min/次，隔日治疗1次，14次为一个疗程。第2、3疗程为每周2次，8次为1个疗程,共治疗30次。或隔日治疗1次，15次为一个疗程，连续两个疗程，共30次。。</w:t>
      </w:r>
    </w:p>
    <w:p>
      <w:pPr>
        <w:numPr>
          <w:ilvl w:val="0"/>
          <w:numId w:val="0"/>
        </w:numPr>
        <w:ind w:firstLine="480" w:firstLineChars="2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研究表明，艾灸通过特定温热刺激作用皮肤多重温度感受器而发挥治疗效应。温度感受效应器瞬时受体电位香草酸亚家族TRPV受体是艾灸主要传入通路的重要组成部分。其中TRPV1（热刺激激活瞬时受体电位香草酸亚型）在大于等于43℃时被激活，将热刺激信号转换为电信号，产生动作电位，并传导痛觉。《医宗金鉴·刺灸心法要诀》中：“凡灸诸病，必火足气到，始能求愈”，说明灸要“火足”才可“气至”，气至而有效。而患者在益髓艾炷灸过程中有温热感、皮肤微红，并出现灼热不适感时，这种热感可透至皮下，也就是所谓“得气”感。此时，其穴位皮肤温度大致在43℃左右，可激活TRPV1，同时使皮肤角质细胞里的辣椒素受体产生响应，促使钙离子内流，激活Р物质、神经激肽和乙酰胆碱、肾上腺素的释放。因此在本标准中规定，在艾炷灸过程中，当患者出现灼热不适感时，将艾炷移开，不可过早或过晚，否则会不能达到预期疗效或造成水泡、烫伤等不良反应。</w:t>
      </w:r>
    </w:p>
    <w:p>
      <w:pPr>
        <w:numPr>
          <w:ilvl w:val="0"/>
          <w:numId w:val="0"/>
        </w:numPr>
        <w:ind w:firstLine="480" w:firstLineChars="200"/>
        <w:rPr>
          <w:rFonts w:hint="default" w:ascii="仿宋" w:hAnsi="仿宋" w:eastAsia="仿宋" w:cs="仿宋"/>
          <w:sz w:val="24"/>
          <w:szCs w:val="24"/>
          <w:lang w:val="en-US" w:eastAsia="zh-CN"/>
        </w:rPr>
      </w:pPr>
    </w:p>
    <w:p>
      <w:pPr>
        <w:numPr>
          <w:ilvl w:val="0"/>
          <w:numId w:val="0"/>
        </w:num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六、国内外同类标准制修订情况及与法律法规、强制性标准关系</w:t>
      </w:r>
    </w:p>
    <w:p>
      <w:pPr>
        <w:spacing w:line="480" w:lineRule="exact"/>
        <w:ind w:firstLine="480" w:firstLineChars="200"/>
        <w:rPr>
          <w:rFonts w:ascii="仿宋_GB2312" w:hAnsi="宋体" w:eastAsia="仿宋_GB2312"/>
          <w:sz w:val="24"/>
          <w:szCs w:val="24"/>
          <w:lang w:val="zh-CN"/>
        </w:rPr>
      </w:pPr>
      <w:r>
        <w:rPr>
          <w:rFonts w:hint="eastAsia" w:ascii="仿宋" w:hAnsi="仿宋" w:eastAsia="仿宋" w:cs="仿宋"/>
          <w:sz w:val="24"/>
          <w:szCs w:val="24"/>
          <w:lang w:val="en-US" w:eastAsia="zh-CN"/>
        </w:rPr>
        <w:t>经查阅，目前国内外均无同类标准制修订情况，</w:t>
      </w:r>
      <w:r>
        <w:rPr>
          <w:rFonts w:hint="eastAsia" w:ascii="仿宋_GB2312" w:hAnsi="宋体" w:eastAsia="仿宋_GB2312"/>
          <w:sz w:val="24"/>
          <w:szCs w:val="24"/>
          <w:lang w:val="zh-CN"/>
        </w:rPr>
        <w:t>本标准的内容与现行的法律、法规及强制性标准无冲突，标准的编写符合GB/T 1.1-2020的要求。</w:t>
      </w:r>
    </w:p>
    <w:p>
      <w:pPr>
        <w:numPr>
          <w:ilvl w:val="0"/>
          <w:numId w:val="0"/>
        </w:num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七、重大分歧意见发处理经过和依据</w:t>
      </w:r>
    </w:p>
    <w:p>
      <w:pPr>
        <w:numPr>
          <w:ilvl w:val="0"/>
          <w:numId w:val="0"/>
        </w:numPr>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本标准在编写过程中广泛收集相关部门和标准化专家的意见与建议，并对所提出的问题即时沟通交流，并无重大意见分歧。</w:t>
      </w:r>
    </w:p>
    <w:p>
      <w:pPr>
        <w:numPr>
          <w:ilvl w:val="0"/>
          <w:numId w:val="0"/>
        </w:numPr>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八、自我承诺</w:t>
      </w:r>
    </w:p>
    <w:p>
      <w:pPr>
        <w:numPr>
          <w:ilvl w:val="0"/>
          <w:numId w:val="0"/>
        </w:numPr>
        <w:ind w:firstLine="480" w:firstLineChars="200"/>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t>本标准内容与各项指标不低于强制性标准要求。</w:t>
      </w:r>
    </w:p>
    <w:p>
      <w:pPr>
        <w:numPr>
          <w:ilvl w:val="0"/>
          <w:numId w:val="0"/>
        </w:numPr>
        <w:tabs>
          <w:tab w:val="left" w:pos="1717"/>
        </w:tabs>
        <w:rPr>
          <w:rFonts w:hint="eastAsia" w:ascii="仿宋" w:hAnsi="仿宋" w:eastAsia="仿宋" w:cs="仿宋"/>
          <w:sz w:val="24"/>
          <w:szCs w:val="24"/>
          <w:lang w:val="en-US" w:eastAsia="zh-CN"/>
        </w:rPr>
      </w:pPr>
    </w:p>
    <w:p>
      <w:pPr>
        <w:spacing w:line="480" w:lineRule="exact"/>
        <w:ind w:firstLine="480" w:firstLineChars="200"/>
        <w:jc w:val="right"/>
        <w:rPr>
          <w:rFonts w:hint="eastAsia" w:ascii="仿宋" w:hAnsi="仿宋" w:eastAsia="仿宋" w:cs="仿宋"/>
          <w:sz w:val="24"/>
          <w:szCs w:val="24"/>
          <w:lang w:val="en-US" w:eastAsia="zh-CN"/>
        </w:rPr>
      </w:pPr>
      <w:r>
        <w:rPr>
          <w:rFonts w:hint="eastAsia" w:ascii="仿宋" w:hAnsi="仿宋" w:eastAsia="仿宋" w:cs="仿宋"/>
          <w:sz w:val="24"/>
          <w:szCs w:val="24"/>
          <w:lang w:val="zh-CN" w:eastAsia="zh-CN"/>
        </w:rPr>
        <w:t>团体标准《</w:t>
      </w:r>
      <w:r>
        <w:rPr>
          <w:rFonts w:hint="eastAsia" w:ascii="仿宋" w:hAnsi="仿宋" w:eastAsia="仿宋" w:cs="仿宋"/>
          <w:sz w:val="24"/>
          <w:szCs w:val="24"/>
          <w:lang w:val="en-US" w:eastAsia="zh-CN"/>
        </w:rPr>
        <w:t>益髓艾炷灸防治轻度认知障碍</w:t>
      </w:r>
    </w:p>
    <w:p>
      <w:pPr>
        <w:spacing w:line="480" w:lineRule="exact"/>
        <w:ind w:firstLine="480" w:firstLineChars="200"/>
        <w:jc w:val="right"/>
        <w:rPr>
          <w:rFonts w:hint="eastAsia" w:ascii="仿宋" w:hAnsi="仿宋" w:eastAsia="仿宋" w:cs="仿宋"/>
          <w:sz w:val="24"/>
          <w:szCs w:val="24"/>
          <w:lang w:val="zh-CN"/>
        </w:rPr>
      </w:pPr>
      <w:r>
        <w:rPr>
          <w:rFonts w:hint="eastAsia" w:ascii="仿宋" w:hAnsi="仿宋" w:eastAsia="仿宋" w:cs="仿宋"/>
          <w:sz w:val="24"/>
          <w:szCs w:val="24"/>
          <w:lang w:val="en-US" w:eastAsia="zh-CN"/>
        </w:rPr>
        <w:t>技术规范</w:t>
      </w:r>
      <w:r>
        <w:rPr>
          <w:rFonts w:hint="eastAsia" w:ascii="仿宋_GB2312" w:hAnsi="宋体" w:eastAsia="仿宋_GB2312"/>
          <w:sz w:val="28"/>
          <w:szCs w:val="28"/>
          <w:lang w:val="zh-CN"/>
        </w:rPr>
        <w:t>》</w:t>
      </w:r>
      <w:r>
        <w:rPr>
          <w:rFonts w:hint="eastAsia" w:ascii="仿宋" w:hAnsi="仿宋" w:eastAsia="仿宋" w:cs="仿宋"/>
          <w:sz w:val="24"/>
          <w:szCs w:val="24"/>
          <w:lang w:val="zh-CN"/>
        </w:rPr>
        <w:t>标准编制小组</w:t>
      </w:r>
    </w:p>
    <w:p>
      <w:pPr>
        <w:spacing w:line="480" w:lineRule="exact"/>
        <w:ind w:firstLine="480" w:firstLineChars="200"/>
        <w:jc w:val="right"/>
        <w:rPr>
          <w:rFonts w:hint="eastAsia" w:ascii="仿宋" w:hAnsi="仿宋" w:eastAsia="仿宋" w:cs="仿宋"/>
          <w:sz w:val="24"/>
          <w:szCs w:val="24"/>
          <w:lang w:val="zh-CN"/>
        </w:rPr>
      </w:pPr>
      <w:r>
        <w:rPr>
          <w:rFonts w:hint="eastAsia" w:ascii="仿宋" w:hAnsi="仿宋" w:eastAsia="仿宋" w:cs="仿宋"/>
          <w:sz w:val="24"/>
          <w:szCs w:val="24"/>
          <w:lang w:val="zh-CN"/>
        </w:rPr>
        <w:t>2023年</w:t>
      </w:r>
      <w:r>
        <w:rPr>
          <w:rFonts w:hint="eastAsia" w:ascii="仿宋" w:hAnsi="仿宋" w:eastAsia="仿宋" w:cs="仿宋"/>
          <w:sz w:val="24"/>
          <w:szCs w:val="24"/>
          <w:lang w:val="en-US" w:eastAsia="zh-CN"/>
        </w:rPr>
        <w:t>7</w:t>
      </w:r>
      <w:r>
        <w:rPr>
          <w:rFonts w:hint="eastAsia" w:ascii="仿宋" w:hAnsi="仿宋" w:eastAsia="仿宋" w:cs="仿宋"/>
          <w:sz w:val="24"/>
          <w:szCs w:val="24"/>
          <w:lang w:val="zh-CN"/>
        </w:rPr>
        <w:t>月</w:t>
      </w:r>
      <w:r>
        <w:rPr>
          <w:rFonts w:hint="eastAsia" w:ascii="仿宋" w:hAnsi="仿宋" w:eastAsia="仿宋" w:cs="仿宋"/>
          <w:sz w:val="24"/>
          <w:szCs w:val="24"/>
          <w:lang w:val="en-US" w:eastAsia="zh-CN"/>
        </w:rPr>
        <w:t>07</w:t>
      </w:r>
      <w:r>
        <w:rPr>
          <w:rFonts w:hint="eastAsia" w:ascii="仿宋" w:hAnsi="仿宋" w:eastAsia="仿宋" w:cs="仿宋"/>
          <w:sz w:val="24"/>
          <w:szCs w:val="24"/>
          <w:lang w:val="zh-CN"/>
        </w:rPr>
        <w:t>日</w:t>
      </w:r>
    </w:p>
    <w:p>
      <w:pPr>
        <w:numPr>
          <w:ilvl w:val="0"/>
          <w:numId w:val="0"/>
        </w:numPr>
        <w:ind w:firstLine="480" w:firstLineChars="200"/>
        <w:jc w:val="right"/>
        <w:rPr>
          <w:rFonts w:hint="eastAsia" w:ascii="仿宋" w:hAnsi="仿宋" w:eastAsia="仿宋" w:cs="仿宋"/>
          <w:sz w:val="24"/>
          <w:szCs w:val="24"/>
          <w:lang w:val="en-US" w:eastAsia="zh-CN"/>
        </w:rPr>
      </w:pPr>
    </w:p>
    <w:p>
      <w:pPr>
        <w:numPr>
          <w:ilvl w:val="0"/>
          <w:numId w:val="0"/>
        </w:numPr>
        <w:ind w:firstLine="480" w:firstLineChars="200"/>
        <w:jc w:val="right"/>
        <w:rPr>
          <w:rFonts w:hint="default" w:ascii="仿宋" w:hAnsi="仿宋" w:eastAsia="仿宋" w:cs="仿宋"/>
          <w:sz w:val="24"/>
          <w:szCs w:val="24"/>
          <w:lang w:val="en-US" w:eastAsia="zh-CN"/>
        </w:rPr>
      </w:pPr>
    </w:p>
    <w:p>
      <w:pPr>
        <w:numPr>
          <w:ilvl w:val="0"/>
          <w:numId w:val="0"/>
        </w:numPr>
        <w:ind w:firstLine="480" w:firstLineChars="200"/>
        <w:rPr>
          <w:rFonts w:hint="default" w:ascii="仿宋" w:hAnsi="仿宋" w:eastAsia="仿宋" w:cs="仿宋"/>
          <w:sz w:val="24"/>
          <w:szCs w:val="24"/>
          <w:lang w:val="en-US" w:eastAsia="zh-CN"/>
        </w:rPr>
      </w:pPr>
    </w:p>
    <w:p>
      <w:pPr>
        <w:numPr>
          <w:ilvl w:val="0"/>
          <w:numId w:val="0"/>
        </w:numPr>
        <w:ind w:firstLine="480" w:firstLineChars="200"/>
        <w:rPr>
          <w:rFonts w:hint="default" w:ascii="仿宋" w:hAnsi="仿宋" w:eastAsia="仿宋" w:cs="仿宋"/>
          <w:sz w:val="24"/>
          <w:szCs w:val="24"/>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Unicode MS">
    <w:altName w:val="Arial"/>
    <w:panose1 w:val="00000000000000000000"/>
    <w:charset w:val="00"/>
    <w:family w:val="auto"/>
    <w:pitch w:val="default"/>
    <w:sig w:usb0="00000000" w:usb1="00000000" w:usb2="00000000" w:usb3="00000000" w:csb0="00000000" w:csb1="00000000"/>
  </w:font>
  <w:font w:name="方正小标宋简体">
    <w:altName w:val="黑体"/>
    <w:panose1 w:val="03000509000000000000"/>
    <w:charset w:val="86"/>
    <w:family w:val="script"/>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Math">
    <w:panose1 w:val="02040503050406030204"/>
    <w:charset w:val="00"/>
    <w:family w:val="auto"/>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CA0848"/>
    <w:multiLevelType w:val="singleLevel"/>
    <w:tmpl w:val="ACCA0848"/>
    <w:lvl w:ilvl="0" w:tentative="0">
      <w:start w:val="2"/>
      <w:numFmt w:val="chineseCounting"/>
      <w:suff w:val="nothing"/>
      <w:lvlText w:val="（%1）"/>
      <w:lvlJc w:val="left"/>
      <w:rPr>
        <w:rFonts w:hint="eastAsia"/>
      </w:rPr>
    </w:lvl>
  </w:abstractNum>
  <w:abstractNum w:abstractNumId="1">
    <w:nsid w:val="62E46272"/>
    <w:multiLevelType w:val="singleLevel"/>
    <w:tmpl w:val="62E46272"/>
    <w:lvl w:ilvl="0" w:tentative="0">
      <w:start w:val="1"/>
      <w:numFmt w:val="chineseCounting"/>
      <w:suff w:val="nothing"/>
      <w:lvlText w:val="%1、"/>
      <w:lvlJc w:val="left"/>
      <w:rPr>
        <w:rFonts w:hint="eastAsia"/>
      </w:rPr>
    </w:lvl>
  </w:abstractNum>
  <w:abstractNum w:abstractNumId="2">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0"/>
      <w:suff w:val="nothing"/>
      <w:lvlText w:val="%1%2　"/>
      <w:lvlJc w:val="left"/>
      <w:pPr>
        <w:ind w:left="0" w:firstLine="0"/>
      </w:pPr>
      <w:rPr>
        <w:rFonts w:hint="eastAsia" w:ascii="黑体" w:eastAsia="黑体"/>
        <w:b w:val="0"/>
        <w:i w:val="0"/>
        <w:sz w:val="21"/>
      </w:rPr>
    </w:lvl>
    <w:lvl w:ilvl="2" w:tentative="0">
      <w:start w:val="1"/>
      <w:numFmt w:val="decimal"/>
      <w:pStyle w:val="9"/>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426"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c2ZGZiNzZiNDVlOGViOWVmM2JhOTY0NGJkNjUyYzgifQ=="/>
  </w:docVars>
  <w:rsids>
    <w:rsidRoot w:val="00000000"/>
    <w:rsid w:val="10CA5339"/>
    <w:rsid w:val="19C30444"/>
    <w:rsid w:val="20232D1B"/>
    <w:rsid w:val="2A982862"/>
    <w:rsid w:val="373A4CC3"/>
    <w:rsid w:val="39D519B5"/>
    <w:rsid w:val="40D9639A"/>
    <w:rsid w:val="579A6FAE"/>
    <w:rsid w:val="58F22BF3"/>
    <w:rsid w:val="765222BA"/>
    <w:rsid w:val="7A4A71CA"/>
    <w:rsid w:val="7ACC399E"/>
    <w:rsid w:val="7B8277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after="330" w:afterLines="0" w:line="576" w:lineRule="auto"/>
      <w:outlineLvl w:val="0"/>
    </w:pPr>
    <w:rPr>
      <w:b/>
      <w:bCs/>
      <w:kern w:val="44"/>
      <w:sz w:val="44"/>
      <w:szCs w:val="44"/>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caption"/>
    <w:basedOn w:val="1"/>
    <w:next w:val="1"/>
    <w:semiHidden/>
    <w:unhideWhenUsed/>
    <w:qFormat/>
    <w:uiPriority w:val="0"/>
    <w:rPr>
      <w:rFonts w:ascii="Arial" w:hAnsi="Arial" w:eastAsia="黑体"/>
      <w:sz w:val="20"/>
    </w:rPr>
  </w:style>
  <w:style w:type="paragraph" w:styleId="4">
    <w:name w:val="footer"/>
    <w:basedOn w:val="1"/>
    <w:qFormat/>
    <w:uiPriority w:val="99"/>
    <w:pPr>
      <w:tabs>
        <w:tab w:val="center" w:pos="4153"/>
        <w:tab w:val="right" w:pos="8306"/>
      </w:tabs>
      <w:snapToGrid w:val="0"/>
      <w:jc w:val="left"/>
    </w:pPr>
    <w:rPr>
      <w:sz w:val="18"/>
      <w:szCs w:val="18"/>
    </w:rPr>
  </w:style>
  <w:style w:type="paragraph" w:customStyle="1" w:styleId="7">
    <w:name w:val="段"/>
    <w:qFormat/>
    <w:uiPriority w:val="0"/>
    <w:pPr>
      <w:autoSpaceDE w:val="0"/>
      <w:autoSpaceDN w:val="0"/>
      <w:ind w:firstLine="200" w:firstLineChars="200"/>
      <w:jc w:val="both"/>
    </w:pPr>
    <w:rPr>
      <w:rFonts w:ascii="宋体" w:hAnsi="Calibri" w:eastAsia="宋体" w:cs="Times New Roman"/>
      <w:sz w:val="21"/>
      <w:lang w:val="en-US" w:eastAsia="zh-CN" w:bidi="ar-SA"/>
    </w:rPr>
  </w:style>
  <w:style w:type="paragraph" w:customStyle="1" w:styleId="8">
    <w:name w:val="标准文件_一级无标题"/>
    <w:basedOn w:val="9"/>
    <w:qFormat/>
    <w:uiPriority w:val="0"/>
    <w:pPr>
      <w:spacing w:before="0" w:beforeLines="0" w:after="0" w:afterLines="0"/>
      <w:outlineLvl w:val="9"/>
    </w:pPr>
    <w:rPr>
      <w:rFonts w:ascii="宋体" w:eastAsia="宋体"/>
    </w:rPr>
  </w:style>
  <w:style w:type="paragraph" w:customStyle="1" w:styleId="9">
    <w:name w:val="标准文件_一级条标题"/>
    <w:basedOn w:val="10"/>
    <w:next w:val="11"/>
    <w:qFormat/>
    <w:uiPriority w:val="0"/>
    <w:pPr>
      <w:numPr>
        <w:ilvl w:val="2"/>
      </w:numPr>
      <w:spacing w:before="50" w:beforeLines="50" w:after="50" w:afterLines="50"/>
      <w:outlineLvl w:val="1"/>
    </w:pPr>
  </w:style>
  <w:style w:type="paragraph" w:customStyle="1" w:styleId="10">
    <w:name w:val="标准文件_章标题"/>
    <w:next w:val="11"/>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1">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12">
    <w:name w:val="font31"/>
    <w:basedOn w:val="6"/>
    <w:uiPriority w:val="0"/>
    <w:rPr>
      <w:rFonts w:hint="default" w:ascii="Arial Unicode MS" w:hAnsi="Arial Unicode MS" w:eastAsia="Arial Unicode MS" w:cs="Arial Unicode MS"/>
      <w:color w:val="000000"/>
      <w:sz w:val="20"/>
      <w:szCs w:val="20"/>
      <w:u w:val="none"/>
      <w:vertAlign w:val="superscript"/>
    </w:rPr>
  </w:style>
  <w:style w:type="character" w:customStyle="1" w:styleId="13">
    <w:name w:val="font11"/>
    <w:basedOn w:val="6"/>
    <w:uiPriority w:val="0"/>
    <w:rPr>
      <w:rFonts w:hint="default" w:ascii="Arial Unicode MS" w:hAnsi="Arial Unicode MS" w:eastAsia="Arial Unicode MS" w:cs="Arial Unicode MS"/>
      <w:color w:val="000000"/>
      <w:sz w:val="20"/>
      <w:szCs w:val="20"/>
      <w:u w:val="none"/>
    </w:rPr>
  </w:style>
  <w:style w:type="paragraph" w:customStyle="1" w:styleId="14">
    <w:name w:val="BodyText2"/>
    <w:qFormat/>
    <w:uiPriority w:val="0"/>
    <w:pPr>
      <w:widowControl w:val="0"/>
      <w:spacing w:after="120" w:line="480" w:lineRule="auto"/>
      <w:jc w:val="both"/>
      <w:textAlignment w:val="baseline"/>
    </w:pPr>
    <w:rPr>
      <w:rFonts w:ascii="Calibri" w:hAnsi="Calibri" w:eastAsia="宋体" w:cs="Times New Roman"/>
      <w:kern w:val="2"/>
      <w:sz w:val="32"/>
      <w:szCs w:val="32"/>
      <w:lang w:val="en-US" w:eastAsia="zh-CN" w:bidi="ar-SA"/>
    </w:rPr>
  </w:style>
  <w:style w:type="table" w:customStyle="1" w:styleId="15">
    <w:name w:val="Plain Table 2"/>
    <w:basedOn w:val="5"/>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2393</Words>
  <Characters>2553</Characters>
  <Lines>0</Lines>
  <Paragraphs>0</Paragraphs>
  <TotalTime>3</TotalTime>
  <ScaleCrop>false</ScaleCrop>
  <LinksUpToDate>false</LinksUpToDate>
  <CharactersWithSpaces>2553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2023-06-03T08:27:00Z</dcterms:created>
  <dc:creator>yellow</dc:creator>
  <cp:lastModifiedBy>枏</cp:lastModifiedBy>
  <dcterms:modified xsi:type="dcterms:W3CDTF">2023-07-20T13:54:22Z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5FA8FE07A42A455988A702C69DCC8D78_13</vt:lpwstr>
  </property>
</Properties>
</file>