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bookmarkStart w:id="44" w:name="_GoBack"/>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71.040</w:t>
            </w:r>
            <w:r>
              <w:rPr>
                <w:rFonts w:ascii="黑体" w:hAnsi="黑体" w:eastAsia="黑体"/>
                <w:sz w:val="21"/>
                <w:szCs w:val="21"/>
              </w:rPr>
              <w:fldChar w:fldCharType="end"/>
            </w:r>
            <w:bookmarkEnd w:id="0"/>
            <w:bookmarkEnd w:id="44"/>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 53</w:t>
            </w:r>
            <w:r>
              <w:rPr>
                <w:rFonts w:ascii="黑体" w:hAnsi="黑体" w:eastAsia="黑体"/>
                <w:sz w:val="21"/>
                <w:szCs w:val="21"/>
              </w:rPr>
              <w:fldChar w:fldCharType="end"/>
            </w:r>
            <w:bookmarkEnd w:id="2"/>
          </w:p>
        </w:tc>
      </w:tr>
    </w:tbl>
    <w:p>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5"/>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pPr>
        <w:pStyle w:val="196"/>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复用餐（饮）具表面阴离子合成洗涤剂的快速检测方法</w:t>
      </w:r>
      <w:r>
        <w:fldChar w:fldCharType="end"/>
      </w:r>
      <w:bookmarkEnd w:id="8"/>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ascii="黑体" w:hAnsi="黑体" w:eastAsia="黑体"/>
          <w:szCs w:val="28"/>
        </w:rPr>
        <w:t>Rapid detection method for anionic synthetic detergents on the surface of reusable tableware</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pPr>
        <w:pStyle w:val="89"/>
        <w:spacing w:before="900" w:after="360"/>
      </w:pPr>
      <w:bookmarkStart w:id="20" w:name="BookMark2"/>
      <w:r>
        <w:rPr>
          <w:spacing w:val="320"/>
        </w:rPr>
        <w:t>前</w:t>
      </w:r>
      <w:r>
        <w:t>言</w:t>
      </w:r>
    </w:p>
    <w:p>
      <w:pPr>
        <w:pStyle w:val="56"/>
        <w:ind w:firstLine="420"/>
      </w:pPr>
      <w:r>
        <w:rPr>
          <w:rFonts w:hint="eastAsia"/>
        </w:rPr>
        <w:t>本文件参照GB/T 1.1—2020《标准化工作导则  第1部分：标准化文件的结构和起草规则》的规定起草。</w:t>
      </w:r>
    </w:p>
    <w:p>
      <w:pPr>
        <w:pStyle w:val="56"/>
        <w:ind w:firstLine="420"/>
      </w:pPr>
      <w:r>
        <w:rPr>
          <w:rFonts w:hint="eastAsia"/>
        </w:rPr>
        <w:t>本文件由广西-东盟食品检验检测中心提出。</w:t>
      </w:r>
    </w:p>
    <w:p>
      <w:pPr>
        <w:pStyle w:val="56"/>
        <w:ind w:firstLine="420"/>
      </w:pPr>
      <w:r>
        <w:rPr>
          <w:rFonts w:hint="eastAsia"/>
        </w:rPr>
        <w:t>本文件由广西标准化协会归口。</w:t>
      </w:r>
    </w:p>
    <w:p>
      <w:pPr>
        <w:pStyle w:val="56"/>
        <w:ind w:firstLine="420"/>
      </w:pPr>
      <w:r>
        <w:rPr>
          <w:rFonts w:hint="eastAsia"/>
        </w:rPr>
        <w:t>本文件起草单位：广西-东盟食品检验检测中心、山东美正生物科技有限公司、广西民生中检联检测有限公司、广西烹饪餐饮行业协会。</w:t>
      </w:r>
    </w:p>
    <w:p>
      <w:pPr>
        <w:pStyle w:val="56"/>
        <w:ind w:firstLine="420"/>
      </w:pPr>
      <w:r>
        <w:rPr>
          <w:rFonts w:hint="eastAsia"/>
        </w:rPr>
        <w:t>本文件主要起草人：陈小聪、李锐、邓玉秀、周嵩煜、戴向东、黄海霞、王海波、谢庆剑、韦兰青、周滨翰、冯婷、黄群芳、高君、王滢、黄海军、吴东栋、陆柔、江秋霞、韦春梦、杨尚超。</w:t>
      </w:r>
    </w:p>
    <w:p>
      <w:pPr>
        <w:pStyle w:val="56"/>
        <w:ind w:firstLine="420"/>
      </w:pPr>
    </w:p>
    <w:p>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F82D104E35F24A468C53184833DE63AB"/>
        </w:placeholder>
      </w:sdtPr>
      <w:sdtContent>
        <w:p>
          <w:pPr>
            <w:pStyle w:val="177"/>
            <w:spacing w:beforeLines="1" w:afterLines="220"/>
          </w:pPr>
          <w:bookmarkStart w:id="22" w:name="NEW_STAND_NAME"/>
          <w:r>
            <w:rPr>
              <w:rFonts w:hint="eastAsia"/>
            </w:rPr>
            <w:t>复用餐（饮）具表面阴离子合成洗涤剂的快速检测方法</w:t>
          </w:r>
        </w:p>
      </w:sdtContent>
    </w:sdt>
    <w:bookmarkEnd w:id="22"/>
    <w:p>
      <w:pPr>
        <w:pStyle w:val="104"/>
        <w:spacing w:before="240" w:after="240"/>
      </w:pPr>
      <w:bookmarkStart w:id="23" w:name="_Toc26718930"/>
      <w:bookmarkStart w:id="24" w:name="_Toc17233333"/>
      <w:bookmarkStart w:id="25" w:name="_Toc26648465"/>
      <w:bookmarkStart w:id="26" w:name="_Toc24884211"/>
      <w:bookmarkStart w:id="27" w:name="_Toc17233325"/>
      <w:bookmarkStart w:id="28" w:name="_Toc26986530"/>
      <w:bookmarkStart w:id="29" w:name="_Toc24884218"/>
      <w:bookmarkStart w:id="30" w:name="_Toc26986771"/>
      <w:bookmarkStart w:id="31" w:name="_Toc97192964"/>
      <w:r>
        <w:rPr>
          <w:rFonts w:hint="eastAsia"/>
        </w:rPr>
        <w:t>范围</w:t>
      </w:r>
      <w:bookmarkEnd w:id="23"/>
      <w:bookmarkEnd w:id="24"/>
      <w:bookmarkEnd w:id="25"/>
      <w:bookmarkEnd w:id="26"/>
      <w:bookmarkEnd w:id="27"/>
      <w:bookmarkEnd w:id="28"/>
      <w:bookmarkEnd w:id="29"/>
      <w:bookmarkEnd w:id="30"/>
      <w:bookmarkEnd w:id="31"/>
    </w:p>
    <w:p>
      <w:pPr>
        <w:pStyle w:val="56"/>
        <w:ind w:firstLine="420"/>
      </w:pPr>
      <w:bookmarkStart w:id="32" w:name="_Toc17233334"/>
      <w:bookmarkStart w:id="33" w:name="_Toc17233326"/>
      <w:bookmarkStart w:id="34" w:name="_Toc24884212"/>
      <w:bookmarkStart w:id="35" w:name="_Toc26648466"/>
      <w:bookmarkStart w:id="36" w:name="_Toc24884219"/>
      <w:r>
        <w:rPr>
          <w:rFonts w:hint="eastAsia"/>
        </w:rPr>
        <w:t>本文件规定了复用餐（饮）具表面阴离子合成洗涤剂的快速检测方法。</w:t>
      </w:r>
    </w:p>
    <w:p>
      <w:pPr>
        <w:pStyle w:val="56"/>
        <w:ind w:firstLine="420"/>
      </w:pPr>
      <w:r>
        <w:rPr>
          <w:rFonts w:hint="eastAsia"/>
        </w:rPr>
        <w:t>本文件适用于复用餐（饮）具表面阴离子合成洗涤剂的快速定性测定。</w:t>
      </w:r>
    </w:p>
    <w:p>
      <w:pPr>
        <w:pStyle w:val="104"/>
        <w:spacing w:before="240" w:after="240"/>
      </w:pPr>
      <w:bookmarkStart w:id="37" w:name="_Toc26986531"/>
      <w:bookmarkStart w:id="38" w:name="_Toc267189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C7C8F293BE734A52881C47DAEBA52F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5750.4  生活饮用水标准检验方法 感官性状和物理指标</w:t>
      </w:r>
    </w:p>
    <w:p>
      <w:pPr>
        <w:pStyle w:val="56"/>
        <w:ind w:firstLine="420"/>
      </w:pPr>
      <w:r>
        <w:rPr>
          <w:rFonts w:hint="eastAsia"/>
        </w:rPr>
        <w:t xml:space="preserve">GB/T 6682  </w:t>
      </w:r>
      <w:r>
        <w:t>分析实验室用水规格和试验方法</w:t>
      </w:r>
    </w:p>
    <w:p>
      <w:pPr>
        <w:pStyle w:val="56"/>
        <w:ind w:firstLine="420"/>
      </w:pPr>
      <w:r>
        <w:rPr>
          <w:rFonts w:hint="eastAsia"/>
        </w:rPr>
        <w:t>GB 14934  食品安全国家标准 消毒餐（饮）具</w:t>
      </w:r>
    </w:p>
    <w:p>
      <w:pPr>
        <w:pStyle w:val="104"/>
        <w:spacing w:before="240" w:after="240"/>
      </w:pPr>
      <w:bookmarkStart w:id="41" w:name="_Toc97192966"/>
      <w:r>
        <w:rPr>
          <w:rFonts w:hint="eastAsia"/>
          <w:szCs w:val="21"/>
        </w:rPr>
        <w:t>原理</w:t>
      </w:r>
      <w:bookmarkEnd w:id="41"/>
    </w:p>
    <w:sdt>
      <w:sdtPr>
        <w:id w:val="-1909835108"/>
        <w:placeholder>
          <w:docPart w:val="BB026270EB9845538BB177EFD224499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2" w:name="_Toc26986532"/>
          <w:bookmarkEnd w:id="42"/>
          <w:r>
            <w:rPr>
              <w:rFonts w:hint="eastAsia"/>
            </w:rPr>
            <w:t>餐（饮）具表面残留的阴离子合成洗涤剂与亚甲基蓝发生反应生成蓝色络合物，该络合物可被三氯甲烷萃取。通过与阴离子合成洗涤剂对照液或比色卡比较，对餐（饮）具表面阴离子合成洗涤剂残留量进行判定。</w:t>
          </w:r>
        </w:p>
      </w:sdtContent>
    </w:sdt>
    <w:p>
      <w:pPr>
        <w:pStyle w:val="104"/>
        <w:spacing w:before="240" w:after="240"/>
      </w:pPr>
      <w:r>
        <w:rPr>
          <w:rFonts w:hint="eastAsia"/>
        </w:rPr>
        <w:t>试剂与材料</w:t>
      </w:r>
    </w:p>
    <w:p>
      <w:pPr>
        <w:pStyle w:val="56"/>
        <w:ind w:firstLine="420"/>
      </w:pPr>
      <w:r>
        <w:rPr>
          <w:rFonts w:hint="eastAsia"/>
        </w:rPr>
        <w:t>除另有规定外，本方法所用试剂均为分析纯，实验用水为GB/T 6682规定的三级水。</w:t>
      </w:r>
    </w:p>
    <w:p>
      <w:pPr>
        <w:pStyle w:val="105"/>
        <w:spacing w:before="120" w:after="120"/>
      </w:pPr>
      <w:r>
        <w:rPr>
          <w:rFonts w:hint="eastAsia"/>
        </w:rPr>
        <w:t>试剂</w:t>
      </w:r>
    </w:p>
    <w:p>
      <w:pPr>
        <w:pStyle w:val="65"/>
        <w:spacing w:before="120" w:after="120"/>
        <w:rPr>
          <w:rFonts w:ascii="宋体" w:eastAsia="宋体"/>
        </w:rPr>
      </w:pPr>
      <w:r>
        <w:rPr>
          <w:rFonts w:hint="eastAsia" w:ascii="宋体" w:eastAsia="宋体"/>
        </w:rPr>
        <w:t>亚甲基蓝</w:t>
      </w:r>
    </w:p>
    <w:p>
      <w:pPr>
        <w:pStyle w:val="65"/>
        <w:spacing w:before="120" w:after="120"/>
        <w:rPr>
          <w:rFonts w:ascii="宋体" w:eastAsia="宋体"/>
        </w:rPr>
      </w:pPr>
      <w:r>
        <w:rPr>
          <w:rFonts w:hint="eastAsia" w:ascii="宋体" w:eastAsia="宋体"/>
        </w:rPr>
        <w:t>三氯甲烷</w:t>
      </w:r>
    </w:p>
    <w:p>
      <w:pPr>
        <w:pStyle w:val="105"/>
        <w:spacing w:before="120" w:after="120"/>
      </w:pPr>
      <w:r>
        <w:rPr>
          <w:rFonts w:hint="eastAsia"/>
        </w:rPr>
        <w:t>试剂配制</w:t>
      </w:r>
    </w:p>
    <w:p>
      <w:pPr>
        <w:pStyle w:val="56"/>
        <w:ind w:firstLine="420"/>
      </w:pPr>
      <w:r>
        <w:rPr>
          <w:rFonts w:hint="eastAsia"/>
        </w:rPr>
        <w:t>亚甲基蓝溶液：称取0.2 g亚甲基蓝，溶于100 mL水中。</w:t>
      </w:r>
    </w:p>
    <w:p>
      <w:pPr>
        <w:pStyle w:val="105"/>
        <w:spacing w:before="120" w:after="120"/>
      </w:pPr>
      <w:r>
        <w:rPr>
          <w:rFonts w:hint="eastAsia"/>
        </w:rPr>
        <w:t>标准品</w:t>
      </w:r>
    </w:p>
    <w:p>
      <w:pPr>
        <w:pStyle w:val="56"/>
        <w:ind w:firstLine="420"/>
      </w:pPr>
      <w:r>
        <w:rPr>
          <w:rFonts w:hint="eastAsia"/>
        </w:rPr>
        <w:t>十二烷基苯磺酸钠参考物质中文名称、英文名称、CAS登录号、分子式、相对分子质量见表1，纯度≥99%。</w:t>
      </w:r>
    </w:p>
    <w:p>
      <w:pPr>
        <w:pStyle w:val="112"/>
        <w:spacing w:before="120" w:after="120"/>
      </w:pPr>
      <w:r>
        <w:rPr>
          <w:rFonts w:hint="eastAsia"/>
        </w:rPr>
        <w:t>十二烷基苯磺酸钠中文名称、英文名称、CAS登录号、分子式、相对分子质量</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60"/>
        <w:gridCol w:w="1880"/>
        <w:gridCol w:w="1882"/>
        <w:gridCol w:w="1878"/>
        <w:gridCol w:w="187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14" w:type="dxa"/>
            <w:tcBorders>
              <w:top w:val="single" w:color="auto" w:sz="8" w:space="0"/>
              <w:bottom w:val="single" w:color="auto" w:sz="8" w:space="0"/>
            </w:tcBorders>
            <w:shd w:val="clear" w:color="auto" w:fill="auto"/>
            <w:vAlign w:val="center"/>
          </w:tcPr>
          <w:p>
            <w:pPr>
              <w:pStyle w:val="178"/>
            </w:pPr>
            <w:r>
              <w:t>中文名称</w:t>
            </w:r>
          </w:p>
        </w:tc>
        <w:tc>
          <w:tcPr>
            <w:tcW w:w="1914" w:type="dxa"/>
            <w:tcBorders>
              <w:top w:val="single" w:color="auto" w:sz="8" w:space="0"/>
              <w:bottom w:val="single" w:color="auto" w:sz="8" w:space="0"/>
            </w:tcBorders>
            <w:shd w:val="clear" w:color="auto" w:fill="auto"/>
            <w:vAlign w:val="center"/>
          </w:tcPr>
          <w:p>
            <w:pPr>
              <w:pStyle w:val="178"/>
            </w:pPr>
            <w:r>
              <w:t>英文名称</w:t>
            </w:r>
          </w:p>
        </w:tc>
        <w:tc>
          <w:tcPr>
            <w:tcW w:w="1914" w:type="dxa"/>
            <w:tcBorders>
              <w:top w:val="single" w:color="auto" w:sz="8" w:space="0"/>
              <w:bottom w:val="single" w:color="auto" w:sz="8" w:space="0"/>
            </w:tcBorders>
            <w:shd w:val="clear" w:color="auto" w:fill="auto"/>
            <w:vAlign w:val="center"/>
          </w:tcPr>
          <w:p>
            <w:pPr>
              <w:pStyle w:val="178"/>
            </w:pPr>
            <w:r>
              <w:t>CAS登录号</w:t>
            </w:r>
          </w:p>
        </w:tc>
        <w:tc>
          <w:tcPr>
            <w:tcW w:w="1914" w:type="dxa"/>
            <w:tcBorders>
              <w:top w:val="single" w:color="auto" w:sz="8" w:space="0"/>
              <w:bottom w:val="single" w:color="auto" w:sz="8" w:space="0"/>
            </w:tcBorders>
            <w:shd w:val="clear" w:color="auto" w:fill="auto"/>
            <w:vAlign w:val="center"/>
          </w:tcPr>
          <w:p>
            <w:pPr>
              <w:pStyle w:val="178"/>
            </w:pPr>
            <w:r>
              <w:t>分子式</w:t>
            </w:r>
          </w:p>
        </w:tc>
        <w:tc>
          <w:tcPr>
            <w:tcW w:w="1914" w:type="dxa"/>
            <w:tcBorders>
              <w:top w:val="single" w:color="auto" w:sz="8" w:space="0"/>
              <w:bottom w:val="single" w:color="auto" w:sz="8" w:space="0"/>
            </w:tcBorders>
            <w:shd w:val="clear" w:color="auto" w:fill="auto"/>
            <w:vAlign w:val="center"/>
          </w:tcPr>
          <w:p>
            <w:pPr>
              <w:pStyle w:val="178"/>
            </w:pPr>
            <w:r>
              <w:t>相对分子质量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14" w:type="dxa"/>
            <w:tcBorders>
              <w:top w:val="single" w:color="auto" w:sz="8" w:space="0"/>
            </w:tcBorders>
            <w:shd w:val="clear" w:color="auto" w:fill="auto"/>
            <w:vAlign w:val="center"/>
          </w:tcPr>
          <w:p>
            <w:pPr>
              <w:pStyle w:val="178"/>
            </w:pPr>
            <w:r>
              <w:rPr>
                <w:rFonts w:hint="eastAsia"/>
              </w:rPr>
              <w:t>十二烷基苯磺酸钠</w:t>
            </w:r>
          </w:p>
        </w:tc>
        <w:tc>
          <w:tcPr>
            <w:tcW w:w="1914" w:type="dxa"/>
            <w:tcBorders>
              <w:top w:val="single" w:color="auto" w:sz="8" w:space="0"/>
            </w:tcBorders>
            <w:shd w:val="clear" w:color="auto" w:fill="auto"/>
            <w:vAlign w:val="center"/>
          </w:tcPr>
          <w:p>
            <w:pPr>
              <w:pStyle w:val="178"/>
            </w:pPr>
            <w:r>
              <w:rPr>
                <w:rFonts w:hint="eastAsia"/>
              </w:rPr>
              <w:t>sodium dodecyl benzene sulfonate</w:t>
            </w:r>
          </w:p>
        </w:tc>
        <w:tc>
          <w:tcPr>
            <w:tcW w:w="1914" w:type="dxa"/>
            <w:tcBorders>
              <w:top w:val="single" w:color="auto" w:sz="8" w:space="0"/>
            </w:tcBorders>
            <w:shd w:val="clear" w:color="auto" w:fill="auto"/>
            <w:vAlign w:val="center"/>
          </w:tcPr>
          <w:p>
            <w:pPr>
              <w:pStyle w:val="178"/>
            </w:pPr>
            <w:r>
              <w:rPr>
                <w:rFonts w:hint="eastAsia"/>
              </w:rPr>
              <w:t>25155-30-0</w:t>
            </w:r>
          </w:p>
        </w:tc>
        <w:tc>
          <w:tcPr>
            <w:tcW w:w="1914" w:type="dxa"/>
            <w:tcBorders>
              <w:top w:val="single" w:color="auto" w:sz="8" w:space="0"/>
            </w:tcBorders>
            <w:shd w:val="clear" w:color="auto" w:fill="auto"/>
            <w:vAlign w:val="center"/>
          </w:tcPr>
          <w:p>
            <w:pPr>
              <w:pStyle w:val="178"/>
            </w:pPr>
            <w:r>
              <w:rPr>
                <w:rFonts w:hint="eastAsia"/>
              </w:rPr>
              <w:t>C</w:t>
            </w:r>
            <w:r>
              <w:rPr>
                <w:vertAlign w:val="subscript"/>
              </w:rPr>
              <w:t>18</w:t>
            </w:r>
            <w:r>
              <w:t>H</w:t>
            </w:r>
            <w:r>
              <w:rPr>
                <w:vertAlign w:val="subscript"/>
              </w:rPr>
              <w:t>29</w:t>
            </w:r>
            <w:r>
              <w:t>NaO</w:t>
            </w:r>
            <w:r>
              <w:rPr>
                <w:vertAlign w:val="subscript"/>
              </w:rPr>
              <w:t>3</w:t>
            </w:r>
            <w:r>
              <w:t>S</w:t>
            </w:r>
          </w:p>
        </w:tc>
        <w:tc>
          <w:tcPr>
            <w:tcW w:w="1914" w:type="dxa"/>
            <w:tcBorders>
              <w:top w:val="single" w:color="auto" w:sz="8" w:space="0"/>
            </w:tcBorders>
            <w:shd w:val="clear" w:color="auto" w:fill="auto"/>
            <w:vAlign w:val="center"/>
          </w:tcPr>
          <w:p>
            <w:pPr>
              <w:pStyle w:val="178"/>
            </w:pPr>
            <w:r>
              <w:rPr>
                <w:rFonts w:hint="eastAsia"/>
              </w:rPr>
              <w:t>348.476</w:t>
            </w:r>
          </w:p>
        </w:tc>
      </w:tr>
    </w:tbl>
    <w:p>
      <w:pPr>
        <w:pStyle w:val="105"/>
        <w:spacing w:before="120" w:after="120"/>
      </w:pPr>
      <w:r>
        <w:rPr>
          <w:rFonts w:hint="eastAsia"/>
        </w:rPr>
        <w:t>标准溶液的配制</w:t>
      </w:r>
    </w:p>
    <w:p>
      <w:pPr>
        <w:pStyle w:val="56"/>
        <w:ind w:firstLine="420"/>
      </w:pPr>
      <w:r>
        <w:rPr>
          <w:rFonts w:hint="eastAsia"/>
        </w:rPr>
        <w:t>十二烷基苯磺酸钠标准储备液（1 g/L）：称取0.1 g（精确至0.000 1 g）十二烷基苯磺酸钠参考物质于100 mL容量瓶中，用水稀释至刻度，混匀。</w:t>
      </w:r>
    </w:p>
    <w:p>
      <w:pPr>
        <w:pStyle w:val="56"/>
        <w:ind w:firstLine="420"/>
      </w:pPr>
      <w:r>
        <w:rPr>
          <w:rFonts w:hint="eastAsia"/>
        </w:rPr>
        <w:t>十二烷基苯磺酸钠标准工作液（10 mg/L）：精密量取十二烷基苯磺酸钠标准储备液（1 g/L）1 mL，置于100 mL容量瓶，用水稀释至刻度，混匀。</w:t>
      </w:r>
    </w:p>
    <w:p>
      <w:pPr>
        <w:pStyle w:val="56"/>
        <w:ind w:firstLine="420"/>
      </w:pPr>
      <w:r>
        <w:rPr>
          <w:rFonts w:hint="eastAsia"/>
        </w:rPr>
        <w:t>精密量取对应体积（参见表2）的十二烷基苯磺酸钠标准工作液（10 mg/L），置于100 mL容量瓶中，用水稀释至刻度，混匀。吸取上述溶液47 mL，置于50 mL离心管中，同7.2.1操作，制得十二烷基苯磺酸钠对照液，可将不同浓度的对照液所显颜色制成比色卡。</w:t>
      </w:r>
    </w:p>
    <w:p>
      <w:pPr>
        <w:pStyle w:val="112"/>
        <w:spacing w:before="120" w:after="120"/>
      </w:pPr>
      <w:r>
        <w:rPr>
          <w:rFonts w:hint="eastAsia"/>
        </w:rPr>
        <w:t>标准溶液量取体积表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91"/>
        <w:gridCol w:w="4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91" w:type="dxa"/>
            <w:tcBorders>
              <w:top w:val="single" w:color="auto" w:sz="8" w:space="0"/>
              <w:bottom w:val="single" w:color="auto" w:sz="8" w:space="0"/>
            </w:tcBorders>
            <w:shd w:val="clear" w:color="auto" w:fill="auto"/>
            <w:vAlign w:val="center"/>
          </w:tcPr>
          <w:p>
            <w:pPr>
              <w:pStyle w:val="178"/>
            </w:pPr>
            <w:r>
              <w:rPr>
                <w:rFonts w:hint="eastAsia"/>
              </w:rPr>
              <w:t>对照液浓度（mg/L）</w:t>
            </w:r>
          </w:p>
        </w:tc>
        <w:tc>
          <w:tcPr>
            <w:tcW w:w="4683" w:type="dxa"/>
            <w:tcBorders>
              <w:top w:val="single" w:color="auto" w:sz="8" w:space="0"/>
              <w:bottom w:val="single" w:color="auto" w:sz="8" w:space="0"/>
            </w:tcBorders>
            <w:shd w:val="clear" w:color="auto" w:fill="auto"/>
            <w:vAlign w:val="center"/>
          </w:tcPr>
          <w:p>
            <w:pPr>
              <w:pStyle w:val="178"/>
            </w:pPr>
            <w:r>
              <w:rPr>
                <w:rFonts w:hint="eastAsia"/>
              </w:rPr>
              <w:t>十二烷基苯磺酸钠工作液</w:t>
            </w:r>
            <w:r>
              <w:t>吸取体积(mL)</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91" w:type="dxa"/>
            <w:tcBorders>
              <w:top w:val="single" w:color="auto" w:sz="8" w:space="0"/>
            </w:tcBorders>
            <w:shd w:val="clear" w:color="auto" w:fill="auto"/>
            <w:vAlign w:val="center"/>
          </w:tcPr>
          <w:p>
            <w:pPr>
              <w:pStyle w:val="56"/>
              <w:ind w:firstLine="360"/>
              <w:jc w:val="center"/>
              <w:rPr>
                <w:sz w:val="18"/>
              </w:rPr>
            </w:pPr>
            <w:r>
              <w:rPr>
                <w:rFonts w:hint="eastAsia"/>
                <w:sz w:val="18"/>
              </w:rPr>
              <w:t>0</w:t>
            </w:r>
          </w:p>
        </w:tc>
        <w:tc>
          <w:tcPr>
            <w:tcW w:w="4683" w:type="dxa"/>
            <w:tcBorders>
              <w:top w:val="single" w:color="auto" w:sz="8" w:space="0"/>
            </w:tcBorders>
            <w:shd w:val="clear" w:color="auto" w:fill="auto"/>
            <w:vAlign w:val="center"/>
          </w:tcPr>
          <w:p>
            <w:pPr>
              <w:pStyle w:val="56"/>
              <w:ind w:firstLine="360"/>
              <w:jc w:val="center"/>
              <w:rPr>
                <w:sz w:val="18"/>
              </w:rPr>
            </w:pPr>
            <w:r>
              <w:rPr>
                <w:rFonts w:hint="eastAsia"/>
                <w:sz w:val="18"/>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91" w:type="dxa"/>
            <w:shd w:val="clear" w:color="auto" w:fill="auto"/>
            <w:vAlign w:val="center"/>
          </w:tcPr>
          <w:p>
            <w:pPr>
              <w:pStyle w:val="56"/>
              <w:ind w:firstLine="360"/>
              <w:jc w:val="center"/>
              <w:rPr>
                <w:sz w:val="18"/>
              </w:rPr>
            </w:pPr>
            <w:r>
              <w:rPr>
                <w:rFonts w:hint="eastAsia"/>
                <w:sz w:val="18"/>
              </w:rPr>
              <w:t>0.025</w:t>
            </w:r>
          </w:p>
        </w:tc>
        <w:tc>
          <w:tcPr>
            <w:tcW w:w="4683" w:type="dxa"/>
            <w:shd w:val="clear" w:color="auto" w:fill="auto"/>
            <w:vAlign w:val="center"/>
          </w:tcPr>
          <w:p>
            <w:pPr>
              <w:pStyle w:val="56"/>
              <w:ind w:firstLine="360"/>
              <w:jc w:val="center"/>
              <w:rPr>
                <w:sz w:val="18"/>
              </w:rPr>
            </w:pPr>
            <w:r>
              <w:rPr>
                <w:rFonts w:hint="eastAsia"/>
                <w:sz w:val="18"/>
              </w:rPr>
              <w:t>0.25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91" w:type="dxa"/>
            <w:shd w:val="clear" w:color="auto" w:fill="auto"/>
            <w:vAlign w:val="center"/>
          </w:tcPr>
          <w:p>
            <w:pPr>
              <w:pStyle w:val="56"/>
              <w:ind w:firstLine="360"/>
              <w:jc w:val="center"/>
              <w:rPr>
                <w:sz w:val="18"/>
              </w:rPr>
            </w:pPr>
            <w:r>
              <w:rPr>
                <w:rFonts w:hint="eastAsia"/>
                <w:sz w:val="18"/>
              </w:rPr>
              <w:t>0.05</w:t>
            </w:r>
          </w:p>
        </w:tc>
        <w:tc>
          <w:tcPr>
            <w:tcW w:w="4683" w:type="dxa"/>
            <w:shd w:val="clear" w:color="auto" w:fill="auto"/>
            <w:vAlign w:val="center"/>
          </w:tcPr>
          <w:p>
            <w:pPr>
              <w:pStyle w:val="56"/>
              <w:ind w:firstLine="360"/>
              <w:jc w:val="center"/>
              <w:rPr>
                <w:sz w:val="18"/>
              </w:rPr>
            </w:pPr>
            <w:r>
              <w:rPr>
                <w:rFonts w:hint="eastAsia"/>
                <w:sz w:val="18"/>
              </w:rPr>
              <w:t>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91" w:type="dxa"/>
            <w:shd w:val="clear" w:color="auto" w:fill="auto"/>
            <w:vAlign w:val="center"/>
          </w:tcPr>
          <w:p>
            <w:pPr>
              <w:pStyle w:val="56"/>
              <w:ind w:firstLine="360"/>
              <w:jc w:val="center"/>
              <w:rPr>
                <w:sz w:val="18"/>
              </w:rPr>
            </w:pPr>
            <w:r>
              <w:rPr>
                <w:rFonts w:hint="eastAsia"/>
                <w:sz w:val="18"/>
              </w:rPr>
              <w:t>0.1</w:t>
            </w:r>
          </w:p>
        </w:tc>
        <w:tc>
          <w:tcPr>
            <w:tcW w:w="4683" w:type="dxa"/>
            <w:shd w:val="clear" w:color="auto" w:fill="auto"/>
            <w:vAlign w:val="center"/>
          </w:tcPr>
          <w:p>
            <w:pPr>
              <w:pStyle w:val="56"/>
              <w:ind w:firstLine="360"/>
              <w:jc w:val="center"/>
              <w:rPr>
                <w:sz w:val="18"/>
              </w:rPr>
            </w:pPr>
            <w:r>
              <w:rPr>
                <w:rFonts w:hint="eastAsia"/>
                <w:sz w:val="18"/>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91" w:type="dxa"/>
            <w:shd w:val="clear" w:color="auto" w:fill="auto"/>
            <w:vAlign w:val="center"/>
          </w:tcPr>
          <w:p>
            <w:pPr>
              <w:pStyle w:val="56"/>
              <w:ind w:firstLine="360"/>
              <w:jc w:val="center"/>
              <w:rPr>
                <w:sz w:val="18"/>
              </w:rPr>
            </w:pPr>
            <w:r>
              <w:rPr>
                <w:rFonts w:hint="eastAsia"/>
                <w:sz w:val="18"/>
              </w:rPr>
              <w:t>0.25</w:t>
            </w:r>
          </w:p>
        </w:tc>
        <w:tc>
          <w:tcPr>
            <w:tcW w:w="4683" w:type="dxa"/>
            <w:shd w:val="clear" w:color="auto" w:fill="auto"/>
            <w:vAlign w:val="center"/>
          </w:tcPr>
          <w:p>
            <w:pPr>
              <w:pStyle w:val="56"/>
              <w:ind w:firstLine="360"/>
              <w:jc w:val="center"/>
              <w:rPr>
                <w:sz w:val="18"/>
              </w:rPr>
            </w:pPr>
            <w:r>
              <w:rPr>
                <w:rFonts w:hint="eastAsia"/>
                <w:sz w:val="18"/>
              </w:rPr>
              <w:t>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91" w:type="dxa"/>
            <w:shd w:val="clear" w:color="auto" w:fill="auto"/>
            <w:vAlign w:val="center"/>
          </w:tcPr>
          <w:p>
            <w:pPr>
              <w:pStyle w:val="56"/>
              <w:ind w:firstLine="360"/>
              <w:jc w:val="center"/>
              <w:rPr>
                <w:sz w:val="18"/>
              </w:rPr>
            </w:pPr>
            <w:r>
              <w:rPr>
                <w:rFonts w:hint="eastAsia"/>
                <w:sz w:val="18"/>
              </w:rPr>
              <w:t>0.5</w:t>
            </w:r>
          </w:p>
        </w:tc>
        <w:tc>
          <w:tcPr>
            <w:tcW w:w="4683" w:type="dxa"/>
            <w:shd w:val="clear" w:color="auto" w:fill="auto"/>
            <w:vAlign w:val="center"/>
          </w:tcPr>
          <w:p>
            <w:pPr>
              <w:pStyle w:val="56"/>
              <w:ind w:firstLine="360"/>
              <w:jc w:val="center"/>
              <w:rPr>
                <w:sz w:val="18"/>
              </w:rPr>
            </w:pPr>
            <w:r>
              <w:rPr>
                <w:rFonts w:hint="eastAsia"/>
                <w:sz w:val="18"/>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91" w:type="dxa"/>
            <w:shd w:val="clear" w:color="auto" w:fill="auto"/>
            <w:vAlign w:val="center"/>
          </w:tcPr>
          <w:p>
            <w:pPr>
              <w:pStyle w:val="56"/>
              <w:ind w:firstLine="360"/>
              <w:jc w:val="center"/>
              <w:rPr>
                <w:sz w:val="18"/>
              </w:rPr>
            </w:pPr>
            <w:r>
              <w:rPr>
                <w:rFonts w:hint="eastAsia"/>
                <w:sz w:val="18"/>
              </w:rPr>
              <w:t>1</w:t>
            </w:r>
          </w:p>
        </w:tc>
        <w:tc>
          <w:tcPr>
            <w:tcW w:w="4683" w:type="dxa"/>
            <w:shd w:val="clear" w:color="auto" w:fill="auto"/>
            <w:vAlign w:val="center"/>
          </w:tcPr>
          <w:p>
            <w:pPr>
              <w:pStyle w:val="56"/>
              <w:ind w:firstLine="360"/>
              <w:jc w:val="center"/>
              <w:rPr>
                <w:sz w:val="18"/>
              </w:rPr>
            </w:pPr>
            <w:r>
              <w:rPr>
                <w:rFonts w:hint="eastAsia"/>
                <w:sz w:val="18"/>
              </w:rPr>
              <w:t>10</w:t>
            </w:r>
          </w:p>
        </w:tc>
      </w:tr>
    </w:tbl>
    <w:p>
      <w:pPr>
        <w:pStyle w:val="105"/>
        <w:spacing w:before="120" w:after="120"/>
      </w:pPr>
      <w:r>
        <w:rPr>
          <w:rFonts w:hint="eastAsia"/>
        </w:rPr>
        <w:t>材料</w:t>
      </w:r>
    </w:p>
    <w:p>
      <w:pPr>
        <w:pStyle w:val="56"/>
        <w:ind w:firstLine="420"/>
      </w:pPr>
      <w:r>
        <w:rPr>
          <w:rFonts w:hint="eastAsia"/>
        </w:rPr>
        <w:t>阴离子合成洗涤剂快速检测试剂盒：适用于各种餐（饮）具，需在阴凉、干燥、避光条件下保存。</w:t>
      </w:r>
    </w:p>
    <w:p>
      <w:pPr>
        <w:pStyle w:val="104"/>
        <w:spacing w:before="240" w:after="240"/>
      </w:pPr>
      <w:r>
        <w:rPr>
          <w:rFonts w:hint="eastAsia"/>
        </w:rPr>
        <w:t>仪器设备</w:t>
      </w:r>
    </w:p>
    <w:p>
      <w:pPr>
        <w:pStyle w:val="105"/>
        <w:spacing w:before="120" w:after="120"/>
      </w:pPr>
      <w:r>
        <w:rPr>
          <w:rFonts w:hint="eastAsia"/>
        </w:rPr>
        <w:t>电子天平：感量为0.000 1 g。</w:t>
      </w:r>
    </w:p>
    <w:p>
      <w:pPr>
        <w:pStyle w:val="105"/>
        <w:spacing w:before="120" w:after="120"/>
      </w:pPr>
      <w:r>
        <w:rPr>
          <w:rFonts w:hint="eastAsia"/>
        </w:rPr>
        <w:t>移液器：量程为5 mL。</w:t>
      </w:r>
    </w:p>
    <w:p>
      <w:pPr>
        <w:pStyle w:val="104"/>
        <w:spacing w:before="240" w:after="240"/>
      </w:pPr>
      <w:r>
        <w:rPr>
          <w:rFonts w:hint="eastAsia"/>
        </w:rPr>
        <w:t>环境条件</w:t>
      </w:r>
    </w:p>
    <w:p>
      <w:pPr>
        <w:pStyle w:val="56"/>
        <w:ind w:firstLine="420"/>
      </w:pPr>
      <w:r>
        <w:rPr>
          <w:rFonts w:hint="eastAsia"/>
        </w:rPr>
        <w:t>温度10 ℃～30 ℃。</w:t>
      </w:r>
    </w:p>
    <w:p>
      <w:pPr>
        <w:pStyle w:val="104"/>
        <w:spacing w:before="240" w:after="240"/>
      </w:pPr>
      <w:r>
        <w:rPr>
          <w:rFonts w:hint="eastAsia"/>
        </w:rPr>
        <w:t>分析步骤</w:t>
      </w:r>
    </w:p>
    <w:p>
      <w:pPr>
        <w:pStyle w:val="105"/>
        <w:spacing w:before="120" w:after="120"/>
      </w:pPr>
      <w:r>
        <w:rPr>
          <w:rFonts w:hint="eastAsia"/>
        </w:rPr>
        <w:t>试样制备</w:t>
      </w:r>
    </w:p>
    <w:p>
      <w:pPr>
        <w:pStyle w:val="65"/>
        <w:spacing w:before="120" w:after="120"/>
        <w:rPr>
          <w:rFonts w:ascii="宋体" w:eastAsia="宋体"/>
        </w:rPr>
      </w:pPr>
      <w:r>
        <w:rPr>
          <w:rFonts w:hint="eastAsia" w:ascii="宋体" w:eastAsia="宋体"/>
        </w:rPr>
        <w:t>将待检的餐（饮）具（碗、盘、碟、口杯、酒杯等）用水分3～5次冲洗整个内表面（按照每100 cm</w:t>
      </w:r>
      <w:r>
        <w:rPr>
          <w:rFonts w:hint="eastAsia" w:ascii="宋体" w:eastAsia="宋体"/>
          <w:vertAlign w:val="superscript"/>
        </w:rPr>
        <w:t>2</w:t>
      </w:r>
      <w:r>
        <w:rPr>
          <w:rFonts w:hint="eastAsia" w:ascii="宋体" w:eastAsia="宋体"/>
        </w:rPr>
        <w:t>表面积使用100 mL水的比例），制成待测液备用。</w:t>
      </w:r>
    </w:p>
    <w:p>
      <w:pPr>
        <w:pStyle w:val="165"/>
      </w:pPr>
      <w:r>
        <w:rPr>
          <w:rFonts w:hint="eastAsia"/>
        </w:rPr>
        <w:t>将匙（不包括匙柄），筷子下段（进口端约5 cm）置于适量水中（按照每100 cm</w:t>
      </w:r>
      <w:r>
        <w:rPr>
          <w:rFonts w:hint="eastAsia"/>
          <w:vertAlign w:val="superscript"/>
        </w:rPr>
        <w:t>2</w:t>
      </w:r>
      <w:r>
        <w:rPr>
          <w:rFonts w:hint="eastAsia"/>
        </w:rPr>
        <w:t>表面积使用100 mL水的比例），充分振荡20次，制成待测液备用。</w:t>
      </w:r>
    </w:p>
    <w:p>
      <w:pPr>
        <w:pStyle w:val="105"/>
        <w:spacing w:before="120" w:after="120"/>
      </w:pPr>
      <w:r>
        <w:rPr>
          <w:rFonts w:hint="eastAsia"/>
        </w:rPr>
        <w:t>测定步骤</w:t>
      </w:r>
    </w:p>
    <w:p>
      <w:pPr>
        <w:pStyle w:val="165"/>
      </w:pPr>
      <w:r>
        <w:rPr>
          <w:rFonts w:hint="eastAsia"/>
        </w:rPr>
        <w:t>取待测液47 mL于50 mL离心管中，加入1 mL亚甲基蓝溶液，再加入2 mL三氯甲烷，上下颠倒摇晃20秒，反应9分钟（期间每间隔3分钟颠倒摇晃20秒）。</w:t>
      </w:r>
    </w:p>
    <w:p>
      <w:pPr>
        <w:pStyle w:val="165"/>
      </w:pPr>
      <w:r>
        <w:rPr>
          <w:rFonts w:hint="eastAsia"/>
        </w:rPr>
        <w:t>用塑料吸管吸取静置后的下层检测液约1.5 mL（不要吸到上层液体）于2 mL离心管中，与十二烷基苯磺酸钠对照液或比色卡对照确定具体浓度。</w:t>
      </w:r>
    </w:p>
    <w:p>
      <w:pPr>
        <w:pStyle w:val="105"/>
        <w:spacing w:before="120" w:after="120"/>
      </w:pPr>
      <w:r>
        <w:rPr>
          <w:rFonts w:hint="eastAsia"/>
        </w:rPr>
        <w:t>质控试验</w:t>
      </w:r>
    </w:p>
    <w:p>
      <w:pPr>
        <w:pStyle w:val="165"/>
      </w:pPr>
      <w:r>
        <w:rPr>
          <w:rFonts w:hint="eastAsia"/>
        </w:rPr>
        <w:t>每批试剂应同时进行空白试验和加标质控试验。</w:t>
      </w:r>
    </w:p>
    <w:p>
      <w:pPr>
        <w:pStyle w:val="165"/>
      </w:pPr>
      <w:r>
        <w:rPr>
          <w:rFonts w:hint="eastAsia"/>
        </w:rPr>
        <w:t>空白试验：取水，按照7.2.1和7.2.2与样品同法操作。</w:t>
      </w:r>
    </w:p>
    <w:p>
      <w:pPr>
        <w:pStyle w:val="165"/>
      </w:pPr>
      <w:r>
        <w:rPr>
          <w:rFonts w:hint="eastAsia"/>
        </w:rPr>
        <w:t>加标质控试验：精密量取0.5 mL十二烷基苯磺酸钠标准工作液，置于100 mL容量瓶中，加水定容，使其浓度水平为0.05 mg/L,按照7.2.1和7.2.2与样品同法操作。</w:t>
      </w:r>
    </w:p>
    <w:p>
      <w:pPr>
        <w:pStyle w:val="104"/>
        <w:spacing w:before="240" w:after="240"/>
      </w:pPr>
      <w:r>
        <w:rPr>
          <w:rFonts w:hint="eastAsia"/>
        </w:rPr>
        <w:t>结果判定</w:t>
      </w:r>
    </w:p>
    <w:p>
      <w:pPr>
        <w:pStyle w:val="105"/>
        <w:spacing w:before="120" w:after="120"/>
      </w:pPr>
      <w:r>
        <w:rPr>
          <w:rFonts w:hint="eastAsia"/>
        </w:rPr>
        <w:t>通则</w:t>
      </w:r>
    </w:p>
    <w:p>
      <w:pPr>
        <w:pStyle w:val="56"/>
        <w:ind w:firstLine="420"/>
      </w:pPr>
      <w:r>
        <w:rPr>
          <w:rFonts w:hint="eastAsia"/>
        </w:rPr>
        <w:t>采用目视法，根据十二烷基苯磺酸钠对照液或比色卡对结果进行判读，目视判定示意图如图1所示，结果有以下几种：</w:t>
      </w:r>
    </w:p>
    <w:p>
      <w:pPr>
        <w:pStyle w:val="174"/>
      </w:pPr>
      <w:r>
        <w:rPr>
          <w:rFonts w:hint="eastAsia"/>
        </w:rPr>
        <w:t>阳性结果：样品溶液颜色比0.05 mg/L溶液深或者相当，判为阳性。</w:t>
      </w:r>
    </w:p>
    <w:p>
      <w:pPr>
        <w:pStyle w:val="174"/>
      </w:pPr>
      <w:r>
        <w:rPr>
          <w:rFonts w:hint="eastAsia"/>
        </w:rPr>
        <w:t>阴性结果：样品溶液颜色比0.05 mg/L溶液浅，判为阴性。</w:t>
      </w:r>
    </w:p>
    <w:p>
      <w:pPr>
        <w:pStyle w:val="174"/>
        <w:numPr>
          <w:ilvl w:val="0"/>
          <w:numId w:val="0"/>
        </w:numPr>
      </w:pPr>
      <w:r>
        <w:rPr>
          <w:rFonts w:hint="eastAsia"/>
        </w:rPr>
        <w:t xml:space="preserve">                   </w:t>
      </w:r>
      <w:r>
        <w:rPr>
          <w:rFonts w:hint="eastAsia"/>
        </w:rPr>
        <w:drawing>
          <wp:inline distT="0" distB="0" distL="114300" distR="114300">
            <wp:extent cx="3248025" cy="1647825"/>
            <wp:effectExtent l="0" t="0" r="9525" b="9525"/>
            <wp:docPr id="6" name="图片 6" descr="比色卡用于标准上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比色卡用于标准上2"/>
                    <pic:cNvPicPr>
                      <a:picLocks noChangeAspect="1"/>
                    </pic:cNvPicPr>
                  </pic:nvPicPr>
                  <pic:blipFill>
                    <a:blip r:embed="rId17"/>
                    <a:stretch>
                      <a:fillRect/>
                    </a:stretch>
                  </pic:blipFill>
                  <pic:spPr>
                    <a:xfrm>
                      <a:off x="0" y="0"/>
                      <a:ext cx="3248025" cy="1647825"/>
                    </a:xfrm>
                    <a:prstGeom prst="rect">
                      <a:avLst/>
                    </a:prstGeom>
                  </pic:spPr>
                </pic:pic>
              </a:graphicData>
            </a:graphic>
          </wp:inline>
        </w:drawing>
      </w:r>
    </w:p>
    <w:p>
      <w:pPr>
        <w:pStyle w:val="114"/>
        <w:spacing w:before="120" w:after="120"/>
      </w:pPr>
      <w:r>
        <w:rPr>
          <w:rFonts w:hint="eastAsia"/>
        </w:rPr>
        <w:t>目视判定示意图（比色法）</w:t>
      </w:r>
    </w:p>
    <w:p>
      <w:pPr>
        <w:pStyle w:val="105"/>
        <w:spacing w:before="120" w:after="120"/>
      </w:pPr>
      <w:r>
        <w:rPr>
          <w:rFonts w:hint="eastAsia"/>
        </w:rPr>
        <w:t>质控试验要求</w:t>
      </w:r>
    </w:p>
    <w:p>
      <w:pPr>
        <w:pStyle w:val="56"/>
        <w:ind w:firstLine="420"/>
      </w:pPr>
      <w:r>
        <w:rPr>
          <w:rFonts w:hint="eastAsia"/>
        </w:rPr>
        <w:t>空白试验测定结果应为阴性，加标质控试验测定结果应为阳性。质控试验结果不符合要求时，同批次所有检测结果判定为无效结果。若出现无效结果，需对同批次样品进行重新检测</w:t>
      </w:r>
    </w:p>
    <w:p>
      <w:pPr>
        <w:pStyle w:val="104"/>
        <w:spacing w:before="240" w:after="240"/>
      </w:pPr>
      <w:r>
        <w:rPr>
          <w:rFonts w:hint="eastAsia"/>
        </w:rPr>
        <w:t>结论</w:t>
      </w:r>
    </w:p>
    <w:p>
      <w:pPr>
        <w:pStyle w:val="56"/>
        <w:ind w:firstLine="420"/>
      </w:pPr>
      <w:r>
        <w:rPr>
          <w:rFonts w:hint="eastAsia"/>
        </w:rPr>
        <w:t>当检测结果为阳性时，采用参比方法进行确证。</w:t>
      </w:r>
    </w:p>
    <w:p>
      <w:pPr>
        <w:pStyle w:val="104"/>
        <w:spacing w:before="240" w:after="240"/>
      </w:pPr>
      <w:r>
        <w:rPr>
          <w:rFonts w:hint="eastAsia"/>
        </w:rPr>
        <w:t>性能指标</w:t>
      </w:r>
    </w:p>
    <w:p>
      <w:pPr>
        <w:pStyle w:val="105"/>
        <w:spacing w:before="120" w:after="120"/>
      </w:pPr>
      <w:r>
        <w:rPr>
          <w:rFonts w:hint="eastAsia"/>
        </w:rPr>
        <w:t>检出限</w:t>
      </w:r>
    </w:p>
    <w:p>
      <w:pPr>
        <w:pStyle w:val="56"/>
        <w:ind w:firstLine="420"/>
      </w:pPr>
      <w:r>
        <w:rPr>
          <w:rFonts w:hint="eastAsia"/>
        </w:rPr>
        <w:t>本方法的检出限为0.05 mg/L。</w:t>
      </w:r>
    </w:p>
    <w:p>
      <w:pPr>
        <w:pStyle w:val="105"/>
        <w:spacing w:before="120" w:after="120"/>
      </w:pPr>
      <w:r>
        <w:rPr>
          <w:rFonts w:hint="eastAsia"/>
        </w:rPr>
        <w:t>灵敏度</w:t>
      </w:r>
    </w:p>
    <w:p>
      <w:pPr>
        <w:pStyle w:val="56"/>
        <w:ind w:firstLine="420"/>
      </w:pPr>
      <w:r>
        <w:rPr>
          <w:rFonts w:hint="eastAsia"/>
        </w:rPr>
        <w:t>灵敏度≥98%。</w:t>
      </w:r>
    </w:p>
    <w:p>
      <w:pPr>
        <w:pStyle w:val="105"/>
        <w:spacing w:before="120" w:after="120"/>
      </w:pPr>
      <w:r>
        <w:rPr>
          <w:rFonts w:hint="eastAsia"/>
        </w:rPr>
        <w:t>交叉反应率</w:t>
      </w:r>
    </w:p>
    <w:p>
      <w:pPr>
        <w:pStyle w:val="56"/>
        <w:ind w:firstLine="420"/>
      </w:pPr>
      <w:r>
        <w:rPr>
          <w:rFonts w:hint="eastAsia"/>
        </w:rPr>
        <w:t>碳酸钙、碳酸氢钠＜0.1%，次氯酸钠≤1.7%，硬脂酸钠≤1.3%。</w:t>
      </w:r>
    </w:p>
    <w:p>
      <w:pPr>
        <w:pStyle w:val="105"/>
        <w:spacing w:before="120" w:after="120"/>
      </w:pPr>
      <w:r>
        <w:rPr>
          <w:rFonts w:hint="eastAsia"/>
        </w:rPr>
        <w:t>假阴性率</w:t>
      </w:r>
    </w:p>
    <w:p>
      <w:pPr>
        <w:pStyle w:val="56"/>
        <w:ind w:firstLine="420"/>
      </w:pPr>
      <w:r>
        <w:rPr>
          <w:rFonts w:hint="eastAsia"/>
        </w:rPr>
        <w:t>假阴性率≤2%。</w:t>
      </w:r>
    </w:p>
    <w:p>
      <w:pPr>
        <w:pStyle w:val="105"/>
        <w:spacing w:before="120" w:after="120"/>
      </w:pPr>
      <w:r>
        <w:rPr>
          <w:rFonts w:hint="eastAsia"/>
        </w:rPr>
        <w:t>假阳性率</w:t>
      </w:r>
    </w:p>
    <w:p>
      <w:pPr>
        <w:pStyle w:val="56"/>
        <w:ind w:firstLine="420"/>
      </w:pPr>
      <w:r>
        <w:rPr>
          <w:rFonts w:hint="eastAsia"/>
        </w:rPr>
        <w:t>假阳性率≤2%。</w:t>
      </w:r>
    </w:p>
    <w:p>
      <w:pPr>
        <w:pStyle w:val="104"/>
        <w:spacing w:before="240" w:after="240"/>
      </w:pPr>
      <w:r>
        <w:rPr>
          <w:rFonts w:hint="eastAsia"/>
        </w:rPr>
        <w:t>其他</w:t>
      </w:r>
    </w:p>
    <w:p>
      <w:pPr>
        <w:pStyle w:val="56"/>
        <w:ind w:firstLine="420"/>
      </w:pPr>
      <w:r>
        <w:rPr>
          <w:rFonts w:hint="eastAsia"/>
        </w:rPr>
        <w:t>本方法分析步骤和结果判定可以根据厂家试剂盒的说明书进行，但应符合或优于本方法规定的性能指标。</w:t>
      </w:r>
    </w:p>
    <w:p>
      <w:pPr>
        <w:pStyle w:val="56"/>
        <w:ind w:firstLine="420"/>
      </w:pPr>
      <w:r>
        <w:rPr>
          <w:rFonts w:hint="eastAsia"/>
        </w:rPr>
        <w:t>本方法参比方法为GB/T 5750.4。</w:t>
      </w:r>
    </w:p>
    <w:bookmarkEnd w:id="21"/>
    <w:p>
      <w:pPr>
        <w:pStyle w:val="56"/>
        <w:ind w:firstLine="0" w:firstLineChars="0"/>
        <w:jc w:val="center"/>
      </w:pPr>
      <w:bookmarkStart w:id="43"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8"/>
                    <a:stretch>
                      <a:fillRect/>
                    </a:stretch>
                  </pic:blipFill>
                  <pic:spPr>
                    <a:xfrm>
                      <a:off x="0" y="0"/>
                      <a:ext cx="1485900" cy="317500"/>
                    </a:xfrm>
                    <a:prstGeom prst="rect">
                      <a:avLst/>
                    </a:prstGeom>
                  </pic:spPr>
                </pic:pic>
              </a:graphicData>
            </a:graphic>
          </wp:inline>
        </w:drawing>
      </w:r>
      <w:bookmarkEnd w:id="43"/>
    </w:p>
    <w:p>
      <w:pPr>
        <w:pStyle w:val="56"/>
        <w:ind w:firstLine="0" w:firstLineChars="0"/>
        <w:jc w:val="center"/>
      </w:pPr>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Full" w:cryptAlgorithmClass="hash" w:cryptAlgorithmType="typeAny" w:cryptAlgorithmSid="4" w:cryptSpinCount="50000" w:hash="N/0SPoHEGdhZ1b6t2WCdosdL8QI=" w:salt="vIWILxjwN5st9R1fRYgnN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yOTJiYjYwZTljYWRhZDdmYzMwZTE5MjQ1ZTJiYWMifQ=="/>
  </w:docVars>
  <w:rsids>
    <w:rsidRoot w:val="00FB3C1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F6E"/>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081E"/>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424D"/>
    <w:rsid w:val="00285170"/>
    <w:rsid w:val="00285361"/>
    <w:rsid w:val="00292D60"/>
    <w:rsid w:val="00293B30"/>
    <w:rsid w:val="00294D34"/>
    <w:rsid w:val="00294E3B"/>
    <w:rsid w:val="00296193"/>
    <w:rsid w:val="00296601"/>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D34"/>
    <w:rsid w:val="002B7332"/>
    <w:rsid w:val="002B7F51"/>
    <w:rsid w:val="002C09E7"/>
    <w:rsid w:val="002C1E06"/>
    <w:rsid w:val="002C3F07"/>
    <w:rsid w:val="002C5278"/>
    <w:rsid w:val="002C559D"/>
    <w:rsid w:val="002C7EBB"/>
    <w:rsid w:val="002D06C1"/>
    <w:rsid w:val="002D42B5"/>
    <w:rsid w:val="002D4F1A"/>
    <w:rsid w:val="002D6EC6"/>
    <w:rsid w:val="002D79AC"/>
    <w:rsid w:val="002E039D"/>
    <w:rsid w:val="002E4D5A"/>
    <w:rsid w:val="002E6326"/>
    <w:rsid w:val="002E7A75"/>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52F8"/>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685E"/>
    <w:rsid w:val="00400E72"/>
    <w:rsid w:val="00401400"/>
    <w:rsid w:val="00404869"/>
    <w:rsid w:val="00405884"/>
    <w:rsid w:val="00407D39"/>
    <w:rsid w:val="0041477A"/>
    <w:rsid w:val="004167A3"/>
    <w:rsid w:val="00427BF8"/>
    <w:rsid w:val="00432DAA"/>
    <w:rsid w:val="00434305"/>
    <w:rsid w:val="00435DF7"/>
    <w:rsid w:val="0043741A"/>
    <w:rsid w:val="004375A9"/>
    <w:rsid w:val="0044083F"/>
    <w:rsid w:val="00441AE7"/>
    <w:rsid w:val="00445574"/>
    <w:rsid w:val="004467FB"/>
    <w:rsid w:val="004474F9"/>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C70"/>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862"/>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0232"/>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6F72C9"/>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1B"/>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1332"/>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086"/>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2C7"/>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6EAF"/>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A7C02"/>
    <w:rsid w:val="009B09E0"/>
    <w:rsid w:val="009B0BC5"/>
    <w:rsid w:val="009B1247"/>
    <w:rsid w:val="009B6029"/>
    <w:rsid w:val="009B6971"/>
    <w:rsid w:val="009C27F1"/>
    <w:rsid w:val="009C2855"/>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14C9"/>
    <w:rsid w:val="00B62B58"/>
    <w:rsid w:val="00B65149"/>
    <w:rsid w:val="00B66567"/>
    <w:rsid w:val="00B66610"/>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C7C71"/>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1F8"/>
    <w:rsid w:val="00C47056"/>
    <w:rsid w:val="00C521D6"/>
    <w:rsid w:val="00C55232"/>
    <w:rsid w:val="00C553A4"/>
    <w:rsid w:val="00C55A06"/>
    <w:rsid w:val="00C55D03"/>
    <w:rsid w:val="00C601BC"/>
    <w:rsid w:val="00C6329F"/>
    <w:rsid w:val="00C63340"/>
    <w:rsid w:val="00C643F9"/>
    <w:rsid w:val="00C64E95"/>
    <w:rsid w:val="00C71372"/>
    <w:rsid w:val="00C72410"/>
    <w:rsid w:val="00C7287F"/>
    <w:rsid w:val="00C7674B"/>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4B52"/>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6AB9"/>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372B"/>
    <w:rsid w:val="00D66846"/>
    <w:rsid w:val="00D675FB"/>
    <w:rsid w:val="00D71F25"/>
    <w:rsid w:val="00D72A9C"/>
    <w:rsid w:val="00D74ACA"/>
    <w:rsid w:val="00D77031"/>
    <w:rsid w:val="00D77D0A"/>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33A"/>
    <w:rsid w:val="00DA38D3"/>
    <w:rsid w:val="00DA3932"/>
    <w:rsid w:val="00DA3AFC"/>
    <w:rsid w:val="00DA64F8"/>
    <w:rsid w:val="00DA6C15"/>
    <w:rsid w:val="00DB0258"/>
    <w:rsid w:val="00DB26E2"/>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6FE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3E65"/>
    <w:rsid w:val="00F75403"/>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3C1E"/>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0C7829"/>
    <w:rsid w:val="196D2CC8"/>
    <w:rsid w:val="405D78DC"/>
    <w:rsid w:val="53520199"/>
    <w:rsid w:val="5FEF619A"/>
    <w:rsid w:val="638F3E8E"/>
    <w:rsid w:val="71EF3DD8"/>
    <w:rsid w:val="76407421"/>
    <w:rsid w:val="7F977D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4.jpe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82D104E35F24A468C53184833DE63AB"/>
        <w:style w:val=""/>
        <w:category>
          <w:name w:val="常规"/>
          <w:gallery w:val="placeholder"/>
        </w:category>
        <w:types>
          <w:type w:val="bbPlcHdr"/>
        </w:types>
        <w:behaviors>
          <w:behavior w:val="content"/>
        </w:behaviors>
        <w:description w:val=""/>
        <w:guid w:val="{0E554F84-F398-4F21-9BDD-D9A9ED9D33D9}"/>
      </w:docPartPr>
      <w:docPartBody>
        <w:p>
          <w:pPr>
            <w:pStyle w:val="5"/>
          </w:pPr>
          <w:r>
            <w:rPr>
              <w:rStyle w:val="4"/>
              <w:rFonts w:hint="eastAsia"/>
            </w:rPr>
            <w:t>单击或点击此处输入文字。</w:t>
          </w:r>
        </w:p>
      </w:docPartBody>
    </w:docPart>
    <w:docPart>
      <w:docPartPr>
        <w:name w:val="C7C8F293BE734A52881C47DAEBA52FE7"/>
        <w:style w:val=""/>
        <w:category>
          <w:name w:val="常规"/>
          <w:gallery w:val="placeholder"/>
        </w:category>
        <w:types>
          <w:type w:val="bbPlcHdr"/>
        </w:types>
        <w:behaviors>
          <w:behavior w:val="content"/>
        </w:behaviors>
        <w:description w:val=""/>
        <w:guid w:val="{B5A71AFA-C3EC-4F63-8716-65DA647B0591}"/>
      </w:docPartPr>
      <w:docPartBody>
        <w:p>
          <w:pPr>
            <w:pStyle w:val="6"/>
          </w:pPr>
          <w:r>
            <w:rPr>
              <w:rStyle w:val="4"/>
              <w:rFonts w:hint="eastAsia"/>
            </w:rPr>
            <w:t>选择一项。</w:t>
          </w:r>
        </w:p>
      </w:docPartBody>
    </w:docPart>
    <w:docPart>
      <w:docPartPr>
        <w:name w:val="BB026270EB9845538BB177EFD2244992"/>
        <w:style w:val=""/>
        <w:category>
          <w:name w:val="常规"/>
          <w:gallery w:val="placeholder"/>
        </w:category>
        <w:types>
          <w:type w:val="bbPlcHdr"/>
        </w:types>
        <w:behaviors>
          <w:behavior w:val="content"/>
        </w:behaviors>
        <w:description w:val=""/>
        <w:guid w:val="{D42D414C-D0D3-426A-8D61-ACA43D7D4FB5}"/>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5950F2"/>
    <w:rsid w:val="002972F2"/>
    <w:rsid w:val="003D7E3B"/>
    <w:rsid w:val="00416617"/>
    <w:rsid w:val="0046266F"/>
    <w:rsid w:val="00585FB6"/>
    <w:rsid w:val="005950F2"/>
    <w:rsid w:val="005B6F79"/>
    <w:rsid w:val="007B6E20"/>
    <w:rsid w:val="00B52F54"/>
    <w:rsid w:val="00ED0A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82D104E35F24A468C53184833DE63A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7C8F293BE734A52881C47DAEBA52FE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B026270EB9845538BB177EFD224499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B63467-A0EF-4D3C-AB9E-A69C49DEE866}">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5</Pages>
  <Words>424</Words>
  <Characters>2417</Characters>
  <Lines>20</Lines>
  <Paragraphs>5</Paragraphs>
  <TotalTime>3</TotalTime>
  <ScaleCrop>false</ScaleCrop>
  <LinksUpToDate>false</LinksUpToDate>
  <CharactersWithSpaces>2836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2023-09-27T09:22:00Z</dcterms:created>
  <dc:creator>Windows User</dc:creator>
  <dc:description>&lt;config cover="true" show_menu="true" version="1.0.0" doctype="SDKXY"&gt;_x000d_
&lt;/config&gt;</dc:description>
  <cp:lastModifiedBy>誰念誰川</cp:lastModifiedBy>
  <cp:lastPrinted>2023-09-27T08:06:00Z</cp:lastPrinted>
  <dcterms:modified xsi:type="dcterms:W3CDTF">2023-09-27T09:49:34Z</dcterms:modified>
  <dc:title>团体标准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2052-12.1.0.15374</vt:lpwstr>
  </property>
  <property fmtid="{D5CDD505-2E9C-101B-9397-08002B2CF9AE}" pid="15" name="ICV">
    <vt:lpwstr>162A20DAB2B34EA5BB4E485DA6CCE21C_13</vt:lpwstr>
  </property>
</Properties>
</file>