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insoku w:val="0"/>
        <w:overflowPunct w:val="0"/>
        <w:snapToGrid w:val="0"/>
        <w:spacing w:line="560" w:lineRule="exact"/>
        <w:jc w:val="center"/>
        <w:outlineLvl w:val="0"/>
        <w:rPr>
          <w:rFonts w:hint="eastAsia" w:ascii="方正小标宋简体" w:hAnsi="方正小标宋简体" w:eastAsia="方正小标宋简体" w:cs="方正小标宋简体"/>
          <w:kern w:val="2"/>
          <w:sz w:val="44"/>
          <w:szCs w:val="44"/>
          <w:lang w:val="en-US" w:eastAsia="zh-CN" w:bidi="ar-SA"/>
        </w:rPr>
      </w:pPr>
      <w:r>
        <w:rPr>
          <w:rFonts w:hint="eastAsia" w:ascii="方正小标宋简体" w:hAnsi="方正小标宋简体" w:eastAsia="方正小标宋简体" w:cs="方正小标宋简体"/>
          <w:kern w:val="2"/>
          <w:sz w:val="44"/>
          <w:szCs w:val="44"/>
          <w:lang w:val="en-US" w:eastAsia="zh-CN" w:bidi="ar-SA"/>
        </w:rPr>
        <w:t>团体标准《广西研学旅行目的地建设规范》（征求意见稿）编制说明</w:t>
      </w:r>
    </w:p>
    <w:p>
      <w:pPr>
        <w:keepNext w:val="0"/>
        <w:keepLines w:val="0"/>
        <w:pageBreakBefore w:val="0"/>
        <w:widowControl w:val="0"/>
        <w:numPr>
          <w:ilvl w:val="0"/>
          <w:numId w:val="0"/>
        </w:numPr>
        <w:kinsoku/>
        <w:wordWrap/>
        <w:overflowPunct/>
        <w:topLinePunct/>
        <w:autoSpaceDE/>
        <w:autoSpaceDN/>
        <w:bidi w:val="0"/>
        <w:adjustRightInd w:val="0"/>
        <w:snapToGrid w:val="0"/>
        <w:spacing w:beforeLines="50" w:afterLines="50" w:line="560" w:lineRule="exact"/>
        <w:ind w:firstLine="640" w:firstLineChars="200"/>
        <w:jc w:val="both"/>
        <w:textAlignment w:val="auto"/>
        <w:outlineLvl w:val="0"/>
        <w:rPr>
          <w:rFonts w:hint="eastAsia" w:ascii="黑体" w:hAnsi="宋体" w:eastAsia="黑体"/>
          <w:color w:val="000000"/>
          <w:sz w:val="32"/>
        </w:rPr>
      </w:pPr>
      <w:r>
        <w:rPr>
          <w:rFonts w:hint="eastAsia" w:ascii="黑体" w:hAnsi="宋体" w:eastAsia="黑体"/>
          <w:color w:val="000000"/>
          <w:sz w:val="32"/>
          <w:lang w:eastAsia="zh-CN"/>
        </w:rPr>
        <w:t>一、</w:t>
      </w:r>
      <w:r>
        <w:rPr>
          <w:rFonts w:hint="eastAsia" w:ascii="黑体" w:hAnsi="宋体" w:eastAsia="黑体"/>
          <w:color w:val="000000"/>
          <w:sz w:val="32"/>
        </w:rPr>
        <w:t>项目来源</w:t>
      </w:r>
    </w:p>
    <w:p>
      <w:pPr>
        <w:pStyle w:val="2"/>
        <w:kinsoku w:val="0"/>
        <w:overflowPunct w:val="0"/>
        <w:snapToGrid w:val="0"/>
        <w:spacing w:line="560" w:lineRule="exact"/>
        <w:ind w:left="0" w:firstLine="960" w:firstLineChars="300"/>
        <w:jc w:val="left"/>
        <w:outlineLvl w:val="0"/>
        <w:rPr>
          <w:rFonts w:hint="eastAsia" w:ascii="Times New Roman" w:hAnsi="Times New Roman" w:eastAsia="仿宋_GB2312" w:cs="Times New Roman"/>
          <w:color w:val="auto"/>
          <w:sz w:val="32"/>
          <w:szCs w:val="32"/>
          <w:highlight w:val="none"/>
          <w:lang w:eastAsia="zh-CN"/>
        </w:rPr>
      </w:pPr>
      <w:r>
        <w:rPr>
          <w:rFonts w:ascii="Times New Roman" w:hAnsi="Times New Roman" w:eastAsia="仿宋_GB2312" w:cs="Times New Roman"/>
          <w:color w:val="auto"/>
          <w:sz w:val="32"/>
          <w:szCs w:val="32"/>
        </w:rPr>
        <w:t>根据《</w:t>
      </w:r>
      <w:r>
        <w:rPr>
          <w:rFonts w:hint="eastAsia" w:ascii="Times New Roman" w:hAnsi="Times New Roman" w:eastAsia="仿宋_GB2312" w:cs="Times New Roman"/>
          <w:color w:val="auto"/>
          <w:sz w:val="32"/>
          <w:szCs w:val="32"/>
        </w:rPr>
        <w:t>广西标准化协会关于下达2023年第三十三批团体标准制修订项目计划的通知</w:t>
      </w:r>
      <w:r>
        <w:rPr>
          <w:rFonts w:ascii="Times New Roman" w:hAnsi="Times New Roman" w:eastAsia="仿宋_GB2312" w:cs="Times New Roman"/>
          <w:color w:val="auto"/>
          <w:sz w:val="32"/>
          <w:szCs w:val="32"/>
        </w:rPr>
        <w:t>》（桂标协〔202</w:t>
      </w:r>
      <w:r>
        <w:rPr>
          <w:rFonts w:hint="eastAsia" w:ascii="Times New Roman" w:hAnsi="Times New Roman" w:eastAsia="仿宋_GB2312" w:cs="Times New Roman"/>
          <w:color w:val="auto"/>
          <w:sz w:val="32"/>
          <w:szCs w:val="32"/>
          <w:lang w:val="en-US" w:eastAsia="zh-CN"/>
        </w:rPr>
        <w:t>3</w:t>
      </w:r>
      <w:r>
        <w:rPr>
          <w:rFonts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lang w:val="en-US" w:eastAsia="zh-CN"/>
        </w:rPr>
        <w:t>119</w:t>
      </w:r>
      <w:r>
        <w:rPr>
          <w:rFonts w:ascii="Times New Roman" w:hAnsi="Times New Roman" w:eastAsia="仿宋_GB2312" w:cs="Times New Roman"/>
          <w:color w:val="auto"/>
          <w:sz w:val="32"/>
          <w:szCs w:val="32"/>
        </w:rPr>
        <w:t>号）精神，由</w:t>
      </w:r>
      <w:r>
        <w:rPr>
          <w:rFonts w:hint="eastAsia" w:ascii="Times New Roman" w:hAnsi="Times New Roman" w:eastAsia="仿宋_GB2312" w:cs="Times New Roman"/>
          <w:color w:val="auto"/>
          <w:sz w:val="32"/>
          <w:szCs w:val="32"/>
          <w:lang w:val="en-US" w:eastAsia="zh-CN"/>
        </w:rPr>
        <w:t>桂林旅游学院、广西旅游协会共同</w:t>
      </w:r>
      <w:r>
        <w:rPr>
          <w:rFonts w:ascii="Times New Roman" w:hAnsi="Times New Roman" w:eastAsia="仿宋_GB2312" w:cs="Times New Roman"/>
          <w:color w:val="auto"/>
          <w:sz w:val="32"/>
          <w:szCs w:val="32"/>
        </w:rPr>
        <w:t>提出，</w:t>
      </w:r>
      <w:r>
        <w:rPr>
          <w:rFonts w:hint="eastAsia" w:ascii="Times New Roman" w:hAnsi="Times New Roman" w:eastAsia="仿宋_GB2312" w:cs="Times New Roman"/>
          <w:color w:val="auto"/>
          <w:sz w:val="32"/>
          <w:szCs w:val="32"/>
          <w:lang w:val="en-US" w:eastAsia="zh-CN"/>
        </w:rPr>
        <w:t>桂林</w:t>
      </w:r>
      <w:r>
        <w:rPr>
          <w:rFonts w:hint="eastAsia" w:ascii="Times New Roman" w:hAnsi="Times New Roman" w:eastAsia="仿宋_GB2312" w:cs="Times New Roman"/>
          <w:color w:val="auto"/>
          <w:sz w:val="32"/>
          <w:szCs w:val="32"/>
          <w:highlight w:val="none"/>
          <w:lang w:val="en-US" w:eastAsia="zh-CN"/>
        </w:rPr>
        <w:t>旅游学院研</w:t>
      </w:r>
      <w:r>
        <w:rPr>
          <w:rFonts w:hint="eastAsia" w:ascii="Times New Roman" w:hAnsi="Times New Roman" w:eastAsia="仿宋_GB2312" w:cs="Times New Roman"/>
          <w:color w:val="auto"/>
          <w:sz w:val="32"/>
          <w:szCs w:val="32"/>
          <w:lang w:val="en-US" w:eastAsia="zh-CN"/>
        </w:rPr>
        <w:t>学旅行教育研究中心、桂林旅游学院继续教育学院、广西师范大学体育与健康学院、广西旅游协会</w:t>
      </w:r>
      <w:r>
        <w:rPr>
          <w:rFonts w:ascii="Times New Roman" w:hAnsi="Times New Roman" w:eastAsia="仿宋_GB2312" w:cs="Times New Roman"/>
          <w:color w:val="auto"/>
          <w:sz w:val="32"/>
          <w:szCs w:val="32"/>
        </w:rPr>
        <w:t>共同起草的团体标准</w:t>
      </w:r>
      <w:r>
        <w:rPr>
          <w:rFonts w:hint="eastAsia" w:ascii="Times New Roman" w:hAnsi="Times New Roman" w:eastAsia="仿宋_GB2312" w:cs="Times New Roman"/>
          <w:color w:val="auto"/>
          <w:sz w:val="32"/>
          <w:szCs w:val="32"/>
          <w:highlight w:val="none"/>
          <w:lang w:val="en-US" w:eastAsia="zh-CN"/>
        </w:rPr>
        <w:t>《广西研学旅行目的地建设规范》</w:t>
      </w:r>
      <w:r>
        <w:rPr>
          <w:rFonts w:ascii="Times New Roman" w:hAnsi="Times New Roman" w:eastAsia="仿宋_GB2312" w:cs="Times New Roman"/>
          <w:color w:val="auto"/>
          <w:sz w:val="32"/>
          <w:szCs w:val="32"/>
          <w:highlight w:val="none"/>
        </w:rPr>
        <w:t>（项目编号202</w:t>
      </w:r>
      <w:r>
        <w:rPr>
          <w:rFonts w:hint="eastAsia" w:ascii="Times New Roman" w:hAnsi="Times New Roman" w:eastAsia="仿宋_GB2312" w:cs="Times New Roman"/>
          <w:color w:val="auto"/>
          <w:sz w:val="32"/>
          <w:szCs w:val="32"/>
          <w:highlight w:val="none"/>
          <w:lang w:val="en-US" w:eastAsia="zh-CN"/>
        </w:rPr>
        <w:t>3</w:t>
      </w:r>
      <w:r>
        <w:rPr>
          <w:rFonts w:ascii="Times New Roman" w:hAnsi="Times New Roman" w:eastAsia="仿宋_GB2312" w:cs="Times New Roman"/>
          <w:color w:val="auto"/>
          <w:sz w:val="32"/>
          <w:szCs w:val="32"/>
          <w:highlight w:val="none"/>
        </w:rPr>
        <w:t>-</w:t>
      </w:r>
      <w:r>
        <w:rPr>
          <w:rFonts w:hint="eastAsia" w:ascii="Times New Roman" w:hAnsi="Times New Roman" w:eastAsia="仿宋_GB2312" w:cs="Times New Roman"/>
          <w:color w:val="auto"/>
          <w:sz w:val="32"/>
          <w:szCs w:val="32"/>
          <w:highlight w:val="none"/>
          <w:lang w:val="en-US" w:eastAsia="zh-CN"/>
        </w:rPr>
        <w:t>3406</w:t>
      </w:r>
      <w:r>
        <w:rPr>
          <w:rFonts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eastAsia="zh-CN"/>
        </w:rPr>
        <w:t>，</w:t>
      </w:r>
      <w:r>
        <w:rPr>
          <w:rFonts w:ascii="Times New Roman" w:hAnsi="Times New Roman" w:eastAsia="仿宋_GB2312" w:cs="Times New Roman"/>
          <w:color w:val="auto"/>
          <w:sz w:val="32"/>
          <w:szCs w:val="32"/>
        </w:rPr>
        <w:t>特制定本</w:t>
      </w:r>
      <w:r>
        <w:rPr>
          <w:rFonts w:hint="eastAsia" w:ascii="Times New Roman" w:hAnsi="Times New Roman" w:eastAsia="仿宋_GB2312" w:cs="Times New Roman"/>
          <w:color w:val="auto"/>
          <w:sz w:val="32"/>
          <w:szCs w:val="32"/>
          <w:highlight w:val="none"/>
          <w:lang w:val="en-US" w:eastAsia="zh-CN"/>
        </w:rPr>
        <w:t>（征求意）编制说明</w:t>
      </w:r>
      <w:r>
        <w:rPr>
          <w:rFonts w:hint="eastAsia" w:ascii="Times New Roman" w:hAnsi="Times New Roman" w:cs="Times New Roman"/>
          <w:color w:val="auto"/>
          <w:sz w:val="32"/>
          <w:szCs w:val="32"/>
          <w:highlight w:val="none"/>
          <w:lang w:val="en-US" w:eastAsia="zh-CN"/>
        </w:rPr>
        <w:t>。</w:t>
      </w:r>
    </w:p>
    <w:p>
      <w:pPr>
        <w:keepNext w:val="0"/>
        <w:keepLines w:val="0"/>
        <w:pageBreakBefore w:val="0"/>
        <w:widowControl w:val="0"/>
        <w:numPr>
          <w:ilvl w:val="0"/>
          <w:numId w:val="0"/>
        </w:numPr>
        <w:kinsoku/>
        <w:wordWrap/>
        <w:overflowPunct/>
        <w:topLinePunct/>
        <w:autoSpaceDE/>
        <w:autoSpaceDN/>
        <w:bidi w:val="0"/>
        <w:adjustRightInd w:val="0"/>
        <w:snapToGrid w:val="0"/>
        <w:spacing w:beforeLines="50" w:afterLines="50" w:line="560" w:lineRule="exact"/>
        <w:ind w:firstLine="640" w:firstLineChars="200"/>
        <w:jc w:val="both"/>
        <w:textAlignment w:val="auto"/>
        <w:outlineLvl w:val="0"/>
        <w:rPr>
          <w:rFonts w:ascii="黑体" w:hAnsi="宋体" w:eastAsia="黑体"/>
          <w:color w:val="000000"/>
          <w:sz w:val="32"/>
        </w:rPr>
      </w:pPr>
      <w:r>
        <w:rPr>
          <w:rFonts w:hint="eastAsia" w:ascii="黑体" w:hAnsi="宋体" w:eastAsia="黑体"/>
          <w:color w:val="000000"/>
          <w:sz w:val="32"/>
          <w:lang w:eastAsia="zh-CN"/>
        </w:rPr>
        <w:t>二、</w:t>
      </w:r>
      <w:r>
        <w:rPr>
          <w:rFonts w:hint="eastAsia" w:ascii="黑体" w:hAnsi="宋体" w:eastAsia="黑体"/>
          <w:color w:val="000000"/>
          <w:sz w:val="32"/>
        </w:rPr>
        <w:t>标准制定的背景</w:t>
      </w:r>
    </w:p>
    <w:p>
      <w:pPr>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广西积极落实教育部等11部门《关于推进中小学生研学旅行的意见》等文件精神，大力推进研学旅行实践工作，进一步挖掘广西研学实践资源，持续深化研学旅游目的地建设，截至2022年12月，广西建立了覆盖全区包括优秀传统文化教育、革命传统教育、国情教育、国防科工、自然生态等五大板块的中小学生研学实践教育基地、营地共727个，其中国家级基（营）地20个，自治区级基（营）地255个。2022年，协助教育厅推动各地教育部门积极开展研学实践教育基地建设、课程建设；各设区市评出基（营）地452个，接待中小学生近二百万人次。当前常态化开展研学旅行活动下对研学旅行目的地建设要求不断增加，为满足常态化开展研学旅行需求，广西应充分发挥资源优势，深化研学旅行目的地标准化建设，通过标准化建设不断丰富目的地研学课程内容和形式、提高目的地导师队伍质量、完善目的地设施服务品质、提升目的地安全保障水平，深化目的地教育、体育、文创、文旅融合，做强广西研学旅行目的地品牌，努力打造全国研学旅行示范区和全国一流研学旅行目的地。</w:t>
      </w:r>
    </w:p>
    <w:p>
      <w:pPr>
        <w:keepNext w:val="0"/>
        <w:keepLines w:val="0"/>
        <w:pageBreakBefore w:val="0"/>
        <w:widowControl w:val="0"/>
        <w:numPr>
          <w:ilvl w:val="0"/>
          <w:numId w:val="0"/>
        </w:numPr>
        <w:kinsoku/>
        <w:wordWrap/>
        <w:overflowPunct/>
        <w:topLinePunct/>
        <w:autoSpaceDE/>
        <w:autoSpaceDN/>
        <w:bidi w:val="0"/>
        <w:adjustRightInd w:val="0"/>
        <w:snapToGrid w:val="0"/>
        <w:spacing w:beforeLines="50" w:afterLines="50" w:line="560" w:lineRule="exact"/>
        <w:ind w:firstLine="640" w:firstLineChars="200"/>
        <w:jc w:val="both"/>
        <w:textAlignment w:val="auto"/>
        <w:outlineLvl w:val="0"/>
        <w:rPr>
          <w:rFonts w:ascii="黑体" w:hAnsi="宋体" w:eastAsia="黑体"/>
          <w:color w:val="000000"/>
          <w:sz w:val="32"/>
        </w:rPr>
      </w:pPr>
      <w:r>
        <w:rPr>
          <w:rFonts w:hint="eastAsia" w:ascii="黑体" w:hAnsi="宋体" w:eastAsia="黑体"/>
          <w:color w:val="000000"/>
          <w:sz w:val="32"/>
          <w:lang w:eastAsia="zh-CN"/>
        </w:rPr>
        <w:t>三、</w:t>
      </w:r>
      <w:r>
        <w:rPr>
          <w:rFonts w:hint="eastAsia" w:ascii="黑体" w:hAnsi="宋体" w:eastAsia="黑体"/>
          <w:color w:val="000000"/>
          <w:sz w:val="32"/>
        </w:rPr>
        <w:t>标准制定意义和必要性</w:t>
      </w:r>
    </w:p>
    <w:p>
      <w:pPr>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研学旅行是培养国家认同感和铸牢中华民族共同体意识的重要手段，有助于促进人的全面发展、提升国民素质、传承中华民族传统文化，目的地建设是研学旅行健康发展的场景支撑，加强研学旅行目的地建设已经成为社会普遍共识。广西研学旅行资源丰富，民族传统文化浓厚，研学旅行目的地建设取得了一定成效，但是起步较晚，建设的标准和规范仍处于起步阶段，没有形成一套完整的标准化建设体系。由于完整和系统的目的地建设标准缺失，研学旅行目的地设施不完善、服务质量参差不齐、产品项目同质化、安全保障不规范等问题未能有效解决，导致广西研学旅行整体水平不高，不能满足市场多元化、高质量需求，缺乏吸引力和竞争力，难以持续健康发展。</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仿宋_GB2312" w:eastAsia="仿宋_GB2312"/>
          <w:spacing w:val="2"/>
          <w:sz w:val="32"/>
          <w:lang w:val="en-US" w:eastAsia="zh-CN"/>
        </w:rPr>
      </w:pPr>
      <w:r>
        <w:rPr>
          <w:rFonts w:hint="eastAsia" w:ascii="Times New Roman" w:hAnsi="Times New Roman" w:eastAsia="仿宋_GB2312" w:cs="Times New Roman"/>
          <w:sz w:val="32"/>
          <w:szCs w:val="32"/>
          <w:lang w:val="en-US" w:eastAsia="zh-CN"/>
        </w:rPr>
        <w:t>目前就标准来看，国标、行标、地标均尚未正式发布研学旅游目的地的具体标准，《广西研学旅行目的地建设规范》团体</w:t>
      </w:r>
      <w:r>
        <w:rPr>
          <w:rFonts w:hint="eastAsia" w:ascii="仿宋_GB2312" w:hAnsi="仿宋_GB2312" w:eastAsia="仿宋_GB2312"/>
          <w:spacing w:val="2"/>
          <w:sz w:val="32"/>
        </w:rPr>
        <w:t>标准的制定，符合广西的实际</w:t>
      </w:r>
      <w:r>
        <w:rPr>
          <w:rFonts w:hint="eastAsia"/>
          <w:spacing w:val="2"/>
          <w:sz w:val="32"/>
          <w:lang w:val="en-US" w:eastAsia="zh-CN"/>
        </w:rPr>
        <w:t>发展</w:t>
      </w:r>
      <w:r>
        <w:rPr>
          <w:rFonts w:hint="eastAsia" w:ascii="仿宋_GB2312" w:hAnsi="仿宋_GB2312" w:eastAsia="仿宋_GB2312"/>
          <w:spacing w:val="2"/>
          <w:sz w:val="32"/>
        </w:rPr>
        <w:t>需求</w:t>
      </w:r>
      <w:r>
        <w:rPr>
          <w:rFonts w:hint="eastAsia" w:ascii="仿宋_GB2312" w:hAnsi="仿宋_GB2312" w:eastAsia="仿宋_GB2312"/>
          <w:spacing w:val="2"/>
          <w:sz w:val="32"/>
          <w:lang w:eastAsia="zh-CN"/>
        </w:rPr>
        <w:t>。</w:t>
      </w:r>
      <w:r>
        <w:rPr>
          <w:rFonts w:hint="eastAsia" w:ascii="仿宋_GB2312" w:hAnsi="仿宋_GB2312" w:eastAsia="仿宋_GB2312"/>
          <w:spacing w:val="2"/>
          <w:sz w:val="32"/>
          <w:lang w:val="en-US" w:eastAsia="zh-CN"/>
        </w:rPr>
        <w:t>完善研学旅行目的地标准建设，细化研学课程、配套设施、产品服务的规范，进一步研学旅行工作协同性，有助于推动研学目的地品质提升与持续健康发展。</w:t>
      </w:r>
    </w:p>
    <w:p>
      <w:pPr>
        <w:keepNext w:val="0"/>
        <w:keepLines w:val="0"/>
        <w:pageBreakBefore w:val="0"/>
        <w:widowControl w:val="0"/>
        <w:numPr>
          <w:ilvl w:val="0"/>
          <w:numId w:val="0"/>
        </w:numPr>
        <w:kinsoku/>
        <w:wordWrap/>
        <w:overflowPunct/>
        <w:topLinePunct/>
        <w:autoSpaceDE/>
        <w:autoSpaceDN/>
        <w:bidi w:val="0"/>
        <w:adjustRightInd w:val="0"/>
        <w:snapToGrid w:val="0"/>
        <w:spacing w:beforeLines="50" w:afterLines="50" w:line="560" w:lineRule="exact"/>
        <w:ind w:firstLine="640" w:firstLineChars="200"/>
        <w:jc w:val="both"/>
        <w:textAlignment w:val="auto"/>
        <w:outlineLvl w:val="0"/>
        <w:rPr>
          <w:rFonts w:ascii="黑体" w:hAnsi="宋体" w:eastAsia="黑体"/>
          <w:color w:val="000000"/>
          <w:sz w:val="32"/>
        </w:rPr>
      </w:pPr>
      <w:r>
        <w:rPr>
          <w:rFonts w:hint="eastAsia" w:ascii="黑体" w:hAnsi="宋体" w:eastAsia="黑体"/>
          <w:color w:val="000000"/>
          <w:sz w:val="32"/>
          <w:lang w:eastAsia="zh-CN"/>
        </w:rPr>
        <w:t>四、</w:t>
      </w:r>
      <w:r>
        <w:rPr>
          <w:rFonts w:hint="eastAsia" w:ascii="黑体" w:hAnsi="宋体" w:eastAsia="黑体"/>
          <w:color w:val="000000"/>
          <w:sz w:val="32"/>
        </w:rPr>
        <w:t>标准制定的依据</w:t>
      </w:r>
    </w:p>
    <w:p>
      <w:pPr>
        <w:keepNext w:val="0"/>
        <w:keepLines w:val="0"/>
        <w:pageBreakBefore w:val="0"/>
        <w:numPr>
          <w:ilvl w:val="0"/>
          <w:numId w:val="0"/>
        </w:numPr>
        <w:kinsoku/>
        <w:wordWrap/>
        <w:overflowPunct/>
        <w:topLinePunct w:val="0"/>
        <w:autoSpaceDE/>
        <w:autoSpaceDN/>
        <w:bidi w:val="0"/>
        <w:adjustRightInd/>
        <w:snapToGrid/>
        <w:spacing w:line="360" w:lineRule="auto"/>
        <w:ind w:firstLine="648" w:firstLineChars="200"/>
        <w:textAlignment w:val="auto"/>
        <w:rPr>
          <w:rFonts w:hint="eastAsia" w:ascii="仿宋_GB2312" w:hAnsi="仿宋_GB2312" w:eastAsia="仿宋_GB2312"/>
          <w:spacing w:val="2"/>
          <w:sz w:val="32"/>
          <w:lang w:val="en-US" w:eastAsia="zh-CN"/>
        </w:rPr>
      </w:pPr>
      <w:r>
        <w:rPr>
          <w:rFonts w:hint="eastAsia" w:ascii="仿宋_GB2312" w:hAnsi="仿宋_GB2312" w:eastAsia="仿宋_GB2312"/>
          <w:spacing w:val="2"/>
          <w:sz w:val="32"/>
          <w:lang w:val="en-US" w:eastAsia="zh-CN"/>
        </w:rPr>
        <w:t>本标准制定以LB/T 054-2016《研学旅行服务规范》为基本依据，充分考虑研学旅行目的地，规划布局、资源条件、基础配套、品牌营销、评价改善，以研学旅行目的地建设为基础</w:t>
      </w:r>
      <w:r>
        <w:rPr>
          <w:rFonts w:hint="eastAsia" w:asciiTheme="minorEastAsia" w:hAnsiTheme="minorEastAsia" w:eastAsiaTheme="minorEastAsia" w:cstheme="minorEastAsia"/>
          <w:sz w:val="21"/>
          <w:szCs w:val="21"/>
          <w:lang w:val="en-US" w:eastAsia="zh-CN"/>
        </w:rPr>
        <w:t>，</w:t>
      </w:r>
      <w:r>
        <w:rPr>
          <w:rFonts w:hint="eastAsia" w:ascii="仿宋_GB2312" w:hAnsi="仿宋_GB2312" w:eastAsia="仿宋_GB2312"/>
          <w:spacing w:val="2"/>
          <w:sz w:val="32"/>
          <w:lang w:val="en-US" w:eastAsia="zh-CN"/>
        </w:rPr>
        <w:t>培育新的经济增长点，推动产业结构优化，助力广西当地经济发展，同时也兼顾文化传承和生态效益提升。</w:t>
      </w:r>
    </w:p>
    <w:p>
      <w:pPr>
        <w:spacing w:line="560" w:lineRule="exact"/>
        <w:ind w:firstLine="640" w:firstLineChars="200"/>
        <w:rPr>
          <w:rFonts w:ascii="黑体" w:hAnsi="黑体" w:eastAsia="黑体" w:cs="黑体"/>
          <w:bCs/>
          <w:color w:val="auto"/>
          <w:sz w:val="32"/>
          <w:szCs w:val="32"/>
        </w:rPr>
      </w:pPr>
      <w:r>
        <w:rPr>
          <w:rFonts w:hint="eastAsia" w:ascii="黑体" w:hAnsi="黑体" w:eastAsia="黑体" w:cs="黑体"/>
          <w:bCs/>
          <w:color w:val="auto"/>
          <w:sz w:val="32"/>
          <w:szCs w:val="32"/>
          <w:lang w:val="en-US" w:eastAsia="zh-CN"/>
        </w:rPr>
        <w:t>五</w:t>
      </w:r>
      <w:r>
        <w:rPr>
          <w:rFonts w:hint="eastAsia" w:ascii="黑体" w:hAnsi="黑体" w:eastAsia="黑体" w:cs="黑体"/>
          <w:bCs/>
          <w:color w:val="auto"/>
          <w:sz w:val="32"/>
          <w:szCs w:val="32"/>
        </w:rPr>
        <w:t>、主要起草过程</w:t>
      </w:r>
    </w:p>
    <w:p>
      <w:pPr>
        <w:spacing w:line="560" w:lineRule="exact"/>
        <w:ind w:firstLine="643" w:firstLineChars="200"/>
        <w:rPr>
          <w:rFonts w:ascii="楷体" w:hAnsi="楷体" w:eastAsia="楷体"/>
          <w:b/>
          <w:color w:val="auto"/>
          <w:sz w:val="32"/>
          <w:szCs w:val="32"/>
          <w:lang w:val="zh-CN"/>
        </w:rPr>
      </w:pPr>
      <w:r>
        <w:rPr>
          <w:rFonts w:hint="eastAsia" w:ascii="楷体" w:hAnsi="楷体" w:eastAsia="楷体"/>
          <w:b/>
          <w:color w:val="auto"/>
          <w:sz w:val="32"/>
          <w:szCs w:val="32"/>
          <w:lang w:val="zh-CN"/>
        </w:rPr>
        <w:t>（一）成立标准编制工作组</w:t>
      </w:r>
    </w:p>
    <w:p>
      <w:pPr>
        <w:spacing w:line="560" w:lineRule="exact"/>
        <w:ind w:firstLine="640" w:firstLineChars="200"/>
        <w:rPr>
          <w:rFonts w:hint="eastAsia" w:ascii="仿宋_GB2312" w:hAnsi="宋体" w:eastAsia="仿宋_GB2312"/>
          <w:color w:val="auto"/>
          <w:sz w:val="32"/>
          <w:szCs w:val="28"/>
          <w:lang w:val="zh-CN"/>
        </w:rPr>
      </w:pPr>
      <w:r>
        <w:rPr>
          <w:rFonts w:hint="eastAsia" w:ascii="仿宋_GB2312" w:hAnsi="宋体" w:eastAsia="仿宋_GB2312"/>
          <w:color w:val="auto"/>
          <w:sz w:val="32"/>
          <w:szCs w:val="28"/>
          <w:lang w:val="zh-CN"/>
        </w:rPr>
        <w:t>团体标准《</w:t>
      </w:r>
      <w:r>
        <w:rPr>
          <w:rFonts w:hint="eastAsia" w:ascii="仿宋_GB2312" w:hAnsi="宋体" w:eastAsia="仿宋_GB2312"/>
          <w:color w:val="auto"/>
          <w:sz w:val="32"/>
          <w:szCs w:val="28"/>
          <w:lang w:val="en-US" w:eastAsia="zh-CN"/>
        </w:rPr>
        <w:t>广西研学旅行目的地建设规范</w:t>
      </w:r>
      <w:r>
        <w:rPr>
          <w:rFonts w:hint="eastAsia" w:ascii="仿宋_GB2312" w:hAnsi="宋体" w:eastAsia="仿宋_GB2312"/>
          <w:color w:val="auto"/>
          <w:sz w:val="32"/>
          <w:szCs w:val="28"/>
          <w:lang w:val="zh-CN"/>
        </w:rPr>
        <w:t>》项目任务下达后，桂林旅游学院、广西旅游协会成立了标准编制工作组，制定了标准编写方案，明确任务职责，确定工作技术路线，开展标准研制工作，具体标准编制工作由</w:t>
      </w:r>
      <w:r>
        <w:rPr>
          <w:rFonts w:hint="eastAsia" w:ascii="Times New Roman" w:hAnsi="Times New Roman" w:eastAsia="仿宋_GB2312" w:cs="Times New Roman"/>
          <w:color w:val="auto"/>
          <w:sz w:val="32"/>
          <w:szCs w:val="32"/>
          <w:lang w:val="en-US" w:eastAsia="zh-CN"/>
        </w:rPr>
        <w:t>桂林旅游学院研学旅行教育研究中心、桂林旅游学院继续教育学院、广西师范大学体育与健康学院、广西旅游协会</w:t>
      </w:r>
      <w:r>
        <w:rPr>
          <w:rFonts w:hint="eastAsia" w:ascii="仿宋_GB2312" w:hAnsi="宋体" w:eastAsia="仿宋_GB2312"/>
          <w:color w:val="auto"/>
          <w:sz w:val="32"/>
          <w:szCs w:val="28"/>
          <w:lang w:val="zh-CN"/>
        </w:rPr>
        <w:t>相关人员配合。编制工作组下设三个小组，分别是资料收集组、草案编写组、标准实施组。</w:t>
      </w:r>
    </w:p>
    <w:p>
      <w:pPr>
        <w:spacing w:line="560" w:lineRule="exact"/>
        <w:ind w:firstLine="640" w:firstLineChars="200"/>
        <w:rPr>
          <w:rFonts w:hint="eastAsia" w:ascii="仿宋_GB2312" w:hAnsi="宋体" w:eastAsia="仿宋_GB2312"/>
          <w:color w:val="auto"/>
          <w:sz w:val="32"/>
          <w:szCs w:val="28"/>
          <w:lang w:val="zh-CN"/>
        </w:rPr>
      </w:pPr>
      <w:r>
        <w:rPr>
          <w:rFonts w:hint="eastAsia" w:ascii="仿宋_GB2312" w:hAnsi="宋体" w:eastAsia="仿宋_GB2312"/>
          <w:color w:val="auto"/>
          <w:sz w:val="32"/>
          <w:szCs w:val="28"/>
          <w:lang w:val="zh-CN"/>
        </w:rPr>
        <w:t>资料收集组：负责国内关于研学旅行行业及相关服务规范文献资料的查询、收集和整理工作，查阅现存关于研学旅行相关</w:t>
      </w:r>
      <w:r>
        <w:rPr>
          <w:rFonts w:hint="eastAsia" w:ascii="仿宋_GB2312" w:hAnsi="宋体" w:eastAsia="仿宋_GB2312"/>
          <w:color w:val="auto"/>
          <w:sz w:val="32"/>
          <w:szCs w:val="28"/>
          <w:lang w:val="en-US" w:eastAsia="zh-CN"/>
        </w:rPr>
        <w:t>服务规范</w:t>
      </w:r>
      <w:r>
        <w:rPr>
          <w:rFonts w:hint="eastAsia" w:ascii="仿宋_GB2312" w:hAnsi="宋体" w:eastAsia="仿宋_GB2312"/>
          <w:color w:val="auto"/>
          <w:sz w:val="32"/>
          <w:szCs w:val="28"/>
          <w:lang w:val="zh-CN"/>
        </w:rPr>
        <w:t>的研究以及国内相关标准的制定。</w:t>
      </w:r>
    </w:p>
    <w:p>
      <w:pPr>
        <w:spacing w:line="560" w:lineRule="exact"/>
        <w:ind w:firstLine="640" w:firstLineChars="200"/>
        <w:rPr>
          <w:rFonts w:hint="eastAsia" w:ascii="仿宋_GB2312" w:hAnsi="宋体" w:eastAsia="仿宋_GB2312"/>
          <w:color w:val="auto"/>
          <w:sz w:val="32"/>
          <w:szCs w:val="28"/>
          <w:lang w:val="zh-CN"/>
        </w:rPr>
      </w:pPr>
      <w:r>
        <w:rPr>
          <w:rFonts w:hint="eastAsia" w:ascii="仿宋_GB2312" w:hAnsi="宋体" w:eastAsia="仿宋_GB2312"/>
          <w:color w:val="auto"/>
          <w:sz w:val="32"/>
          <w:szCs w:val="28"/>
          <w:lang w:val="zh-CN"/>
        </w:rPr>
        <w:t>草案编写组：负责标准立项、征求意见、审定、报批等阶段的标准文本及编制说明的起草工作，包括标准制定过程各阶段标准文本及相关材料的修改和完善。</w:t>
      </w:r>
    </w:p>
    <w:p>
      <w:pPr>
        <w:spacing w:line="560" w:lineRule="exact"/>
        <w:ind w:firstLine="640" w:firstLineChars="200"/>
        <w:rPr>
          <w:rFonts w:hint="eastAsia" w:ascii="仿宋_GB2312" w:hAnsi="宋体" w:eastAsia="仿宋_GB2312"/>
          <w:color w:val="auto"/>
          <w:sz w:val="32"/>
          <w:szCs w:val="28"/>
          <w:lang w:val="zh-CN"/>
        </w:rPr>
      </w:pPr>
      <w:r>
        <w:rPr>
          <w:rFonts w:hint="eastAsia" w:ascii="仿宋_GB2312" w:hAnsi="宋体" w:eastAsia="仿宋_GB2312"/>
          <w:color w:val="auto"/>
          <w:sz w:val="32"/>
          <w:szCs w:val="28"/>
          <w:lang w:val="zh-CN"/>
        </w:rPr>
        <w:t>标准实施组：负责团体标准《</w:t>
      </w:r>
      <w:r>
        <w:rPr>
          <w:rFonts w:hint="eastAsia" w:ascii="仿宋_GB2312" w:hAnsi="宋体" w:eastAsia="仿宋_GB2312"/>
          <w:color w:val="auto"/>
          <w:sz w:val="32"/>
          <w:szCs w:val="28"/>
          <w:lang w:val="en-US" w:eastAsia="zh-CN"/>
        </w:rPr>
        <w:t>广西研学旅行目的地建设规范</w:t>
      </w:r>
      <w:r>
        <w:rPr>
          <w:rFonts w:hint="eastAsia" w:ascii="仿宋_GB2312" w:hAnsi="宋体" w:eastAsia="仿宋_GB2312"/>
          <w:color w:val="auto"/>
          <w:sz w:val="32"/>
          <w:szCs w:val="28"/>
          <w:lang w:val="zh-CN"/>
        </w:rPr>
        <w:t>》标准发布后，组织、</w:t>
      </w:r>
      <w:r>
        <w:rPr>
          <w:rFonts w:hint="eastAsia" w:ascii="仿宋_GB2312" w:hAnsi="宋体" w:eastAsia="仿宋_GB2312"/>
          <w:color w:val="auto"/>
          <w:sz w:val="32"/>
          <w:szCs w:val="28"/>
          <w:lang w:val="en-US" w:eastAsia="zh-CN"/>
        </w:rPr>
        <w:t>研学机构、培训机构、高校、中小学校、研学实践教育基（营）地及</w:t>
      </w:r>
      <w:r>
        <w:rPr>
          <w:rFonts w:hint="eastAsia" w:ascii="仿宋_GB2312" w:hAnsi="宋体" w:eastAsia="仿宋_GB2312"/>
          <w:color w:val="auto"/>
          <w:sz w:val="32"/>
          <w:szCs w:val="28"/>
          <w:lang w:val="zh-CN"/>
        </w:rPr>
        <w:t>相关部门等，开展标准宣贯培训会，对标准进行研讨和详细解读，使相关人员了解标准，熟悉标准，并能熟练运用标准；为确保标准的实施效果和综合运用率，对标准实施情况进行总结分析，对标准提出持续改进意见。</w:t>
      </w:r>
    </w:p>
    <w:p>
      <w:pPr>
        <w:spacing w:line="560" w:lineRule="exact"/>
        <w:ind w:firstLine="643" w:firstLineChars="200"/>
        <w:rPr>
          <w:rFonts w:ascii="楷体" w:hAnsi="楷体" w:eastAsia="楷体"/>
          <w:b/>
          <w:color w:val="auto"/>
          <w:sz w:val="32"/>
          <w:szCs w:val="32"/>
          <w:lang w:val="zh-CN"/>
        </w:rPr>
      </w:pPr>
      <w:r>
        <w:rPr>
          <w:rFonts w:hint="eastAsia" w:ascii="楷体" w:hAnsi="楷体" w:eastAsia="楷体"/>
          <w:b/>
          <w:color w:val="auto"/>
          <w:sz w:val="32"/>
          <w:szCs w:val="32"/>
          <w:lang w:val="zh-CN"/>
        </w:rPr>
        <w:t>（二）收集整理文献资料</w:t>
      </w:r>
    </w:p>
    <w:p>
      <w:pPr>
        <w:spacing w:line="560" w:lineRule="exact"/>
        <w:ind w:firstLine="640" w:firstLineChars="200"/>
        <w:rPr>
          <w:rFonts w:ascii="仿宋_GB2312" w:hAnsi="宋体" w:eastAsia="仿宋_GB2312"/>
          <w:color w:val="auto"/>
          <w:sz w:val="32"/>
          <w:szCs w:val="28"/>
          <w:lang w:val="zh-CN"/>
        </w:rPr>
      </w:pPr>
      <w:r>
        <w:rPr>
          <w:rFonts w:hint="eastAsia" w:ascii="仿宋_GB2312" w:hAnsi="宋体" w:eastAsia="仿宋_GB2312"/>
          <w:color w:val="auto"/>
          <w:sz w:val="32"/>
          <w:szCs w:val="28"/>
          <w:lang w:val="zh-CN"/>
        </w:rPr>
        <w:t>标准编制工作组收集了</w:t>
      </w:r>
      <w:r>
        <w:rPr>
          <w:rFonts w:hint="eastAsia" w:ascii="仿宋_GB2312" w:hAnsi="宋体" w:eastAsia="仿宋_GB2312"/>
          <w:color w:val="auto"/>
          <w:sz w:val="32"/>
          <w:szCs w:val="28"/>
          <w:lang w:val="en-US" w:eastAsia="zh-CN"/>
        </w:rPr>
        <w:t>研学旅行及旅游业方面</w:t>
      </w:r>
      <w:r>
        <w:rPr>
          <w:rFonts w:hint="eastAsia" w:ascii="仿宋_GB2312" w:hAnsi="宋体" w:eastAsia="仿宋_GB2312"/>
          <w:color w:val="auto"/>
          <w:sz w:val="32"/>
          <w:szCs w:val="28"/>
          <w:lang w:val="zh-CN"/>
        </w:rPr>
        <w:t>相关文献资料。具体列出如下：</w:t>
      </w:r>
    </w:p>
    <w:p>
      <w:pPr>
        <w:spacing w:line="560" w:lineRule="exact"/>
        <w:ind w:firstLine="640" w:firstLineChars="200"/>
        <w:rPr>
          <w:rFonts w:hint="eastAsia" w:ascii="仿宋_GB2312" w:hAnsi="宋体" w:eastAsia="仿宋_GB2312"/>
          <w:color w:val="auto"/>
          <w:sz w:val="32"/>
          <w:szCs w:val="28"/>
          <w:lang w:val="en-US" w:eastAsia="zh-CN"/>
        </w:rPr>
      </w:pPr>
      <w:r>
        <w:rPr>
          <w:rFonts w:hint="eastAsia" w:ascii="仿宋_GB2312" w:hAnsi="宋体" w:eastAsia="仿宋_GB2312"/>
          <w:color w:val="auto"/>
          <w:sz w:val="32"/>
          <w:szCs w:val="28"/>
          <w:lang w:val="en-US" w:eastAsia="zh-CN"/>
        </w:rPr>
        <w:t>1.</w:t>
      </w:r>
      <w:r>
        <w:rPr>
          <w:rFonts w:hint="eastAsia" w:ascii="仿宋_GB2312" w:hAnsi="宋体" w:eastAsia="仿宋_GB2312"/>
          <w:color w:val="auto"/>
          <w:sz w:val="32"/>
          <w:szCs w:val="28"/>
          <w:lang w:val="zh-CN"/>
        </w:rPr>
        <w:t>标准类：</w:t>
      </w:r>
      <w:r>
        <w:rPr>
          <w:rFonts w:hint="eastAsia" w:ascii="仿宋_GB2312" w:hAnsi="宋体" w:eastAsia="仿宋_GB2312"/>
          <w:color w:val="auto"/>
          <w:sz w:val="32"/>
          <w:szCs w:val="28"/>
          <w:lang w:val="en-US" w:eastAsia="zh-CN"/>
        </w:rPr>
        <w:t>GB/T1 4308《旅游饭店星级的划分与评定》、GB 5768《道路交通标志和标线》、</w:t>
      </w:r>
      <w:r>
        <w:rPr>
          <w:rFonts w:hint="default" w:ascii="仿宋_GB2312" w:hAnsi="宋体" w:eastAsia="仿宋_GB2312"/>
          <w:color w:val="auto"/>
          <w:sz w:val="32"/>
          <w:szCs w:val="28"/>
          <w:lang w:val="en-US" w:eastAsia="zh-CN"/>
        </w:rPr>
        <w:t>GB/T 38372-2020</w:t>
      </w:r>
      <w:r>
        <w:rPr>
          <w:rFonts w:hint="eastAsia" w:ascii="仿宋_GB2312" w:hAnsi="宋体" w:eastAsia="仿宋_GB2312"/>
          <w:color w:val="auto"/>
          <w:sz w:val="32"/>
          <w:szCs w:val="28"/>
          <w:lang w:val="en-US" w:eastAsia="zh-CN"/>
        </w:rPr>
        <w:t>《企业品牌培育指南》、</w:t>
      </w:r>
      <w:r>
        <w:rPr>
          <w:rFonts w:hint="eastAsia" w:ascii="仿宋_GB2312" w:hAnsi="宋体" w:eastAsia="仿宋_GB2312"/>
          <w:color w:val="auto"/>
          <w:sz w:val="32"/>
          <w:szCs w:val="28"/>
          <w:lang w:val="en-US" w:eastAsia="zh-CN"/>
        </w:rPr>
        <w:fldChar w:fldCharType="begin"/>
      </w:r>
      <w:r>
        <w:rPr>
          <w:rFonts w:hint="eastAsia" w:ascii="仿宋_GB2312" w:hAnsi="宋体" w:eastAsia="仿宋_GB2312"/>
          <w:color w:val="auto"/>
          <w:sz w:val="32"/>
          <w:szCs w:val="28"/>
          <w:lang w:val="en-US" w:eastAsia="zh-CN"/>
        </w:rPr>
        <w:instrText xml:space="preserve"> HYPERLINK "https://std.samr.gov.cn/gb/search/gbDetailed?id=FDF88DC74568D15DE05397BE0A0AE50F" \t "https://std.samr.gov.cn/gb/_blank" </w:instrText>
      </w:r>
      <w:r>
        <w:rPr>
          <w:rFonts w:hint="eastAsia" w:ascii="仿宋_GB2312" w:hAnsi="宋体" w:eastAsia="仿宋_GB2312"/>
          <w:color w:val="auto"/>
          <w:sz w:val="32"/>
          <w:szCs w:val="28"/>
          <w:lang w:val="en-US" w:eastAsia="zh-CN"/>
        </w:rPr>
        <w:fldChar w:fldCharType="separate"/>
      </w:r>
      <w:r>
        <w:rPr>
          <w:rFonts w:hint="eastAsia" w:ascii="仿宋_GB2312" w:hAnsi="宋体" w:eastAsia="仿宋_GB2312"/>
          <w:color w:val="auto"/>
          <w:sz w:val="32"/>
          <w:szCs w:val="28"/>
          <w:lang w:val="en-US" w:eastAsia="zh-CN"/>
        </w:rPr>
        <w:t>GB/T 33497-2023</w:t>
      </w:r>
      <w:r>
        <w:rPr>
          <w:rFonts w:hint="eastAsia" w:ascii="仿宋_GB2312" w:hAnsi="宋体" w:eastAsia="仿宋_GB2312"/>
          <w:color w:val="auto"/>
          <w:sz w:val="32"/>
          <w:szCs w:val="28"/>
          <w:lang w:val="en-US" w:eastAsia="zh-CN"/>
        </w:rPr>
        <w:fldChar w:fldCharType="end"/>
      </w:r>
      <w:r>
        <w:rPr>
          <w:rFonts w:hint="eastAsia" w:ascii="仿宋_GB2312" w:hAnsi="宋体" w:eastAsia="仿宋_GB2312"/>
          <w:color w:val="auto"/>
          <w:sz w:val="32"/>
          <w:szCs w:val="28"/>
          <w:lang w:val="en-US" w:eastAsia="zh-CN"/>
        </w:rPr>
        <w:t>《餐饮企业质量管理规范》、LB/T 054-2016《研学旅行服务规范》。</w:t>
      </w:r>
    </w:p>
    <w:p>
      <w:pPr>
        <w:spacing w:line="560" w:lineRule="exact"/>
        <w:ind w:firstLine="640" w:firstLineChars="200"/>
        <w:rPr>
          <w:rFonts w:hint="eastAsia" w:ascii="仿宋_GB2312" w:hAnsi="宋体" w:eastAsia="仿宋_GB2312"/>
          <w:color w:val="auto"/>
          <w:sz w:val="32"/>
          <w:szCs w:val="28"/>
          <w:lang w:val="en-US" w:eastAsia="zh-CN"/>
        </w:rPr>
      </w:pPr>
      <w:r>
        <w:rPr>
          <w:rFonts w:hint="eastAsia" w:ascii="仿宋_GB2312" w:hAnsi="宋体" w:eastAsia="仿宋_GB2312"/>
          <w:color w:val="auto"/>
          <w:sz w:val="32"/>
          <w:szCs w:val="28"/>
          <w:lang w:val="en-US" w:eastAsia="zh-CN"/>
        </w:rPr>
        <w:t>2.著作类：《研学旅行概论》《研学旅行基础》《旅游目的地地格理论研究》《旅游地理学》《区域旅游规划原理》。</w:t>
      </w:r>
    </w:p>
    <w:p>
      <w:pPr>
        <w:spacing w:line="560" w:lineRule="exact"/>
        <w:ind w:firstLine="640" w:firstLineChars="200"/>
        <w:rPr>
          <w:rFonts w:hint="eastAsia" w:ascii="仿宋_GB2312" w:hAnsi="宋体" w:eastAsia="仿宋_GB2312"/>
          <w:color w:val="auto"/>
          <w:sz w:val="32"/>
          <w:szCs w:val="28"/>
          <w:lang w:val="zh-CN"/>
        </w:rPr>
      </w:pPr>
      <w:r>
        <w:rPr>
          <w:rFonts w:hint="eastAsia" w:ascii="仿宋_GB2312" w:hAnsi="宋体" w:eastAsia="仿宋_GB2312"/>
          <w:color w:val="auto"/>
          <w:sz w:val="32"/>
          <w:szCs w:val="28"/>
          <w:lang w:val="en-US" w:eastAsia="zh-CN"/>
        </w:rPr>
        <w:t>3.</w:t>
      </w:r>
      <w:r>
        <w:rPr>
          <w:rFonts w:hint="eastAsia" w:ascii="仿宋_GB2312" w:hAnsi="宋体" w:eastAsia="仿宋_GB2312"/>
          <w:color w:val="auto"/>
          <w:sz w:val="32"/>
          <w:szCs w:val="28"/>
          <w:lang w:val="zh-CN"/>
        </w:rPr>
        <w:t>科研文献类：</w:t>
      </w:r>
      <w:r>
        <w:rPr>
          <w:rFonts w:hint="eastAsia" w:ascii="仿宋_GB2312" w:hAnsi="宋体" w:eastAsia="仿宋_GB2312"/>
          <w:color w:val="auto"/>
          <w:sz w:val="32"/>
          <w:szCs w:val="28"/>
          <w:lang w:val="en-US" w:eastAsia="zh-CN"/>
        </w:rPr>
        <w:t>2013年第三期《</w:t>
      </w:r>
      <w:r>
        <w:rPr>
          <w:rFonts w:hint="eastAsia" w:ascii="仿宋_GB2312" w:hAnsi="宋体" w:eastAsia="仿宋_GB2312"/>
          <w:color w:val="auto"/>
          <w:sz w:val="32"/>
          <w:szCs w:val="28"/>
          <w:lang w:val="zh-CN"/>
        </w:rPr>
        <w:t>中国藏学</w:t>
      </w:r>
      <w:r>
        <w:rPr>
          <w:rFonts w:hint="eastAsia" w:ascii="仿宋_GB2312" w:hAnsi="宋体" w:eastAsia="仿宋_GB2312"/>
          <w:color w:val="auto"/>
          <w:sz w:val="32"/>
          <w:szCs w:val="28"/>
          <w:lang w:val="en-US" w:eastAsia="zh-CN"/>
        </w:rPr>
        <w:t>》</w:t>
      </w:r>
      <w:r>
        <w:rPr>
          <w:rFonts w:hint="eastAsia" w:ascii="仿宋_GB2312" w:hAnsi="宋体" w:eastAsia="仿宋_GB2312"/>
          <w:color w:val="auto"/>
          <w:sz w:val="32"/>
          <w:szCs w:val="28"/>
          <w:lang w:val="zh-CN"/>
        </w:rPr>
        <w:t>杂志上发表的西藏建设世界级旅游目的地差距诊断及战略选择研究——基于评估体系视角。</w:t>
      </w:r>
    </w:p>
    <w:p>
      <w:pPr>
        <w:spacing w:line="560" w:lineRule="exact"/>
        <w:ind w:firstLine="321" w:firstLineChars="100"/>
        <w:rPr>
          <w:rFonts w:ascii="楷体" w:hAnsi="楷体" w:eastAsia="楷体"/>
          <w:b/>
          <w:color w:val="auto"/>
          <w:sz w:val="32"/>
          <w:szCs w:val="32"/>
          <w:lang w:val="zh-CN"/>
        </w:rPr>
      </w:pPr>
      <w:r>
        <w:rPr>
          <w:rFonts w:hint="eastAsia" w:ascii="楷体" w:hAnsi="楷体" w:eastAsia="楷体"/>
          <w:b/>
          <w:color w:val="auto"/>
          <w:sz w:val="32"/>
          <w:szCs w:val="32"/>
          <w:lang w:val="zh-CN"/>
        </w:rPr>
        <w:t>（三）研讨确定标准主体内容</w:t>
      </w:r>
    </w:p>
    <w:p>
      <w:pPr>
        <w:spacing w:line="560" w:lineRule="exact"/>
        <w:ind w:firstLine="640" w:firstLineChars="200"/>
        <w:rPr>
          <w:rFonts w:ascii="仿宋_GB2312" w:hAnsi="宋体" w:eastAsia="仿宋_GB2312"/>
          <w:color w:val="auto"/>
          <w:sz w:val="32"/>
          <w:szCs w:val="28"/>
          <w:lang w:val="zh-CN"/>
        </w:rPr>
      </w:pPr>
      <w:r>
        <w:rPr>
          <w:rFonts w:hint="eastAsia" w:ascii="仿宋_GB2312" w:hAnsi="宋体" w:eastAsia="仿宋_GB2312"/>
          <w:color w:val="auto"/>
          <w:sz w:val="32"/>
          <w:szCs w:val="28"/>
          <w:lang w:val="zh-CN"/>
        </w:rPr>
        <w:t>标准编制工作组在对收集的资料进行整理研究后，标准编制工作组召开了标准编制会议，对标准的整体框架进行了研究，并对标准的关键性问题进行了初步探讨。经过研究，本文件界定了</w:t>
      </w:r>
      <w:r>
        <w:rPr>
          <w:rFonts w:hint="eastAsia" w:ascii="仿宋_GB2312" w:hAnsi="宋体" w:eastAsia="仿宋_GB2312"/>
          <w:color w:val="auto"/>
          <w:sz w:val="32"/>
          <w:szCs w:val="28"/>
          <w:lang w:val="en-US" w:eastAsia="zh-CN"/>
        </w:rPr>
        <w:t>研学旅行目的地建设</w:t>
      </w:r>
      <w:r>
        <w:rPr>
          <w:rFonts w:hint="eastAsia" w:ascii="仿宋_GB2312" w:hAnsi="宋体" w:eastAsia="仿宋_GB2312"/>
          <w:color w:val="auto"/>
          <w:sz w:val="32"/>
          <w:szCs w:val="28"/>
          <w:lang w:val="zh-CN"/>
        </w:rPr>
        <w:t>涉及的术语和定义，规定了研学旅行</w:t>
      </w:r>
      <w:r>
        <w:rPr>
          <w:rFonts w:hint="eastAsia" w:ascii="仿宋_GB2312" w:hAnsi="宋体" w:eastAsia="仿宋_GB2312"/>
          <w:color w:val="auto"/>
          <w:sz w:val="32"/>
          <w:szCs w:val="28"/>
          <w:lang w:val="en-US" w:eastAsia="zh-CN"/>
        </w:rPr>
        <w:t>目的地建设的</w:t>
      </w:r>
      <w:r>
        <w:rPr>
          <w:rFonts w:hint="eastAsia" w:ascii="仿宋_GB2312" w:hAnsi="宋体" w:eastAsia="仿宋_GB2312"/>
          <w:color w:val="auto"/>
          <w:sz w:val="32"/>
          <w:szCs w:val="28"/>
          <w:lang w:val="zh-CN"/>
        </w:rPr>
        <w:t>的</w:t>
      </w:r>
      <w:r>
        <w:rPr>
          <w:rFonts w:hint="eastAsia" w:ascii="仿宋_GB2312" w:hAnsi="仿宋_GB2312" w:eastAsia="仿宋_GB2312" w:cs="Times New Roman"/>
          <w:color w:val="auto"/>
          <w:spacing w:val="2"/>
          <w:kern w:val="0"/>
          <w:sz w:val="32"/>
          <w:szCs w:val="24"/>
          <w:lang w:val="en-US" w:eastAsia="zh-CN" w:bidi="ar-SA"/>
        </w:rPr>
        <w:t>总体要求、规划布局、资源条件、基础配套、品牌营销、评价改善。</w:t>
      </w:r>
      <w:r>
        <w:rPr>
          <w:rFonts w:hint="eastAsia" w:ascii="仿宋_GB2312" w:hAnsi="宋体" w:eastAsia="仿宋_GB2312"/>
          <w:color w:val="auto"/>
          <w:sz w:val="32"/>
          <w:szCs w:val="28"/>
          <w:lang w:val="zh-CN"/>
        </w:rPr>
        <w:t>本文件适用于广西行政区域内</w:t>
      </w:r>
      <w:r>
        <w:rPr>
          <w:rFonts w:hint="eastAsia" w:ascii="仿宋_GB2312" w:hAnsi="宋体" w:eastAsia="仿宋_GB2312"/>
          <w:color w:val="auto"/>
          <w:sz w:val="32"/>
          <w:szCs w:val="28"/>
          <w:lang w:val="en-US" w:eastAsia="zh-CN"/>
        </w:rPr>
        <w:t>研学</w:t>
      </w:r>
      <w:r>
        <w:rPr>
          <w:rFonts w:hint="eastAsia" w:ascii="仿宋_GB2312" w:hAnsi="宋体" w:eastAsia="仿宋_GB2312"/>
          <w:color w:val="auto"/>
          <w:sz w:val="32"/>
          <w:szCs w:val="28"/>
          <w:lang w:val="zh-CN"/>
        </w:rPr>
        <w:t>旅行</w:t>
      </w:r>
      <w:r>
        <w:rPr>
          <w:rFonts w:hint="eastAsia" w:ascii="仿宋_GB2312" w:hAnsi="宋体" w:eastAsia="仿宋_GB2312"/>
          <w:color w:val="auto"/>
          <w:sz w:val="32"/>
          <w:szCs w:val="28"/>
          <w:lang w:val="en-US" w:eastAsia="zh-CN"/>
        </w:rPr>
        <w:t>目的地建设</w:t>
      </w:r>
      <w:r>
        <w:rPr>
          <w:rFonts w:hint="eastAsia" w:ascii="仿宋_GB2312" w:hAnsi="宋体" w:eastAsia="仿宋_GB2312"/>
          <w:color w:val="auto"/>
          <w:sz w:val="32"/>
          <w:szCs w:val="28"/>
          <w:lang w:val="zh-CN"/>
        </w:rPr>
        <w:t>。</w:t>
      </w:r>
    </w:p>
    <w:p>
      <w:pPr>
        <w:numPr>
          <w:ilvl w:val="0"/>
          <w:numId w:val="3"/>
        </w:numPr>
        <w:spacing w:line="560" w:lineRule="exact"/>
        <w:ind w:firstLine="643" w:firstLineChars="200"/>
        <w:rPr>
          <w:rFonts w:hint="eastAsia" w:ascii="楷体" w:hAnsi="楷体" w:eastAsia="楷体"/>
          <w:b/>
          <w:color w:val="auto"/>
          <w:sz w:val="32"/>
          <w:szCs w:val="32"/>
          <w:lang w:val="zh-CN"/>
        </w:rPr>
      </w:pPr>
      <w:r>
        <w:rPr>
          <w:rFonts w:hint="eastAsia" w:ascii="楷体" w:hAnsi="楷体" w:eastAsia="楷体"/>
          <w:b/>
          <w:color w:val="auto"/>
          <w:sz w:val="32"/>
          <w:szCs w:val="32"/>
          <w:lang w:val="zh-CN"/>
        </w:rPr>
        <w:t>调研</w:t>
      </w:r>
      <w:r>
        <w:rPr>
          <w:rFonts w:ascii="楷体" w:hAnsi="楷体" w:eastAsia="楷体"/>
          <w:b/>
          <w:color w:val="auto"/>
          <w:sz w:val="32"/>
          <w:szCs w:val="32"/>
          <w:lang w:val="zh-CN"/>
        </w:rPr>
        <w:t>、</w:t>
      </w:r>
      <w:r>
        <w:rPr>
          <w:rFonts w:hint="eastAsia" w:ascii="楷体" w:hAnsi="楷体" w:eastAsia="楷体"/>
          <w:b/>
          <w:color w:val="auto"/>
          <w:sz w:val="32"/>
          <w:szCs w:val="32"/>
          <w:lang w:val="zh-CN"/>
        </w:rPr>
        <w:t>形成文本草案、征求意见稿</w:t>
      </w:r>
    </w:p>
    <w:p>
      <w:pPr>
        <w:spacing w:line="560" w:lineRule="exact"/>
        <w:ind w:firstLine="640" w:firstLineChars="200"/>
        <w:rPr>
          <w:rFonts w:hint="eastAsia" w:ascii="仿宋_GB2312" w:hAnsi="宋体" w:eastAsia="仿宋_GB2312"/>
          <w:color w:val="auto"/>
          <w:sz w:val="32"/>
          <w:szCs w:val="28"/>
          <w:lang w:val="zh-CN"/>
        </w:rPr>
      </w:pPr>
      <w:r>
        <w:rPr>
          <w:rFonts w:hint="eastAsia" w:ascii="仿宋_GB2312" w:hAnsi="宋体" w:eastAsia="仿宋_GB2312"/>
          <w:color w:val="auto"/>
          <w:sz w:val="32"/>
          <w:szCs w:val="28"/>
          <w:lang w:val="zh-CN" w:eastAsia="zh-CN"/>
        </w:rPr>
        <w:t>近期经在区内进行了广泛的实地调研工作，曾对南宁万达茂文化产业有限公司、广西南宁大王滩经济开发中心、美丽南方青瓦房古村落、桂平市金田起义博物馆、黄姚乐耘庄园基地、广西五彩田园研学实践与劳动教育营地、广西铜石岭国际旅游度假区中小学生研学实践教育基地、北海市海洋之窗生物科技展览有限公司、柳州市龙潭公园等进行了深入调研，取得了</w:t>
      </w:r>
      <w:r>
        <w:rPr>
          <w:rFonts w:hint="eastAsia" w:ascii="仿宋_GB2312" w:hAnsi="宋体" w:eastAsia="仿宋_GB2312"/>
          <w:color w:val="auto"/>
          <w:sz w:val="32"/>
          <w:szCs w:val="28"/>
          <w:lang w:val="zh-CN"/>
        </w:rPr>
        <w:t>研学旅行相关信息</w:t>
      </w:r>
      <w:r>
        <w:rPr>
          <w:rFonts w:hint="eastAsia" w:ascii="仿宋_GB2312" w:hAnsi="宋体" w:eastAsia="仿宋_GB2312"/>
          <w:color w:val="auto"/>
          <w:sz w:val="32"/>
          <w:szCs w:val="28"/>
          <w:lang w:val="en-US" w:eastAsia="zh-CN"/>
        </w:rPr>
        <w:t>和数据</w:t>
      </w:r>
      <w:r>
        <w:rPr>
          <w:rFonts w:hint="eastAsia" w:ascii="仿宋_GB2312" w:hAnsi="宋体" w:eastAsia="仿宋_GB2312"/>
          <w:color w:val="auto"/>
          <w:sz w:val="32"/>
          <w:szCs w:val="28"/>
          <w:lang w:val="zh-CN"/>
        </w:rPr>
        <w:t>，对本</w:t>
      </w:r>
      <w:r>
        <w:rPr>
          <w:rFonts w:hint="eastAsia" w:ascii="仿宋_GB2312" w:hAnsi="宋体" w:eastAsia="仿宋_GB2312"/>
          <w:color w:val="auto"/>
          <w:sz w:val="32"/>
          <w:szCs w:val="28"/>
          <w:lang w:val="en-US" w:eastAsia="zh-CN"/>
        </w:rPr>
        <w:t>文件</w:t>
      </w:r>
      <w:r>
        <w:rPr>
          <w:rFonts w:hint="eastAsia" w:ascii="仿宋_GB2312" w:hAnsi="宋体" w:eastAsia="仿宋_GB2312"/>
          <w:color w:val="auto"/>
          <w:sz w:val="32"/>
          <w:szCs w:val="28"/>
          <w:lang w:val="zh-CN"/>
        </w:rPr>
        <w:t>的编制提供研究基础。</w:t>
      </w:r>
    </w:p>
    <w:p>
      <w:pPr>
        <w:spacing w:line="560" w:lineRule="exact"/>
        <w:ind w:firstLine="640" w:firstLineChars="200"/>
        <w:rPr>
          <w:rFonts w:hint="eastAsia" w:ascii="仿宋_GB2312" w:hAnsi="宋体" w:eastAsia="仿宋_GB2312" w:cs="Times New Roman"/>
          <w:color w:val="0000FF"/>
          <w:sz w:val="32"/>
          <w:szCs w:val="28"/>
          <w:lang w:val="zh-CN"/>
        </w:rPr>
      </w:pPr>
      <w:r>
        <w:rPr>
          <w:rFonts w:hint="eastAsia" w:ascii="仿宋_GB2312" w:hAnsi="宋体" w:eastAsia="仿宋_GB2312"/>
          <w:color w:val="auto"/>
          <w:sz w:val="32"/>
          <w:szCs w:val="28"/>
          <w:lang w:val="zh-CN"/>
        </w:rPr>
        <w:t>202</w:t>
      </w:r>
      <w:r>
        <w:rPr>
          <w:rFonts w:ascii="仿宋_GB2312" w:hAnsi="宋体" w:eastAsia="仿宋_GB2312"/>
          <w:color w:val="auto"/>
          <w:sz w:val="32"/>
          <w:szCs w:val="28"/>
          <w:lang w:val="zh-CN"/>
        </w:rPr>
        <w:t>3</w:t>
      </w:r>
      <w:r>
        <w:rPr>
          <w:rFonts w:hint="eastAsia" w:ascii="仿宋_GB2312" w:hAnsi="宋体" w:eastAsia="仿宋_GB2312"/>
          <w:color w:val="auto"/>
          <w:sz w:val="32"/>
          <w:szCs w:val="28"/>
          <w:lang w:val="zh-CN"/>
        </w:rPr>
        <w:t>年</w:t>
      </w:r>
      <w:r>
        <w:rPr>
          <w:rFonts w:hint="eastAsia" w:ascii="仿宋_GB2312" w:hAnsi="宋体" w:eastAsia="仿宋_GB2312"/>
          <w:color w:val="auto"/>
          <w:sz w:val="32"/>
          <w:szCs w:val="28"/>
          <w:lang w:val="en-US" w:eastAsia="zh-CN"/>
        </w:rPr>
        <w:t>6</w:t>
      </w:r>
      <w:r>
        <w:rPr>
          <w:rFonts w:hint="eastAsia" w:ascii="仿宋_GB2312" w:hAnsi="宋体" w:eastAsia="仿宋_GB2312"/>
          <w:color w:val="auto"/>
          <w:sz w:val="32"/>
          <w:szCs w:val="28"/>
          <w:lang w:val="zh-CN"/>
        </w:rPr>
        <w:t>月～202</w:t>
      </w:r>
      <w:r>
        <w:rPr>
          <w:rFonts w:ascii="仿宋_GB2312" w:hAnsi="宋体" w:eastAsia="仿宋_GB2312"/>
          <w:color w:val="auto"/>
          <w:sz w:val="32"/>
          <w:szCs w:val="28"/>
          <w:lang w:val="zh-CN"/>
        </w:rPr>
        <w:t>3</w:t>
      </w:r>
      <w:r>
        <w:rPr>
          <w:rFonts w:hint="eastAsia" w:ascii="仿宋_GB2312" w:hAnsi="宋体" w:eastAsia="仿宋_GB2312"/>
          <w:color w:val="auto"/>
          <w:sz w:val="32"/>
          <w:szCs w:val="28"/>
          <w:lang w:val="zh-CN"/>
        </w:rPr>
        <w:t>年</w:t>
      </w:r>
      <w:r>
        <w:rPr>
          <w:rFonts w:hint="eastAsia" w:ascii="仿宋_GB2312" w:hAnsi="宋体" w:eastAsia="仿宋_GB2312"/>
          <w:color w:val="auto"/>
          <w:sz w:val="32"/>
          <w:szCs w:val="28"/>
          <w:lang w:val="en-US" w:eastAsia="zh-CN"/>
        </w:rPr>
        <w:t>7</w:t>
      </w:r>
      <w:r>
        <w:rPr>
          <w:rFonts w:hint="eastAsia" w:ascii="仿宋_GB2312" w:hAnsi="宋体" w:eastAsia="仿宋_GB2312"/>
          <w:color w:val="auto"/>
          <w:sz w:val="32"/>
          <w:szCs w:val="28"/>
          <w:lang w:val="zh-CN"/>
        </w:rPr>
        <w:t>月，标准起草工作小组进行了广泛实地调研工作，查阅了大量的国内外文献资料，</w:t>
      </w:r>
      <w:r>
        <w:rPr>
          <w:rFonts w:hint="eastAsia" w:ascii="仿宋_GB2312" w:hAnsi="宋体" w:eastAsia="仿宋_GB2312" w:cs="Times New Roman"/>
          <w:color w:val="auto"/>
          <w:sz w:val="32"/>
          <w:szCs w:val="28"/>
          <w:lang w:val="zh-CN"/>
        </w:rPr>
        <w:t>对</w:t>
      </w:r>
      <w:r>
        <w:rPr>
          <w:rFonts w:hint="eastAsia" w:ascii="仿宋_GB2312" w:hAnsi="宋体" w:eastAsia="仿宋_GB2312" w:cs="Times New Roman"/>
          <w:color w:val="auto"/>
          <w:sz w:val="32"/>
          <w:szCs w:val="28"/>
          <w:lang w:val="en-US" w:eastAsia="zh-CN"/>
        </w:rPr>
        <w:t>广西</w:t>
      </w:r>
      <w:r>
        <w:rPr>
          <w:rFonts w:hint="eastAsia" w:ascii="仿宋_GB2312" w:hAnsi="宋体" w:eastAsia="仿宋_GB2312" w:cs="Times New Roman"/>
          <w:color w:val="auto"/>
          <w:sz w:val="32"/>
          <w:szCs w:val="28"/>
          <w:lang w:val="zh-CN"/>
        </w:rPr>
        <w:t>研学旅行</w:t>
      </w:r>
      <w:r>
        <w:rPr>
          <w:rFonts w:hint="eastAsia" w:ascii="仿宋_GB2312" w:hAnsi="宋体" w:eastAsia="仿宋_GB2312" w:cs="Times New Roman"/>
          <w:color w:val="auto"/>
          <w:sz w:val="32"/>
          <w:szCs w:val="28"/>
          <w:lang w:val="en-US" w:eastAsia="zh-CN"/>
        </w:rPr>
        <w:t>目的地建设情况</w:t>
      </w:r>
      <w:r>
        <w:rPr>
          <w:rFonts w:hint="eastAsia" w:ascii="仿宋_GB2312" w:hAnsi="宋体" w:eastAsia="仿宋_GB2312" w:cs="Times New Roman"/>
          <w:color w:val="auto"/>
          <w:sz w:val="32"/>
          <w:szCs w:val="28"/>
          <w:lang w:val="zh-CN"/>
        </w:rPr>
        <w:t>进行系统总结。经编制组反复讨论，形成了标</w:t>
      </w:r>
      <w:r>
        <w:rPr>
          <w:rFonts w:hint="eastAsia" w:ascii="仿宋_GB2312" w:hAnsi="宋体" w:eastAsia="仿宋_GB2312"/>
          <w:color w:val="auto"/>
          <w:sz w:val="32"/>
          <w:szCs w:val="28"/>
          <w:lang w:val="zh-CN"/>
        </w:rPr>
        <w:t>准的基本构架，对主要内容进行了讨论并对项目的工作进行了部署和安排。在前期工作的基础之上，通过理清逻辑脉络，整合已有的参考资料中有</w:t>
      </w:r>
      <w:r>
        <w:rPr>
          <w:rFonts w:hint="eastAsia" w:ascii="仿宋_GB2312" w:hAnsi="宋体" w:eastAsia="仿宋_GB2312" w:cs="Times New Roman"/>
          <w:color w:val="auto"/>
          <w:sz w:val="32"/>
          <w:szCs w:val="28"/>
          <w:lang w:val="zh-CN"/>
        </w:rPr>
        <w:t>关研学旅行</w:t>
      </w:r>
      <w:r>
        <w:rPr>
          <w:rFonts w:hint="eastAsia" w:ascii="仿宋_GB2312" w:hAnsi="宋体" w:eastAsia="仿宋_GB2312" w:cs="Times New Roman"/>
          <w:color w:val="auto"/>
          <w:sz w:val="32"/>
          <w:szCs w:val="28"/>
          <w:lang w:val="en-US" w:eastAsia="zh-CN"/>
        </w:rPr>
        <w:t>目的地建设</w:t>
      </w:r>
      <w:r>
        <w:rPr>
          <w:rFonts w:hint="eastAsia" w:ascii="仿宋_GB2312" w:hAnsi="宋体" w:eastAsia="仿宋_GB2312" w:cs="Times New Roman"/>
          <w:color w:val="auto"/>
          <w:sz w:val="32"/>
          <w:szCs w:val="28"/>
          <w:lang w:val="zh-CN"/>
        </w:rPr>
        <w:t>内容，并结合研学旅行</w:t>
      </w:r>
      <w:r>
        <w:rPr>
          <w:rFonts w:hint="eastAsia" w:ascii="仿宋_GB2312" w:hAnsi="宋体" w:eastAsia="仿宋_GB2312" w:cs="Times New Roman"/>
          <w:color w:val="auto"/>
          <w:sz w:val="32"/>
          <w:szCs w:val="28"/>
          <w:lang w:val="en-US" w:eastAsia="zh-CN"/>
        </w:rPr>
        <w:t>目的地建设</w:t>
      </w:r>
      <w:r>
        <w:rPr>
          <w:rFonts w:hint="eastAsia" w:ascii="仿宋_GB2312" w:hAnsi="宋体" w:eastAsia="仿宋_GB2312" w:cs="Times New Roman"/>
          <w:color w:val="auto"/>
          <w:sz w:val="32"/>
          <w:szCs w:val="28"/>
          <w:lang w:val="zh-CN"/>
        </w:rPr>
        <w:t>实际要求及前期研究的基础上，按照简化、统一等原则编制完成团体标准《</w:t>
      </w:r>
      <w:r>
        <w:rPr>
          <w:rFonts w:hint="eastAsia" w:ascii="仿宋_GB2312" w:hAnsi="宋体" w:eastAsia="仿宋_GB2312" w:cs="Times New Roman"/>
          <w:color w:val="auto"/>
          <w:sz w:val="32"/>
          <w:szCs w:val="28"/>
          <w:lang w:val="en-US" w:eastAsia="zh-CN"/>
        </w:rPr>
        <w:t>广西研学旅行目的地建设规范</w:t>
      </w:r>
      <w:r>
        <w:rPr>
          <w:rFonts w:hint="eastAsia" w:ascii="仿宋_GB2312" w:hAnsi="宋体" w:eastAsia="仿宋_GB2312" w:cs="Times New Roman"/>
          <w:color w:val="auto"/>
          <w:sz w:val="32"/>
          <w:szCs w:val="28"/>
          <w:lang w:val="zh-CN"/>
        </w:rPr>
        <w:t>》（草案）。</w:t>
      </w:r>
    </w:p>
    <w:p>
      <w:pPr>
        <w:spacing w:line="560" w:lineRule="exact"/>
        <w:ind w:firstLine="640" w:firstLineChars="200"/>
        <w:rPr>
          <w:rFonts w:hint="eastAsia" w:ascii="仿宋_GB2312" w:hAnsi="宋体" w:eastAsia="仿宋_GB2312"/>
          <w:sz w:val="32"/>
          <w:szCs w:val="28"/>
          <w:lang w:val="zh-CN"/>
        </w:rPr>
      </w:pPr>
      <w:r>
        <w:rPr>
          <w:rFonts w:hint="eastAsia" w:ascii="仿宋_GB2312" w:hAnsi="宋体" w:eastAsia="仿宋_GB2312"/>
          <w:sz w:val="32"/>
          <w:szCs w:val="28"/>
          <w:lang w:val="zh-CN"/>
        </w:rPr>
        <w:t>202</w:t>
      </w:r>
      <w:r>
        <w:rPr>
          <w:rFonts w:ascii="仿宋_GB2312" w:hAnsi="宋体" w:eastAsia="仿宋_GB2312"/>
          <w:sz w:val="32"/>
          <w:szCs w:val="28"/>
          <w:lang w:val="zh-CN"/>
        </w:rPr>
        <w:t>3</w:t>
      </w:r>
      <w:r>
        <w:rPr>
          <w:rFonts w:hint="eastAsia" w:ascii="仿宋_GB2312" w:hAnsi="宋体" w:eastAsia="仿宋_GB2312"/>
          <w:sz w:val="32"/>
          <w:szCs w:val="28"/>
          <w:lang w:val="zh-CN"/>
        </w:rPr>
        <w:t>年</w:t>
      </w:r>
      <w:r>
        <w:rPr>
          <w:rFonts w:hint="eastAsia" w:ascii="仿宋_GB2312" w:hAnsi="宋体" w:eastAsia="仿宋_GB2312"/>
          <w:sz w:val="32"/>
          <w:szCs w:val="28"/>
          <w:lang w:val="en-US" w:eastAsia="zh-CN"/>
        </w:rPr>
        <w:t>6</w:t>
      </w:r>
      <w:r>
        <w:rPr>
          <w:rFonts w:hint="eastAsia" w:ascii="仿宋_GB2312" w:hAnsi="宋体" w:eastAsia="仿宋_GB2312"/>
          <w:sz w:val="32"/>
          <w:szCs w:val="28"/>
          <w:lang w:val="zh-CN"/>
        </w:rPr>
        <w:t>月～202</w:t>
      </w:r>
      <w:r>
        <w:rPr>
          <w:rFonts w:ascii="仿宋_GB2312" w:hAnsi="宋体" w:eastAsia="仿宋_GB2312"/>
          <w:sz w:val="32"/>
          <w:szCs w:val="28"/>
          <w:lang w:val="zh-CN"/>
        </w:rPr>
        <w:t>3</w:t>
      </w:r>
      <w:r>
        <w:rPr>
          <w:rFonts w:hint="eastAsia" w:ascii="仿宋_GB2312" w:hAnsi="宋体" w:eastAsia="仿宋_GB2312"/>
          <w:sz w:val="32"/>
          <w:szCs w:val="28"/>
          <w:lang w:val="zh-CN"/>
        </w:rPr>
        <w:t>年</w:t>
      </w:r>
      <w:r>
        <w:rPr>
          <w:rFonts w:hint="eastAsia" w:ascii="仿宋_GB2312" w:hAnsi="宋体" w:eastAsia="仿宋_GB2312"/>
          <w:sz w:val="32"/>
          <w:szCs w:val="28"/>
          <w:lang w:val="en-US" w:eastAsia="zh-CN"/>
        </w:rPr>
        <w:t>8</w:t>
      </w:r>
      <w:r>
        <w:rPr>
          <w:rFonts w:hint="eastAsia" w:ascii="仿宋_GB2312" w:hAnsi="宋体" w:eastAsia="仿宋_GB2312"/>
          <w:sz w:val="32"/>
          <w:szCs w:val="28"/>
          <w:lang w:val="zh-CN"/>
        </w:rPr>
        <w:t>月，</w:t>
      </w:r>
      <w:r>
        <w:rPr>
          <w:rFonts w:hint="eastAsia" w:ascii="仿宋_GB2312" w:hAnsi="宋体" w:eastAsia="仿宋_GB2312"/>
          <w:color w:val="000000" w:themeColor="text1"/>
          <w:sz w:val="32"/>
          <w:szCs w:val="28"/>
          <w:lang w:val="zh-CN"/>
          <w14:textFill>
            <w14:solidFill>
              <w14:schemeClr w14:val="tx1"/>
            </w14:solidFill>
          </w14:textFill>
        </w:rPr>
        <w:t>编制组深入</w:t>
      </w:r>
      <w:r>
        <w:rPr>
          <w:rFonts w:hint="eastAsia" w:ascii="仿宋_GB2312" w:hAnsi="宋体" w:eastAsia="仿宋_GB2312"/>
          <w:color w:val="000000" w:themeColor="text1"/>
          <w:sz w:val="32"/>
          <w:szCs w:val="28"/>
          <w:lang w:val="en-US" w:eastAsia="zh-CN"/>
          <w14:textFill>
            <w14:solidFill>
              <w14:schemeClr w14:val="tx1"/>
            </w14:solidFill>
          </w14:textFill>
        </w:rPr>
        <w:t>桂林市七星区文化体育和旅游局、广西师范大学、桂林市中小学生示范性综合实践教育中心</w:t>
      </w:r>
      <w:r>
        <w:rPr>
          <w:rFonts w:hint="eastAsia" w:ascii="仿宋_GB2312" w:hAnsi="宋体" w:eastAsia="仿宋_GB2312"/>
          <w:color w:val="000000" w:themeColor="text1"/>
          <w:sz w:val="32"/>
          <w:szCs w:val="28"/>
          <w:lang w:val="zh-CN"/>
          <w14:textFill>
            <w14:solidFill>
              <w14:schemeClr w14:val="tx1"/>
            </w14:solidFill>
          </w14:textFill>
        </w:rPr>
        <w:t>进行调研，</w:t>
      </w:r>
      <w:r>
        <w:rPr>
          <w:rFonts w:hint="eastAsia" w:ascii="仿宋_GB2312" w:hAnsi="宋体" w:eastAsia="仿宋_GB2312"/>
          <w:color w:val="000000" w:themeColor="text1"/>
          <w:sz w:val="32"/>
          <w:szCs w:val="28"/>
          <w:lang w:val="en-US" w:eastAsia="zh-CN"/>
          <w14:textFill>
            <w14:solidFill>
              <w14:schemeClr w14:val="tx1"/>
            </w14:solidFill>
          </w14:textFill>
        </w:rPr>
        <w:t>深入桂林理工大学附属小学、桂林市靖江王陵文物管理处研学实践教育基地、桂海清岚研学实践教育基地、桂林市观赏石协会地质科普研学实践教育基地、广西桂林会仙喀斯特国家湿地公园研学实践教育基地、东漓古村研学实践教育基地、桂林市独秀峰王城研学实践教育基地、桂林大碧头中小学生研学实践教育营地等</w:t>
      </w:r>
      <w:r>
        <w:rPr>
          <w:rFonts w:hint="eastAsia" w:ascii="仿宋_GB2312" w:hAnsi="宋体" w:eastAsia="仿宋_GB2312"/>
          <w:color w:val="000000" w:themeColor="text1"/>
          <w:sz w:val="32"/>
          <w:szCs w:val="28"/>
          <w:lang w:val="zh-CN"/>
          <w14:textFill>
            <w14:solidFill>
              <w14:schemeClr w14:val="tx1"/>
            </w14:solidFill>
          </w14:textFill>
        </w:rPr>
        <w:t>与研学旅行</w:t>
      </w:r>
      <w:r>
        <w:rPr>
          <w:rFonts w:hint="eastAsia" w:ascii="仿宋_GB2312" w:hAnsi="宋体" w:eastAsia="仿宋_GB2312"/>
          <w:color w:val="000000" w:themeColor="text1"/>
          <w:sz w:val="32"/>
          <w:szCs w:val="28"/>
          <w:lang w:val="en-US" w:eastAsia="zh-CN"/>
          <w14:textFill>
            <w14:solidFill>
              <w14:schemeClr w14:val="tx1"/>
            </w14:solidFill>
          </w14:textFill>
        </w:rPr>
        <w:t>目的地工作人员</w:t>
      </w:r>
      <w:r>
        <w:rPr>
          <w:rFonts w:hint="eastAsia" w:ascii="仿宋_GB2312" w:hAnsi="宋体" w:eastAsia="仿宋_GB2312"/>
          <w:color w:val="000000" w:themeColor="text1"/>
          <w:sz w:val="32"/>
          <w:szCs w:val="28"/>
          <w:lang w:val="zh-CN"/>
          <w14:textFill>
            <w14:solidFill>
              <w14:schemeClr w14:val="tx1"/>
            </w14:solidFill>
          </w14:textFill>
        </w:rPr>
        <w:t>进行交流及征求意见。根据反馈意见及试验成果，标准编制工作组多次召开会议，对标准草案进行反复修改和研究讨论，形成团体标准《</w:t>
      </w:r>
      <w:r>
        <w:rPr>
          <w:rFonts w:hint="eastAsia" w:ascii="仿宋_GB2312" w:hAnsi="宋体" w:eastAsia="仿宋_GB2312"/>
          <w:color w:val="000000" w:themeColor="text1"/>
          <w:sz w:val="32"/>
          <w:szCs w:val="28"/>
          <w:lang w:val="en-US" w:eastAsia="zh-CN"/>
          <w14:textFill>
            <w14:solidFill>
              <w14:schemeClr w14:val="tx1"/>
            </w14:solidFill>
          </w14:textFill>
        </w:rPr>
        <w:t>广西研学旅行目的地建设规范</w:t>
      </w:r>
      <w:r>
        <w:rPr>
          <w:rFonts w:hint="eastAsia" w:ascii="仿宋_GB2312" w:hAnsi="宋体" w:eastAsia="仿宋_GB2312"/>
          <w:color w:val="000000" w:themeColor="text1"/>
          <w:sz w:val="32"/>
          <w:szCs w:val="28"/>
          <w:lang w:val="zh-CN"/>
          <w14:textFill>
            <w14:solidFill>
              <w14:schemeClr w14:val="tx1"/>
            </w14:solidFill>
          </w14:textFill>
        </w:rPr>
        <w:t>》（征求意见</w:t>
      </w:r>
      <w:r>
        <w:rPr>
          <w:rFonts w:hint="eastAsia" w:ascii="仿宋_GB2312" w:hAnsi="宋体" w:eastAsia="仿宋_GB2312"/>
          <w:sz w:val="32"/>
          <w:szCs w:val="28"/>
          <w:lang w:val="zh-CN"/>
        </w:rPr>
        <w:t>稿）和（征求意见稿）编制说明。</w:t>
      </w:r>
    </w:p>
    <w:p>
      <w:pPr>
        <w:spacing w:line="560" w:lineRule="exact"/>
        <w:ind w:firstLine="640" w:firstLineChars="200"/>
        <w:rPr>
          <w:rFonts w:ascii="黑体" w:hAnsi="黑体" w:eastAsia="黑体" w:cs="黑体"/>
          <w:bCs/>
          <w:sz w:val="32"/>
          <w:szCs w:val="32"/>
        </w:rPr>
      </w:pPr>
      <w:r>
        <w:rPr>
          <w:rFonts w:hint="eastAsia" w:ascii="黑体" w:hAnsi="黑体" w:eastAsia="黑体" w:cs="黑体"/>
          <w:bCs/>
          <w:sz w:val="32"/>
          <w:szCs w:val="32"/>
          <w:lang w:val="en-US" w:eastAsia="zh-CN"/>
        </w:rPr>
        <w:t>六</w:t>
      </w:r>
      <w:r>
        <w:rPr>
          <w:rFonts w:hint="eastAsia" w:ascii="黑体" w:hAnsi="黑体" w:eastAsia="黑体" w:cs="黑体"/>
          <w:bCs/>
          <w:sz w:val="32"/>
          <w:szCs w:val="32"/>
        </w:rPr>
        <w:t>、制定标准的原则和依据，与现行</w:t>
      </w:r>
      <w:r>
        <w:rPr>
          <w:rFonts w:hint="eastAsia" w:ascii="黑体" w:hAnsi="黑体" w:eastAsia="黑体" w:cs="黑体"/>
          <w:bCs/>
          <w:sz w:val="32"/>
          <w:szCs w:val="32"/>
          <w:lang w:eastAsia="zh-CN"/>
        </w:rPr>
        <w:t>法律法规</w:t>
      </w:r>
      <w:r>
        <w:rPr>
          <w:rFonts w:hint="eastAsia" w:ascii="黑体" w:hAnsi="黑体" w:eastAsia="黑体" w:cs="黑体"/>
          <w:bCs/>
          <w:sz w:val="32"/>
          <w:szCs w:val="32"/>
        </w:rPr>
        <w:t>的关系，与有关国家标准、行业标准的协调情况</w:t>
      </w:r>
    </w:p>
    <w:p>
      <w:pPr>
        <w:ind w:firstLine="643" w:firstLineChars="200"/>
        <w:outlineLvl w:val="1"/>
        <w:rPr>
          <w:rFonts w:ascii="楷体" w:hAnsi="楷体" w:eastAsia="楷体"/>
          <w:b/>
          <w:sz w:val="32"/>
          <w:szCs w:val="32"/>
          <w:lang w:val="zh-CN"/>
        </w:rPr>
      </w:pPr>
      <w:r>
        <w:rPr>
          <w:rFonts w:hint="eastAsia" w:ascii="楷体" w:hAnsi="楷体" w:eastAsia="楷体"/>
          <w:b/>
          <w:sz w:val="32"/>
          <w:szCs w:val="32"/>
          <w:lang w:val="zh-CN"/>
        </w:rPr>
        <w:t>（一）实用性原则</w:t>
      </w:r>
    </w:p>
    <w:p>
      <w:pPr>
        <w:spacing w:line="56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本文件是在充分收集相关资料和文献，在吸收《</w:t>
      </w:r>
      <w:r>
        <w:rPr>
          <w:rFonts w:hint="eastAsia" w:ascii="仿宋_GB2312" w:hAnsi="仿宋_GB2312" w:eastAsia="仿宋_GB2312"/>
          <w:spacing w:val="2"/>
          <w:sz w:val="32"/>
          <w:lang w:val="en-US" w:eastAsia="zh-CN"/>
        </w:rPr>
        <w:t>研学旅行服务规范</w:t>
      </w:r>
      <w:r>
        <w:rPr>
          <w:rFonts w:hint="eastAsia" w:ascii="仿宋_GB2312" w:hAnsi="宋体" w:eastAsia="仿宋_GB2312"/>
          <w:sz w:val="32"/>
          <w:szCs w:val="28"/>
          <w:lang w:val="zh-CN"/>
        </w:rPr>
        <w:t>》</w:t>
      </w:r>
      <w:r>
        <w:rPr>
          <w:rFonts w:hint="eastAsia" w:ascii="仿宋_GB2312" w:hAnsi="宋体" w:eastAsia="仿宋_GB2312"/>
          <w:sz w:val="32"/>
          <w:szCs w:val="28"/>
          <w:lang w:val="en-US" w:eastAsia="zh-CN"/>
        </w:rPr>
        <w:t>行标</w:t>
      </w:r>
      <w:r>
        <w:rPr>
          <w:rFonts w:hint="eastAsia" w:ascii="仿宋_GB2312" w:hAnsi="宋体" w:eastAsia="仿宋_GB2312"/>
          <w:sz w:val="32"/>
          <w:szCs w:val="28"/>
          <w:lang w:val="zh-CN"/>
        </w:rPr>
        <w:t>成功经验基础上，分析近年</w:t>
      </w:r>
      <w:r>
        <w:rPr>
          <w:rFonts w:hint="eastAsia" w:ascii="仿宋_GB2312" w:hAnsi="宋体" w:eastAsia="仿宋_GB2312"/>
          <w:sz w:val="32"/>
          <w:szCs w:val="28"/>
          <w:lang w:val="en-US" w:eastAsia="zh-CN"/>
        </w:rPr>
        <w:t>广西研学旅行目的地发展的</w:t>
      </w:r>
      <w:r>
        <w:rPr>
          <w:rFonts w:hint="eastAsia" w:ascii="仿宋_GB2312" w:hAnsi="宋体" w:eastAsia="仿宋_GB2312"/>
          <w:sz w:val="32"/>
          <w:szCs w:val="28"/>
          <w:lang w:val="zh-CN"/>
        </w:rPr>
        <w:t>新动态、新趋势。</w:t>
      </w:r>
      <w:r>
        <w:rPr>
          <w:rFonts w:hint="eastAsia" w:ascii="仿宋_GB2312" w:hAnsi="宋体" w:eastAsia="仿宋_GB2312"/>
          <w:sz w:val="32"/>
          <w:szCs w:val="28"/>
          <w:lang w:val="en-US" w:eastAsia="zh-CN"/>
        </w:rPr>
        <w:t>本</w:t>
      </w:r>
      <w:r>
        <w:rPr>
          <w:rFonts w:hint="eastAsia" w:ascii="仿宋_GB2312" w:hAnsi="宋体" w:eastAsia="仿宋_GB2312"/>
          <w:sz w:val="32"/>
          <w:szCs w:val="28"/>
          <w:lang w:val="zh-CN"/>
        </w:rPr>
        <w:t>文件符合当前</w:t>
      </w:r>
      <w:r>
        <w:rPr>
          <w:rFonts w:hint="eastAsia" w:ascii="仿宋_GB2312" w:hAnsi="宋体" w:eastAsia="仿宋_GB2312"/>
          <w:sz w:val="32"/>
          <w:szCs w:val="28"/>
          <w:lang w:val="en-US" w:eastAsia="zh-CN"/>
        </w:rPr>
        <w:t>广西研学旅行目的地</w:t>
      </w:r>
      <w:r>
        <w:rPr>
          <w:rFonts w:hint="eastAsia" w:ascii="仿宋_GB2312" w:hAnsi="宋体" w:eastAsia="仿宋_GB2312"/>
          <w:sz w:val="32"/>
          <w:szCs w:val="28"/>
          <w:lang w:val="zh-CN"/>
        </w:rPr>
        <w:t>发展的方向与需求，有利于提高</w:t>
      </w:r>
      <w:r>
        <w:rPr>
          <w:rFonts w:hint="eastAsia" w:ascii="仿宋_GB2312" w:hAnsi="宋体" w:eastAsia="仿宋_GB2312"/>
          <w:sz w:val="32"/>
          <w:szCs w:val="28"/>
          <w:lang w:val="en-US" w:eastAsia="zh-CN"/>
        </w:rPr>
        <w:t>研学旅行目的地品质</w:t>
      </w:r>
      <w:r>
        <w:rPr>
          <w:rFonts w:hint="eastAsia" w:ascii="仿宋_GB2312" w:hAnsi="宋体" w:eastAsia="仿宋_GB2312"/>
          <w:sz w:val="32"/>
          <w:szCs w:val="28"/>
          <w:lang w:val="zh-CN"/>
        </w:rPr>
        <w:t>，对推动</w:t>
      </w:r>
      <w:r>
        <w:rPr>
          <w:rFonts w:hint="eastAsia" w:ascii="仿宋_GB2312" w:hAnsi="宋体" w:eastAsia="仿宋_GB2312"/>
          <w:sz w:val="32"/>
          <w:szCs w:val="28"/>
          <w:lang w:val="en-US" w:eastAsia="zh-CN"/>
        </w:rPr>
        <w:t>广西研学旅行目的地提高</w:t>
      </w:r>
      <w:r>
        <w:rPr>
          <w:rFonts w:hint="eastAsia" w:ascii="仿宋_GB2312" w:hAnsi="宋体" w:eastAsia="仿宋_GB2312"/>
          <w:sz w:val="32"/>
          <w:szCs w:val="28"/>
          <w:lang w:val="zh-CN"/>
        </w:rPr>
        <w:t>知名度、美誉度，打造</w:t>
      </w:r>
      <w:r>
        <w:rPr>
          <w:rFonts w:hint="eastAsia" w:ascii="仿宋_GB2312" w:hAnsi="宋体" w:eastAsia="仿宋_GB2312"/>
          <w:sz w:val="32"/>
          <w:szCs w:val="28"/>
          <w:lang w:val="en-US" w:eastAsia="zh-CN"/>
        </w:rPr>
        <w:t>具有强势竞争力的</w:t>
      </w:r>
      <w:r>
        <w:rPr>
          <w:rFonts w:hint="eastAsia" w:ascii="仿宋_GB2312" w:hAnsi="宋体" w:eastAsia="仿宋_GB2312"/>
          <w:sz w:val="32"/>
          <w:szCs w:val="28"/>
          <w:lang w:val="zh-CN"/>
        </w:rPr>
        <w:t>品牌，促进</w:t>
      </w:r>
      <w:r>
        <w:rPr>
          <w:rFonts w:hint="eastAsia" w:ascii="仿宋_GB2312" w:hAnsi="宋体" w:eastAsia="仿宋_GB2312"/>
          <w:sz w:val="32"/>
          <w:szCs w:val="28"/>
          <w:lang w:val="en-US" w:eastAsia="zh-CN"/>
        </w:rPr>
        <w:t>研学旅行</w:t>
      </w:r>
      <w:r>
        <w:rPr>
          <w:rFonts w:hint="eastAsia" w:ascii="仿宋_GB2312" w:hAnsi="宋体" w:eastAsia="仿宋_GB2312"/>
          <w:sz w:val="32"/>
          <w:szCs w:val="28"/>
          <w:lang w:val="zh-CN"/>
        </w:rPr>
        <w:t>高质量发展，具有较强的实用性和可操作性。</w:t>
      </w:r>
    </w:p>
    <w:p>
      <w:pPr>
        <w:ind w:firstLine="643" w:firstLineChars="200"/>
        <w:outlineLvl w:val="1"/>
        <w:rPr>
          <w:rFonts w:ascii="楷体" w:hAnsi="楷体" w:eastAsia="楷体"/>
          <w:b/>
          <w:sz w:val="32"/>
          <w:szCs w:val="32"/>
          <w:lang w:val="zh-CN"/>
        </w:rPr>
      </w:pPr>
      <w:r>
        <w:rPr>
          <w:rFonts w:hint="eastAsia" w:ascii="楷体" w:hAnsi="楷体" w:eastAsia="楷体"/>
          <w:b/>
          <w:sz w:val="32"/>
          <w:szCs w:val="32"/>
          <w:lang w:val="zh-CN"/>
        </w:rPr>
        <w:t>（二）协调性原则</w:t>
      </w:r>
    </w:p>
    <w:p>
      <w:pPr>
        <w:spacing w:line="560" w:lineRule="exact"/>
        <w:ind w:firstLine="640" w:firstLineChars="200"/>
        <w:rPr>
          <w:rFonts w:hint="eastAsia" w:ascii="仿宋_GB2312" w:hAnsi="宋体" w:eastAsia="仿宋_GB2312"/>
          <w:sz w:val="32"/>
          <w:szCs w:val="28"/>
          <w:lang w:val="zh-CN"/>
        </w:rPr>
      </w:pPr>
      <w:r>
        <w:rPr>
          <w:rFonts w:hint="eastAsia" w:ascii="仿宋_GB2312" w:hAnsi="宋体" w:eastAsia="仿宋_GB2312"/>
          <w:sz w:val="32"/>
          <w:szCs w:val="28"/>
          <w:lang w:val="zh-CN"/>
        </w:rPr>
        <w:t>经调研分析，《</w:t>
      </w:r>
      <w:r>
        <w:rPr>
          <w:rFonts w:hint="eastAsia" w:ascii="仿宋_GB2312" w:hAnsi="宋体" w:eastAsia="仿宋_GB2312"/>
          <w:sz w:val="32"/>
          <w:szCs w:val="28"/>
          <w:lang w:val="en-US" w:eastAsia="zh-CN"/>
        </w:rPr>
        <w:t>广西研学旅行目的地建设规范</w:t>
      </w:r>
      <w:r>
        <w:rPr>
          <w:rFonts w:hint="eastAsia" w:ascii="仿宋_GB2312" w:hAnsi="宋体" w:eastAsia="仿宋_GB2312"/>
          <w:sz w:val="32"/>
          <w:szCs w:val="28"/>
          <w:lang w:val="zh-CN"/>
        </w:rPr>
        <w:t>》标准符合《中华人民共和国标准化法》（主席令第78号）《中华人民共和国标准化法实施条例》（国务院令第53号）等相关法律法规。</w:t>
      </w:r>
    </w:p>
    <w:p>
      <w:pPr>
        <w:spacing w:line="56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本文件编写过程中注意了与</w:t>
      </w:r>
      <w:r>
        <w:rPr>
          <w:rFonts w:hint="eastAsia" w:ascii="仿宋_GB2312" w:hAnsi="宋体" w:eastAsia="仿宋_GB2312"/>
          <w:sz w:val="32"/>
          <w:szCs w:val="28"/>
          <w:lang w:val="en-US" w:eastAsia="zh-CN"/>
        </w:rPr>
        <w:t>研学旅行目的地</w:t>
      </w:r>
      <w:r>
        <w:rPr>
          <w:rFonts w:hint="eastAsia" w:ascii="仿宋_GB2312" w:hAnsi="宋体" w:eastAsia="仿宋_GB2312"/>
          <w:sz w:val="32"/>
          <w:szCs w:val="28"/>
          <w:lang w:val="zh-CN"/>
        </w:rPr>
        <w:t>相关的国内、国外法律法规的协调问题，在内容上引用了所有适用的国内标准，与国内、国外现行法律法规、标准协调一致。</w:t>
      </w:r>
    </w:p>
    <w:p>
      <w:pPr>
        <w:ind w:firstLine="643" w:firstLineChars="200"/>
        <w:outlineLvl w:val="1"/>
        <w:rPr>
          <w:rFonts w:ascii="楷体" w:hAnsi="楷体" w:eastAsia="楷体"/>
          <w:b/>
          <w:sz w:val="32"/>
          <w:szCs w:val="32"/>
          <w:lang w:val="zh-CN"/>
        </w:rPr>
      </w:pPr>
      <w:r>
        <w:rPr>
          <w:rFonts w:hint="eastAsia" w:ascii="楷体" w:hAnsi="楷体" w:eastAsia="楷体"/>
          <w:b/>
          <w:sz w:val="32"/>
          <w:szCs w:val="32"/>
          <w:lang w:val="zh-CN"/>
        </w:rPr>
        <w:t>（三）规范性原则</w:t>
      </w:r>
    </w:p>
    <w:p>
      <w:pPr>
        <w:spacing w:line="56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本文件严格按照GB/T 1.1—2020《标准化工作导则  第1部分：标准化文件的结构和起草规则》的要求和规定编写本标准的内容，保证标准的编写质量。</w:t>
      </w:r>
    </w:p>
    <w:p>
      <w:pPr>
        <w:ind w:firstLine="643" w:firstLineChars="200"/>
        <w:outlineLvl w:val="1"/>
        <w:rPr>
          <w:rFonts w:ascii="楷体" w:hAnsi="楷体" w:eastAsia="楷体"/>
          <w:b/>
          <w:sz w:val="32"/>
          <w:szCs w:val="32"/>
          <w:lang w:val="zh-CN"/>
        </w:rPr>
      </w:pPr>
      <w:r>
        <w:rPr>
          <w:rFonts w:hint="eastAsia" w:ascii="楷体" w:hAnsi="楷体" w:eastAsia="楷体"/>
          <w:b/>
          <w:sz w:val="32"/>
          <w:szCs w:val="32"/>
          <w:lang w:val="zh-CN"/>
        </w:rPr>
        <w:t>（四）前瞻性原则</w:t>
      </w:r>
    </w:p>
    <w:p>
      <w:pPr>
        <w:spacing w:line="560" w:lineRule="exact"/>
        <w:ind w:firstLine="640" w:firstLineChars="200"/>
        <w:rPr>
          <w:rFonts w:hint="eastAsia" w:ascii="仿宋_GB2312" w:hAnsi="宋体" w:eastAsia="仿宋_GB2312"/>
          <w:sz w:val="32"/>
          <w:szCs w:val="28"/>
          <w:lang w:val="zh-CN"/>
        </w:rPr>
      </w:pPr>
      <w:r>
        <w:rPr>
          <w:rFonts w:hint="eastAsia" w:ascii="仿宋_GB2312" w:hAnsi="宋体" w:eastAsia="仿宋_GB2312"/>
          <w:sz w:val="32"/>
          <w:szCs w:val="28"/>
          <w:lang w:val="zh-CN"/>
        </w:rPr>
        <w:t>本文件在兼顾当前</w:t>
      </w:r>
      <w:r>
        <w:rPr>
          <w:rFonts w:hint="eastAsia" w:ascii="仿宋_GB2312" w:hAnsi="宋体" w:eastAsia="仿宋_GB2312"/>
          <w:sz w:val="32"/>
          <w:szCs w:val="28"/>
          <w:lang w:val="en-US" w:eastAsia="zh-CN"/>
        </w:rPr>
        <w:t>广西研学旅行目的地</w:t>
      </w:r>
      <w:r>
        <w:rPr>
          <w:rFonts w:hint="eastAsia" w:ascii="仿宋_GB2312" w:hAnsi="宋体" w:eastAsia="仿宋_GB2312"/>
          <w:sz w:val="32"/>
          <w:szCs w:val="28"/>
          <w:lang w:val="zh-CN"/>
        </w:rPr>
        <w:t>现实情况的同时，还考虑到了将来</w:t>
      </w:r>
      <w:r>
        <w:rPr>
          <w:rFonts w:hint="eastAsia" w:ascii="仿宋_GB2312" w:hAnsi="宋体" w:eastAsia="仿宋_GB2312"/>
          <w:sz w:val="32"/>
          <w:szCs w:val="28"/>
          <w:lang w:val="en-US" w:eastAsia="zh-CN"/>
        </w:rPr>
        <w:t>发展趋势</w:t>
      </w:r>
      <w:r>
        <w:rPr>
          <w:rFonts w:hint="eastAsia" w:ascii="仿宋_GB2312" w:hAnsi="宋体" w:eastAsia="仿宋_GB2312"/>
          <w:sz w:val="32"/>
          <w:szCs w:val="28"/>
          <w:lang w:val="zh-CN"/>
        </w:rPr>
        <w:t>，在标准中体现了个别特色性、前瞻性和先进性条款。</w:t>
      </w:r>
    </w:p>
    <w:p>
      <w:pPr>
        <w:keepNext w:val="0"/>
        <w:keepLines w:val="0"/>
        <w:pageBreakBefore w:val="0"/>
        <w:widowControl w:val="0"/>
        <w:numPr>
          <w:ilvl w:val="0"/>
          <w:numId w:val="0"/>
        </w:numPr>
        <w:kinsoku/>
        <w:wordWrap/>
        <w:overflowPunct/>
        <w:topLinePunct/>
        <w:autoSpaceDE/>
        <w:autoSpaceDN/>
        <w:bidi w:val="0"/>
        <w:adjustRightInd w:val="0"/>
        <w:snapToGrid w:val="0"/>
        <w:spacing w:beforeLines="50" w:afterLines="50" w:line="560" w:lineRule="exact"/>
        <w:ind w:firstLine="640" w:firstLineChars="200"/>
        <w:jc w:val="both"/>
        <w:textAlignment w:val="auto"/>
        <w:outlineLvl w:val="0"/>
        <w:rPr>
          <w:rFonts w:ascii="楷体" w:hAnsi="楷体" w:eastAsia="楷体"/>
          <w:spacing w:val="2"/>
        </w:rPr>
      </w:pPr>
      <w:r>
        <w:rPr>
          <w:rFonts w:hint="eastAsia" w:ascii="黑体" w:hAnsi="黑体" w:eastAsia="黑体" w:cs="黑体"/>
          <w:bCs/>
          <w:sz w:val="32"/>
          <w:szCs w:val="32"/>
          <w:lang w:val="en-US" w:eastAsia="zh-CN"/>
        </w:rPr>
        <w:t>七、</w:t>
      </w:r>
      <w:r>
        <w:rPr>
          <w:rFonts w:hint="eastAsia" w:ascii="黑体" w:hAnsi="宋体" w:eastAsia="黑体" w:cs="Times New Roman"/>
          <w:color w:val="000000"/>
          <w:sz w:val="32"/>
        </w:rPr>
        <w:t>标准</w:t>
      </w:r>
      <w:r>
        <w:rPr>
          <w:rFonts w:hint="eastAsia" w:ascii="黑体" w:hAnsi="宋体" w:eastAsia="黑体"/>
          <w:color w:val="000000"/>
          <w:sz w:val="32"/>
        </w:rPr>
        <w:t>的框架和主要内容说明</w:t>
      </w:r>
    </w:p>
    <w:p>
      <w:pPr>
        <w:pStyle w:val="8"/>
        <w:ind w:firstLine="420"/>
        <w:rPr>
          <w:rFonts w:hint="default" w:ascii="仿宋_GB2312" w:hAnsi="仿宋_GB2312" w:eastAsia="仿宋_GB2312" w:cs="Times New Roman"/>
          <w:spacing w:val="2"/>
          <w:kern w:val="0"/>
          <w:sz w:val="32"/>
          <w:szCs w:val="24"/>
          <w:lang w:val="en-US" w:eastAsia="zh-CN" w:bidi="ar-SA"/>
        </w:rPr>
      </w:pPr>
      <w:r>
        <w:rPr>
          <w:rFonts w:hint="eastAsia" w:ascii="仿宋_GB2312" w:hAnsi="仿宋_GB2312" w:eastAsia="仿宋_GB2312" w:cs="Times New Roman"/>
          <w:spacing w:val="2"/>
          <w:kern w:val="0"/>
          <w:sz w:val="32"/>
          <w:szCs w:val="24"/>
          <w:lang w:val="en-US" w:eastAsia="zh-CN" w:bidi="ar-SA"/>
        </w:rPr>
        <w:t>《广西研学旅行目的地建设规范》</w:t>
      </w:r>
      <w:r>
        <w:rPr>
          <w:rFonts w:hint="eastAsia" w:ascii="仿宋_GB2312" w:hAnsi="宋体" w:eastAsia="仿宋_GB2312"/>
          <w:color w:val="000000" w:themeColor="text1"/>
          <w:sz w:val="32"/>
          <w:szCs w:val="28"/>
          <w:lang w:val="zh-CN"/>
          <w14:textFill>
            <w14:solidFill>
              <w14:schemeClr w14:val="tx1"/>
            </w14:solidFill>
          </w14:textFill>
        </w:rPr>
        <w:t>界定了研学旅行</w:t>
      </w:r>
      <w:r>
        <w:rPr>
          <w:rFonts w:hint="eastAsia" w:ascii="仿宋_GB2312" w:hAnsi="宋体" w:eastAsia="仿宋_GB2312"/>
          <w:color w:val="000000" w:themeColor="text1"/>
          <w:sz w:val="32"/>
          <w:szCs w:val="28"/>
          <w:lang w:val="en-US" w:eastAsia="zh-CN"/>
          <w14:textFill>
            <w14:solidFill>
              <w14:schemeClr w14:val="tx1"/>
            </w14:solidFill>
          </w14:textFill>
        </w:rPr>
        <w:t>目的地建设</w:t>
      </w:r>
      <w:r>
        <w:rPr>
          <w:rFonts w:hint="eastAsia" w:ascii="仿宋_GB2312" w:hAnsi="宋体" w:eastAsia="仿宋_GB2312"/>
          <w:color w:val="000000" w:themeColor="text1"/>
          <w:sz w:val="32"/>
          <w:szCs w:val="28"/>
          <w:lang w:val="zh-CN"/>
          <w14:textFill>
            <w14:solidFill>
              <w14:schemeClr w14:val="tx1"/>
            </w14:solidFill>
          </w14:textFill>
        </w:rPr>
        <w:t>涉及的术语和定义，</w:t>
      </w:r>
      <w:r>
        <w:rPr>
          <w:rFonts w:hint="eastAsia" w:ascii="仿宋_GB2312" w:hAnsi="仿宋_GB2312" w:eastAsia="仿宋_GB2312" w:cs="Times New Roman"/>
          <w:spacing w:val="2"/>
          <w:kern w:val="0"/>
          <w:sz w:val="32"/>
          <w:szCs w:val="24"/>
          <w:lang w:val="en-US" w:eastAsia="zh-CN" w:bidi="ar-SA"/>
        </w:rPr>
        <w:t>规定了广西研学旅行目的地建设规范总体要求、规划布局、资源条件、基础配套、品牌营销、评价改进等内容。</w:t>
      </w:r>
    </w:p>
    <w:p>
      <w:pPr>
        <w:pStyle w:val="9"/>
        <w:numPr>
          <w:ilvl w:val="0"/>
          <w:numId w:val="0"/>
        </w:numPr>
        <w:ind w:firstLine="486" w:firstLineChars="150"/>
        <w:rPr>
          <w:rFonts w:hint="eastAsia" w:eastAsia="仿宋_GB2312"/>
          <w:spacing w:val="2"/>
          <w:lang w:val="en-US" w:eastAsia="zh-CN"/>
        </w:rPr>
      </w:pPr>
      <w:r>
        <w:rPr>
          <w:rFonts w:hint="eastAsia" w:ascii="仿宋_GB2312" w:hAnsi="仿宋_GB2312" w:eastAsia="仿宋_GB2312" w:cs="Times New Roman"/>
          <w:spacing w:val="2"/>
          <w:kern w:val="0"/>
          <w:sz w:val="32"/>
          <w:szCs w:val="24"/>
          <w:lang w:val="en-US" w:eastAsia="zh-CN" w:bidi="ar-SA"/>
        </w:rPr>
        <w:t>第一部分：规范性引用文件。列举了《广西研学旅行目的地建设规范》引用的规范性文件，包括GB/T1 4308 旅游饭店星级的划分与评定、GB 5768 《道路交通标志和标线》、GB/T 33497-2023 《餐饮企业质量管理规范》、GB/T 38372-2020 《企业品牌培育指南》、LB/T 054-2016 《研学旅行服务规范》。</w:t>
      </w:r>
    </w:p>
    <w:p>
      <w:pPr>
        <w:pStyle w:val="2"/>
        <w:kinsoku w:val="0"/>
        <w:overflowPunct w:val="0"/>
        <w:topLinePunct/>
        <w:autoSpaceDE/>
        <w:autoSpaceDN/>
        <w:adjustRightInd/>
        <w:spacing w:line="560" w:lineRule="exact"/>
        <w:ind w:left="0" w:firstLine="648" w:firstLineChars="200"/>
        <w:rPr>
          <w:rFonts w:hint="eastAsia" w:cs="Times New Roman"/>
          <w:spacing w:val="2"/>
          <w:kern w:val="0"/>
          <w:sz w:val="32"/>
          <w:szCs w:val="24"/>
          <w:lang w:val="en-US" w:eastAsia="zh-CN" w:bidi="ar-SA"/>
        </w:rPr>
      </w:pPr>
      <w:r>
        <w:rPr>
          <w:rFonts w:hint="eastAsia"/>
          <w:spacing w:val="2"/>
        </w:rPr>
        <w:t>第</w:t>
      </w:r>
      <w:r>
        <w:rPr>
          <w:rFonts w:hint="eastAsia"/>
          <w:spacing w:val="2"/>
          <w:lang w:val="en-US" w:eastAsia="zh-CN"/>
        </w:rPr>
        <w:t>二</w:t>
      </w:r>
      <w:r>
        <w:rPr>
          <w:rFonts w:hint="eastAsia" w:ascii="仿宋_GB2312" w:hAnsi="仿宋_GB2312" w:eastAsia="仿宋_GB2312" w:cs="Times New Roman"/>
          <w:spacing w:val="2"/>
          <w:sz w:val="32"/>
        </w:rPr>
        <w:t>部分</w:t>
      </w:r>
      <w:r>
        <w:rPr>
          <w:rFonts w:hint="eastAsia"/>
          <w:spacing w:val="2"/>
        </w:rPr>
        <w:t>：术语和定义</w:t>
      </w:r>
      <w:r>
        <w:rPr>
          <w:rFonts w:hint="eastAsia"/>
          <w:spacing w:val="2"/>
          <w:lang w:eastAsia="zh-CN"/>
        </w:rPr>
        <w:t>。</w:t>
      </w:r>
      <w:r>
        <w:rPr>
          <w:rFonts w:hint="eastAsia"/>
          <w:spacing w:val="2"/>
          <w:lang w:val="en-US" w:eastAsia="zh-CN"/>
        </w:rPr>
        <w:t>在参考了行业标准</w:t>
      </w:r>
      <w:r>
        <w:rPr>
          <w:rFonts w:hint="eastAsia" w:ascii="仿宋_GB2312" w:hAnsi="仿宋_GB2312" w:eastAsia="仿宋_GB2312" w:cs="Times New Roman"/>
          <w:spacing w:val="2"/>
          <w:kern w:val="0"/>
          <w:sz w:val="32"/>
          <w:szCs w:val="24"/>
          <w:lang w:val="en-US" w:eastAsia="zh-CN" w:bidi="ar-SA"/>
        </w:rPr>
        <w:t>LB/T 054-2016 《研学旅行服务规范》</w:t>
      </w:r>
      <w:r>
        <w:rPr>
          <w:rFonts w:hint="eastAsia" w:cs="Times New Roman"/>
          <w:spacing w:val="2"/>
          <w:kern w:val="0"/>
          <w:sz w:val="32"/>
          <w:szCs w:val="24"/>
          <w:lang w:val="en-US" w:eastAsia="zh-CN" w:bidi="ar-SA"/>
        </w:rPr>
        <w:t>的基础上，结合邹统钎教授的著作《</w:t>
      </w:r>
      <w:r>
        <w:rPr>
          <w:rFonts w:hint="eastAsia" w:ascii="仿宋_GB2312" w:hAnsi="宋体" w:eastAsia="仿宋_GB2312"/>
          <w:color w:val="auto"/>
          <w:sz w:val="32"/>
          <w:szCs w:val="28"/>
          <w:lang w:val="en-US" w:eastAsia="zh-CN"/>
        </w:rPr>
        <w:t>旅游目的地地格理论研究</w:t>
      </w:r>
      <w:r>
        <w:rPr>
          <w:rFonts w:hint="eastAsia" w:cs="Times New Roman"/>
          <w:spacing w:val="2"/>
          <w:kern w:val="0"/>
          <w:sz w:val="32"/>
          <w:szCs w:val="24"/>
          <w:lang w:val="en-US" w:eastAsia="zh-CN" w:bidi="ar-SA"/>
        </w:rPr>
        <w:t>》中旅游目的地的内涵对研学旅行、研学旅行目的地进行了解释。</w:t>
      </w:r>
    </w:p>
    <w:p>
      <w:pPr>
        <w:pStyle w:val="2"/>
        <w:kinsoku w:val="0"/>
        <w:overflowPunct w:val="0"/>
        <w:topLinePunct/>
        <w:autoSpaceDE/>
        <w:autoSpaceDN/>
        <w:adjustRightInd/>
        <w:spacing w:line="240" w:lineRule="auto"/>
        <w:rPr>
          <w:rFonts w:hint="eastAsia" w:cs="Times New Roman"/>
          <w:spacing w:val="2"/>
          <w:kern w:val="0"/>
          <w:sz w:val="32"/>
          <w:szCs w:val="24"/>
          <w:lang w:val="en-US" w:eastAsia="zh-CN" w:bidi="ar-SA"/>
        </w:rPr>
      </w:pPr>
      <w:r>
        <w:rPr>
          <w:rFonts w:hint="eastAsia" w:cs="Times New Roman"/>
          <w:spacing w:val="2"/>
          <w:kern w:val="0"/>
          <w:sz w:val="32"/>
          <w:szCs w:val="24"/>
          <w:lang w:val="en-US" w:eastAsia="zh-CN" w:bidi="ar-SA"/>
        </w:rPr>
        <w:drawing>
          <wp:inline distT="0" distB="0" distL="114300" distR="114300">
            <wp:extent cx="5188585" cy="1440180"/>
            <wp:effectExtent l="9525" t="9525" r="21590" b="17145"/>
            <wp:docPr id="2" name="图片 2" descr="1696404373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696404373552"/>
                    <pic:cNvPicPr>
                      <a:picLocks noChangeAspect="1"/>
                    </pic:cNvPicPr>
                  </pic:nvPicPr>
                  <pic:blipFill>
                    <a:blip r:embed="rId4"/>
                    <a:stretch>
                      <a:fillRect/>
                    </a:stretch>
                  </pic:blipFill>
                  <pic:spPr>
                    <a:xfrm>
                      <a:off x="0" y="0"/>
                      <a:ext cx="5188585" cy="1440180"/>
                    </a:xfrm>
                    <a:prstGeom prst="rect">
                      <a:avLst/>
                    </a:prstGeom>
                    <a:ln>
                      <a:solidFill>
                        <a:schemeClr val="tx1"/>
                      </a:solidFill>
                    </a:ln>
                  </pic:spPr>
                </pic:pic>
              </a:graphicData>
            </a:graphic>
          </wp:inline>
        </w:drawing>
      </w:r>
    </w:p>
    <w:p>
      <w:pPr>
        <w:pStyle w:val="2"/>
        <w:kinsoku w:val="0"/>
        <w:overflowPunct w:val="0"/>
        <w:topLinePunct/>
        <w:autoSpaceDE/>
        <w:autoSpaceDN/>
        <w:adjustRightInd/>
        <w:spacing w:line="560" w:lineRule="exact"/>
        <w:ind w:left="0" w:firstLine="428" w:firstLineChars="200"/>
        <w:jc w:val="center"/>
        <w:rPr>
          <w:rFonts w:hint="eastAsia" w:ascii="黑体" w:hAnsi="黑体" w:eastAsia="黑体" w:cs="黑体"/>
          <w:spacing w:val="2"/>
          <w:kern w:val="0"/>
          <w:sz w:val="21"/>
          <w:szCs w:val="21"/>
          <w:lang w:val="en-US" w:eastAsia="zh-CN" w:bidi="ar-SA"/>
        </w:rPr>
      </w:pPr>
      <w:r>
        <w:rPr>
          <w:rFonts w:hint="eastAsia" w:ascii="黑体" w:hAnsi="黑体" w:eastAsia="黑体" w:cs="黑体"/>
          <w:spacing w:val="2"/>
          <w:kern w:val="0"/>
          <w:sz w:val="21"/>
          <w:szCs w:val="21"/>
          <w:lang w:val="en-US" w:eastAsia="zh-CN" w:bidi="ar-SA"/>
        </w:rPr>
        <w:t>来源：中华人民共和国行业标准《研学旅行服务规范》</w:t>
      </w:r>
    </w:p>
    <w:p>
      <w:pPr>
        <w:pageBreakBefore w:val="0"/>
        <w:widowControl w:val="0"/>
        <w:numPr>
          <w:ilvl w:val="0"/>
          <w:numId w:val="0"/>
        </w:numPr>
        <w:kinsoku/>
        <w:wordWrap/>
        <w:overflowPunct/>
        <w:topLinePunct w:val="0"/>
        <w:autoSpaceDE/>
        <w:autoSpaceDN/>
        <w:bidi w:val="0"/>
        <w:adjustRightInd/>
        <w:snapToGrid/>
        <w:spacing w:before="313" w:beforeLines="100" w:after="313" w:afterLines="100" w:line="20" w:lineRule="atLeast"/>
        <w:ind w:right="480" w:rightChars="200" w:firstLine="648" w:firstLineChars="200"/>
        <w:textAlignment w:val="auto"/>
        <w:outlineLvl w:val="1"/>
        <w:rPr>
          <w:rFonts w:hint="eastAsia" w:ascii="仿宋_GB2312" w:hAnsi="仿宋_GB2312" w:eastAsia="仿宋_GB2312" w:cs="Times New Roman"/>
          <w:spacing w:val="2"/>
          <w:kern w:val="0"/>
          <w:sz w:val="32"/>
          <w:szCs w:val="24"/>
          <w:lang w:val="en-US" w:eastAsia="zh-CN" w:bidi="ar-SA"/>
        </w:rPr>
      </w:pPr>
      <w:r>
        <w:rPr>
          <w:rFonts w:hint="eastAsia" w:ascii="仿宋_GB2312" w:hAnsi="仿宋_GB2312" w:eastAsia="仿宋_GB2312" w:cs="Times New Roman"/>
          <w:spacing w:val="2"/>
          <w:kern w:val="0"/>
          <w:sz w:val="32"/>
          <w:szCs w:val="24"/>
          <w:lang w:val="en-US" w:eastAsia="zh-CN" w:bidi="ar-SA"/>
        </w:rPr>
        <w:t>第三部分：总体要求。主要参照了《关于推进中小学生研学旅行的意见》与《“十四五”旅游业发展规划》，明确了研学旅行目的地建设应以社会主义核心价值观为引领，注重民族传统文化和研学旅行教育活动相结合，培育践行社会主义核心价值观，激发学员对党、对国家、人民的热爱之情。同时，结合广西研学旅行发展的实际情况，提出应充分挖掘广西独特的自然和文化资源，因地制宜，突出广西当地历史文化和生态文化；注重品质提升，完善产品服务供给，彰显出研学旅行服务品质。</w:t>
      </w:r>
    </w:p>
    <w:p>
      <w:pPr>
        <w:pageBreakBefore w:val="0"/>
        <w:widowControl w:val="0"/>
        <w:numPr>
          <w:ilvl w:val="0"/>
          <w:numId w:val="0"/>
        </w:numPr>
        <w:kinsoku/>
        <w:wordWrap/>
        <w:overflowPunct/>
        <w:topLinePunct w:val="0"/>
        <w:autoSpaceDE/>
        <w:autoSpaceDN/>
        <w:bidi w:val="0"/>
        <w:adjustRightInd/>
        <w:snapToGrid/>
        <w:spacing w:before="313" w:beforeLines="100" w:after="313" w:afterLines="100" w:line="20" w:lineRule="atLeast"/>
        <w:ind w:right="480" w:rightChars="200"/>
        <w:jc w:val="center"/>
        <w:textAlignment w:val="auto"/>
        <w:outlineLvl w:val="1"/>
      </w:pPr>
      <w:r>
        <w:drawing>
          <wp:inline distT="0" distB="0" distL="114300" distR="114300">
            <wp:extent cx="4775200" cy="975995"/>
            <wp:effectExtent l="9525" t="9525" r="15875" b="2413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5"/>
                    <a:stretch>
                      <a:fillRect/>
                    </a:stretch>
                  </pic:blipFill>
                  <pic:spPr>
                    <a:xfrm>
                      <a:off x="0" y="0"/>
                      <a:ext cx="4775200" cy="975995"/>
                    </a:xfrm>
                    <a:prstGeom prst="rect">
                      <a:avLst/>
                    </a:prstGeom>
                    <a:noFill/>
                    <a:ln>
                      <a:solidFill>
                        <a:schemeClr val="tx1"/>
                      </a:solidFill>
                    </a:ln>
                  </pic:spPr>
                </pic:pic>
              </a:graphicData>
            </a:graphic>
          </wp:inline>
        </w:drawing>
      </w:r>
    </w:p>
    <w:p>
      <w:pPr>
        <w:pageBreakBefore w:val="0"/>
        <w:widowControl w:val="0"/>
        <w:numPr>
          <w:ilvl w:val="0"/>
          <w:numId w:val="0"/>
        </w:numPr>
        <w:kinsoku/>
        <w:wordWrap/>
        <w:overflowPunct/>
        <w:topLinePunct w:val="0"/>
        <w:autoSpaceDE/>
        <w:autoSpaceDN/>
        <w:bidi w:val="0"/>
        <w:adjustRightInd/>
        <w:snapToGrid/>
        <w:spacing w:before="313" w:beforeLines="100" w:after="313" w:afterLines="100" w:line="20" w:lineRule="atLeast"/>
        <w:ind w:right="480" w:rightChars="200" w:firstLine="568" w:firstLineChars="200"/>
        <w:jc w:val="center"/>
        <w:textAlignment w:val="auto"/>
        <w:outlineLvl w:val="1"/>
        <w:rPr>
          <w:rFonts w:hint="eastAsia" w:ascii="仿宋_GB2312" w:hAnsi="仿宋_GB2312" w:eastAsia="仿宋_GB2312" w:cs="Times New Roman"/>
          <w:spacing w:val="2"/>
          <w:kern w:val="0"/>
          <w:sz w:val="32"/>
          <w:szCs w:val="24"/>
          <w:lang w:val="en-US" w:eastAsia="zh-CN" w:bidi="ar-SA"/>
        </w:rPr>
      </w:pPr>
      <w:r>
        <w:rPr>
          <w:rFonts w:hint="eastAsia" w:ascii="楷体_GB2312" w:hAnsi="楷体_GB2312" w:eastAsia="楷体_GB2312" w:cs="楷体_GB2312"/>
          <w:spacing w:val="2"/>
          <w:kern w:val="0"/>
          <w:sz w:val="28"/>
          <w:szCs w:val="28"/>
          <w:lang w:val="en-US" w:eastAsia="zh-CN" w:bidi="ar-SA"/>
        </w:rPr>
        <w:t>来源：教育部等11部门关于推进中小学生研学旅行的意见教基一[2016]8号</w:t>
      </w:r>
      <w:r>
        <w:rPr>
          <w:rFonts w:hint="eastAsia" w:ascii="仿宋_GB2312" w:hAnsi="仿宋_GB2312" w:eastAsia="仿宋_GB2312" w:cs="Times New Roman"/>
          <w:spacing w:val="2"/>
          <w:kern w:val="0"/>
          <w:sz w:val="32"/>
          <w:szCs w:val="24"/>
          <w:lang w:val="en-US" w:eastAsia="zh-CN" w:bidi="ar-SA"/>
        </w:rPr>
        <w:drawing>
          <wp:inline distT="0" distB="0" distL="114300" distR="114300">
            <wp:extent cx="4768215" cy="1033145"/>
            <wp:effectExtent l="9525" t="9525" r="22860" b="24130"/>
            <wp:docPr id="3" name="图片 3" descr="1696404910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696404910208"/>
                    <pic:cNvPicPr>
                      <a:picLocks noChangeAspect="1"/>
                    </pic:cNvPicPr>
                  </pic:nvPicPr>
                  <pic:blipFill>
                    <a:blip r:embed="rId6"/>
                    <a:stretch>
                      <a:fillRect/>
                    </a:stretch>
                  </pic:blipFill>
                  <pic:spPr>
                    <a:xfrm>
                      <a:off x="0" y="0"/>
                      <a:ext cx="4768215" cy="1033145"/>
                    </a:xfrm>
                    <a:prstGeom prst="rect">
                      <a:avLst/>
                    </a:prstGeom>
                    <a:ln>
                      <a:solidFill>
                        <a:schemeClr val="tx1"/>
                      </a:solidFill>
                    </a:ln>
                  </pic:spPr>
                </pic:pic>
              </a:graphicData>
            </a:graphic>
          </wp:inline>
        </w:drawing>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楷体_GB2312" w:hAnsi="楷体_GB2312" w:eastAsia="楷体_GB2312" w:cs="楷体_GB2312"/>
          <w:b w:val="0"/>
          <w:bCs w:val="0"/>
          <w:spacing w:val="2"/>
          <w:kern w:val="0"/>
          <w:sz w:val="28"/>
          <w:szCs w:val="28"/>
          <w:lang w:val="en-US" w:eastAsia="zh-CN" w:bidi="ar-SA"/>
        </w:rPr>
      </w:pPr>
      <w:r>
        <w:rPr>
          <w:rFonts w:hint="eastAsia" w:ascii="楷体_GB2312" w:hAnsi="楷体_GB2312" w:eastAsia="楷体_GB2312" w:cs="楷体_GB2312"/>
          <w:b w:val="0"/>
          <w:bCs w:val="0"/>
          <w:spacing w:val="2"/>
          <w:kern w:val="0"/>
          <w:sz w:val="28"/>
          <w:szCs w:val="28"/>
          <w:lang w:val="en-US" w:eastAsia="zh-CN" w:bidi="ar-SA"/>
        </w:rPr>
        <w:t>来源：国务院关于印发“十四五”旅游业发展规划的通知国发〔2021〕32号</w:t>
      </w:r>
    </w:p>
    <w:p>
      <w:pPr>
        <w:pageBreakBefore w:val="0"/>
        <w:widowControl w:val="0"/>
        <w:numPr>
          <w:ilvl w:val="0"/>
          <w:numId w:val="0"/>
        </w:numPr>
        <w:kinsoku/>
        <w:wordWrap/>
        <w:overflowPunct/>
        <w:topLinePunct w:val="0"/>
        <w:autoSpaceDE/>
        <w:autoSpaceDN/>
        <w:bidi w:val="0"/>
        <w:adjustRightInd/>
        <w:snapToGrid/>
        <w:spacing w:before="313" w:beforeLines="100" w:after="313" w:afterLines="100" w:line="20" w:lineRule="atLeast"/>
        <w:ind w:right="480" w:rightChars="200" w:firstLine="648" w:firstLineChars="200"/>
        <w:textAlignment w:val="auto"/>
        <w:outlineLvl w:val="1"/>
        <w:rPr>
          <w:rFonts w:hint="eastAsia" w:ascii="仿宋_GB2312" w:hAnsi="仿宋_GB2312" w:eastAsia="仿宋_GB2312" w:cs="Times New Roman"/>
          <w:spacing w:val="2"/>
          <w:kern w:val="0"/>
          <w:sz w:val="32"/>
          <w:szCs w:val="24"/>
          <w:lang w:val="en-US" w:eastAsia="zh-CN" w:bidi="ar-SA"/>
        </w:rPr>
      </w:pPr>
      <w:r>
        <w:rPr>
          <w:rFonts w:hint="eastAsia" w:ascii="仿宋_GB2312" w:hAnsi="仿宋_GB2312" w:eastAsia="仿宋_GB2312" w:cs="Times New Roman"/>
          <w:spacing w:val="2"/>
          <w:kern w:val="0"/>
          <w:sz w:val="32"/>
          <w:szCs w:val="24"/>
          <w:lang w:val="en-US" w:eastAsia="zh-CN" w:bidi="ar-SA"/>
        </w:rPr>
        <w:t>第四部分：规划布局。依据《广西壮族自治区国民经济和社会发展第十四个五年规划和2035年远景目标纲要》提出了要优化文化旅游发展空间格局。研学旅是文旅产业的重要组成部分，对研学旅行目的地进行科学规划，是落实广西十四个五年规划的重要举措。今年来，广西研学旅行发展态势良好，目的地建设取得了一定的成效，截至2022年12月，广西建立了研学实践教育基地、营地共727个，其中国家级基（营）地20个，自治区级基（营）地255个，研学旅行需要进行科学统筹和整体规划。因此，本文件明确了研学旅行目的地的规划应综合考虑广西当地文脉、地脉、水脉、交通干线和国家、地方重大发展战略，把研学旅行目的地建设纳入广西当地整体发展规划当中，进行科学选址、统筹布局功能区，对研学旅行目的地进行规划要突出广西特色，发挥优势，推动区域协同发展，注重研学旅行资源的保护、文化价值的挖掘、研学旅行的推广、相关产业的带动、目的地品牌的塑造、人居环境的改善、服务品质的升级。</w:t>
      </w:r>
    </w:p>
    <w:p>
      <w:pPr>
        <w:pageBreakBefore w:val="0"/>
        <w:widowControl w:val="0"/>
        <w:numPr>
          <w:ilvl w:val="0"/>
          <w:numId w:val="0"/>
        </w:numPr>
        <w:kinsoku/>
        <w:wordWrap/>
        <w:overflowPunct/>
        <w:topLinePunct w:val="0"/>
        <w:autoSpaceDE/>
        <w:autoSpaceDN/>
        <w:bidi w:val="0"/>
        <w:adjustRightInd/>
        <w:snapToGrid/>
        <w:spacing w:before="313" w:beforeLines="100" w:after="313" w:afterLines="100" w:line="20" w:lineRule="atLeast"/>
        <w:ind w:right="480" w:rightChars="200" w:firstLine="648" w:firstLineChars="200"/>
        <w:textAlignment w:val="auto"/>
        <w:outlineLvl w:val="1"/>
        <w:rPr>
          <w:rFonts w:hint="eastAsia" w:ascii="仿宋_GB2312" w:hAnsi="仿宋_GB2312" w:eastAsia="仿宋_GB2312" w:cs="Times New Roman"/>
          <w:spacing w:val="2"/>
          <w:kern w:val="0"/>
          <w:sz w:val="32"/>
          <w:szCs w:val="24"/>
          <w:lang w:val="en-US" w:eastAsia="zh-CN" w:bidi="ar-SA"/>
        </w:rPr>
      </w:pPr>
      <w:r>
        <w:rPr>
          <w:rFonts w:hint="eastAsia" w:ascii="仿宋_GB2312" w:hAnsi="仿宋_GB2312" w:eastAsia="仿宋_GB2312" w:cs="Times New Roman"/>
          <w:spacing w:val="2"/>
          <w:kern w:val="0"/>
          <w:sz w:val="32"/>
          <w:szCs w:val="24"/>
          <w:lang w:val="en-US" w:eastAsia="zh-CN" w:bidi="ar-SA"/>
        </w:rPr>
        <w:drawing>
          <wp:inline distT="0" distB="0" distL="114300" distR="114300">
            <wp:extent cx="4782185" cy="1787525"/>
            <wp:effectExtent l="9525" t="9525" r="27940" b="12700"/>
            <wp:docPr id="1" name="图片 1" descr="1697159530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697159530772"/>
                    <pic:cNvPicPr>
                      <a:picLocks noChangeAspect="1"/>
                    </pic:cNvPicPr>
                  </pic:nvPicPr>
                  <pic:blipFill>
                    <a:blip r:embed="rId7"/>
                    <a:stretch>
                      <a:fillRect/>
                    </a:stretch>
                  </pic:blipFill>
                  <pic:spPr>
                    <a:xfrm>
                      <a:off x="0" y="0"/>
                      <a:ext cx="4782185" cy="1787525"/>
                    </a:xfrm>
                    <a:prstGeom prst="rect">
                      <a:avLst/>
                    </a:prstGeom>
                    <a:ln>
                      <a:solidFill>
                        <a:schemeClr val="tx1"/>
                      </a:solidFill>
                    </a:ln>
                  </pic:spPr>
                </pic:pic>
              </a:graphicData>
            </a:graphic>
          </wp:inline>
        </w:drawing>
      </w:r>
    </w:p>
    <w:p>
      <w:pPr>
        <w:pageBreakBefore w:val="0"/>
        <w:widowControl w:val="0"/>
        <w:numPr>
          <w:ilvl w:val="0"/>
          <w:numId w:val="0"/>
        </w:numPr>
        <w:kinsoku/>
        <w:wordWrap/>
        <w:overflowPunct/>
        <w:topLinePunct w:val="0"/>
        <w:autoSpaceDE/>
        <w:autoSpaceDN/>
        <w:bidi w:val="0"/>
        <w:adjustRightInd/>
        <w:snapToGrid/>
        <w:spacing w:before="313" w:beforeLines="100" w:after="313" w:afterLines="100" w:line="20" w:lineRule="atLeast"/>
        <w:ind w:right="480" w:rightChars="200" w:firstLine="568" w:firstLineChars="200"/>
        <w:jc w:val="center"/>
        <w:textAlignment w:val="auto"/>
        <w:outlineLvl w:val="1"/>
        <w:rPr>
          <w:rFonts w:hint="default" w:ascii="仿宋_GB2312" w:hAnsi="仿宋_GB2312" w:eastAsia="仿宋_GB2312" w:cs="Times New Roman"/>
          <w:spacing w:val="2"/>
          <w:kern w:val="0"/>
          <w:sz w:val="28"/>
          <w:szCs w:val="28"/>
          <w:lang w:val="en-US" w:eastAsia="zh-CN" w:bidi="ar-SA"/>
        </w:rPr>
      </w:pPr>
      <w:r>
        <w:rPr>
          <w:rFonts w:hint="eastAsia" w:ascii="仿宋_GB2312" w:hAnsi="仿宋_GB2312" w:eastAsia="仿宋_GB2312" w:cs="Times New Roman"/>
          <w:spacing w:val="2"/>
          <w:kern w:val="0"/>
          <w:sz w:val="28"/>
          <w:szCs w:val="28"/>
          <w:lang w:val="en-US" w:eastAsia="zh-CN" w:bidi="ar-SA"/>
        </w:rPr>
        <w:t>来源：《广西壮族自治区国民经济和社会发展第十四个五年规划和2035年远景目标纲要》（桂政发〔2021〕11号）</w:t>
      </w:r>
    </w:p>
    <w:p>
      <w:pPr>
        <w:pStyle w:val="12"/>
        <w:numPr>
          <w:ilvl w:val="3"/>
          <w:numId w:val="0"/>
        </w:numPr>
        <w:ind w:leftChars="0" w:right="0" w:rightChars="0" w:firstLine="648" w:firstLineChars="200"/>
        <w:rPr>
          <w:rFonts w:hint="eastAsia" w:ascii="仿宋_GB2312" w:hAnsi="仿宋_GB2312" w:eastAsia="仿宋_GB2312" w:cs="Times New Roman"/>
          <w:spacing w:val="2"/>
          <w:kern w:val="0"/>
          <w:sz w:val="32"/>
          <w:szCs w:val="24"/>
          <w:lang w:val="en-US" w:eastAsia="zh-CN" w:bidi="ar-SA"/>
        </w:rPr>
      </w:pPr>
      <w:r>
        <w:rPr>
          <w:rFonts w:hint="eastAsia" w:ascii="仿宋_GB2312" w:hAnsi="仿宋_GB2312" w:eastAsia="仿宋_GB2312" w:cs="Times New Roman"/>
          <w:spacing w:val="2"/>
          <w:kern w:val="0"/>
          <w:sz w:val="32"/>
          <w:szCs w:val="24"/>
          <w:lang w:val="en-US" w:eastAsia="zh-CN" w:bidi="ar-SA"/>
        </w:rPr>
        <w:t>第五部分：资源条件。</w:t>
      </w:r>
      <w:r>
        <w:rPr>
          <w:rFonts w:hint="eastAsia" w:ascii="仿宋_GB2312" w:hAnsi="宋体" w:eastAsia="仿宋_GB2312" w:cs="Times New Roman"/>
          <w:color w:val="000000" w:themeColor="text1"/>
          <w:sz w:val="32"/>
          <w:szCs w:val="28"/>
          <w:lang w:val="en-US" w:eastAsia="zh-CN"/>
          <w14:textFill>
            <w14:solidFill>
              <w14:schemeClr w14:val="tx1"/>
            </w14:solidFill>
          </w14:textFill>
        </w:rPr>
        <w:t>通过</w:t>
      </w:r>
      <w:r>
        <w:rPr>
          <w:rFonts w:hint="eastAsia" w:ascii="仿宋_GB2312" w:hAnsi="仿宋_GB2312" w:eastAsia="仿宋_GB2312" w:cs="Times New Roman"/>
          <w:spacing w:val="2"/>
          <w:kern w:val="0"/>
          <w:sz w:val="32"/>
          <w:szCs w:val="24"/>
          <w:lang w:val="en-US" w:eastAsia="zh-CN" w:bidi="ar-SA"/>
        </w:rPr>
        <w:t>深入</w:t>
      </w:r>
      <w:r>
        <w:rPr>
          <w:rFonts w:hint="eastAsia" w:ascii="仿宋_GB2312" w:hAnsi="宋体" w:eastAsia="仿宋_GB2312"/>
          <w:color w:val="auto"/>
          <w:sz w:val="32"/>
          <w:szCs w:val="28"/>
          <w:lang w:val="zh-CN" w:eastAsia="zh-CN"/>
        </w:rPr>
        <w:t>南宁万达茂文化产业有限公司、广西南宁大王滩经济开发中心、美丽南方青瓦房古村落、桂平市金田起义博物馆、黄姚乐耘庄园基地、广西五彩田园研学实践与劳动教育营地、</w:t>
      </w:r>
      <w:r>
        <w:rPr>
          <w:rFonts w:hint="eastAsia" w:ascii="仿宋_GB2312" w:hAnsi="宋体" w:eastAsia="仿宋_GB2312"/>
          <w:color w:val="000000" w:themeColor="text1"/>
          <w:sz w:val="32"/>
          <w:szCs w:val="28"/>
          <w:lang w:val="en-US" w:eastAsia="zh-CN"/>
          <w14:textFill>
            <w14:solidFill>
              <w14:schemeClr w14:val="tx1"/>
            </w14:solidFill>
          </w14:textFill>
        </w:rPr>
        <w:t>桂林市七星区文化体育和旅游局、广西师范大学、桂林市中小学生示范性综合实践教育中心、桂林市靖江王陵文物管理处研学实践教育基地、桂海清岚研学实践教育基地、桂林市观赏石协会地质科普研学实践教育基地等地，对研学旅行目的地进行实地调研，结合实际讨论，明确了</w:t>
      </w:r>
      <w:r>
        <w:rPr>
          <w:rFonts w:hint="eastAsia" w:ascii="仿宋_GB2312" w:hAnsi="仿宋_GB2312" w:eastAsia="仿宋_GB2312" w:cs="Times New Roman"/>
          <w:spacing w:val="2"/>
          <w:kern w:val="0"/>
          <w:sz w:val="32"/>
          <w:szCs w:val="24"/>
          <w:lang w:val="en-US" w:eastAsia="zh-CN" w:bidi="ar-SA"/>
        </w:rPr>
        <w:t>研学旅行目的地建设应有产业支撑、课程资源、文化资源、人才资源，以及环境保障等资源条件。</w:t>
      </w:r>
    </w:p>
    <w:p>
      <w:pPr>
        <w:pStyle w:val="7"/>
        <w:numPr>
          <w:ilvl w:val="3"/>
          <w:numId w:val="0"/>
        </w:numPr>
        <w:spacing w:before="0" w:beforeLines="0" w:after="0" w:afterLines="0"/>
        <w:ind w:leftChars="0" w:right="0" w:rightChars="0" w:firstLine="648" w:firstLineChars="200"/>
        <w:rPr>
          <w:rFonts w:hint="eastAsia" w:ascii="仿宋_GB2312" w:hAnsi="仿宋_GB2312" w:eastAsia="仿宋_GB2312" w:cs="Times New Roman"/>
          <w:spacing w:val="2"/>
          <w:kern w:val="0"/>
          <w:sz w:val="32"/>
          <w:szCs w:val="24"/>
          <w:lang w:val="en-US" w:eastAsia="zh-CN" w:bidi="ar-SA"/>
        </w:rPr>
      </w:pPr>
      <w:r>
        <w:rPr>
          <w:rFonts w:hint="eastAsia" w:ascii="仿宋_GB2312" w:hAnsi="仿宋_GB2312" w:eastAsia="仿宋_GB2312" w:cs="Times New Roman"/>
          <w:spacing w:val="2"/>
          <w:kern w:val="0"/>
          <w:sz w:val="32"/>
          <w:szCs w:val="24"/>
          <w:lang w:val="en-US" w:eastAsia="zh-CN" w:bidi="ar-SA"/>
        </w:rPr>
        <w:t>产业支撑</w:t>
      </w:r>
      <w:bookmarkStart w:id="0" w:name="_Toc146630192"/>
      <w:r>
        <w:rPr>
          <w:rFonts w:hint="eastAsia" w:ascii="仿宋_GB2312" w:hAnsi="仿宋_GB2312" w:eastAsia="仿宋_GB2312" w:cs="Times New Roman"/>
          <w:spacing w:val="2"/>
          <w:kern w:val="0"/>
          <w:sz w:val="32"/>
          <w:szCs w:val="24"/>
          <w:lang w:val="en-US" w:eastAsia="zh-CN" w:bidi="ar-SA"/>
        </w:rPr>
        <w:t>方面，通过调研发展，研学产业是研学旅行持续发展的基础，本文件明确了研学旅行目的地应有2个以上不同类型的研学基地、营地、线路等研学产业，产业服务提供方、人员配置、研学旅行产品、服务项目以及安全管理规范应符合LB/T 054-2016的要求</w:t>
      </w:r>
      <w:bookmarkEnd w:id="0"/>
      <w:bookmarkStart w:id="1" w:name="_Toc146630193"/>
      <w:r>
        <w:rPr>
          <w:rFonts w:hint="eastAsia" w:ascii="仿宋_GB2312" w:hAnsi="仿宋_GB2312" w:eastAsia="仿宋_GB2312" w:cs="Times New Roman"/>
          <w:spacing w:val="2"/>
          <w:kern w:val="0"/>
          <w:sz w:val="32"/>
          <w:szCs w:val="24"/>
          <w:lang w:val="en-US" w:eastAsia="zh-CN" w:bidi="ar-SA"/>
        </w:rPr>
        <w:t>；应与交通、住宿、餐饮、娱乐、保险、商业等相关配套服务产业互联互通，形成较完善、能够满足研学旅行需求的产业链</w:t>
      </w:r>
      <w:bookmarkEnd w:id="1"/>
      <w:bookmarkStart w:id="2" w:name="_Toc146630194"/>
      <w:r>
        <w:rPr>
          <w:rFonts w:hint="eastAsia" w:ascii="仿宋_GB2312" w:hAnsi="仿宋_GB2312" w:eastAsia="仿宋_GB2312" w:cs="Times New Roman"/>
          <w:spacing w:val="2"/>
          <w:kern w:val="0"/>
          <w:sz w:val="32"/>
          <w:szCs w:val="24"/>
          <w:lang w:val="en-US" w:eastAsia="zh-CN" w:bidi="ar-SA"/>
        </w:rPr>
        <w:t>；应建设研学产业投资平台，扶持广西当地优势研学企业及项目，并吸引社会投资主体进入，激发市场活力</w:t>
      </w:r>
      <w:bookmarkEnd w:id="2"/>
      <w:r>
        <w:rPr>
          <w:rFonts w:hint="eastAsia" w:ascii="仿宋_GB2312" w:hAnsi="仿宋_GB2312" w:eastAsia="仿宋_GB2312" w:cs="Times New Roman"/>
          <w:spacing w:val="2"/>
          <w:kern w:val="0"/>
          <w:sz w:val="32"/>
          <w:szCs w:val="24"/>
          <w:lang w:val="en-US" w:eastAsia="zh-CN" w:bidi="ar-SA"/>
        </w:rPr>
        <w:t>。</w:t>
      </w:r>
      <w:bookmarkStart w:id="3" w:name="_Toc146630195"/>
      <w:r>
        <w:rPr>
          <w:rFonts w:hint="eastAsia" w:ascii="仿宋_GB2312" w:hAnsi="仿宋_GB2312" w:eastAsia="仿宋_GB2312" w:cs="Times New Roman"/>
          <w:spacing w:val="2"/>
          <w:kern w:val="0"/>
          <w:sz w:val="32"/>
          <w:szCs w:val="24"/>
          <w:lang w:val="en-US" w:eastAsia="zh-CN" w:bidi="ar-SA"/>
        </w:rPr>
        <w:t>研学旅行目的地还应对客源具有强大的吸引力，能够创造良好的经济效益，保障当地社区权益，增加当地居民就业，带动当地居民致富</w:t>
      </w:r>
      <w:r>
        <w:rPr>
          <w:rFonts w:hint="eastAsia" w:ascii="宋体" w:hAnsi="宋体" w:eastAsia="宋体"/>
        </w:rPr>
        <w:t>。</w:t>
      </w:r>
      <w:bookmarkEnd w:id="3"/>
    </w:p>
    <w:p>
      <w:pPr>
        <w:pStyle w:val="12"/>
        <w:numPr>
          <w:ilvl w:val="3"/>
          <w:numId w:val="0"/>
        </w:numPr>
        <w:ind w:leftChars="0" w:right="0" w:rightChars="0" w:firstLine="648" w:firstLineChars="200"/>
        <w:rPr>
          <w:rFonts w:hint="eastAsia" w:ascii="仿宋_GB2312" w:hAnsi="仿宋_GB2312" w:eastAsia="仿宋_GB2312" w:cs="Times New Roman"/>
          <w:spacing w:val="2"/>
          <w:kern w:val="0"/>
          <w:sz w:val="21"/>
          <w:szCs w:val="21"/>
          <w:lang w:val="en-US" w:eastAsia="zh-CN" w:bidi="ar-SA"/>
        </w:rPr>
      </w:pPr>
      <w:r>
        <w:rPr>
          <w:rFonts w:hint="eastAsia" w:ascii="仿宋_GB2312" w:hAnsi="仿宋_GB2312" w:eastAsia="仿宋_GB2312" w:cs="Times New Roman"/>
          <w:spacing w:val="2"/>
          <w:kern w:val="0"/>
          <w:sz w:val="32"/>
          <w:szCs w:val="24"/>
          <w:lang w:val="en-US" w:eastAsia="zh-CN" w:bidi="ar-SA"/>
        </w:rPr>
        <w:t>课程资源方面，以“习近平总书记视察广西‘4•27’重要讲话精神和对广西工作系列重要指示要求，挖掘文化产业、旅游业等特色优势产业发展潜力，加快广西文化和旅游高质量发展”为依据；参照“广西壮族自治区2023年中小学生研学实践教育精品课程(线路)评选工作，提出要推动地方充分挖掘广西研学资源优势,科学研发和推介一批具有广西特色、育人效果突出的精品课程和线路,加快构建“八桂”系列研学精品课程(线路)服务体系”，明确了应依托广西当地自然和人文资源开发教育+文旅、教育+艺术、教育+体育、教育+劳动、教育+科技、教育+工业、教育+农业、教育+商业、教育+国防、教育+自然生态等课程，提供多种研学旅行产品组合和线路服务。参照</w:t>
      </w:r>
      <w:r>
        <w:rPr>
          <w:rFonts w:hint="default" w:ascii="仿宋_GB2312" w:hAnsi="仿宋_GB2312" w:eastAsia="仿宋_GB2312" w:cs="Times New Roman"/>
          <w:spacing w:val="2"/>
          <w:kern w:val="0"/>
          <w:sz w:val="32"/>
          <w:szCs w:val="24"/>
          <w:lang w:val="en-US" w:eastAsia="zh-CN" w:bidi="ar-SA"/>
        </w:rPr>
        <w:t>绍兴市</w:t>
      </w:r>
      <w:r>
        <w:rPr>
          <w:rFonts w:hint="eastAsia" w:ascii="仿宋_GB2312" w:hAnsi="仿宋_GB2312" w:eastAsia="仿宋_GB2312" w:cs="Times New Roman"/>
          <w:spacing w:val="2"/>
          <w:kern w:val="0"/>
          <w:sz w:val="32"/>
          <w:szCs w:val="24"/>
          <w:lang w:val="en-US" w:eastAsia="zh-CN" w:bidi="ar-SA"/>
        </w:rPr>
        <w:t>推出的</w:t>
      </w:r>
      <w:r>
        <w:rPr>
          <w:rFonts w:hint="default" w:ascii="仿宋_GB2312" w:hAnsi="仿宋_GB2312" w:eastAsia="仿宋_GB2312" w:cs="Times New Roman"/>
          <w:spacing w:val="2"/>
          <w:kern w:val="0"/>
          <w:sz w:val="32"/>
          <w:szCs w:val="24"/>
          <w:lang w:val="en-US" w:eastAsia="zh-CN" w:bidi="ar-SA"/>
        </w:rPr>
        <w:t>“研学游一件事”多跨应用2.0项目</w:t>
      </w:r>
      <w:r>
        <w:rPr>
          <w:rFonts w:hint="eastAsia" w:ascii="仿宋_GB2312" w:hAnsi="仿宋_GB2312" w:eastAsia="仿宋_GB2312" w:cs="Times New Roman"/>
          <w:spacing w:val="2"/>
          <w:kern w:val="0"/>
          <w:sz w:val="32"/>
          <w:szCs w:val="24"/>
          <w:lang w:val="en-US" w:eastAsia="zh-CN" w:bidi="ar-SA"/>
        </w:rPr>
        <w:t>，以及成都市研学旅行协会发布的研学实践教育管理平台等数字技术在研学旅行中的应用，提出研学旅行目的地宜开发基于5G、超高清、增强现实、虚拟现实、人工智能等技术的新一代沉浸式体验型文化和研学旅行课程。</w:t>
      </w:r>
    </w:p>
    <w:p>
      <w:pPr>
        <w:pStyle w:val="12"/>
        <w:numPr>
          <w:ilvl w:val="3"/>
          <w:numId w:val="0"/>
        </w:numPr>
        <w:ind w:leftChars="0" w:right="0" w:rightChars="0" w:firstLine="648" w:firstLineChars="200"/>
        <w:rPr>
          <w:rFonts w:hint="eastAsia" w:ascii="仿宋_GB2312" w:hAnsi="仿宋_GB2312" w:eastAsia="仿宋_GB2312" w:cs="Times New Roman"/>
          <w:spacing w:val="2"/>
          <w:kern w:val="0"/>
          <w:sz w:val="32"/>
          <w:szCs w:val="24"/>
          <w:lang w:val="en-US" w:eastAsia="zh-CN" w:bidi="ar-SA"/>
        </w:rPr>
      </w:pPr>
      <w:r>
        <w:rPr>
          <w:rFonts w:hint="eastAsia" w:ascii="仿宋_GB2312" w:hAnsi="仿宋_GB2312" w:eastAsia="仿宋_GB2312" w:cs="Times New Roman"/>
          <w:spacing w:val="2"/>
          <w:kern w:val="0"/>
          <w:sz w:val="32"/>
          <w:szCs w:val="24"/>
          <w:lang w:val="en-US" w:eastAsia="zh-CN" w:bidi="ar-SA"/>
        </w:rPr>
        <w:t>文化资源方面，广西壮族自治区是一个多民族、多文化的地区，有着丰富多彩的传统文化，拥有极为丰富的旅游资源和众多高品位的自然景观、文化景观。广西区内居住着壮、汉、瑶、苗、侗、仫佬、毛南、回、京、彝、水和仡佬等 12 个少数民族，有从外地迁入的 13 个少数民族，共计 25 个少数民族；有近 10个少数民族有自己的语言和文字；广西所特有的物质文化资源有桂林山水文化、北部湾海洋文化，非物质文化资源有民族手工技艺、民族医药文化、民族节庆文化、民族建筑技艺等等。参照崇左市建设国际边关风情旅游目的地所出台的《广西壮族自治区人民政府办公厅关于支持崇左市建设国际边关风情旅游目的地的意见》，支持开发以“壮族霜降节”为核心的二十四节气主题文化产品，开展主题研学活动，设立“壮族霜降节人类非物质文化遗产日”等内容，并结合丰富的广西文化资源明确了研学旅行目的地应具有广西当地自然环境、人文景观、群体性格共同组成的民族传统文化和现代精神文明资源，在建设研学旅行目的地应充分利用广西自然和文化资源，开发研学基地、营地、产品和线路。</w:t>
      </w:r>
    </w:p>
    <w:p>
      <w:pPr>
        <w:pStyle w:val="12"/>
        <w:numPr>
          <w:ilvl w:val="3"/>
          <w:numId w:val="0"/>
        </w:numPr>
        <w:ind w:leftChars="0" w:right="0" w:rightChars="0" w:firstLine="648" w:firstLineChars="200"/>
        <w:jc w:val="center"/>
        <w:rPr>
          <w:rFonts w:hint="eastAsia" w:ascii="仿宋_GB2312" w:hAnsi="仿宋_GB2312" w:eastAsia="仿宋_GB2312" w:cs="Times New Roman"/>
          <w:spacing w:val="2"/>
          <w:kern w:val="0"/>
          <w:sz w:val="32"/>
          <w:szCs w:val="24"/>
          <w:lang w:val="en-US" w:eastAsia="zh-CN" w:bidi="ar-SA"/>
        </w:rPr>
      </w:pPr>
      <w:r>
        <w:rPr>
          <w:rFonts w:hint="eastAsia" w:ascii="仿宋_GB2312" w:hAnsi="仿宋_GB2312" w:eastAsia="仿宋_GB2312" w:cs="Times New Roman"/>
          <w:spacing w:val="2"/>
          <w:kern w:val="0"/>
          <w:sz w:val="32"/>
          <w:szCs w:val="24"/>
          <w:lang w:val="en-US" w:eastAsia="zh-CN" w:bidi="ar-SA"/>
        </w:rPr>
        <w:drawing>
          <wp:inline distT="0" distB="0" distL="114300" distR="114300">
            <wp:extent cx="4791710" cy="1109980"/>
            <wp:effectExtent l="9525" t="9525" r="18415" b="23495"/>
            <wp:docPr id="4" name="图片 4" descr="9bd1a6a19f4d8027f4e29d4116e1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9bd1a6a19f4d8027f4e29d4116e1496"/>
                    <pic:cNvPicPr>
                      <a:picLocks noChangeAspect="1"/>
                    </pic:cNvPicPr>
                  </pic:nvPicPr>
                  <pic:blipFill>
                    <a:blip r:embed="rId8"/>
                    <a:stretch>
                      <a:fillRect/>
                    </a:stretch>
                  </pic:blipFill>
                  <pic:spPr>
                    <a:xfrm>
                      <a:off x="0" y="0"/>
                      <a:ext cx="4791710" cy="1109980"/>
                    </a:xfrm>
                    <a:prstGeom prst="rect">
                      <a:avLst/>
                    </a:prstGeom>
                    <a:ln>
                      <a:solidFill>
                        <a:schemeClr val="tx1"/>
                      </a:solidFill>
                    </a:ln>
                  </pic:spPr>
                </pic:pic>
              </a:graphicData>
            </a:graphic>
          </wp:inline>
        </w:drawing>
      </w:r>
    </w:p>
    <w:p>
      <w:pPr>
        <w:pStyle w:val="12"/>
        <w:numPr>
          <w:ilvl w:val="3"/>
          <w:numId w:val="0"/>
        </w:numPr>
        <w:ind w:leftChars="0" w:right="0" w:rightChars="0" w:firstLine="568" w:firstLineChars="200"/>
        <w:jc w:val="center"/>
        <w:rPr>
          <w:rFonts w:hint="eastAsia" w:ascii="仿宋_GB2312" w:hAnsi="仿宋_GB2312" w:eastAsia="仿宋_GB2312" w:cs="Times New Roman"/>
          <w:spacing w:val="2"/>
          <w:kern w:val="0"/>
          <w:sz w:val="21"/>
          <w:szCs w:val="21"/>
          <w:lang w:val="en-US" w:eastAsia="zh-CN" w:bidi="ar-SA"/>
        </w:rPr>
      </w:pPr>
      <w:r>
        <w:rPr>
          <w:rFonts w:hint="eastAsia" w:ascii="仿宋_GB2312" w:hAnsi="仿宋_GB2312" w:eastAsia="仿宋_GB2312" w:cs="Times New Roman"/>
          <w:spacing w:val="2"/>
          <w:kern w:val="0"/>
          <w:sz w:val="28"/>
          <w:szCs w:val="28"/>
          <w:lang w:val="en-US" w:eastAsia="zh-CN" w:bidi="ar-SA"/>
        </w:rPr>
        <w:t>来源：《广西壮族自治区人民政府办公厅关于支持崇左市建设国际边关风情旅游目的地的意见》</w:t>
      </w:r>
    </w:p>
    <w:p>
      <w:pPr>
        <w:pStyle w:val="12"/>
        <w:numPr>
          <w:ilvl w:val="3"/>
          <w:numId w:val="0"/>
        </w:numPr>
        <w:ind w:leftChars="0" w:right="0" w:rightChars="0" w:firstLine="648" w:firstLineChars="200"/>
        <w:rPr>
          <w:rFonts w:hint="eastAsia" w:ascii="仿宋_GB2312" w:hAnsi="仿宋_GB2312" w:eastAsia="仿宋_GB2312" w:cs="Times New Roman"/>
          <w:spacing w:val="2"/>
          <w:kern w:val="0"/>
          <w:sz w:val="32"/>
          <w:szCs w:val="24"/>
          <w:lang w:val="en-US" w:eastAsia="zh-CN" w:bidi="ar-SA"/>
        </w:rPr>
      </w:pPr>
      <w:r>
        <w:rPr>
          <w:rFonts w:hint="eastAsia" w:ascii="仿宋_GB2312" w:hAnsi="仿宋_GB2312" w:eastAsia="仿宋_GB2312" w:cs="Times New Roman"/>
          <w:spacing w:val="2"/>
          <w:kern w:val="0"/>
          <w:sz w:val="32"/>
          <w:szCs w:val="24"/>
          <w:lang w:val="en-US" w:eastAsia="zh-CN" w:bidi="ar-SA"/>
        </w:rPr>
        <w:t>人才资源方面,主要依据文化和旅游部《文化和旅游标准化工作管理办法》中人才队伍建设的内容，明确了应有具备研学旅行资质和证照的机构或组织来进行组织、协调和沟通工作，接待学员前往目的地，配合研学导师完成研学旅行工作；应储备一定规研且具有研学旅行相关资格证书的学旅行指导师、安全员等专业人员，从业人员应具备良好的业务技能和职业素养；并组建研学旅行目的地建设专家顾问团队，团队成员应为当地研学旅行行业领军人才。</w:t>
      </w:r>
    </w:p>
    <w:p>
      <w:pPr>
        <w:pStyle w:val="8"/>
        <w:rPr>
          <w:rFonts w:hint="eastAsia"/>
          <w:lang w:val="en-US" w:eastAsia="zh-CN"/>
        </w:rPr>
      </w:pPr>
      <w:r>
        <w:drawing>
          <wp:inline distT="0" distB="0" distL="114300" distR="114300">
            <wp:extent cx="4491355" cy="469900"/>
            <wp:effectExtent l="9525" t="9525" r="13970" b="15875"/>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pic:cNvPicPr>
                      <a:picLocks noChangeAspect="1"/>
                    </pic:cNvPicPr>
                  </pic:nvPicPr>
                  <pic:blipFill>
                    <a:blip r:embed="rId9"/>
                    <a:stretch>
                      <a:fillRect/>
                    </a:stretch>
                  </pic:blipFill>
                  <pic:spPr>
                    <a:xfrm>
                      <a:off x="0" y="0"/>
                      <a:ext cx="4491355" cy="469900"/>
                    </a:xfrm>
                    <a:prstGeom prst="rect">
                      <a:avLst/>
                    </a:prstGeom>
                    <a:noFill/>
                    <a:ln>
                      <a:solidFill>
                        <a:schemeClr val="tx1"/>
                      </a:solidFill>
                    </a:ln>
                  </pic:spPr>
                </pic:pic>
              </a:graphicData>
            </a:graphic>
          </wp:inline>
        </w:drawing>
      </w:r>
    </w:p>
    <w:p>
      <w:pPr>
        <w:pStyle w:val="8"/>
        <w:jc w:val="center"/>
        <w:rPr>
          <w:rFonts w:hint="eastAsia" w:ascii="黑体" w:hAnsi="黑体" w:eastAsia="黑体" w:cs="黑体"/>
          <w:spacing w:val="2"/>
          <w:kern w:val="0"/>
          <w:sz w:val="21"/>
          <w:szCs w:val="21"/>
          <w:lang w:val="en-US" w:eastAsia="zh-CN" w:bidi="ar-SA"/>
        </w:rPr>
      </w:pPr>
      <w:r>
        <w:rPr>
          <w:rFonts w:hint="eastAsia" w:ascii="黑体" w:hAnsi="黑体" w:eastAsia="黑体" w:cs="黑体"/>
          <w:lang w:val="en-US" w:eastAsia="zh-CN"/>
        </w:rPr>
        <w:t>来源：</w:t>
      </w:r>
      <w:r>
        <w:rPr>
          <w:rFonts w:hint="eastAsia" w:ascii="黑体" w:hAnsi="黑体" w:eastAsia="黑体" w:cs="黑体"/>
          <w:spacing w:val="2"/>
          <w:kern w:val="0"/>
          <w:sz w:val="21"/>
          <w:szCs w:val="21"/>
          <w:lang w:val="en-US" w:eastAsia="zh-CN" w:bidi="ar-SA"/>
        </w:rPr>
        <w:t>文化和旅游部关于印发《文化和旅游标准化工作管理办法》的通知文旅科教发〔2023〕28号。</w:t>
      </w:r>
    </w:p>
    <w:p>
      <w:pPr>
        <w:pStyle w:val="7"/>
        <w:numPr>
          <w:ilvl w:val="3"/>
          <w:numId w:val="0"/>
        </w:numPr>
        <w:spacing w:before="0" w:beforeLines="0" w:after="0" w:afterLines="0"/>
        <w:ind w:leftChars="0" w:right="0" w:rightChars="0" w:firstLine="651" w:firstLineChars="200"/>
        <w:rPr>
          <w:rFonts w:hint="eastAsia" w:ascii="仿宋_GB2312" w:hAnsi="仿宋_GB2312" w:eastAsia="仿宋_GB2312" w:cs="Times New Roman"/>
          <w:spacing w:val="2"/>
          <w:kern w:val="0"/>
          <w:sz w:val="32"/>
          <w:szCs w:val="24"/>
          <w:lang w:val="en-US" w:eastAsia="zh-CN" w:bidi="ar-SA"/>
        </w:rPr>
      </w:pPr>
      <w:r>
        <w:rPr>
          <w:rFonts w:hint="eastAsia" w:ascii="仿宋_GB2312" w:hAnsi="仿宋_GB2312" w:eastAsia="仿宋_GB2312" w:cs="Times New Roman"/>
          <w:b/>
          <w:bCs/>
          <w:spacing w:val="2"/>
          <w:kern w:val="0"/>
          <w:sz w:val="32"/>
          <w:szCs w:val="24"/>
          <w:lang w:val="en-US" w:eastAsia="zh-CN" w:bidi="ar-SA"/>
        </w:rPr>
        <w:t>环境保障方面，</w:t>
      </w:r>
      <w:r>
        <w:rPr>
          <w:rFonts w:hint="eastAsia" w:ascii="仿宋_GB2312" w:hAnsi="仿宋_GB2312" w:eastAsia="仿宋_GB2312" w:cs="Times New Roman"/>
          <w:spacing w:val="2"/>
          <w:kern w:val="0"/>
          <w:sz w:val="32"/>
          <w:szCs w:val="24"/>
          <w:lang w:val="en-US" w:eastAsia="zh-CN" w:bidi="ar-SA"/>
        </w:rPr>
        <w:t>明确了应树立绿色发展理念，坚持以人民为中心，统筹研学发展和生态安全，促进人与自然和谐共生；运用现代技术手段做好预约调控、环境监测、流量疏导，将研学旅行活动对自然环境的影响降到最低，积极引导研学旅行者践行绿色旅游出行方式，抵制污染环境和浪费资源的行为。通过完善公共文化服务体系，提高当地居民文化道德素质，营造浓厚的人文环境氛围；同时注重人文环境的保护和建设，保护和留存广西当地文物古迹、革命遗址、民族特殊人文景观，建设科学、经济、文化、艺术等研学活动场所。</w:t>
      </w:r>
    </w:p>
    <w:p>
      <w:pPr>
        <w:pStyle w:val="10"/>
        <w:numPr>
          <w:ilvl w:val="2"/>
          <w:numId w:val="0"/>
        </w:numPr>
        <w:spacing w:before="0" w:beforeLines="0" w:after="0" w:afterLines="0"/>
        <w:ind w:leftChars="0" w:firstLine="648" w:firstLineChars="200"/>
        <w:rPr>
          <w:rFonts w:hint="default" w:ascii="仿宋_GB2312" w:hAnsi="仿宋_GB2312" w:eastAsia="仿宋_GB2312" w:cs="Times New Roman"/>
          <w:spacing w:val="2"/>
          <w:kern w:val="0"/>
          <w:sz w:val="32"/>
          <w:szCs w:val="24"/>
          <w:lang w:val="en-US" w:eastAsia="zh-CN" w:bidi="ar-SA"/>
        </w:rPr>
      </w:pPr>
      <w:r>
        <w:rPr>
          <w:rFonts w:hint="eastAsia" w:ascii="仿宋_GB2312" w:hAnsi="仿宋_GB2312" w:eastAsia="仿宋_GB2312" w:cs="Times New Roman"/>
          <w:spacing w:val="2"/>
          <w:kern w:val="0"/>
          <w:sz w:val="32"/>
          <w:szCs w:val="24"/>
          <w:lang w:val="en-US" w:eastAsia="zh-CN" w:bidi="ar-SA"/>
        </w:rPr>
        <w:t>第六部分：基础配套。参照《十四五”旅游业发展规划》，明确了应建设完善的基础设施、公共服务设施、接待服务设施，科学规划建设研学旅行住宿区域、餐饮区域、停车场、内部交通、便民设施、标识标牌等设施；住宿整体服务质量和安全管理应符合GB/T14308，餐饮质量应符合GB/T 33497-2023要求。</w:t>
      </w:r>
      <w:bookmarkStart w:id="4" w:name="_Toc146630205"/>
      <w:r>
        <w:rPr>
          <w:rFonts w:hint="eastAsia" w:ascii="仿宋_GB2312" w:hAnsi="仿宋_GB2312" w:eastAsia="仿宋_GB2312" w:cs="Times New Roman"/>
          <w:spacing w:val="2"/>
          <w:kern w:val="0"/>
          <w:sz w:val="32"/>
          <w:szCs w:val="24"/>
          <w:lang w:val="en-US" w:eastAsia="zh-CN" w:bidi="ar-SA"/>
        </w:rPr>
        <w:t>依据《“十四五”文化和旅游发展规划》提出要积极发展智慧旅游，加强旅游信息基础设施建设；广西全州县“湘江红”红色文旅资源管理平台，该平台以“一码”为平台、以企业为主体、以政府为支撑，以文化旅游为基本场景，以深度运营为驱动力，通过整合全州县红色文旅资源，为用户提供吃、住、行、游、购、娱一站式智慧文旅服务；明确了研学旅行目的地应建设智慧化基础设施，实现研学旅行目的地5G信号全覆盖，对服务中心、研学基地、研学营地、停车场、厕所等进行智慧化改造。</w:t>
      </w:r>
      <w:bookmarkEnd w:id="4"/>
      <w:bookmarkStart w:id="5" w:name="_Toc146630206"/>
      <w:r>
        <w:rPr>
          <w:rFonts w:hint="eastAsia" w:ascii="仿宋_GB2312" w:hAnsi="仿宋_GB2312" w:eastAsia="仿宋_GB2312" w:cs="Times New Roman"/>
          <w:spacing w:val="2"/>
          <w:kern w:val="0"/>
          <w:sz w:val="32"/>
          <w:szCs w:val="24"/>
          <w:lang w:val="en-US" w:eastAsia="zh-CN" w:bidi="ar-SA"/>
        </w:rPr>
        <w:t>同时，研学旅行目的地还应具有良好的可达性，交通设施便捷、高效、安全，交通标志完整、规范、清晰，符合GB 5768要求</w:t>
      </w:r>
      <w:bookmarkEnd w:id="5"/>
      <w:r>
        <w:rPr>
          <w:rFonts w:hint="eastAsia" w:ascii="仿宋_GB2312" w:hAnsi="仿宋_GB2312" w:eastAsia="仿宋_GB2312" w:cs="Times New Roman"/>
          <w:spacing w:val="2"/>
          <w:kern w:val="0"/>
          <w:sz w:val="32"/>
          <w:szCs w:val="24"/>
          <w:lang w:val="en-US" w:eastAsia="zh-CN" w:bidi="ar-SA"/>
        </w:rPr>
        <w:t>，保障交通的畅通和安全。</w:t>
      </w:r>
    </w:p>
    <w:p>
      <w:pPr>
        <w:pStyle w:val="10"/>
        <w:numPr>
          <w:ilvl w:val="2"/>
          <w:numId w:val="0"/>
        </w:numPr>
        <w:spacing w:before="0" w:beforeLines="0" w:after="0" w:afterLines="0"/>
        <w:ind w:leftChars="0"/>
      </w:pPr>
      <w:r>
        <w:rPr>
          <w:rFonts w:hint="eastAsia" w:ascii="仿宋_GB2312" w:hAnsi="仿宋_GB2312" w:eastAsia="仿宋_GB2312" w:cs="Times New Roman"/>
          <w:spacing w:val="2"/>
          <w:kern w:val="0"/>
          <w:sz w:val="32"/>
          <w:szCs w:val="24"/>
          <w:lang w:val="en-US" w:eastAsia="zh-CN" w:bidi="ar-SA"/>
        </w:rPr>
        <w:t xml:space="preserve">    </w:t>
      </w:r>
      <w:r>
        <w:drawing>
          <wp:inline distT="0" distB="0" distL="114300" distR="114300">
            <wp:extent cx="4658360" cy="1405255"/>
            <wp:effectExtent l="9525" t="9525" r="10795" b="1778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0"/>
                    <a:stretch>
                      <a:fillRect/>
                    </a:stretch>
                  </pic:blipFill>
                  <pic:spPr>
                    <a:xfrm>
                      <a:off x="0" y="0"/>
                      <a:ext cx="4658360" cy="1405255"/>
                    </a:xfrm>
                    <a:prstGeom prst="rect">
                      <a:avLst/>
                    </a:prstGeom>
                    <a:noFill/>
                    <a:ln>
                      <a:solidFill>
                        <a:schemeClr val="tx1"/>
                      </a:solidFill>
                    </a:ln>
                  </pic:spPr>
                </pic:pic>
              </a:graphicData>
            </a:graphic>
          </wp:inline>
        </w:drawing>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仿宋_GB2312" w:hAnsi="仿宋_GB2312" w:eastAsia="仿宋_GB2312" w:cs="Times New Roman"/>
          <w:spacing w:val="2"/>
          <w:kern w:val="0"/>
          <w:sz w:val="28"/>
          <w:szCs w:val="28"/>
          <w:lang w:val="en-US" w:eastAsia="zh-CN" w:bidi="ar-SA"/>
        </w:rPr>
      </w:pPr>
      <w:r>
        <w:rPr>
          <w:rFonts w:hint="eastAsia" w:ascii="仿宋_GB2312" w:hAnsi="仿宋_GB2312" w:eastAsia="仿宋_GB2312" w:cs="Times New Roman"/>
          <w:spacing w:val="2"/>
          <w:kern w:val="0"/>
          <w:sz w:val="28"/>
          <w:szCs w:val="28"/>
          <w:lang w:val="en-US" w:eastAsia="zh-CN" w:bidi="ar-SA"/>
        </w:rPr>
        <w:t>来源：国务院关于印发“十四五”旅游业发展规划的通知国发〔2021〕32号</w:t>
      </w:r>
    </w:p>
    <w:p>
      <w:pPr>
        <w:pStyle w:val="7"/>
        <w:numPr>
          <w:ilvl w:val="3"/>
          <w:numId w:val="0"/>
        </w:numPr>
        <w:spacing w:before="0" w:beforeLines="0" w:after="0" w:afterLines="0"/>
        <w:ind w:leftChars="0" w:right="0" w:rightChars="0" w:firstLine="648" w:firstLineChars="200"/>
        <w:rPr>
          <w:rFonts w:hint="eastAsia" w:ascii="仿宋_GB2312" w:hAnsi="仿宋_GB2312" w:eastAsia="仿宋_GB2312" w:cs="Times New Roman"/>
          <w:spacing w:val="2"/>
          <w:kern w:val="0"/>
          <w:sz w:val="32"/>
          <w:szCs w:val="24"/>
          <w:lang w:val="en-US" w:eastAsia="zh-CN" w:bidi="ar-SA"/>
        </w:rPr>
      </w:pPr>
      <w:r>
        <w:rPr>
          <w:rFonts w:hint="eastAsia" w:ascii="仿宋_GB2312" w:hAnsi="仿宋_GB2312" w:eastAsia="仿宋_GB2312" w:cs="Times New Roman"/>
          <w:spacing w:val="2"/>
          <w:kern w:val="0"/>
          <w:sz w:val="32"/>
          <w:szCs w:val="24"/>
          <w:lang w:val="en-US" w:eastAsia="zh-CN" w:bidi="ar-SA"/>
        </w:rPr>
        <w:t>第七部分：品牌营销。品牌营销是研学旅行可持续发展的重要保障</w:t>
      </w:r>
      <w:r>
        <w:rPr>
          <w:rFonts w:hint="eastAsia" w:ascii="仿宋_GB2312" w:hAnsi="仿宋_GB2312" w:eastAsia="仿宋_GB2312" w:cs="Times New Roman"/>
          <w:b/>
          <w:bCs/>
          <w:spacing w:val="2"/>
          <w:kern w:val="0"/>
          <w:sz w:val="32"/>
          <w:szCs w:val="24"/>
          <w:lang w:val="en-US" w:eastAsia="zh-CN" w:bidi="ar-SA"/>
        </w:rPr>
        <w:t>，</w:t>
      </w:r>
      <w:r>
        <w:rPr>
          <w:rFonts w:hint="eastAsia" w:ascii="仿宋_GB2312" w:hAnsi="仿宋_GB2312" w:eastAsia="仿宋_GB2312" w:cs="Times New Roman"/>
          <w:spacing w:val="2"/>
          <w:kern w:val="0"/>
          <w:sz w:val="32"/>
          <w:szCs w:val="24"/>
          <w:lang w:val="en-US" w:eastAsia="zh-CN" w:bidi="ar-SA"/>
        </w:rPr>
        <w:t>2023年7月7日，“力行学堂”广西研学旅行品牌2023夏季推介会在贵港市博物馆举办，推介会向社会公众重点推介了18条研学旅行精品线路，对研学旅行目的地进行了有效地宣传。本文件参照《旅游目的地地格理论研究》中旅游目的地的品牌基因，明确了研学旅行目的地应培育知名度和美誉度高、具有强势竞争力的研学旅行目的地品牌。品牌定位应凸显广西当地特色，设计特色鲜明的品牌形象、品牌标识、标志性建筑，树立代表广西当地特色的品牌核心价值；创新营销模式，运用传统与现代相结合的营销方式，充分利用社交媒体、APP、小程序等新媒体进行营销，有效地传达广西地方研学旅行品牌形象和品牌价值。</w:t>
      </w:r>
    </w:p>
    <w:p>
      <w:pPr>
        <w:pStyle w:val="8"/>
        <w:rPr>
          <w:rFonts w:hint="eastAsia" w:ascii="仿宋_GB2312" w:hAnsi="仿宋_GB2312" w:eastAsia="仿宋_GB2312" w:cs="Times New Roman"/>
          <w:spacing w:val="2"/>
          <w:kern w:val="0"/>
          <w:sz w:val="32"/>
          <w:szCs w:val="24"/>
          <w:lang w:val="en-US" w:eastAsia="zh-CN" w:bidi="ar-SA"/>
        </w:rPr>
      </w:pPr>
      <w:r>
        <w:rPr>
          <w:rFonts w:hint="eastAsia" w:ascii="仿宋_GB2312" w:hAnsi="仿宋_GB2312" w:eastAsia="仿宋_GB2312" w:cs="Times New Roman"/>
          <w:spacing w:val="2"/>
          <w:kern w:val="0"/>
          <w:sz w:val="32"/>
          <w:szCs w:val="24"/>
          <w:lang w:val="en-US" w:eastAsia="zh-CN" w:bidi="ar-SA"/>
        </w:rPr>
        <w:t>第八部分：评价改进。依据《关于推进中小学生研学旅行的意见》“要强化督查评价，各地要建立健全中小学生参加研学旅行的评价机制”。明确了应在研学旅行活动结束后开展满意度调查，对调查结果进行分析，科学研判存在的问题，并提出相应的整改措施；同时建立完善的质量监督保证体系与信息反馈和投诉处理机制，及时处理投诉、档案记录完整、不定期抽查，不断提升研学旅行目的地服务品质。</w:t>
      </w:r>
    </w:p>
    <w:p>
      <w:pPr>
        <w:spacing w:line="560" w:lineRule="exact"/>
        <w:ind w:firstLine="640" w:firstLineChars="200"/>
        <w:outlineLvl w:val="0"/>
        <w:rPr>
          <w:rFonts w:ascii="黑体" w:hAnsi="黑体" w:eastAsia="黑体" w:cs="黑体"/>
          <w:bCs/>
          <w:sz w:val="32"/>
          <w:szCs w:val="32"/>
        </w:rPr>
      </w:pPr>
      <w:r>
        <w:rPr>
          <w:rFonts w:hint="eastAsia" w:ascii="黑体" w:hAnsi="黑体" w:eastAsia="黑体" w:cs="黑体"/>
          <w:bCs/>
          <w:sz w:val="32"/>
          <w:szCs w:val="32"/>
          <w:lang w:val="en-US" w:eastAsia="zh-CN"/>
        </w:rPr>
        <w:t>八</w:t>
      </w:r>
      <w:r>
        <w:rPr>
          <w:rFonts w:hint="eastAsia" w:ascii="黑体" w:hAnsi="黑体" w:eastAsia="黑体" w:cs="黑体"/>
          <w:bCs/>
          <w:sz w:val="32"/>
          <w:szCs w:val="32"/>
        </w:rPr>
        <w:t>、重大分歧意见发处理经过和依据</w:t>
      </w:r>
    </w:p>
    <w:p>
      <w:pPr>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本标准研制过程中无重大分歧意见。</w:t>
      </w:r>
    </w:p>
    <w:p>
      <w:pPr>
        <w:spacing w:line="560" w:lineRule="exact"/>
        <w:ind w:firstLine="640" w:firstLineChars="200"/>
        <w:outlineLvl w:val="0"/>
        <w:rPr>
          <w:rFonts w:ascii="黑体" w:hAnsi="黑体" w:eastAsia="黑体" w:cs="黑体"/>
          <w:bCs/>
          <w:sz w:val="32"/>
          <w:szCs w:val="32"/>
        </w:rPr>
      </w:pPr>
      <w:r>
        <w:rPr>
          <w:rFonts w:hint="eastAsia" w:ascii="黑体" w:hAnsi="黑体" w:eastAsia="黑体" w:cs="黑体"/>
          <w:bCs/>
          <w:sz w:val="32"/>
          <w:szCs w:val="32"/>
          <w:lang w:val="en-US" w:eastAsia="zh-CN"/>
        </w:rPr>
        <w:t>九</w:t>
      </w:r>
      <w:r>
        <w:rPr>
          <w:rFonts w:ascii="黑体" w:hAnsi="黑体" w:eastAsia="黑体" w:cs="黑体"/>
          <w:bCs/>
          <w:sz w:val="32"/>
          <w:szCs w:val="32"/>
        </w:rPr>
        <w:t>、</w:t>
      </w:r>
      <w:r>
        <w:rPr>
          <w:rFonts w:hint="eastAsia" w:ascii="黑体" w:hAnsi="黑体" w:eastAsia="黑体" w:cs="黑体"/>
          <w:bCs/>
          <w:sz w:val="32"/>
          <w:szCs w:val="32"/>
        </w:rPr>
        <w:t>实施标准的措施</w:t>
      </w:r>
    </w:p>
    <w:p>
      <w:pPr>
        <w:spacing w:line="52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（一）团体标准《</w:t>
      </w:r>
      <w:r>
        <w:rPr>
          <w:rFonts w:hint="eastAsia" w:ascii="仿宋_GB2312" w:hAnsi="宋体" w:eastAsia="仿宋_GB2312"/>
          <w:sz w:val="32"/>
          <w:szCs w:val="28"/>
          <w:lang w:val="en-US" w:eastAsia="zh-CN"/>
        </w:rPr>
        <w:t>广西研学旅行目的地建设规范</w:t>
      </w:r>
      <w:r>
        <w:rPr>
          <w:rFonts w:hint="eastAsia" w:ascii="仿宋_GB2312" w:hAnsi="宋体" w:eastAsia="仿宋_GB2312"/>
          <w:sz w:val="32"/>
          <w:szCs w:val="28"/>
          <w:lang w:val="zh-CN"/>
        </w:rPr>
        <w:t>》发布后，积极</w:t>
      </w:r>
      <w:r>
        <w:rPr>
          <w:rFonts w:hint="eastAsia" w:ascii="仿宋_GB2312" w:hAnsi="宋体" w:eastAsia="仿宋_GB2312"/>
          <w:sz w:val="32"/>
          <w:szCs w:val="28"/>
          <w:lang w:val="en-US" w:eastAsia="zh-CN"/>
        </w:rPr>
        <w:t>向研学旅行目的地推广广西研学旅行目的地建设规范</w:t>
      </w:r>
      <w:r>
        <w:rPr>
          <w:rFonts w:hint="eastAsia" w:ascii="仿宋_GB2312" w:hAnsi="宋体" w:eastAsia="仿宋_GB2312"/>
          <w:sz w:val="32"/>
          <w:szCs w:val="28"/>
          <w:lang w:val="zh-CN"/>
        </w:rPr>
        <w:t>的立意构想、原则、要求、注意事项等进行宣讲，以利于执行。</w:t>
      </w:r>
    </w:p>
    <w:p>
      <w:pPr>
        <w:spacing w:line="52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（二）由牵头起草单位、主要起草单位和核心成员举办专题培训班，以促进本标准的贯彻实施。</w:t>
      </w:r>
    </w:p>
    <w:p>
      <w:pPr>
        <w:spacing w:line="560" w:lineRule="exact"/>
        <w:ind w:firstLine="640" w:firstLineChars="200"/>
        <w:outlineLvl w:val="0"/>
        <w:rPr>
          <w:rFonts w:ascii="黑体" w:hAnsi="黑体" w:eastAsia="黑体" w:cs="黑体"/>
          <w:bCs/>
          <w:sz w:val="32"/>
          <w:szCs w:val="32"/>
        </w:rPr>
      </w:pPr>
      <w:r>
        <w:rPr>
          <w:rFonts w:hint="eastAsia" w:ascii="黑体" w:hAnsi="黑体" w:eastAsia="黑体" w:cs="黑体"/>
          <w:bCs/>
          <w:sz w:val="32"/>
          <w:szCs w:val="32"/>
          <w:lang w:val="en-US" w:eastAsia="zh-CN"/>
        </w:rPr>
        <w:t>十</w:t>
      </w:r>
      <w:r>
        <w:rPr>
          <w:rFonts w:hint="eastAsia" w:ascii="黑体" w:hAnsi="黑体" w:eastAsia="黑体" w:cs="黑体"/>
          <w:bCs/>
          <w:sz w:val="32"/>
          <w:szCs w:val="32"/>
        </w:rPr>
        <w:t>、自我承诺</w:t>
      </w:r>
    </w:p>
    <w:p>
      <w:pPr>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本标准内容与各项指标不低于强制性标准要求。</w:t>
      </w:r>
    </w:p>
    <w:p>
      <w:pPr>
        <w:ind w:firstLine="640" w:firstLineChars="200"/>
        <w:rPr>
          <w:rFonts w:ascii="仿宋_GB2312" w:hAnsi="宋体" w:eastAsia="仿宋_GB2312"/>
          <w:sz w:val="32"/>
          <w:szCs w:val="28"/>
          <w:lang w:val="zh-CN"/>
        </w:rPr>
      </w:pPr>
    </w:p>
    <w:p>
      <w:pPr>
        <w:jc w:val="right"/>
        <w:rPr>
          <w:rFonts w:ascii="仿宋_GB2312" w:hAnsi="宋体" w:eastAsia="仿宋_GB2312"/>
          <w:sz w:val="32"/>
          <w:szCs w:val="28"/>
          <w:lang w:val="zh-CN"/>
        </w:rPr>
      </w:pPr>
      <w:r>
        <w:rPr>
          <w:rFonts w:hint="eastAsia" w:ascii="仿宋_GB2312" w:hAnsi="宋体" w:eastAsia="仿宋_GB2312"/>
          <w:sz w:val="32"/>
          <w:szCs w:val="28"/>
          <w:lang w:val="zh-CN"/>
        </w:rPr>
        <w:t>团体标准《</w:t>
      </w:r>
      <w:r>
        <w:rPr>
          <w:rFonts w:hint="eastAsia" w:ascii="仿宋_GB2312" w:hAnsi="宋体" w:eastAsia="仿宋_GB2312"/>
          <w:sz w:val="32"/>
          <w:szCs w:val="28"/>
          <w:lang w:val="en-US" w:eastAsia="zh-CN"/>
        </w:rPr>
        <w:t>广西研学旅行目的地建设规范</w:t>
      </w:r>
      <w:r>
        <w:rPr>
          <w:rFonts w:hint="eastAsia" w:ascii="仿宋_GB2312" w:hAnsi="宋体" w:eastAsia="仿宋_GB2312"/>
          <w:sz w:val="32"/>
          <w:szCs w:val="28"/>
          <w:lang w:val="zh-CN"/>
        </w:rPr>
        <w:t>》标准编制小组</w:t>
      </w:r>
    </w:p>
    <w:p>
      <w:pPr>
        <w:pageBreakBefore w:val="0"/>
        <w:widowControl w:val="0"/>
        <w:numPr>
          <w:ilvl w:val="0"/>
          <w:numId w:val="0"/>
        </w:numPr>
        <w:kinsoku/>
        <w:wordWrap/>
        <w:overflowPunct/>
        <w:topLinePunct w:val="0"/>
        <w:autoSpaceDE/>
        <w:autoSpaceDN/>
        <w:bidi w:val="0"/>
        <w:adjustRightInd/>
        <w:snapToGrid/>
        <w:spacing w:before="313" w:beforeLines="100" w:after="313" w:afterLines="100" w:line="20" w:lineRule="atLeast"/>
        <w:ind w:right="480" w:rightChars="200" w:firstLine="0" w:firstLineChars="0"/>
        <w:jc w:val="right"/>
        <w:textAlignment w:val="auto"/>
        <w:rPr>
          <w:rFonts w:hint="eastAsia" w:ascii="Times New Roman" w:hAnsi="Times New Roman" w:eastAsia="仿宋_GB2312" w:cs="Times New Roman"/>
          <w:sz w:val="32"/>
          <w:szCs w:val="32"/>
          <w:lang w:val="en-US" w:eastAsia="zh-CN"/>
        </w:rPr>
      </w:pPr>
      <w:r>
        <w:rPr>
          <w:rFonts w:hint="eastAsia" w:ascii="仿宋_GB2312" w:hAnsi="宋体" w:eastAsia="仿宋_GB2312"/>
          <w:sz w:val="32"/>
          <w:szCs w:val="28"/>
          <w:lang w:val="zh-CN"/>
        </w:rPr>
        <w:t xml:space="preserve">                </w:t>
      </w:r>
      <w:r>
        <w:rPr>
          <w:rFonts w:hint="eastAsia" w:ascii="仿宋_GB2312" w:hAnsi="宋体" w:eastAsia="仿宋_GB2312"/>
          <w:sz w:val="32"/>
          <w:szCs w:val="28"/>
          <w:lang w:val="en-US" w:eastAsia="zh-CN"/>
        </w:rPr>
        <w:t xml:space="preserve">     </w:t>
      </w:r>
      <w:r>
        <w:rPr>
          <w:rFonts w:hint="eastAsia" w:ascii="仿宋_GB2312" w:hAnsi="宋体" w:eastAsia="仿宋_GB2312"/>
          <w:sz w:val="32"/>
          <w:szCs w:val="28"/>
          <w:lang w:val="zh-CN"/>
        </w:rPr>
        <w:t xml:space="preserve">     202</w:t>
      </w:r>
      <w:r>
        <w:rPr>
          <w:rFonts w:ascii="仿宋_GB2312" w:hAnsi="宋体" w:eastAsia="仿宋_GB2312"/>
          <w:sz w:val="32"/>
          <w:szCs w:val="28"/>
          <w:lang w:val="zh-CN"/>
        </w:rPr>
        <w:t>3</w:t>
      </w:r>
      <w:r>
        <w:rPr>
          <w:rFonts w:hint="eastAsia" w:ascii="仿宋_GB2312" w:hAnsi="宋体" w:eastAsia="仿宋_GB2312"/>
          <w:sz w:val="32"/>
          <w:szCs w:val="28"/>
          <w:lang w:val="zh-CN"/>
        </w:rPr>
        <w:t>年</w:t>
      </w:r>
      <w:r>
        <w:rPr>
          <w:rFonts w:hint="eastAsia" w:ascii="仿宋_GB2312" w:hAnsi="宋体" w:eastAsia="仿宋_GB2312"/>
          <w:sz w:val="32"/>
          <w:szCs w:val="28"/>
          <w:lang w:val="en-US" w:eastAsia="zh-CN"/>
        </w:rPr>
        <w:t>10</w:t>
      </w:r>
      <w:r>
        <w:rPr>
          <w:rFonts w:hint="eastAsia" w:ascii="仿宋_GB2312" w:hAnsi="宋体" w:eastAsia="仿宋_GB2312"/>
          <w:sz w:val="32"/>
          <w:szCs w:val="28"/>
          <w:lang w:val="zh-CN"/>
        </w:rPr>
        <w:t>月</w:t>
      </w:r>
      <w:r>
        <w:rPr>
          <w:rFonts w:hint="eastAsia" w:ascii="仿宋_GB2312" w:hAnsi="宋体" w:eastAsia="仿宋_GB2312"/>
          <w:sz w:val="32"/>
          <w:szCs w:val="28"/>
          <w:lang w:val="en-US" w:eastAsia="zh-CN"/>
        </w:rPr>
        <w:t>13</w:t>
      </w:r>
      <w:bookmarkStart w:id="6" w:name="_GoBack"/>
      <w:bookmarkEnd w:id="6"/>
      <w:r>
        <w:rPr>
          <w:rFonts w:hint="eastAsia" w:ascii="仿宋_GB2312" w:hAnsi="宋体" w:eastAsia="仿宋_GB2312"/>
          <w:sz w:val="32"/>
          <w:szCs w:val="28"/>
          <w:lang w:val="zh-CN"/>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D4FC06"/>
    <w:multiLevelType w:val="singleLevel"/>
    <w:tmpl w:val="85D4FC06"/>
    <w:lvl w:ilvl="0" w:tentative="0">
      <w:start w:val="4"/>
      <w:numFmt w:val="chineseCounting"/>
      <w:suff w:val="nothing"/>
      <w:lvlText w:val="（%1）"/>
      <w:lvlJc w:val="left"/>
      <w:rPr>
        <w:rFonts w:hint="eastAsia"/>
      </w:rPr>
    </w:lvl>
  </w:abstractNum>
  <w:abstractNum w:abstractNumId="1">
    <w:nsid w:val="365A3C74"/>
    <w:multiLevelType w:val="multilevel"/>
    <w:tmpl w:val="365A3C74"/>
    <w:lvl w:ilvl="0" w:tentative="0">
      <w:start w:val="1"/>
      <w:numFmt w:val="none"/>
      <w:suff w:val="nothing"/>
      <w:lvlText w:val="%1"/>
      <w:lvlJc w:val="left"/>
      <w:pPr>
        <w:ind w:left="0" w:firstLine="0"/>
      </w:pPr>
    </w:lvl>
    <w:lvl w:ilvl="1" w:tentative="0">
      <w:start w:val="1"/>
      <w:numFmt w:val="decimal"/>
      <w:suff w:val="nothing"/>
      <w:lvlText w:val="%1%2　"/>
      <w:lvlJc w:val="left"/>
      <w:pPr>
        <w:ind w:left="0" w:firstLine="0"/>
      </w:pPr>
      <w:rPr>
        <w:rFonts w:hint="eastAsia" w:ascii="黑体" w:hAnsi="Times New Roman" w:eastAsia="黑体" w:cs="黑体"/>
        <w:b w:val="0"/>
        <w:i w:val="0"/>
        <w:sz w:val="21"/>
      </w:rPr>
    </w:lvl>
    <w:lvl w:ilvl="2" w:tentative="0">
      <w:start w:val="1"/>
      <w:numFmt w:val="decimal"/>
      <w:suff w:val="nothing"/>
      <w:lvlText w:val="%1%2.%3　"/>
      <w:lvlJc w:val="left"/>
      <w:pPr>
        <w:ind w:left="0" w:firstLine="0"/>
        <w:textAlignment w:val="baseline"/>
      </w:pPr>
      <w:rPr>
        <w:rFonts w:hint="eastAsia" w:ascii="黑体" w:hAnsi="Times New Roman" w:eastAsia="黑体" w:cs="Times New Roman"/>
        <w:b w:val="0"/>
        <w:bCs w:val="0"/>
        <w:i w:val="0"/>
        <w:iCs w:val="0"/>
        <w:caps w:val="0"/>
        <w:strike w:val="0"/>
        <w:dstrike w:val="0"/>
        <w:vanish w:val="0"/>
        <w:color w:val="000000"/>
        <w:spacing w:val="0"/>
        <w:kern w:val="0"/>
        <w:position w:val="0"/>
        <w:sz w:val="21"/>
        <w:u w:val="none"/>
      </w:rPr>
    </w:lvl>
    <w:lvl w:ilvl="3" w:tentative="0">
      <w:start w:val="1"/>
      <w:numFmt w:val="decimal"/>
      <w:pStyle w:val="7"/>
      <w:suff w:val="nothing"/>
      <w:lvlText w:val="%1%2.%3.%4　"/>
      <w:lvlJc w:val="left"/>
      <w:pPr>
        <w:ind w:left="0" w:firstLine="0"/>
      </w:pPr>
      <w:rPr>
        <w:rFonts w:hint="eastAsia" w:ascii="黑体" w:hAnsi="Times New Roman" w:eastAsia="黑体" w:cs="黑体"/>
        <w:b w:val="0"/>
        <w:i w:val="0"/>
        <w:sz w:val="21"/>
      </w:rPr>
    </w:lvl>
    <w:lvl w:ilvl="4" w:tentative="0">
      <w:start w:val="1"/>
      <w:numFmt w:val="decimal"/>
      <w:suff w:val="nothing"/>
      <w:lvlText w:val="%1%2.%3.%4.%5　"/>
      <w:lvlJc w:val="left"/>
      <w:pPr>
        <w:ind w:left="0" w:firstLine="0"/>
      </w:pPr>
      <w:rPr>
        <w:rFonts w:hint="eastAsia" w:ascii="黑体" w:hAnsi="Times New Roman" w:eastAsia="黑体" w:cs="黑体"/>
        <w:b w:val="0"/>
        <w:i w:val="0"/>
        <w:sz w:val="21"/>
      </w:rPr>
    </w:lvl>
    <w:lvl w:ilvl="5" w:tentative="0">
      <w:start w:val="1"/>
      <w:numFmt w:val="decimal"/>
      <w:suff w:val="nothing"/>
      <w:lvlText w:val="%1%2.%3.%4.%5.%6　"/>
      <w:lvlJc w:val="left"/>
      <w:pPr>
        <w:ind w:left="0" w:firstLine="0"/>
      </w:pPr>
      <w:rPr>
        <w:rFonts w:hint="eastAsia" w:ascii="黑体" w:hAnsi="Times New Roman" w:eastAsia="黑体" w:cs="黑体"/>
        <w:b w:val="0"/>
        <w:i w:val="0"/>
        <w:sz w:val="21"/>
      </w:rPr>
    </w:lvl>
    <w:lvl w:ilvl="6" w:tentative="0">
      <w:start w:val="1"/>
      <w:numFmt w:val="decimal"/>
      <w:suff w:val="nothing"/>
      <w:lvlText w:val="%1%2.%3.%4.%5.%6.%7　"/>
      <w:lvlJc w:val="left"/>
      <w:pPr>
        <w:ind w:left="0" w:firstLine="0"/>
      </w:pPr>
      <w:rPr>
        <w:rFonts w:hint="eastAsia" w:ascii="黑体" w:hAnsi="Times New Roman" w:eastAsia="黑体" w:cs="黑体"/>
        <w:b w:val="0"/>
        <w:i w:val="0"/>
        <w:sz w:val="21"/>
      </w:rPr>
    </w:lvl>
    <w:lvl w:ilvl="7" w:tentative="0">
      <w:start w:val="1"/>
      <w:numFmt w:val="decimal"/>
      <w:lvlText w:val="%1.%2.%3.%4.%5.%6.%7.%8"/>
      <w:lvlJc w:val="left"/>
      <w:pPr>
        <w:tabs>
          <w:tab w:val="left" w:pos="4351"/>
        </w:tabs>
        <w:ind w:left="3972" w:hanging="1418"/>
      </w:pPr>
    </w:lvl>
    <w:lvl w:ilvl="8" w:tentative="0">
      <w:start w:val="1"/>
      <w:numFmt w:val="decimal"/>
      <w:lvlText w:val="%1.%2.%3.%4.%5.%6.%7.%8.%9"/>
      <w:lvlJc w:val="left"/>
      <w:pPr>
        <w:tabs>
          <w:tab w:val="left" w:pos="4777"/>
        </w:tabs>
        <w:ind w:left="4677" w:hanging="1700"/>
      </w:pPr>
    </w:lvl>
  </w:abstractNum>
  <w:abstractNum w:abstractNumId="2">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1"/>
      <w:suff w:val="nothing"/>
      <w:lvlText w:val="%1%2　"/>
      <w:lvlJc w:val="left"/>
      <w:pPr>
        <w:ind w:left="0" w:firstLine="0"/>
      </w:pPr>
      <w:rPr>
        <w:rFonts w:hint="eastAsia" w:ascii="黑体" w:eastAsia="黑体"/>
        <w:b w:val="0"/>
        <w:i w:val="0"/>
        <w:sz w:val="21"/>
      </w:rPr>
    </w:lvl>
    <w:lvl w:ilvl="2" w:tentative="0">
      <w:start w:val="1"/>
      <w:numFmt w:val="decimal"/>
      <w:pStyle w:val="10"/>
      <w:suff w:val="nothing"/>
      <w:lvlText w:val="%1%2.%3　"/>
      <w:lvlJc w:val="left"/>
      <w:pPr>
        <w:ind w:left="4961"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suff w:val="nothing"/>
      <w:lvlText w:val="%1%2.%3.%4　"/>
      <w:lvlJc w:val="left"/>
      <w:pPr>
        <w:ind w:left="1134"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E3MTk0MTJlYTUxMDU1OGU4MmE3YTI1ODA4MjYyZjUifQ=="/>
  </w:docVars>
  <w:rsids>
    <w:rsidRoot w:val="00000000"/>
    <w:rsid w:val="000F0F3E"/>
    <w:rsid w:val="001537A8"/>
    <w:rsid w:val="001F06CD"/>
    <w:rsid w:val="00374F85"/>
    <w:rsid w:val="006B4F50"/>
    <w:rsid w:val="009F46CA"/>
    <w:rsid w:val="00A010BF"/>
    <w:rsid w:val="00CA7D47"/>
    <w:rsid w:val="00FC2528"/>
    <w:rsid w:val="010A40AF"/>
    <w:rsid w:val="011B7D72"/>
    <w:rsid w:val="01532BDE"/>
    <w:rsid w:val="0172066B"/>
    <w:rsid w:val="01757831"/>
    <w:rsid w:val="017A773E"/>
    <w:rsid w:val="017F533B"/>
    <w:rsid w:val="01B203CB"/>
    <w:rsid w:val="01B73D97"/>
    <w:rsid w:val="01C2302F"/>
    <w:rsid w:val="01C610D5"/>
    <w:rsid w:val="01DA3A5B"/>
    <w:rsid w:val="01F32945"/>
    <w:rsid w:val="0212265C"/>
    <w:rsid w:val="022D0682"/>
    <w:rsid w:val="023D3150"/>
    <w:rsid w:val="025916E8"/>
    <w:rsid w:val="027B2CBA"/>
    <w:rsid w:val="03044F9B"/>
    <w:rsid w:val="030D3D42"/>
    <w:rsid w:val="031A1C08"/>
    <w:rsid w:val="034D45D4"/>
    <w:rsid w:val="03583B2D"/>
    <w:rsid w:val="036D65E2"/>
    <w:rsid w:val="03754DF1"/>
    <w:rsid w:val="03823EDA"/>
    <w:rsid w:val="03C600A2"/>
    <w:rsid w:val="03CA33A2"/>
    <w:rsid w:val="03F27338"/>
    <w:rsid w:val="042A2EB0"/>
    <w:rsid w:val="04646525"/>
    <w:rsid w:val="048D26A3"/>
    <w:rsid w:val="0497488C"/>
    <w:rsid w:val="04976D62"/>
    <w:rsid w:val="04A94A78"/>
    <w:rsid w:val="04C479DE"/>
    <w:rsid w:val="05137C28"/>
    <w:rsid w:val="051E3324"/>
    <w:rsid w:val="05350432"/>
    <w:rsid w:val="05555C35"/>
    <w:rsid w:val="055B49B5"/>
    <w:rsid w:val="05600A76"/>
    <w:rsid w:val="059D432A"/>
    <w:rsid w:val="05E63AAF"/>
    <w:rsid w:val="05F352BF"/>
    <w:rsid w:val="05F44033"/>
    <w:rsid w:val="0602684E"/>
    <w:rsid w:val="0619442B"/>
    <w:rsid w:val="06280D51"/>
    <w:rsid w:val="062A356E"/>
    <w:rsid w:val="0672092B"/>
    <w:rsid w:val="0681559D"/>
    <w:rsid w:val="06B403C2"/>
    <w:rsid w:val="06CC3580"/>
    <w:rsid w:val="06D13544"/>
    <w:rsid w:val="06D840D9"/>
    <w:rsid w:val="07035290"/>
    <w:rsid w:val="07127E02"/>
    <w:rsid w:val="071830E4"/>
    <w:rsid w:val="07356E4F"/>
    <w:rsid w:val="075240A9"/>
    <w:rsid w:val="07813B99"/>
    <w:rsid w:val="07913A67"/>
    <w:rsid w:val="07A32A22"/>
    <w:rsid w:val="07B02BEA"/>
    <w:rsid w:val="07D51144"/>
    <w:rsid w:val="07F1061B"/>
    <w:rsid w:val="07FB140F"/>
    <w:rsid w:val="080801ED"/>
    <w:rsid w:val="08091CAB"/>
    <w:rsid w:val="08324D6F"/>
    <w:rsid w:val="08433995"/>
    <w:rsid w:val="085F1E3E"/>
    <w:rsid w:val="088A074D"/>
    <w:rsid w:val="089E49B5"/>
    <w:rsid w:val="08B227F4"/>
    <w:rsid w:val="08B44A59"/>
    <w:rsid w:val="08F865D0"/>
    <w:rsid w:val="08FB73D5"/>
    <w:rsid w:val="090C7653"/>
    <w:rsid w:val="0920246E"/>
    <w:rsid w:val="09231C1F"/>
    <w:rsid w:val="09336F79"/>
    <w:rsid w:val="093674AE"/>
    <w:rsid w:val="095026F0"/>
    <w:rsid w:val="09664DA1"/>
    <w:rsid w:val="096F54EC"/>
    <w:rsid w:val="09A20EE3"/>
    <w:rsid w:val="09AA527E"/>
    <w:rsid w:val="09AA5E7D"/>
    <w:rsid w:val="09BF1E8A"/>
    <w:rsid w:val="0A057B04"/>
    <w:rsid w:val="0A1E1332"/>
    <w:rsid w:val="0A2D0189"/>
    <w:rsid w:val="0A4B278A"/>
    <w:rsid w:val="0A7461F2"/>
    <w:rsid w:val="0A781841"/>
    <w:rsid w:val="0A7D55ED"/>
    <w:rsid w:val="0A8444F5"/>
    <w:rsid w:val="0ACB327E"/>
    <w:rsid w:val="0ACB7C3C"/>
    <w:rsid w:val="0AFB3396"/>
    <w:rsid w:val="0B134B30"/>
    <w:rsid w:val="0B4334CE"/>
    <w:rsid w:val="0B6847C8"/>
    <w:rsid w:val="0B8037D1"/>
    <w:rsid w:val="0B8E22AC"/>
    <w:rsid w:val="0B9F739A"/>
    <w:rsid w:val="0BDB63E3"/>
    <w:rsid w:val="0BFA127B"/>
    <w:rsid w:val="0C112E71"/>
    <w:rsid w:val="0C13650A"/>
    <w:rsid w:val="0C9901DB"/>
    <w:rsid w:val="0CA322C4"/>
    <w:rsid w:val="0CB63A18"/>
    <w:rsid w:val="0CC566AE"/>
    <w:rsid w:val="0CEC16AA"/>
    <w:rsid w:val="0CED4DC1"/>
    <w:rsid w:val="0CF60868"/>
    <w:rsid w:val="0CF82284"/>
    <w:rsid w:val="0D02360C"/>
    <w:rsid w:val="0D056480"/>
    <w:rsid w:val="0D1671CC"/>
    <w:rsid w:val="0D406C32"/>
    <w:rsid w:val="0D5A71C2"/>
    <w:rsid w:val="0D716D87"/>
    <w:rsid w:val="0D843CD6"/>
    <w:rsid w:val="0D875B89"/>
    <w:rsid w:val="0D890C44"/>
    <w:rsid w:val="0DAC5151"/>
    <w:rsid w:val="0DB8731C"/>
    <w:rsid w:val="0DC47B99"/>
    <w:rsid w:val="0DD134E7"/>
    <w:rsid w:val="0DE54943"/>
    <w:rsid w:val="0DF571FF"/>
    <w:rsid w:val="0DFB08D8"/>
    <w:rsid w:val="0E0409A1"/>
    <w:rsid w:val="0E2C49F4"/>
    <w:rsid w:val="0E4F345A"/>
    <w:rsid w:val="0E6955CB"/>
    <w:rsid w:val="0E6A2C61"/>
    <w:rsid w:val="0E6F1961"/>
    <w:rsid w:val="0E880D3E"/>
    <w:rsid w:val="0E9A259A"/>
    <w:rsid w:val="0EA87269"/>
    <w:rsid w:val="0EAB7550"/>
    <w:rsid w:val="0EC1381B"/>
    <w:rsid w:val="0ECF31B5"/>
    <w:rsid w:val="0EF93D5A"/>
    <w:rsid w:val="0F0044EC"/>
    <w:rsid w:val="0F0C3CFD"/>
    <w:rsid w:val="0F1D59AF"/>
    <w:rsid w:val="0F2F0865"/>
    <w:rsid w:val="0F75106D"/>
    <w:rsid w:val="0F7A2CFC"/>
    <w:rsid w:val="0F8620D3"/>
    <w:rsid w:val="0FAC1A49"/>
    <w:rsid w:val="109D4EB8"/>
    <w:rsid w:val="10BD488B"/>
    <w:rsid w:val="10CB0C6A"/>
    <w:rsid w:val="10D50163"/>
    <w:rsid w:val="110B4409"/>
    <w:rsid w:val="110F1707"/>
    <w:rsid w:val="11222A2D"/>
    <w:rsid w:val="112B75F4"/>
    <w:rsid w:val="11467041"/>
    <w:rsid w:val="11583706"/>
    <w:rsid w:val="115A6CC6"/>
    <w:rsid w:val="11614F23"/>
    <w:rsid w:val="119A1D12"/>
    <w:rsid w:val="11A622AD"/>
    <w:rsid w:val="11D85184"/>
    <w:rsid w:val="12602101"/>
    <w:rsid w:val="1272242B"/>
    <w:rsid w:val="12847D10"/>
    <w:rsid w:val="12B224AE"/>
    <w:rsid w:val="12CA0F14"/>
    <w:rsid w:val="12E37AF2"/>
    <w:rsid w:val="13044FF8"/>
    <w:rsid w:val="13046249"/>
    <w:rsid w:val="130C6807"/>
    <w:rsid w:val="13227D98"/>
    <w:rsid w:val="13517B9C"/>
    <w:rsid w:val="137770C7"/>
    <w:rsid w:val="137C2D61"/>
    <w:rsid w:val="137E4BF0"/>
    <w:rsid w:val="13936FD7"/>
    <w:rsid w:val="1395483A"/>
    <w:rsid w:val="139777ED"/>
    <w:rsid w:val="139A2A13"/>
    <w:rsid w:val="13AB680D"/>
    <w:rsid w:val="13E97CFE"/>
    <w:rsid w:val="13FA3190"/>
    <w:rsid w:val="14040817"/>
    <w:rsid w:val="14047487"/>
    <w:rsid w:val="14243786"/>
    <w:rsid w:val="144124DA"/>
    <w:rsid w:val="148159FD"/>
    <w:rsid w:val="14A25B28"/>
    <w:rsid w:val="14CC6E7F"/>
    <w:rsid w:val="14E80C83"/>
    <w:rsid w:val="14FB5242"/>
    <w:rsid w:val="14FB537E"/>
    <w:rsid w:val="15031EA5"/>
    <w:rsid w:val="1505092E"/>
    <w:rsid w:val="15121A1C"/>
    <w:rsid w:val="155D0269"/>
    <w:rsid w:val="15662802"/>
    <w:rsid w:val="15857DCB"/>
    <w:rsid w:val="158D018D"/>
    <w:rsid w:val="15A52674"/>
    <w:rsid w:val="15B349CF"/>
    <w:rsid w:val="15B63BB6"/>
    <w:rsid w:val="15C27E10"/>
    <w:rsid w:val="15C45228"/>
    <w:rsid w:val="15DF7D03"/>
    <w:rsid w:val="160306F3"/>
    <w:rsid w:val="16083610"/>
    <w:rsid w:val="160B6B83"/>
    <w:rsid w:val="16424442"/>
    <w:rsid w:val="16454D29"/>
    <w:rsid w:val="16787654"/>
    <w:rsid w:val="168439EC"/>
    <w:rsid w:val="16866319"/>
    <w:rsid w:val="16A55FBE"/>
    <w:rsid w:val="16DB0D4B"/>
    <w:rsid w:val="16DE2CB8"/>
    <w:rsid w:val="16F300FE"/>
    <w:rsid w:val="17127547"/>
    <w:rsid w:val="17160B50"/>
    <w:rsid w:val="1760751C"/>
    <w:rsid w:val="177A2025"/>
    <w:rsid w:val="177C09A9"/>
    <w:rsid w:val="17914A5B"/>
    <w:rsid w:val="17AC4A18"/>
    <w:rsid w:val="17B32267"/>
    <w:rsid w:val="17D35167"/>
    <w:rsid w:val="17FC2A4F"/>
    <w:rsid w:val="184B291D"/>
    <w:rsid w:val="18587E3C"/>
    <w:rsid w:val="1895161D"/>
    <w:rsid w:val="18A82387"/>
    <w:rsid w:val="18AE32C0"/>
    <w:rsid w:val="19191B27"/>
    <w:rsid w:val="193E1010"/>
    <w:rsid w:val="195D7D05"/>
    <w:rsid w:val="19635544"/>
    <w:rsid w:val="196D719B"/>
    <w:rsid w:val="197661BE"/>
    <w:rsid w:val="19827A78"/>
    <w:rsid w:val="198A519F"/>
    <w:rsid w:val="199124DA"/>
    <w:rsid w:val="19A00CBE"/>
    <w:rsid w:val="19B12347"/>
    <w:rsid w:val="19B17442"/>
    <w:rsid w:val="19B22693"/>
    <w:rsid w:val="19D92B17"/>
    <w:rsid w:val="19EC3D3D"/>
    <w:rsid w:val="1A076FDF"/>
    <w:rsid w:val="1A203746"/>
    <w:rsid w:val="1A580CFE"/>
    <w:rsid w:val="1A636DAF"/>
    <w:rsid w:val="1AAB26E2"/>
    <w:rsid w:val="1AF97C94"/>
    <w:rsid w:val="1B0315A4"/>
    <w:rsid w:val="1B0E41F2"/>
    <w:rsid w:val="1B100D8F"/>
    <w:rsid w:val="1B432592"/>
    <w:rsid w:val="1B4829E7"/>
    <w:rsid w:val="1B580E2C"/>
    <w:rsid w:val="1B655F87"/>
    <w:rsid w:val="1B791DA4"/>
    <w:rsid w:val="1B89373C"/>
    <w:rsid w:val="1B8A6B61"/>
    <w:rsid w:val="1B8C565B"/>
    <w:rsid w:val="1B8D6D3F"/>
    <w:rsid w:val="1B9E6F9F"/>
    <w:rsid w:val="1BAB36D4"/>
    <w:rsid w:val="1BE46FF7"/>
    <w:rsid w:val="1BE779B9"/>
    <w:rsid w:val="1BF229D8"/>
    <w:rsid w:val="1C003471"/>
    <w:rsid w:val="1C08127B"/>
    <w:rsid w:val="1C1A330F"/>
    <w:rsid w:val="1C1A7677"/>
    <w:rsid w:val="1C2D0242"/>
    <w:rsid w:val="1C472192"/>
    <w:rsid w:val="1C516AB2"/>
    <w:rsid w:val="1C635354"/>
    <w:rsid w:val="1C643BB5"/>
    <w:rsid w:val="1C71047D"/>
    <w:rsid w:val="1C8F5074"/>
    <w:rsid w:val="1C953565"/>
    <w:rsid w:val="1C9A47BD"/>
    <w:rsid w:val="1CA1309A"/>
    <w:rsid w:val="1CC85854"/>
    <w:rsid w:val="1CCA254A"/>
    <w:rsid w:val="1CD5439F"/>
    <w:rsid w:val="1CD967C2"/>
    <w:rsid w:val="1D2625B8"/>
    <w:rsid w:val="1D2E4C9E"/>
    <w:rsid w:val="1D4B1F5B"/>
    <w:rsid w:val="1D62244F"/>
    <w:rsid w:val="1D7E63B7"/>
    <w:rsid w:val="1D9C48EC"/>
    <w:rsid w:val="1DE57DFC"/>
    <w:rsid w:val="1E1F070E"/>
    <w:rsid w:val="1E2442BA"/>
    <w:rsid w:val="1E4A1F6D"/>
    <w:rsid w:val="1E4F38FC"/>
    <w:rsid w:val="1E50386B"/>
    <w:rsid w:val="1E7124A0"/>
    <w:rsid w:val="1E83084D"/>
    <w:rsid w:val="1E9A0574"/>
    <w:rsid w:val="1ECC226F"/>
    <w:rsid w:val="1ED24731"/>
    <w:rsid w:val="1EEA1595"/>
    <w:rsid w:val="1EEF3424"/>
    <w:rsid w:val="1EF75F3F"/>
    <w:rsid w:val="1F004140"/>
    <w:rsid w:val="1F0908EC"/>
    <w:rsid w:val="1F1A7484"/>
    <w:rsid w:val="1F46659C"/>
    <w:rsid w:val="1F4805CC"/>
    <w:rsid w:val="1F581948"/>
    <w:rsid w:val="1F6B3637"/>
    <w:rsid w:val="1F775591"/>
    <w:rsid w:val="1F7B59FE"/>
    <w:rsid w:val="1FE4605A"/>
    <w:rsid w:val="1FF757D5"/>
    <w:rsid w:val="20335C31"/>
    <w:rsid w:val="20342EF5"/>
    <w:rsid w:val="204D3124"/>
    <w:rsid w:val="205912C2"/>
    <w:rsid w:val="20674614"/>
    <w:rsid w:val="20AE54E5"/>
    <w:rsid w:val="20B577E5"/>
    <w:rsid w:val="20E13F70"/>
    <w:rsid w:val="20EE69A7"/>
    <w:rsid w:val="21147F57"/>
    <w:rsid w:val="213875D0"/>
    <w:rsid w:val="214C1679"/>
    <w:rsid w:val="216B1EB6"/>
    <w:rsid w:val="21856D75"/>
    <w:rsid w:val="219C1315"/>
    <w:rsid w:val="21B35E0F"/>
    <w:rsid w:val="21CE01D2"/>
    <w:rsid w:val="21DB652D"/>
    <w:rsid w:val="21DC72EE"/>
    <w:rsid w:val="21E35B0A"/>
    <w:rsid w:val="22026E13"/>
    <w:rsid w:val="225412F1"/>
    <w:rsid w:val="2265661E"/>
    <w:rsid w:val="229072F9"/>
    <w:rsid w:val="22921AE1"/>
    <w:rsid w:val="229667DF"/>
    <w:rsid w:val="22F760C2"/>
    <w:rsid w:val="23072964"/>
    <w:rsid w:val="230C2CD5"/>
    <w:rsid w:val="23124EB1"/>
    <w:rsid w:val="23177672"/>
    <w:rsid w:val="2330379F"/>
    <w:rsid w:val="233C2C53"/>
    <w:rsid w:val="23683BE2"/>
    <w:rsid w:val="239723D6"/>
    <w:rsid w:val="23AC1C30"/>
    <w:rsid w:val="23D511AE"/>
    <w:rsid w:val="24276638"/>
    <w:rsid w:val="24802C00"/>
    <w:rsid w:val="24990B64"/>
    <w:rsid w:val="24A448C4"/>
    <w:rsid w:val="24A81DBC"/>
    <w:rsid w:val="24D00BF3"/>
    <w:rsid w:val="24D47157"/>
    <w:rsid w:val="24DE2E14"/>
    <w:rsid w:val="24E96386"/>
    <w:rsid w:val="24F34C5F"/>
    <w:rsid w:val="24FB324C"/>
    <w:rsid w:val="25167EA6"/>
    <w:rsid w:val="252E434E"/>
    <w:rsid w:val="253109B2"/>
    <w:rsid w:val="2546127D"/>
    <w:rsid w:val="25942F71"/>
    <w:rsid w:val="25B12A81"/>
    <w:rsid w:val="25BD4711"/>
    <w:rsid w:val="260A2C98"/>
    <w:rsid w:val="263B58E3"/>
    <w:rsid w:val="264414E7"/>
    <w:rsid w:val="26454FEF"/>
    <w:rsid w:val="264A4708"/>
    <w:rsid w:val="265A56C5"/>
    <w:rsid w:val="265B6FF9"/>
    <w:rsid w:val="26933C2E"/>
    <w:rsid w:val="26981EE5"/>
    <w:rsid w:val="26B97089"/>
    <w:rsid w:val="26E20B06"/>
    <w:rsid w:val="26ED27C3"/>
    <w:rsid w:val="271B4232"/>
    <w:rsid w:val="271C5286"/>
    <w:rsid w:val="276077AD"/>
    <w:rsid w:val="276E54B7"/>
    <w:rsid w:val="278241EB"/>
    <w:rsid w:val="27925866"/>
    <w:rsid w:val="27A33DE0"/>
    <w:rsid w:val="27BE4912"/>
    <w:rsid w:val="27C702D6"/>
    <w:rsid w:val="27F70895"/>
    <w:rsid w:val="27FC6BCC"/>
    <w:rsid w:val="27FE4746"/>
    <w:rsid w:val="282663C0"/>
    <w:rsid w:val="283B40E9"/>
    <w:rsid w:val="28624220"/>
    <w:rsid w:val="28693E3F"/>
    <w:rsid w:val="286B1703"/>
    <w:rsid w:val="287753BA"/>
    <w:rsid w:val="288C1C9C"/>
    <w:rsid w:val="28B16701"/>
    <w:rsid w:val="28E9505C"/>
    <w:rsid w:val="290D5498"/>
    <w:rsid w:val="29156E8D"/>
    <w:rsid w:val="294A57BC"/>
    <w:rsid w:val="295C7173"/>
    <w:rsid w:val="297003E0"/>
    <w:rsid w:val="29817D82"/>
    <w:rsid w:val="29A20B2D"/>
    <w:rsid w:val="29C331FB"/>
    <w:rsid w:val="29D05365"/>
    <w:rsid w:val="29D94DB2"/>
    <w:rsid w:val="29EA7ED5"/>
    <w:rsid w:val="29F00112"/>
    <w:rsid w:val="2A1E0710"/>
    <w:rsid w:val="2A247691"/>
    <w:rsid w:val="2A3A4FA5"/>
    <w:rsid w:val="2A461B62"/>
    <w:rsid w:val="2A5F5F3C"/>
    <w:rsid w:val="2A794677"/>
    <w:rsid w:val="2A831207"/>
    <w:rsid w:val="2A874044"/>
    <w:rsid w:val="2A8C6591"/>
    <w:rsid w:val="2AAD6003"/>
    <w:rsid w:val="2AB60EB9"/>
    <w:rsid w:val="2ABB474D"/>
    <w:rsid w:val="2ABC074E"/>
    <w:rsid w:val="2AF43A94"/>
    <w:rsid w:val="2B0B6EDF"/>
    <w:rsid w:val="2B132DCA"/>
    <w:rsid w:val="2B58118B"/>
    <w:rsid w:val="2B5A37B9"/>
    <w:rsid w:val="2B750AC2"/>
    <w:rsid w:val="2BA8152D"/>
    <w:rsid w:val="2BAE7A99"/>
    <w:rsid w:val="2BBB4E68"/>
    <w:rsid w:val="2BC70C0E"/>
    <w:rsid w:val="2BDC36BB"/>
    <w:rsid w:val="2BE55CDE"/>
    <w:rsid w:val="2BEE4731"/>
    <w:rsid w:val="2C0F57B1"/>
    <w:rsid w:val="2C1300E8"/>
    <w:rsid w:val="2C1E2161"/>
    <w:rsid w:val="2C355E06"/>
    <w:rsid w:val="2C475B29"/>
    <w:rsid w:val="2C7464FB"/>
    <w:rsid w:val="2CE917E4"/>
    <w:rsid w:val="2D004BB3"/>
    <w:rsid w:val="2D095047"/>
    <w:rsid w:val="2D1C5C55"/>
    <w:rsid w:val="2D603B26"/>
    <w:rsid w:val="2D6A51F7"/>
    <w:rsid w:val="2D7B23E8"/>
    <w:rsid w:val="2DAF6C25"/>
    <w:rsid w:val="2DCC4DC8"/>
    <w:rsid w:val="2DD92997"/>
    <w:rsid w:val="2DEC520C"/>
    <w:rsid w:val="2E017204"/>
    <w:rsid w:val="2E0361AA"/>
    <w:rsid w:val="2E237B57"/>
    <w:rsid w:val="2E4116D0"/>
    <w:rsid w:val="2E42789C"/>
    <w:rsid w:val="2E467CA9"/>
    <w:rsid w:val="2E5179A9"/>
    <w:rsid w:val="2E544B59"/>
    <w:rsid w:val="2E6863BB"/>
    <w:rsid w:val="2E802EAA"/>
    <w:rsid w:val="2EA01BF9"/>
    <w:rsid w:val="2EBB0157"/>
    <w:rsid w:val="2EF24F0A"/>
    <w:rsid w:val="2EF377F3"/>
    <w:rsid w:val="2EF86A00"/>
    <w:rsid w:val="2F0957D2"/>
    <w:rsid w:val="2F414E17"/>
    <w:rsid w:val="2F57458A"/>
    <w:rsid w:val="2FAB55C0"/>
    <w:rsid w:val="2FB50852"/>
    <w:rsid w:val="2FC737C7"/>
    <w:rsid w:val="2FD41F31"/>
    <w:rsid w:val="2FD71B18"/>
    <w:rsid w:val="2FDB2C33"/>
    <w:rsid w:val="2FDE3397"/>
    <w:rsid w:val="2FE50C8C"/>
    <w:rsid w:val="2FF24D44"/>
    <w:rsid w:val="2FF7088A"/>
    <w:rsid w:val="30015A6A"/>
    <w:rsid w:val="300264A9"/>
    <w:rsid w:val="303457E1"/>
    <w:rsid w:val="305B4FC9"/>
    <w:rsid w:val="30620BA5"/>
    <w:rsid w:val="30705E6E"/>
    <w:rsid w:val="30874048"/>
    <w:rsid w:val="308E64D8"/>
    <w:rsid w:val="309956A6"/>
    <w:rsid w:val="30C12DE4"/>
    <w:rsid w:val="30ED77AB"/>
    <w:rsid w:val="31234F4D"/>
    <w:rsid w:val="3147298A"/>
    <w:rsid w:val="314A4EA1"/>
    <w:rsid w:val="315829DA"/>
    <w:rsid w:val="315840B2"/>
    <w:rsid w:val="315C00DF"/>
    <w:rsid w:val="315F16D9"/>
    <w:rsid w:val="316D5D85"/>
    <w:rsid w:val="319E0422"/>
    <w:rsid w:val="319E6CD4"/>
    <w:rsid w:val="31AE11A9"/>
    <w:rsid w:val="31B97089"/>
    <w:rsid w:val="31BF588B"/>
    <w:rsid w:val="321A34D5"/>
    <w:rsid w:val="32421894"/>
    <w:rsid w:val="32427372"/>
    <w:rsid w:val="32514FD7"/>
    <w:rsid w:val="32667474"/>
    <w:rsid w:val="327D4380"/>
    <w:rsid w:val="32964D67"/>
    <w:rsid w:val="32C555EF"/>
    <w:rsid w:val="32DB14D0"/>
    <w:rsid w:val="32DF26FA"/>
    <w:rsid w:val="32FD0517"/>
    <w:rsid w:val="330210DE"/>
    <w:rsid w:val="330D3341"/>
    <w:rsid w:val="331356E0"/>
    <w:rsid w:val="33140033"/>
    <w:rsid w:val="331D1695"/>
    <w:rsid w:val="331F4D2D"/>
    <w:rsid w:val="33215B95"/>
    <w:rsid w:val="333128FF"/>
    <w:rsid w:val="33386DC6"/>
    <w:rsid w:val="33440846"/>
    <w:rsid w:val="33506DCB"/>
    <w:rsid w:val="34214C65"/>
    <w:rsid w:val="3462160C"/>
    <w:rsid w:val="34665B58"/>
    <w:rsid w:val="34A576FD"/>
    <w:rsid w:val="34B058BA"/>
    <w:rsid w:val="34B45150"/>
    <w:rsid w:val="34C308AE"/>
    <w:rsid w:val="35027A9F"/>
    <w:rsid w:val="3537462A"/>
    <w:rsid w:val="353863C0"/>
    <w:rsid w:val="35874F09"/>
    <w:rsid w:val="35994BA0"/>
    <w:rsid w:val="359B032F"/>
    <w:rsid w:val="35B722CD"/>
    <w:rsid w:val="35B77D36"/>
    <w:rsid w:val="35F96748"/>
    <w:rsid w:val="36393521"/>
    <w:rsid w:val="363D0F56"/>
    <w:rsid w:val="367368DF"/>
    <w:rsid w:val="36824A4E"/>
    <w:rsid w:val="36990927"/>
    <w:rsid w:val="36AA3164"/>
    <w:rsid w:val="36B97ADD"/>
    <w:rsid w:val="36C4176C"/>
    <w:rsid w:val="36DA2E5C"/>
    <w:rsid w:val="36EC1FAF"/>
    <w:rsid w:val="36F45FF8"/>
    <w:rsid w:val="37092792"/>
    <w:rsid w:val="37333CE0"/>
    <w:rsid w:val="3763488F"/>
    <w:rsid w:val="37957DBF"/>
    <w:rsid w:val="37962263"/>
    <w:rsid w:val="37B203EC"/>
    <w:rsid w:val="37D950D2"/>
    <w:rsid w:val="380056D0"/>
    <w:rsid w:val="382C3218"/>
    <w:rsid w:val="38867A79"/>
    <w:rsid w:val="3887126E"/>
    <w:rsid w:val="38972086"/>
    <w:rsid w:val="38C46718"/>
    <w:rsid w:val="38D27EF9"/>
    <w:rsid w:val="390D09A3"/>
    <w:rsid w:val="39241B86"/>
    <w:rsid w:val="39536303"/>
    <w:rsid w:val="39732ECB"/>
    <w:rsid w:val="39893797"/>
    <w:rsid w:val="398E6FFF"/>
    <w:rsid w:val="39904F48"/>
    <w:rsid w:val="39992EE2"/>
    <w:rsid w:val="39BE6B28"/>
    <w:rsid w:val="39F76AB8"/>
    <w:rsid w:val="3A000A68"/>
    <w:rsid w:val="3A026E29"/>
    <w:rsid w:val="3A051E60"/>
    <w:rsid w:val="3A656828"/>
    <w:rsid w:val="3A9C66CB"/>
    <w:rsid w:val="3ABA4299"/>
    <w:rsid w:val="3AC76542"/>
    <w:rsid w:val="3AE3337B"/>
    <w:rsid w:val="3AEE68DA"/>
    <w:rsid w:val="3AF01196"/>
    <w:rsid w:val="3AF64827"/>
    <w:rsid w:val="3B191EDD"/>
    <w:rsid w:val="3B1979B8"/>
    <w:rsid w:val="3B240A07"/>
    <w:rsid w:val="3B390A40"/>
    <w:rsid w:val="3B3E5859"/>
    <w:rsid w:val="3B4849A7"/>
    <w:rsid w:val="3B4E6EE4"/>
    <w:rsid w:val="3B5B55B7"/>
    <w:rsid w:val="3B9D3B8B"/>
    <w:rsid w:val="3BA0328A"/>
    <w:rsid w:val="3BB93335"/>
    <w:rsid w:val="3BC53A1C"/>
    <w:rsid w:val="3BDB7C91"/>
    <w:rsid w:val="3BE73C57"/>
    <w:rsid w:val="3C0A4993"/>
    <w:rsid w:val="3C2444B5"/>
    <w:rsid w:val="3C3B6B67"/>
    <w:rsid w:val="3C4348B5"/>
    <w:rsid w:val="3C4B1339"/>
    <w:rsid w:val="3C594555"/>
    <w:rsid w:val="3C8A6C63"/>
    <w:rsid w:val="3CA25284"/>
    <w:rsid w:val="3CB958B0"/>
    <w:rsid w:val="3CD92045"/>
    <w:rsid w:val="3CF41C91"/>
    <w:rsid w:val="3D175906"/>
    <w:rsid w:val="3D4339A8"/>
    <w:rsid w:val="3D7E7185"/>
    <w:rsid w:val="3D7F2B3E"/>
    <w:rsid w:val="3D891D74"/>
    <w:rsid w:val="3D8C5B98"/>
    <w:rsid w:val="3D965D83"/>
    <w:rsid w:val="3DD72F27"/>
    <w:rsid w:val="3DF4630A"/>
    <w:rsid w:val="3E0C28A8"/>
    <w:rsid w:val="3E0E7FD9"/>
    <w:rsid w:val="3E4079D7"/>
    <w:rsid w:val="3E4C715D"/>
    <w:rsid w:val="3E540ED5"/>
    <w:rsid w:val="3E5E070C"/>
    <w:rsid w:val="3E624B83"/>
    <w:rsid w:val="3E8E515F"/>
    <w:rsid w:val="3EA11583"/>
    <w:rsid w:val="3EBC6B3C"/>
    <w:rsid w:val="3EC41F60"/>
    <w:rsid w:val="3EDF6DD7"/>
    <w:rsid w:val="3EEE75F6"/>
    <w:rsid w:val="3EF83533"/>
    <w:rsid w:val="3EFE1B2C"/>
    <w:rsid w:val="3F0603B4"/>
    <w:rsid w:val="3F186652"/>
    <w:rsid w:val="3F550AE0"/>
    <w:rsid w:val="3F6A47BB"/>
    <w:rsid w:val="3F7277DD"/>
    <w:rsid w:val="3F827499"/>
    <w:rsid w:val="3F8B755E"/>
    <w:rsid w:val="3F94192A"/>
    <w:rsid w:val="3FE47E9A"/>
    <w:rsid w:val="3FE81E29"/>
    <w:rsid w:val="3FE94C87"/>
    <w:rsid w:val="40157175"/>
    <w:rsid w:val="4018654F"/>
    <w:rsid w:val="40207CFB"/>
    <w:rsid w:val="4047035D"/>
    <w:rsid w:val="40967EA2"/>
    <w:rsid w:val="409D1EE6"/>
    <w:rsid w:val="40B51B03"/>
    <w:rsid w:val="40B760B3"/>
    <w:rsid w:val="415E08C6"/>
    <w:rsid w:val="415E153D"/>
    <w:rsid w:val="418749B3"/>
    <w:rsid w:val="418F306D"/>
    <w:rsid w:val="41950834"/>
    <w:rsid w:val="419F03EF"/>
    <w:rsid w:val="41BA1F94"/>
    <w:rsid w:val="41BE4D24"/>
    <w:rsid w:val="41CD5752"/>
    <w:rsid w:val="41D73FDA"/>
    <w:rsid w:val="42157B68"/>
    <w:rsid w:val="425B3B83"/>
    <w:rsid w:val="42616DB4"/>
    <w:rsid w:val="426F0D5C"/>
    <w:rsid w:val="42886292"/>
    <w:rsid w:val="42BA19BA"/>
    <w:rsid w:val="42C64D40"/>
    <w:rsid w:val="42FA0634"/>
    <w:rsid w:val="42FD16D3"/>
    <w:rsid w:val="43046B4B"/>
    <w:rsid w:val="43083D3F"/>
    <w:rsid w:val="43120824"/>
    <w:rsid w:val="43171333"/>
    <w:rsid w:val="43267FBA"/>
    <w:rsid w:val="43550975"/>
    <w:rsid w:val="43823E03"/>
    <w:rsid w:val="4383382E"/>
    <w:rsid w:val="43B57A20"/>
    <w:rsid w:val="43B94B8E"/>
    <w:rsid w:val="43C953DD"/>
    <w:rsid w:val="43CD53C8"/>
    <w:rsid w:val="43D657C0"/>
    <w:rsid w:val="43E345F4"/>
    <w:rsid w:val="441F2A40"/>
    <w:rsid w:val="44376B52"/>
    <w:rsid w:val="44702673"/>
    <w:rsid w:val="44A843BB"/>
    <w:rsid w:val="44EF1118"/>
    <w:rsid w:val="4528795D"/>
    <w:rsid w:val="453D6296"/>
    <w:rsid w:val="45811C6D"/>
    <w:rsid w:val="45957E83"/>
    <w:rsid w:val="459604A5"/>
    <w:rsid w:val="45B010EE"/>
    <w:rsid w:val="45C267F7"/>
    <w:rsid w:val="45C36B18"/>
    <w:rsid w:val="45D030B5"/>
    <w:rsid w:val="45DA468A"/>
    <w:rsid w:val="45DB23B3"/>
    <w:rsid w:val="45E9632C"/>
    <w:rsid w:val="45EC3924"/>
    <w:rsid w:val="461709A1"/>
    <w:rsid w:val="461A138A"/>
    <w:rsid w:val="465F7E4F"/>
    <w:rsid w:val="467454D8"/>
    <w:rsid w:val="46754DDB"/>
    <w:rsid w:val="468A066C"/>
    <w:rsid w:val="468A3B0A"/>
    <w:rsid w:val="46A27F69"/>
    <w:rsid w:val="46B933EB"/>
    <w:rsid w:val="46F976B1"/>
    <w:rsid w:val="4745535B"/>
    <w:rsid w:val="47755C38"/>
    <w:rsid w:val="477920C5"/>
    <w:rsid w:val="478011F3"/>
    <w:rsid w:val="479A018E"/>
    <w:rsid w:val="47C40393"/>
    <w:rsid w:val="47CB0109"/>
    <w:rsid w:val="47D52F23"/>
    <w:rsid w:val="47E9376B"/>
    <w:rsid w:val="48362D3C"/>
    <w:rsid w:val="48695EC2"/>
    <w:rsid w:val="48AF3A39"/>
    <w:rsid w:val="48B22C03"/>
    <w:rsid w:val="48D166EA"/>
    <w:rsid w:val="48E3347B"/>
    <w:rsid w:val="49035EAF"/>
    <w:rsid w:val="4904099B"/>
    <w:rsid w:val="490764A9"/>
    <w:rsid w:val="49102CC6"/>
    <w:rsid w:val="49151BEB"/>
    <w:rsid w:val="494B4C9C"/>
    <w:rsid w:val="496613FC"/>
    <w:rsid w:val="498D4525"/>
    <w:rsid w:val="49920446"/>
    <w:rsid w:val="49D70DC3"/>
    <w:rsid w:val="49DF2619"/>
    <w:rsid w:val="49F97B7C"/>
    <w:rsid w:val="4A0B0C17"/>
    <w:rsid w:val="4A106786"/>
    <w:rsid w:val="4A2512BA"/>
    <w:rsid w:val="4A3D1283"/>
    <w:rsid w:val="4A5754B2"/>
    <w:rsid w:val="4A5A3008"/>
    <w:rsid w:val="4A635BEE"/>
    <w:rsid w:val="4A926418"/>
    <w:rsid w:val="4AA4335D"/>
    <w:rsid w:val="4AA72803"/>
    <w:rsid w:val="4AAE4E5F"/>
    <w:rsid w:val="4AB278BB"/>
    <w:rsid w:val="4ABF395A"/>
    <w:rsid w:val="4AC31E78"/>
    <w:rsid w:val="4AC4379D"/>
    <w:rsid w:val="4AC85663"/>
    <w:rsid w:val="4AD646BF"/>
    <w:rsid w:val="4AE9326C"/>
    <w:rsid w:val="4AF676D9"/>
    <w:rsid w:val="4AF93112"/>
    <w:rsid w:val="4B052E99"/>
    <w:rsid w:val="4B055189"/>
    <w:rsid w:val="4B060259"/>
    <w:rsid w:val="4B4C022F"/>
    <w:rsid w:val="4B517ABD"/>
    <w:rsid w:val="4B7152F5"/>
    <w:rsid w:val="4B7961EA"/>
    <w:rsid w:val="4BA914F5"/>
    <w:rsid w:val="4BC14BBC"/>
    <w:rsid w:val="4BCC4801"/>
    <w:rsid w:val="4BCD4F91"/>
    <w:rsid w:val="4C210CB5"/>
    <w:rsid w:val="4C395E7B"/>
    <w:rsid w:val="4C8B2672"/>
    <w:rsid w:val="4C9163E2"/>
    <w:rsid w:val="4CAC61F9"/>
    <w:rsid w:val="4CD447C5"/>
    <w:rsid w:val="4D102947"/>
    <w:rsid w:val="4D175C08"/>
    <w:rsid w:val="4D4D545B"/>
    <w:rsid w:val="4D9B7801"/>
    <w:rsid w:val="4D9C409A"/>
    <w:rsid w:val="4DF1454B"/>
    <w:rsid w:val="4DFA1B53"/>
    <w:rsid w:val="4E0E0221"/>
    <w:rsid w:val="4E3340ED"/>
    <w:rsid w:val="4E4427D7"/>
    <w:rsid w:val="4E4653F8"/>
    <w:rsid w:val="4E667B99"/>
    <w:rsid w:val="4E762F7A"/>
    <w:rsid w:val="4E76701A"/>
    <w:rsid w:val="4E832A53"/>
    <w:rsid w:val="4E881D0A"/>
    <w:rsid w:val="4E95789F"/>
    <w:rsid w:val="4ED908C5"/>
    <w:rsid w:val="4EF91496"/>
    <w:rsid w:val="4F213CE9"/>
    <w:rsid w:val="4F297B6E"/>
    <w:rsid w:val="4F4227BA"/>
    <w:rsid w:val="4F426C0C"/>
    <w:rsid w:val="4F433C69"/>
    <w:rsid w:val="4F853130"/>
    <w:rsid w:val="4FA322D3"/>
    <w:rsid w:val="4FFE083C"/>
    <w:rsid w:val="500A342C"/>
    <w:rsid w:val="50272AA0"/>
    <w:rsid w:val="50375519"/>
    <w:rsid w:val="50454464"/>
    <w:rsid w:val="509B3425"/>
    <w:rsid w:val="509F7D87"/>
    <w:rsid w:val="50AF2F80"/>
    <w:rsid w:val="50CD48E1"/>
    <w:rsid w:val="50DE1FD8"/>
    <w:rsid w:val="5138181F"/>
    <w:rsid w:val="515F6F4E"/>
    <w:rsid w:val="51747975"/>
    <w:rsid w:val="51801CDC"/>
    <w:rsid w:val="51954F77"/>
    <w:rsid w:val="51A51572"/>
    <w:rsid w:val="51FC78E0"/>
    <w:rsid w:val="5209783E"/>
    <w:rsid w:val="52151C67"/>
    <w:rsid w:val="52541382"/>
    <w:rsid w:val="52593202"/>
    <w:rsid w:val="525B630F"/>
    <w:rsid w:val="52727066"/>
    <w:rsid w:val="529E52B6"/>
    <w:rsid w:val="52AD2D75"/>
    <w:rsid w:val="52AD43B1"/>
    <w:rsid w:val="52C336BA"/>
    <w:rsid w:val="52CC7C4B"/>
    <w:rsid w:val="52D74C6F"/>
    <w:rsid w:val="52E0603A"/>
    <w:rsid w:val="52F5496D"/>
    <w:rsid w:val="53395443"/>
    <w:rsid w:val="534B31D2"/>
    <w:rsid w:val="535E455D"/>
    <w:rsid w:val="539851B5"/>
    <w:rsid w:val="53DA562D"/>
    <w:rsid w:val="53F463FA"/>
    <w:rsid w:val="541D4A11"/>
    <w:rsid w:val="544B308E"/>
    <w:rsid w:val="54521959"/>
    <w:rsid w:val="54891754"/>
    <w:rsid w:val="549F4A1C"/>
    <w:rsid w:val="54BA0736"/>
    <w:rsid w:val="54D75D02"/>
    <w:rsid w:val="54F263B6"/>
    <w:rsid w:val="55011950"/>
    <w:rsid w:val="550246A7"/>
    <w:rsid w:val="5509338D"/>
    <w:rsid w:val="550D6FAF"/>
    <w:rsid w:val="55235048"/>
    <w:rsid w:val="552414D8"/>
    <w:rsid w:val="5527584B"/>
    <w:rsid w:val="5536081F"/>
    <w:rsid w:val="553A3F08"/>
    <w:rsid w:val="553A5165"/>
    <w:rsid w:val="553E1BC1"/>
    <w:rsid w:val="553F3106"/>
    <w:rsid w:val="555C6705"/>
    <w:rsid w:val="556B7FCC"/>
    <w:rsid w:val="55AD7922"/>
    <w:rsid w:val="55BD4BBE"/>
    <w:rsid w:val="55C86E22"/>
    <w:rsid w:val="55D52AE1"/>
    <w:rsid w:val="55E6227E"/>
    <w:rsid w:val="55FE6F68"/>
    <w:rsid w:val="563354D6"/>
    <w:rsid w:val="5639129C"/>
    <w:rsid w:val="563C72BD"/>
    <w:rsid w:val="56535335"/>
    <w:rsid w:val="56771507"/>
    <w:rsid w:val="56841B89"/>
    <w:rsid w:val="568F7D74"/>
    <w:rsid w:val="569264BE"/>
    <w:rsid w:val="569436A9"/>
    <w:rsid w:val="56AA100A"/>
    <w:rsid w:val="56BC1012"/>
    <w:rsid w:val="56CE4731"/>
    <w:rsid w:val="56D37CF4"/>
    <w:rsid w:val="56D771F4"/>
    <w:rsid w:val="56DC4C5B"/>
    <w:rsid w:val="56DE3A14"/>
    <w:rsid w:val="56E70EEC"/>
    <w:rsid w:val="56FC42C7"/>
    <w:rsid w:val="56FF0D3C"/>
    <w:rsid w:val="5730632D"/>
    <w:rsid w:val="574E0DD4"/>
    <w:rsid w:val="57605892"/>
    <w:rsid w:val="57621087"/>
    <w:rsid w:val="5778058C"/>
    <w:rsid w:val="57840695"/>
    <w:rsid w:val="57922D2A"/>
    <w:rsid w:val="57AD7F15"/>
    <w:rsid w:val="57B12553"/>
    <w:rsid w:val="57E94EE1"/>
    <w:rsid w:val="582671BA"/>
    <w:rsid w:val="582A73B3"/>
    <w:rsid w:val="583E2A9E"/>
    <w:rsid w:val="584E43CC"/>
    <w:rsid w:val="587A404F"/>
    <w:rsid w:val="589D3F0F"/>
    <w:rsid w:val="59066882"/>
    <w:rsid w:val="59076C36"/>
    <w:rsid w:val="590A7635"/>
    <w:rsid w:val="5932620A"/>
    <w:rsid w:val="594028B7"/>
    <w:rsid w:val="594D25DB"/>
    <w:rsid w:val="596D1D1C"/>
    <w:rsid w:val="5977618F"/>
    <w:rsid w:val="597957CF"/>
    <w:rsid w:val="599532D3"/>
    <w:rsid w:val="59B451A2"/>
    <w:rsid w:val="59C164B9"/>
    <w:rsid w:val="59E36C81"/>
    <w:rsid w:val="59E966B8"/>
    <w:rsid w:val="59F15847"/>
    <w:rsid w:val="59F862B4"/>
    <w:rsid w:val="59FA27DE"/>
    <w:rsid w:val="5A132AA1"/>
    <w:rsid w:val="5A1D140E"/>
    <w:rsid w:val="5A5C4E1E"/>
    <w:rsid w:val="5A615AF1"/>
    <w:rsid w:val="5A71748F"/>
    <w:rsid w:val="5A8C28B1"/>
    <w:rsid w:val="5A9E1FD8"/>
    <w:rsid w:val="5AF03DB2"/>
    <w:rsid w:val="5AFD004A"/>
    <w:rsid w:val="5B0F3231"/>
    <w:rsid w:val="5B111630"/>
    <w:rsid w:val="5B4F1DF3"/>
    <w:rsid w:val="5B641424"/>
    <w:rsid w:val="5B6C2124"/>
    <w:rsid w:val="5B72491A"/>
    <w:rsid w:val="5B901BC1"/>
    <w:rsid w:val="5BB903EC"/>
    <w:rsid w:val="5BC557F5"/>
    <w:rsid w:val="5BD715EA"/>
    <w:rsid w:val="5C074CC3"/>
    <w:rsid w:val="5C29608F"/>
    <w:rsid w:val="5C2D7F16"/>
    <w:rsid w:val="5C42784F"/>
    <w:rsid w:val="5C495260"/>
    <w:rsid w:val="5C70120A"/>
    <w:rsid w:val="5C756B77"/>
    <w:rsid w:val="5CAC6FD8"/>
    <w:rsid w:val="5CBF7199"/>
    <w:rsid w:val="5CD16F36"/>
    <w:rsid w:val="5CF60605"/>
    <w:rsid w:val="5CFD390D"/>
    <w:rsid w:val="5D31309B"/>
    <w:rsid w:val="5D555CF1"/>
    <w:rsid w:val="5D673238"/>
    <w:rsid w:val="5D7209A3"/>
    <w:rsid w:val="5D8D0418"/>
    <w:rsid w:val="5DB61DCD"/>
    <w:rsid w:val="5DB73CE5"/>
    <w:rsid w:val="5DC352D2"/>
    <w:rsid w:val="5DD02259"/>
    <w:rsid w:val="5E204C97"/>
    <w:rsid w:val="5E266AF1"/>
    <w:rsid w:val="5E2D4794"/>
    <w:rsid w:val="5E3729CC"/>
    <w:rsid w:val="5E3B0157"/>
    <w:rsid w:val="5E4266BA"/>
    <w:rsid w:val="5E7049D9"/>
    <w:rsid w:val="5E895383"/>
    <w:rsid w:val="5EAD31DE"/>
    <w:rsid w:val="5EAE376D"/>
    <w:rsid w:val="5EB53F04"/>
    <w:rsid w:val="5EBD0B9C"/>
    <w:rsid w:val="5ECA3D86"/>
    <w:rsid w:val="5ED06800"/>
    <w:rsid w:val="5EF01ED3"/>
    <w:rsid w:val="5EFB5C7F"/>
    <w:rsid w:val="5F0509FA"/>
    <w:rsid w:val="5F110511"/>
    <w:rsid w:val="5F3C02E0"/>
    <w:rsid w:val="5F466B0E"/>
    <w:rsid w:val="5F800C11"/>
    <w:rsid w:val="5FA21CDE"/>
    <w:rsid w:val="5FAD44A1"/>
    <w:rsid w:val="5FB02438"/>
    <w:rsid w:val="5FD1574A"/>
    <w:rsid w:val="5FD52BF9"/>
    <w:rsid w:val="600508D8"/>
    <w:rsid w:val="60463C12"/>
    <w:rsid w:val="60717E3D"/>
    <w:rsid w:val="6074005D"/>
    <w:rsid w:val="60803586"/>
    <w:rsid w:val="609970E9"/>
    <w:rsid w:val="60AF2B49"/>
    <w:rsid w:val="60BC0F43"/>
    <w:rsid w:val="60C135A9"/>
    <w:rsid w:val="60D002AC"/>
    <w:rsid w:val="60E9453B"/>
    <w:rsid w:val="60F02A63"/>
    <w:rsid w:val="610A53BB"/>
    <w:rsid w:val="610A54C9"/>
    <w:rsid w:val="610E1799"/>
    <w:rsid w:val="611C5BC6"/>
    <w:rsid w:val="612B54E0"/>
    <w:rsid w:val="615118BA"/>
    <w:rsid w:val="61520F13"/>
    <w:rsid w:val="615E3B21"/>
    <w:rsid w:val="61660FFC"/>
    <w:rsid w:val="616F0AF6"/>
    <w:rsid w:val="61895099"/>
    <w:rsid w:val="618B4031"/>
    <w:rsid w:val="61A01EDE"/>
    <w:rsid w:val="61BA5AFA"/>
    <w:rsid w:val="61D45ACB"/>
    <w:rsid w:val="61D7170D"/>
    <w:rsid w:val="61F25473"/>
    <w:rsid w:val="61FA560D"/>
    <w:rsid w:val="6205034C"/>
    <w:rsid w:val="621332EC"/>
    <w:rsid w:val="622D5C6C"/>
    <w:rsid w:val="62411961"/>
    <w:rsid w:val="6246704E"/>
    <w:rsid w:val="629427F4"/>
    <w:rsid w:val="62947D55"/>
    <w:rsid w:val="62D365DA"/>
    <w:rsid w:val="62E275CD"/>
    <w:rsid w:val="63104BFD"/>
    <w:rsid w:val="63170DE2"/>
    <w:rsid w:val="631F6751"/>
    <w:rsid w:val="63335A82"/>
    <w:rsid w:val="633F538E"/>
    <w:rsid w:val="634A6C1F"/>
    <w:rsid w:val="634C5868"/>
    <w:rsid w:val="638E7C1B"/>
    <w:rsid w:val="63D80357"/>
    <w:rsid w:val="63E37A93"/>
    <w:rsid w:val="63FC771D"/>
    <w:rsid w:val="643E3D03"/>
    <w:rsid w:val="646C775B"/>
    <w:rsid w:val="647A2061"/>
    <w:rsid w:val="6482072D"/>
    <w:rsid w:val="64A3387C"/>
    <w:rsid w:val="64AC1316"/>
    <w:rsid w:val="64B65FCC"/>
    <w:rsid w:val="64CB7F35"/>
    <w:rsid w:val="64CD45D0"/>
    <w:rsid w:val="650C586E"/>
    <w:rsid w:val="65286324"/>
    <w:rsid w:val="652C30CD"/>
    <w:rsid w:val="65303C1F"/>
    <w:rsid w:val="65341E16"/>
    <w:rsid w:val="655D1067"/>
    <w:rsid w:val="659C6EAF"/>
    <w:rsid w:val="65AA16EC"/>
    <w:rsid w:val="65AD74FF"/>
    <w:rsid w:val="65C769B9"/>
    <w:rsid w:val="65E15AAE"/>
    <w:rsid w:val="65F31D9F"/>
    <w:rsid w:val="660F7BDE"/>
    <w:rsid w:val="663040A5"/>
    <w:rsid w:val="66450576"/>
    <w:rsid w:val="665D70BD"/>
    <w:rsid w:val="669D3407"/>
    <w:rsid w:val="66BC669D"/>
    <w:rsid w:val="66CF013B"/>
    <w:rsid w:val="66D721F9"/>
    <w:rsid w:val="66D736EE"/>
    <w:rsid w:val="67061F27"/>
    <w:rsid w:val="671C484C"/>
    <w:rsid w:val="671D1CFB"/>
    <w:rsid w:val="67281FDA"/>
    <w:rsid w:val="673E3563"/>
    <w:rsid w:val="6751026C"/>
    <w:rsid w:val="675F4C3D"/>
    <w:rsid w:val="678F4A89"/>
    <w:rsid w:val="67A4721B"/>
    <w:rsid w:val="67B415A3"/>
    <w:rsid w:val="67D717D5"/>
    <w:rsid w:val="67D84113"/>
    <w:rsid w:val="67E3475B"/>
    <w:rsid w:val="68147443"/>
    <w:rsid w:val="682679BD"/>
    <w:rsid w:val="683C6230"/>
    <w:rsid w:val="683D4DD7"/>
    <w:rsid w:val="6855243E"/>
    <w:rsid w:val="686E4211"/>
    <w:rsid w:val="68DD13D1"/>
    <w:rsid w:val="69142DA9"/>
    <w:rsid w:val="69174226"/>
    <w:rsid w:val="692E5CCB"/>
    <w:rsid w:val="697B1A53"/>
    <w:rsid w:val="6998438C"/>
    <w:rsid w:val="69E430F2"/>
    <w:rsid w:val="69FB4785"/>
    <w:rsid w:val="6A1B74F7"/>
    <w:rsid w:val="6A2965F7"/>
    <w:rsid w:val="6A2C7011"/>
    <w:rsid w:val="6A4A6976"/>
    <w:rsid w:val="6A837E6D"/>
    <w:rsid w:val="6A841F88"/>
    <w:rsid w:val="6AAA06F3"/>
    <w:rsid w:val="6ABB160B"/>
    <w:rsid w:val="6B0658C9"/>
    <w:rsid w:val="6B074200"/>
    <w:rsid w:val="6B3505F3"/>
    <w:rsid w:val="6B3B14DB"/>
    <w:rsid w:val="6B477FDE"/>
    <w:rsid w:val="6B642407"/>
    <w:rsid w:val="6B6B7F54"/>
    <w:rsid w:val="6B7B308A"/>
    <w:rsid w:val="6B927D2B"/>
    <w:rsid w:val="6B95785B"/>
    <w:rsid w:val="6BC5496A"/>
    <w:rsid w:val="6BCF25F2"/>
    <w:rsid w:val="6BDA7F33"/>
    <w:rsid w:val="6C1063BD"/>
    <w:rsid w:val="6C1A4911"/>
    <w:rsid w:val="6C1A6250"/>
    <w:rsid w:val="6C230ACC"/>
    <w:rsid w:val="6C2610DA"/>
    <w:rsid w:val="6C330BA7"/>
    <w:rsid w:val="6C347704"/>
    <w:rsid w:val="6C362E65"/>
    <w:rsid w:val="6C4D5124"/>
    <w:rsid w:val="6C951B81"/>
    <w:rsid w:val="6C985EDF"/>
    <w:rsid w:val="6CC76FAC"/>
    <w:rsid w:val="6CC81D9B"/>
    <w:rsid w:val="6CCE246C"/>
    <w:rsid w:val="6CF00585"/>
    <w:rsid w:val="6D3C5FA6"/>
    <w:rsid w:val="6D47327D"/>
    <w:rsid w:val="6D5562FF"/>
    <w:rsid w:val="6D6C2E2D"/>
    <w:rsid w:val="6D816D4C"/>
    <w:rsid w:val="6DB86735"/>
    <w:rsid w:val="6DCE4311"/>
    <w:rsid w:val="6DD77F0C"/>
    <w:rsid w:val="6DDA4EE5"/>
    <w:rsid w:val="6DE3527A"/>
    <w:rsid w:val="6DED595C"/>
    <w:rsid w:val="6DF744B1"/>
    <w:rsid w:val="6DFE5E40"/>
    <w:rsid w:val="6E0F1CA5"/>
    <w:rsid w:val="6E312ED3"/>
    <w:rsid w:val="6E3E22A3"/>
    <w:rsid w:val="6E434FEC"/>
    <w:rsid w:val="6E535483"/>
    <w:rsid w:val="6E9C3DDE"/>
    <w:rsid w:val="6E9F40AD"/>
    <w:rsid w:val="6EA8044D"/>
    <w:rsid w:val="6EBE0DC1"/>
    <w:rsid w:val="6ECC4907"/>
    <w:rsid w:val="6EDE4159"/>
    <w:rsid w:val="6F04528E"/>
    <w:rsid w:val="6F0F763F"/>
    <w:rsid w:val="6F35293C"/>
    <w:rsid w:val="6F600587"/>
    <w:rsid w:val="6F676585"/>
    <w:rsid w:val="6F6E7AB3"/>
    <w:rsid w:val="6F700963"/>
    <w:rsid w:val="6F777BDE"/>
    <w:rsid w:val="6F883EE7"/>
    <w:rsid w:val="6FA9398A"/>
    <w:rsid w:val="6FAB7793"/>
    <w:rsid w:val="6FB77391"/>
    <w:rsid w:val="6FBB43F0"/>
    <w:rsid w:val="6FBD0829"/>
    <w:rsid w:val="6FE3410C"/>
    <w:rsid w:val="6FE43DD6"/>
    <w:rsid w:val="6FFA787F"/>
    <w:rsid w:val="706535F1"/>
    <w:rsid w:val="70701A6A"/>
    <w:rsid w:val="70A96647"/>
    <w:rsid w:val="70C5138C"/>
    <w:rsid w:val="70D52976"/>
    <w:rsid w:val="70ED2C01"/>
    <w:rsid w:val="711B2B9A"/>
    <w:rsid w:val="7125000D"/>
    <w:rsid w:val="71334E15"/>
    <w:rsid w:val="71385EFA"/>
    <w:rsid w:val="713E488C"/>
    <w:rsid w:val="71437DC4"/>
    <w:rsid w:val="71727FD3"/>
    <w:rsid w:val="7174202E"/>
    <w:rsid w:val="719C6D17"/>
    <w:rsid w:val="71BD63EF"/>
    <w:rsid w:val="71EF1457"/>
    <w:rsid w:val="71F71FC3"/>
    <w:rsid w:val="721132C1"/>
    <w:rsid w:val="72276F01"/>
    <w:rsid w:val="722928C3"/>
    <w:rsid w:val="723E1011"/>
    <w:rsid w:val="72620BC6"/>
    <w:rsid w:val="728D76D9"/>
    <w:rsid w:val="72A23AB4"/>
    <w:rsid w:val="72D51E70"/>
    <w:rsid w:val="72E62E83"/>
    <w:rsid w:val="73013DC3"/>
    <w:rsid w:val="73175BFB"/>
    <w:rsid w:val="73263706"/>
    <w:rsid w:val="732D4632"/>
    <w:rsid w:val="7330213D"/>
    <w:rsid w:val="73520FBE"/>
    <w:rsid w:val="735D208E"/>
    <w:rsid w:val="73B26FF4"/>
    <w:rsid w:val="73D8173E"/>
    <w:rsid w:val="73E95437"/>
    <w:rsid w:val="740D27BD"/>
    <w:rsid w:val="741250C3"/>
    <w:rsid w:val="74396D79"/>
    <w:rsid w:val="744507BC"/>
    <w:rsid w:val="744A62D9"/>
    <w:rsid w:val="745227E2"/>
    <w:rsid w:val="745B08B5"/>
    <w:rsid w:val="74A27621"/>
    <w:rsid w:val="74B824FA"/>
    <w:rsid w:val="74D33F0E"/>
    <w:rsid w:val="74E306C9"/>
    <w:rsid w:val="74FA7872"/>
    <w:rsid w:val="75787B89"/>
    <w:rsid w:val="75917B1B"/>
    <w:rsid w:val="76014176"/>
    <w:rsid w:val="76066BFD"/>
    <w:rsid w:val="760E058D"/>
    <w:rsid w:val="761B2DB0"/>
    <w:rsid w:val="761F1F7D"/>
    <w:rsid w:val="76276080"/>
    <w:rsid w:val="76634957"/>
    <w:rsid w:val="766F0CCD"/>
    <w:rsid w:val="76702D1D"/>
    <w:rsid w:val="76817088"/>
    <w:rsid w:val="76B459EC"/>
    <w:rsid w:val="77085857"/>
    <w:rsid w:val="775E5332"/>
    <w:rsid w:val="77640DC4"/>
    <w:rsid w:val="776C7B33"/>
    <w:rsid w:val="777125A6"/>
    <w:rsid w:val="777E2AE4"/>
    <w:rsid w:val="77826F0B"/>
    <w:rsid w:val="77944786"/>
    <w:rsid w:val="77A0562A"/>
    <w:rsid w:val="77A73A78"/>
    <w:rsid w:val="77B436D6"/>
    <w:rsid w:val="77BD6EAD"/>
    <w:rsid w:val="77D0327F"/>
    <w:rsid w:val="77EE493F"/>
    <w:rsid w:val="77F6009B"/>
    <w:rsid w:val="78113D93"/>
    <w:rsid w:val="78177115"/>
    <w:rsid w:val="781D108B"/>
    <w:rsid w:val="78222F7E"/>
    <w:rsid w:val="7832380C"/>
    <w:rsid w:val="7839580C"/>
    <w:rsid w:val="784148AA"/>
    <w:rsid w:val="784D4357"/>
    <w:rsid w:val="785D76D6"/>
    <w:rsid w:val="78990780"/>
    <w:rsid w:val="78A746FB"/>
    <w:rsid w:val="78B03024"/>
    <w:rsid w:val="78CF115E"/>
    <w:rsid w:val="78DA413D"/>
    <w:rsid w:val="78E720CC"/>
    <w:rsid w:val="79040BAD"/>
    <w:rsid w:val="791E38C1"/>
    <w:rsid w:val="79391643"/>
    <w:rsid w:val="793C3EF9"/>
    <w:rsid w:val="79413C08"/>
    <w:rsid w:val="79435FF8"/>
    <w:rsid w:val="79566373"/>
    <w:rsid w:val="795F1099"/>
    <w:rsid w:val="79613B56"/>
    <w:rsid w:val="79621333"/>
    <w:rsid w:val="79636706"/>
    <w:rsid w:val="797821A8"/>
    <w:rsid w:val="799B1D13"/>
    <w:rsid w:val="79BE4E6F"/>
    <w:rsid w:val="79F06CC8"/>
    <w:rsid w:val="7A0402C8"/>
    <w:rsid w:val="7A096FDF"/>
    <w:rsid w:val="7A2F7891"/>
    <w:rsid w:val="7A36124D"/>
    <w:rsid w:val="7A4526AC"/>
    <w:rsid w:val="7A723801"/>
    <w:rsid w:val="7A9A107A"/>
    <w:rsid w:val="7A9D2184"/>
    <w:rsid w:val="7ABC34DD"/>
    <w:rsid w:val="7ACB5C92"/>
    <w:rsid w:val="7B182967"/>
    <w:rsid w:val="7B191EC6"/>
    <w:rsid w:val="7B2A30EE"/>
    <w:rsid w:val="7B983680"/>
    <w:rsid w:val="7BD2428C"/>
    <w:rsid w:val="7BE9562B"/>
    <w:rsid w:val="7BF55667"/>
    <w:rsid w:val="7C1F1203"/>
    <w:rsid w:val="7C612821"/>
    <w:rsid w:val="7C816547"/>
    <w:rsid w:val="7C9062A0"/>
    <w:rsid w:val="7CB9570E"/>
    <w:rsid w:val="7CC86281"/>
    <w:rsid w:val="7CFF1722"/>
    <w:rsid w:val="7D2D6297"/>
    <w:rsid w:val="7D366B5C"/>
    <w:rsid w:val="7D372496"/>
    <w:rsid w:val="7D396DD9"/>
    <w:rsid w:val="7D5813DA"/>
    <w:rsid w:val="7D7A5079"/>
    <w:rsid w:val="7D8A2C07"/>
    <w:rsid w:val="7D8F2D6A"/>
    <w:rsid w:val="7DA77D77"/>
    <w:rsid w:val="7DA9021E"/>
    <w:rsid w:val="7DB54688"/>
    <w:rsid w:val="7DC81E82"/>
    <w:rsid w:val="7DCB1DBA"/>
    <w:rsid w:val="7DDE3270"/>
    <w:rsid w:val="7DF244F2"/>
    <w:rsid w:val="7DFC34C9"/>
    <w:rsid w:val="7E16377F"/>
    <w:rsid w:val="7E275611"/>
    <w:rsid w:val="7E3D4352"/>
    <w:rsid w:val="7E514FA2"/>
    <w:rsid w:val="7E60053D"/>
    <w:rsid w:val="7EC050CA"/>
    <w:rsid w:val="7EC06627"/>
    <w:rsid w:val="7ECD3F82"/>
    <w:rsid w:val="7ED605BE"/>
    <w:rsid w:val="7F1147A8"/>
    <w:rsid w:val="7F9276CF"/>
    <w:rsid w:val="7F96021B"/>
    <w:rsid w:val="7F960AFC"/>
    <w:rsid w:val="7F961B3C"/>
    <w:rsid w:val="7FAD6834"/>
    <w:rsid w:val="7FCE0672"/>
    <w:rsid w:val="7FD91BFA"/>
    <w:rsid w:val="7FDA60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pPr>
    <w:rPr>
      <w:rFonts w:ascii="Times New Roman" w:hAnsi="Times New Roman" w:eastAsia="宋体" w:cs="Times New Roman"/>
      <w:kern w:val="0"/>
      <w:sz w:val="24"/>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99"/>
    <w:pPr>
      <w:ind w:left="109"/>
    </w:pPr>
    <w:rPr>
      <w:rFonts w:ascii="仿宋_GB2312" w:hAnsi="仿宋_GB2312" w:eastAsia="仿宋_GB2312"/>
      <w:sz w:val="32"/>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Hyperlink"/>
    <w:basedOn w:val="5"/>
    <w:qFormat/>
    <w:uiPriority w:val="0"/>
    <w:rPr>
      <w:color w:val="0000FF"/>
      <w:u w:val="single"/>
    </w:rPr>
  </w:style>
  <w:style w:type="paragraph" w:customStyle="1" w:styleId="7">
    <w:name w:val="标准文件_二级条标题"/>
    <w:basedOn w:val="1"/>
    <w:next w:val="8"/>
    <w:qFormat/>
    <w:uiPriority w:val="0"/>
    <w:pPr>
      <w:keepNext w:val="0"/>
      <w:keepLines w:val="0"/>
      <w:widowControl w:val="0"/>
      <w:numPr>
        <w:ilvl w:val="3"/>
        <w:numId w:val="1"/>
      </w:numPr>
      <w:suppressLineNumbers w:val="0"/>
      <w:adjustRightInd/>
      <w:spacing w:before="50" w:beforeLines="50" w:beforeAutospacing="0" w:after="50" w:afterLines="50" w:afterAutospacing="0" w:line="240" w:lineRule="auto"/>
      <w:ind w:left="0" w:right="0" w:firstLine="0"/>
      <w:jc w:val="both"/>
      <w:outlineLvl w:val="2"/>
    </w:pPr>
    <w:rPr>
      <w:rFonts w:hint="eastAsia" w:ascii="黑体" w:hAnsi="Times New Roman" w:eastAsia="黑体" w:cs="Times New Roman"/>
      <w:kern w:val="0"/>
      <w:sz w:val="21"/>
      <w:szCs w:val="20"/>
      <w:lang w:val="en-US" w:eastAsia="zh-CN" w:bidi="ar"/>
    </w:rPr>
  </w:style>
  <w:style w:type="paragraph" w:customStyle="1" w:styleId="8">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9">
    <w:name w:val="标准文件_一级无标题"/>
    <w:basedOn w:val="10"/>
    <w:qFormat/>
    <w:uiPriority w:val="0"/>
    <w:pPr>
      <w:spacing w:before="0" w:beforeLines="0" w:after="0" w:afterLines="0"/>
      <w:outlineLvl w:val="9"/>
    </w:pPr>
    <w:rPr>
      <w:rFonts w:ascii="宋体" w:eastAsia="宋体"/>
    </w:rPr>
  </w:style>
  <w:style w:type="paragraph" w:customStyle="1" w:styleId="10">
    <w:name w:val="标准文件_一级条标题"/>
    <w:basedOn w:val="11"/>
    <w:next w:val="8"/>
    <w:qFormat/>
    <w:uiPriority w:val="0"/>
    <w:pPr>
      <w:numPr>
        <w:ilvl w:val="2"/>
      </w:numPr>
      <w:spacing w:before="50" w:beforeLines="50" w:after="50" w:afterLines="50"/>
      <w:ind w:left="0"/>
      <w:outlineLvl w:val="1"/>
    </w:pPr>
  </w:style>
  <w:style w:type="paragraph" w:customStyle="1" w:styleId="11">
    <w:name w:val="标准文件_章标题"/>
    <w:next w:val="8"/>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2">
    <w:name w:val="标准文件_二级无标题"/>
    <w:basedOn w:val="7"/>
    <w:qFormat/>
    <w:uiPriority w:val="0"/>
    <w:pPr>
      <w:spacing w:before="0" w:beforeLines="0" w:after="0" w:afterLines="0"/>
      <w:outlineLvl w:val="9"/>
    </w:pPr>
    <w:rPr>
      <w:rFonts w:ascii="宋体" w:eastAsia="宋体"/>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2023-03-01T04:13:00Z</dcterms:created>
  <dc:creator>LENOVO</dc:creator>
  <cp:lastModifiedBy>从偃痈</cp:lastModifiedBy>
  <dcterms:modified xsi:type="dcterms:W3CDTF">2023-10-13T08:34:02Z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AB9A4B3B88494E86A311419F82A7C206</vt:lpwstr>
  </property>
</Properties>
</file>