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D49" w:rsidRDefault="00E01641">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团体标准《甘蔗功能醋生产技术规程》</w:t>
      </w:r>
    </w:p>
    <w:p w:rsidR="00CD1D49" w:rsidRDefault="00E01641">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（征求意见稿）编制说明</w:t>
      </w:r>
    </w:p>
    <w:p w:rsidR="00CD1D49" w:rsidRDefault="00E01641">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一、任务来源</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广西标准化协会关于下达2023年第一批团体标准制修订项目计划的通知》（桂标协〔2023〕2号）精神，由广西壮族自治区农业科学院提出，广西农业科学院农产品加工研究所、广西标准化协会、南宁皇悦保健食品有限公司等单位共同起草的团体标准《甘蔗功能醋生产技术规程》（项目编号2023-0111）。</w:t>
      </w:r>
    </w:p>
    <w:p w:rsidR="00CD1D49" w:rsidRDefault="00E01641">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二、制定标准的必要性和意义</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中国已有3000多年的甘蔗种植纪录，广西是我国最大的糖料蔗生产区和产糖区，种植面积、原料蔗和食糖产量居全国第一位（均超全国的60%），蔗糖业成为广西的千亿元产业和重点支柱产业。2015年5月，国家发展改革委、农业部联合印发实施《糖料蔗主产区生产发展规划（2015-2020年）》，广西的糖产业上升为国家战略；2017年中央一号文件明确将糖列为与粮、棉、油同等重要的国家战略物资，同时规划建设1500万亩糖料蔗生产保护区，其中广西规划建设1150万亩、云南350万亩。广西甘蔗主要用于制糖，制糖业已成为广西最大的农产品加工业，然而甘蔗加工产品单一、抗风险能力低。由于广西甘蔗种植集约化程度低、劳动生产率低、综合利用水平不高、多样化加工产品匮乏等问题未得到有效解决，导致制糖成本高、缺乏竞争力，严重影响了产业稳定发展。2017年4 月，习近平总书记视察广西时作出重要指示：糖、铝等传统优势产业是广西经济发展的家底，要求加大技术改造力度，推动这些产业实现“二次创业”。广西区</w:t>
      </w:r>
      <w:r>
        <w:rPr>
          <w:rFonts w:ascii="仿宋_GB2312" w:eastAsia="仿宋_GB2312" w:hAnsi="宋体" w:hint="eastAsia"/>
          <w:sz w:val="32"/>
          <w:szCs w:val="28"/>
          <w:lang w:val="zh-CN"/>
        </w:rPr>
        <w:lastRenderedPageBreak/>
        <w:t>人民政府先后出台了《关于促进我区糖业可持续发展的意见》和《广西糖业二次创业总体方案（2015-2020年）》文件，要求广西蔗糖业需不断调整优化产品结构，促进产业转型升级。同时要求以甘蔗多样性产业为抓手，加快发展甘蔗非糖产品，不断增强产业抗风险能力。面对经济发展新常态，谋求广西糖业新发展，推动糖业转型升级，实现降成本、增效益，增强可持续发展能力和国际竞争力已成燃眉之急，必须实施糖业“二次创业”。</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广西壮族自治区位于我国南部沿海地区，光照充足、雨量充沛、气温相对较高且无霜期长，因此极适宜甘蔗生产，是我国最大的糖料蔗生产区和产糖区，2021年广西甘蔗播种面积约87.5万公顷，甘蔗产量约7400多万吨。连续25年来，种植面积、原料蔗和食糖产量居全国第一位（均超全国的60%），蔗糖业成为广西的千亿元产业和重点支柱产业。</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果醋是利用水果、蔬菜或者发酵后的果酒为原料，利用微生物或醋酸菌的代谢作用下发酵而成的一种具有促进消化、增强免疫、抑菌等功能的健康发酵食品，因微生物在发酵成醋的过程中对矿物质的需求和利用较少，所以水果中大部分矿物质会直接保留在果醋中。果醋相比于鲜榨果汁的加工程度更高，但是其主打的健康、天然的品牌效应也吸引了消费者，特别是果醋本身独特的口感使得它在其他软饮料当中具有差异化的优势。2020年我国果醋行业市场规模达到76.16亿元，2021年中国果醋市场规模约为81.62亿元，预计2022年中国果醋市场规模将达到86.74亿元。其中，2020年中国果醋饮料行业市场规模为49.95亿元，占果醋整体规模的65.6％，占比非常大；果醋（调味品）行业市场</w:t>
      </w:r>
      <w:r>
        <w:rPr>
          <w:rFonts w:ascii="仿宋_GB2312" w:eastAsia="仿宋_GB2312" w:hAnsi="宋体" w:hint="eastAsia"/>
          <w:sz w:val="32"/>
          <w:szCs w:val="28"/>
          <w:lang w:val="zh-CN"/>
        </w:rPr>
        <w:lastRenderedPageBreak/>
        <w:t>规模约26.21亿元，占果醋整体规模的34.4％。甘蔗全身都是“宝”，甘蔗本身的色素物质主要是植物多酚类物质，成分相当复杂，已被鉴定的低相对分子量的酚酸和黄酮类就有20多种，还有一些高分子量的聚合物（如单宁和鞣酸）。研究发现，甘蔗中非糖提取物具有较高的抗氧化活性，这些抗氧化活性成分主要是一些多酚类物质，研究表明，多酚以大量的酚羟基作为氢供体，对多种活性氧具有消除作用，使其具有抗氧化能力等功能性。因甘蔗含有多种成分特别是功能性组分，其多元化产品的综合开发空间巨大。除了制造蔗糖，甘蔗汁对人体健康非常有益，它含有多种氨基酸，如天冬氨酸，丙氨酸，柠檬酸；维生素A，B1，B2，B3和C，烟酸，核黄素和人体一些必需的营养物质，如钙，磷，锰，锌，尤其是铁（含量达9mg/kg）；因为这些营养成分，甘蔗汁可以作为一种非常重要的药用成分，也可以作为一种饮品来预防和治疗喉咙痛，感冒和流感，降低血糖指数，由于其碱性还可抗前列腺癌和乳腺癌细胞，延长体温和体力活动，因含丰富的糖类可快速使身体恢复活力，畅通尿路、肾脏等。此外，可以利用甘蔗汁丰富的糖分和多种营养物质，发酵生产具有独特、浓郁甘蔗清香的果醋产品，不仅可以节约粮食,提高甘蔗附加值，而且可以开发风味独特的醋品，并提高醋品的保健功能。甘蔗功能醋是以新鲜糖料甘蔗为原料，同时配以相应的药食两用物料，经压榨、灭菌、酒精发酵、醋酸发酵、陈酿等工艺加工酿制而成的液体原醋，或以浓缩甘蔗汁（浆）为原料，配以相应的药食两用物料经酒精发酵、醋酸发酵、陈酿等工艺酿制而成的液体原醋，同时配以相关功能性成分配制成甘蔗功能醋产品。具有降血脂、提高抗</w:t>
      </w:r>
      <w:r>
        <w:rPr>
          <w:rFonts w:ascii="仿宋_GB2312" w:eastAsia="仿宋_GB2312" w:hAnsi="宋体" w:hint="eastAsia"/>
          <w:sz w:val="32"/>
          <w:szCs w:val="28"/>
          <w:lang w:val="zh-CN"/>
        </w:rPr>
        <w:lastRenderedPageBreak/>
        <w:t>氧化应激、减轻体重和脏器肿大等生物功能。</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因此，制定团体标准《甘蔗功能醋生产技术规程》，结合国内外现代高新技术、装备，研究发酵型柑橘果醋产品，有利于延长产业链，丰富柑橘深加工产品种类，提高柑橘资源的利用率和效益，提升广西在国家农业科技园区科技创新水平，对解决柑橘产业方式转变，调整柑橘产业产品结构，带动广西地方产业优化升级、促进乡村振兴具有重要意义。</w:t>
      </w:r>
    </w:p>
    <w:p w:rsidR="00CD1D49" w:rsidRDefault="00E01641">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三、主要起草过程</w:t>
      </w:r>
    </w:p>
    <w:p w:rsidR="00CD1D49" w:rsidRDefault="00E01641">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（一）成立标准编制工作组</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甘蔗功能醋生产技术规程》项目任务下达后，广西壮族自治区农业科学院牵头组织成立标准编制工作组，起草单位制定了起草编写方案与进度安排，明确任务职责，确定工作技术路线，开展标准研制工作。具体标准编制工作广西农业科学院农产品加工研究所、广西标准化协会、南宁皇悦保健食品有限公司等起草单位组成标准编制工作组。</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编制工作组下设三个组，分别是资料收集组、草案编写组、标准实施组。</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资料收集组负责国内外甘蔗功能醋生产技术规程有关文献资料的查询、收集和整理工作。</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草案编写组负责起草标准草案、征求意见稿和标准编制说明、送审稿及编制说明的编写工作，包括后期召开征求意见会、网上征求意见，以及标准的不断修改和完善。</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标准实施组负责《甘蔗功能醋生产技术规程》标准发布后，组织生产、检验检测相关企业、科研机构等开展标准宣贯培训会，</w:t>
      </w:r>
      <w:r>
        <w:rPr>
          <w:rFonts w:ascii="仿宋_GB2312" w:eastAsia="仿宋_GB2312" w:hAnsi="宋体" w:hint="eastAsia"/>
          <w:sz w:val="32"/>
          <w:szCs w:val="28"/>
          <w:lang w:val="zh-CN"/>
        </w:rPr>
        <w:lastRenderedPageBreak/>
        <w:t>对标准进行详细解读，让相关人员了解标准，并根据标准对甘蔗功能醋生产技术的各项指标进行规范化操作，控制产品质量，并对标准实施情况进行总结分析，不断对标准提出修改意见。</w:t>
      </w:r>
    </w:p>
    <w:p w:rsidR="00CD1D49" w:rsidRDefault="00E01641">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（二）收集整理文献资料</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标准编制工作组收集了国内有关甘蔗功能醋的文献资料主要有：</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 8954-2016《食品安全国家标准  食醋生产卫生规范》</w:t>
      </w:r>
    </w:p>
    <w:p w:rsidR="00CD1D49" w:rsidRDefault="00E01641">
      <w:pPr>
        <w:spacing w:line="560" w:lineRule="exact"/>
        <w:ind w:firstLineChars="200" w:firstLine="640"/>
        <w:rPr>
          <w:rFonts w:ascii="仿宋_GB2312" w:eastAsia="仿宋_GB2312" w:hAnsi="宋体"/>
          <w:sz w:val="32"/>
          <w:szCs w:val="28"/>
          <w:lang w:val="zh-CN"/>
        </w:rPr>
      </w:pPr>
      <w:r w:rsidRPr="00CD0E0A">
        <w:rPr>
          <w:rFonts w:ascii="仿宋_GB2312" w:eastAsia="仿宋_GB2312" w:hAnsi="宋体"/>
          <w:sz w:val="32"/>
          <w:szCs w:val="28"/>
          <w:lang w:val="zh-CN"/>
        </w:rPr>
        <w:t>GB/T 10498-2010</w:t>
      </w:r>
      <w:r>
        <w:rPr>
          <w:rFonts w:ascii="仿宋_GB2312" w:eastAsia="仿宋_GB2312" w:hAnsi="宋体" w:hint="eastAsia"/>
          <w:sz w:val="32"/>
          <w:szCs w:val="28"/>
          <w:lang w:val="zh-CN"/>
        </w:rPr>
        <w:t>《糖料甘蔗》</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DB45T 1536-2017《甘蔗原醋生产技术规程》</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DB45T 1812-2018《甘蔗醋饮料生产技术规程》</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DB45T 1948-2019《百香果原醋生产技术规程》</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DB45T 2195-2020《龙眼果醋生产技术规程》</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T/GXAS 058-2020《香蕉香醋生产技术规程》</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T/GXAS 215-2021团体标准《油茶果壳和澳洲坚果果壳醋液生产技术规程》</w:t>
      </w:r>
    </w:p>
    <w:p w:rsidR="00CD1D49" w:rsidRDefault="00E01641">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（三）研讨确定标准主体内容</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在对收集的资料进行整理研究后，标准编制工作组召开了标准编制会议，对标准的整体框架进行了研究，并对标准的关键性问题进行了初步探讨。经过研究，本文件界定了甘蔗功能醋的术语和定义，确立了甘蔗功能醋生产的程序，规定了发酵型甘蔗功能醋、浸泡调配型甘蔗功能醋生产工艺的操作指示，描述了生产过程信息的追溯方法；适用于甘蔗功能醋的生产。</w:t>
      </w:r>
    </w:p>
    <w:p w:rsidR="00CD1D49" w:rsidRDefault="00E01641">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（四）调研</w:t>
      </w:r>
      <w:r>
        <w:rPr>
          <w:rFonts w:ascii="楷体" w:eastAsia="楷体" w:hAnsi="楷体"/>
          <w:b/>
          <w:sz w:val="32"/>
          <w:szCs w:val="32"/>
          <w:lang w:val="zh-CN"/>
        </w:rPr>
        <w:t>、</w:t>
      </w:r>
      <w:r>
        <w:rPr>
          <w:rFonts w:ascii="楷体" w:eastAsia="楷体" w:hAnsi="楷体" w:hint="eastAsia"/>
          <w:b/>
          <w:sz w:val="32"/>
          <w:szCs w:val="32"/>
          <w:lang w:val="zh-CN"/>
        </w:rPr>
        <w:t>形成文本草案、征求意见稿</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本标准提出单位广西农业科学院2008年起开始进行生物发</w:t>
      </w:r>
      <w:r>
        <w:rPr>
          <w:rFonts w:ascii="仿宋_GB2312" w:eastAsia="仿宋_GB2312" w:hAnsi="宋体" w:hint="eastAsia"/>
          <w:sz w:val="32"/>
          <w:szCs w:val="28"/>
          <w:lang w:val="zh-CN"/>
        </w:rPr>
        <w:lastRenderedPageBreak/>
        <w:t>酵果酒、果醋生产关键技术研究及产品开发，先后获得国家星火计划项目、广西重点研发计划、广西科技计划、广西自然科学基金、广西农科院基本业务专项等项目资助研究。项目组主要以热带亚热带地区的大宗农产品（甘蔗、香蕉、荔枝、龙眼、百香果、大果山楂、橄榄、柑橘）为研究对象，选取新鲜原料或次果、初加工副产物等通过集成零前处理、低温微氧发酵、固定化酶快速发酵等技术制备果酒、果醋，形成了一套微生物固定化发酵酿制热带亚热带大宗农产品果酒果醋的技术体系，项目组在农副产品加工利用，发酵生产方面已有前期经验，各项技术成熟，充分验证了项目可行性。</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2022年10月，本标准实施单位广西农业科学院提出制订《甘蔗功能醋生产技术规程》广西团体地方标准项目建议书。</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2022年12月，成立起草工作小组，由广西壮族自治区农业科学院农产品加工研究所明确专人组成起草组，具体落实各项工作。并经起草组全体成员共同研究讨论，确立标准起草编写方案，任务具体落实和分配。</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2023年1月，广西标准化协会关于下达2023年第一批团体标准制修订项目计划的通知》（桂标协〔2023〕2号）精神，同意批复该标准立项。</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2023年2～4月，广西农业科学院组织该院农产品加工研究所组成单位专家、技术人员对甘蔗功能醋生产技术规程要求的现状进行初步调研。根据实际调研，分析广西行政区域内甘蔗功能醋加工要求，进行标准框架结构和主要章节内容的确定，更细化调整生产工艺，按照简化、统一等原则编制完成《甘蔗功能醋生</w:t>
      </w:r>
      <w:r>
        <w:rPr>
          <w:rFonts w:ascii="仿宋_GB2312" w:eastAsia="仿宋_GB2312" w:hAnsi="宋体" w:hint="eastAsia"/>
          <w:sz w:val="32"/>
          <w:szCs w:val="28"/>
          <w:lang w:val="zh-CN"/>
        </w:rPr>
        <w:lastRenderedPageBreak/>
        <w:t>产技术规程》（草案）。</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2023年5～</w:t>
      </w:r>
      <w:r>
        <w:rPr>
          <w:rFonts w:ascii="仿宋_GB2312" w:eastAsia="仿宋_GB2312" w:hAnsi="宋体"/>
          <w:sz w:val="32"/>
          <w:szCs w:val="28"/>
          <w:lang w:val="zh-CN"/>
        </w:rPr>
        <w:t>10</w:t>
      </w:r>
      <w:r>
        <w:rPr>
          <w:rFonts w:ascii="仿宋_GB2312" w:eastAsia="仿宋_GB2312" w:hAnsi="宋体" w:hint="eastAsia"/>
          <w:sz w:val="32"/>
          <w:szCs w:val="28"/>
          <w:lang w:val="zh-CN"/>
        </w:rPr>
        <w:t>月，广西农业科学院农产品加工研究所继续补充试验数据，征集</w:t>
      </w:r>
      <w:r w:rsidR="00302DEF">
        <w:rPr>
          <w:rFonts w:ascii="仿宋_GB2312" w:eastAsia="仿宋_GB2312" w:hAnsi="宋体" w:hint="eastAsia"/>
          <w:sz w:val="32"/>
          <w:szCs w:val="28"/>
          <w:lang w:val="zh-CN"/>
        </w:rPr>
        <w:t>南宁皇悦保健食品有限公司等</w:t>
      </w:r>
      <w:r>
        <w:rPr>
          <w:rFonts w:ascii="仿宋_GB2312" w:eastAsia="仿宋_GB2312" w:hAnsi="宋体" w:hint="eastAsia"/>
          <w:sz w:val="32"/>
          <w:szCs w:val="28"/>
          <w:lang w:val="zh-CN"/>
        </w:rPr>
        <w:t>各方意见及合理要求，根据反馈意见及试验结果，标准编制工作组多次组织召开标准研制会议，对标准征求意见稿初稿进行了反复修改和研究讨论。最终定稿形成了《甘蔗功能醋生产技术规程》（征求意见稿）。</w:t>
      </w:r>
    </w:p>
    <w:p w:rsidR="00CD1D49" w:rsidRDefault="00E01641">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四、制定标准的原则和依据，与现行法律、法规的关系，与有关国家标准、行业标准的协调情况</w:t>
      </w:r>
    </w:p>
    <w:p w:rsidR="00CD1D49" w:rsidRDefault="00E01641">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（一）实用性原则</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是在充分收集相关资料和文献，分析甘蔗功能醋生产技术当前生产工艺情况、市场供求现状，在甘蔗功能醋生产技术现有相关国家标准、行业标准、团体标准的基础上，结合起草单位多年的甘蔗功能醋生产技术研究经验总结及相关指标检验结果起草的。标准内容和工艺符合当前甘蔗功能醋生产技术、未来发展方向与市场需求，有利于提高产品质量，有助于果醋行业的高质量发展，标准条款切实可行，具有较强的实用性和可操作性。</w:t>
      </w:r>
    </w:p>
    <w:p w:rsidR="00CD1D49" w:rsidRDefault="00E01641">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（二）协调性原则</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本文件编写过程中尊重知识产权，同时也注意做好与甘蔗功能醋生产技术相关法律法规、强制性标准的协调问题，标准内容与现行法律法规、强制性标准协调一致。</w:t>
      </w:r>
    </w:p>
    <w:p w:rsidR="00CD1D49" w:rsidRDefault="00E01641">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（三）规范性原则</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本文件严格按照GB/T 1.1—2020《标准化工作导则  第1部分：标准化文件的结构和起草规则》的规定起草，文件涉及的内容表达准确，引用数据来源真实可靠，各项指标科学合理、论证</w:t>
      </w:r>
      <w:r>
        <w:rPr>
          <w:rFonts w:ascii="仿宋_GB2312" w:eastAsia="仿宋_GB2312" w:hAnsi="宋体" w:hint="eastAsia"/>
          <w:sz w:val="32"/>
          <w:szCs w:val="28"/>
          <w:lang w:val="zh-CN"/>
        </w:rPr>
        <w:lastRenderedPageBreak/>
        <w:t>充分，标准质量有保证。</w:t>
      </w:r>
    </w:p>
    <w:p w:rsidR="00CD1D49" w:rsidRDefault="00E01641">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（四）前瞻性原则</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在充分考虑当前甘蔗功能醋生产技术实际情况、生产技术水平、行业发展现状以及经济发展状况的基础上，还考虑到了产业快速发展的趋势和需要，文件条款规定的主要技术内容尽可能与我国现有水平相一致，避免起点、要求过低，在文件中体现了个别特色性和先进性条款，作为对甘蔗功能醋生产技术推广应用的依据，支撑和指导甘蔗功能醋产业高质量发展。</w:t>
      </w:r>
    </w:p>
    <w:p w:rsidR="00CD1D49" w:rsidRDefault="00E01641">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五、主要条款的说明，主要技术指标、参数、试验验证的论述</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团体标准《甘蔗功能醋生产技术规程》的主要章节内容包括：术语和定义、发酵型甘蔗功能醋和浸泡调配型甘蔗功能醋的生产工艺。本文件主要内容及依据来源说明如下。</w:t>
      </w:r>
    </w:p>
    <w:p w:rsidR="00CD1D49" w:rsidRDefault="00E01641">
      <w:pPr>
        <w:spacing w:line="560" w:lineRule="exact"/>
        <w:ind w:firstLineChars="200" w:firstLine="643"/>
        <w:outlineLvl w:val="0"/>
        <w:rPr>
          <w:rFonts w:ascii="楷体" w:eastAsia="楷体" w:hAnsi="楷体"/>
          <w:b/>
          <w:sz w:val="32"/>
          <w:szCs w:val="32"/>
          <w:lang w:val="zh-CN"/>
        </w:rPr>
      </w:pPr>
      <w:r>
        <w:rPr>
          <w:rFonts w:ascii="楷体" w:eastAsia="楷体" w:hAnsi="楷体" w:hint="eastAsia"/>
          <w:b/>
          <w:sz w:val="32"/>
          <w:szCs w:val="32"/>
          <w:lang w:val="zh-CN"/>
        </w:rPr>
        <w:t>（一）术语</w:t>
      </w:r>
      <w:r>
        <w:rPr>
          <w:rFonts w:ascii="楷体" w:eastAsia="楷体" w:hAnsi="楷体"/>
          <w:b/>
          <w:sz w:val="32"/>
          <w:szCs w:val="32"/>
          <w:lang w:val="zh-CN"/>
        </w:rPr>
        <w:t>和定义</w:t>
      </w:r>
    </w:p>
    <w:p w:rsidR="00CD1D49" w:rsidRDefault="00E01641">
      <w:pPr>
        <w:ind w:firstLineChars="200" w:firstLine="640"/>
        <w:rPr>
          <w:rFonts w:ascii="仿宋" w:eastAsia="仿宋" w:hAnsi="仿宋" w:cs="仿宋"/>
          <w:sz w:val="32"/>
          <w:szCs w:val="32"/>
        </w:rPr>
      </w:pPr>
      <w:r>
        <w:rPr>
          <w:rFonts w:ascii="仿宋" w:eastAsia="仿宋" w:hAnsi="仿宋" w:cs="仿宋" w:hint="eastAsia"/>
          <w:sz w:val="32"/>
          <w:szCs w:val="32"/>
        </w:rPr>
        <w:t>主要根据甘蔗功能醋的加工特点对甘蔗功能醋进行定义。</w:t>
      </w:r>
    </w:p>
    <w:p w:rsidR="00CD1D49" w:rsidRDefault="00E01641">
      <w:pPr>
        <w:spacing w:line="600" w:lineRule="exact"/>
        <w:ind w:firstLineChars="200" w:firstLine="643"/>
        <w:outlineLvl w:val="0"/>
        <w:rPr>
          <w:rFonts w:ascii="楷体" w:eastAsia="楷体" w:hAnsi="楷体"/>
          <w:b/>
          <w:bCs/>
          <w:sz w:val="32"/>
          <w:szCs w:val="32"/>
        </w:rPr>
      </w:pPr>
      <w:r>
        <w:rPr>
          <w:rFonts w:ascii="楷体" w:eastAsia="楷体" w:hAnsi="楷体" w:hint="eastAsia"/>
          <w:b/>
          <w:bCs/>
          <w:sz w:val="32"/>
          <w:szCs w:val="32"/>
        </w:rPr>
        <w:t>（二）生产流程</w:t>
      </w:r>
    </w:p>
    <w:p w:rsidR="00CD1D49" w:rsidRDefault="00E01641">
      <w:pPr>
        <w:pStyle w:val="aff7"/>
        <w:spacing w:before="156" w:after="156"/>
        <w:ind w:firstLine="643"/>
        <w:rPr>
          <w:rFonts w:ascii="仿宋_GB2312" w:eastAsia="仿宋_GB2312" w:hAnsi="宋体"/>
          <w:b/>
          <w:sz w:val="32"/>
          <w:szCs w:val="32"/>
          <w:lang w:val="zh-CN"/>
        </w:rPr>
      </w:pPr>
      <w:r>
        <w:rPr>
          <w:rFonts w:ascii="仿宋_GB2312" w:eastAsia="仿宋_GB2312" w:hAnsi="宋体" w:hint="eastAsia"/>
          <w:b/>
          <w:sz w:val="32"/>
          <w:szCs w:val="32"/>
          <w:lang w:val="zh-CN"/>
        </w:rPr>
        <w:t>发酵型甘蔗功能醋工艺流程：</w:t>
      </w:r>
    </w:p>
    <w:p w:rsidR="00CD1D49" w:rsidRDefault="00E01641">
      <w:pPr>
        <w:pStyle w:val="aff7"/>
        <w:spacing w:before="156" w:after="156"/>
        <w:ind w:firstLineChars="300" w:firstLine="960"/>
        <w:rPr>
          <w:rFonts w:ascii="仿宋_GB2312" w:eastAsia="仿宋_GB2312" w:hAnsi="宋体"/>
          <w:sz w:val="32"/>
          <w:szCs w:val="32"/>
        </w:rPr>
      </w:pPr>
      <w:r>
        <w:rPr>
          <w:rFonts w:ascii="仿宋_GB2312" w:eastAsia="仿宋_GB2312" w:hAnsi="宋体" w:hint="eastAsia"/>
          <w:noProof/>
          <w:sz w:val="32"/>
          <w:szCs w:val="32"/>
        </w:rPr>
        <mc:AlternateContent>
          <mc:Choice Requires="wps">
            <w:drawing>
              <wp:anchor distT="0" distB="0" distL="114300" distR="114300" simplePos="0" relativeHeight="251659264" behindDoc="0" locked="0" layoutInCell="1" allowOverlap="1">
                <wp:simplePos x="0" y="0"/>
                <wp:positionH relativeFrom="column">
                  <wp:posOffset>3629025</wp:posOffset>
                </wp:positionH>
                <wp:positionV relativeFrom="paragraph">
                  <wp:posOffset>294005</wp:posOffset>
                </wp:positionV>
                <wp:extent cx="0" cy="990600"/>
                <wp:effectExtent l="55245" t="13335" r="59055" b="15240"/>
                <wp:wrapNone/>
                <wp:docPr id="883091695"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0"/>
                        </a:xfrm>
                        <a:prstGeom prst="line">
                          <a:avLst/>
                        </a:prstGeom>
                        <a:noFill/>
                        <a:ln w="9525">
                          <a:solidFill>
                            <a:srgbClr val="000000"/>
                          </a:solidFill>
                          <a:round/>
                          <a:tailEnd type="triangle" w="med" len="med"/>
                        </a:ln>
                      </wps:spPr>
                      <wps:bodyPr/>
                    </wps:wsp>
                  </a:graphicData>
                </a:graphic>
              </wp:anchor>
            </w:drawing>
          </mc:Choice>
          <mc:Fallback>
            <w:pict>
              <v:line w14:anchorId="40A5FEE4"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85.75pt,23.15pt" to="285.75pt,10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">
                <v:stroke endarrow="block"/>
              </v:line>
            </w:pict>
          </mc:Fallback>
        </mc:AlternateContent>
      </w:r>
      <w:r>
        <w:rPr>
          <w:rFonts w:ascii="仿宋_GB2312" w:eastAsia="仿宋_GB2312" w:hAnsi="宋体" w:hint="eastAsia"/>
          <w:sz w:val="32"/>
          <w:szCs w:val="32"/>
        </w:rPr>
        <w:t>可食用植物组织</w:t>
      </w:r>
      <w:r>
        <w:rPr>
          <w:rFonts w:ascii="仿宋_GB2312" w:eastAsia="仿宋_GB2312" w:hAnsi="宋体" w:hint="eastAsia"/>
          <w:sz w:val="32"/>
          <w:szCs w:val="32"/>
          <w:lang w:val="zh-CN"/>
        </w:rPr>
        <w:t>→清洗→破碎或不破碎</w:t>
      </w:r>
    </w:p>
    <w:p w:rsidR="00CD1D49" w:rsidRDefault="00E01641">
      <w:pPr>
        <w:pStyle w:val="aff7"/>
        <w:spacing w:before="156" w:after="156"/>
        <w:ind w:firstLineChars="1080" w:firstLine="3456"/>
        <w:rPr>
          <w:rFonts w:ascii="仿宋_GB2312" w:eastAsia="仿宋_GB2312" w:hAnsi="宋体"/>
          <w:sz w:val="32"/>
          <w:szCs w:val="32"/>
          <w:lang w:val="zh-CN"/>
        </w:rPr>
      </w:pPr>
      <w:r>
        <w:rPr>
          <w:rFonts w:ascii="仿宋_GB2312" w:eastAsia="仿宋_GB2312" w:hAnsi="宋体" w:hint="eastAsia"/>
          <w:sz w:val="32"/>
          <w:szCs w:val="32"/>
          <w:lang w:val="zh-CN"/>
        </w:rPr>
        <w:t>甘蔗浓缩汁→</w:t>
      </w:r>
    </w:p>
    <w:p w:rsidR="00CD1D49" w:rsidRDefault="00E01641">
      <w:pPr>
        <w:pStyle w:val="aff7"/>
        <w:spacing w:before="156" w:after="156"/>
        <w:ind w:firstLineChars="480" w:firstLine="1536"/>
        <w:rPr>
          <w:rFonts w:ascii="仿宋_GB2312" w:eastAsia="仿宋_GB2312" w:hAnsi="宋体"/>
          <w:sz w:val="32"/>
          <w:szCs w:val="32"/>
          <w:lang w:val="zh-CN"/>
        </w:rPr>
      </w:pPr>
      <w:r>
        <w:rPr>
          <w:rFonts w:ascii="仿宋_GB2312" w:eastAsia="仿宋_GB2312" w:hAnsi="宋体" w:hint="eastAsia"/>
          <w:sz w:val="32"/>
          <w:szCs w:val="32"/>
          <w:lang w:val="zh-CN"/>
        </w:rPr>
        <w:t>甘蔗冷冻汁（浆）→解冻→</w:t>
      </w:r>
    </w:p>
    <w:p w:rsidR="00CD1D49" w:rsidRDefault="00E01641">
      <w:pPr>
        <w:pStyle w:val="aff7"/>
        <w:spacing w:before="156" w:after="156"/>
        <w:ind w:firstLineChars="0" w:firstLine="0"/>
        <w:rPr>
          <w:rFonts w:ascii="仿宋_GB2312" w:eastAsia="仿宋_GB2312" w:hAnsi="宋体"/>
          <w:sz w:val="32"/>
          <w:szCs w:val="32"/>
          <w:lang w:val="zh-CN"/>
        </w:rPr>
      </w:pPr>
      <w:r>
        <w:rPr>
          <w:rFonts w:ascii="仿宋_GB2312" w:eastAsia="仿宋_GB2312" w:hAnsi="宋体" w:hint="eastAsia"/>
          <w:sz w:val="32"/>
          <w:szCs w:val="32"/>
          <w:lang w:val="zh-CN"/>
        </w:rPr>
        <w:lastRenderedPageBreak/>
        <w:t>甘蔗→去皮或不去皮→榨汁→过滤→匀调→杀菌→酒精发酵→醋酸发酵→粗滤→陈酿、后熟→静置澄清→过滤→调配→均质→精滤→杀菌→灌装→成品</w:t>
      </w:r>
    </w:p>
    <w:p w:rsidR="00CD1D49" w:rsidRDefault="00E01641">
      <w:pPr>
        <w:pStyle w:val="aff7"/>
        <w:spacing w:before="156" w:after="156"/>
        <w:ind w:firstLine="643"/>
        <w:rPr>
          <w:rFonts w:ascii="仿宋_GB2312" w:eastAsia="仿宋_GB2312" w:hAnsi="宋体"/>
          <w:b/>
          <w:sz w:val="32"/>
          <w:szCs w:val="32"/>
          <w:lang w:val="zh-CN"/>
        </w:rPr>
      </w:pPr>
      <w:r>
        <w:rPr>
          <w:rFonts w:ascii="仿宋_GB2312" w:eastAsia="仿宋_GB2312" w:hAnsi="宋体" w:hint="eastAsia"/>
          <w:b/>
          <w:sz w:val="32"/>
          <w:szCs w:val="32"/>
          <w:lang w:val="zh-CN"/>
        </w:rPr>
        <w:t>浸泡调配型甘蔗功能醋工艺流程：</w:t>
      </w:r>
    </w:p>
    <w:p w:rsidR="00CD1D49" w:rsidRDefault="00E01641">
      <w:pPr>
        <w:pStyle w:val="aff7"/>
        <w:spacing w:before="156" w:after="156"/>
        <w:ind w:firstLineChars="1650" w:firstLine="5280"/>
        <w:rPr>
          <w:rFonts w:ascii="仿宋_GB2312" w:eastAsia="仿宋_GB2312" w:hAnsi="宋体"/>
          <w:sz w:val="32"/>
          <w:szCs w:val="32"/>
          <w:lang w:val="zh-CN"/>
        </w:rPr>
      </w:pPr>
      <w:r>
        <w:rPr>
          <w:rFonts w:ascii="仿宋_GB2312" w:eastAsia="仿宋_GB2312" w:hAnsi="宋体" w:hint="eastAsia"/>
          <w:noProof/>
          <w:sz w:val="32"/>
          <w:szCs w:val="32"/>
        </w:rPr>
        <mc:AlternateContent>
          <mc:Choice Requires="wps">
            <w:drawing>
              <wp:anchor distT="0" distB="0" distL="114300" distR="114300" simplePos="0" relativeHeight="251660288" behindDoc="0" locked="0" layoutInCell="1" allowOverlap="1">
                <wp:simplePos x="0" y="0"/>
                <wp:positionH relativeFrom="column">
                  <wp:posOffset>3902710</wp:posOffset>
                </wp:positionH>
                <wp:positionV relativeFrom="paragraph">
                  <wp:posOffset>328930</wp:posOffset>
                </wp:positionV>
                <wp:extent cx="0" cy="228600"/>
                <wp:effectExtent l="76200" t="0" r="57150" b="57150"/>
                <wp:wrapNone/>
                <wp:docPr id="1104136547" name="直接箭头连接符 2"/>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6C7BA9A" id="_x0000_t32" coordsize="21600,21600" o:spt="32" o:oned="t" path="m,l21600,21600e" filled="f">
                <v:path arrowok="t" fillok="f" o:connecttype="none"/>
                <o:lock v:ext="edit" shapetype="t"/>
              </v:shapetype>
              <v:shape id="直接箭头连接符 2" o:spid="_x0000_s1026" type="#_x0000_t32" style="position:absolute;left:0;text-align:left;margin-left:307.3pt;margin-top:25.9pt;width:0;height:18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" strokecolor="black [3200]" strokeweight=".5pt">
                <v:stroke endarrow="block" joinstyle="miter"/>
              </v:shape>
            </w:pict>
          </mc:Fallback>
        </mc:AlternateContent>
      </w:r>
      <w:r>
        <w:rPr>
          <w:rFonts w:ascii="仿宋_GB2312" w:eastAsia="仿宋_GB2312" w:hAnsi="宋体" w:hint="eastAsia"/>
          <w:sz w:val="32"/>
          <w:szCs w:val="32"/>
          <w:lang w:val="zh-CN"/>
        </w:rPr>
        <w:t>甘蔗原醋</w:t>
      </w:r>
    </w:p>
    <w:p w:rsidR="00CD1D49" w:rsidRDefault="00E01641">
      <w:pPr>
        <w:spacing w:line="60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rPr>
        <w:t>可食用植物组织</w:t>
      </w:r>
      <w:r>
        <w:rPr>
          <w:rFonts w:ascii="仿宋_GB2312" w:eastAsia="仿宋_GB2312" w:hAnsi="宋体" w:hint="eastAsia"/>
          <w:sz w:val="32"/>
          <w:szCs w:val="32"/>
          <w:lang w:val="zh-CN"/>
        </w:rPr>
        <w:t>→清洗→破碎或不破碎→浸渍→过滤→调配→均质→精滤→杀菌→灌装→成品</w:t>
      </w:r>
    </w:p>
    <w:p w:rsidR="00CD1D49" w:rsidRDefault="00E01641">
      <w:pPr>
        <w:spacing w:line="600" w:lineRule="exact"/>
        <w:ind w:firstLineChars="200" w:firstLine="643"/>
        <w:outlineLvl w:val="0"/>
        <w:rPr>
          <w:rFonts w:ascii="楷体" w:eastAsia="楷体" w:hAnsi="楷体"/>
          <w:b/>
          <w:bCs/>
          <w:sz w:val="32"/>
          <w:szCs w:val="32"/>
        </w:rPr>
      </w:pPr>
      <w:r>
        <w:rPr>
          <w:rFonts w:ascii="楷体" w:eastAsia="楷体" w:hAnsi="楷体" w:hint="eastAsia"/>
          <w:b/>
          <w:bCs/>
          <w:sz w:val="32"/>
          <w:szCs w:val="32"/>
        </w:rPr>
        <w:t>（三）生产操作</w:t>
      </w:r>
    </w:p>
    <w:p w:rsidR="00CD1D49" w:rsidRDefault="00E01641">
      <w:pPr>
        <w:spacing w:line="52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为了</w:t>
      </w:r>
      <w:r>
        <w:rPr>
          <w:rFonts w:ascii="仿宋_GB2312" w:eastAsia="仿宋_GB2312" w:hAnsi="宋体"/>
          <w:sz w:val="32"/>
          <w:szCs w:val="32"/>
          <w:lang w:val="zh-CN"/>
        </w:rPr>
        <w:t>验证工艺的可行性和实用性，编制组</w:t>
      </w:r>
      <w:r>
        <w:rPr>
          <w:rFonts w:ascii="仿宋_GB2312" w:eastAsia="仿宋_GB2312" w:hAnsi="宋体" w:hint="eastAsia"/>
          <w:sz w:val="32"/>
          <w:szCs w:val="32"/>
          <w:lang w:val="zh-CN"/>
        </w:rPr>
        <w:t>进行</w:t>
      </w:r>
      <w:r>
        <w:rPr>
          <w:rFonts w:ascii="仿宋_GB2312" w:eastAsia="仿宋_GB2312" w:hAnsi="宋体"/>
          <w:sz w:val="32"/>
          <w:szCs w:val="32"/>
          <w:lang w:val="zh-CN"/>
        </w:rPr>
        <w:t>了大量的前期研究。</w:t>
      </w:r>
      <w:r>
        <w:rPr>
          <w:rFonts w:ascii="仿宋_GB2312" w:eastAsia="仿宋_GB2312" w:hAnsi="宋体" w:hint="eastAsia"/>
          <w:sz w:val="32"/>
          <w:szCs w:val="32"/>
          <w:lang w:val="zh-CN"/>
        </w:rPr>
        <w:t>在南宁皇悦保健食品有限公司中试生产出甘蔗功能醋产品2款；</w:t>
      </w:r>
    </w:p>
    <w:p w:rsidR="00CD1D49" w:rsidRDefault="00E01641">
      <w:r>
        <w:rPr>
          <w:noProof/>
        </w:rPr>
        <w:drawing>
          <wp:inline distT="0" distB="0" distL="0" distR="0">
            <wp:extent cx="2519680" cy="1799590"/>
            <wp:effectExtent l="0" t="0" r="0" b="0"/>
            <wp:docPr id="19486387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638722" name="图片 12"/>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20000" cy="1800000"/>
                    </a:xfrm>
                    <a:prstGeom prst="rect">
                      <a:avLst/>
                    </a:prstGeom>
                    <a:noFill/>
                    <a:ln>
                      <a:noFill/>
                    </a:ln>
                  </pic:spPr>
                </pic:pic>
              </a:graphicData>
            </a:graphic>
          </wp:inline>
        </w:drawing>
      </w:r>
      <w:r>
        <w:t xml:space="preserve">  </w:t>
      </w:r>
      <w:r>
        <w:rPr>
          <w:noProof/>
        </w:rPr>
        <w:drawing>
          <wp:inline distT="0" distB="0" distL="0" distR="0">
            <wp:extent cx="2519680" cy="1799590"/>
            <wp:effectExtent l="0" t="0" r="0" b="0"/>
            <wp:docPr id="16674076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407622" name="图片 11"/>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20000" cy="1800000"/>
                    </a:xfrm>
                    <a:prstGeom prst="rect">
                      <a:avLst/>
                    </a:prstGeom>
                    <a:noFill/>
                    <a:ln>
                      <a:noFill/>
                    </a:ln>
                  </pic:spPr>
                </pic:pic>
              </a:graphicData>
            </a:graphic>
          </wp:inline>
        </w:drawing>
      </w:r>
    </w:p>
    <w:p w:rsidR="00CD1D49" w:rsidRDefault="00E01641">
      <w:pPr>
        <w:ind w:firstLineChars="500" w:firstLine="1400"/>
        <w:rPr>
          <w:rFonts w:ascii="仿宋_GB2312" w:eastAsia="仿宋_GB2312" w:hAnsi="宋体"/>
          <w:sz w:val="28"/>
          <w:szCs w:val="28"/>
          <w:lang w:val="zh-CN"/>
        </w:rPr>
      </w:pPr>
      <w:r>
        <w:rPr>
          <w:rFonts w:ascii="仿宋_GB2312" w:eastAsia="仿宋_GB2312" w:hAnsi="宋体" w:hint="eastAsia"/>
          <w:sz w:val="28"/>
          <w:szCs w:val="28"/>
          <w:lang w:val="zh-CN"/>
        </w:rPr>
        <w:t xml:space="preserve">原料混匀 </w:t>
      </w:r>
      <w:r>
        <w:rPr>
          <w:rFonts w:ascii="仿宋_GB2312" w:eastAsia="仿宋_GB2312" w:hAnsi="宋体"/>
          <w:sz w:val="28"/>
          <w:szCs w:val="28"/>
          <w:lang w:val="zh-CN"/>
        </w:rPr>
        <w:t xml:space="preserve">                </w:t>
      </w:r>
      <w:r>
        <w:rPr>
          <w:rFonts w:ascii="仿宋_GB2312" w:eastAsia="仿宋_GB2312" w:hAnsi="宋体" w:hint="eastAsia"/>
          <w:sz w:val="28"/>
          <w:szCs w:val="28"/>
          <w:lang w:val="zh-CN"/>
        </w:rPr>
        <w:t xml:space="preserve">灌装 </w:t>
      </w:r>
    </w:p>
    <w:p w:rsidR="00CD1D49" w:rsidRDefault="00E01641">
      <w:r>
        <w:rPr>
          <w:noProof/>
        </w:rPr>
        <w:drawing>
          <wp:inline distT="0" distB="0" distL="0" distR="0">
            <wp:extent cx="2519680" cy="1799590"/>
            <wp:effectExtent l="0" t="0" r="0" b="0"/>
            <wp:docPr id="9842856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285688" name="图片 10"/>
                    <pic:cNvPicPr preferRelativeResize="0">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20000" cy="1800000"/>
                    </a:xfrm>
                    <a:prstGeom prst="rect">
                      <a:avLst/>
                    </a:prstGeom>
                    <a:noFill/>
                    <a:ln>
                      <a:noFill/>
                    </a:ln>
                  </pic:spPr>
                </pic:pic>
              </a:graphicData>
            </a:graphic>
          </wp:inline>
        </w:drawing>
      </w:r>
      <w:r>
        <w:t xml:space="preserve">  </w:t>
      </w:r>
      <w:r>
        <w:rPr>
          <w:noProof/>
        </w:rPr>
        <w:drawing>
          <wp:inline distT="0" distB="0" distL="0" distR="0">
            <wp:extent cx="2519680" cy="1799590"/>
            <wp:effectExtent l="0" t="0" r="0" b="0"/>
            <wp:docPr id="100765667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656675" name="图片 9"/>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20000" cy="1800000"/>
                    </a:xfrm>
                    <a:prstGeom prst="rect">
                      <a:avLst/>
                    </a:prstGeom>
                    <a:noFill/>
                    <a:ln>
                      <a:noFill/>
                    </a:ln>
                  </pic:spPr>
                </pic:pic>
              </a:graphicData>
            </a:graphic>
          </wp:inline>
        </w:drawing>
      </w:r>
    </w:p>
    <w:p w:rsidR="00CD1D49" w:rsidRDefault="00E01641">
      <w:pPr>
        <w:ind w:firstLineChars="500" w:firstLine="1400"/>
        <w:rPr>
          <w:rFonts w:ascii="仿宋_GB2312" w:eastAsia="仿宋_GB2312" w:hAnsi="宋体"/>
          <w:sz w:val="28"/>
          <w:szCs w:val="28"/>
          <w:lang w:val="zh-CN"/>
        </w:rPr>
      </w:pPr>
      <w:r>
        <w:rPr>
          <w:rFonts w:ascii="仿宋_GB2312" w:eastAsia="仿宋_GB2312" w:hAnsi="宋体" w:hint="eastAsia"/>
          <w:sz w:val="28"/>
          <w:szCs w:val="28"/>
          <w:lang w:val="zh-CN"/>
        </w:rPr>
        <w:lastRenderedPageBreak/>
        <w:t xml:space="preserve">封口 </w:t>
      </w:r>
      <w:r>
        <w:rPr>
          <w:rFonts w:ascii="仿宋_GB2312" w:eastAsia="仿宋_GB2312" w:hAnsi="宋体"/>
          <w:sz w:val="28"/>
          <w:szCs w:val="28"/>
          <w:lang w:val="zh-CN"/>
        </w:rPr>
        <w:t xml:space="preserve">                       </w:t>
      </w:r>
      <w:r>
        <w:rPr>
          <w:rFonts w:ascii="仿宋_GB2312" w:eastAsia="仿宋_GB2312" w:hAnsi="宋体" w:hint="eastAsia"/>
          <w:sz w:val="28"/>
          <w:szCs w:val="28"/>
          <w:lang w:val="zh-CN"/>
        </w:rPr>
        <w:t>灭菌</w:t>
      </w:r>
    </w:p>
    <w:p w:rsidR="00CD1D49" w:rsidRDefault="00E01641">
      <w:pPr>
        <w:rPr>
          <w:rFonts w:ascii="仿宋_GB2312" w:eastAsia="仿宋_GB2312" w:hAnsi="宋体"/>
          <w:sz w:val="28"/>
          <w:szCs w:val="28"/>
          <w:lang w:val="zh-CN"/>
        </w:rPr>
      </w:pPr>
      <w:r>
        <w:rPr>
          <w:rFonts w:ascii="仿宋_GB2312" w:eastAsia="仿宋_GB2312" w:hAnsi="宋体"/>
          <w:noProof/>
          <w:sz w:val="28"/>
          <w:szCs w:val="28"/>
        </w:rPr>
        <w:drawing>
          <wp:inline distT="0" distB="0" distL="0" distR="0">
            <wp:extent cx="2519680" cy="1799590"/>
            <wp:effectExtent l="0" t="0" r="0" b="0"/>
            <wp:docPr id="183669737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97372" name="图片 8"/>
                    <pic:cNvPicPr preferRelativeResize="0">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20000" cy="1800000"/>
                    </a:xfrm>
                    <a:prstGeom prst="rect">
                      <a:avLst/>
                    </a:prstGeom>
                    <a:noFill/>
                    <a:ln>
                      <a:noFill/>
                    </a:ln>
                  </pic:spPr>
                </pic:pic>
              </a:graphicData>
            </a:graphic>
          </wp:inline>
        </w:drawing>
      </w:r>
      <w:r>
        <w:rPr>
          <w:rFonts w:ascii="仿宋_GB2312" w:eastAsia="仿宋_GB2312" w:hAnsi="宋体"/>
          <w:sz w:val="28"/>
          <w:szCs w:val="28"/>
          <w:lang w:val="zh-CN"/>
        </w:rPr>
        <w:t xml:space="preserve">  </w:t>
      </w:r>
      <w:r>
        <w:rPr>
          <w:noProof/>
        </w:rPr>
        <w:drawing>
          <wp:inline distT="0" distB="0" distL="0" distR="0">
            <wp:extent cx="2519680" cy="1799590"/>
            <wp:effectExtent l="0" t="0" r="0" b="0"/>
            <wp:docPr id="6548321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832126" name="图片 7"/>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20000" cy="1800000"/>
                    </a:xfrm>
                    <a:prstGeom prst="rect">
                      <a:avLst/>
                    </a:prstGeom>
                    <a:noFill/>
                    <a:ln>
                      <a:noFill/>
                    </a:ln>
                  </pic:spPr>
                </pic:pic>
              </a:graphicData>
            </a:graphic>
          </wp:inline>
        </w:drawing>
      </w:r>
    </w:p>
    <w:p w:rsidR="00CD1D49" w:rsidRDefault="00E01641">
      <w:pPr>
        <w:ind w:firstLineChars="100" w:firstLine="280"/>
        <w:rPr>
          <w:rFonts w:ascii="仿宋_GB2312" w:eastAsia="仿宋_GB2312" w:hAnsi="宋体"/>
          <w:sz w:val="28"/>
          <w:szCs w:val="28"/>
          <w:lang w:val="zh-CN"/>
        </w:rPr>
      </w:pPr>
      <w:r>
        <w:rPr>
          <w:rFonts w:ascii="仿宋_GB2312" w:eastAsia="仿宋_GB2312" w:hAnsi="宋体" w:hint="eastAsia"/>
          <w:sz w:val="28"/>
          <w:szCs w:val="28"/>
          <w:lang w:val="zh-CN"/>
        </w:rPr>
        <w:t xml:space="preserve"> 灭菌后检查封口 </w:t>
      </w:r>
      <w:r>
        <w:rPr>
          <w:rFonts w:ascii="仿宋_GB2312" w:eastAsia="仿宋_GB2312" w:hAnsi="宋体"/>
          <w:sz w:val="28"/>
          <w:szCs w:val="28"/>
          <w:lang w:val="zh-CN"/>
        </w:rPr>
        <w:t xml:space="preserve">                   </w:t>
      </w:r>
      <w:r>
        <w:rPr>
          <w:rFonts w:ascii="仿宋_GB2312" w:eastAsia="仿宋_GB2312" w:hAnsi="宋体" w:hint="eastAsia"/>
          <w:sz w:val="28"/>
          <w:szCs w:val="28"/>
          <w:lang w:val="zh-CN"/>
        </w:rPr>
        <w:t>包装</w:t>
      </w:r>
    </w:p>
    <w:p w:rsidR="00CD1D49" w:rsidRDefault="00CD1D49">
      <w:pPr>
        <w:rPr>
          <w:rFonts w:ascii="仿宋_GB2312" w:eastAsia="仿宋_GB2312" w:hAnsi="宋体"/>
          <w:sz w:val="28"/>
          <w:szCs w:val="28"/>
          <w:lang w:val="zh-CN"/>
        </w:rPr>
      </w:pPr>
    </w:p>
    <w:p w:rsidR="00CD1D49" w:rsidRDefault="00E01641">
      <w:pPr>
        <w:ind w:firstLineChars="200" w:firstLine="420"/>
      </w:pPr>
      <w:r>
        <w:rPr>
          <w:noProof/>
        </w:rPr>
        <w:drawing>
          <wp:inline distT="0" distB="0" distL="0" distR="0">
            <wp:extent cx="2519680" cy="1799590"/>
            <wp:effectExtent l="114300" t="76200" r="52070" b="124460"/>
            <wp:docPr id="1104313152" name="图片 6"/>
            <wp:cNvGraphicFramePr/>
            <a:graphic xmlns:a="http://schemas.openxmlformats.org/drawingml/2006/main">
              <a:graphicData uri="http://schemas.openxmlformats.org/drawingml/2006/picture">
                <pic:pic xmlns:pic="http://schemas.openxmlformats.org/drawingml/2006/picture">
                  <pic:nvPicPr>
                    <pic:cNvPr id="1104313152" name="图片 6"/>
                    <pic:cNvPicPr preferRelativeResize="0"/>
                  </pic:nvPicPr>
                  <pic:blipFill>
                    <a:blip r:embed="rId14" cstate="print"/>
                    <a:srcRect l="10829" t="2750" r="5099"/>
                    <a:stretch>
                      <a:fillRect/>
                    </a:stretch>
                  </pic:blipFill>
                  <pic:spPr>
                    <a:xfrm>
                      <a:off x="0" y="0"/>
                      <a:ext cx="2520000" cy="18000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t xml:space="preserve">  </w:t>
      </w:r>
      <w:r>
        <w:rPr>
          <w:noProof/>
        </w:rPr>
        <w:drawing>
          <wp:inline distT="0" distB="0" distL="0" distR="0">
            <wp:extent cx="1439545" cy="1799590"/>
            <wp:effectExtent l="133350" t="76200" r="84455" b="124460"/>
            <wp:docPr id="12" name="图片 5"/>
            <wp:cNvGraphicFramePr/>
            <a:graphic xmlns:a="http://schemas.openxmlformats.org/drawingml/2006/main">
              <a:graphicData uri="http://schemas.openxmlformats.org/drawingml/2006/picture">
                <pic:pic xmlns:pic="http://schemas.openxmlformats.org/drawingml/2006/picture">
                  <pic:nvPicPr>
                    <pic:cNvPr id="12" name="图片 5"/>
                    <pic:cNvPicPr preferRelativeResize="0"/>
                  </pic:nvPicPr>
                  <pic:blipFill>
                    <a:blip r:embed="rId15" cstate="hqprint"/>
                    <a:srcRect l="10800" t="9267" r="9401" b="11151"/>
                    <a:stretch>
                      <a:fillRect/>
                    </a:stretch>
                  </pic:blipFill>
                  <pic:spPr>
                    <a:xfrm>
                      <a:off x="0" y="0"/>
                      <a:ext cx="1440000" cy="18000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CD1D49" w:rsidRDefault="00E01641">
      <w:pPr>
        <w:ind w:firstLineChars="200" w:firstLine="420"/>
        <w:rPr>
          <w:rFonts w:ascii="仿宋_GB2312" w:eastAsia="仿宋_GB2312" w:hAnsi="宋体"/>
          <w:sz w:val="32"/>
          <w:szCs w:val="32"/>
          <w:lang w:val="zh-CN"/>
        </w:rPr>
      </w:pPr>
      <w:r>
        <w:rPr>
          <w:noProof/>
        </w:rPr>
        <w:drawing>
          <wp:inline distT="0" distB="0" distL="0" distR="0">
            <wp:extent cx="2519680" cy="1799590"/>
            <wp:effectExtent l="114300" t="76200" r="52070" b="124460"/>
            <wp:docPr id="10" name="图片 4"/>
            <wp:cNvGraphicFramePr/>
            <a:graphic xmlns:a="http://schemas.openxmlformats.org/drawingml/2006/main">
              <a:graphicData uri="http://schemas.openxmlformats.org/drawingml/2006/picture">
                <pic:pic xmlns:pic="http://schemas.openxmlformats.org/drawingml/2006/picture">
                  <pic:nvPicPr>
                    <pic:cNvPr id="10" name="图片 4"/>
                    <pic:cNvPicPr preferRelativeResize="0"/>
                  </pic:nvPicPr>
                  <pic:blipFill>
                    <a:blip r:embed="rId16" cstate="print"/>
                    <a:srcRect l="12995" r="9043"/>
                    <a:stretch>
                      <a:fillRect/>
                    </a:stretch>
                  </pic:blipFill>
                  <pic:spPr>
                    <a:xfrm>
                      <a:off x="0" y="0"/>
                      <a:ext cx="2520000" cy="18000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t xml:space="preserve">  </w:t>
      </w:r>
      <w:r>
        <w:rPr>
          <w:noProof/>
        </w:rPr>
        <w:drawing>
          <wp:inline distT="0" distB="0" distL="0" distR="0">
            <wp:extent cx="1439545" cy="1799590"/>
            <wp:effectExtent l="133350" t="76200" r="84455" b="124460"/>
            <wp:docPr id="11" name="图片 3"/>
            <wp:cNvGraphicFramePr/>
            <a:graphic xmlns:a="http://schemas.openxmlformats.org/drawingml/2006/main">
              <a:graphicData uri="http://schemas.openxmlformats.org/drawingml/2006/picture">
                <pic:pic xmlns:pic="http://schemas.openxmlformats.org/drawingml/2006/picture">
                  <pic:nvPicPr>
                    <pic:cNvPr id="11" name="图片 3"/>
                    <pic:cNvPicPr preferRelativeResize="0"/>
                  </pic:nvPicPr>
                  <pic:blipFill>
                    <a:blip r:embed="rId17" cstate="hqprint"/>
                    <a:srcRect l="9701" t="10914" r="7701" b="6285"/>
                    <a:stretch>
                      <a:fillRect/>
                    </a:stretch>
                  </pic:blipFill>
                  <pic:spPr>
                    <a:xfrm>
                      <a:off x="0" y="0"/>
                      <a:ext cx="1440000" cy="18000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1、</w:t>
      </w:r>
      <w:r>
        <w:rPr>
          <w:rFonts w:ascii="仿宋" w:eastAsia="仿宋" w:hAnsi="仿宋" w:cs="仿宋"/>
          <w:b/>
          <w:sz w:val="32"/>
          <w:szCs w:val="32"/>
        </w:rPr>
        <w:t>原辅料选择</w:t>
      </w:r>
    </w:p>
    <w:p w:rsidR="00CD1D49" w:rsidRDefault="00E0164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规定了甘蔗功能醋生产所需的新鲜甘蔗、甘蔗浓缩汁、冷冻甘蔗浆（汁）、甘蔗原醋、可食用植物组织的要求。其他</w:t>
      </w:r>
      <w:r>
        <w:rPr>
          <w:rFonts w:ascii="仿宋" w:eastAsia="仿宋" w:hAnsi="仿宋" w:cs="仿宋"/>
          <w:sz w:val="32"/>
          <w:szCs w:val="32"/>
        </w:rPr>
        <w:t>辅料符</w:t>
      </w:r>
      <w:r>
        <w:rPr>
          <w:rFonts w:ascii="仿宋" w:eastAsia="仿宋" w:hAnsi="仿宋" w:cs="仿宋"/>
          <w:sz w:val="32"/>
          <w:szCs w:val="32"/>
        </w:rPr>
        <w:lastRenderedPageBreak/>
        <w:t>合相关国家标准的规定。</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2.原料预处理</w:t>
      </w:r>
    </w:p>
    <w:p w:rsidR="00CD1D49" w:rsidRDefault="00E0164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即对新鲜甘蔗进行榨汁处理，对冷冻甘蔗浆（汁）进行解冻处理，对可食用植物组织进行清洗、破碎或不破碎等处理，为下一步操作提供材料，保证原料卫生。</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b/>
          <w:sz w:val="32"/>
          <w:szCs w:val="32"/>
        </w:rPr>
        <w:t>3.</w:t>
      </w:r>
      <w:r>
        <w:rPr>
          <w:rFonts w:ascii="仿宋" w:eastAsia="仿宋" w:hAnsi="仿宋" w:cs="仿宋" w:hint="eastAsia"/>
          <w:b/>
          <w:sz w:val="32"/>
          <w:szCs w:val="32"/>
        </w:rPr>
        <w:t>匀调</w:t>
      </w:r>
    </w:p>
    <w:p w:rsidR="00CD1D49" w:rsidRDefault="00E0164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对可食用植物的皮、叶、花、果（实）、根、茎等植物组织和甘蔗汁按照料液比</w:t>
      </w:r>
      <w:r w:rsidRPr="00113D63">
        <w:rPr>
          <w:rFonts w:ascii="仿宋" w:eastAsia="仿宋" w:hAnsi="仿宋" w:cs="仿宋" w:hint="eastAsia"/>
          <w:sz w:val="32"/>
          <w:szCs w:val="32"/>
        </w:rPr>
        <w:t>为1:50～1.5:50的比例，进</w:t>
      </w:r>
      <w:r>
        <w:rPr>
          <w:rFonts w:ascii="仿宋" w:eastAsia="仿宋" w:hAnsi="仿宋" w:cs="仿宋" w:hint="eastAsia"/>
          <w:sz w:val="32"/>
          <w:szCs w:val="32"/>
        </w:rPr>
        <w:t>行配置，并搅拌均匀得甘蔗混合汁液。</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b/>
          <w:sz w:val="32"/>
          <w:szCs w:val="32"/>
        </w:rPr>
        <w:t>4.</w:t>
      </w:r>
      <w:r>
        <w:rPr>
          <w:rFonts w:ascii="仿宋" w:eastAsia="仿宋" w:hAnsi="仿宋" w:cs="仿宋" w:hint="eastAsia"/>
          <w:b/>
          <w:sz w:val="32"/>
          <w:szCs w:val="32"/>
        </w:rPr>
        <w:t>杀菌</w:t>
      </w:r>
    </w:p>
    <w:p w:rsidR="00CD1D49" w:rsidRDefault="00E0164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由于甘蔗功能醋为发酵制品，在发酵的过程中容易出现菌污染，因此在发酵前需要对调整后的甘蔗混合汁液进行灭菌处理。使用灭菌设备对匀调后的甘蔗混合汁液在85 ℃～90 ℃灭菌30 min。为常规灭菌方法。</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5.酒精发酵</w:t>
      </w:r>
    </w:p>
    <w:p w:rsidR="00CD1D49" w:rsidRDefault="00E0164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杀菌后的甘蔗混合汁液在进行醋酸发酵前需要进行一次酒用酵母发酵。酒精转化（产酸率）受发酵条件影响明显，它受果汁的发酵温度、酵母菌添加量等因素影响。</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6.醋酸发酵</w:t>
      </w:r>
    </w:p>
    <w:p w:rsidR="00CD1D49" w:rsidRDefault="00E0164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在发酵设备中注入已调配好的酒精发酵醪液，在32 ℃～35 ℃温度下发酵，直至酸度≥3.5 g/100 mL。宜将固体化载体（玉米棒、稻壳）洗净后高温灭菌15 min～20 min，置于发酵设备，用发酵醪液将载体浸泡湿润，利用固定化细胞技术在载体中加入活性干醋酸菌（0.1％～0.5％质量体积比）进行固定化活化24 h～</w:t>
      </w:r>
      <w:r>
        <w:rPr>
          <w:rFonts w:ascii="仿宋" w:eastAsia="仿宋" w:hAnsi="仿宋" w:cs="仿宋" w:hint="eastAsia"/>
          <w:sz w:val="32"/>
          <w:szCs w:val="32"/>
        </w:rPr>
        <w:lastRenderedPageBreak/>
        <w:t>48 h，注入酒精发酵醪液，进行补料分批发酵。</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7.粗滤</w:t>
      </w:r>
    </w:p>
    <w:p w:rsidR="00CD1D49" w:rsidRDefault="00E0164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在进行醋酸发酵后，需要对醋酸发酵后的发酵液进行初步过滤，滤掉部分杂质。采用滤径为150 </w:t>
      </w:r>
      <w:r>
        <w:rPr>
          <w:rFonts w:ascii="Calibri" w:eastAsia="仿宋" w:hAnsi="Calibri" w:cs="Calibri"/>
          <w:sz w:val="32"/>
          <w:szCs w:val="32"/>
        </w:rPr>
        <w:t>µ</w:t>
      </w:r>
      <w:r>
        <w:rPr>
          <w:rFonts w:ascii="仿宋" w:eastAsia="仿宋" w:hAnsi="仿宋" w:cs="仿宋" w:hint="eastAsia"/>
          <w:sz w:val="32"/>
          <w:szCs w:val="32"/>
        </w:rPr>
        <w:t xml:space="preserve">m～300 </w:t>
      </w:r>
      <w:r>
        <w:rPr>
          <w:rFonts w:ascii="Calibri" w:eastAsia="仿宋" w:hAnsi="Calibri" w:cs="Calibri"/>
          <w:sz w:val="32"/>
          <w:szCs w:val="32"/>
        </w:rPr>
        <w:t>µ</w:t>
      </w:r>
      <w:r>
        <w:rPr>
          <w:rFonts w:ascii="仿宋" w:eastAsia="仿宋" w:hAnsi="仿宋" w:cs="仿宋" w:hint="eastAsia"/>
          <w:sz w:val="32"/>
          <w:szCs w:val="32"/>
        </w:rPr>
        <w:t>m（100～150目）过滤设备进行过滤。</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8.陈酿、后熟</w:t>
      </w:r>
    </w:p>
    <w:p w:rsidR="00CD1D49" w:rsidRPr="00113D63" w:rsidRDefault="00E01641">
      <w:pPr>
        <w:ind w:firstLineChars="200" w:firstLine="640"/>
        <w:rPr>
          <w:rFonts w:ascii="仿宋" w:eastAsia="仿宋" w:hAnsi="仿宋" w:cs="仿宋"/>
          <w:sz w:val="32"/>
          <w:szCs w:val="32"/>
        </w:rPr>
      </w:pPr>
      <w:r>
        <w:rPr>
          <w:rFonts w:ascii="仿宋" w:eastAsia="仿宋" w:hAnsi="仿宋" w:cs="仿宋" w:hint="eastAsia"/>
          <w:sz w:val="32"/>
          <w:szCs w:val="32"/>
        </w:rPr>
        <w:t>陈酿是醋酸发酵后为改善风味进行的贮存和后熟过程。因此，为了提高发酵后甘蔗功能醋的口感风味，需要将过滤后的醋液移入陈酿设备，在常温下</w:t>
      </w:r>
      <w:r w:rsidRPr="00113D63">
        <w:rPr>
          <w:rFonts w:ascii="仿宋" w:eastAsia="仿宋" w:hAnsi="仿宋" w:cs="仿宋" w:hint="eastAsia"/>
          <w:sz w:val="32"/>
          <w:szCs w:val="32"/>
        </w:rPr>
        <w:t>陈酿100 d以上。</w:t>
      </w:r>
    </w:p>
    <w:p w:rsidR="00CD1D49" w:rsidRPr="00113D63" w:rsidRDefault="00E01641">
      <w:pPr>
        <w:spacing w:line="560" w:lineRule="exact"/>
        <w:ind w:firstLineChars="200" w:firstLine="643"/>
        <w:rPr>
          <w:rFonts w:ascii="仿宋" w:eastAsia="仿宋" w:hAnsi="仿宋" w:cs="仿宋"/>
          <w:b/>
          <w:sz w:val="32"/>
          <w:szCs w:val="32"/>
        </w:rPr>
      </w:pPr>
      <w:r w:rsidRPr="00113D63">
        <w:rPr>
          <w:rFonts w:ascii="仿宋" w:eastAsia="仿宋" w:hAnsi="仿宋" w:cs="仿宋"/>
          <w:b/>
          <w:sz w:val="32"/>
          <w:szCs w:val="32"/>
        </w:rPr>
        <w:t>9</w:t>
      </w:r>
      <w:r w:rsidRPr="00113D63">
        <w:rPr>
          <w:rFonts w:ascii="仿宋" w:eastAsia="仿宋" w:hAnsi="仿宋" w:cs="仿宋" w:hint="eastAsia"/>
          <w:b/>
          <w:sz w:val="32"/>
          <w:szCs w:val="32"/>
        </w:rPr>
        <w:t>.静置澄清</w:t>
      </w:r>
    </w:p>
    <w:p w:rsidR="00CD1D49" w:rsidRDefault="00E01641">
      <w:pPr>
        <w:ind w:firstLineChars="200" w:firstLine="640"/>
        <w:rPr>
          <w:rFonts w:ascii="仿宋" w:eastAsia="仿宋" w:hAnsi="仿宋" w:cs="仿宋"/>
          <w:sz w:val="32"/>
          <w:szCs w:val="32"/>
        </w:rPr>
      </w:pPr>
      <w:r>
        <w:rPr>
          <w:rFonts w:ascii="仿宋" w:eastAsia="仿宋" w:hAnsi="仿宋" w:cs="仿宋" w:hint="eastAsia"/>
          <w:sz w:val="32"/>
          <w:szCs w:val="32"/>
        </w:rPr>
        <w:t>根据醋液生产情况添加澄清剂（包括但不限于使用硅藻土、明胶、单宁等澄清剂），搅拌均匀进行静置澄清。</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b/>
          <w:sz w:val="32"/>
          <w:szCs w:val="32"/>
        </w:rPr>
        <w:t>10</w:t>
      </w:r>
      <w:r>
        <w:rPr>
          <w:rFonts w:ascii="仿宋" w:eastAsia="仿宋" w:hAnsi="仿宋" w:cs="仿宋" w:hint="eastAsia"/>
          <w:b/>
          <w:sz w:val="32"/>
          <w:szCs w:val="32"/>
        </w:rPr>
        <w:t>.过滤</w:t>
      </w:r>
    </w:p>
    <w:p w:rsidR="00CD1D49" w:rsidRDefault="00E01641">
      <w:pPr>
        <w:ind w:firstLineChars="200" w:firstLine="640"/>
        <w:rPr>
          <w:rFonts w:ascii="仿宋" w:eastAsia="仿宋" w:hAnsi="仿宋" w:cs="仿宋"/>
          <w:sz w:val="32"/>
          <w:szCs w:val="32"/>
        </w:rPr>
      </w:pPr>
      <w:r>
        <w:rPr>
          <w:rFonts w:ascii="仿宋" w:eastAsia="仿宋" w:hAnsi="仿宋" w:cs="仿宋" w:hint="eastAsia"/>
          <w:sz w:val="32"/>
          <w:szCs w:val="32"/>
        </w:rPr>
        <w:t xml:space="preserve">采用滤径为0.45 </w:t>
      </w:r>
      <w:r>
        <w:rPr>
          <w:rFonts w:ascii="Calibri" w:eastAsia="仿宋" w:hAnsi="Calibri" w:cs="Calibri"/>
          <w:sz w:val="32"/>
          <w:szCs w:val="32"/>
        </w:rPr>
        <w:t>µ</w:t>
      </w:r>
      <w:r>
        <w:rPr>
          <w:rFonts w:ascii="仿宋" w:eastAsia="仿宋" w:hAnsi="仿宋" w:cs="仿宋" w:hint="eastAsia"/>
          <w:sz w:val="32"/>
          <w:szCs w:val="32"/>
        </w:rPr>
        <w:t xml:space="preserve">m～0.65 </w:t>
      </w:r>
      <w:r>
        <w:rPr>
          <w:rFonts w:ascii="Calibri" w:eastAsia="仿宋" w:hAnsi="Calibri" w:cs="Calibri"/>
          <w:sz w:val="32"/>
          <w:szCs w:val="32"/>
        </w:rPr>
        <w:t>µ</w:t>
      </w:r>
      <w:r>
        <w:rPr>
          <w:rFonts w:ascii="仿宋" w:eastAsia="仿宋" w:hAnsi="仿宋" w:cs="仿宋" w:hint="eastAsia"/>
          <w:sz w:val="32"/>
          <w:szCs w:val="32"/>
        </w:rPr>
        <w:t>m过滤设备进行精滤，得到原醋。</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b/>
          <w:sz w:val="32"/>
          <w:szCs w:val="32"/>
        </w:rPr>
        <w:t>11</w:t>
      </w:r>
      <w:r>
        <w:rPr>
          <w:rFonts w:ascii="仿宋" w:eastAsia="仿宋" w:hAnsi="仿宋" w:cs="仿宋" w:hint="eastAsia"/>
          <w:b/>
          <w:sz w:val="32"/>
          <w:szCs w:val="32"/>
        </w:rPr>
        <w:t>.调配</w:t>
      </w:r>
    </w:p>
    <w:p w:rsidR="00CD1D49" w:rsidRDefault="00E01641">
      <w:pPr>
        <w:ind w:firstLineChars="200" w:firstLine="640"/>
        <w:rPr>
          <w:rFonts w:ascii="仿宋" w:eastAsia="仿宋" w:hAnsi="仿宋" w:cs="仿宋"/>
          <w:sz w:val="32"/>
          <w:szCs w:val="32"/>
        </w:rPr>
      </w:pPr>
      <w:r>
        <w:rPr>
          <w:rFonts w:ascii="仿宋" w:eastAsia="仿宋" w:hAnsi="仿宋" w:cs="仿宋" w:hint="eastAsia"/>
          <w:sz w:val="32"/>
          <w:szCs w:val="32"/>
        </w:rPr>
        <w:t>调配是最终为了保证产品口感风味的一致性而进行的必要步骤，主要根据产品要求添加相关辅料及食品添加剂进行调配，达到产品标准化、均一化的要求。根据产品要求添加食糖、生产用水、植物提取物及食品添加剂对原醋进行稀释调配，醋液的酸度宜为</w:t>
      </w:r>
      <w:bookmarkStart w:id="0" w:name="_GoBack"/>
      <w:r w:rsidRPr="00113D63">
        <w:rPr>
          <w:rFonts w:ascii="仿宋" w:eastAsia="仿宋" w:hAnsi="仿宋" w:cs="仿宋" w:hint="eastAsia"/>
          <w:sz w:val="32"/>
          <w:szCs w:val="32"/>
        </w:rPr>
        <w:t>1.7±0.5 g/100 mL。</w:t>
      </w:r>
      <w:bookmarkEnd w:id="0"/>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b/>
          <w:sz w:val="32"/>
          <w:szCs w:val="32"/>
        </w:rPr>
        <w:t>12</w:t>
      </w:r>
      <w:r>
        <w:rPr>
          <w:rFonts w:ascii="仿宋" w:eastAsia="仿宋" w:hAnsi="仿宋" w:cs="仿宋" w:hint="eastAsia"/>
          <w:b/>
          <w:sz w:val="32"/>
          <w:szCs w:val="32"/>
        </w:rPr>
        <w:t>.均质</w:t>
      </w:r>
    </w:p>
    <w:p w:rsidR="00CD1D49" w:rsidRDefault="00E01641">
      <w:pPr>
        <w:ind w:firstLineChars="200" w:firstLine="640"/>
        <w:rPr>
          <w:rFonts w:ascii="仿宋" w:eastAsia="仿宋" w:hAnsi="仿宋" w:cs="仿宋"/>
          <w:sz w:val="32"/>
          <w:szCs w:val="32"/>
        </w:rPr>
      </w:pPr>
      <w:r>
        <w:rPr>
          <w:rFonts w:ascii="仿宋" w:eastAsia="仿宋" w:hAnsi="仿宋" w:cs="仿宋" w:hint="eastAsia"/>
          <w:sz w:val="32"/>
          <w:szCs w:val="32"/>
        </w:rPr>
        <w:t>采用均质设备进行均质匀浆处理。在强力的机械作用下均质</w:t>
      </w:r>
      <w:r>
        <w:rPr>
          <w:rFonts w:ascii="仿宋" w:eastAsia="仿宋" w:hAnsi="仿宋" w:cs="仿宋" w:hint="eastAsia"/>
          <w:sz w:val="32"/>
          <w:szCs w:val="32"/>
        </w:rPr>
        <w:lastRenderedPageBreak/>
        <w:t>可以使产品呈较小的状态均匀一致地分散，更容易被人体吸收。</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b/>
          <w:sz w:val="32"/>
          <w:szCs w:val="32"/>
        </w:rPr>
        <w:t>13</w:t>
      </w:r>
      <w:r>
        <w:rPr>
          <w:rFonts w:ascii="仿宋" w:eastAsia="仿宋" w:hAnsi="仿宋" w:cs="仿宋" w:hint="eastAsia"/>
          <w:b/>
          <w:sz w:val="32"/>
          <w:szCs w:val="32"/>
        </w:rPr>
        <w:t>.</w:t>
      </w:r>
      <w:r>
        <w:rPr>
          <w:rFonts w:ascii="仿宋" w:eastAsia="仿宋" w:hAnsi="仿宋" w:cs="仿宋" w:hint="eastAsia"/>
          <w:b/>
          <w:bCs/>
          <w:sz w:val="32"/>
          <w:szCs w:val="32"/>
        </w:rPr>
        <w:t>精滤</w:t>
      </w:r>
    </w:p>
    <w:p w:rsidR="00CD1D49" w:rsidRDefault="00E01641">
      <w:pPr>
        <w:ind w:firstLineChars="200" w:firstLine="640"/>
        <w:rPr>
          <w:rFonts w:ascii="仿宋" w:eastAsia="仿宋" w:hAnsi="仿宋" w:cs="仿宋"/>
          <w:sz w:val="32"/>
          <w:szCs w:val="32"/>
        </w:rPr>
      </w:pPr>
      <w:r>
        <w:rPr>
          <w:rFonts w:ascii="仿宋" w:eastAsia="仿宋" w:hAnsi="仿宋" w:cs="仿宋" w:hint="eastAsia"/>
          <w:sz w:val="32"/>
          <w:szCs w:val="32"/>
        </w:rPr>
        <w:t xml:space="preserve">精滤是为了过滤掉甘蔗功能醋中存在的醋酸菌菌体及其他杂质，因此选用0.45 </w:t>
      </w:r>
      <w:r>
        <w:rPr>
          <w:rFonts w:ascii="Calibri" w:eastAsia="仿宋" w:hAnsi="Calibri" w:cs="Calibri"/>
          <w:sz w:val="32"/>
          <w:szCs w:val="32"/>
        </w:rPr>
        <w:t>µ</w:t>
      </w:r>
      <w:r>
        <w:rPr>
          <w:rFonts w:ascii="仿宋" w:eastAsia="仿宋" w:hAnsi="仿宋" w:cs="仿宋" w:hint="eastAsia"/>
          <w:sz w:val="32"/>
          <w:szCs w:val="32"/>
        </w:rPr>
        <w:t xml:space="preserve">m～0.65 </w:t>
      </w:r>
      <w:r>
        <w:rPr>
          <w:rFonts w:ascii="Calibri" w:eastAsia="仿宋" w:hAnsi="Calibri" w:cs="Calibri"/>
          <w:sz w:val="32"/>
          <w:szCs w:val="32"/>
        </w:rPr>
        <w:t>µ</w:t>
      </w:r>
      <w:r>
        <w:rPr>
          <w:rFonts w:ascii="仿宋" w:eastAsia="仿宋" w:hAnsi="仿宋" w:cs="仿宋" w:hint="eastAsia"/>
          <w:sz w:val="32"/>
          <w:szCs w:val="32"/>
        </w:rPr>
        <w:t>m过滤设备进行精滤。</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b/>
          <w:sz w:val="32"/>
          <w:szCs w:val="32"/>
        </w:rPr>
        <w:t>14</w:t>
      </w:r>
      <w:r>
        <w:rPr>
          <w:rFonts w:ascii="仿宋" w:eastAsia="仿宋" w:hAnsi="仿宋" w:cs="仿宋" w:hint="eastAsia"/>
          <w:b/>
          <w:sz w:val="32"/>
          <w:szCs w:val="32"/>
        </w:rPr>
        <w:t>.杀菌</w:t>
      </w:r>
    </w:p>
    <w:p w:rsidR="00CD1D49" w:rsidRDefault="00E01641">
      <w:pPr>
        <w:ind w:firstLineChars="200" w:firstLine="640"/>
        <w:rPr>
          <w:rFonts w:ascii="仿宋" w:eastAsia="仿宋" w:hAnsi="仿宋" w:cs="仿宋"/>
          <w:sz w:val="32"/>
          <w:szCs w:val="32"/>
        </w:rPr>
      </w:pPr>
      <w:r>
        <w:rPr>
          <w:rFonts w:ascii="仿宋" w:eastAsia="仿宋" w:hAnsi="仿宋" w:cs="仿宋" w:hint="eastAsia"/>
          <w:sz w:val="32"/>
          <w:szCs w:val="32"/>
        </w:rPr>
        <w:t>采用巴氏杀菌60 ℃～80 ℃保持30 min，冷却后包装。</w:t>
      </w:r>
    </w:p>
    <w:p w:rsidR="00CD1D49" w:rsidRDefault="00E01641">
      <w:pPr>
        <w:spacing w:line="560" w:lineRule="exact"/>
        <w:ind w:firstLineChars="200" w:firstLine="643"/>
        <w:rPr>
          <w:rFonts w:ascii="仿宋" w:eastAsia="仿宋" w:hAnsi="仿宋" w:cs="仿宋"/>
          <w:b/>
          <w:sz w:val="32"/>
          <w:szCs w:val="32"/>
        </w:rPr>
      </w:pPr>
      <w:r>
        <w:rPr>
          <w:rFonts w:ascii="仿宋" w:eastAsia="仿宋" w:hAnsi="仿宋" w:cs="仿宋"/>
          <w:b/>
          <w:sz w:val="32"/>
          <w:szCs w:val="32"/>
        </w:rPr>
        <w:t>15</w:t>
      </w:r>
      <w:r>
        <w:rPr>
          <w:rFonts w:ascii="仿宋" w:eastAsia="仿宋" w:hAnsi="仿宋" w:cs="仿宋" w:hint="eastAsia"/>
          <w:b/>
          <w:sz w:val="32"/>
          <w:szCs w:val="32"/>
        </w:rPr>
        <w:t>.灌装</w:t>
      </w:r>
    </w:p>
    <w:p w:rsidR="00CD1D49" w:rsidRDefault="00E01641">
      <w:pPr>
        <w:ind w:firstLineChars="200" w:firstLine="640"/>
        <w:rPr>
          <w:rFonts w:ascii="仿宋" w:eastAsia="仿宋" w:hAnsi="仿宋" w:cs="仿宋"/>
          <w:sz w:val="32"/>
          <w:szCs w:val="32"/>
        </w:rPr>
      </w:pPr>
      <w:r>
        <w:rPr>
          <w:rFonts w:ascii="仿宋" w:eastAsia="仿宋" w:hAnsi="仿宋" w:cs="仿宋" w:hint="eastAsia"/>
          <w:sz w:val="32"/>
          <w:szCs w:val="32"/>
        </w:rPr>
        <w:t>按照产品要求进行无菌灌装。</w:t>
      </w:r>
    </w:p>
    <w:p w:rsidR="00CD1D49" w:rsidRDefault="00E01641">
      <w:pPr>
        <w:spacing w:line="600" w:lineRule="exact"/>
        <w:ind w:firstLineChars="200" w:firstLine="643"/>
        <w:outlineLvl w:val="0"/>
        <w:rPr>
          <w:rFonts w:ascii="楷体" w:eastAsia="楷体" w:hAnsi="楷体"/>
          <w:b/>
          <w:bCs/>
          <w:sz w:val="32"/>
          <w:szCs w:val="32"/>
        </w:rPr>
      </w:pPr>
      <w:r>
        <w:rPr>
          <w:rFonts w:ascii="楷体" w:eastAsia="楷体" w:hAnsi="楷体" w:hint="eastAsia"/>
          <w:b/>
          <w:bCs/>
          <w:sz w:val="32"/>
          <w:szCs w:val="32"/>
        </w:rPr>
        <w:t>（四）试验研究</w:t>
      </w:r>
    </w:p>
    <w:p w:rsidR="00CD1D49" w:rsidRDefault="00E01641">
      <w:pPr>
        <w:ind w:firstLineChars="200" w:firstLine="640"/>
        <w:contextualSpacing/>
        <w:jc w:val="left"/>
        <w:rPr>
          <w:rFonts w:ascii="仿宋" w:eastAsia="仿宋" w:hAnsi="仿宋" w:cs="仿宋"/>
          <w:sz w:val="32"/>
          <w:szCs w:val="32"/>
        </w:rPr>
      </w:pPr>
      <w:r>
        <w:rPr>
          <w:rFonts w:ascii="仿宋" w:eastAsia="仿宋" w:hAnsi="仿宋" w:hint="eastAsia"/>
          <w:sz w:val="32"/>
          <w:szCs w:val="32"/>
          <w:lang w:val="zh-CN"/>
        </w:rPr>
        <w:t>为验证产品的活性功能成分和功能性开展了系列的试验研究。</w:t>
      </w:r>
    </w:p>
    <w:p w:rsidR="00CD1D49" w:rsidRDefault="00E01641">
      <w:pPr>
        <w:ind w:firstLineChars="200" w:firstLine="643"/>
        <w:contextualSpacing/>
        <w:jc w:val="left"/>
        <w:rPr>
          <w:rFonts w:ascii="仿宋" w:eastAsia="仿宋" w:hAnsi="仿宋" w:cs="仿宋"/>
          <w:sz w:val="32"/>
          <w:szCs w:val="32"/>
        </w:rPr>
      </w:pPr>
      <w:r>
        <w:rPr>
          <w:rFonts w:ascii="仿宋" w:eastAsia="仿宋" w:hAnsi="仿宋" w:cs="仿宋" w:hint="eastAsia"/>
          <w:b/>
          <w:bCs/>
          <w:sz w:val="32"/>
          <w:szCs w:val="32"/>
        </w:rPr>
        <w:t>（1）</w:t>
      </w:r>
      <w:r>
        <w:rPr>
          <w:rFonts w:ascii="仿宋" w:eastAsia="仿宋" w:hAnsi="仿宋" w:cs="仿宋"/>
          <w:b/>
          <w:bCs/>
          <w:sz w:val="32"/>
          <w:szCs w:val="32"/>
        </w:rPr>
        <w:t>高效液相色谱-二极管阵列联用技术同时检测果醋中11种酚类物质</w:t>
      </w:r>
      <w:r>
        <w:rPr>
          <w:rFonts w:ascii="仿宋" w:eastAsia="仿宋" w:hAnsi="仿宋" w:cs="仿宋" w:hint="eastAsia"/>
          <w:b/>
          <w:bCs/>
          <w:sz w:val="32"/>
          <w:szCs w:val="32"/>
        </w:rPr>
        <w:t>：</w:t>
      </w:r>
      <w:r>
        <w:rPr>
          <w:rFonts w:ascii="仿宋" w:eastAsia="仿宋" w:hAnsi="仿宋" w:cs="仿宋" w:hint="eastAsia"/>
          <w:sz w:val="32"/>
          <w:szCs w:val="32"/>
        </w:rPr>
        <w:t>利用高效液相色谱联合二极管阵列技术( HPLC－DAD) 建立一种可以同时检测不同苹果醋和甘蔗醋中 11 种酚类物质的分析方法。使用 OMNI Hubble C18色谱柱( 250 mm×4.6 mm，5μm) ，流动相A为甲醇－甲酸( 100∶2，v/v) ，B为10 mmol/L 磷酸氢二钾－磷酸水溶液(200∶1，v/v) ，流速为1.0 mL/min，进样量为20μL，梯度洗脱，柱温为35℃，二极管阵列扫描波长范围210～400 nm。应用本方法可以检测出不同苹果醋和甘蔗果醋中香草醛、香豆素、绿原酸、咖啡酸、阿魏酸、对香豆酸、芹菜素、木犀草素、肉桂酸、山奈酚、芒柄花黄素等11种酚类物质，其中甘蔗醋中富含绿原酸等10种酚类物质成分。本方法回</w:t>
      </w:r>
      <w:r>
        <w:rPr>
          <w:rFonts w:ascii="仿宋" w:eastAsia="仿宋" w:hAnsi="仿宋" w:cs="仿宋" w:hint="eastAsia"/>
          <w:sz w:val="32"/>
          <w:szCs w:val="32"/>
        </w:rPr>
        <w:lastRenderedPageBreak/>
        <w:t>收率在 84.1%～118.2%之间，结果准确可靠，简单易行，适合用于各类果醋中酚类物质的分析检测。</w:t>
      </w:r>
    </w:p>
    <w:p w:rsidR="00CD1D49" w:rsidRDefault="00E01641">
      <w:pPr>
        <w:ind w:firstLineChars="200" w:firstLine="643"/>
        <w:contextualSpacing/>
        <w:jc w:val="left"/>
        <w:rPr>
          <w:rFonts w:ascii="仿宋" w:eastAsia="仿宋" w:hAnsi="仿宋" w:cs="仿宋"/>
          <w:sz w:val="32"/>
          <w:szCs w:val="32"/>
        </w:rPr>
      </w:pPr>
      <w:r>
        <w:rPr>
          <w:rFonts w:ascii="仿宋" w:eastAsia="仿宋" w:hAnsi="仿宋" w:cs="仿宋" w:hint="eastAsia"/>
          <w:b/>
          <w:bCs/>
          <w:sz w:val="32"/>
          <w:szCs w:val="32"/>
        </w:rPr>
        <w:t>（2）</w:t>
      </w:r>
      <w:r>
        <w:rPr>
          <w:rFonts w:ascii="仿宋" w:eastAsia="仿宋" w:hAnsi="仿宋" w:cs="仿宋"/>
          <w:b/>
          <w:bCs/>
          <w:sz w:val="32"/>
          <w:szCs w:val="32"/>
        </w:rPr>
        <w:t>甘蔗醋生产中的酚类和挥发性物质研究</w:t>
      </w:r>
      <w:r>
        <w:rPr>
          <w:rFonts w:ascii="仿宋" w:eastAsia="仿宋" w:hAnsi="仿宋" w:cs="仿宋" w:hint="eastAsia"/>
          <w:b/>
          <w:bCs/>
          <w:sz w:val="32"/>
          <w:szCs w:val="32"/>
        </w:rPr>
        <w:t>：</w:t>
      </w:r>
      <w:r>
        <w:rPr>
          <w:rFonts w:ascii="仿宋" w:eastAsia="仿宋" w:hAnsi="仿宋" w:cs="仿宋"/>
          <w:sz w:val="32"/>
          <w:szCs w:val="32"/>
        </w:rPr>
        <w:t>探讨甘蔗醋在不同生产过程中酚类和挥发性有机物的动态变化。酚类和挥发性有机化合物的测定是通过UPLC-质谱和固相微萃取(SPME)结合气相色谱-质谱(气相色谱-质谱)进行的。甘蔗的完整发酵过程持续了9天，醋的产量高达3.04% (w/v)、总酸和酒精度4.1°。经过9天的发酵，获得了甘蔗汁(未灭菌)以及酒精和乙酸发酵的各种酚类化合物。这些物质是苯甲酸(2.024、1.002和1.027mg/L)、阿魏酸(0.060、0.205和1.124mg/L)、奎尼酸(0.019、0.074和0.031mg/L)、绿原酸(0.349、1.635和1.217mg/L)、芹菜素(0.002、0.099和0.01mg/L)</w:t>
      </w:r>
      <w:r>
        <w:rPr>
          <w:rFonts w:ascii="仿宋" w:eastAsia="仿宋" w:hAnsi="仿宋" w:cs="仿宋" w:hint="eastAsia"/>
          <w:sz w:val="32"/>
          <w:szCs w:val="32"/>
        </w:rPr>
        <w:t>，此外</w:t>
      </w:r>
      <w:r>
        <w:rPr>
          <w:rFonts w:ascii="仿宋" w:eastAsia="仿宋" w:hAnsi="仿宋" w:cs="仿宋"/>
          <w:sz w:val="32"/>
          <w:szCs w:val="32"/>
        </w:rPr>
        <w:t>还鉴定了45种挥发性有机化合物</w:t>
      </w:r>
      <w:r>
        <w:rPr>
          <w:rFonts w:ascii="仿宋" w:eastAsia="仿宋" w:hAnsi="仿宋" w:cs="仿宋" w:hint="eastAsia"/>
          <w:sz w:val="32"/>
          <w:szCs w:val="32"/>
        </w:rPr>
        <w:t>，甘蔗醋中香气物质酯类（59.014%），主要包括乙酸乙酯（14.163%）、乳酸乙酯（43.6405</w:t>
      </w:r>
      <w:r>
        <w:rPr>
          <w:rFonts w:ascii="仿宋" w:eastAsia="仿宋" w:hAnsi="仿宋" w:cs="仿宋"/>
          <w:sz w:val="32"/>
          <w:szCs w:val="32"/>
        </w:rPr>
        <w:t>%</w:t>
      </w:r>
      <w:r>
        <w:rPr>
          <w:rFonts w:ascii="仿宋" w:eastAsia="仿宋" w:hAnsi="仿宋" w:cs="仿宋" w:hint="eastAsia"/>
          <w:sz w:val="32"/>
          <w:szCs w:val="32"/>
        </w:rPr>
        <w:t>）等9种组分；酸类（27.914%）以乙酸（27.445</w:t>
      </w:r>
      <w:r>
        <w:rPr>
          <w:rFonts w:ascii="仿宋" w:eastAsia="仿宋" w:hAnsi="仿宋" w:cs="仿宋"/>
          <w:sz w:val="32"/>
          <w:szCs w:val="32"/>
        </w:rPr>
        <w:t>%</w:t>
      </w:r>
      <w:r>
        <w:rPr>
          <w:rFonts w:ascii="仿宋" w:eastAsia="仿宋" w:hAnsi="仿宋" w:cs="仿宋" w:hint="eastAsia"/>
          <w:sz w:val="32"/>
          <w:szCs w:val="32"/>
        </w:rPr>
        <w:t>）为主的5种组分，醇类（5.1855%）主要表现以异戊醇为主（3.703</w:t>
      </w:r>
      <w:r>
        <w:rPr>
          <w:rFonts w:ascii="仿宋" w:eastAsia="仿宋" w:hAnsi="仿宋" w:cs="仿宋"/>
          <w:sz w:val="32"/>
          <w:szCs w:val="32"/>
        </w:rPr>
        <w:t>%</w:t>
      </w:r>
      <w:r>
        <w:rPr>
          <w:rFonts w:ascii="仿宋" w:eastAsia="仿宋" w:hAnsi="仿宋" w:cs="仿宋" w:hint="eastAsia"/>
          <w:sz w:val="32"/>
          <w:szCs w:val="32"/>
        </w:rPr>
        <w:t>）的5种组分；醛类6种、酮类4种、烃类3种、酚类1种和其他杂环类1种，总共的相对含量较小，只有1.626%</w:t>
      </w:r>
      <w:r>
        <w:rPr>
          <w:rFonts w:ascii="仿宋" w:eastAsia="仿宋" w:hAnsi="仿宋" w:cs="仿宋"/>
          <w:sz w:val="32"/>
          <w:szCs w:val="32"/>
        </w:rPr>
        <w:t>。</w:t>
      </w:r>
    </w:p>
    <w:p w:rsidR="00CD1D49" w:rsidRDefault="00E01641">
      <w:pPr>
        <w:ind w:firstLineChars="200" w:firstLine="643"/>
        <w:jc w:val="left"/>
        <w:rPr>
          <w:rFonts w:ascii="仿宋" w:eastAsia="仿宋" w:hAnsi="仿宋" w:cs="仿宋"/>
          <w:sz w:val="32"/>
          <w:szCs w:val="32"/>
        </w:rPr>
      </w:pPr>
      <w:r>
        <w:rPr>
          <w:rFonts w:ascii="仿宋" w:eastAsia="仿宋" w:hAnsi="仿宋" w:cs="仿宋" w:hint="eastAsia"/>
          <w:b/>
          <w:bCs/>
          <w:sz w:val="32"/>
          <w:szCs w:val="32"/>
        </w:rPr>
        <w:t>（3）</w:t>
      </w:r>
      <w:r>
        <w:rPr>
          <w:rFonts w:ascii="仿宋" w:eastAsia="仿宋" w:hAnsi="仿宋" w:cs="仿宋"/>
          <w:b/>
          <w:bCs/>
          <w:sz w:val="32"/>
          <w:szCs w:val="32"/>
        </w:rPr>
        <w:t>甘蔗醋对高脂小鼠血脂代谢及组织氧化还原的影响</w:t>
      </w:r>
      <w:r>
        <w:rPr>
          <w:rFonts w:ascii="仿宋" w:eastAsia="仿宋" w:hAnsi="仿宋" w:cs="仿宋" w:hint="eastAsia"/>
          <w:b/>
          <w:bCs/>
          <w:sz w:val="32"/>
          <w:szCs w:val="32"/>
        </w:rPr>
        <w:t>：</w:t>
      </w:r>
      <w:r>
        <w:rPr>
          <w:rFonts w:ascii="仿宋" w:eastAsia="仿宋" w:hAnsi="仿宋" w:cs="仿宋" w:hint="eastAsia"/>
          <w:sz w:val="32"/>
          <w:szCs w:val="32"/>
        </w:rPr>
        <w:t>甘蔗醋中含有丰富的黄酮和酚类物质，具有较强的抗氧化能力，本文通过建立高脂膳食诱发血脂代谢紊乱小鼠模型，探究甘蔗醋对高脂膳食诱导的血脂代谢紊乱小鼠的血脂、肝脂和谷胱甘肽过氧化物、丙二醛、一氧化氮合酶、超氧化物歧化酶氧化还原能力</w:t>
      </w:r>
      <w:r>
        <w:rPr>
          <w:rFonts w:ascii="仿宋" w:eastAsia="仿宋" w:hAnsi="仿宋" w:cs="仿宋" w:hint="eastAsia"/>
          <w:sz w:val="32"/>
          <w:szCs w:val="32"/>
        </w:rPr>
        <w:lastRenderedPageBreak/>
        <w:t>的影响。实验结果表明：与高脂对照组相比，灌胃甘蔗醋可显著降低高脂小鼠血浆总胆固醇（P&lt;0.05），降低甘油三酯、低密度脂蛋白胆固醇水平（P&lt;0.01）和升高高密度脂蛋白的水平（P&lt;0.01）效果都极显著，同时有效减少淀粉酶含量（P&lt;0.01）和增加脂肪酶含量（P&lt;0.01），减少血糖的浓度和脂肪的累积，还能够提高血浆及肝脏中超氧化物歧化酶（SOD）、谷胱甘肽过氧化物（GSH-Px）活力，降低一氧化氮合酶（NOS）活力和肝脏中脂质过氧化反应产物丙二醛（MDA）含量。甘蔗醋具有正向调节血脂水平、预防体重和脏器增加、提高抗氧化应激能力，从而有助于抑制高血脂、肥胖及其并发症的进一步发展。</w:t>
      </w:r>
    </w:p>
    <w:p w:rsidR="00CD1D49" w:rsidRDefault="00E01641">
      <w:pPr>
        <w:ind w:firstLineChars="200" w:firstLine="643"/>
        <w:jc w:val="left"/>
        <w:rPr>
          <w:rFonts w:ascii="仿宋" w:eastAsia="仿宋" w:hAnsi="仿宋" w:cs="仿宋"/>
          <w:sz w:val="32"/>
          <w:szCs w:val="32"/>
        </w:rPr>
      </w:pPr>
      <w:r>
        <w:rPr>
          <w:rFonts w:ascii="仿宋" w:eastAsia="仿宋" w:hAnsi="仿宋" w:cs="仿宋" w:hint="eastAsia"/>
          <w:b/>
          <w:bCs/>
          <w:sz w:val="32"/>
          <w:szCs w:val="32"/>
        </w:rPr>
        <w:t>（4）</w:t>
      </w:r>
      <w:r>
        <w:rPr>
          <w:rFonts w:ascii="仿宋" w:eastAsia="仿宋" w:hAnsi="仿宋" w:cs="仿宋"/>
          <w:b/>
          <w:bCs/>
          <w:sz w:val="32"/>
          <w:szCs w:val="32"/>
        </w:rPr>
        <w:t>甘蔗醋对高脂喂养小鼠体质量、脏器系数和血清生化指标的影响</w:t>
      </w:r>
      <w:r>
        <w:rPr>
          <w:rFonts w:ascii="仿宋" w:eastAsia="仿宋" w:hAnsi="仿宋" w:cs="仿宋" w:hint="eastAsia"/>
          <w:b/>
          <w:bCs/>
          <w:sz w:val="32"/>
          <w:szCs w:val="32"/>
        </w:rPr>
        <w:t>：</w:t>
      </w:r>
      <w:r>
        <w:rPr>
          <w:rFonts w:ascii="仿宋" w:eastAsia="仿宋" w:hAnsi="仿宋" w:cs="仿宋"/>
          <w:sz w:val="32"/>
          <w:szCs w:val="32"/>
        </w:rPr>
        <w:t>研究高脂小鼠喂食甘蔗醋后与模型组进行体质质量、脏器系数和血清生化指标的差异性比较，以期对甘蔗醋功能活性进行论证评价。结果表明，甘蔗原醋和稀释3倍的甘蔗醋显著降低了高脂饮食小鼠的体质量（P&lt;0.01）。实验组之间的器官与体质量比较无显著性差异（P&gt;0.05）。与阳性对照相比，发现补充稀释6倍的甘蔗醋可有效降低甘油三酯和总胆固醇水平（P&lt;0.05）。治疗组之间的其他生化指标没有显著变化（P&gt;0.05）。甘蔗原醋可有效减轻体质量，改善血脂，不影响实验小鼠的脏器系数和血清生化。因此，甘蔗醋具有能够有效降低体质量和降低血脂水平的作用。</w:t>
      </w:r>
    </w:p>
    <w:p w:rsidR="00CD1D49" w:rsidRDefault="00E0164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与本项目相关的前期部分研究结果：</w:t>
      </w:r>
    </w:p>
    <w:p w:rsidR="00CD1D49" w:rsidRDefault="00E01641">
      <w:pPr>
        <w:spacing w:line="520" w:lineRule="exact"/>
        <w:ind w:firstLineChars="200" w:firstLine="643"/>
        <w:rPr>
          <w:rFonts w:ascii="仿宋" w:eastAsia="仿宋" w:hAnsi="仿宋" w:cs="仿宋"/>
          <w:b/>
          <w:bCs/>
          <w:sz w:val="32"/>
          <w:szCs w:val="32"/>
        </w:rPr>
      </w:pPr>
      <w:r>
        <w:rPr>
          <w:rFonts w:ascii="仿宋" w:eastAsia="仿宋" w:hAnsi="仿宋" w:cs="仿宋"/>
          <w:b/>
          <w:bCs/>
          <w:sz w:val="32"/>
          <w:szCs w:val="32"/>
        </w:rPr>
        <w:lastRenderedPageBreak/>
        <w:t>1</w:t>
      </w:r>
      <w:r>
        <w:rPr>
          <w:rFonts w:ascii="仿宋" w:eastAsia="仿宋" w:hAnsi="仿宋" w:cs="仿宋" w:hint="eastAsia"/>
          <w:b/>
          <w:bCs/>
          <w:sz w:val="32"/>
          <w:szCs w:val="32"/>
        </w:rPr>
        <w:t>甘蔗醋不同溶剂提取液的总酚、总黄酮含量测定</w:t>
      </w:r>
    </w:p>
    <w:p w:rsidR="00CD1D49" w:rsidRDefault="00E0164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通过福林-酚比色法、</w:t>
      </w:r>
      <w:r>
        <w:rPr>
          <w:rFonts w:ascii="仿宋" w:eastAsia="仿宋" w:hAnsi="仿宋" w:cs="仿宋"/>
          <w:sz w:val="32"/>
          <w:szCs w:val="32"/>
        </w:rPr>
        <w:t>NaNO2-Al(NO3)3比色法</w:t>
      </w:r>
      <w:r>
        <w:rPr>
          <w:rFonts w:ascii="仿宋" w:eastAsia="仿宋" w:hAnsi="仿宋" w:cs="仿宋" w:hint="eastAsia"/>
          <w:sz w:val="32"/>
          <w:szCs w:val="32"/>
        </w:rPr>
        <w:t>分别测定甘蔗醋不同溶剂（水、甲醇、乙醇、正丁醇、乙酸乙酯）提取液的总酚、总黄酮含量，结果如图1所示：</w:t>
      </w:r>
    </w:p>
    <w:p w:rsidR="00CD1D49" w:rsidRDefault="00E01641">
      <w:pPr>
        <w:ind w:firstLineChars="200" w:firstLine="480"/>
        <w:jc w:val="center"/>
        <w:rPr>
          <w:rFonts w:hAnsi="宋体"/>
          <w:sz w:val="24"/>
        </w:rPr>
      </w:pPr>
      <w:r>
        <w:rPr>
          <w:rFonts w:hAnsi="宋体"/>
          <w:noProof/>
          <w:sz w:val="24"/>
        </w:rPr>
        <w:drawing>
          <wp:inline distT="0" distB="0" distL="0" distR="0">
            <wp:extent cx="2743200" cy="2286000"/>
            <wp:effectExtent l="0" t="0" r="0" b="0"/>
            <wp:docPr id="807243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2430" name="图片 16"/>
                    <pic:cNvPicPr>
                      <a:picLocks noChangeAspect="1" noChangeArrowheads="1"/>
                    </pic:cNvPicPr>
                  </pic:nvPicPr>
                  <pic:blipFill>
                    <a:blip r:embed="rId18" cstate="print">
                      <a:extLst>
                        <a:ext uri="{28A0092B-C50C-407E-A947-70E740481C1C}">
                          <a14:useLocalDpi xmlns:a14="http://schemas.microsoft.com/office/drawing/2010/main" val="0"/>
                        </a:ext>
                      </a:extLst>
                    </a:blip>
                    <a:srcRect l="7945" t="8493" r="12593" b="5316"/>
                    <a:stretch>
                      <a:fillRect/>
                    </a:stretch>
                  </pic:blipFill>
                  <pic:spPr>
                    <a:xfrm>
                      <a:off x="0" y="0"/>
                      <a:ext cx="2743200" cy="2286000"/>
                    </a:xfrm>
                    <a:prstGeom prst="rect">
                      <a:avLst/>
                    </a:prstGeom>
                    <a:noFill/>
                    <a:ln>
                      <a:noFill/>
                    </a:ln>
                  </pic:spPr>
                </pic:pic>
              </a:graphicData>
            </a:graphic>
          </wp:inline>
        </w:drawing>
      </w:r>
    </w:p>
    <w:p w:rsidR="00CD1D49" w:rsidRDefault="00E01641">
      <w:pPr>
        <w:spacing w:line="500" w:lineRule="exact"/>
        <w:ind w:firstLineChars="200" w:firstLine="480"/>
        <w:jc w:val="center"/>
        <w:rPr>
          <w:rFonts w:hAnsi="宋体"/>
          <w:sz w:val="24"/>
        </w:rPr>
      </w:pPr>
      <w:r>
        <w:rPr>
          <w:rFonts w:hAnsi="宋体" w:hint="eastAsia"/>
          <w:sz w:val="24"/>
        </w:rPr>
        <w:t>图</w:t>
      </w:r>
      <w:r>
        <w:rPr>
          <w:rFonts w:hAnsi="宋体" w:hint="eastAsia"/>
          <w:sz w:val="24"/>
        </w:rPr>
        <w:t>1</w:t>
      </w:r>
      <w:r>
        <w:rPr>
          <w:rFonts w:hAnsi="宋体"/>
          <w:sz w:val="24"/>
        </w:rPr>
        <w:t xml:space="preserve"> </w:t>
      </w:r>
      <w:r>
        <w:rPr>
          <w:rFonts w:hAnsi="宋体" w:hint="eastAsia"/>
          <w:sz w:val="24"/>
        </w:rPr>
        <w:t>不同溶剂甘蔗醋提取液的总酚、总黄酮含量</w:t>
      </w:r>
    </w:p>
    <w:p w:rsidR="00CD1D49" w:rsidRDefault="00E01641">
      <w:pPr>
        <w:spacing w:line="500" w:lineRule="exact"/>
        <w:ind w:firstLineChars="200" w:firstLine="480"/>
        <w:jc w:val="center"/>
        <w:rPr>
          <w:rFonts w:hAnsi="宋体"/>
          <w:sz w:val="24"/>
        </w:rPr>
      </w:pPr>
      <w:r>
        <w:rPr>
          <w:rFonts w:hAnsi="宋体" w:hint="eastAsia"/>
          <w:sz w:val="24"/>
        </w:rPr>
        <w:t>注：小写字母不同代表差异性显著（</w:t>
      </w:r>
      <w:r>
        <w:rPr>
          <w:rFonts w:hAnsi="宋体" w:hint="eastAsia"/>
          <w:sz w:val="24"/>
        </w:rPr>
        <w:t>P&lt;</w:t>
      </w:r>
      <w:r>
        <w:rPr>
          <w:rFonts w:hAnsi="宋体"/>
          <w:sz w:val="24"/>
        </w:rPr>
        <w:t>0.05</w:t>
      </w:r>
      <w:r>
        <w:rPr>
          <w:rFonts w:hAnsi="宋体" w:hint="eastAsia"/>
          <w:sz w:val="24"/>
        </w:rPr>
        <w:t>）</w:t>
      </w:r>
      <w:r>
        <w:rPr>
          <w:rFonts w:hAnsi="宋体" w:hint="eastAsia"/>
          <w:sz w:val="24"/>
        </w:rPr>
        <w:t>,</w:t>
      </w:r>
      <w:r>
        <w:rPr>
          <w:rFonts w:hAnsi="宋体" w:hint="eastAsia"/>
          <w:sz w:val="24"/>
        </w:rPr>
        <w:t>下同</w:t>
      </w:r>
    </w:p>
    <w:p w:rsidR="00CD1D49" w:rsidRDefault="00E0164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由图1可知，不同溶剂甘蔗醋提取液的总酚、总黄酮含量差异性显著，且不同样品中，总酚含量均高于总黄酮含量；以水为溶剂的提取液总酚含量最高（3</w:t>
      </w:r>
      <w:r>
        <w:rPr>
          <w:rFonts w:ascii="仿宋" w:eastAsia="仿宋" w:hAnsi="仿宋" w:cs="仿宋"/>
          <w:sz w:val="32"/>
          <w:szCs w:val="32"/>
        </w:rPr>
        <w:t>.73mg/mL</w:t>
      </w:r>
      <w:r>
        <w:rPr>
          <w:rFonts w:ascii="仿宋" w:eastAsia="仿宋" w:hAnsi="仿宋" w:cs="仿宋" w:hint="eastAsia"/>
          <w:sz w:val="32"/>
          <w:szCs w:val="32"/>
        </w:rPr>
        <w:t>），其次是甲醇提取液（3</w:t>
      </w:r>
      <w:r>
        <w:rPr>
          <w:rFonts w:ascii="仿宋" w:eastAsia="仿宋" w:hAnsi="仿宋" w:cs="仿宋"/>
          <w:sz w:val="32"/>
          <w:szCs w:val="32"/>
        </w:rPr>
        <w:t>.53 mg/mL</w:t>
      </w:r>
      <w:r>
        <w:rPr>
          <w:rFonts w:ascii="仿宋" w:eastAsia="仿宋" w:hAnsi="仿宋" w:cs="仿宋" w:hint="eastAsia"/>
          <w:sz w:val="32"/>
          <w:szCs w:val="32"/>
        </w:rPr>
        <w:t>），乙醇提取液与正丁醇提取液含量相当，含量最低的是乙酸乙酯提取液（1</w:t>
      </w:r>
      <w:r>
        <w:rPr>
          <w:rFonts w:ascii="仿宋" w:eastAsia="仿宋" w:hAnsi="仿宋" w:cs="仿宋"/>
          <w:sz w:val="32"/>
          <w:szCs w:val="32"/>
        </w:rPr>
        <w:t>.03 mg/mL</w:t>
      </w:r>
      <w:r>
        <w:rPr>
          <w:rFonts w:ascii="仿宋" w:eastAsia="仿宋" w:hAnsi="仿宋" w:cs="仿宋" w:hint="eastAsia"/>
          <w:sz w:val="32"/>
          <w:szCs w:val="32"/>
        </w:rPr>
        <w:t>）；水提取液总黄酮含量明显高于其他提取液，为2</w:t>
      </w:r>
      <w:r>
        <w:rPr>
          <w:rFonts w:ascii="仿宋" w:eastAsia="仿宋" w:hAnsi="仿宋" w:cs="仿宋"/>
          <w:sz w:val="32"/>
          <w:szCs w:val="32"/>
        </w:rPr>
        <w:t>.69 mg/mL</w:t>
      </w:r>
      <w:r>
        <w:rPr>
          <w:rFonts w:ascii="仿宋" w:eastAsia="仿宋" w:hAnsi="仿宋" w:cs="仿宋" w:hint="eastAsia"/>
          <w:sz w:val="32"/>
          <w:szCs w:val="32"/>
        </w:rPr>
        <w:t>，乙酸乙酯含量最低，仅为0</w:t>
      </w:r>
      <w:r>
        <w:rPr>
          <w:rFonts w:ascii="仿宋" w:eastAsia="仿宋" w:hAnsi="仿宋" w:cs="仿宋"/>
          <w:sz w:val="32"/>
          <w:szCs w:val="32"/>
        </w:rPr>
        <w:t>.69 mg/mL</w:t>
      </w:r>
      <w:r>
        <w:rPr>
          <w:rFonts w:ascii="仿宋" w:eastAsia="仿宋" w:hAnsi="仿宋" w:cs="仿宋" w:hint="eastAsia"/>
          <w:sz w:val="32"/>
          <w:szCs w:val="32"/>
        </w:rPr>
        <w:t>。</w:t>
      </w:r>
    </w:p>
    <w:p w:rsidR="00CD1D49" w:rsidRDefault="00E01641">
      <w:pPr>
        <w:spacing w:line="520" w:lineRule="exact"/>
        <w:ind w:firstLineChars="200" w:firstLine="643"/>
        <w:rPr>
          <w:rFonts w:ascii="仿宋" w:eastAsia="仿宋" w:hAnsi="仿宋" w:cs="仿宋"/>
          <w:b/>
          <w:bCs/>
          <w:sz w:val="32"/>
          <w:szCs w:val="32"/>
        </w:rPr>
      </w:pPr>
      <w:r>
        <w:rPr>
          <w:rFonts w:ascii="仿宋" w:eastAsia="仿宋" w:hAnsi="仿宋" w:cs="仿宋"/>
          <w:b/>
          <w:bCs/>
          <w:sz w:val="32"/>
          <w:szCs w:val="32"/>
        </w:rPr>
        <w:t>2</w:t>
      </w:r>
      <w:r>
        <w:rPr>
          <w:rFonts w:ascii="仿宋" w:eastAsia="仿宋" w:hAnsi="仿宋" w:cs="仿宋" w:hint="eastAsia"/>
          <w:b/>
          <w:bCs/>
          <w:sz w:val="32"/>
          <w:szCs w:val="32"/>
        </w:rPr>
        <w:t>不同溶剂甘蔗醋提取液体外抗氧化活性测定</w:t>
      </w:r>
    </w:p>
    <w:p w:rsidR="00CD1D49" w:rsidRDefault="00E0164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分别对不同溶剂甘蔗醋提取液进行D</w:t>
      </w:r>
      <w:r>
        <w:rPr>
          <w:rFonts w:ascii="仿宋" w:eastAsia="仿宋" w:hAnsi="仿宋" w:cs="仿宋"/>
          <w:sz w:val="32"/>
          <w:szCs w:val="32"/>
        </w:rPr>
        <w:t>PPH</w:t>
      </w:r>
      <w:r>
        <w:rPr>
          <w:rFonts w:ascii="仿宋" w:eastAsia="仿宋" w:hAnsi="仿宋" w:cs="仿宋" w:hint="eastAsia"/>
          <w:sz w:val="32"/>
          <w:szCs w:val="32"/>
        </w:rPr>
        <w:t>自由基、A</w:t>
      </w:r>
      <w:r>
        <w:rPr>
          <w:rFonts w:ascii="仿宋" w:eastAsia="仿宋" w:hAnsi="仿宋" w:cs="仿宋"/>
          <w:sz w:val="32"/>
          <w:szCs w:val="32"/>
        </w:rPr>
        <w:t>BTS</w:t>
      </w:r>
      <w:r>
        <w:rPr>
          <w:rFonts w:ascii="仿宋" w:eastAsia="仿宋" w:hAnsi="仿宋" w:cs="仿宋" w:hint="eastAsia"/>
          <w:sz w:val="32"/>
          <w:szCs w:val="32"/>
        </w:rPr>
        <w:t>自由基清除能力的测定，以Trol</w:t>
      </w:r>
      <w:r>
        <w:rPr>
          <w:rFonts w:ascii="仿宋" w:eastAsia="仿宋" w:hAnsi="仿宋" w:cs="仿宋"/>
          <w:sz w:val="32"/>
          <w:szCs w:val="32"/>
        </w:rPr>
        <w:t>ox</w:t>
      </w:r>
      <w:r>
        <w:rPr>
          <w:rFonts w:ascii="仿宋" w:eastAsia="仿宋" w:hAnsi="仿宋" w:cs="仿宋" w:hint="eastAsia"/>
          <w:sz w:val="32"/>
          <w:szCs w:val="32"/>
        </w:rPr>
        <w:t>为标准物质，计算甘蔗醋提取液清除D</w:t>
      </w:r>
      <w:r>
        <w:rPr>
          <w:rFonts w:ascii="仿宋" w:eastAsia="仿宋" w:hAnsi="仿宋" w:cs="仿宋"/>
          <w:sz w:val="32"/>
          <w:szCs w:val="32"/>
        </w:rPr>
        <w:t>PPH</w:t>
      </w:r>
      <w:r>
        <w:rPr>
          <w:rFonts w:ascii="仿宋" w:eastAsia="仿宋" w:hAnsi="仿宋" w:cs="仿宋" w:hint="eastAsia"/>
          <w:sz w:val="32"/>
          <w:szCs w:val="32"/>
        </w:rPr>
        <w:t>、A</w:t>
      </w:r>
      <w:r>
        <w:rPr>
          <w:rFonts w:ascii="仿宋" w:eastAsia="仿宋" w:hAnsi="仿宋" w:cs="仿宋"/>
          <w:sz w:val="32"/>
          <w:szCs w:val="32"/>
        </w:rPr>
        <w:t>BTS</w:t>
      </w:r>
      <w:r>
        <w:rPr>
          <w:rFonts w:ascii="仿宋" w:eastAsia="仿宋" w:hAnsi="仿宋" w:cs="仿宋" w:hint="eastAsia"/>
          <w:sz w:val="32"/>
          <w:szCs w:val="32"/>
        </w:rPr>
        <w:t>自由基能力的Trolox当量浓度（T</w:t>
      </w:r>
      <w:r>
        <w:rPr>
          <w:rFonts w:ascii="仿宋" w:eastAsia="仿宋" w:hAnsi="仿宋" w:cs="仿宋"/>
          <w:sz w:val="32"/>
          <w:szCs w:val="32"/>
        </w:rPr>
        <w:t>EAC</w:t>
      </w:r>
      <w:r>
        <w:rPr>
          <w:rFonts w:ascii="仿宋" w:eastAsia="仿宋" w:hAnsi="仿宋" w:cs="仿宋" w:hint="eastAsia"/>
          <w:sz w:val="32"/>
          <w:szCs w:val="32"/>
        </w:rPr>
        <w:t>），结果如图2所示：</w:t>
      </w:r>
    </w:p>
    <w:p w:rsidR="00CD1D49" w:rsidRDefault="00E01641">
      <w:pPr>
        <w:ind w:firstLineChars="200" w:firstLine="480"/>
        <w:jc w:val="center"/>
        <w:rPr>
          <w:rFonts w:hAnsi="宋体"/>
          <w:sz w:val="24"/>
        </w:rPr>
      </w:pPr>
      <w:r>
        <w:rPr>
          <w:rFonts w:hAnsi="宋体"/>
          <w:noProof/>
          <w:sz w:val="24"/>
        </w:rPr>
        <w:lastRenderedPageBreak/>
        <w:drawing>
          <wp:inline distT="0" distB="0" distL="0" distR="0">
            <wp:extent cx="2476500" cy="2162175"/>
            <wp:effectExtent l="0" t="0" r="0" b="9525"/>
            <wp:docPr id="135023673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236731" name="图片 15"/>
                    <pic:cNvPicPr>
                      <a:picLocks noChangeAspect="1" noChangeArrowheads="1"/>
                    </pic:cNvPicPr>
                  </pic:nvPicPr>
                  <pic:blipFill>
                    <a:blip r:embed="rId19" cstate="print">
                      <a:extLst>
                        <a:ext uri="{28A0092B-C50C-407E-A947-70E740481C1C}">
                          <a14:useLocalDpi xmlns:a14="http://schemas.microsoft.com/office/drawing/2010/main" val="0"/>
                        </a:ext>
                      </a:extLst>
                    </a:blip>
                    <a:srcRect l="8910" t="8807" r="16446" b="6261"/>
                    <a:stretch>
                      <a:fillRect/>
                    </a:stretch>
                  </pic:blipFill>
                  <pic:spPr>
                    <a:xfrm>
                      <a:off x="0" y="0"/>
                      <a:ext cx="2476500" cy="2162175"/>
                    </a:xfrm>
                    <a:prstGeom prst="rect">
                      <a:avLst/>
                    </a:prstGeom>
                    <a:noFill/>
                    <a:ln>
                      <a:noFill/>
                    </a:ln>
                  </pic:spPr>
                </pic:pic>
              </a:graphicData>
            </a:graphic>
          </wp:inline>
        </w:drawing>
      </w:r>
    </w:p>
    <w:p w:rsidR="00CD1D49" w:rsidRDefault="00E01641">
      <w:pPr>
        <w:ind w:firstLineChars="200" w:firstLine="480"/>
        <w:jc w:val="center"/>
        <w:rPr>
          <w:rFonts w:hAnsi="宋体"/>
          <w:sz w:val="24"/>
        </w:rPr>
      </w:pPr>
      <w:r>
        <w:rPr>
          <w:rFonts w:hAnsi="宋体" w:hint="eastAsia"/>
          <w:sz w:val="24"/>
        </w:rPr>
        <w:t>图</w:t>
      </w:r>
      <w:r>
        <w:rPr>
          <w:rFonts w:hAnsi="宋体"/>
          <w:sz w:val="24"/>
        </w:rPr>
        <w:t xml:space="preserve">2 </w:t>
      </w:r>
      <w:r>
        <w:rPr>
          <w:rFonts w:hAnsi="宋体" w:hint="eastAsia"/>
          <w:sz w:val="24"/>
        </w:rPr>
        <w:t>不同溶剂甘蔗醋提取液的自由基清除能力</w:t>
      </w:r>
    </w:p>
    <w:p w:rsidR="00CD1D49" w:rsidRDefault="00E0164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由图2可知，不同溶剂甘蔗醋提取液清除D</w:t>
      </w:r>
      <w:r>
        <w:rPr>
          <w:rFonts w:ascii="仿宋" w:eastAsia="仿宋" w:hAnsi="仿宋" w:cs="仿宋"/>
          <w:sz w:val="32"/>
          <w:szCs w:val="32"/>
        </w:rPr>
        <w:t>PPH</w:t>
      </w:r>
      <w:r>
        <w:rPr>
          <w:rFonts w:ascii="仿宋" w:eastAsia="仿宋" w:hAnsi="仿宋" w:cs="仿宋" w:hint="eastAsia"/>
          <w:sz w:val="32"/>
          <w:szCs w:val="32"/>
        </w:rPr>
        <w:t>、A</w:t>
      </w:r>
      <w:r>
        <w:rPr>
          <w:rFonts w:ascii="仿宋" w:eastAsia="仿宋" w:hAnsi="仿宋" w:cs="仿宋"/>
          <w:sz w:val="32"/>
          <w:szCs w:val="32"/>
        </w:rPr>
        <w:t>BTS</w:t>
      </w:r>
      <w:r>
        <w:rPr>
          <w:rFonts w:ascii="仿宋" w:eastAsia="仿宋" w:hAnsi="仿宋" w:cs="仿宋" w:hint="eastAsia"/>
          <w:sz w:val="32"/>
          <w:szCs w:val="32"/>
        </w:rPr>
        <w:t>自由基的能力均具有显著性差异，且趋势相似，其中，水提取液的清除能力最强，正丁醇提取液与乙醇提取液清除能力相当，由强到弱的顺序为：水&gt;甲醇&gt;正丁醇&gt;乙醇&gt;乙酸乙酯。</w:t>
      </w:r>
    </w:p>
    <w:p w:rsidR="00CD1D49" w:rsidRDefault="00E01641">
      <w:pPr>
        <w:spacing w:line="520" w:lineRule="exact"/>
        <w:ind w:firstLineChars="200" w:firstLine="643"/>
        <w:rPr>
          <w:rFonts w:ascii="仿宋" w:eastAsia="仿宋" w:hAnsi="仿宋" w:cs="仿宋"/>
          <w:b/>
          <w:bCs/>
          <w:sz w:val="32"/>
          <w:szCs w:val="32"/>
        </w:rPr>
      </w:pPr>
      <w:r>
        <w:rPr>
          <w:rFonts w:ascii="仿宋" w:eastAsia="仿宋" w:hAnsi="仿宋" w:cs="仿宋"/>
          <w:b/>
          <w:bCs/>
          <w:sz w:val="32"/>
          <w:szCs w:val="32"/>
        </w:rPr>
        <w:t>3</w:t>
      </w:r>
      <w:r>
        <w:rPr>
          <w:rFonts w:ascii="仿宋" w:eastAsia="仿宋" w:hAnsi="仿宋" w:cs="仿宋" w:hint="eastAsia"/>
          <w:b/>
          <w:bCs/>
          <w:sz w:val="32"/>
          <w:szCs w:val="32"/>
        </w:rPr>
        <w:t>抗氧化能力相关性分析</w:t>
      </w:r>
    </w:p>
    <w:p w:rsidR="00CD1D49" w:rsidRDefault="00E0164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利用S</w:t>
      </w:r>
      <w:r>
        <w:rPr>
          <w:rFonts w:ascii="仿宋" w:eastAsia="仿宋" w:hAnsi="仿宋" w:cs="仿宋"/>
          <w:sz w:val="32"/>
          <w:szCs w:val="32"/>
        </w:rPr>
        <w:t>PSS</w:t>
      </w:r>
      <w:r>
        <w:rPr>
          <w:rFonts w:ascii="仿宋" w:eastAsia="仿宋" w:hAnsi="仿宋" w:cs="仿宋" w:hint="eastAsia"/>
          <w:sz w:val="32"/>
          <w:szCs w:val="32"/>
        </w:rPr>
        <w:t>软件对甘蔗醋提取液总酚、总黄酮含量与清除</w:t>
      </w:r>
      <w:r>
        <w:rPr>
          <w:rFonts w:ascii="仿宋" w:eastAsia="仿宋" w:hAnsi="仿宋" w:cs="仿宋"/>
          <w:sz w:val="32"/>
          <w:szCs w:val="32"/>
        </w:rPr>
        <w:t>DPPH</w:t>
      </w:r>
      <w:r>
        <w:rPr>
          <w:rFonts w:ascii="仿宋" w:eastAsia="仿宋" w:hAnsi="仿宋" w:cs="仿宋" w:hint="eastAsia"/>
          <w:sz w:val="32"/>
          <w:szCs w:val="32"/>
        </w:rPr>
        <w:t>自由基能力、清除A</w:t>
      </w:r>
      <w:r>
        <w:rPr>
          <w:rFonts w:ascii="仿宋" w:eastAsia="仿宋" w:hAnsi="仿宋" w:cs="仿宋"/>
          <w:sz w:val="32"/>
          <w:szCs w:val="32"/>
        </w:rPr>
        <w:t>BTS</w:t>
      </w:r>
      <w:r>
        <w:rPr>
          <w:rFonts w:ascii="仿宋" w:eastAsia="仿宋" w:hAnsi="仿宋" w:cs="仿宋" w:hint="eastAsia"/>
          <w:sz w:val="32"/>
          <w:szCs w:val="32"/>
        </w:rPr>
        <w:t>自由基能力进行了</w:t>
      </w:r>
      <w:r>
        <w:rPr>
          <w:rFonts w:ascii="仿宋" w:eastAsia="仿宋" w:hAnsi="仿宋" w:cs="仿宋"/>
          <w:sz w:val="32"/>
          <w:szCs w:val="32"/>
        </w:rPr>
        <w:t>了Pearson法相关性分析</w:t>
      </w:r>
      <w:r>
        <w:rPr>
          <w:rFonts w:ascii="仿宋" w:eastAsia="仿宋" w:hAnsi="仿宋" w:cs="仿宋" w:hint="eastAsia"/>
          <w:sz w:val="32"/>
          <w:szCs w:val="32"/>
        </w:rPr>
        <w:t>，结果见表1。</w:t>
      </w:r>
    </w:p>
    <w:p w:rsidR="00CD1D49" w:rsidRDefault="00E01641">
      <w:pPr>
        <w:spacing w:line="500" w:lineRule="exact"/>
        <w:ind w:firstLineChars="200" w:firstLine="480"/>
        <w:jc w:val="center"/>
        <w:rPr>
          <w:rFonts w:hAnsi="宋体"/>
          <w:sz w:val="24"/>
        </w:rPr>
      </w:pPr>
      <w:r>
        <w:rPr>
          <w:rFonts w:hAnsi="宋体" w:hint="eastAsia"/>
          <w:sz w:val="24"/>
        </w:rPr>
        <w:t>表</w:t>
      </w:r>
      <w:r>
        <w:rPr>
          <w:rFonts w:hAnsi="宋体" w:hint="eastAsia"/>
          <w:sz w:val="24"/>
        </w:rPr>
        <w:t>1</w:t>
      </w:r>
      <w:r>
        <w:rPr>
          <w:rFonts w:hAnsi="宋体"/>
          <w:sz w:val="24"/>
        </w:rPr>
        <w:t xml:space="preserve"> </w:t>
      </w:r>
      <w:r>
        <w:rPr>
          <w:rFonts w:hAnsi="宋体" w:hint="eastAsia"/>
          <w:sz w:val="24"/>
        </w:rPr>
        <w:t>甘蔗醋提取液总酚、总黄酮含量与抗氧化能力相关性分析</w:t>
      </w:r>
    </w:p>
    <w:tbl>
      <w:tblPr>
        <w:tblW w:w="7729" w:type="dxa"/>
        <w:jc w:val="center"/>
        <w:tblBorders>
          <w:top w:val="single" w:sz="8" w:space="0" w:color="auto"/>
          <w:bottom w:val="single" w:sz="8" w:space="0" w:color="auto"/>
        </w:tblBorders>
        <w:tblLook w:val="04A0" w:firstRow="1" w:lastRow="0" w:firstColumn="1" w:lastColumn="0" w:noHBand="0" w:noVBand="1"/>
      </w:tblPr>
      <w:tblGrid>
        <w:gridCol w:w="1545"/>
        <w:gridCol w:w="1545"/>
        <w:gridCol w:w="1545"/>
        <w:gridCol w:w="1545"/>
        <w:gridCol w:w="1549"/>
      </w:tblGrid>
      <w:tr w:rsidR="00CD1D49">
        <w:trPr>
          <w:trHeight w:val="392"/>
          <w:jc w:val="center"/>
        </w:trPr>
        <w:tc>
          <w:tcPr>
            <w:tcW w:w="1545" w:type="dxa"/>
            <w:tcBorders>
              <w:top w:val="single" w:sz="8" w:space="0" w:color="auto"/>
              <w:bottom w:val="single" w:sz="6" w:space="0" w:color="auto"/>
            </w:tcBorders>
            <w:shd w:val="clear" w:color="auto" w:fill="auto"/>
            <w:noWrap/>
            <w:vAlign w:val="bottom"/>
          </w:tcPr>
          <w:p w:rsidR="00CD1D49" w:rsidRDefault="00CD1D49">
            <w:pPr>
              <w:spacing w:line="500" w:lineRule="exact"/>
              <w:ind w:firstLineChars="200" w:firstLine="480"/>
              <w:jc w:val="center"/>
              <w:rPr>
                <w:rFonts w:hAnsi="宋体"/>
                <w:sz w:val="24"/>
              </w:rPr>
            </w:pPr>
          </w:p>
        </w:tc>
        <w:tc>
          <w:tcPr>
            <w:tcW w:w="1545" w:type="dxa"/>
            <w:tcBorders>
              <w:top w:val="single" w:sz="8" w:space="0" w:color="auto"/>
              <w:bottom w:val="single" w:sz="6" w:space="0" w:color="auto"/>
            </w:tcBorders>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总酚</w:t>
            </w:r>
          </w:p>
        </w:tc>
        <w:tc>
          <w:tcPr>
            <w:tcW w:w="1545" w:type="dxa"/>
            <w:tcBorders>
              <w:top w:val="single" w:sz="8" w:space="0" w:color="auto"/>
              <w:bottom w:val="single" w:sz="6" w:space="0" w:color="auto"/>
            </w:tcBorders>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总黄酮</w:t>
            </w:r>
          </w:p>
        </w:tc>
        <w:tc>
          <w:tcPr>
            <w:tcW w:w="1545" w:type="dxa"/>
            <w:tcBorders>
              <w:top w:val="single" w:sz="8" w:space="0" w:color="auto"/>
              <w:bottom w:val="single" w:sz="6" w:space="0" w:color="auto"/>
            </w:tcBorders>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DPPH</w:t>
            </w:r>
          </w:p>
        </w:tc>
        <w:tc>
          <w:tcPr>
            <w:tcW w:w="1549" w:type="dxa"/>
            <w:tcBorders>
              <w:top w:val="single" w:sz="8" w:space="0" w:color="auto"/>
              <w:bottom w:val="single" w:sz="6" w:space="0" w:color="auto"/>
            </w:tcBorders>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ABTS</w:t>
            </w:r>
          </w:p>
        </w:tc>
      </w:tr>
      <w:tr w:rsidR="00CD1D49">
        <w:trPr>
          <w:trHeight w:val="392"/>
          <w:jc w:val="center"/>
        </w:trPr>
        <w:tc>
          <w:tcPr>
            <w:tcW w:w="1545" w:type="dxa"/>
            <w:tcBorders>
              <w:top w:val="single" w:sz="6" w:space="0" w:color="auto"/>
            </w:tcBorders>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总酚</w:t>
            </w:r>
          </w:p>
        </w:tc>
        <w:tc>
          <w:tcPr>
            <w:tcW w:w="1545" w:type="dxa"/>
            <w:tcBorders>
              <w:top w:val="single" w:sz="6" w:space="0" w:color="auto"/>
            </w:tcBorders>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1</w:t>
            </w:r>
          </w:p>
        </w:tc>
        <w:tc>
          <w:tcPr>
            <w:tcW w:w="1545" w:type="dxa"/>
            <w:tcBorders>
              <w:top w:val="single" w:sz="6" w:space="0" w:color="auto"/>
            </w:tcBorders>
            <w:shd w:val="clear" w:color="auto" w:fill="auto"/>
            <w:noWrap/>
            <w:vAlign w:val="bottom"/>
          </w:tcPr>
          <w:p w:rsidR="00CD1D49" w:rsidRDefault="00CD1D49">
            <w:pPr>
              <w:spacing w:line="500" w:lineRule="exact"/>
              <w:ind w:firstLineChars="200" w:firstLine="480"/>
              <w:jc w:val="center"/>
              <w:rPr>
                <w:rFonts w:hAnsi="宋体"/>
                <w:sz w:val="24"/>
              </w:rPr>
            </w:pPr>
          </w:p>
        </w:tc>
        <w:tc>
          <w:tcPr>
            <w:tcW w:w="1545" w:type="dxa"/>
            <w:tcBorders>
              <w:top w:val="single" w:sz="6" w:space="0" w:color="auto"/>
            </w:tcBorders>
            <w:shd w:val="clear" w:color="auto" w:fill="auto"/>
            <w:noWrap/>
            <w:vAlign w:val="bottom"/>
          </w:tcPr>
          <w:p w:rsidR="00CD1D49" w:rsidRDefault="00CD1D49">
            <w:pPr>
              <w:spacing w:line="500" w:lineRule="exact"/>
              <w:ind w:firstLineChars="200" w:firstLine="480"/>
              <w:jc w:val="center"/>
              <w:rPr>
                <w:rFonts w:hAnsi="宋体"/>
                <w:sz w:val="24"/>
              </w:rPr>
            </w:pPr>
          </w:p>
        </w:tc>
        <w:tc>
          <w:tcPr>
            <w:tcW w:w="1549" w:type="dxa"/>
            <w:tcBorders>
              <w:top w:val="single" w:sz="6" w:space="0" w:color="auto"/>
            </w:tcBorders>
            <w:shd w:val="clear" w:color="auto" w:fill="auto"/>
            <w:noWrap/>
            <w:vAlign w:val="bottom"/>
          </w:tcPr>
          <w:p w:rsidR="00CD1D49" w:rsidRDefault="00CD1D49">
            <w:pPr>
              <w:spacing w:line="500" w:lineRule="exact"/>
              <w:ind w:firstLineChars="200" w:firstLine="480"/>
              <w:jc w:val="center"/>
              <w:rPr>
                <w:rFonts w:hAnsi="宋体"/>
                <w:sz w:val="24"/>
              </w:rPr>
            </w:pPr>
          </w:p>
        </w:tc>
      </w:tr>
      <w:tr w:rsidR="00CD1D49">
        <w:trPr>
          <w:trHeight w:val="392"/>
          <w:jc w:val="center"/>
        </w:trPr>
        <w:tc>
          <w:tcPr>
            <w:tcW w:w="1545"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总黄酮</w:t>
            </w:r>
          </w:p>
        </w:tc>
        <w:tc>
          <w:tcPr>
            <w:tcW w:w="1545"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0.983**</w:t>
            </w:r>
          </w:p>
        </w:tc>
        <w:tc>
          <w:tcPr>
            <w:tcW w:w="1545"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1</w:t>
            </w:r>
          </w:p>
        </w:tc>
        <w:tc>
          <w:tcPr>
            <w:tcW w:w="1545" w:type="dxa"/>
            <w:shd w:val="clear" w:color="auto" w:fill="auto"/>
            <w:noWrap/>
            <w:vAlign w:val="bottom"/>
          </w:tcPr>
          <w:p w:rsidR="00CD1D49" w:rsidRDefault="00CD1D49">
            <w:pPr>
              <w:spacing w:line="500" w:lineRule="exact"/>
              <w:ind w:firstLineChars="200" w:firstLine="480"/>
              <w:jc w:val="center"/>
              <w:rPr>
                <w:rFonts w:hAnsi="宋体"/>
                <w:sz w:val="24"/>
              </w:rPr>
            </w:pPr>
          </w:p>
        </w:tc>
        <w:tc>
          <w:tcPr>
            <w:tcW w:w="1549" w:type="dxa"/>
            <w:shd w:val="clear" w:color="auto" w:fill="auto"/>
            <w:noWrap/>
            <w:vAlign w:val="bottom"/>
          </w:tcPr>
          <w:p w:rsidR="00CD1D49" w:rsidRDefault="00CD1D49">
            <w:pPr>
              <w:spacing w:line="500" w:lineRule="exact"/>
              <w:ind w:firstLineChars="200" w:firstLine="480"/>
              <w:jc w:val="center"/>
              <w:rPr>
                <w:rFonts w:hAnsi="宋体"/>
                <w:sz w:val="24"/>
              </w:rPr>
            </w:pPr>
          </w:p>
        </w:tc>
      </w:tr>
      <w:tr w:rsidR="00CD1D49">
        <w:trPr>
          <w:trHeight w:val="392"/>
          <w:jc w:val="center"/>
        </w:trPr>
        <w:tc>
          <w:tcPr>
            <w:tcW w:w="1545"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DPPH</w:t>
            </w:r>
          </w:p>
        </w:tc>
        <w:tc>
          <w:tcPr>
            <w:tcW w:w="1545"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0.966**</w:t>
            </w:r>
          </w:p>
        </w:tc>
        <w:tc>
          <w:tcPr>
            <w:tcW w:w="1545"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0.968**</w:t>
            </w:r>
          </w:p>
        </w:tc>
        <w:tc>
          <w:tcPr>
            <w:tcW w:w="1545"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1</w:t>
            </w:r>
          </w:p>
        </w:tc>
        <w:tc>
          <w:tcPr>
            <w:tcW w:w="1549" w:type="dxa"/>
            <w:shd w:val="clear" w:color="auto" w:fill="auto"/>
            <w:noWrap/>
            <w:vAlign w:val="bottom"/>
          </w:tcPr>
          <w:p w:rsidR="00CD1D49" w:rsidRDefault="00CD1D49">
            <w:pPr>
              <w:spacing w:line="500" w:lineRule="exact"/>
              <w:ind w:firstLineChars="200" w:firstLine="480"/>
              <w:jc w:val="center"/>
              <w:rPr>
                <w:rFonts w:hAnsi="宋体"/>
                <w:sz w:val="24"/>
              </w:rPr>
            </w:pPr>
          </w:p>
        </w:tc>
      </w:tr>
      <w:tr w:rsidR="00CD1D49">
        <w:trPr>
          <w:trHeight w:val="392"/>
          <w:jc w:val="center"/>
        </w:trPr>
        <w:tc>
          <w:tcPr>
            <w:tcW w:w="1545"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ABTS</w:t>
            </w:r>
          </w:p>
        </w:tc>
        <w:tc>
          <w:tcPr>
            <w:tcW w:w="1545"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0.970**</w:t>
            </w:r>
          </w:p>
        </w:tc>
        <w:tc>
          <w:tcPr>
            <w:tcW w:w="1545"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0.978**</w:t>
            </w:r>
          </w:p>
        </w:tc>
        <w:tc>
          <w:tcPr>
            <w:tcW w:w="1545"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0.991**</w:t>
            </w:r>
          </w:p>
        </w:tc>
        <w:tc>
          <w:tcPr>
            <w:tcW w:w="1549" w:type="dxa"/>
            <w:shd w:val="clear" w:color="auto" w:fill="auto"/>
            <w:noWrap/>
            <w:vAlign w:val="bottom"/>
          </w:tcPr>
          <w:p w:rsidR="00CD1D49" w:rsidRDefault="00E01641">
            <w:pPr>
              <w:spacing w:line="500" w:lineRule="exact"/>
              <w:ind w:firstLineChars="200" w:firstLine="480"/>
              <w:jc w:val="center"/>
              <w:rPr>
                <w:rFonts w:hAnsi="宋体"/>
                <w:sz w:val="24"/>
              </w:rPr>
            </w:pPr>
            <w:r>
              <w:rPr>
                <w:rFonts w:hAnsi="宋体" w:hint="eastAsia"/>
                <w:sz w:val="24"/>
              </w:rPr>
              <w:t>1</w:t>
            </w:r>
          </w:p>
        </w:tc>
      </w:tr>
    </w:tbl>
    <w:p w:rsidR="00CD1D49" w:rsidRDefault="00E0164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注： *显著相关( p&lt;0.05)，**极显著相关( p&lt;0.01)由表1可知，两种抗氧化体系的结果相似，呈极显著相关性</w:t>
      </w:r>
      <w:r>
        <w:rPr>
          <w:rFonts w:ascii="仿宋" w:eastAsia="仿宋" w:hAnsi="仿宋" w:cs="仿宋"/>
          <w:sz w:val="32"/>
          <w:szCs w:val="32"/>
        </w:rPr>
        <w:t>( p&lt;0.01)</w:t>
      </w:r>
      <w:r>
        <w:rPr>
          <w:rFonts w:ascii="仿宋" w:eastAsia="仿宋" w:hAnsi="仿宋" w:cs="仿宋" w:hint="eastAsia"/>
          <w:sz w:val="32"/>
          <w:szCs w:val="32"/>
        </w:rPr>
        <w:t>，且相关系数均大于0</w:t>
      </w:r>
      <w:r>
        <w:rPr>
          <w:rFonts w:ascii="仿宋" w:eastAsia="仿宋" w:hAnsi="仿宋" w:cs="仿宋"/>
          <w:sz w:val="32"/>
          <w:szCs w:val="32"/>
        </w:rPr>
        <w:t>.9</w:t>
      </w:r>
      <w:r>
        <w:rPr>
          <w:rFonts w:ascii="仿宋" w:eastAsia="仿宋" w:hAnsi="仿宋" w:cs="仿宋" w:hint="eastAsia"/>
          <w:sz w:val="32"/>
          <w:szCs w:val="32"/>
        </w:rPr>
        <w:t>，说明甘蔗醋的抗氧化性与总酚、总黄酮含量密切相关；总黄酮含量与D</w:t>
      </w:r>
      <w:r>
        <w:rPr>
          <w:rFonts w:ascii="仿宋" w:eastAsia="仿宋" w:hAnsi="仿宋" w:cs="仿宋"/>
          <w:sz w:val="32"/>
          <w:szCs w:val="32"/>
        </w:rPr>
        <w:t>PPH</w:t>
      </w:r>
      <w:r>
        <w:rPr>
          <w:rFonts w:ascii="仿宋" w:eastAsia="仿宋" w:hAnsi="仿宋" w:cs="仿宋" w:hint="eastAsia"/>
          <w:sz w:val="32"/>
          <w:szCs w:val="32"/>
        </w:rPr>
        <w:t>自由基清除能力、A</w:t>
      </w:r>
      <w:r>
        <w:rPr>
          <w:rFonts w:ascii="仿宋" w:eastAsia="仿宋" w:hAnsi="仿宋" w:cs="仿宋"/>
          <w:sz w:val="32"/>
          <w:szCs w:val="32"/>
        </w:rPr>
        <w:t>BTS</w:t>
      </w:r>
      <w:r>
        <w:rPr>
          <w:rFonts w:ascii="仿宋" w:eastAsia="仿宋" w:hAnsi="仿宋" w:cs="仿宋" w:hint="eastAsia"/>
          <w:sz w:val="32"/>
          <w:szCs w:val="32"/>
        </w:rPr>
        <w:t>自由基清除能力的相关系数分别为0</w:t>
      </w:r>
      <w:r>
        <w:rPr>
          <w:rFonts w:ascii="仿宋" w:eastAsia="仿宋" w:hAnsi="仿宋" w:cs="仿宋"/>
          <w:sz w:val="32"/>
          <w:szCs w:val="32"/>
        </w:rPr>
        <w:t>.968</w:t>
      </w:r>
      <w:r>
        <w:rPr>
          <w:rFonts w:ascii="仿宋" w:eastAsia="仿宋" w:hAnsi="仿宋" w:cs="仿宋" w:hint="eastAsia"/>
          <w:sz w:val="32"/>
          <w:szCs w:val="32"/>
        </w:rPr>
        <w:t>和0</w:t>
      </w:r>
      <w:r>
        <w:rPr>
          <w:rFonts w:ascii="仿宋" w:eastAsia="仿宋" w:hAnsi="仿宋" w:cs="仿宋"/>
          <w:sz w:val="32"/>
          <w:szCs w:val="32"/>
        </w:rPr>
        <w:t>.978</w:t>
      </w:r>
      <w:r>
        <w:rPr>
          <w:rFonts w:ascii="仿宋" w:eastAsia="仿宋" w:hAnsi="仿宋" w:cs="仿宋" w:hint="eastAsia"/>
          <w:sz w:val="32"/>
          <w:szCs w:val="32"/>
        </w:rPr>
        <w:t>，均高于总酚含量</w:t>
      </w:r>
      <w:r>
        <w:rPr>
          <w:rFonts w:ascii="仿宋" w:eastAsia="仿宋" w:hAnsi="仿宋" w:cs="仿宋" w:hint="eastAsia"/>
          <w:sz w:val="32"/>
          <w:szCs w:val="32"/>
        </w:rPr>
        <w:lastRenderedPageBreak/>
        <w:t>与这两种抗氧化体系的相关系数，而黄酮属于多酚中的一类，因此，推测酚类物质是甘蔗醋抗氧化的主要活性成分。</w:t>
      </w:r>
    </w:p>
    <w:p w:rsidR="00CD1D49" w:rsidRDefault="00E01641">
      <w:pPr>
        <w:spacing w:line="520" w:lineRule="exact"/>
        <w:ind w:firstLineChars="200" w:firstLine="643"/>
        <w:rPr>
          <w:rFonts w:ascii="仿宋" w:eastAsia="仿宋" w:hAnsi="仿宋" w:cs="仿宋"/>
          <w:b/>
          <w:bCs/>
          <w:sz w:val="32"/>
          <w:szCs w:val="32"/>
        </w:rPr>
      </w:pPr>
      <w:r>
        <w:rPr>
          <w:rFonts w:ascii="仿宋" w:eastAsia="仿宋" w:hAnsi="仿宋" w:cs="仿宋"/>
          <w:b/>
          <w:bCs/>
          <w:sz w:val="32"/>
          <w:szCs w:val="32"/>
        </w:rPr>
        <w:t xml:space="preserve">4 </w:t>
      </w:r>
      <w:r>
        <w:rPr>
          <w:rFonts w:ascii="仿宋" w:eastAsia="仿宋" w:hAnsi="仿宋" w:cs="仿宋" w:hint="eastAsia"/>
          <w:b/>
          <w:bCs/>
          <w:sz w:val="32"/>
          <w:szCs w:val="32"/>
        </w:rPr>
        <w:t>基于DPPH/ABTS -MS筛选抗氧化活性成分</w:t>
      </w:r>
    </w:p>
    <w:p w:rsidR="00CD1D49" w:rsidRDefault="00E0164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采用质谱法，对甘蔗醋及其多酚水提取液与DPPH、ABTS反应前后酚类物质进行定性、定量检测，见下表2。</w:t>
      </w:r>
    </w:p>
    <w:p w:rsidR="00CD1D49" w:rsidRDefault="00E01641">
      <w:pPr>
        <w:spacing w:line="500" w:lineRule="exact"/>
        <w:ind w:firstLineChars="200" w:firstLine="480"/>
        <w:jc w:val="center"/>
        <w:rPr>
          <w:rFonts w:hAnsi="宋体"/>
          <w:sz w:val="24"/>
        </w:rPr>
      </w:pPr>
      <w:r>
        <w:rPr>
          <w:rFonts w:hAnsi="宋体" w:hint="eastAsia"/>
          <w:sz w:val="24"/>
        </w:rPr>
        <w:t>表</w:t>
      </w:r>
      <w:r>
        <w:rPr>
          <w:rFonts w:hAnsi="宋体"/>
          <w:sz w:val="24"/>
        </w:rPr>
        <w:t>2</w:t>
      </w:r>
      <w:r>
        <w:rPr>
          <w:rFonts w:hAnsi="宋体" w:hint="eastAsia"/>
          <w:sz w:val="24"/>
        </w:rPr>
        <w:t xml:space="preserve"> </w:t>
      </w:r>
      <w:r>
        <w:rPr>
          <w:rFonts w:hAnsi="宋体" w:hint="eastAsia"/>
          <w:sz w:val="24"/>
        </w:rPr>
        <w:t>基于</w:t>
      </w:r>
      <w:r>
        <w:rPr>
          <w:rFonts w:hAnsi="宋体" w:hint="eastAsia"/>
          <w:sz w:val="24"/>
        </w:rPr>
        <w:t>DPPH/ABTS -MS</w:t>
      </w:r>
      <w:r>
        <w:rPr>
          <w:rFonts w:hAnsi="宋体" w:hint="eastAsia"/>
          <w:sz w:val="24"/>
        </w:rPr>
        <w:t>筛选甘蔗醋多酚中</w:t>
      </w:r>
      <w:r>
        <w:rPr>
          <w:rFonts w:hAnsi="宋体"/>
          <w:sz w:val="24"/>
        </w:rPr>
        <w:t>11</w:t>
      </w:r>
      <w:r>
        <w:rPr>
          <w:rFonts w:hAnsi="宋体" w:hint="eastAsia"/>
          <w:sz w:val="24"/>
        </w:rPr>
        <w:t>种酚类物质含量</w:t>
      </w:r>
      <w:r>
        <w:rPr>
          <w:rFonts w:hAnsi="宋体"/>
          <w:sz w:val="24"/>
        </w:rPr>
        <w:t>(mg/L</w:t>
      </w:r>
      <w:r>
        <w:rPr>
          <w:rFonts w:hAnsi="宋体" w:hint="eastAsia"/>
          <w:sz w:val="24"/>
        </w:rPr>
        <w:t>)</w:t>
      </w:r>
    </w:p>
    <w:tbl>
      <w:tblPr>
        <w:tblW w:w="7302" w:type="dxa"/>
        <w:jc w:val="center"/>
        <w:tblBorders>
          <w:top w:val="single" w:sz="4" w:space="0" w:color="auto"/>
          <w:bottom w:val="single" w:sz="4" w:space="0" w:color="auto"/>
        </w:tblBorders>
        <w:tblLook w:val="04A0" w:firstRow="1" w:lastRow="0" w:firstColumn="1" w:lastColumn="0" w:noHBand="0" w:noVBand="1"/>
      </w:tblPr>
      <w:tblGrid>
        <w:gridCol w:w="1226"/>
        <w:gridCol w:w="1923"/>
        <w:gridCol w:w="1233"/>
        <w:gridCol w:w="1460"/>
        <w:gridCol w:w="1460"/>
      </w:tblGrid>
      <w:tr w:rsidR="00CD1D49">
        <w:trPr>
          <w:trHeight w:val="313"/>
          <w:jc w:val="center"/>
        </w:trPr>
        <w:tc>
          <w:tcPr>
            <w:tcW w:w="1226" w:type="dxa"/>
            <w:vMerge w:val="restart"/>
            <w:tcBorders>
              <w:top w:val="single" w:sz="4" w:space="0" w:color="auto"/>
              <w:bottom w:val="single" w:sz="4" w:space="0" w:color="auto"/>
            </w:tcBorders>
            <w:shd w:val="clear" w:color="auto" w:fill="auto"/>
            <w:vAlign w:val="center"/>
          </w:tcPr>
          <w:p w:rsidR="00CD1D49" w:rsidRDefault="00E01641">
            <w:pPr>
              <w:widowControl/>
              <w:jc w:val="center"/>
              <w:rPr>
                <w:rFonts w:eastAsia="DengXian"/>
                <w:kern w:val="0"/>
                <w:szCs w:val="21"/>
              </w:rPr>
            </w:pPr>
            <w:r>
              <w:rPr>
                <w:rFonts w:eastAsia="DengXian"/>
                <w:kern w:val="0"/>
                <w:szCs w:val="21"/>
              </w:rPr>
              <w:t>No.</w:t>
            </w:r>
          </w:p>
        </w:tc>
        <w:tc>
          <w:tcPr>
            <w:tcW w:w="1923" w:type="dxa"/>
            <w:vMerge w:val="restart"/>
            <w:tcBorders>
              <w:top w:val="single" w:sz="4" w:space="0" w:color="auto"/>
              <w:bottom w:val="single" w:sz="4" w:space="0" w:color="auto"/>
            </w:tcBorders>
            <w:shd w:val="clear" w:color="auto" w:fill="auto"/>
            <w:vAlign w:val="center"/>
          </w:tcPr>
          <w:p w:rsidR="00CD1D49" w:rsidRDefault="00E01641">
            <w:pPr>
              <w:widowControl/>
              <w:jc w:val="center"/>
              <w:rPr>
                <w:kern w:val="0"/>
                <w:szCs w:val="21"/>
              </w:rPr>
            </w:pPr>
            <w:r>
              <w:rPr>
                <w:kern w:val="0"/>
                <w:szCs w:val="21"/>
              </w:rPr>
              <w:t>酚类物质</w:t>
            </w:r>
          </w:p>
        </w:tc>
        <w:tc>
          <w:tcPr>
            <w:tcW w:w="1233" w:type="dxa"/>
            <w:vMerge w:val="restart"/>
            <w:tcBorders>
              <w:top w:val="single" w:sz="4" w:space="0" w:color="auto"/>
              <w:bottom w:val="single" w:sz="4" w:space="0" w:color="auto"/>
            </w:tcBorders>
            <w:shd w:val="clear" w:color="auto" w:fill="auto"/>
            <w:vAlign w:val="center"/>
          </w:tcPr>
          <w:p w:rsidR="00CD1D49" w:rsidRDefault="00E01641">
            <w:pPr>
              <w:widowControl/>
              <w:jc w:val="center"/>
              <w:rPr>
                <w:kern w:val="0"/>
                <w:szCs w:val="21"/>
              </w:rPr>
            </w:pPr>
            <w:r>
              <w:rPr>
                <w:kern w:val="0"/>
                <w:szCs w:val="21"/>
              </w:rPr>
              <w:t>甘蔗原醋</w:t>
            </w:r>
          </w:p>
        </w:tc>
        <w:tc>
          <w:tcPr>
            <w:tcW w:w="1460" w:type="dxa"/>
            <w:vMerge w:val="restart"/>
            <w:tcBorders>
              <w:top w:val="single" w:sz="4" w:space="0" w:color="auto"/>
              <w:bottom w:val="single" w:sz="4" w:space="0" w:color="auto"/>
            </w:tcBorders>
            <w:shd w:val="clear" w:color="auto" w:fill="auto"/>
            <w:vAlign w:val="center"/>
          </w:tcPr>
          <w:p w:rsidR="00CD1D49" w:rsidRDefault="00E01641">
            <w:pPr>
              <w:widowControl/>
              <w:jc w:val="center"/>
              <w:rPr>
                <w:kern w:val="0"/>
                <w:szCs w:val="21"/>
              </w:rPr>
            </w:pPr>
            <w:r>
              <w:rPr>
                <w:kern w:val="0"/>
                <w:szCs w:val="21"/>
              </w:rPr>
              <w:t>甘蔗醋水提物</w:t>
            </w:r>
          </w:p>
        </w:tc>
        <w:tc>
          <w:tcPr>
            <w:tcW w:w="1460" w:type="dxa"/>
            <w:vMerge w:val="restart"/>
            <w:tcBorders>
              <w:top w:val="single" w:sz="4" w:space="0" w:color="auto"/>
              <w:bottom w:val="single" w:sz="4" w:space="0" w:color="auto"/>
            </w:tcBorders>
            <w:shd w:val="clear" w:color="auto" w:fill="auto"/>
            <w:vAlign w:val="center"/>
          </w:tcPr>
          <w:p w:rsidR="00CD1D49" w:rsidRDefault="00E01641">
            <w:pPr>
              <w:widowControl/>
              <w:jc w:val="center"/>
              <w:rPr>
                <w:kern w:val="0"/>
                <w:szCs w:val="21"/>
              </w:rPr>
            </w:pPr>
            <w:r>
              <w:rPr>
                <w:kern w:val="0"/>
                <w:szCs w:val="21"/>
              </w:rPr>
              <w:t>最低检出浓度（</w:t>
            </w:r>
            <w:r>
              <w:rPr>
                <w:kern w:val="0"/>
                <w:szCs w:val="21"/>
              </w:rPr>
              <w:t>ug/L</w:t>
            </w:r>
            <w:r>
              <w:rPr>
                <w:kern w:val="0"/>
                <w:szCs w:val="21"/>
              </w:rPr>
              <w:t>）</w:t>
            </w:r>
          </w:p>
        </w:tc>
      </w:tr>
      <w:tr w:rsidR="00CD1D49">
        <w:trPr>
          <w:trHeight w:val="313"/>
          <w:jc w:val="center"/>
        </w:trPr>
        <w:tc>
          <w:tcPr>
            <w:tcW w:w="1226" w:type="dxa"/>
            <w:vMerge/>
            <w:tcBorders>
              <w:top w:val="nil"/>
              <w:bottom w:val="single" w:sz="4" w:space="0" w:color="auto"/>
            </w:tcBorders>
            <w:vAlign w:val="center"/>
          </w:tcPr>
          <w:p w:rsidR="00CD1D49" w:rsidRDefault="00CD1D49">
            <w:pPr>
              <w:widowControl/>
              <w:jc w:val="left"/>
              <w:rPr>
                <w:rFonts w:eastAsia="DengXian"/>
                <w:kern w:val="0"/>
                <w:szCs w:val="21"/>
              </w:rPr>
            </w:pPr>
          </w:p>
        </w:tc>
        <w:tc>
          <w:tcPr>
            <w:tcW w:w="1923" w:type="dxa"/>
            <w:vMerge/>
            <w:tcBorders>
              <w:top w:val="nil"/>
              <w:bottom w:val="single" w:sz="4" w:space="0" w:color="auto"/>
            </w:tcBorders>
            <w:vAlign w:val="center"/>
          </w:tcPr>
          <w:p w:rsidR="00CD1D49" w:rsidRDefault="00CD1D49">
            <w:pPr>
              <w:widowControl/>
              <w:jc w:val="left"/>
              <w:rPr>
                <w:kern w:val="0"/>
                <w:szCs w:val="21"/>
              </w:rPr>
            </w:pPr>
          </w:p>
        </w:tc>
        <w:tc>
          <w:tcPr>
            <w:tcW w:w="1233" w:type="dxa"/>
            <w:vMerge/>
            <w:tcBorders>
              <w:top w:val="nil"/>
              <w:bottom w:val="single" w:sz="4" w:space="0" w:color="auto"/>
            </w:tcBorders>
            <w:vAlign w:val="center"/>
          </w:tcPr>
          <w:p w:rsidR="00CD1D49" w:rsidRDefault="00CD1D49">
            <w:pPr>
              <w:widowControl/>
              <w:jc w:val="left"/>
              <w:rPr>
                <w:kern w:val="0"/>
                <w:szCs w:val="21"/>
              </w:rPr>
            </w:pPr>
          </w:p>
        </w:tc>
        <w:tc>
          <w:tcPr>
            <w:tcW w:w="1460" w:type="dxa"/>
            <w:vMerge/>
            <w:tcBorders>
              <w:top w:val="nil"/>
              <w:bottom w:val="single" w:sz="4" w:space="0" w:color="auto"/>
            </w:tcBorders>
            <w:vAlign w:val="center"/>
          </w:tcPr>
          <w:p w:rsidR="00CD1D49" w:rsidRDefault="00CD1D49">
            <w:pPr>
              <w:widowControl/>
              <w:jc w:val="left"/>
              <w:rPr>
                <w:kern w:val="0"/>
                <w:szCs w:val="21"/>
              </w:rPr>
            </w:pPr>
          </w:p>
        </w:tc>
        <w:tc>
          <w:tcPr>
            <w:tcW w:w="1460" w:type="dxa"/>
            <w:vMerge/>
            <w:tcBorders>
              <w:top w:val="nil"/>
              <w:bottom w:val="single" w:sz="4" w:space="0" w:color="auto"/>
            </w:tcBorders>
            <w:vAlign w:val="center"/>
          </w:tcPr>
          <w:p w:rsidR="00CD1D49" w:rsidRDefault="00CD1D49">
            <w:pPr>
              <w:widowControl/>
              <w:jc w:val="left"/>
              <w:rPr>
                <w:kern w:val="0"/>
                <w:szCs w:val="21"/>
              </w:rPr>
            </w:pPr>
          </w:p>
        </w:tc>
      </w:tr>
      <w:tr w:rsidR="00CD1D49">
        <w:trPr>
          <w:trHeight w:val="301"/>
          <w:jc w:val="center"/>
        </w:trPr>
        <w:tc>
          <w:tcPr>
            <w:tcW w:w="1226" w:type="dxa"/>
            <w:tcBorders>
              <w:top w:val="single" w:sz="4" w:space="0" w:color="auto"/>
            </w:tcBorders>
            <w:shd w:val="clear" w:color="auto" w:fill="auto"/>
            <w:vAlign w:val="center"/>
          </w:tcPr>
          <w:p w:rsidR="00CD1D49" w:rsidRDefault="00E01641">
            <w:pPr>
              <w:widowControl/>
              <w:jc w:val="center"/>
              <w:rPr>
                <w:rFonts w:eastAsia="DengXian"/>
                <w:kern w:val="0"/>
                <w:szCs w:val="21"/>
              </w:rPr>
            </w:pPr>
            <w:r>
              <w:rPr>
                <w:rFonts w:eastAsia="DengXian"/>
                <w:kern w:val="0"/>
                <w:szCs w:val="21"/>
              </w:rPr>
              <w:t>1</w:t>
            </w:r>
          </w:p>
        </w:tc>
        <w:tc>
          <w:tcPr>
            <w:tcW w:w="1923" w:type="dxa"/>
            <w:tcBorders>
              <w:top w:val="single" w:sz="4" w:space="0" w:color="auto"/>
            </w:tcBorders>
            <w:shd w:val="clear" w:color="auto" w:fill="auto"/>
            <w:vAlign w:val="center"/>
          </w:tcPr>
          <w:p w:rsidR="00CD1D49" w:rsidRDefault="00E01641">
            <w:pPr>
              <w:widowControl/>
              <w:jc w:val="center"/>
              <w:rPr>
                <w:kern w:val="0"/>
                <w:szCs w:val="21"/>
              </w:rPr>
            </w:pPr>
            <w:r>
              <w:rPr>
                <w:kern w:val="0"/>
                <w:szCs w:val="21"/>
              </w:rPr>
              <w:t>芹菜素</w:t>
            </w:r>
          </w:p>
        </w:tc>
        <w:tc>
          <w:tcPr>
            <w:tcW w:w="1233" w:type="dxa"/>
            <w:tcBorders>
              <w:top w:val="single" w:sz="4" w:space="0" w:color="auto"/>
            </w:tcBorders>
            <w:shd w:val="clear" w:color="auto" w:fill="auto"/>
            <w:vAlign w:val="center"/>
          </w:tcPr>
          <w:p w:rsidR="00CD1D49" w:rsidRDefault="00E01641">
            <w:pPr>
              <w:widowControl/>
              <w:jc w:val="center"/>
              <w:rPr>
                <w:rFonts w:eastAsia="DengXian"/>
                <w:kern w:val="0"/>
                <w:szCs w:val="21"/>
              </w:rPr>
            </w:pPr>
            <w:r>
              <w:rPr>
                <w:rFonts w:eastAsia="DengXian"/>
                <w:kern w:val="0"/>
                <w:szCs w:val="21"/>
              </w:rPr>
              <w:t>0.0024</w:t>
            </w:r>
          </w:p>
        </w:tc>
        <w:tc>
          <w:tcPr>
            <w:tcW w:w="1460" w:type="dxa"/>
            <w:tcBorders>
              <w:top w:val="single" w:sz="4" w:space="0" w:color="auto"/>
            </w:tcBorders>
            <w:shd w:val="clear" w:color="auto" w:fill="auto"/>
            <w:vAlign w:val="center"/>
          </w:tcPr>
          <w:p w:rsidR="00CD1D49" w:rsidRDefault="00E01641">
            <w:pPr>
              <w:widowControl/>
              <w:jc w:val="center"/>
              <w:rPr>
                <w:rFonts w:eastAsia="DengXian"/>
                <w:kern w:val="0"/>
                <w:szCs w:val="21"/>
              </w:rPr>
            </w:pPr>
            <w:r>
              <w:rPr>
                <w:rFonts w:eastAsia="DengXian"/>
                <w:kern w:val="0"/>
                <w:szCs w:val="21"/>
              </w:rPr>
              <w:t>0.0025</w:t>
            </w:r>
          </w:p>
        </w:tc>
        <w:tc>
          <w:tcPr>
            <w:tcW w:w="1460" w:type="dxa"/>
            <w:tcBorders>
              <w:top w:val="single" w:sz="4" w:space="0" w:color="auto"/>
            </w:tcBorders>
            <w:shd w:val="clear" w:color="auto" w:fill="auto"/>
            <w:vAlign w:val="bottom"/>
          </w:tcPr>
          <w:p w:rsidR="00CD1D49" w:rsidRDefault="00E01641">
            <w:pPr>
              <w:widowControl/>
              <w:jc w:val="center"/>
              <w:rPr>
                <w:rFonts w:eastAsia="DengXian"/>
                <w:kern w:val="0"/>
                <w:szCs w:val="21"/>
              </w:rPr>
            </w:pPr>
            <w:r>
              <w:rPr>
                <w:rFonts w:eastAsia="DengXian"/>
                <w:szCs w:val="21"/>
              </w:rPr>
              <w:t>0.00046</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2</w:t>
            </w:r>
          </w:p>
        </w:tc>
        <w:tc>
          <w:tcPr>
            <w:tcW w:w="1923" w:type="dxa"/>
            <w:shd w:val="clear" w:color="auto" w:fill="auto"/>
            <w:vAlign w:val="center"/>
          </w:tcPr>
          <w:p w:rsidR="00CD1D49" w:rsidRDefault="00E01641">
            <w:pPr>
              <w:widowControl/>
              <w:jc w:val="center"/>
              <w:rPr>
                <w:kern w:val="0"/>
                <w:szCs w:val="21"/>
              </w:rPr>
            </w:pPr>
            <w:r>
              <w:rPr>
                <w:kern w:val="0"/>
                <w:szCs w:val="21"/>
              </w:rPr>
              <w:t>咖啡酸</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0.089</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0.0834</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0.00819</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3</w:t>
            </w:r>
          </w:p>
        </w:tc>
        <w:tc>
          <w:tcPr>
            <w:tcW w:w="1923" w:type="dxa"/>
            <w:shd w:val="clear" w:color="auto" w:fill="auto"/>
            <w:vAlign w:val="center"/>
          </w:tcPr>
          <w:p w:rsidR="00CD1D49" w:rsidRDefault="00E01641">
            <w:pPr>
              <w:widowControl/>
              <w:jc w:val="center"/>
              <w:rPr>
                <w:kern w:val="0"/>
                <w:szCs w:val="21"/>
              </w:rPr>
            </w:pPr>
            <w:r>
              <w:rPr>
                <w:kern w:val="0"/>
                <w:szCs w:val="21"/>
              </w:rPr>
              <w:t>儿茶素</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 xml:space="preserve">　</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 xml:space="preserve">　</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0.00749</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4</w:t>
            </w:r>
          </w:p>
        </w:tc>
        <w:tc>
          <w:tcPr>
            <w:tcW w:w="1923" w:type="dxa"/>
            <w:shd w:val="clear" w:color="auto" w:fill="auto"/>
            <w:vAlign w:val="center"/>
          </w:tcPr>
          <w:p w:rsidR="00CD1D49" w:rsidRDefault="00E01641">
            <w:pPr>
              <w:widowControl/>
              <w:jc w:val="center"/>
              <w:rPr>
                <w:kern w:val="0"/>
                <w:szCs w:val="21"/>
              </w:rPr>
            </w:pPr>
            <w:r>
              <w:rPr>
                <w:kern w:val="0"/>
                <w:szCs w:val="21"/>
              </w:rPr>
              <w:t>肉桂酸</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 xml:space="preserve">　</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 xml:space="preserve">　</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0.02587</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5</w:t>
            </w:r>
          </w:p>
        </w:tc>
        <w:tc>
          <w:tcPr>
            <w:tcW w:w="1923" w:type="dxa"/>
            <w:shd w:val="clear" w:color="auto" w:fill="auto"/>
            <w:vAlign w:val="center"/>
          </w:tcPr>
          <w:p w:rsidR="00CD1D49" w:rsidRDefault="00E01641">
            <w:pPr>
              <w:widowControl/>
              <w:jc w:val="center"/>
              <w:rPr>
                <w:kern w:val="0"/>
                <w:szCs w:val="21"/>
              </w:rPr>
            </w:pPr>
            <w:r>
              <w:rPr>
                <w:kern w:val="0"/>
                <w:szCs w:val="21"/>
              </w:rPr>
              <w:t>绿原酸</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0.058</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0.0251</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0.00832</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6</w:t>
            </w:r>
          </w:p>
        </w:tc>
        <w:tc>
          <w:tcPr>
            <w:tcW w:w="1923" w:type="dxa"/>
            <w:shd w:val="clear" w:color="auto" w:fill="auto"/>
            <w:vAlign w:val="center"/>
          </w:tcPr>
          <w:p w:rsidR="00CD1D49" w:rsidRDefault="00E01641">
            <w:pPr>
              <w:widowControl/>
              <w:jc w:val="center"/>
              <w:rPr>
                <w:kern w:val="0"/>
                <w:szCs w:val="21"/>
              </w:rPr>
            </w:pPr>
            <w:r>
              <w:rPr>
                <w:kern w:val="0"/>
                <w:szCs w:val="21"/>
              </w:rPr>
              <w:t>对香豆酸</w:t>
            </w:r>
            <w:r>
              <w:rPr>
                <w:kern w:val="0"/>
                <w:szCs w:val="21"/>
              </w:rPr>
              <w:t>+</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2.8519</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2.7944</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0.02335</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7</w:t>
            </w:r>
          </w:p>
        </w:tc>
        <w:tc>
          <w:tcPr>
            <w:tcW w:w="1923" w:type="dxa"/>
            <w:shd w:val="clear" w:color="auto" w:fill="auto"/>
            <w:vAlign w:val="center"/>
          </w:tcPr>
          <w:p w:rsidR="00CD1D49" w:rsidRDefault="00E01641">
            <w:pPr>
              <w:widowControl/>
              <w:jc w:val="center"/>
              <w:rPr>
                <w:kern w:val="0"/>
                <w:szCs w:val="21"/>
              </w:rPr>
            </w:pPr>
            <w:r>
              <w:rPr>
                <w:kern w:val="0"/>
                <w:szCs w:val="21"/>
              </w:rPr>
              <w:t>对香豆酸</w:t>
            </w:r>
            <w:r>
              <w:rPr>
                <w:kern w:val="0"/>
                <w:szCs w:val="21"/>
              </w:rPr>
              <w:t>-</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2.9165</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2.6969</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0.0076</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8</w:t>
            </w:r>
          </w:p>
        </w:tc>
        <w:tc>
          <w:tcPr>
            <w:tcW w:w="1923" w:type="dxa"/>
            <w:shd w:val="clear" w:color="auto" w:fill="auto"/>
            <w:vAlign w:val="center"/>
          </w:tcPr>
          <w:p w:rsidR="00CD1D49" w:rsidRDefault="00E01641">
            <w:pPr>
              <w:widowControl/>
              <w:jc w:val="center"/>
              <w:rPr>
                <w:kern w:val="0"/>
                <w:szCs w:val="21"/>
              </w:rPr>
            </w:pPr>
            <w:r>
              <w:rPr>
                <w:kern w:val="0"/>
                <w:szCs w:val="21"/>
              </w:rPr>
              <w:t>香豆素</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 xml:space="preserve">　</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 xml:space="preserve">　</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0.00406</w:t>
            </w:r>
          </w:p>
        </w:tc>
      </w:tr>
      <w:tr w:rsidR="00CD1D49">
        <w:trPr>
          <w:trHeight w:val="528"/>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9</w:t>
            </w:r>
          </w:p>
        </w:tc>
        <w:tc>
          <w:tcPr>
            <w:tcW w:w="1923" w:type="dxa"/>
            <w:shd w:val="clear" w:color="auto" w:fill="auto"/>
            <w:vAlign w:val="center"/>
          </w:tcPr>
          <w:p w:rsidR="00CD1D49" w:rsidRDefault="00E01641">
            <w:pPr>
              <w:widowControl/>
              <w:jc w:val="center"/>
              <w:rPr>
                <w:kern w:val="0"/>
                <w:szCs w:val="21"/>
              </w:rPr>
            </w:pPr>
            <w:r>
              <w:rPr>
                <w:kern w:val="0"/>
                <w:szCs w:val="21"/>
              </w:rPr>
              <w:t>表儿茶素</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 xml:space="preserve">　</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 xml:space="preserve">　</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0.00615</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10</w:t>
            </w:r>
          </w:p>
        </w:tc>
        <w:tc>
          <w:tcPr>
            <w:tcW w:w="1923" w:type="dxa"/>
            <w:shd w:val="clear" w:color="auto" w:fill="auto"/>
            <w:vAlign w:val="center"/>
          </w:tcPr>
          <w:p w:rsidR="00CD1D49" w:rsidRDefault="00E01641">
            <w:pPr>
              <w:widowControl/>
              <w:jc w:val="center"/>
              <w:rPr>
                <w:kern w:val="0"/>
                <w:szCs w:val="21"/>
              </w:rPr>
            </w:pPr>
            <w:r>
              <w:rPr>
                <w:kern w:val="0"/>
                <w:szCs w:val="21"/>
              </w:rPr>
              <w:t>阿魏酸</w:t>
            </w:r>
            <w:r>
              <w:rPr>
                <w:kern w:val="0"/>
                <w:szCs w:val="21"/>
              </w:rPr>
              <w:t>+</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1.6746</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1.9187</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0.00706</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11</w:t>
            </w:r>
          </w:p>
        </w:tc>
        <w:tc>
          <w:tcPr>
            <w:tcW w:w="1923" w:type="dxa"/>
            <w:shd w:val="clear" w:color="auto" w:fill="auto"/>
            <w:vAlign w:val="center"/>
          </w:tcPr>
          <w:p w:rsidR="00CD1D49" w:rsidRDefault="00E01641">
            <w:pPr>
              <w:widowControl/>
              <w:jc w:val="center"/>
              <w:rPr>
                <w:kern w:val="0"/>
                <w:szCs w:val="21"/>
              </w:rPr>
            </w:pPr>
            <w:r>
              <w:rPr>
                <w:kern w:val="0"/>
                <w:szCs w:val="21"/>
              </w:rPr>
              <w:t>阿魏酸</w:t>
            </w:r>
            <w:r>
              <w:rPr>
                <w:kern w:val="0"/>
                <w:szCs w:val="21"/>
              </w:rPr>
              <w:t>-</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1.5818</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1.9236</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0.01549</w:t>
            </w:r>
          </w:p>
        </w:tc>
      </w:tr>
      <w:tr w:rsidR="00CD1D49">
        <w:trPr>
          <w:trHeight w:val="543"/>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12</w:t>
            </w:r>
          </w:p>
        </w:tc>
        <w:tc>
          <w:tcPr>
            <w:tcW w:w="1923" w:type="dxa"/>
            <w:shd w:val="clear" w:color="auto" w:fill="auto"/>
            <w:vAlign w:val="center"/>
          </w:tcPr>
          <w:p w:rsidR="00CD1D49" w:rsidRDefault="00E01641">
            <w:pPr>
              <w:widowControl/>
              <w:jc w:val="center"/>
              <w:rPr>
                <w:kern w:val="0"/>
                <w:szCs w:val="21"/>
              </w:rPr>
            </w:pPr>
            <w:r>
              <w:rPr>
                <w:kern w:val="0"/>
                <w:szCs w:val="21"/>
              </w:rPr>
              <w:t>没食子酸</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0.0334</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0.0267</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0.00459</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13</w:t>
            </w:r>
          </w:p>
        </w:tc>
        <w:tc>
          <w:tcPr>
            <w:tcW w:w="1923" w:type="dxa"/>
            <w:shd w:val="clear" w:color="auto" w:fill="auto"/>
            <w:vAlign w:val="center"/>
          </w:tcPr>
          <w:p w:rsidR="00CD1D49" w:rsidRDefault="00E01641">
            <w:pPr>
              <w:widowControl/>
              <w:jc w:val="center"/>
              <w:rPr>
                <w:kern w:val="0"/>
                <w:szCs w:val="21"/>
              </w:rPr>
            </w:pPr>
            <w:r>
              <w:rPr>
                <w:kern w:val="0"/>
                <w:szCs w:val="21"/>
              </w:rPr>
              <w:t>龙胆酸</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0.1008</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0.0839</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0.0017</w:t>
            </w:r>
          </w:p>
        </w:tc>
      </w:tr>
      <w:tr w:rsidR="00CD1D49">
        <w:trPr>
          <w:trHeight w:val="528"/>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14</w:t>
            </w:r>
          </w:p>
        </w:tc>
        <w:tc>
          <w:tcPr>
            <w:tcW w:w="1923" w:type="dxa"/>
            <w:shd w:val="clear" w:color="auto" w:fill="auto"/>
            <w:vAlign w:val="center"/>
          </w:tcPr>
          <w:p w:rsidR="00CD1D49" w:rsidRDefault="00E01641">
            <w:pPr>
              <w:widowControl/>
              <w:jc w:val="center"/>
              <w:rPr>
                <w:kern w:val="0"/>
                <w:szCs w:val="21"/>
              </w:rPr>
            </w:pPr>
            <w:r>
              <w:rPr>
                <w:kern w:val="0"/>
                <w:szCs w:val="21"/>
              </w:rPr>
              <w:t>对羟基苯甲酸</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0.0414</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0.0304</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0.00717</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15</w:t>
            </w:r>
          </w:p>
        </w:tc>
        <w:tc>
          <w:tcPr>
            <w:tcW w:w="1923" w:type="dxa"/>
            <w:shd w:val="clear" w:color="auto" w:fill="auto"/>
            <w:vAlign w:val="center"/>
          </w:tcPr>
          <w:p w:rsidR="00CD1D49" w:rsidRDefault="00E01641">
            <w:pPr>
              <w:widowControl/>
              <w:jc w:val="center"/>
              <w:rPr>
                <w:kern w:val="0"/>
                <w:szCs w:val="21"/>
              </w:rPr>
            </w:pPr>
            <w:r>
              <w:rPr>
                <w:kern w:val="0"/>
                <w:szCs w:val="21"/>
              </w:rPr>
              <w:t>山奈酚</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 xml:space="preserve">　</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 xml:space="preserve">　</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0.00222</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16</w:t>
            </w:r>
          </w:p>
        </w:tc>
        <w:tc>
          <w:tcPr>
            <w:tcW w:w="1923" w:type="dxa"/>
            <w:shd w:val="clear" w:color="auto" w:fill="auto"/>
            <w:vAlign w:val="center"/>
          </w:tcPr>
          <w:p w:rsidR="00CD1D49" w:rsidRDefault="00E01641">
            <w:pPr>
              <w:widowControl/>
              <w:jc w:val="center"/>
              <w:rPr>
                <w:kern w:val="0"/>
                <w:szCs w:val="21"/>
              </w:rPr>
            </w:pPr>
            <w:r>
              <w:rPr>
                <w:kern w:val="0"/>
                <w:szCs w:val="21"/>
              </w:rPr>
              <w:t>木樨草素</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0.0031</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0.0032</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0.00319</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17</w:t>
            </w:r>
          </w:p>
        </w:tc>
        <w:tc>
          <w:tcPr>
            <w:tcW w:w="1923" w:type="dxa"/>
            <w:shd w:val="clear" w:color="auto" w:fill="auto"/>
            <w:vAlign w:val="center"/>
          </w:tcPr>
          <w:p w:rsidR="00CD1D49" w:rsidRDefault="00E01641">
            <w:pPr>
              <w:widowControl/>
              <w:jc w:val="center"/>
              <w:rPr>
                <w:kern w:val="0"/>
                <w:szCs w:val="21"/>
              </w:rPr>
            </w:pPr>
            <w:r>
              <w:rPr>
                <w:kern w:val="0"/>
                <w:szCs w:val="21"/>
              </w:rPr>
              <w:t>原儿茶酸</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0.1043</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0.0905</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0.00164</w:t>
            </w:r>
          </w:p>
        </w:tc>
      </w:tr>
      <w:tr w:rsidR="00CD1D49">
        <w:trPr>
          <w:trHeight w:val="543"/>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18</w:t>
            </w:r>
          </w:p>
        </w:tc>
        <w:tc>
          <w:tcPr>
            <w:tcW w:w="1923" w:type="dxa"/>
            <w:shd w:val="clear" w:color="auto" w:fill="auto"/>
            <w:vAlign w:val="center"/>
          </w:tcPr>
          <w:p w:rsidR="00CD1D49" w:rsidRDefault="00E01641">
            <w:pPr>
              <w:widowControl/>
              <w:jc w:val="center"/>
              <w:rPr>
                <w:rFonts w:eastAsia="DengXian"/>
                <w:kern w:val="0"/>
                <w:szCs w:val="21"/>
              </w:rPr>
            </w:pPr>
            <w:r>
              <w:rPr>
                <w:rFonts w:eastAsia="DengXian"/>
                <w:kern w:val="0"/>
                <w:szCs w:val="21"/>
              </w:rPr>
              <w:t>3-</w:t>
            </w:r>
            <w:r>
              <w:rPr>
                <w:kern w:val="0"/>
                <w:szCs w:val="21"/>
              </w:rPr>
              <w:t>羟基肉桂酸</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1.4329</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1.3361</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0.01148</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19</w:t>
            </w:r>
          </w:p>
        </w:tc>
        <w:tc>
          <w:tcPr>
            <w:tcW w:w="1923" w:type="dxa"/>
            <w:shd w:val="clear" w:color="auto" w:fill="auto"/>
            <w:vAlign w:val="center"/>
          </w:tcPr>
          <w:p w:rsidR="00CD1D49" w:rsidRDefault="00E01641">
            <w:pPr>
              <w:widowControl/>
              <w:jc w:val="center"/>
              <w:rPr>
                <w:kern w:val="0"/>
                <w:szCs w:val="21"/>
              </w:rPr>
            </w:pPr>
            <w:r>
              <w:rPr>
                <w:kern w:val="0"/>
                <w:szCs w:val="21"/>
              </w:rPr>
              <w:t>水杨酸</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0.0401</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0.0375</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0.00585</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20</w:t>
            </w:r>
          </w:p>
        </w:tc>
        <w:tc>
          <w:tcPr>
            <w:tcW w:w="1923" w:type="dxa"/>
            <w:shd w:val="clear" w:color="auto" w:fill="auto"/>
            <w:vAlign w:val="center"/>
          </w:tcPr>
          <w:p w:rsidR="00CD1D49" w:rsidRDefault="00E01641">
            <w:pPr>
              <w:widowControl/>
              <w:jc w:val="center"/>
              <w:rPr>
                <w:kern w:val="0"/>
                <w:szCs w:val="21"/>
              </w:rPr>
            </w:pPr>
            <w:r>
              <w:rPr>
                <w:kern w:val="0"/>
                <w:szCs w:val="21"/>
              </w:rPr>
              <w:t>丁香酸</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0.3731</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0.3128</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0.00344</w:t>
            </w:r>
          </w:p>
        </w:tc>
      </w:tr>
      <w:tr w:rsidR="00CD1D49">
        <w:trPr>
          <w:trHeight w:val="301"/>
          <w:jc w:val="center"/>
        </w:trPr>
        <w:tc>
          <w:tcPr>
            <w:tcW w:w="1226" w:type="dxa"/>
            <w:shd w:val="clear" w:color="auto" w:fill="auto"/>
            <w:vAlign w:val="center"/>
          </w:tcPr>
          <w:p w:rsidR="00CD1D49" w:rsidRDefault="00E01641">
            <w:pPr>
              <w:widowControl/>
              <w:jc w:val="center"/>
              <w:rPr>
                <w:rFonts w:eastAsia="DengXian"/>
                <w:kern w:val="0"/>
                <w:szCs w:val="21"/>
              </w:rPr>
            </w:pPr>
            <w:r>
              <w:rPr>
                <w:rFonts w:eastAsia="DengXian"/>
                <w:kern w:val="0"/>
                <w:szCs w:val="21"/>
              </w:rPr>
              <w:t>21</w:t>
            </w:r>
          </w:p>
        </w:tc>
        <w:tc>
          <w:tcPr>
            <w:tcW w:w="1923" w:type="dxa"/>
            <w:shd w:val="clear" w:color="auto" w:fill="auto"/>
            <w:vAlign w:val="center"/>
          </w:tcPr>
          <w:p w:rsidR="00CD1D49" w:rsidRDefault="00E01641">
            <w:pPr>
              <w:widowControl/>
              <w:jc w:val="center"/>
              <w:rPr>
                <w:kern w:val="0"/>
                <w:szCs w:val="21"/>
              </w:rPr>
            </w:pPr>
            <w:r>
              <w:rPr>
                <w:kern w:val="0"/>
                <w:szCs w:val="21"/>
              </w:rPr>
              <w:t>香草酸</w:t>
            </w:r>
          </w:p>
        </w:tc>
        <w:tc>
          <w:tcPr>
            <w:tcW w:w="1233" w:type="dxa"/>
            <w:shd w:val="clear" w:color="auto" w:fill="auto"/>
            <w:vAlign w:val="center"/>
          </w:tcPr>
          <w:p w:rsidR="00CD1D49" w:rsidRDefault="00E01641">
            <w:pPr>
              <w:widowControl/>
              <w:jc w:val="center"/>
              <w:rPr>
                <w:rFonts w:eastAsia="DengXian"/>
                <w:kern w:val="0"/>
                <w:szCs w:val="21"/>
              </w:rPr>
            </w:pPr>
            <w:r>
              <w:rPr>
                <w:rFonts w:eastAsia="DengXian"/>
                <w:kern w:val="0"/>
                <w:szCs w:val="21"/>
              </w:rPr>
              <w:t>0.2057</w:t>
            </w:r>
          </w:p>
        </w:tc>
        <w:tc>
          <w:tcPr>
            <w:tcW w:w="1460" w:type="dxa"/>
            <w:shd w:val="clear" w:color="auto" w:fill="auto"/>
            <w:vAlign w:val="center"/>
          </w:tcPr>
          <w:p w:rsidR="00CD1D49" w:rsidRDefault="00E01641">
            <w:pPr>
              <w:widowControl/>
              <w:jc w:val="center"/>
              <w:rPr>
                <w:rFonts w:eastAsia="DengXian"/>
                <w:kern w:val="0"/>
                <w:szCs w:val="21"/>
              </w:rPr>
            </w:pPr>
            <w:r>
              <w:rPr>
                <w:rFonts w:eastAsia="DengXian"/>
                <w:kern w:val="0"/>
                <w:szCs w:val="21"/>
              </w:rPr>
              <w:t>0.195</w:t>
            </w:r>
          </w:p>
        </w:tc>
        <w:tc>
          <w:tcPr>
            <w:tcW w:w="1460" w:type="dxa"/>
            <w:shd w:val="clear" w:color="auto" w:fill="auto"/>
            <w:vAlign w:val="bottom"/>
          </w:tcPr>
          <w:p w:rsidR="00CD1D49" w:rsidRDefault="00E01641">
            <w:pPr>
              <w:widowControl/>
              <w:jc w:val="center"/>
              <w:rPr>
                <w:rFonts w:eastAsia="DengXian"/>
                <w:kern w:val="0"/>
                <w:szCs w:val="21"/>
              </w:rPr>
            </w:pPr>
            <w:r>
              <w:rPr>
                <w:rFonts w:eastAsia="DengXian"/>
                <w:szCs w:val="21"/>
              </w:rPr>
              <w:t>0.00511</w:t>
            </w:r>
          </w:p>
        </w:tc>
      </w:tr>
    </w:tbl>
    <w:p w:rsidR="00CD1D49" w:rsidRDefault="00CD1D49">
      <w:pPr>
        <w:rPr>
          <w:szCs w:val="21"/>
        </w:rPr>
      </w:pPr>
    </w:p>
    <w:p w:rsidR="00CD1D49" w:rsidRDefault="00E01641">
      <w:pPr>
        <w:spacing w:line="500" w:lineRule="exact"/>
        <w:ind w:firstLineChars="200" w:firstLine="480"/>
        <w:jc w:val="center"/>
        <w:rPr>
          <w:rFonts w:hAnsi="宋体"/>
          <w:sz w:val="24"/>
        </w:rPr>
      </w:pPr>
      <w:r>
        <w:rPr>
          <w:rFonts w:hAnsi="宋体" w:hint="eastAsia"/>
          <w:sz w:val="24"/>
        </w:rPr>
        <w:t>表</w:t>
      </w:r>
      <w:r>
        <w:rPr>
          <w:rFonts w:hAnsi="宋体" w:hint="eastAsia"/>
          <w:sz w:val="24"/>
        </w:rPr>
        <w:t>2</w:t>
      </w:r>
      <w:r>
        <w:rPr>
          <w:rFonts w:hAnsi="宋体"/>
          <w:sz w:val="24"/>
        </w:rPr>
        <w:t xml:space="preserve">  </w:t>
      </w:r>
      <w:r>
        <w:rPr>
          <w:rFonts w:hAnsi="宋体" w:hint="eastAsia"/>
          <w:sz w:val="24"/>
        </w:rPr>
        <w:t>DPPH/ABTS-MS</w:t>
      </w:r>
      <w:r>
        <w:rPr>
          <w:rFonts w:hAnsi="宋体" w:hint="eastAsia"/>
          <w:sz w:val="24"/>
        </w:rPr>
        <w:t>检测结果</w:t>
      </w:r>
    </w:p>
    <w:tbl>
      <w:tblPr>
        <w:tblW w:w="8579" w:type="dxa"/>
        <w:jc w:val="center"/>
        <w:tblBorders>
          <w:top w:val="single" w:sz="12" w:space="0" w:color="auto"/>
          <w:bottom w:val="single" w:sz="12" w:space="0" w:color="auto"/>
        </w:tblBorders>
        <w:tblLook w:val="04A0" w:firstRow="1" w:lastRow="0" w:firstColumn="1" w:lastColumn="0" w:noHBand="0" w:noVBand="1"/>
      </w:tblPr>
      <w:tblGrid>
        <w:gridCol w:w="1991"/>
        <w:gridCol w:w="1677"/>
        <w:gridCol w:w="1677"/>
        <w:gridCol w:w="2007"/>
        <w:gridCol w:w="1227"/>
      </w:tblGrid>
      <w:tr w:rsidR="00CD1D49">
        <w:trPr>
          <w:trHeight w:val="397"/>
          <w:jc w:val="center"/>
        </w:trPr>
        <w:tc>
          <w:tcPr>
            <w:tcW w:w="1991" w:type="dxa"/>
            <w:tcBorders>
              <w:top w:val="single" w:sz="12" w:space="0" w:color="auto"/>
              <w:bottom w:val="single" w:sz="4" w:space="0" w:color="auto"/>
            </w:tcBorders>
            <w:shd w:val="clear" w:color="auto" w:fill="auto"/>
            <w:noWrap/>
            <w:vAlign w:val="center"/>
          </w:tcPr>
          <w:p w:rsidR="00CD1D49" w:rsidRDefault="00E01641">
            <w:pPr>
              <w:spacing w:line="500" w:lineRule="exact"/>
              <w:jc w:val="center"/>
              <w:rPr>
                <w:rFonts w:hAnsi="宋体"/>
                <w:sz w:val="24"/>
              </w:rPr>
            </w:pPr>
            <w:r>
              <w:rPr>
                <w:rFonts w:hAnsi="宋体" w:hint="eastAsia"/>
                <w:sz w:val="24"/>
              </w:rPr>
              <w:t>化合物名称</w:t>
            </w:r>
          </w:p>
        </w:tc>
        <w:tc>
          <w:tcPr>
            <w:tcW w:w="1677" w:type="dxa"/>
            <w:tcBorders>
              <w:top w:val="single" w:sz="12" w:space="0" w:color="auto"/>
              <w:bottom w:val="single" w:sz="4" w:space="0" w:color="auto"/>
            </w:tcBorders>
            <w:shd w:val="clear" w:color="auto" w:fill="auto"/>
            <w:noWrap/>
            <w:vAlign w:val="center"/>
          </w:tcPr>
          <w:p w:rsidR="00CD1D49" w:rsidRDefault="00E01641">
            <w:pPr>
              <w:spacing w:line="500" w:lineRule="exact"/>
              <w:jc w:val="center"/>
              <w:rPr>
                <w:rFonts w:hAnsi="宋体"/>
                <w:sz w:val="24"/>
              </w:rPr>
            </w:pPr>
            <w:r>
              <w:rPr>
                <w:rFonts w:hAnsi="宋体" w:hint="eastAsia"/>
                <w:sz w:val="24"/>
              </w:rPr>
              <w:t>DPPH</w:t>
            </w:r>
            <w:r>
              <w:rPr>
                <w:rFonts w:hAnsi="宋体" w:hint="eastAsia"/>
                <w:sz w:val="24"/>
              </w:rPr>
              <w:t>反应后</w:t>
            </w:r>
          </w:p>
        </w:tc>
        <w:tc>
          <w:tcPr>
            <w:tcW w:w="1677" w:type="dxa"/>
            <w:tcBorders>
              <w:top w:val="single" w:sz="12" w:space="0" w:color="auto"/>
              <w:bottom w:val="single" w:sz="4" w:space="0" w:color="auto"/>
            </w:tcBorders>
            <w:shd w:val="clear" w:color="auto" w:fill="auto"/>
            <w:noWrap/>
            <w:vAlign w:val="center"/>
          </w:tcPr>
          <w:p w:rsidR="00CD1D49" w:rsidRDefault="00E01641">
            <w:pPr>
              <w:spacing w:line="500" w:lineRule="exact"/>
              <w:jc w:val="center"/>
              <w:rPr>
                <w:rFonts w:hAnsi="宋体"/>
                <w:sz w:val="24"/>
              </w:rPr>
            </w:pPr>
            <w:r>
              <w:rPr>
                <w:rFonts w:hAnsi="宋体" w:hint="eastAsia"/>
                <w:sz w:val="24"/>
              </w:rPr>
              <w:t>ABTS</w:t>
            </w:r>
            <w:r>
              <w:rPr>
                <w:rFonts w:hAnsi="宋体" w:hint="eastAsia"/>
                <w:sz w:val="24"/>
              </w:rPr>
              <w:t>反应后</w:t>
            </w:r>
          </w:p>
        </w:tc>
        <w:tc>
          <w:tcPr>
            <w:tcW w:w="2007" w:type="dxa"/>
            <w:tcBorders>
              <w:top w:val="single" w:sz="12" w:space="0" w:color="auto"/>
              <w:bottom w:val="single" w:sz="4" w:space="0" w:color="auto"/>
            </w:tcBorders>
            <w:shd w:val="clear" w:color="auto" w:fill="auto"/>
            <w:noWrap/>
            <w:vAlign w:val="center"/>
          </w:tcPr>
          <w:p w:rsidR="00CD1D49" w:rsidRDefault="00E01641">
            <w:pPr>
              <w:spacing w:line="500" w:lineRule="exact"/>
              <w:jc w:val="center"/>
              <w:rPr>
                <w:rFonts w:hAnsi="宋体"/>
                <w:sz w:val="24"/>
              </w:rPr>
            </w:pPr>
            <w:r>
              <w:rPr>
                <w:rFonts w:hAnsi="宋体" w:hint="eastAsia"/>
                <w:sz w:val="24"/>
              </w:rPr>
              <w:t>对照（反应前）</w:t>
            </w:r>
          </w:p>
        </w:tc>
        <w:tc>
          <w:tcPr>
            <w:tcW w:w="1227" w:type="dxa"/>
            <w:tcBorders>
              <w:top w:val="single" w:sz="12" w:space="0" w:color="auto"/>
              <w:bottom w:val="single" w:sz="4" w:space="0" w:color="auto"/>
            </w:tcBorders>
            <w:shd w:val="clear" w:color="auto" w:fill="auto"/>
            <w:noWrap/>
            <w:vAlign w:val="center"/>
          </w:tcPr>
          <w:p w:rsidR="00CD1D49" w:rsidRDefault="00E01641">
            <w:pPr>
              <w:spacing w:line="500" w:lineRule="exact"/>
              <w:jc w:val="center"/>
              <w:rPr>
                <w:rFonts w:hAnsi="宋体"/>
                <w:sz w:val="24"/>
              </w:rPr>
            </w:pPr>
            <w:r>
              <w:rPr>
                <w:rFonts w:hAnsi="宋体" w:hint="eastAsia"/>
                <w:sz w:val="24"/>
              </w:rPr>
              <w:t>抗氧化性</w:t>
            </w:r>
          </w:p>
        </w:tc>
      </w:tr>
      <w:tr w:rsidR="00CD1D49">
        <w:trPr>
          <w:trHeight w:val="397"/>
          <w:jc w:val="center"/>
        </w:trPr>
        <w:tc>
          <w:tcPr>
            <w:tcW w:w="1991" w:type="dxa"/>
            <w:tcBorders>
              <w:top w:val="single" w:sz="4" w:space="0" w:color="auto"/>
            </w:tcBorders>
            <w:shd w:val="clear" w:color="auto" w:fill="auto"/>
            <w:noWrap/>
            <w:vAlign w:val="center"/>
          </w:tcPr>
          <w:p w:rsidR="00CD1D49" w:rsidRDefault="00E01641">
            <w:pPr>
              <w:spacing w:line="500" w:lineRule="exact"/>
              <w:jc w:val="center"/>
              <w:rPr>
                <w:rFonts w:hAnsi="宋体"/>
                <w:sz w:val="24"/>
              </w:rPr>
            </w:pPr>
            <w:r>
              <w:rPr>
                <w:rFonts w:hAnsi="宋体" w:hint="eastAsia"/>
                <w:sz w:val="24"/>
              </w:rPr>
              <w:t>芹菜素</w:t>
            </w:r>
          </w:p>
        </w:tc>
        <w:tc>
          <w:tcPr>
            <w:tcW w:w="1677" w:type="dxa"/>
            <w:tcBorders>
              <w:top w:val="single" w:sz="4" w:space="0" w:color="auto"/>
            </w:tcBorders>
            <w:shd w:val="clear" w:color="auto" w:fill="auto"/>
            <w:noWrap/>
            <w:vAlign w:val="center"/>
          </w:tcPr>
          <w:p w:rsidR="00CD1D49" w:rsidRDefault="00E01641">
            <w:pPr>
              <w:spacing w:line="500" w:lineRule="exact"/>
              <w:jc w:val="center"/>
              <w:rPr>
                <w:rFonts w:hAnsi="宋体"/>
                <w:sz w:val="24"/>
              </w:rPr>
            </w:pPr>
            <w:r>
              <w:rPr>
                <w:rFonts w:hAnsi="宋体" w:hint="eastAsia"/>
                <w:sz w:val="24"/>
              </w:rPr>
              <w:t>0.002</w:t>
            </w:r>
          </w:p>
        </w:tc>
        <w:tc>
          <w:tcPr>
            <w:tcW w:w="1677" w:type="dxa"/>
            <w:tcBorders>
              <w:top w:val="single" w:sz="4" w:space="0" w:color="auto"/>
            </w:tcBorders>
            <w:shd w:val="clear" w:color="auto" w:fill="auto"/>
            <w:noWrap/>
            <w:vAlign w:val="center"/>
          </w:tcPr>
          <w:p w:rsidR="00CD1D49" w:rsidRDefault="00E01641">
            <w:pPr>
              <w:spacing w:line="500" w:lineRule="exact"/>
              <w:jc w:val="center"/>
              <w:rPr>
                <w:rFonts w:hAnsi="宋体"/>
                <w:sz w:val="24"/>
              </w:rPr>
            </w:pPr>
            <w:r>
              <w:rPr>
                <w:rFonts w:hAnsi="宋体" w:hint="eastAsia"/>
                <w:sz w:val="24"/>
              </w:rPr>
              <w:t>0.002</w:t>
            </w:r>
          </w:p>
        </w:tc>
        <w:tc>
          <w:tcPr>
            <w:tcW w:w="2007" w:type="dxa"/>
            <w:tcBorders>
              <w:top w:val="single" w:sz="4" w:space="0" w:color="auto"/>
            </w:tcBorders>
            <w:shd w:val="clear" w:color="auto" w:fill="auto"/>
            <w:noWrap/>
            <w:vAlign w:val="center"/>
          </w:tcPr>
          <w:p w:rsidR="00CD1D49" w:rsidRDefault="00E01641">
            <w:pPr>
              <w:spacing w:line="500" w:lineRule="exact"/>
              <w:jc w:val="center"/>
              <w:rPr>
                <w:rFonts w:hAnsi="宋体"/>
                <w:sz w:val="24"/>
              </w:rPr>
            </w:pPr>
            <w:r>
              <w:rPr>
                <w:rFonts w:hAnsi="宋体" w:hint="eastAsia"/>
                <w:sz w:val="24"/>
              </w:rPr>
              <w:t>0.002</w:t>
            </w:r>
          </w:p>
        </w:tc>
        <w:tc>
          <w:tcPr>
            <w:tcW w:w="1227" w:type="dxa"/>
            <w:tcBorders>
              <w:top w:val="single" w:sz="4" w:space="0" w:color="auto"/>
            </w:tcBorders>
            <w:shd w:val="clear" w:color="auto" w:fill="auto"/>
            <w:noWrap/>
            <w:vAlign w:val="center"/>
          </w:tcPr>
          <w:p w:rsidR="00CD1D49" w:rsidRDefault="00E01641">
            <w:pPr>
              <w:spacing w:line="500" w:lineRule="exact"/>
              <w:jc w:val="center"/>
              <w:rPr>
                <w:rFonts w:hAnsi="宋体"/>
                <w:sz w:val="24"/>
              </w:rPr>
            </w:pPr>
            <w:r>
              <w:rPr>
                <w:rFonts w:hAnsi="宋体" w:hint="eastAsia"/>
                <w:sz w:val="24"/>
              </w:rPr>
              <w:t>×</w:t>
            </w:r>
          </w:p>
        </w:tc>
      </w:tr>
      <w:tr w:rsidR="00CD1D49">
        <w:trPr>
          <w:trHeight w:val="397"/>
          <w:jc w:val="center"/>
        </w:trPr>
        <w:tc>
          <w:tcPr>
            <w:tcW w:w="1991"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阿魏酸</w:t>
            </w:r>
          </w:p>
        </w:tc>
        <w:tc>
          <w:tcPr>
            <w:tcW w:w="1677" w:type="dxa"/>
            <w:shd w:val="clear" w:color="auto" w:fill="auto"/>
            <w:noWrap/>
            <w:vAlign w:val="center"/>
          </w:tcPr>
          <w:p w:rsidR="00CD1D49" w:rsidRDefault="00CD1D49">
            <w:pPr>
              <w:spacing w:line="500" w:lineRule="exact"/>
              <w:ind w:firstLineChars="200" w:firstLine="480"/>
              <w:jc w:val="center"/>
              <w:rPr>
                <w:rFonts w:hAnsi="宋体"/>
                <w:sz w:val="24"/>
              </w:rPr>
            </w:pPr>
          </w:p>
        </w:tc>
        <w:tc>
          <w:tcPr>
            <w:tcW w:w="1677" w:type="dxa"/>
            <w:shd w:val="clear" w:color="auto" w:fill="auto"/>
            <w:noWrap/>
            <w:vAlign w:val="center"/>
          </w:tcPr>
          <w:p w:rsidR="00CD1D49" w:rsidRDefault="00CD1D49">
            <w:pPr>
              <w:spacing w:line="500" w:lineRule="exact"/>
              <w:ind w:firstLineChars="200" w:firstLine="480"/>
              <w:jc w:val="center"/>
              <w:rPr>
                <w:rFonts w:hAnsi="宋体"/>
                <w:sz w:val="24"/>
              </w:rPr>
            </w:pPr>
          </w:p>
        </w:tc>
        <w:tc>
          <w:tcPr>
            <w:tcW w:w="200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4.883</w:t>
            </w:r>
          </w:p>
        </w:tc>
        <w:tc>
          <w:tcPr>
            <w:tcW w:w="122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w:t>
            </w:r>
          </w:p>
        </w:tc>
      </w:tr>
      <w:tr w:rsidR="00CD1D49">
        <w:trPr>
          <w:trHeight w:val="397"/>
          <w:jc w:val="center"/>
        </w:trPr>
        <w:tc>
          <w:tcPr>
            <w:tcW w:w="1991" w:type="dxa"/>
            <w:shd w:val="clear" w:color="auto" w:fill="auto"/>
            <w:noWrap/>
            <w:vAlign w:val="center"/>
          </w:tcPr>
          <w:p w:rsidR="00CD1D49" w:rsidRDefault="00E01641">
            <w:pPr>
              <w:spacing w:line="500" w:lineRule="exact"/>
              <w:jc w:val="center"/>
              <w:rPr>
                <w:rFonts w:hAnsi="宋体"/>
                <w:sz w:val="24"/>
              </w:rPr>
            </w:pPr>
            <w:r>
              <w:rPr>
                <w:rFonts w:hAnsi="宋体" w:hint="eastAsia"/>
                <w:sz w:val="24"/>
              </w:rPr>
              <w:lastRenderedPageBreak/>
              <w:t>对香豆素</w:t>
            </w:r>
          </w:p>
        </w:tc>
        <w:tc>
          <w:tcPr>
            <w:tcW w:w="167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2.453</w:t>
            </w:r>
          </w:p>
        </w:tc>
        <w:tc>
          <w:tcPr>
            <w:tcW w:w="167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2.389</w:t>
            </w:r>
          </w:p>
        </w:tc>
        <w:tc>
          <w:tcPr>
            <w:tcW w:w="200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2.354</w:t>
            </w:r>
          </w:p>
        </w:tc>
        <w:tc>
          <w:tcPr>
            <w:tcW w:w="122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w:t>
            </w:r>
          </w:p>
        </w:tc>
      </w:tr>
      <w:tr w:rsidR="00CD1D49">
        <w:trPr>
          <w:trHeight w:val="397"/>
          <w:jc w:val="center"/>
        </w:trPr>
        <w:tc>
          <w:tcPr>
            <w:tcW w:w="1991"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丁香酸</w:t>
            </w:r>
          </w:p>
        </w:tc>
        <w:tc>
          <w:tcPr>
            <w:tcW w:w="167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0.02</w:t>
            </w:r>
          </w:p>
        </w:tc>
        <w:tc>
          <w:tcPr>
            <w:tcW w:w="167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2.278</w:t>
            </w:r>
          </w:p>
        </w:tc>
        <w:tc>
          <w:tcPr>
            <w:tcW w:w="200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4.44</w:t>
            </w:r>
          </w:p>
        </w:tc>
        <w:tc>
          <w:tcPr>
            <w:tcW w:w="122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w:t>
            </w:r>
          </w:p>
        </w:tc>
      </w:tr>
      <w:tr w:rsidR="00CD1D49">
        <w:trPr>
          <w:trHeight w:val="397"/>
          <w:jc w:val="center"/>
        </w:trPr>
        <w:tc>
          <w:tcPr>
            <w:tcW w:w="1991"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咖啡酸</w:t>
            </w:r>
          </w:p>
        </w:tc>
        <w:tc>
          <w:tcPr>
            <w:tcW w:w="1677" w:type="dxa"/>
            <w:shd w:val="clear" w:color="auto" w:fill="auto"/>
            <w:noWrap/>
            <w:vAlign w:val="center"/>
          </w:tcPr>
          <w:p w:rsidR="00CD1D49" w:rsidRDefault="00CD1D49">
            <w:pPr>
              <w:spacing w:line="500" w:lineRule="exact"/>
              <w:ind w:firstLineChars="200" w:firstLine="480"/>
              <w:jc w:val="center"/>
              <w:rPr>
                <w:rFonts w:hAnsi="宋体"/>
                <w:sz w:val="24"/>
              </w:rPr>
            </w:pPr>
          </w:p>
        </w:tc>
        <w:tc>
          <w:tcPr>
            <w:tcW w:w="1677" w:type="dxa"/>
            <w:shd w:val="clear" w:color="auto" w:fill="auto"/>
            <w:noWrap/>
            <w:vAlign w:val="center"/>
          </w:tcPr>
          <w:p w:rsidR="00CD1D49" w:rsidRDefault="00CD1D49">
            <w:pPr>
              <w:spacing w:line="500" w:lineRule="exact"/>
              <w:ind w:firstLineChars="200" w:firstLine="480"/>
              <w:jc w:val="center"/>
              <w:rPr>
                <w:rFonts w:hAnsi="宋体"/>
                <w:sz w:val="24"/>
              </w:rPr>
            </w:pPr>
          </w:p>
        </w:tc>
        <w:tc>
          <w:tcPr>
            <w:tcW w:w="200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0.111</w:t>
            </w:r>
          </w:p>
        </w:tc>
        <w:tc>
          <w:tcPr>
            <w:tcW w:w="122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w:t>
            </w:r>
          </w:p>
        </w:tc>
      </w:tr>
      <w:tr w:rsidR="00CD1D49">
        <w:trPr>
          <w:trHeight w:val="397"/>
          <w:jc w:val="center"/>
        </w:trPr>
        <w:tc>
          <w:tcPr>
            <w:tcW w:w="1991"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3,5</w:t>
            </w:r>
            <w:r>
              <w:rPr>
                <w:rFonts w:hAnsi="宋体" w:hint="eastAsia"/>
                <w:sz w:val="24"/>
              </w:rPr>
              <w:t>二羟基苯甲酸</w:t>
            </w:r>
          </w:p>
        </w:tc>
        <w:tc>
          <w:tcPr>
            <w:tcW w:w="1677" w:type="dxa"/>
            <w:shd w:val="clear" w:color="auto" w:fill="auto"/>
            <w:noWrap/>
            <w:vAlign w:val="center"/>
          </w:tcPr>
          <w:p w:rsidR="00CD1D49" w:rsidRDefault="00CD1D49">
            <w:pPr>
              <w:spacing w:line="500" w:lineRule="exact"/>
              <w:ind w:firstLineChars="200" w:firstLine="480"/>
              <w:jc w:val="center"/>
              <w:rPr>
                <w:rFonts w:hAnsi="宋体"/>
                <w:sz w:val="24"/>
              </w:rPr>
            </w:pPr>
          </w:p>
        </w:tc>
        <w:tc>
          <w:tcPr>
            <w:tcW w:w="1677" w:type="dxa"/>
            <w:shd w:val="clear" w:color="auto" w:fill="auto"/>
            <w:noWrap/>
            <w:vAlign w:val="center"/>
          </w:tcPr>
          <w:p w:rsidR="00CD1D49" w:rsidRDefault="00CD1D49">
            <w:pPr>
              <w:spacing w:line="500" w:lineRule="exact"/>
              <w:ind w:firstLineChars="200" w:firstLine="480"/>
              <w:jc w:val="center"/>
              <w:rPr>
                <w:rFonts w:hAnsi="宋体"/>
                <w:sz w:val="24"/>
              </w:rPr>
            </w:pPr>
          </w:p>
        </w:tc>
        <w:tc>
          <w:tcPr>
            <w:tcW w:w="200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0.531</w:t>
            </w:r>
          </w:p>
        </w:tc>
        <w:tc>
          <w:tcPr>
            <w:tcW w:w="122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w:t>
            </w:r>
          </w:p>
        </w:tc>
      </w:tr>
      <w:tr w:rsidR="00CD1D49">
        <w:trPr>
          <w:trHeight w:val="397"/>
          <w:jc w:val="center"/>
        </w:trPr>
        <w:tc>
          <w:tcPr>
            <w:tcW w:w="1991"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原儿茶酸</w:t>
            </w:r>
          </w:p>
        </w:tc>
        <w:tc>
          <w:tcPr>
            <w:tcW w:w="1677" w:type="dxa"/>
            <w:shd w:val="clear" w:color="auto" w:fill="auto"/>
            <w:noWrap/>
            <w:vAlign w:val="center"/>
          </w:tcPr>
          <w:p w:rsidR="00CD1D49" w:rsidRDefault="00CD1D49">
            <w:pPr>
              <w:spacing w:line="500" w:lineRule="exact"/>
              <w:ind w:firstLineChars="200" w:firstLine="480"/>
              <w:jc w:val="center"/>
              <w:rPr>
                <w:rFonts w:hAnsi="宋体"/>
                <w:sz w:val="24"/>
              </w:rPr>
            </w:pPr>
          </w:p>
        </w:tc>
        <w:tc>
          <w:tcPr>
            <w:tcW w:w="1677" w:type="dxa"/>
            <w:shd w:val="clear" w:color="auto" w:fill="auto"/>
            <w:noWrap/>
            <w:vAlign w:val="center"/>
          </w:tcPr>
          <w:p w:rsidR="00CD1D49" w:rsidRDefault="00CD1D49">
            <w:pPr>
              <w:spacing w:line="500" w:lineRule="exact"/>
              <w:ind w:firstLineChars="200" w:firstLine="480"/>
              <w:jc w:val="center"/>
              <w:rPr>
                <w:rFonts w:hAnsi="宋体"/>
                <w:sz w:val="24"/>
              </w:rPr>
            </w:pPr>
          </w:p>
        </w:tc>
        <w:tc>
          <w:tcPr>
            <w:tcW w:w="200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0.463</w:t>
            </w:r>
          </w:p>
        </w:tc>
        <w:tc>
          <w:tcPr>
            <w:tcW w:w="122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w:t>
            </w:r>
          </w:p>
        </w:tc>
      </w:tr>
      <w:tr w:rsidR="00CD1D49">
        <w:trPr>
          <w:trHeight w:val="397"/>
          <w:jc w:val="center"/>
        </w:trPr>
        <w:tc>
          <w:tcPr>
            <w:tcW w:w="1991"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对羟基苯甲酸</w:t>
            </w:r>
          </w:p>
        </w:tc>
        <w:tc>
          <w:tcPr>
            <w:tcW w:w="167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5.077</w:t>
            </w:r>
          </w:p>
        </w:tc>
        <w:tc>
          <w:tcPr>
            <w:tcW w:w="167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0.424</w:t>
            </w:r>
          </w:p>
        </w:tc>
        <w:tc>
          <w:tcPr>
            <w:tcW w:w="200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2.931</w:t>
            </w:r>
          </w:p>
        </w:tc>
        <w:tc>
          <w:tcPr>
            <w:tcW w:w="1227" w:type="dxa"/>
            <w:shd w:val="clear" w:color="auto" w:fill="auto"/>
            <w:noWrap/>
            <w:vAlign w:val="center"/>
          </w:tcPr>
          <w:p w:rsidR="00CD1D49" w:rsidRDefault="00E01641">
            <w:pPr>
              <w:spacing w:line="500" w:lineRule="exact"/>
              <w:jc w:val="center"/>
              <w:rPr>
                <w:rFonts w:hAnsi="宋体"/>
                <w:sz w:val="24"/>
              </w:rPr>
            </w:pPr>
            <w:r>
              <w:rPr>
                <w:rFonts w:hAnsi="宋体" w:hint="eastAsia"/>
                <w:sz w:val="24"/>
              </w:rPr>
              <w:t>×</w:t>
            </w:r>
          </w:p>
        </w:tc>
      </w:tr>
    </w:tbl>
    <w:p w:rsidR="00CD1D49" w:rsidRDefault="00E0164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检测结果显示，甘蔗醋水提取液中共检测出</w:t>
      </w:r>
      <w:r>
        <w:rPr>
          <w:rFonts w:ascii="仿宋" w:eastAsia="仿宋" w:hAnsi="仿宋" w:cs="仿宋"/>
          <w:sz w:val="32"/>
          <w:szCs w:val="32"/>
        </w:rPr>
        <w:t>9</w:t>
      </w:r>
      <w:r>
        <w:rPr>
          <w:rFonts w:ascii="仿宋" w:eastAsia="仿宋" w:hAnsi="仿宋" w:cs="仿宋" w:hint="eastAsia"/>
          <w:sz w:val="32"/>
          <w:szCs w:val="32"/>
        </w:rPr>
        <w:t>个酚酸化合物，而与D</w:t>
      </w:r>
      <w:r>
        <w:rPr>
          <w:rFonts w:ascii="仿宋" w:eastAsia="仿宋" w:hAnsi="仿宋" w:cs="仿宋"/>
          <w:sz w:val="32"/>
          <w:szCs w:val="32"/>
        </w:rPr>
        <w:t>PPH/ABTS</w:t>
      </w:r>
      <w:r>
        <w:rPr>
          <w:rFonts w:ascii="仿宋" w:eastAsia="仿宋" w:hAnsi="仿宋" w:cs="仿宋" w:hint="eastAsia"/>
          <w:sz w:val="32"/>
          <w:szCs w:val="32"/>
        </w:rPr>
        <w:t>自由基反应后仅能检测到芹菜素、对香豆素、丁香酸和对羟基苯甲酸，其中与对照组相比，实验组的丁香酸含量大幅下降；消失的4个化合物可能是与自由基反应后已消耗完毕或反应后含量过低未能检出，因此推测</w:t>
      </w:r>
      <w:r>
        <w:rPr>
          <w:rFonts w:ascii="仿宋" w:eastAsia="仿宋" w:hAnsi="仿宋" w:cs="仿宋"/>
          <w:sz w:val="32"/>
          <w:szCs w:val="32"/>
        </w:rPr>
        <w:t>绿原酸</w:t>
      </w:r>
      <w:r>
        <w:rPr>
          <w:rFonts w:ascii="仿宋" w:eastAsia="仿宋" w:hAnsi="仿宋" w:cs="仿宋" w:hint="eastAsia"/>
          <w:sz w:val="32"/>
          <w:szCs w:val="32"/>
        </w:rPr>
        <w:t>、</w:t>
      </w:r>
      <w:r>
        <w:rPr>
          <w:rFonts w:ascii="仿宋" w:eastAsia="仿宋" w:hAnsi="仿宋" w:cs="仿宋"/>
          <w:sz w:val="32"/>
          <w:szCs w:val="32"/>
        </w:rPr>
        <w:t>丁香酸</w:t>
      </w: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w:t>
      </w:r>
      <w:r>
        <w:rPr>
          <w:rFonts w:ascii="仿宋" w:eastAsia="仿宋" w:hAnsi="仿宋" w:cs="仿宋"/>
          <w:sz w:val="32"/>
          <w:szCs w:val="32"/>
        </w:rPr>
        <w:t>5-二羟基苯甲酸</w:t>
      </w:r>
      <w:r>
        <w:rPr>
          <w:rFonts w:ascii="仿宋" w:eastAsia="仿宋" w:hAnsi="仿宋" w:cs="仿宋" w:hint="eastAsia"/>
          <w:sz w:val="32"/>
          <w:szCs w:val="32"/>
        </w:rPr>
        <w:t>、</w:t>
      </w:r>
      <w:r>
        <w:rPr>
          <w:rFonts w:ascii="仿宋" w:eastAsia="仿宋" w:hAnsi="仿宋" w:cs="仿宋"/>
          <w:sz w:val="32"/>
          <w:szCs w:val="32"/>
        </w:rPr>
        <w:t>阿魏酸</w:t>
      </w:r>
      <w:r>
        <w:rPr>
          <w:rFonts w:ascii="仿宋" w:eastAsia="仿宋" w:hAnsi="仿宋" w:cs="仿宋" w:hint="eastAsia"/>
          <w:sz w:val="32"/>
          <w:szCs w:val="32"/>
        </w:rPr>
        <w:t>是甘蔗醋的主要抗氧化活性成分。。</w:t>
      </w:r>
    </w:p>
    <w:p w:rsidR="00CD1D49" w:rsidRDefault="00E01641">
      <w:pPr>
        <w:spacing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（三）生产档案</w:t>
      </w:r>
    </w:p>
    <w:p w:rsidR="00CD1D49" w:rsidRDefault="00E01641">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生产档案记录内容包括：原料来源、原料验收、生产开始时间和结束时间、包装规格和成品数量、生产日期、操作者签名等。生产记录保存2年以上</w:t>
      </w:r>
      <w:r>
        <w:rPr>
          <w:rFonts w:ascii="仿宋_GB2312" w:eastAsia="仿宋_GB2312" w:hAnsi="宋体"/>
          <w:sz w:val="32"/>
          <w:szCs w:val="28"/>
        </w:rPr>
        <w:t>。</w:t>
      </w:r>
    </w:p>
    <w:p w:rsidR="00CD1D49" w:rsidRDefault="00E01641">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六、国内外标准制修订情况</w:t>
      </w:r>
    </w:p>
    <w:p w:rsidR="00CD1D49" w:rsidRDefault="00E0164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经查阅，国内与甘蔗醋制作、加工相关的标准有：DB45/T 1812-2018  《甘蔗醋饮料生产技术规程》、DB45/T 1536-2017  《甘蔗原醋生产技术规程》。但以上标准主要规定了甘蔗醋饮料及甘蔗原醋的生产工艺，与甘蔗功能醋在原辅料要求、生产工艺流程的要求上均有很大不同</w:t>
      </w:r>
      <w:r w:rsidR="00733145">
        <w:rPr>
          <w:rFonts w:ascii="仿宋_GB2312" w:eastAsia="仿宋_GB2312" w:hAnsi="宋体" w:hint="eastAsia"/>
          <w:sz w:val="32"/>
          <w:szCs w:val="28"/>
          <w:lang w:val="zh-CN"/>
        </w:rPr>
        <w:t>。</w:t>
      </w:r>
      <w:r w:rsidR="00CD0E0A">
        <w:rPr>
          <w:rFonts w:ascii="仿宋_GB2312" w:eastAsia="仿宋_GB2312" w:hAnsi="宋体" w:hint="eastAsia"/>
          <w:sz w:val="32"/>
          <w:szCs w:val="28"/>
          <w:lang w:val="zh-CN"/>
        </w:rPr>
        <w:t>在</w:t>
      </w:r>
      <w:r w:rsidR="00CD0E0A">
        <w:rPr>
          <w:rFonts w:ascii="仿宋_GB2312" w:eastAsia="仿宋_GB2312" w:hAnsi="宋体"/>
          <w:sz w:val="32"/>
          <w:szCs w:val="28"/>
          <w:lang w:val="zh-CN"/>
        </w:rPr>
        <w:t>原辅料要求上，</w:t>
      </w:r>
      <w:r w:rsidR="00CD0E0A" w:rsidRPr="00CD0E0A">
        <w:rPr>
          <w:rFonts w:ascii="仿宋_GB2312" w:eastAsia="仿宋_GB2312" w:hAnsi="宋体" w:hint="eastAsia"/>
          <w:sz w:val="32"/>
          <w:szCs w:val="28"/>
          <w:lang w:val="zh-CN"/>
        </w:rPr>
        <w:t>甘蔗功能醋</w:t>
      </w:r>
      <w:r w:rsidR="00CD0E0A">
        <w:rPr>
          <w:rFonts w:ascii="仿宋_GB2312" w:eastAsia="仿宋_GB2312" w:hAnsi="宋体" w:hint="eastAsia"/>
          <w:sz w:val="32"/>
          <w:szCs w:val="28"/>
          <w:lang w:val="zh-CN"/>
        </w:rPr>
        <w:t>可</w:t>
      </w:r>
      <w:r w:rsidR="00CD0E0A">
        <w:rPr>
          <w:rFonts w:ascii="仿宋_GB2312" w:eastAsia="仿宋_GB2312" w:hAnsi="宋体"/>
          <w:sz w:val="32"/>
          <w:szCs w:val="28"/>
          <w:lang w:val="zh-CN"/>
        </w:rPr>
        <w:t>使用甘蔗汁、</w:t>
      </w:r>
      <w:r w:rsidR="00CD0E0A" w:rsidRPr="00CD0E0A">
        <w:rPr>
          <w:rFonts w:ascii="仿宋_GB2312" w:eastAsia="仿宋_GB2312" w:hAnsi="宋体" w:hint="eastAsia"/>
          <w:sz w:val="32"/>
          <w:szCs w:val="28"/>
          <w:lang w:val="zh-CN"/>
        </w:rPr>
        <w:t>甘蔗浓缩汁</w:t>
      </w:r>
      <w:r w:rsidR="00CD0E0A">
        <w:rPr>
          <w:rFonts w:ascii="仿宋_GB2312" w:eastAsia="仿宋_GB2312" w:hAnsi="宋体" w:hint="eastAsia"/>
          <w:sz w:val="32"/>
          <w:szCs w:val="28"/>
          <w:lang w:val="zh-CN"/>
        </w:rPr>
        <w:t>、</w:t>
      </w:r>
      <w:r w:rsidR="00CD0E0A" w:rsidRPr="00CD0E0A">
        <w:rPr>
          <w:rFonts w:ascii="仿宋_GB2312" w:eastAsia="仿宋_GB2312" w:hAnsi="宋体" w:hint="eastAsia"/>
          <w:sz w:val="32"/>
          <w:szCs w:val="28"/>
          <w:lang w:val="zh-CN"/>
        </w:rPr>
        <w:t>冷冻甘蔗浆（汁）</w:t>
      </w:r>
      <w:r w:rsidR="00CD0E0A">
        <w:rPr>
          <w:rFonts w:ascii="仿宋_GB2312" w:eastAsia="仿宋_GB2312" w:hAnsi="宋体" w:hint="eastAsia"/>
          <w:sz w:val="32"/>
          <w:szCs w:val="28"/>
          <w:lang w:val="zh-CN"/>
        </w:rPr>
        <w:t>进行</w:t>
      </w:r>
      <w:r w:rsidR="00CD0E0A">
        <w:rPr>
          <w:rFonts w:ascii="仿宋_GB2312" w:eastAsia="仿宋_GB2312" w:hAnsi="宋体"/>
          <w:sz w:val="32"/>
          <w:szCs w:val="28"/>
          <w:lang w:val="zh-CN"/>
        </w:rPr>
        <w:t>生产</w:t>
      </w:r>
      <w:r w:rsidR="00CD0E0A">
        <w:rPr>
          <w:rFonts w:ascii="仿宋_GB2312" w:eastAsia="仿宋_GB2312" w:hAnsi="宋体" w:hint="eastAsia"/>
          <w:sz w:val="32"/>
          <w:szCs w:val="28"/>
          <w:lang w:val="zh-CN"/>
        </w:rPr>
        <w:t>，</w:t>
      </w:r>
      <w:r w:rsidR="00CD0E0A">
        <w:rPr>
          <w:rFonts w:ascii="仿宋_GB2312" w:eastAsia="仿宋_GB2312" w:hAnsi="宋体"/>
          <w:sz w:val="32"/>
          <w:szCs w:val="28"/>
          <w:lang w:val="zh-CN"/>
        </w:rPr>
        <w:t>为提高</w:t>
      </w:r>
      <w:r w:rsidR="00CD0E0A" w:rsidRPr="00CD0E0A">
        <w:rPr>
          <w:rFonts w:ascii="仿宋_GB2312" w:eastAsia="仿宋_GB2312" w:hAnsi="宋体" w:hint="eastAsia"/>
          <w:sz w:val="32"/>
          <w:szCs w:val="28"/>
          <w:lang w:val="zh-CN"/>
        </w:rPr>
        <w:t>甘蔗功能醋</w:t>
      </w:r>
      <w:r w:rsidR="004B3F5D" w:rsidRPr="004B3F5D">
        <w:rPr>
          <w:rFonts w:ascii="仿宋_GB2312" w:eastAsia="仿宋_GB2312" w:hAnsi="宋体" w:hint="eastAsia"/>
          <w:sz w:val="32"/>
          <w:szCs w:val="28"/>
          <w:lang w:val="zh-CN"/>
        </w:rPr>
        <w:t>产品的活性功能成分和功能性</w:t>
      </w:r>
      <w:r w:rsidR="004B3F5D">
        <w:rPr>
          <w:rFonts w:ascii="仿宋_GB2312" w:eastAsia="仿宋_GB2312" w:hAnsi="宋体" w:hint="eastAsia"/>
          <w:sz w:val="32"/>
          <w:szCs w:val="28"/>
          <w:lang w:val="zh-CN"/>
        </w:rPr>
        <w:t>，</w:t>
      </w:r>
      <w:r w:rsidR="004B3F5D">
        <w:rPr>
          <w:rFonts w:ascii="仿宋_GB2312" w:eastAsia="仿宋_GB2312" w:hAnsi="宋体"/>
          <w:sz w:val="32"/>
          <w:szCs w:val="28"/>
          <w:lang w:val="zh-CN"/>
        </w:rPr>
        <w:t>在其基础上</w:t>
      </w:r>
      <w:r w:rsidR="004B3F5D">
        <w:rPr>
          <w:rFonts w:ascii="仿宋_GB2312" w:eastAsia="仿宋_GB2312" w:hAnsi="宋体" w:hint="eastAsia"/>
          <w:sz w:val="32"/>
          <w:szCs w:val="28"/>
          <w:lang w:val="zh-CN"/>
        </w:rPr>
        <w:t>增加</w:t>
      </w:r>
      <w:r w:rsidR="004B3F5D">
        <w:rPr>
          <w:rFonts w:ascii="仿宋_GB2312" w:eastAsia="仿宋_GB2312" w:hAnsi="宋体"/>
          <w:sz w:val="32"/>
          <w:szCs w:val="28"/>
          <w:lang w:val="zh-CN"/>
        </w:rPr>
        <w:t>了</w:t>
      </w:r>
      <w:r w:rsidR="004B3F5D" w:rsidRPr="004B3F5D">
        <w:rPr>
          <w:rFonts w:ascii="仿宋_GB2312" w:eastAsia="仿宋_GB2312" w:hAnsi="宋体" w:hint="eastAsia"/>
          <w:sz w:val="32"/>
          <w:szCs w:val="28"/>
          <w:lang w:val="zh-CN"/>
        </w:rPr>
        <w:t>可食用植物组织</w:t>
      </w:r>
      <w:r w:rsidR="004B3F5D">
        <w:rPr>
          <w:rFonts w:ascii="仿宋_GB2312" w:eastAsia="仿宋_GB2312" w:hAnsi="宋体" w:hint="eastAsia"/>
          <w:sz w:val="32"/>
          <w:szCs w:val="28"/>
          <w:lang w:val="zh-CN"/>
        </w:rPr>
        <w:t>的相关</w:t>
      </w:r>
      <w:r w:rsidR="004B3F5D">
        <w:rPr>
          <w:rFonts w:ascii="仿宋_GB2312" w:eastAsia="仿宋_GB2312" w:hAnsi="宋体"/>
          <w:sz w:val="32"/>
          <w:szCs w:val="28"/>
          <w:lang w:val="zh-CN"/>
        </w:rPr>
        <w:t>要求，即</w:t>
      </w:r>
      <w:r w:rsidR="004B3F5D" w:rsidRPr="004B3F5D">
        <w:rPr>
          <w:rFonts w:ascii="仿宋_GB2312" w:eastAsia="仿宋_GB2312" w:hAnsi="宋体" w:hint="eastAsia"/>
          <w:sz w:val="32"/>
          <w:szCs w:val="28"/>
          <w:lang w:val="zh-CN"/>
        </w:rPr>
        <w:t>选择传统上作为食品、列为新资源食</w:t>
      </w:r>
      <w:r w:rsidR="004B3F5D" w:rsidRPr="004B3F5D">
        <w:rPr>
          <w:rFonts w:ascii="仿宋_GB2312" w:eastAsia="仿宋_GB2312" w:hAnsi="宋体" w:hint="eastAsia"/>
          <w:sz w:val="32"/>
          <w:szCs w:val="28"/>
          <w:lang w:val="zh-CN"/>
        </w:rPr>
        <w:lastRenderedPageBreak/>
        <w:t>品原料、国家行政主管部门公布的既是药品又是食品品种，无变质、无异味、无虫蛀，无其他夹杂物，并符合GB 2761、GB 2762、GB 2763、GB 2763.1及相关标准规定的植物的皮、叶、花、果（实）、根、茎等植物组织</w:t>
      </w:r>
      <w:r w:rsidR="004B3F5D">
        <w:rPr>
          <w:rFonts w:ascii="仿宋_GB2312" w:eastAsia="仿宋_GB2312" w:hAnsi="宋体" w:hint="eastAsia"/>
          <w:sz w:val="32"/>
          <w:szCs w:val="28"/>
          <w:lang w:val="zh-CN"/>
        </w:rPr>
        <w:t>，</w:t>
      </w:r>
      <w:r w:rsidR="004B3F5D">
        <w:rPr>
          <w:rFonts w:ascii="仿宋_GB2312" w:eastAsia="仿宋_GB2312" w:hAnsi="宋体"/>
          <w:sz w:val="32"/>
          <w:szCs w:val="28"/>
          <w:lang w:val="zh-CN"/>
        </w:rPr>
        <w:t>如枸杞、红枣等</w:t>
      </w:r>
      <w:r w:rsidR="004B3F5D">
        <w:rPr>
          <w:rFonts w:ascii="仿宋_GB2312" w:eastAsia="仿宋_GB2312" w:hAnsi="宋体" w:hint="eastAsia"/>
          <w:sz w:val="32"/>
          <w:szCs w:val="28"/>
          <w:lang w:val="zh-CN"/>
        </w:rPr>
        <w:t>。</w:t>
      </w:r>
      <w:r w:rsidR="00CD0E0A">
        <w:rPr>
          <w:rFonts w:ascii="仿宋_GB2312" w:eastAsia="仿宋_GB2312" w:hAnsi="宋体" w:hint="eastAsia"/>
          <w:sz w:val="32"/>
          <w:szCs w:val="28"/>
          <w:lang w:val="zh-CN"/>
        </w:rPr>
        <w:t>在</w:t>
      </w:r>
      <w:r w:rsidR="00CD0E0A">
        <w:rPr>
          <w:rFonts w:ascii="仿宋_GB2312" w:eastAsia="仿宋_GB2312" w:hAnsi="宋体"/>
          <w:sz w:val="32"/>
          <w:szCs w:val="28"/>
          <w:lang w:val="zh-CN"/>
        </w:rPr>
        <w:t>生产工艺流程上，</w:t>
      </w:r>
      <w:r w:rsidR="000D1F86">
        <w:rPr>
          <w:rFonts w:ascii="仿宋_GB2312" w:eastAsia="仿宋_GB2312" w:hAnsi="宋体" w:hint="eastAsia"/>
          <w:sz w:val="32"/>
          <w:szCs w:val="28"/>
          <w:lang w:val="zh-CN"/>
        </w:rPr>
        <w:t>分为</w:t>
      </w:r>
      <w:r w:rsidR="000D1F86" w:rsidRPr="000D1F86">
        <w:rPr>
          <w:rFonts w:ascii="仿宋_GB2312" w:eastAsia="仿宋_GB2312" w:hAnsi="宋体" w:hint="eastAsia"/>
          <w:sz w:val="32"/>
          <w:szCs w:val="28"/>
          <w:lang w:val="zh-CN"/>
        </w:rPr>
        <w:t>发酵型甘蔗功能醋生产</w:t>
      </w:r>
      <w:r w:rsidR="000D1F86">
        <w:rPr>
          <w:rFonts w:ascii="仿宋_GB2312" w:eastAsia="仿宋_GB2312" w:hAnsi="宋体" w:hint="eastAsia"/>
          <w:sz w:val="32"/>
          <w:szCs w:val="28"/>
          <w:lang w:val="zh-CN"/>
        </w:rPr>
        <w:t>、</w:t>
      </w:r>
      <w:r w:rsidR="000D1F86" w:rsidRPr="000D1F86">
        <w:rPr>
          <w:rFonts w:ascii="仿宋_GB2312" w:eastAsia="仿宋_GB2312" w:hAnsi="宋体" w:hint="eastAsia"/>
          <w:sz w:val="32"/>
          <w:szCs w:val="28"/>
          <w:lang w:val="zh-CN"/>
        </w:rPr>
        <w:t>浸泡调配型甘蔗功能醋生产</w:t>
      </w:r>
      <w:r w:rsidR="00080BCF">
        <w:rPr>
          <w:rFonts w:ascii="仿宋_GB2312" w:eastAsia="仿宋_GB2312" w:hAnsi="宋体" w:hint="eastAsia"/>
          <w:sz w:val="32"/>
          <w:szCs w:val="28"/>
          <w:lang w:val="zh-CN"/>
        </w:rPr>
        <w:t>工艺</w:t>
      </w:r>
      <w:r w:rsidR="000D1F86">
        <w:rPr>
          <w:rFonts w:ascii="仿宋_GB2312" w:eastAsia="仿宋_GB2312" w:hAnsi="宋体" w:hint="eastAsia"/>
          <w:sz w:val="32"/>
          <w:szCs w:val="28"/>
          <w:lang w:val="zh-CN"/>
        </w:rPr>
        <w:t>，</w:t>
      </w:r>
      <w:r w:rsidR="00E33ED3">
        <w:rPr>
          <w:rFonts w:ascii="仿宋_GB2312" w:eastAsia="仿宋_GB2312" w:hAnsi="宋体" w:hint="eastAsia"/>
          <w:sz w:val="32"/>
          <w:szCs w:val="28"/>
          <w:lang w:val="zh-CN"/>
        </w:rPr>
        <w:t>并</w:t>
      </w:r>
      <w:r w:rsidR="00E33ED3">
        <w:rPr>
          <w:rFonts w:ascii="仿宋_GB2312" w:eastAsia="仿宋_GB2312" w:hAnsi="宋体"/>
          <w:sz w:val="32"/>
          <w:szCs w:val="28"/>
          <w:lang w:val="zh-CN"/>
        </w:rPr>
        <w:t>增加了</w:t>
      </w:r>
      <w:r w:rsidR="00E33ED3" w:rsidRPr="004B3F5D">
        <w:rPr>
          <w:rFonts w:ascii="仿宋_GB2312" w:eastAsia="仿宋_GB2312" w:hAnsi="宋体" w:hint="eastAsia"/>
          <w:sz w:val="32"/>
          <w:szCs w:val="28"/>
          <w:lang w:val="zh-CN"/>
        </w:rPr>
        <w:t>可食用植物组织</w:t>
      </w:r>
      <w:r w:rsidR="00E33ED3">
        <w:rPr>
          <w:rFonts w:ascii="仿宋_GB2312" w:eastAsia="仿宋_GB2312" w:hAnsi="宋体" w:hint="eastAsia"/>
          <w:sz w:val="32"/>
          <w:szCs w:val="28"/>
          <w:lang w:val="zh-CN"/>
        </w:rPr>
        <w:t>的</w:t>
      </w:r>
      <w:r w:rsidR="00E33ED3">
        <w:rPr>
          <w:rFonts w:ascii="仿宋_GB2312" w:eastAsia="仿宋_GB2312" w:hAnsi="宋体"/>
          <w:sz w:val="32"/>
          <w:szCs w:val="28"/>
          <w:lang w:val="zh-CN"/>
        </w:rPr>
        <w:t>工艺要求，</w:t>
      </w:r>
      <w:r w:rsidR="00E33ED3">
        <w:rPr>
          <w:rFonts w:ascii="仿宋_GB2312" w:eastAsia="仿宋_GB2312" w:hAnsi="宋体" w:hint="eastAsia"/>
          <w:sz w:val="32"/>
          <w:szCs w:val="28"/>
          <w:lang w:val="zh-CN"/>
        </w:rPr>
        <w:t>在</w:t>
      </w:r>
      <w:r w:rsidR="00E33ED3">
        <w:rPr>
          <w:rFonts w:ascii="仿宋_GB2312" w:eastAsia="仿宋_GB2312" w:hAnsi="宋体"/>
          <w:sz w:val="32"/>
          <w:szCs w:val="28"/>
          <w:lang w:val="zh-CN"/>
        </w:rPr>
        <w:t>酒精发酵、醋酸发酵</w:t>
      </w:r>
      <w:r w:rsidR="00E33ED3">
        <w:rPr>
          <w:rFonts w:ascii="仿宋_GB2312" w:eastAsia="仿宋_GB2312" w:hAnsi="宋体" w:hint="eastAsia"/>
          <w:sz w:val="32"/>
          <w:szCs w:val="28"/>
          <w:lang w:val="zh-CN"/>
        </w:rPr>
        <w:t>、</w:t>
      </w:r>
      <w:r w:rsidR="00E33ED3">
        <w:rPr>
          <w:rFonts w:ascii="仿宋_GB2312" w:eastAsia="仿宋_GB2312" w:hAnsi="宋体"/>
          <w:sz w:val="32"/>
          <w:szCs w:val="28"/>
          <w:lang w:val="zh-CN"/>
        </w:rPr>
        <w:t>调配</w:t>
      </w:r>
      <w:r w:rsidR="00E33ED3">
        <w:rPr>
          <w:rFonts w:ascii="仿宋_GB2312" w:eastAsia="仿宋_GB2312" w:hAnsi="宋体" w:hint="eastAsia"/>
          <w:sz w:val="32"/>
          <w:szCs w:val="28"/>
          <w:lang w:val="zh-CN"/>
        </w:rPr>
        <w:t>、</w:t>
      </w:r>
      <w:r w:rsidR="00E33ED3">
        <w:rPr>
          <w:rFonts w:ascii="仿宋_GB2312" w:eastAsia="仿宋_GB2312" w:hAnsi="宋体"/>
          <w:sz w:val="32"/>
          <w:szCs w:val="28"/>
          <w:lang w:val="zh-CN"/>
        </w:rPr>
        <w:t>陈酿时间</w:t>
      </w:r>
      <w:r w:rsidR="00E33ED3">
        <w:rPr>
          <w:rFonts w:ascii="仿宋_GB2312" w:eastAsia="仿宋_GB2312" w:hAnsi="宋体" w:hint="eastAsia"/>
          <w:sz w:val="32"/>
          <w:szCs w:val="28"/>
          <w:lang w:val="zh-CN"/>
        </w:rPr>
        <w:t>、</w:t>
      </w:r>
      <w:r w:rsidR="00E33ED3">
        <w:rPr>
          <w:rFonts w:ascii="仿宋_GB2312" w:eastAsia="仿宋_GB2312" w:hAnsi="宋体"/>
          <w:sz w:val="32"/>
          <w:szCs w:val="28"/>
          <w:lang w:val="zh-CN"/>
        </w:rPr>
        <w:t>杀菌</w:t>
      </w:r>
      <w:r w:rsidR="00E33ED3">
        <w:rPr>
          <w:rFonts w:ascii="仿宋_GB2312" w:eastAsia="仿宋_GB2312" w:hAnsi="宋体" w:hint="eastAsia"/>
          <w:sz w:val="32"/>
          <w:szCs w:val="28"/>
          <w:lang w:val="zh-CN"/>
        </w:rPr>
        <w:t>等工艺</w:t>
      </w:r>
      <w:r w:rsidR="00E33ED3">
        <w:rPr>
          <w:rFonts w:ascii="仿宋_GB2312" w:eastAsia="仿宋_GB2312" w:hAnsi="宋体"/>
          <w:sz w:val="32"/>
          <w:szCs w:val="28"/>
          <w:lang w:val="zh-CN"/>
        </w:rPr>
        <w:t>要求上均</w:t>
      </w:r>
      <w:r w:rsidR="00E33ED3">
        <w:rPr>
          <w:rFonts w:ascii="仿宋_GB2312" w:eastAsia="仿宋_GB2312" w:hAnsi="宋体" w:hint="eastAsia"/>
          <w:sz w:val="32"/>
          <w:szCs w:val="28"/>
          <w:lang w:val="zh-CN"/>
        </w:rPr>
        <w:t>与DB45/T 1812-2018  《甘蔗醋饮料生产技术规程》DB45/T 1536-2017  《甘蔗原醋生产技术规程》，</w:t>
      </w:r>
      <w:r>
        <w:rPr>
          <w:rFonts w:ascii="仿宋_GB2312" w:eastAsia="仿宋_GB2312" w:hAnsi="宋体" w:hint="eastAsia"/>
          <w:sz w:val="32"/>
          <w:szCs w:val="28"/>
          <w:lang w:val="zh-CN"/>
        </w:rPr>
        <w:t>无法有效指导甘蔗功能醋的生产，更重要的是通过相关部门进行产品的功能验证，确证产品的功能性。本标准是在相关标准及前期试验基础上，对甘蔗醋的精深加工产品和升级产品甘蔗功能醋的生产进行了统一规范。</w:t>
      </w:r>
    </w:p>
    <w:p w:rsidR="00CD1D49" w:rsidRDefault="00E01641">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CD1D49" w:rsidRDefault="00E01641">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CD1D49" w:rsidRDefault="00E01641">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八</w:t>
      </w:r>
      <w:r>
        <w:rPr>
          <w:rFonts w:ascii="黑体" w:eastAsia="黑体" w:hAnsi="黑体" w:cs="黑体"/>
          <w:bCs/>
          <w:sz w:val="32"/>
          <w:szCs w:val="32"/>
        </w:rPr>
        <w:t>、</w:t>
      </w:r>
      <w:r>
        <w:rPr>
          <w:rFonts w:ascii="黑体" w:eastAsia="黑体" w:hAnsi="黑体" w:cs="黑体" w:hint="eastAsia"/>
          <w:bCs/>
          <w:sz w:val="32"/>
          <w:szCs w:val="32"/>
        </w:rPr>
        <w:t>实施标准的措施</w:t>
      </w:r>
    </w:p>
    <w:p w:rsidR="00CD1D49" w:rsidRDefault="00E01641">
      <w:pPr>
        <w:spacing w:line="52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1、团体标准《甘蔗功能醋生产技术规程》发布后，积极向广西壮族自治区农业科学院农产品加工研究所以及与</w:t>
      </w:r>
      <w:r>
        <w:rPr>
          <w:rFonts w:ascii="仿宋_GB2312" w:eastAsia="仿宋_GB2312" w:hint="eastAsia"/>
          <w:sz w:val="32"/>
          <w:szCs w:val="32"/>
        </w:rPr>
        <w:t>甘蔗功能醋生产</w:t>
      </w:r>
      <w:r>
        <w:rPr>
          <w:rFonts w:ascii="仿宋_GB2312" w:eastAsia="仿宋_GB2312" w:hAnsi="宋体" w:hint="eastAsia"/>
          <w:sz w:val="32"/>
          <w:szCs w:val="28"/>
          <w:lang w:val="zh-CN"/>
        </w:rPr>
        <w:t>相关的企事业单位进行宣传并推荐执行本标准。</w:t>
      </w:r>
    </w:p>
    <w:p w:rsidR="00CD1D49" w:rsidRDefault="00E01641">
      <w:pPr>
        <w:spacing w:line="52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2、由广西壮族自治区农业科学院农产品加工研究所组织举办培训班或宣贯会，以促进本标准的贯彻实施。</w:t>
      </w:r>
    </w:p>
    <w:p w:rsidR="00CD1D49" w:rsidRDefault="00E01641">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九、自我承诺</w:t>
      </w:r>
    </w:p>
    <w:p w:rsidR="00CD1D49" w:rsidRDefault="00E01641">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本标准内容与各项指标不低于强制性标准要求。</w:t>
      </w:r>
    </w:p>
    <w:p w:rsidR="00CD1D49" w:rsidRDefault="00CD1D49">
      <w:pPr>
        <w:ind w:firstLineChars="200" w:firstLine="640"/>
        <w:rPr>
          <w:rFonts w:ascii="仿宋_GB2312" w:eastAsia="仿宋_GB2312" w:hAnsi="宋体"/>
          <w:sz w:val="32"/>
          <w:szCs w:val="28"/>
          <w:lang w:val="zh-CN"/>
        </w:rPr>
      </w:pPr>
    </w:p>
    <w:p w:rsidR="00CD1D49" w:rsidRDefault="00E01641">
      <w:pPr>
        <w:ind w:leftChars="1000" w:left="2100"/>
        <w:jc w:val="center"/>
        <w:rPr>
          <w:rFonts w:ascii="仿宋_GB2312" w:eastAsia="仿宋_GB2312" w:hAnsi="宋体"/>
          <w:sz w:val="32"/>
          <w:szCs w:val="28"/>
          <w:lang w:val="zh-CN"/>
        </w:rPr>
      </w:pPr>
      <w:r>
        <w:rPr>
          <w:rFonts w:ascii="仿宋_GB2312" w:eastAsia="仿宋_GB2312" w:hAnsi="宋体" w:hint="eastAsia"/>
          <w:sz w:val="32"/>
          <w:szCs w:val="28"/>
          <w:lang w:val="zh-CN"/>
        </w:rPr>
        <w:t>团体标准《甘蔗功能醋生产技术规程》</w:t>
      </w:r>
    </w:p>
    <w:p w:rsidR="00CD1D49" w:rsidRDefault="00E01641">
      <w:pPr>
        <w:ind w:leftChars="1000" w:left="2100"/>
        <w:jc w:val="center"/>
        <w:rPr>
          <w:rFonts w:ascii="仿宋_GB2312" w:eastAsia="仿宋_GB2312" w:hAnsi="宋体"/>
          <w:sz w:val="32"/>
          <w:szCs w:val="28"/>
          <w:lang w:val="zh-CN"/>
        </w:rPr>
      </w:pPr>
      <w:r>
        <w:rPr>
          <w:rFonts w:ascii="仿宋_GB2312" w:eastAsia="仿宋_GB2312" w:hAnsi="宋体" w:hint="eastAsia"/>
          <w:sz w:val="32"/>
          <w:szCs w:val="28"/>
          <w:lang w:val="zh-CN"/>
        </w:rPr>
        <w:lastRenderedPageBreak/>
        <w:t>标准编制小组</w:t>
      </w:r>
    </w:p>
    <w:p w:rsidR="00CD1D49" w:rsidRDefault="00E01641">
      <w:pPr>
        <w:ind w:leftChars="1000" w:left="2100"/>
        <w:jc w:val="center"/>
        <w:rPr>
          <w:rFonts w:ascii="仿宋_GB2312" w:eastAsia="仿宋_GB2312" w:hAnsi="宋体"/>
          <w:sz w:val="32"/>
          <w:szCs w:val="28"/>
          <w:lang w:val="zh-CN"/>
        </w:rPr>
      </w:pPr>
      <w:r>
        <w:rPr>
          <w:rFonts w:ascii="仿宋_GB2312" w:eastAsia="仿宋_GB2312" w:hAnsi="宋体" w:hint="eastAsia"/>
          <w:sz w:val="32"/>
          <w:szCs w:val="28"/>
          <w:lang w:val="zh-CN"/>
        </w:rPr>
        <w:t>202</w:t>
      </w:r>
      <w:r>
        <w:rPr>
          <w:rFonts w:ascii="仿宋_GB2312" w:eastAsia="仿宋_GB2312" w:hAnsi="宋体"/>
          <w:sz w:val="32"/>
          <w:szCs w:val="28"/>
          <w:lang w:val="zh-CN"/>
        </w:rPr>
        <w:t>3</w:t>
      </w:r>
      <w:r>
        <w:rPr>
          <w:rFonts w:ascii="仿宋_GB2312" w:eastAsia="仿宋_GB2312" w:hAnsi="宋体" w:hint="eastAsia"/>
          <w:sz w:val="32"/>
          <w:szCs w:val="28"/>
          <w:lang w:val="zh-CN"/>
        </w:rPr>
        <w:t>年</w:t>
      </w:r>
      <w:r>
        <w:rPr>
          <w:rFonts w:ascii="仿宋_GB2312" w:eastAsia="仿宋_GB2312" w:hAnsi="宋体"/>
          <w:sz w:val="32"/>
          <w:szCs w:val="28"/>
          <w:lang w:val="zh-CN"/>
        </w:rPr>
        <w:t>10</w:t>
      </w:r>
      <w:r>
        <w:rPr>
          <w:rFonts w:ascii="仿宋_GB2312" w:eastAsia="仿宋_GB2312" w:hAnsi="宋体" w:hint="eastAsia"/>
          <w:sz w:val="32"/>
          <w:szCs w:val="28"/>
          <w:lang w:val="zh-CN"/>
        </w:rPr>
        <w:t>月</w:t>
      </w:r>
      <w:r>
        <w:rPr>
          <w:rFonts w:ascii="仿宋_GB2312" w:eastAsia="仿宋_GB2312" w:hAnsi="宋体"/>
          <w:sz w:val="32"/>
          <w:szCs w:val="28"/>
          <w:lang w:val="zh-CN"/>
        </w:rPr>
        <w:t>18</w:t>
      </w:r>
      <w:r>
        <w:rPr>
          <w:rFonts w:ascii="仿宋_GB2312" w:eastAsia="仿宋_GB2312" w:hAnsi="宋体" w:hint="eastAsia"/>
          <w:sz w:val="32"/>
          <w:szCs w:val="28"/>
          <w:lang w:val="zh-CN"/>
        </w:rPr>
        <w:t>日</w:t>
      </w:r>
    </w:p>
    <w:sectPr w:rsidR="00CD1D49">
      <w:footerReference w:type="default" r:id="rId20"/>
      <w:pgSz w:w="11906" w:h="16838"/>
      <w:pgMar w:top="1474" w:right="1474" w:bottom="147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F67" w:rsidRDefault="00743F67">
      <w:r>
        <w:separator/>
      </w:r>
    </w:p>
  </w:endnote>
  <w:endnote w:type="continuationSeparator" w:id="0">
    <w:p w:rsidR="00743F67" w:rsidRDefault="0074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DengXian">
    <w:altName w:val="宋体"/>
    <w:panose1 w:val="02010600030101010101"/>
    <w:charset w:val="86"/>
    <w:family w:val="auto"/>
    <w:pitch w:val="default"/>
    <w:sig w:usb0="A00002BF" w:usb1="38CF7CFA" w:usb2="00000016" w:usb3="00000000" w:csb0="0004000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2968"/>
    </w:sdtPr>
    <w:sdtEndPr/>
    <w:sdtContent>
      <w:p w:rsidR="00CD1D49" w:rsidRDefault="00E01641">
        <w:pPr>
          <w:pStyle w:val="afa"/>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00113D63" w:rsidRPr="00113D63">
          <w:rPr>
            <w:rFonts w:ascii="宋体" w:hAnsi="宋体"/>
            <w:noProof/>
            <w:sz w:val="32"/>
            <w:szCs w:val="32"/>
            <w:lang w:val="zh-CN"/>
          </w:rPr>
          <w:t>12</w:t>
        </w:r>
        <w:r>
          <w:rPr>
            <w:rFonts w:ascii="宋体" w:hAnsi="宋体"/>
            <w:sz w:val="32"/>
            <w:szCs w:val="32"/>
          </w:rPr>
          <w:fldChar w:fldCharType="end"/>
        </w:r>
      </w:p>
    </w:sdtContent>
  </w:sdt>
  <w:p w:rsidR="00CD1D49" w:rsidRDefault="00CD1D49">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F67" w:rsidRDefault="00743F67">
      <w:r>
        <w:separator/>
      </w:r>
    </w:p>
  </w:footnote>
  <w:footnote w:type="continuationSeparator" w:id="0">
    <w:p w:rsidR="00743F67" w:rsidRDefault="00743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EC27CF"/>
    <w:multiLevelType w:val="singleLevel"/>
    <w:tmpl w:val="F7EC27CF"/>
    <w:lvl w:ilvl="0">
      <w:start w:val="4"/>
      <w:numFmt w:val="chineseCounting"/>
      <w:pStyle w:val="a"/>
      <w:suff w:val="nothing"/>
      <w:lvlText w:val="（%1）"/>
      <w:lvlJc w:val="left"/>
      <w:rPr>
        <w:rFonts w:hint="eastAsia"/>
      </w:rPr>
    </w:lvl>
  </w:abstractNum>
  <w:abstractNum w:abstractNumId="1"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2" w15:restartNumberingAfterBreak="0">
    <w:nsid w:val="5603797C"/>
    <w:multiLevelType w:val="multilevel"/>
    <w:tmpl w:val="5603797C"/>
    <w:lvl w:ilvl="0">
      <w:start w:val="1"/>
      <w:numFmt w:val="upperLetter"/>
      <w:pStyle w:val="a6"/>
      <w:suff w:val="space"/>
      <w:lvlText w:val="%1"/>
      <w:lvlJc w:val="left"/>
      <w:pPr>
        <w:ind w:left="425" w:hanging="425"/>
      </w:pPr>
      <w:rPr>
        <w:rFonts w:hint="eastAsia"/>
      </w:rPr>
    </w:lvl>
    <w:lvl w:ilvl="1">
      <w:start w:val="1"/>
      <w:numFmt w:val="decimal"/>
      <w:pStyle w:val="a7"/>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646260FA"/>
    <w:multiLevelType w:val="multilevel"/>
    <w:tmpl w:val="646260FA"/>
    <w:lvl w:ilvl="0">
      <w:start w:val="1"/>
      <w:numFmt w:val="decimal"/>
      <w:pStyle w:val="a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6CEA2025"/>
    <w:multiLevelType w:val="multilevel"/>
    <w:tmpl w:val="6CEA2025"/>
    <w:lvl w:ilvl="0">
      <w:start w:val="1"/>
      <w:numFmt w:val="none"/>
      <w:pStyle w:val="a9"/>
      <w:suff w:val="nothing"/>
      <w:lvlText w:val="%1"/>
      <w:lvlJc w:val="left"/>
      <w:pPr>
        <w:ind w:left="0" w:firstLine="0"/>
      </w:pPr>
      <w:rPr>
        <w:rFonts w:hint="eastAsia"/>
      </w:rPr>
    </w:lvl>
    <w:lvl w:ilvl="1">
      <w:start w:val="1"/>
      <w:numFmt w:val="decimal"/>
      <w:pStyle w:val="aa"/>
      <w:suff w:val="nothing"/>
      <w:lvlText w:val="%1%2　"/>
      <w:lvlJc w:val="left"/>
      <w:pPr>
        <w:ind w:left="0" w:firstLine="0"/>
      </w:pPr>
      <w:rPr>
        <w:rFonts w:ascii="黑体" w:eastAsia="黑体" w:hint="eastAsia"/>
        <w:b w:val="0"/>
        <w:i w:val="0"/>
        <w:sz w:val="21"/>
      </w:rPr>
    </w:lvl>
    <w:lvl w:ilvl="2">
      <w:start w:val="1"/>
      <w:numFmt w:val="decimal"/>
      <w:pStyle w:val="a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c"/>
      <w:suff w:val="nothing"/>
      <w:lvlText w:val="%1%2.%3.%4　"/>
      <w:lvlJc w:val="left"/>
      <w:pPr>
        <w:ind w:left="0" w:firstLine="0"/>
      </w:pPr>
      <w:rPr>
        <w:rFonts w:ascii="黑体" w:eastAsia="黑体" w:hint="eastAsia"/>
        <w:b w:val="0"/>
        <w:i w:val="0"/>
        <w:sz w:val="21"/>
      </w:rPr>
    </w:lvl>
    <w:lvl w:ilvl="4">
      <w:start w:val="1"/>
      <w:numFmt w:val="decimal"/>
      <w:pStyle w:val="ad"/>
      <w:suff w:val="nothing"/>
      <w:lvlText w:val="%1%2.%3.%4.%5　"/>
      <w:lvlJc w:val="left"/>
      <w:pPr>
        <w:ind w:left="0" w:firstLine="0"/>
      </w:pPr>
      <w:rPr>
        <w:rFonts w:ascii="黑体" w:eastAsia="黑体" w:hint="eastAsia"/>
        <w:b w:val="0"/>
        <w:i w:val="0"/>
        <w:sz w:val="21"/>
      </w:rPr>
    </w:lvl>
    <w:lvl w:ilvl="5">
      <w:start w:val="1"/>
      <w:numFmt w:val="decimal"/>
      <w:pStyle w:val="ae"/>
      <w:suff w:val="nothing"/>
      <w:lvlText w:val="%1%2.%3.%4.%5.%6　"/>
      <w:lvlJc w:val="left"/>
      <w:pPr>
        <w:ind w:left="0" w:firstLine="0"/>
      </w:pPr>
      <w:rPr>
        <w:rFonts w:ascii="黑体" w:eastAsia="黑体" w:hint="eastAsia"/>
        <w:b w:val="0"/>
        <w:i w:val="0"/>
        <w:sz w:val="21"/>
      </w:rPr>
    </w:lvl>
    <w:lvl w:ilvl="6">
      <w:start w:val="1"/>
      <w:numFmt w:val="decimal"/>
      <w:pStyle w:val="a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52F40A7A"/>
    <w:rsid w:val="FCDFEE27"/>
    <w:rsid w:val="00001992"/>
    <w:rsid w:val="00002030"/>
    <w:rsid w:val="00004B01"/>
    <w:rsid w:val="00004C4A"/>
    <w:rsid w:val="000073E2"/>
    <w:rsid w:val="00010E6E"/>
    <w:rsid w:val="0001162D"/>
    <w:rsid w:val="00011F9F"/>
    <w:rsid w:val="0001346F"/>
    <w:rsid w:val="00013F01"/>
    <w:rsid w:val="000172E1"/>
    <w:rsid w:val="00021C3C"/>
    <w:rsid w:val="00022A5F"/>
    <w:rsid w:val="00022C67"/>
    <w:rsid w:val="000252AF"/>
    <w:rsid w:val="000255B1"/>
    <w:rsid w:val="00027B7A"/>
    <w:rsid w:val="00031C67"/>
    <w:rsid w:val="00033122"/>
    <w:rsid w:val="0004346A"/>
    <w:rsid w:val="000444D7"/>
    <w:rsid w:val="00045D6D"/>
    <w:rsid w:val="00046733"/>
    <w:rsid w:val="00050C0F"/>
    <w:rsid w:val="00050D8A"/>
    <w:rsid w:val="00052EF2"/>
    <w:rsid w:val="00056531"/>
    <w:rsid w:val="00057AD3"/>
    <w:rsid w:val="00060795"/>
    <w:rsid w:val="00070361"/>
    <w:rsid w:val="00072AE1"/>
    <w:rsid w:val="00074C76"/>
    <w:rsid w:val="00075056"/>
    <w:rsid w:val="00077D9B"/>
    <w:rsid w:val="000800AA"/>
    <w:rsid w:val="00080BCF"/>
    <w:rsid w:val="0008582A"/>
    <w:rsid w:val="00085AC9"/>
    <w:rsid w:val="000877AB"/>
    <w:rsid w:val="00094586"/>
    <w:rsid w:val="00095094"/>
    <w:rsid w:val="0009525B"/>
    <w:rsid w:val="000A029B"/>
    <w:rsid w:val="000A1420"/>
    <w:rsid w:val="000A2CA0"/>
    <w:rsid w:val="000A4F7C"/>
    <w:rsid w:val="000A63E7"/>
    <w:rsid w:val="000A7A8C"/>
    <w:rsid w:val="000A7D1E"/>
    <w:rsid w:val="000B14A3"/>
    <w:rsid w:val="000B15F9"/>
    <w:rsid w:val="000B25F0"/>
    <w:rsid w:val="000B3DA9"/>
    <w:rsid w:val="000C1B17"/>
    <w:rsid w:val="000C519D"/>
    <w:rsid w:val="000C5234"/>
    <w:rsid w:val="000C60F6"/>
    <w:rsid w:val="000C7B94"/>
    <w:rsid w:val="000D092D"/>
    <w:rsid w:val="000D0936"/>
    <w:rsid w:val="000D1F86"/>
    <w:rsid w:val="000D2085"/>
    <w:rsid w:val="000D2512"/>
    <w:rsid w:val="000D4AA2"/>
    <w:rsid w:val="000D5D37"/>
    <w:rsid w:val="000D7675"/>
    <w:rsid w:val="000E4015"/>
    <w:rsid w:val="000E68F4"/>
    <w:rsid w:val="000E6DEA"/>
    <w:rsid w:val="000F124B"/>
    <w:rsid w:val="000F195C"/>
    <w:rsid w:val="000F3C96"/>
    <w:rsid w:val="000F51A4"/>
    <w:rsid w:val="000F5CC1"/>
    <w:rsid w:val="000F6FC5"/>
    <w:rsid w:val="000F7431"/>
    <w:rsid w:val="000F77A5"/>
    <w:rsid w:val="0010044B"/>
    <w:rsid w:val="00102917"/>
    <w:rsid w:val="00105E1A"/>
    <w:rsid w:val="00106E48"/>
    <w:rsid w:val="001074C4"/>
    <w:rsid w:val="001112A4"/>
    <w:rsid w:val="00113C15"/>
    <w:rsid w:val="00113D63"/>
    <w:rsid w:val="00113EE6"/>
    <w:rsid w:val="00114594"/>
    <w:rsid w:val="0011771D"/>
    <w:rsid w:val="00122F32"/>
    <w:rsid w:val="00123812"/>
    <w:rsid w:val="001240E5"/>
    <w:rsid w:val="00127C38"/>
    <w:rsid w:val="00127DA2"/>
    <w:rsid w:val="0013283F"/>
    <w:rsid w:val="0014292D"/>
    <w:rsid w:val="00142D6F"/>
    <w:rsid w:val="00144CFD"/>
    <w:rsid w:val="00145DF6"/>
    <w:rsid w:val="00146902"/>
    <w:rsid w:val="00146E1F"/>
    <w:rsid w:val="00147F6F"/>
    <w:rsid w:val="00151C6D"/>
    <w:rsid w:val="00151FAB"/>
    <w:rsid w:val="00152E1B"/>
    <w:rsid w:val="001567B1"/>
    <w:rsid w:val="00156DED"/>
    <w:rsid w:val="00157DAF"/>
    <w:rsid w:val="00164EB5"/>
    <w:rsid w:val="0016622C"/>
    <w:rsid w:val="001670A9"/>
    <w:rsid w:val="001711E2"/>
    <w:rsid w:val="00171BE7"/>
    <w:rsid w:val="00172521"/>
    <w:rsid w:val="00172B0C"/>
    <w:rsid w:val="0017337C"/>
    <w:rsid w:val="0017654D"/>
    <w:rsid w:val="00176C27"/>
    <w:rsid w:val="001804FB"/>
    <w:rsid w:val="001814C2"/>
    <w:rsid w:val="00184228"/>
    <w:rsid w:val="00186C68"/>
    <w:rsid w:val="0018717F"/>
    <w:rsid w:val="001901B7"/>
    <w:rsid w:val="001918A7"/>
    <w:rsid w:val="00193030"/>
    <w:rsid w:val="00193D3F"/>
    <w:rsid w:val="001A129A"/>
    <w:rsid w:val="001A2C3B"/>
    <w:rsid w:val="001A3206"/>
    <w:rsid w:val="001A44D7"/>
    <w:rsid w:val="001A4509"/>
    <w:rsid w:val="001A5698"/>
    <w:rsid w:val="001A60A2"/>
    <w:rsid w:val="001A73CD"/>
    <w:rsid w:val="001A7A69"/>
    <w:rsid w:val="001B03C8"/>
    <w:rsid w:val="001B08A5"/>
    <w:rsid w:val="001B08C8"/>
    <w:rsid w:val="001B28B9"/>
    <w:rsid w:val="001B4E86"/>
    <w:rsid w:val="001C067E"/>
    <w:rsid w:val="001C0ABF"/>
    <w:rsid w:val="001C20D6"/>
    <w:rsid w:val="001C2136"/>
    <w:rsid w:val="001C33FD"/>
    <w:rsid w:val="001C470D"/>
    <w:rsid w:val="001C4BEF"/>
    <w:rsid w:val="001C600B"/>
    <w:rsid w:val="001C6A24"/>
    <w:rsid w:val="001C7C32"/>
    <w:rsid w:val="001D0A9B"/>
    <w:rsid w:val="001D2B2E"/>
    <w:rsid w:val="001D6C52"/>
    <w:rsid w:val="001D6DFB"/>
    <w:rsid w:val="001D7E2D"/>
    <w:rsid w:val="001E0A61"/>
    <w:rsid w:val="001E2028"/>
    <w:rsid w:val="001E2A96"/>
    <w:rsid w:val="001E35AB"/>
    <w:rsid w:val="001E5046"/>
    <w:rsid w:val="001E68B6"/>
    <w:rsid w:val="001F3320"/>
    <w:rsid w:val="001F5397"/>
    <w:rsid w:val="001F6F3C"/>
    <w:rsid w:val="0020008A"/>
    <w:rsid w:val="002008BD"/>
    <w:rsid w:val="002052DF"/>
    <w:rsid w:val="00205A58"/>
    <w:rsid w:val="00205D7D"/>
    <w:rsid w:val="002118F0"/>
    <w:rsid w:val="002135CA"/>
    <w:rsid w:val="002139BA"/>
    <w:rsid w:val="00214692"/>
    <w:rsid w:val="00214A8A"/>
    <w:rsid w:val="0021627C"/>
    <w:rsid w:val="00221824"/>
    <w:rsid w:val="002230D9"/>
    <w:rsid w:val="002242A4"/>
    <w:rsid w:val="00224C22"/>
    <w:rsid w:val="0022611B"/>
    <w:rsid w:val="00227131"/>
    <w:rsid w:val="002324AB"/>
    <w:rsid w:val="002349ED"/>
    <w:rsid w:val="00234E0E"/>
    <w:rsid w:val="002362C7"/>
    <w:rsid w:val="00237BA7"/>
    <w:rsid w:val="00240DD0"/>
    <w:rsid w:val="00242EFE"/>
    <w:rsid w:val="00244076"/>
    <w:rsid w:val="00245467"/>
    <w:rsid w:val="00246898"/>
    <w:rsid w:val="0025067D"/>
    <w:rsid w:val="00251556"/>
    <w:rsid w:val="0025216D"/>
    <w:rsid w:val="002538EF"/>
    <w:rsid w:val="00255B2D"/>
    <w:rsid w:val="0025708A"/>
    <w:rsid w:val="00263F21"/>
    <w:rsid w:val="00265259"/>
    <w:rsid w:val="00267572"/>
    <w:rsid w:val="002722E9"/>
    <w:rsid w:val="002731E3"/>
    <w:rsid w:val="00274817"/>
    <w:rsid w:val="002770E7"/>
    <w:rsid w:val="0028089D"/>
    <w:rsid w:val="00281364"/>
    <w:rsid w:val="00281384"/>
    <w:rsid w:val="00286F69"/>
    <w:rsid w:val="00294150"/>
    <w:rsid w:val="00294913"/>
    <w:rsid w:val="00297CC4"/>
    <w:rsid w:val="002A1E5E"/>
    <w:rsid w:val="002A26BA"/>
    <w:rsid w:val="002A32D5"/>
    <w:rsid w:val="002A4E4A"/>
    <w:rsid w:val="002A58A4"/>
    <w:rsid w:val="002A7EEE"/>
    <w:rsid w:val="002B656B"/>
    <w:rsid w:val="002B6770"/>
    <w:rsid w:val="002C05FE"/>
    <w:rsid w:val="002C0A09"/>
    <w:rsid w:val="002C0A5C"/>
    <w:rsid w:val="002C18A8"/>
    <w:rsid w:val="002C1EA1"/>
    <w:rsid w:val="002C322D"/>
    <w:rsid w:val="002C3847"/>
    <w:rsid w:val="002C500F"/>
    <w:rsid w:val="002C5836"/>
    <w:rsid w:val="002D3F3B"/>
    <w:rsid w:val="002D4945"/>
    <w:rsid w:val="002D5C6B"/>
    <w:rsid w:val="002D6E7D"/>
    <w:rsid w:val="002D7CF5"/>
    <w:rsid w:val="002E3C13"/>
    <w:rsid w:val="002E4CF8"/>
    <w:rsid w:val="002E6378"/>
    <w:rsid w:val="002F0CA3"/>
    <w:rsid w:val="002F1363"/>
    <w:rsid w:val="002F23BB"/>
    <w:rsid w:val="002F247A"/>
    <w:rsid w:val="002F2C24"/>
    <w:rsid w:val="002F2EAF"/>
    <w:rsid w:val="002F2EC9"/>
    <w:rsid w:val="002F336E"/>
    <w:rsid w:val="002F3B80"/>
    <w:rsid w:val="002F4F22"/>
    <w:rsid w:val="00302DEF"/>
    <w:rsid w:val="0030577F"/>
    <w:rsid w:val="00305AE4"/>
    <w:rsid w:val="00305D0B"/>
    <w:rsid w:val="00305E89"/>
    <w:rsid w:val="0030658C"/>
    <w:rsid w:val="00306B56"/>
    <w:rsid w:val="003070BD"/>
    <w:rsid w:val="00310580"/>
    <w:rsid w:val="00313604"/>
    <w:rsid w:val="00316685"/>
    <w:rsid w:val="00320404"/>
    <w:rsid w:val="003230C1"/>
    <w:rsid w:val="003234ED"/>
    <w:rsid w:val="003245CD"/>
    <w:rsid w:val="0032577A"/>
    <w:rsid w:val="003269B4"/>
    <w:rsid w:val="00332A60"/>
    <w:rsid w:val="00332CD2"/>
    <w:rsid w:val="0033374E"/>
    <w:rsid w:val="0033381E"/>
    <w:rsid w:val="00333B79"/>
    <w:rsid w:val="00333E2F"/>
    <w:rsid w:val="00334517"/>
    <w:rsid w:val="00337539"/>
    <w:rsid w:val="00340AA6"/>
    <w:rsid w:val="00341C65"/>
    <w:rsid w:val="00341FBE"/>
    <w:rsid w:val="003438F5"/>
    <w:rsid w:val="0034456A"/>
    <w:rsid w:val="003449DD"/>
    <w:rsid w:val="00350201"/>
    <w:rsid w:val="00350542"/>
    <w:rsid w:val="0035100C"/>
    <w:rsid w:val="00357549"/>
    <w:rsid w:val="00361165"/>
    <w:rsid w:val="00365980"/>
    <w:rsid w:val="00371733"/>
    <w:rsid w:val="00382CF3"/>
    <w:rsid w:val="00384E7B"/>
    <w:rsid w:val="003855F8"/>
    <w:rsid w:val="00386684"/>
    <w:rsid w:val="00386773"/>
    <w:rsid w:val="00387783"/>
    <w:rsid w:val="0039067E"/>
    <w:rsid w:val="00396514"/>
    <w:rsid w:val="003971FB"/>
    <w:rsid w:val="003A0912"/>
    <w:rsid w:val="003A32C2"/>
    <w:rsid w:val="003A7270"/>
    <w:rsid w:val="003A7A44"/>
    <w:rsid w:val="003B2175"/>
    <w:rsid w:val="003B5AA6"/>
    <w:rsid w:val="003B5E20"/>
    <w:rsid w:val="003B624C"/>
    <w:rsid w:val="003C0F86"/>
    <w:rsid w:val="003C2D88"/>
    <w:rsid w:val="003C400C"/>
    <w:rsid w:val="003C55C5"/>
    <w:rsid w:val="003D35F5"/>
    <w:rsid w:val="003D39DD"/>
    <w:rsid w:val="003D593D"/>
    <w:rsid w:val="003E0D4E"/>
    <w:rsid w:val="003E3F3F"/>
    <w:rsid w:val="003E3F52"/>
    <w:rsid w:val="003E42C1"/>
    <w:rsid w:val="003F206F"/>
    <w:rsid w:val="003F31E0"/>
    <w:rsid w:val="003F474B"/>
    <w:rsid w:val="003F7245"/>
    <w:rsid w:val="003F76C4"/>
    <w:rsid w:val="004000B9"/>
    <w:rsid w:val="00403C1F"/>
    <w:rsid w:val="004057CB"/>
    <w:rsid w:val="004071AD"/>
    <w:rsid w:val="00413E01"/>
    <w:rsid w:val="00414772"/>
    <w:rsid w:val="00416771"/>
    <w:rsid w:val="0042060E"/>
    <w:rsid w:val="004226CF"/>
    <w:rsid w:val="00422981"/>
    <w:rsid w:val="00423B26"/>
    <w:rsid w:val="00423DBE"/>
    <w:rsid w:val="0042667C"/>
    <w:rsid w:val="00427AB0"/>
    <w:rsid w:val="00427E5F"/>
    <w:rsid w:val="00430FDB"/>
    <w:rsid w:val="00431613"/>
    <w:rsid w:val="00431F05"/>
    <w:rsid w:val="004334C2"/>
    <w:rsid w:val="004364E4"/>
    <w:rsid w:val="004427FE"/>
    <w:rsid w:val="00443C8F"/>
    <w:rsid w:val="00444343"/>
    <w:rsid w:val="004456FA"/>
    <w:rsid w:val="004460F2"/>
    <w:rsid w:val="004464EA"/>
    <w:rsid w:val="00446864"/>
    <w:rsid w:val="00446D28"/>
    <w:rsid w:val="004476EC"/>
    <w:rsid w:val="00455DDE"/>
    <w:rsid w:val="00456BE6"/>
    <w:rsid w:val="00457D76"/>
    <w:rsid w:val="00463343"/>
    <w:rsid w:val="004636B5"/>
    <w:rsid w:val="0046797D"/>
    <w:rsid w:val="00467F5A"/>
    <w:rsid w:val="004714EA"/>
    <w:rsid w:val="00472AF8"/>
    <w:rsid w:val="00474E29"/>
    <w:rsid w:val="00482638"/>
    <w:rsid w:val="00483264"/>
    <w:rsid w:val="00487AD3"/>
    <w:rsid w:val="00487CD5"/>
    <w:rsid w:val="00490B58"/>
    <w:rsid w:val="00492AB8"/>
    <w:rsid w:val="00495B49"/>
    <w:rsid w:val="004A02FC"/>
    <w:rsid w:val="004A085B"/>
    <w:rsid w:val="004A558B"/>
    <w:rsid w:val="004A58D2"/>
    <w:rsid w:val="004A67D6"/>
    <w:rsid w:val="004A70D3"/>
    <w:rsid w:val="004B231B"/>
    <w:rsid w:val="004B3E07"/>
    <w:rsid w:val="004B3F5D"/>
    <w:rsid w:val="004B552E"/>
    <w:rsid w:val="004B7836"/>
    <w:rsid w:val="004C0DEB"/>
    <w:rsid w:val="004C0F0C"/>
    <w:rsid w:val="004C13CE"/>
    <w:rsid w:val="004C3D65"/>
    <w:rsid w:val="004C4192"/>
    <w:rsid w:val="004C6640"/>
    <w:rsid w:val="004C6D83"/>
    <w:rsid w:val="004D0734"/>
    <w:rsid w:val="004D08F0"/>
    <w:rsid w:val="004D1A39"/>
    <w:rsid w:val="004E16F1"/>
    <w:rsid w:val="004E174F"/>
    <w:rsid w:val="004E29E3"/>
    <w:rsid w:val="004E2A80"/>
    <w:rsid w:val="004E5455"/>
    <w:rsid w:val="004F35E4"/>
    <w:rsid w:val="004F4250"/>
    <w:rsid w:val="004F632C"/>
    <w:rsid w:val="004F6563"/>
    <w:rsid w:val="004F6860"/>
    <w:rsid w:val="0050199E"/>
    <w:rsid w:val="005032BF"/>
    <w:rsid w:val="00503679"/>
    <w:rsid w:val="00505174"/>
    <w:rsid w:val="00506CB2"/>
    <w:rsid w:val="00506E71"/>
    <w:rsid w:val="00507F69"/>
    <w:rsid w:val="00510833"/>
    <w:rsid w:val="00513D2F"/>
    <w:rsid w:val="00527AB7"/>
    <w:rsid w:val="005314B7"/>
    <w:rsid w:val="00531BFC"/>
    <w:rsid w:val="00531D2B"/>
    <w:rsid w:val="00531E86"/>
    <w:rsid w:val="00533090"/>
    <w:rsid w:val="005334DC"/>
    <w:rsid w:val="00534C7A"/>
    <w:rsid w:val="00534E76"/>
    <w:rsid w:val="0054095C"/>
    <w:rsid w:val="00541D53"/>
    <w:rsid w:val="0054263E"/>
    <w:rsid w:val="00543432"/>
    <w:rsid w:val="00543C8F"/>
    <w:rsid w:val="00543CD4"/>
    <w:rsid w:val="00544F82"/>
    <w:rsid w:val="00546648"/>
    <w:rsid w:val="00550AA4"/>
    <w:rsid w:val="00552387"/>
    <w:rsid w:val="0055289A"/>
    <w:rsid w:val="0055581B"/>
    <w:rsid w:val="00555B17"/>
    <w:rsid w:val="00556950"/>
    <w:rsid w:val="005574A0"/>
    <w:rsid w:val="0055791F"/>
    <w:rsid w:val="0056117B"/>
    <w:rsid w:val="00562F31"/>
    <w:rsid w:val="00563A69"/>
    <w:rsid w:val="00566ECD"/>
    <w:rsid w:val="005742A0"/>
    <w:rsid w:val="00575CAC"/>
    <w:rsid w:val="005770C8"/>
    <w:rsid w:val="0057781B"/>
    <w:rsid w:val="0058057F"/>
    <w:rsid w:val="00584AE2"/>
    <w:rsid w:val="00584E25"/>
    <w:rsid w:val="00585D6E"/>
    <w:rsid w:val="00587573"/>
    <w:rsid w:val="005956F3"/>
    <w:rsid w:val="00596018"/>
    <w:rsid w:val="00596787"/>
    <w:rsid w:val="005A03D0"/>
    <w:rsid w:val="005A22BD"/>
    <w:rsid w:val="005A4713"/>
    <w:rsid w:val="005A47E5"/>
    <w:rsid w:val="005A4D84"/>
    <w:rsid w:val="005A56FC"/>
    <w:rsid w:val="005B08D7"/>
    <w:rsid w:val="005B1C23"/>
    <w:rsid w:val="005B2C83"/>
    <w:rsid w:val="005B34AA"/>
    <w:rsid w:val="005B4F6A"/>
    <w:rsid w:val="005B683A"/>
    <w:rsid w:val="005C01D0"/>
    <w:rsid w:val="005C240D"/>
    <w:rsid w:val="005D0EE5"/>
    <w:rsid w:val="005D4FA2"/>
    <w:rsid w:val="005D5823"/>
    <w:rsid w:val="005D7D01"/>
    <w:rsid w:val="005E18D3"/>
    <w:rsid w:val="005E2FE1"/>
    <w:rsid w:val="005E3FC4"/>
    <w:rsid w:val="005E509C"/>
    <w:rsid w:val="005E69B6"/>
    <w:rsid w:val="005E759A"/>
    <w:rsid w:val="005F02EE"/>
    <w:rsid w:val="005F33F4"/>
    <w:rsid w:val="005F758C"/>
    <w:rsid w:val="00601416"/>
    <w:rsid w:val="0060162E"/>
    <w:rsid w:val="00603C54"/>
    <w:rsid w:val="00604982"/>
    <w:rsid w:val="00605579"/>
    <w:rsid w:val="00605890"/>
    <w:rsid w:val="00606685"/>
    <w:rsid w:val="00607EFE"/>
    <w:rsid w:val="006117A9"/>
    <w:rsid w:val="00613A4E"/>
    <w:rsid w:val="006179DF"/>
    <w:rsid w:val="00620D94"/>
    <w:rsid w:val="006251E7"/>
    <w:rsid w:val="006255F6"/>
    <w:rsid w:val="006255FF"/>
    <w:rsid w:val="0062579B"/>
    <w:rsid w:val="00625952"/>
    <w:rsid w:val="00630EE0"/>
    <w:rsid w:val="006322F0"/>
    <w:rsid w:val="0063304D"/>
    <w:rsid w:val="00634F18"/>
    <w:rsid w:val="0063510B"/>
    <w:rsid w:val="006374FE"/>
    <w:rsid w:val="00637EE1"/>
    <w:rsid w:val="00643931"/>
    <w:rsid w:val="00643DC2"/>
    <w:rsid w:val="00645B65"/>
    <w:rsid w:val="00647A52"/>
    <w:rsid w:val="00657118"/>
    <w:rsid w:val="00657EE4"/>
    <w:rsid w:val="00663A2D"/>
    <w:rsid w:val="00663C11"/>
    <w:rsid w:val="006651FC"/>
    <w:rsid w:val="00665906"/>
    <w:rsid w:val="00676521"/>
    <w:rsid w:val="00676728"/>
    <w:rsid w:val="00676AA0"/>
    <w:rsid w:val="00676AF9"/>
    <w:rsid w:val="006806AC"/>
    <w:rsid w:val="00683E8F"/>
    <w:rsid w:val="00685A02"/>
    <w:rsid w:val="006867A4"/>
    <w:rsid w:val="006947E9"/>
    <w:rsid w:val="00695179"/>
    <w:rsid w:val="00695DCB"/>
    <w:rsid w:val="006974BB"/>
    <w:rsid w:val="006A089E"/>
    <w:rsid w:val="006A4180"/>
    <w:rsid w:val="006A558C"/>
    <w:rsid w:val="006A5D3E"/>
    <w:rsid w:val="006A5D51"/>
    <w:rsid w:val="006A6C12"/>
    <w:rsid w:val="006A6C6E"/>
    <w:rsid w:val="006B4686"/>
    <w:rsid w:val="006B5247"/>
    <w:rsid w:val="006B55BE"/>
    <w:rsid w:val="006C0B35"/>
    <w:rsid w:val="006C2D86"/>
    <w:rsid w:val="006C3261"/>
    <w:rsid w:val="006C41BA"/>
    <w:rsid w:val="006C5D24"/>
    <w:rsid w:val="006C6978"/>
    <w:rsid w:val="006C7F7D"/>
    <w:rsid w:val="006D00BA"/>
    <w:rsid w:val="006D0ABD"/>
    <w:rsid w:val="006D2529"/>
    <w:rsid w:val="006D4CAF"/>
    <w:rsid w:val="006D7035"/>
    <w:rsid w:val="006E0EAE"/>
    <w:rsid w:val="006E0EB7"/>
    <w:rsid w:val="006E3F49"/>
    <w:rsid w:val="006E45F0"/>
    <w:rsid w:val="006E5D11"/>
    <w:rsid w:val="006E719E"/>
    <w:rsid w:val="006E72AA"/>
    <w:rsid w:val="006E76D2"/>
    <w:rsid w:val="006E7896"/>
    <w:rsid w:val="006E7B72"/>
    <w:rsid w:val="006E7C98"/>
    <w:rsid w:val="006F33AE"/>
    <w:rsid w:val="006F36AF"/>
    <w:rsid w:val="006F4B78"/>
    <w:rsid w:val="006F579F"/>
    <w:rsid w:val="006F6379"/>
    <w:rsid w:val="00705791"/>
    <w:rsid w:val="00705AC4"/>
    <w:rsid w:val="00707310"/>
    <w:rsid w:val="0071021A"/>
    <w:rsid w:val="00714471"/>
    <w:rsid w:val="007146C4"/>
    <w:rsid w:val="00715B95"/>
    <w:rsid w:val="007211EB"/>
    <w:rsid w:val="0072125F"/>
    <w:rsid w:val="00722504"/>
    <w:rsid w:val="00723D77"/>
    <w:rsid w:val="00725661"/>
    <w:rsid w:val="0072647B"/>
    <w:rsid w:val="007317AF"/>
    <w:rsid w:val="00731DB1"/>
    <w:rsid w:val="00733145"/>
    <w:rsid w:val="00734925"/>
    <w:rsid w:val="0073717B"/>
    <w:rsid w:val="00743324"/>
    <w:rsid w:val="00743BE7"/>
    <w:rsid w:val="00743F67"/>
    <w:rsid w:val="00745E5F"/>
    <w:rsid w:val="007464D8"/>
    <w:rsid w:val="007473CE"/>
    <w:rsid w:val="00750917"/>
    <w:rsid w:val="0075225E"/>
    <w:rsid w:val="0075538B"/>
    <w:rsid w:val="0075649E"/>
    <w:rsid w:val="00756B7A"/>
    <w:rsid w:val="007658D5"/>
    <w:rsid w:val="00771254"/>
    <w:rsid w:val="00772116"/>
    <w:rsid w:val="007723F1"/>
    <w:rsid w:val="0077269F"/>
    <w:rsid w:val="00773D4E"/>
    <w:rsid w:val="0077484C"/>
    <w:rsid w:val="00782FF7"/>
    <w:rsid w:val="00783975"/>
    <w:rsid w:val="00786E8E"/>
    <w:rsid w:val="007908FC"/>
    <w:rsid w:val="00790E94"/>
    <w:rsid w:val="00795E8F"/>
    <w:rsid w:val="007A12C2"/>
    <w:rsid w:val="007A486B"/>
    <w:rsid w:val="007A5147"/>
    <w:rsid w:val="007A6CE9"/>
    <w:rsid w:val="007B06F7"/>
    <w:rsid w:val="007B161D"/>
    <w:rsid w:val="007B2072"/>
    <w:rsid w:val="007B3222"/>
    <w:rsid w:val="007B7084"/>
    <w:rsid w:val="007B7D2B"/>
    <w:rsid w:val="007C05E2"/>
    <w:rsid w:val="007C06D1"/>
    <w:rsid w:val="007C14D0"/>
    <w:rsid w:val="007C4BD4"/>
    <w:rsid w:val="007D2E45"/>
    <w:rsid w:val="007D630D"/>
    <w:rsid w:val="007D7246"/>
    <w:rsid w:val="007E6E3D"/>
    <w:rsid w:val="007E73BE"/>
    <w:rsid w:val="007E7B39"/>
    <w:rsid w:val="007F37EE"/>
    <w:rsid w:val="007F5AD7"/>
    <w:rsid w:val="007F6F3A"/>
    <w:rsid w:val="007F7185"/>
    <w:rsid w:val="007F7265"/>
    <w:rsid w:val="007F7C5A"/>
    <w:rsid w:val="0080432C"/>
    <w:rsid w:val="008064A0"/>
    <w:rsid w:val="00807CCE"/>
    <w:rsid w:val="00810133"/>
    <w:rsid w:val="00812F89"/>
    <w:rsid w:val="00815E3D"/>
    <w:rsid w:val="00816C6C"/>
    <w:rsid w:val="00817D5D"/>
    <w:rsid w:val="00817DA2"/>
    <w:rsid w:val="00817EEE"/>
    <w:rsid w:val="00821E7C"/>
    <w:rsid w:val="00823A17"/>
    <w:rsid w:val="00824299"/>
    <w:rsid w:val="008252D1"/>
    <w:rsid w:val="00827B75"/>
    <w:rsid w:val="00830741"/>
    <w:rsid w:val="00841599"/>
    <w:rsid w:val="008451F4"/>
    <w:rsid w:val="00846662"/>
    <w:rsid w:val="00846B43"/>
    <w:rsid w:val="00846C7D"/>
    <w:rsid w:val="00847950"/>
    <w:rsid w:val="008507CD"/>
    <w:rsid w:val="00853B04"/>
    <w:rsid w:val="008540BE"/>
    <w:rsid w:val="00854E95"/>
    <w:rsid w:val="008629D6"/>
    <w:rsid w:val="00862A1E"/>
    <w:rsid w:val="0086324C"/>
    <w:rsid w:val="008643A9"/>
    <w:rsid w:val="008667BD"/>
    <w:rsid w:val="008668A8"/>
    <w:rsid w:val="00866934"/>
    <w:rsid w:val="00870669"/>
    <w:rsid w:val="0087147C"/>
    <w:rsid w:val="00875341"/>
    <w:rsid w:val="008762C2"/>
    <w:rsid w:val="00877AC9"/>
    <w:rsid w:val="008816F1"/>
    <w:rsid w:val="00886B25"/>
    <w:rsid w:val="008907C2"/>
    <w:rsid w:val="00892C1C"/>
    <w:rsid w:val="00897050"/>
    <w:rsid w:val="008A00AD"/>
    <w:rsid w:val="008A10B4"/>
    <w:rsid w:val="008A137F"/>
    <w:rsid w:val="008A2214"/>
    <w:rsid w:val="008A3597"/>
    <w:rsid w:val="008A5EFE"/>
    <w:rsid w:val="008A7228"/>
    <w:rsid w:val="008A7EC1"/>
    <w:rsid w:val="008B16C5"/>
    <w:rsid w:val="008B26B0"/>
    <w:rsid w:val="008B5643"/>
    <w:rsid w:val="008B680D"/>
    <w:rsid w:val="008B6C66"/>
    <w:rsid w:val="008B75DD"/>
    <w:rsid w:val="008C26B3"/>
    <w:rsid w:val="008C3A06"/>
    <w:rsid w:val="008C4061"/>
    <w:rsid w:val="008C441E"/>
    <w:rsid w:val="008C65ED"/>
    <w:rsid w:val="008C682F"/>
    <w:rsid w:val="008C6AC7"/>
    <w:rsid w:val="008C6B83"/>
    <w:rsid w:val="008C6BD8"/>
    <w:rsid w:val="008C7AA6"/>
    <w:rsid w:val="008D1373"/>
    <w:rsid w:val="008D4E14"/>
    <w:rsid w:val="008E00E7"/>
    <w:rsid w:val="008E168B"/>
    <w:rsid w:val="008E2021"/>
    <w:rsid w:val="008E3E24"/>
    <w:rsid w:val="008E4E7B"/>
    <w:rsid w:val="008F2DF4"/>
    <w:rsid w:val="008F2F90"/>
    <w:rsid w:val="008F40B5"/>
    <w:rsid w:val="00900F58"/>
    <w:rsid w:val="00904023"/>
    <w:rsid w:val="009055D0"/>
    <w:rsid w:val="00905603"/>
    <w:rsid w:val="009111EA"/>
    <w:rsid w:val="009132BF"/>
    <w:rsid w:val="00913B0F"/>
    <w:rsid w:val="00914555"/>
    <w:rsid w:val="009147B9"/>
    <w:rsid w:val="00915942"/>
    <w:rsid w:val="00916561"/>
    <w:rsid w:val="00917AD7"/>
    <w:rsid w:val="00923F57"/>
    <w:rsid w:val="009309AA"/>
    <w:rsid w:val="00942BAB"/>
    <w:rsid w:val="00944C09"/>
    <w:rsid w:val="00946400"/>
    <w:rsid w:val="0095502F"/>
    <w:rsid w:val="009570A4"/>
    <w:rsid w:val="00964369"/>
    <w:rsid w:val="00965A51"/>
    <w:rsid w:val="00965ACB"/>
    <w:rsid w:val="009671CA"/>
    <w:rsid w:val="0097074C"/>
    <w:rsid w:val="00972962"/>
    <w:rsid w:val="00972FC5"/>
    <w:rsid w:val="00974279"/>
    <w:rsid w:val="00981956"/>
    <w:rsid w:val="00982BD5"/>
    <w:rsid w:val="00983918"/>
    <w:rsid w:val="00985126"/>
    <w:rsid w:val="009918CC"/>
    <w:rsid w:val="00992183"/>
    <w:rsid w:val="0099345D"/>
    <w:rsid w:val="00996984"/>
    <w:rsid w:val="00996C24"/>
    <w:rsid w:val="009A0290"/>
    <w:rsid w:val="009A0B5A"/>
    <w:rsid w:val="009A1F90"/>
    <w:rsid w:val="009A5DFB"/>
    <w:rsid w:val="009A7629"/>
    <w:rsid w:val="009A770B"/>
    <w:rsid w:val="009A7AE8"/>
    <w:rsid w:val="009B05F8"/>
    <w:rsid w:val="009B0913"/>
    <w:rsid w:val="009B0F1C"/>
    <w:rsid w:val="009B3475"/>
    <w:rsid w:val="009B446C"/>
    <w:rsid w:val="009B486A"/>
    <w:rsid w:val="009B5DAD"/>
    <w:rsid w:val="009B62A8"/>
    <w:rsid w:val="009B786D"/>
    <w:rsid w:val="009C01B4"/>
    <w:rsid w:val="009C266D"/>
    <w:rsid w:val="009C3228"/>
    <w:rsid w:val="009C4D74"/>
    <w:rsid w:val="009C725B"/>
    <w:rsid w:val="009D23FA"/>
    <w:rsid w:val="009D266B"/>
    <w:rsid w:val="009D3F39"/>
    <w:rsid w:val="009D61BA"/>
    <w:rsid w:val="009E02E5"/>
    <w:rsid w:val="009E14A1"/>
    <w:rsid w:val="009E21D2"/>
    <w:rsid w:val="009E36D8"/>
    <w:rsid w:val="009E4104"/>
    <w:rsid w:val="009E6753"/>
    <w:rsid w:val="009E6BEE"/>
    <w:rsid w:val="009E6E38"/>
    <w:rsid w:val="009F14AF"/>
    <w:rsid w:val="009F3AC4"/>
    <w:rsid w:val="00A00ABF"/>
    <w:rsid w:val="00A01F1F"/>
    <w:rsid w:val="00A06C3F"/>
    <w:rsid w:val="00A07E0F"/>
    <w:rsid w:val="00A1382F"/>
    <w:rsid w:val="00A14D87"/>
    <w:rsid w:val="00A1543E"/>
    <w:rsid w:val="00A15EF5"/>
    <w:rsid w:val="00A173F3"/>
    <w:rsid w:val="00A17F31"/>
    <w:rsid w:val="00A24BF5"/>
    <w:rsid w:val="00A24FDF"/>
    <w:rsid w:val="00A26F08"/>
    <w:rsid w:val="00A303E3"/>
    <w:rsid w:val="00A32B67"/>
    <w:rsid w:val="00A33BC3"/>
    <w:rsid w:val="00A3695A"/>
    <w:rsid w:val="00A417A3"/>
    <w:rsid w:val="00A41C6C"/>
    <w:rsid w:val="00A427B6"/>
    <w:rsid w:val="00A50A2A"/>
    <w:rsid w:val="00A50EDF"/>
    <w:rsid w:val="00A53EF2"/>
    <w:rsid w:val="00A56182"/>
    <w:rsid w:val="00A57903"/>
    <w:rsid w:val="00A608DF"/>
    <w:rsid w:val="00A60B45"/>
    <w:rsid w:val="00A614F7"/>
    <w:rsid w:val="00A645C3"/>
    <w:rsid w:val="00A70E85"/>
    <w:rsid w:val="00A72752"/>
    <w:rsid w:val="00A72BE0"/>
    <w:rsid w:val="00A72F2B"/>
    <w:rsid w:val="00A746B4"/>
    <w:rsid w:val="00A74EE5"/>
    <w:rsid w:val="00A761E4"/>
    <w:rsid w:val="00A775A4"/>
    <w:rsid w:val="00A819DE"/>
    <w:rsid w:val="00A87D44"/>
    <w:rsid w:val="00A905AF"/>
    <w:rsid w:val="00A912E4"/>
    <w:rsid w:val="00A92404"/>
    <w:rsid w:val="00A93605"/>
    <w:rsid w:val="00A96B83"/>
    <w:rsid w:val="00A9764A"/>
    <w:rsid w:val="00A977B8"/>
    <w:rsid w:val="00AA0C10"/>
    <w:rsid w:val="00AA13BD"/>
    <w:rsid w:val="00AA376B"/>
    <w:rsid w:val="00AB06B2"/>
    <w:rsid w:val="00AB2DA5"/>
    <w:rsid w:val="00AB436B"/>
    <w:rsid w:val="00AB4AD3"/>
    <w:rsid w:val="00AB6D03"/>
    <w:rsid w:val="00AC62A5"/>
    <w:rsid w:val="00AD03AD"/>
    <w:rsid w:val="00AD6406"/>
    <w:rsid w:val="00AE0409"/>
    <w:rsid w:val="00AE0CC7"/>
    <w:rsid w:val="00AE220B"/>
    <w:rsid w:val="00AE2376"/>
    <w:rsid w:val="00AE2E1C"/>
    <w:rsid w:val="00AE6884"/>
    <w:rsid w:val="00AE6EDA"/>
    <w:rsid w:val="00AE7736"/>
    <w:rsid w:val="00AE7C04"/>
    <w:rsid w:val="00AF2752"/>
    <w:rsid w:val="00B001F4"/>
    <w:rsid w:val="00B00A17"/>
    <w:rsid w:val="00B0296E"/>
    <w:rsid w:val="00B03ACD"/>
    <w:rsid w:val="00B123DB"/>
    <w:rsid w:val="00B13EFE"/>
    <w:rsid w:val="00B160C4"/>
    <w:rsid w:val="00B16697"/>
    <w:rsid w:val="00B16711"/>
    <w:rsid w:val="00B268CE"/>
    <w:rsid w:val="00B279A6"/>
    <w:rsid w:val="00B27F04"/>
    <w:rsid w:val="00B3000B"/>
    <w:rsid w:val="00B30C5E"/>
    <w:rsid w:val="00B34676"/>
    <w:rsid w:val="00B35959"/>
    <w:rsid w:val="00B42781"/>
    <w:rsid w:val="00B43123"/>
    <w:rsid w:val="00B43B12"/>
    <w:rsid w:val="00B50F53"/>
    <w:rsid w:val="00B53FB2"/>
    <w:rsid w:val="00B540BC"/>
    <w:rsid w:val="00B54EC2"/>
    <w:rsid w:val="00B604A5"/>
    <w:rsid w:val="00B613A1"/>
    <w:rsid w:val="00B615CD"/>
    <w:rsid w:val="00B6365B"/>
    <w:rsid w:val="00B636A3"/>
    <w:rsid w:val="00B7141F"/>
    <w:rsid w:val="00B72030"/>
    <w:rsid w:val="00B76C57"/>
    <w:rsid w:val="00B80E71"/>
    <w:rsid w:val="00B82DBE"/>
    <w:rsid w:val="00B84D71"/>
    <w:rsid w:val="00B871BB"/>
    <w:rsid w:val="00B90BCC"/>
    <w:rsid w:val="00B925F3"/>
    <w:rsid w:val="00B97673"/>
    <w:rsid w:val="00B97929"/>
    <w:rsid w:val="00BA2436"/>
    <w:rsid w:val="00BA5044"/>
    <w:rsid w:val="00BB001D"/>
    <w:rsid w:val="00BB02D6"/>
    <w:rsid w:val="00BB479C"/>
    <w:rsid w:val="00BB6FF5"/>
    <w:rsid w:val="00BB722A"/>
    <w:rsid w:val="00BC05FC"/>
    <w:rsid w:val="00BC09A7"/>
    <w:rsid w:val="00BC1254"/>
    <w:rsid w:val="00BC171F"/>
    <w:rsid w:val="00BC2F6B"/>
    <w:rsid w:val="00BC4455"/>
    <w:rsid w:val="00BD0E64"/>
    <w:rsid w:val="00BD10BC"/>
    <w:rsid w:val="00BD2791"/>
    <w:rsid w:val="00BD2CBA"/>
    <w:rsid w:val="00BD4E78"/>
    <w:rsid w:val="00BD62CB"/>
    <w:rsid w:val="00BD6DC9"/>
    <w:rsid w:val="00BD7550"/>
    <w:rsid w:val="00BE5140"/>
    <w:rsid w:val="00BE5372"/>
    <w:rsid w:val="00BE6F17"/>
    <w:rsid w:val="00BE7BC2"/>
    <w:rsid w:val="00BF0016"/>
    <w:rsid w:val="00BF2FA7"/>
    <w:rsid w:val="00BF5764"/>
    <w:rsid w:val="00C03202"/>
    <w:rsid w:val="00C064B5"/>
    <w:rsid w:val="00C13F3F"/>
    <w:rsid w:val="00C17CA3"/>
    <w:rsid w:val="00C2083A"/>
    <w:rsid w:val="00C22B79"/>
    <w:rsid w:val="00C2476C"/>
    <w:rsid w:val="00C24FD0"/>
    <w:rsid w:val="00C31177"/>
    <w:rsid w:val="00C3291B"/>
    <w:rsid w:val="00C3316E"/>
    <w:rsid w:val="00C332A3"/>
    <w:rsid w:val="00C333EB"/>
    <w:rsid w:val="00C3587D"/>
    <w:rsid w:val="00C4029B"/>
    <w:rsid w:val="00C4082F"/>
    <w:rsid w:val="00C40FC6"/>
    <w:rsid w:val="00C42251"/>
    <w:rsid w:val="00C43D81"/>
    <w:rsid w:val="00C468F2"/>
    <w:rsid w:val="00C468FA"/>
    <w:rsid w:val="00C46B6B"/>
    <w:rsid w:val="00C46D76"/>
    <w:rsid w:val="00C512F4"/>
    <w:rsid w:val="00C53498"/>
    <w:rsid w:val="00C53C8B"/>
    <w:rsid w:val="00C551B9"/>
    <w:rsid w:val="00C552A1"/>
    <w:rsid w:val="00C576EA"/>
    <w:rsid w:val="00C60206"/>
    <w:rsid w:val="00C62B66"/>
    <w:rsid w:val="00C71A2A"/>
    <w:rsid w:val="00C7298A"/>
    <w:rsid w:val="00C729D5"/>
    <w:rsid w:val="00C73C62"/>
    <w:rsid w:val="00C74827"/>
    <w:rsid w:val="00C751EC"/>
    <w:rsid w:val="00C75A62"/>
    <w:rsid w:val="00C77D35"/>
    <w:rsid w:val="00C81E0F"/>
    <w:rsid w:val="00C86E93"/>
    <w:rsid w:val="00C91147"/>
    <w:rsid w:val="00C93DB8"/>
    <w:rsid w:val="00CA6181"/>
    <w:rsid w:val="00CB013D"/>
    <w:rsid w:val="00CB0F8D"/>
    <w:rsid w:val="00CB23BC"/>
    <w:rsid w:val="00CB5B89"/>
    <w:rsid w:val="00CC11E8"/>
    <w:rsid w:val="00CC2F39"/>
    <w:rsid w:val="00CC315E"/>
    <w:rsid w:val="00CC35A5"/>
    <w:rsid w:val="00CC3D2E"/>
    <w:rsid w:val="00CC54FB"/>
    <w:rsid w:val="00CC6A91"/>
    <w:rsid w:val="00CD0E0A"/>
    <w:rsid w:val="00CD1D49"/>
    <w:rsid w:val="00CD2054"/>
    <w:rsid w:val="00CD4FC9"/>
    <w:rsid w:val="00CD6DD2"/>
    <w:rsid w:val="00CE0644"/>
    <w:rsid w:val="00CE0EE1"/>
    <w:rsid w:val="00CE2C95"/>
    <w:rsid w:val="00CE4E86"/>
    <w:rsid w:val="00CE7AA8"/>
    <w:rsid w:val="00CF0C38"/>
    <w:rsid w:val="00CF0F2A"/>
    <w:rsid w:val="00CF392B"/>
    <w:rsid w:val="00CF3ECE"/>
    <w:rsid w:val="00CF45E1"/>
    <w:rsid w:val="00CF746A"/>
    <w:rsid w:val="00D007BE"/>
    <w:rsid w:val="00D0154F"/>
    <w:rsid w:val="00D0439E"/>
    <w:rsid w:val="00D04BBD"/>
    <w:rsid w:val="00D04C92"/>
    <w:rsid w:val="00D127DD"/>
    <w:rsid w:val="00D129C1"/>
    <w:rsid w:val="00D31E19"/>
    <w:rsid w:val="00D32388"/>
    <w:rsid w:val="00D350A2"/>
    <w:rsid w:val="00D35563"/>
    <w:rsid w:val="00D35CD7"/>
    <w:rsid w:val="00D4017B"/>
    <w:rsid w:val="00D41CDC"/>
    <w:rsid w:val="00D41F6E"/>
    <w:rsid w:val="00D44366"/>
    <w:rsid w:val="00D44650"/>
    <w:rsid w:val="00D45485"/>
    <w:rsid w:val="00D45A60"/>
    <w:rsid w:val="00D46B0F"/>
    <w:rsid w:val="00D52670"/>
    <w:rsid w:val="00D52D3A"/>
    <w:rsid w:val="00D55C2B"/>
    <w:rsid w:val="00D55E67"/>
    <w:rsid w:val="00D570E4"/>
    <w:rsid w:val="00D603FD"/>
    <w:rsid w:val="00D61555"/>
    <w:rsid w:val="00D64185"/>
    <w:rsid w:val="00D6448D"/>
    <w:rsid w:val="00D6621F"/>
    <w:rsid w:val="00D732B5"/>
    <w:rsid w:val="00D74029"/>
    <w:rsid w:val="00D77F0F"/>
    <w:rsid w:val="00D8067C"/>
    <w:rsid w:val="00D80E35"/>
    <w:rsid w:val="00D84A04"/>
    <w:rsid w:val="00D857F5"/>
    <w:rsid w:val="00D85C2E"/>
    <w:rsid w:val="00D901D5"/>
    <w:rsid w:val="00D91693"/>
    <w:rsid w:val="00D94810"/>
    <w:rsid w:val="00DA0E02"/>
    <w:rsid w:val="00DA36F2"/>
    <w:rsid w:val="00DB2119"/>
    <w:rsid w:val="00DB73CB"/>
    <w:rsid w:val="00DC029A"/>
    <w:rsid w:val="00DC0876"/>
    <w:rsid w:val="00DC143C"/>
    <w:rsid w:val="00DC154E"/>
    <w:rsid w:val="00DC3084"/>
    <w:rsid w:val="00DC325A"/>
    <w:rsid w:val="00DC5650"/>
    <w:rsid w:val="00DD30F9"/>
    <w:rsid w:val="00DD3FC2"/>
    <w:rsid w:val="00DD6B7B"/>
    <w:rsid w:val="00DE3986"/>
    <w:rsid w:val="00DF07EA"/>
    <w:rsid w:val="00DF280B"/>
    <w:rsid w:val="00DF3ABD"/>
    <w:rsid w:val="00DF5055"/>
    <w:rsid w:val="00DF5A2F"/>
    <w:rsid w:val="00DF6063"/>
    <w:rsid w:val="00DF671D"/>
    <w:rsid w:val="00DF6A83"/>
    <w:rsid w:val="00DF6D36"/>
    <w:rsid w:val="00E01641"/>
    <w:rsid w:val="00E01EB8"/>
    <w:rsid w:val="00E05DBD"/>
    <w:rsid w:val="00E05EA3"/>
    <w:rsid w:val="00E0763C"/>
    <w:rsid w:val="00E077CA"/>
    <w:rsid w:val="00E10D4E"/>
    <w:rsid w:val="00E114CE"/>
    <w:rsid w:val="00E153B5"/>
    <w:rsid w:val="00E165A6"/>
    <w:rsid w:val="00E17189"/>
    <w:rsid w:val="00E2048F"/>
    <w:rsid w:val="00E22B90"/>
    <w:rsid w:val="00E2587A"/>
    <w:rsid w:val="00E266E5"/>
    <w:rsid w:val="00E3206E"/>
    <w:rsid w:val="00E3354C"/>
    <w:rsid w:val="00E33ED3"/>
    <w:rsid w:val="00E34012"/>
    <w:rsid w:val="00E34597"/>
    <w:rsid w:val="00E352F7"/>
    <w:rsid w:val="00E36BA5"/>
    <w:rsid w:val="00E40928"/>
    <w:rsid w:val="00E44E39"/>
    <w:rsid w:val="00E4548A"/>
    <w:rsid w:val="00E45B7A"/>
    <w:rsid w:val="00E505F5"/>
    <w:rsid w:val="00E50B46"/>
    <w:rsid w:val="00E54082"/>
    <w:rsid w:val="00E55B1A"/>
    <w:rsid w:val="00E57F20"/>
    <w:rsid w:val="00E71DA4"/>
    <w:rsid w:val="00E75003"/>
    <w:rsid w:val="00E769C9"/>
    <w:rsid w:val="00E77A73"/>
    <w:rsid w:val="00E801DC"/>
    <w:rsid w:val="00E81AAB"/>
    <w:rsid w:val="00E82889"/>
    <w:rsid w:val="00E83D5C"/>
    <w:rsid w:val="00E857AA"/>
    <w:rsid w:val="00E85B5D"/>
    <w:rsid w:val="00E86186"/>
    <w:rsid w:val="00E87031"/>
    <w:rsid w:val="00E92834"/>
    <w:rsid w:val="00E93D18"/>
    <w:rsid w:val="00E94F0D"/>
    <w:rsid w:val="00EA011E"/>
    <w:rsid w:val="00EA04C0"/>
    <w:rsid w:val="00EB013C"/>
    <w:rsid w:val="00EB341E"/>
    <w:rsid w:val="00EB360A"/>
    <w:rsid w:val="00EB5476"/>
    <w:rsid w:val="00EB7532"/>
    <w:rsid w:val="00EC06F7"/>
    <w:rsid w:val="00EC22A2"/>
    <w:rsid w:val="00EC5B56"/>
    <w:rsid w:val="00EC7BA8"/>
    <w:rsid w:val="00ED0847"/>
    <w:rsid w:val="00ED1D5B"/>
    <w:rsid w:val="00ED5650"/>
    <w:rsid w:val="00EE49F6"/>
    <w:rsid w:val="00EE4C30"/>
    <w:rsid w:val="00EE4D8C"/>
    <w:rsid w:val="00EE731B"/>
    <w:rsid w:val="00EE745B"/>
    <w:rsid w:val="00EE78B6"/>
    <w:rsid w:val="00EE7D57"/>
    <w:rsid w:val="00EF2B85"/>
    <w:rsid w:val="00EF56E2"/>
    <w:rsid w:val="00EF69E0"/>
    <w:rsid w:val="00F0301A"/>
    <w:rsid w:val="00F042E7"/>
    <w:rsid w:val="00F04498"/>
    <w:rsid w:val="00F115C7"/>
    <w:rsid w:val="00F133FE"/>
    <w:rsid w:val="00F13400"/>
    <w:rsid w:val="00F21805"/>
    <w:rsid w:val="00F24FBB"/>
    <w:rsid w:val="00F26D9C"/>
    <w:rsid w:val="00F313B7"/>
    <w:rsid w:val="00F3374D"/>
    <w:rsid w:val="00F33B63"/>
    <w:rsid w:val="00F41D37"/>
    <w:rsid w:val="00F43E2B"/>
    <w:rsid w:val="00F4407B"/>
    <w:rsid w:val="00F51980"/>
    <w:rsid w:val="00F67BB0"/>
    <w:rsid w:val="00F70FCD"/>
    <w:rsid w:val="00F718EB"/>
    <w:rsid w:val="00F732E3"/>
    <w:rsid w:val="00F7371E"/>
    <w:rsid w:val="00F73D6A"/>
    <w:rsid w:val="00F755BF"/>
    <w:rsid w:val="00F77801"/>
    <w:rsid w:val="00F77D16"/>
    <w:rsid w:val="00F804F9"/>
    <w:rsid w:val="00F82223"/>
    <w:rsid w:val="00F82C6C"/>
    <w:rsid w:val="00F83C85"/>
    <w:rsid w:val="00F8690F"/>
    <w:rsid w:val="00F8731F"/>
    <w:rsid w:val="00F900BE"/>
    <w:rsid w:val="00F91ED4"/>
    <w:rsid w:val="00F9435B"/>
    <w:rsid w:val="00F94882"/>
    <w:rsid w:val="00F972A0"/>
    <w:rsid w:val="00FA2720"/>
    <w:rsid w:val="00FA5FB3"/>
    <w:rsid w:val="00FA77B1"/>
    <w:rsid w:val="00FA7E13"/>
    <w:rsid w:val="00FB0075"/>
    <w:rsid w:val="00FB047A"/>
    <w:rsid w:val="00FB0544"/>
    <w:rsid w:val="00FB0E82"/>
    <w:rsid w:val="00FB6CF7"/>
    <w:rsid w:val="00FB7ED0"/>
    <w:rsid w:val="00FC010C"/>
    <w:rsid w:val="00FC1F81"/>
    <w:rsid w:val="00FC599D"/>
    <w:rsid w:val="00FC68A8"/>
    <w:rsid w:val="00FD15E7"/>
    <w:rsid w:val="00FD16A7"/>
    <w:rsid w:val="00FD19C3"/>
    <w:rsid w:val="00FD3708"/>
    <w:rsid w:val="00FD430E"/>
    <w:rsid w:val="00FD482A"/>
    <w:rsid w:val="00FE19BD"/>
    <w:rsid w:val="00FE253C"/>
    <w:rsid w:val="00FE377D"/>
    <w:rsid w:val="00FF00B9"/>
    <w:rsid w:val="00FF0EF1"/>
    <w:rsid w:val="00FF1C92"/>
    <w:rsid w:val="00FF2252"/>
    <w:rsid w:val="00FF232D"/>
    <w:rsid w:val="00FF33BC"/>
    <w:rsid w:val="00FF3472"/>
    <w:rsid w:val="00FF455E"/>
    <w:rsid w:val="00FF6348"/>
    <w:rsid w:val="00FF683B"/>
    <w:rsid w:val="012073A2"/>
    <w:rsid w:val="01973053"/>
    <w:rsid w:val="027E74CA"/>
    <w:rsid w:val="034B5463"/>
    <w:rsid w:val="04DB3C44"/>
    <w:rsid w:val="098B4CEA"/>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604DF6"/>
    <w:rsid w:val="21B878C1"/>
    <w:rsid w:val="22723962"/>
    <w:rsid w:val="241C4DDC"/>
    <w:rsid w:val="24CD0EEF"/>
    <w:rsid w:val="24D067A5"/>
    <w:rsid w:val="275B5093"/>
    <w:rsid w:val="27640417"/>
    <w:rsid w:val="29204D61"/>
    <w:rsid w:val="29F563F0"/>
    <w:rsid w:val="2B860F6A"/>
    <w:rsid w:val="2B97780B"/>
    <w:rsid w:val="2CCB46E5"/>
    <w:rsid w:val="2E2A5CB9"/>
    <w:rsid w:val="2E6073FD"/>
    <w:rsid w:val="2F24002C"/>
    <w:rsid w:val="31AE15C3"/>
    <w:rsid w:val="31FF6CE2"/>
    <w:rsid w:val="323E6E4E"/>
    <w:rsid w:val="35BB3EF4"/>
    <w:rsid w:val="369C4E13"/>
    <w:rsid w:val="36E755A5"/>
    <w:rsid w:val="386B0FD9"/>
    <w:rsid w:val="3933479C"/>
    <w:rsid w:val="396D1326"/>
    <w:rsid w:val="3B97665A"/>
    <w:rsid w:val="3E046715"/>
    <w:rsid w:val="3EE2552D"/>
    <w:rsid w:val="46ED03C2"/>
    <w:rsid w:val="484F252F"/>
    <w:rsid w:val="4A8A1CA2"/>
    <w:rsid w:val="4B011028"/>
    <w:rsid w:val="4C661C38"/>
    <w:rsid w:val="4C9A5EA5"/>
    <w:rsid w:val="4EE2079C"/>
    <w:rsid w:val="4F4E509D"/>
    <w:rsid w:val="4FAB5CCE"/>
    <w:rsid w:val="50D543D0"/>
    <w:rsid w:val="51885345"/>
    <w:rsid w:val="52F40A7A"/>
    <w:rsid w:val="53A32864"/>
    <w:rsid w:val="53AB37CE"/>
    <w:rsid w:val="555F515E"/>
    <w:rsid w:val="55B15E0F"/>
    <w:rsid w:val="579529A0"/>
    <w:rsid w:val="5B20154B"/>
    <w:rsid w:val="5DB11630"/>
    <w:rsid w:val="5EB85928"/>
    <w:rsid w:val="5F7F05A5"/>
    <w:rsid w:val="60090E87"/>
    <w:rsid w:val="616855EF"/>
    <w:rsid w:val="62E269BE"/>
    <w:rsid w:val="63273FE2"/>
    <w:rsid w:val="633C4553"/>
    <w:rsid w:val="635E1DC8"/>
    <w:rsid w:val="63F8153B"/>
    <w:rsid w:val="65D97F82"/>
    <w:rsid w:val="66BF71C4"/>
    <w:rsid w:val="68A1291D"/>
    <w:rsid w:val="68B76BCA"/>
    <w:rsid w:val="68D12C7B"/>
    <w:rsid w:val="693646B5"/>
    <w:rsid w:val="69604790"/>
    <w:rsid w:val="6A0A1458"/>
    <w:rsid w:val="6F100594"/>
    <w:rsid w:val="6FB05B67"/>
    <w:rsid w:val="70241AA7"/>
    <w:rsid w:val="7221670E"/>
    <w:rsid w:val="73222030"/>
    <w:rsid w:val="74B64137"/>
    <w:rsid w:val="75E50AB9"/>
    <w:rsid w:val="76552FDB"/>
    <w:rsid w:val="77A46809"/>
    <w:rsid w:val="793E45B1"/>
    <w:rsid w:val="7A5B26E7"/>
    <w:rsid w:val="7A610B9B"/>
    <w:rsid w:val="7AFA5663"/>
    <w:rsid w:val="7DAB739D"/>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E7DBAD0"/>
  <w15:docId w15:val="{2302D3AE-2B16-465D-A3B9-1F0D726D7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qFormat/>
    <w:pPr>
      <w:widowControl w:val="0"/>
      <w:jc w:val="both"/>
    </w:pPr>
    <w:rPr>
      <w:rFonts w:ascii="Times New Roman" w:hAnsi="Times New Roman"/>
      <w:kern w:val="2"/>
      <w:sz w:val="21"/>
      <w:szCs w:val="24"/>
    </w:rPr>
  </w:style>
  <w:style w:type="paragraph" w:styleId="3">
    <w:name w:val="heading 3"/>
    <w:basedOn w:val="af0"/>
    <w:next w:val="af0"/>
    <w:semiHidden/>
    <w:unhideWhenUsed/>
    <w:qFormat/>
    <w:pPr>
      <w:spacing w:beforeAutospacing="1" w:afterAutospacing="1"/>
      <w:jc w:val="left"/>
      <w:outlineLvl w:val="2"/>
    </w:pPr>
    <w:rPr>
      <w:rFonts w:ascii="宋体" w:hAnsi="宋体" w:hint="eastAsia"/>
      <w:b/>
      <w:kern w:val="0"/>
      <w:sz w:val="27"/>
      <w:szCs w:val="27"/>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annotation text"/>
    <w:basedOn w:val="af0"/>
    <w:link w:val="af5"/>
    <w:semiHidden/>
    <w:unhideWhenUsed/>
    <w:qFormat/>
    <w:pPr>
      <w:jc w:val="left"/>
    </w:pPr>
  </w:style>
  <w:style w:type="paragraph" w:styleId="af6">
    <w:name w:val="Body Text"/>
    <w:basedOn w:val="af0"/>
    <w:link w:val="af7"/>
    <w:uiPriority w:val="99"/>
    <w:unhideWhenUsed/>
    <w:qFormat/>
    <w:pPr>
      <w:ind w:left="109"/>
    </w:pPr>
    <w:rPr>
      <w:rFonts w:ascii="仿宋_GB2312" w:eastAsia="仿宋_GB2312" w:hAnsi="仿宋_GB2312" w:cs="Calibri"/>
      <w:sz w:val="32"/>
    </w:rPr>
  </w:style>
  <w:style w:type="paragraph" w:styleId="af8">
    <w:name w:val="Balloon Text"/>
    <w:basedOn w:val="af0"/>
    <w:link w:val="af9"/>
    <w:qFormat/>
    <w:rPr>
      <w:sz w:val="18"/>
      <w:szCs w:val="18"/>
    </w:rPr>
  </w:style>
  <w:style w:type="paragraph" w:styleId="afa">
    <w:name w:val="footer"/>
    <w:basedOn w:val="af0"/>
    <w:link w:val="afb"/>
    <w:uiPriority w:val="99"/>
    <w:qFormat/>
    <w:pPr>
      <w:tabs>
        <w:tab w:val="center" w:pos="4153"/>
        <w:tab w:val="right" w:pos="8306"/>
      </w:tabs>
      <w:snapToGrid w:val="0"/>
      <w:jc w:val="left"/>
    </w:pPr>
    <w:rPr>
      <w:sz w:val="18"/>
      <w:szCs w:val="18"/>
    </w:rPr>
  </w:style>
  <w:style w:type="paragraph" w:styleId="afc">
    <w:name w:val="header"/>
    <w:basedOn w:val="af0"/>
    <w:link w:val="af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f0"/>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annotation subject"/>
    <w:basedOn w:val="af4"/>
    <w:next w:val="af4"/>
    <w:link w:val="aff"/>
    <w:semiHidden/>
    <w:unhideWhenUsed/>
    <w:qFormat/>
    <w:rPr>
      <w:b/>
      <w:bCs/>
    </w:rPr>
  </w:style>
  <w:style w:type="table" w:styleId="aff0">
    <w:name w:val="Table Grid"/>
    <w:basedOn w:val="af2"/>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f1"/>
    <w:qFormat/>
    <w:rPr>
      <w:b/>
    </w:rPr>
  </w:style>
  <w:style w:type="character" w:styleId="aff2">
    <w:name w:val="Hyperlink"/>
    <w:basedOn w:val="af1"/>
    <w:uiPriority w:val="99"/>
    <w:unhideWhenUsed/>
    <w:qFormat/>
    <w:rPr>
      <w:color w:val="0000FF"/>
      <w:u w:val="single"/>
    </w:rPr>
  </w:style>
  <w:style w:type="character" w:styleId="aff3">
    <w:name w:val="annotation reference"/>
    <w:basedOn w:val="af1"/>
    <w:semiHidden/>
    <w:unhideWhenUsed/>
    <w:qFormat/>
    <w:rPr>
      <w:sz w:val="21"/>
      <w:szCs w:val="21"/>
    </w:rPr>
  </w:style>
  <w:style w:type="paragraph" w:styleId="aff4">
    <w:name w:val="List Paragraph"/>
    <w:basedOn w:val="af0"/>
    <w:uiPriority w:val="34"/>
    <w:qFormat/>
    <w:pPr>
      <w:ind w:firstLineChars="200" w:firstLine="420"/>
    </w:pPr>
    <w:rPr>
      <w:szCs w:val="22"/>
    </w:rPr>
  </w:style>
  <w:style w:type="paragraph" w:customStyle="1" w:styleId="aff5">
    <w:name w:val="标准文件_段"/>
    <w:link w:val="Char"/>
    <w:qFormat/>
    <w:pPr>
      <w:autoSpaceDE w:val="0"/>
      <w:autoSpaceDN w:val="0"/>
      <w:ind w:firstLineChars="200" w:firstLine="200"/>
      <w:jc w:val="both"/>
    </w:pPr>
    <w:rPr>
      <w:rFonts w:ascii="宋体" w:hAnsi="Times New Roman"/>
      <w:sz w:val="21"/>
    </w:rPr>
  </w:style>
  <w:style w:type="character" w:customStyle="1" w:styleId="Char">
    <w:name w:val="标准文件_段 Char"/>
    <w:link w:val="aff5"/>
    <w:qFormat/>
    <w:rPr>
      <w:rFonts w:ascii="宋体"/>
      <w:sz w:val="21"/>
    </w:rPr>
  </w:style>
  <w:style w:type="character" w:customStyle="1" w:styleId="afd">
    <w:name w:val="页眉 字符"/>
    <w:basedOn w:val="af1"/>
    <w:link w:val="afc"/>
    <w:qFormat/>
    <w:rPr>
      <w:rFonts w:ascii="Times New Roman" w:hAnsi="Times New Roman"/>
      <w:kern w:val="2"/>
      <w:sz w:val="18"/>
      <w:szCs w:val="18"/>
    </w:rPr>
  </w:style>
  <w:style w:type="character" w:customStyle="1" w:styleId="afb">
    <w:name w:val="页脚 字符"/>
    <w:basedOn w:val="af1"/>
    <w:link w:val="afa"/>
    <w:uiPriority w:val="99"/>
    <w:qFormat/>
    <w:rPr>
      <w:rFonts w:ascii="Times New Roman" w:hAnsi="Times New Roman"/>
      <w:kern w:val="2"/>
      <w:sz w:val="18"/>
      <w:szCs w:val="18"/>
    </w:rPr>
  </w:style>
  <w:style w:type="character" w:customStyle="1" w:styleId="af9">
    <w:name w:val="批注框文本 字符"/>
    <w:basedOn w:val="af1"/>
    <w:link w:val="af8"/>
    <w:qFormat/>
    <w:rPr>
      <w:rFonts w:ascii="Times New Roman" w:hAnsi="Times New Roman"/>
      <w:kern w:val="2"/>
      <w:sz w:val="18"/>
      <w:szCs w:val="18"/>
    </w:rPr>
  </w:style>
  <w:style w:type="paragraph" w:customStyle="1" w:styleId="ac">
    <w:name w:val="标准文件_二级条标题"/>
    <w:next w:val="aff5"/>
    <w:qFormat/>
    <w:pPr>
      <w:widowControl w:val="0"/>
      <w:numPr>
        <w:ilvl w:val="3"/>
        <w:numId w:val="1"/>
      </w:numPr>
      <w:spacing w:beforeLines="50" w:afterLines="50"/>
      <w:jc w:val="both"/>
      <w:outlineLvl w:val="2"/>
    </w:pPr>
    <w:rPr>
      <w:rFonts w:ascii="黑体" w:eastAsia="黑体" w:hAnsi="Times New Roman"/>
      <w:sz w:val="21"/>
    </w:rPr>
  </w:style>
  <w:style w:type="paragraph" w:customStyle="1" w:styleId="ad">
    <w:name w:val="标准文件_三级条标题"/>
    <w:basedOn w:val="ac"/>
    <w:next w:val="aff5"/>
    <w:qFormat/>
    <w:pPr>
      <w:widowControl/>
      <w:numPr>
        <w:ilvl w:val="4"/>
      </w:numPr>
      <w:outlineLvl w:val="3"/>
    </w:pPr>
  </w:style>
  <w:style w:type="paragraph" w:customStyle="1" w:styleId="ae">
    <w:name w:val="标准文件_四级条标题"/>
    <w:next w:val="aff5"/>
    <w:qFormat/>
    <w:pPr>
      <w:widowControl w:val="0"/>
      <w:numPr>
        <w:ilvl w:val="5"/>
        <w:numId w:val="1"/>
      </w:numPr>
      <w:spacing w:beforeLines="50" w:afterLines="50"/>
      <w:jc w:val="both"/>
      <w:outlineLvl w:val="4"/>
    </w:pPr>
    <w:rPr>
      <w:rFonts w:ascii="黑体" w:eastAsia="黑体" w:hAnsi="Times New Roman"/>
      <w:sz w:val="21"/>
    </w:rPr>
  </w:style>
  <w:style w:type="paragraph" w:customStyle="1" w:styleId="af">
    <w:name w:val="标准文件_五级条标题"/>
    <w:next w:val="aff5"/>
    <w:qFormat/>
    <w:pPr>
      <w:widowControl w:val="0"/>
      <w:numPr>
        <w:ilvl w:val="6"/>
        <w:numId w:val="1"/>
      </w:numPr>
      <w:spacing w:beforeLines="50" w:afterLines="50"/>
      <w:jc w:val="both"/>
      <w:outlineLvl w:val="5"/>
    </w:pPr>
    <w:rPr>
      <w:rFonts w:ascii="黑体" w:eastAsia="黑体" w:hAnsi="Times New Roman"/>
      <w:sz w:val="21"/>
    </w:rPr>
  </w:style>
  <w:style w:type="paragraph" w:customStyle="1" w:styleId="aa">
    <w:name w:val="标准文件_章标题"/>
    <w:next w:val="aff5"/>
    <w:qFormat/>
    <w:pPr>
      <w:numPr>
        <w:ilvl w:val="1"/>
        <w:numId w:val="1"/>
      </w:numPr>
      <w:spacing w:beforeLines="100" w:afterLines="100"/>
      <w:jc w:val="both"/>
      <w:outlineLvl w:val="0"/>
    </w:pPr>
    <w:rPr>
      <w:rFonts w:ascii="黑体" w:eastAsia="黑体" w:hAnsi="Times New Roman"/>
      <w:sz w:val="21"/>
    </w:rPr>
  </w:style>
  <w:style w:type="paragraph" w:customStyle="1" w:styleId="ab">
    <w:name w:val="标准文件_一级条标题"/>
    <w:basedOn w:val="aa"/>
    <w:next w:val="aff5"/>
    <w:qFormat/>
    <w:pPr>
      <w:numPr>
        <w:ilvl w:val="2"/>
      </w:numPr>
      <w:spacing w:beforeLines="50" w:afterLines="50"/>
      <w:outlineLvl w:val="1"/>
    </w:pPr>
  </w:style>
  <w:style w:type="paragraph" w:customStyle="1" w:styleId="a9">
    <w:name w:val="前言标题"/>
    <w:next w:val="af0"/>
    <w:qFormat/>
    <w:pPr>
      <w:numPr>
        <w:numId w:val="1"/>
      </w:numPr>
      <w:shd w:val="clear" w:color="FFFFFF" w:fill="FFFFFF"/>
      <w:spacing w:before="540" w:after="600"/>
      <w:jc w:val="center"/>
      <w:outlineLvl w:val="0"/>
    </w:pPr>
    <w:rPr>
      <w:rFonts w:ascii="黑体" w:eastAsia="黑体" w:hAnsi="Times New Roman"/>
      <w:sz w:val="32"/>
    </w:rPr>
  </w:style>
  <w:style w:type="paragraph" w:customStyle="1" w:styleId="aff6">
    <w:name w:val="标准文件_二级无标题"/>
    <w:basedOn w:val="ac"/>
    <w:qFormat/>
    <w:pPr>
      <w:spacing w:beforeLines="0" w:afterLines="0"/>
      <w:outlineLvl w:val="9"/>
    </w:pPr>
    <w:rPr>
      <w:rFonts w:ascii="宋体" w:eastAsia="宋体"/>
    </w:rPr>
  </w:style>
  <w:style w:type="character" w:customStyle="1" w:styleId="Char0">
    <w:name w:val="段 Char"/>
    <w:link w:val="aff7"/>
    <w:uiPriority w:val="99"/>
    <w:qFormat/>
    <w:rPr>
      <w:rFonts w:ascii="宋体"/>
      <w:sz w:val="21"/>
    </w:rPr>
  </w:style>
  <w:style w:type="paragraph" w:customStyle="1" w:styleId="aff7">
    <w:name w:val="段"/>
    <w:link w:val="Char0"/>
    <w:uiPriority w:val="99"/>
    <w:qFormat/>
    <w:pPr>
      <w:autoSpaceDE w:val="0"/>
      <w:autoSpaceDN w:val="0"/>
      <w:ind w:firstLineChars="200" w:firstLine="200"/>
      <w:jc w:val="both"/>
    </w:pPr>
    <w:rPr>
      <w:rFonts w:ascii="宋体"/>
      <w:sz w:val="21"/>
    </w:rPr>
  </w:style>
  <w:style w:type="paragraph" w:customStyle="1" w:styleId="a1">
    <w:name w:val="一级条标题"/>
    <w:next w:val="aff7"/>
    <w:qFormat/>
    <w:pPr>
      <w:numPr>
        <w:ilvl w:val="1"/>
        <w:numId w:val="2"/>
      </w:numPr>
      <w:spacing w:beforeLines="50" w:afterLines="50"/>
      <w:outlineLvl w:val="2"/>
    </w:pPr>
    <w:rPr>
      <w:rFonts w:ascii="黑体" w:eastAsia="黑体" w:hAnsi="Times New Roman"/>
      <w:sz w:val="21"/>
      <w:szCs w:val="21"/>
    </w:rPr>
  </w:style>
  <w:style w:type="paragraph" w:customStyle="1" w:styleId="a0">
    <w:name w:val="章标题"/>
    <w:next w:val="aff7"/>
    <w:qFormat/>
    <w:pPr>
      <w:numPr>
        <w:numId w:val="2"/>
      </w:numPr>
      <w:spacing w:beforeLines="100" w:afterLines="100"/>
      <w:jc w:val="both"/>
      <w:outlineLvl w:val="1"/>
    </w:pPr>
    <w:rPr>
      <w:rFonts w:ascii="黑体" w:eastAsia="黑体" w:hAnsi="Times New Roman"/>
      <w:sz w:val="21"/>
    </w:rPr>
  </w:style>
  <w:style w:type="paragraph" w:customStyle="1" w:styleId="a2">
    <w:name w:val="二级条标题"/>
    <w:basedOn w:val="a1"/>
    <w:next w:val="aff7"/>
    <w:qFormat/>
    <w:pPr>
      <w:numPr>
        <w:ilvl w:val="2"/>
      </w:numPr>
      <w:spacing w:before="50" w:after="50"/>
      <w:outlineLvl w:val="3"/>
    </w:pPr>
  </w:style>
  <w:style w:type="paragraph" w:customStyle="1" w:styleId="a3">
    <w:name w:val="三级条标题"/>
    <w:basedOn w:val="a2"/>
    <w:next w:val="aff7"/>
    <w:qFormat/>
    <w:pPr>
      <w:numPr>
        <w:ilvl w:val="3"/>
      </w:numPr>
      <w:outlineLvl w:val="4"/>
    </w:pPr>
  </w:style>
  <w:style w:type="paragraph" w:customStyle="1" w:styleId="a4">
    <w:name w:val="四级条标题"/>
    <w:basedOn w:val="a3"/>
    <w:next w:val="aff7"/>
    <w:qFormat/>
    <w:pPr>
      <w:numPr>
        <w:ilvl w:val="4"/>
      </w:numPr>
      <w:outlineLvl w:val="5"/>
    </w:pPr>
  </w:style>
  <w:style w:type="paragraph" w:customStyle="1" w:styleId="a5">
    <w:name w:val="五级条标题"/>
    <w:basedOn w:val="a4"/>
    <w:next w:val="aff7"/>
    <w:qFormat/>
    <w:pPr>
      <w:numPr>
        <w:ilvl w:val="5"/>
      </w:numPr>
      <w:outlineLvl w:val="6"/>
    </w:pPr>
  </w:style>
  <w:style w:type="paragraph" w:customStyle="1" w:styleId="a">
    <w:name w:val="标准文件_术语条一"/>
    <w:basedOn w:val="af0"/>
    <w:next w:val="aff5"/>
    <w:qFormat/>
    <w:pPr>
      <w:widowControl/>
      <w:numPr>
        <w:ilvl w:val="2"/>
        <w:numId w:val="3"/>
      </w:numPr>
    </w:pPr>
    <w:rPr>
      <w:rFonts w:ascii="宋体"/>
      <w:kern w:val="0"/>
      <w:szCs w:val="20"/>
    </w:rPr>
  </w:style>
  <w:style w:type="paragraph" w:customStyle="1" w:styleId="1">
    <w:name w:val="正文1"/>
    <w:qFormat/>
    <w:pPr>
      <w:jc w:val="both"/>
    </w:pPr>
    <w:rPr>
      <w:rFonts w:ascii="Times New Roman" w:hAnsi="Times New Roman"/>
      <w:kern w:val="2"/>
      <w:sz w:val="21"/>
      <w:szCs w:val="21"/>
    </w:rPr>
  </w:style>
  <w:style w:type="character" w:customStyle="1" w:styleId="HTML0">
    <w:name w:val="HTML 预设格式 字符"/>
    <w:basedOn w:val="af1"/>
    <w:link w:val="HTML"/>
    <w:uiPriority w:val="99"/>
    <w:qFormat/>
    <w:rPr>
      <w:rFonts w:ascii="宋体" w:hAnsi="宋体" w:cs="宋体"/>
      <w:sz w:val="24"/>
      <w:szCs w:val="24"/>
    </w:rPr>
  </w:style>
  <w:style w:type="paragraph" w:styleId="aff8">
    <w:name w:val="No Spacing"/>
    <w:uiPriority w:val="1"/>
    <w:qFormat/>
    <w:pPr>
      <w:adjustRightInd w:val="0"/>
      <w:snapToGrid w:val="0"/>
    </w:pPr>
    <w:rPr>
      <w:rFonts w:ascii="Tahoma" w:eastAsia="微软雅黑" w:hAnsi="Tahoma"/>
      <w:sz w:val="22"/>
      <w:szCs w:val="22"/>
    </w:rPr>
  </w:style>
  <w:style w:type="character" w:customStyle="1" w:styleId="af7">
    <w:name w:val="正文文本 字符"/>
    <w:basedOn w:val="af1"/>
    <w:link w:val="af6"/>
    <w:uiPriority w:val="99"/>
    <w:qFormat/>
    <w:rPr>
      <w:rFonts w:ascii="仿宋_GB2312" w:eastAsia="仿宋_GB2312" w:hAnsi="仿宋_GB2312" w:cs="Calibri"/>
      <w:kern w:val="2"/>
      <w:sz w:val="32"/>
      <w:szCs w:val="24"/>
    </w:rPr>
  </w:style>
  <w:style w:type="paragraph" w:customStyle="1" w:styleId="a8">
    <w:name w:val="标准文件_正文表标题"/>
    <w:next w:val="aff5"/>
    <w:qFormat/>
    <w:pPr>
      <w:numPr>
        <w:numId w:val="4"/>
      </w:numPr>
      <w:tabs>
        <w:tab w:val="left" w:pos="0"/>
      </w:tabs>
      <w:spacing w:beforeLines="50" w:afterLines="50"/>
      <w:jc w:val="center"/>
    </w:pPr>
    <w:rPr>
      <w:rFonts w:ascii="黑体" w:eastAsia="黑体" w:hAnsi="Times New Roman"/>
      <w:sz w:val="21"/>
    </w:rPr>
  </w:style>
  <w:style w:type="paragraph" w:customStyle="1" w:styleId="aff9">
    <w:name w:val="标准文件_表格"/>
    <w:basedOn w:val="aff5"/>
    <w:qFormat/>
    <w:pPr>
      <w:ind w:firstLineChars="0" w:firstLine="0"/>
      <w:jc w:val="center"/>
    </w:pPr>
    <w:rPr>
      <w:sz w:val="18"/>
    </w:rPr>
  </w:style>
  <w:style w:type="paragraph" w:customStyle="1" w:styleId="a7">
    <w:name w:val="标准文件_附录表标题"/>
    <w:next w:val="a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6">
    <w:name w:val="标准文件_附录表标号"/>
    <w:basedOn w:val="aff5"/>
    <w:next w:val="aff5"/>
    <w:qFormat/>
    <w:pPr>
      <w:numPr>
        <w:numId w:val="5"/>
      </w:numPr>
      <w:spacing w:line="14" w:lineRule="exact"/>
      <w:ind w:firstLineChars="0" w:firstLine="0"/>
      <w:jc w:val="center"/>
    </w:pPr>
    <w:rPr>
      <w:rFonts w:eastAsia="黑体"/>
      <w:vanish/>
      <w:sz w:val="2"/>
    </w:rPr>
  </w:style>
  <w:style w:type="character" w:customStyle="1" w:styleId="af5">
    <w:name w:val="批注文字 字符"/>
    <w:basedOn w:val="af1"/>
    <w:link w:val="af4"/>
    <w:semiHidden/>
    <w:qFormat/>
    <w:rPr>
      <w:rFonts w:ascii="Times New Roman" w:hAnsi="Times New Roman"/>
      <w:kern w:val="2"/>
      <w:sz w:val="21"/>
      <w:szCs w:val="24"/>
    </w:rPr>
  </w:style>
  <w:style w:type="character" w:customStyle="1" w:styleId="aff">
    <w:name w:val="批注主题 字符"/>
    <w:basedOn w:val="af5"/>
    <w:link w:val="afe"/>
    <w:semiHidden/>
    <w:qFormat/>
    <w:rPr>
      <w:rFonts w:ascii="Times New Roman"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1647</Words>
  <Characters>9388</Characters>
  <Application>Microsoft Office Word</Application>
  <DocSecurity>0</DocSecurity>
  <Lines>78</Lines>
  <Paragraphs>22</Paragraphs>
  <ScaleCrop>false</ScaleCrop>
  <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474</cp:revision>
  <dcterms:created xsi:type="dcterms:W3CDTF">2020-12-08T14:37:00Z</dcterms:created>
  <dcterms:modified xsi:type="dcterms:W3CDTF">2023-10-31T02:49:00Z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A666073200BE44999EDDB0742E2B0257</vt:lpwstr>
  </property>
</Properties>
</file>