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20</w:t>
            </w:r>
            <w:r>
              <w:rPr>
                <w:rFonts w:ascii="黑体" w:hAnsi="黑体" w:eastAsia="黑体"/>
                <w:sz w:val="21"/>
                <w:szCs w:val="21"/>
              </w:rPr>
              <w:fldChar w:fldCharType="end"/>
            </w:r>
            <w:bookmarkEnd w:id="2"/>
          </w:p>
        </w:tc>
      </w:tr>
    </w:tbl>
    <w:p>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8"/>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2023</w:t>
      </w:r>
      <w:r>
        <w:fldChar w:fldCharType="end"/>
      </w:r>
      <w:bookmarkEnd w:id="6"/>
    </w:p>
    <w:p>
      <w:pPr>
        <w:pStyle w:val="199"/>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sz w:val="10"/>
          <w:szCs w:val="10"/>
        </w:rPr>
      </w:pPr>
      <w:r>
        <w:rPr>
          <w:rFonts w:ascii="黑体" w:hAnsi="黑体" w:eastAsia="黑体"/>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石漠化地区条桑收获桑园套种玉米技术规程</w:t>
      </w:r>
      <w:r>
        <w:fldChar w:fldCharType="end"/>
      </w:r>
      <w:bookmarkEnd w:id="8"/>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interplanting maize afer mulberry shoot harvesting in rocky desertification area</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360"/>
      </w:pPr>
      <w:bookmarkStart w:id="20" w:name="BookMark2"/>
      <w:r>
        <w:rPr>
          <w:spacing w:val="320"/>
        </w:rPr>
        <w:t>前</w:t>
      </w:r>
      <w:r>
        <w:t>言</w:t>
      </w:r>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本文件由百色市农业农村局提出、归口并宣贯。</w:t>
      </w:r>
    </w:p>
    <w:p>
      <w:pPr>
        <w:pStyle w:val="59"/>
        <w:ind w:firstLine="420"/>
      </w:pPr>
      <w:r>
        <w:rPr>
          <w:rFonts w:hint="eastAsia"/>
        </w:rPr>
        <w:t>本文件起草单位：百色市农业农村局、百色市蚕业发展中心、隆林各族自治县蚕业技术服务中心、靖西市蚕业技术指导站、隆林盛业生态农业科技发展有限公司。</w:t>
      </w:r>
    </w:p>
    <w:p>
      <w:pPr>
        <w:pStyle w:val="59"/>
        <w:ind w:firstLine="420"/>
      </w:pPr>
      <w:r>
        <w:rPr>
          <w:rFonts w:hint="eastAsia"/>
        </w:rPr>
        <w:t>本文件主要起草人：文柳璎、张仕光、黄丽萍、黄绍松、赵 潇、李福乐、刘春强、聂根荣、蓝黄丽、黄兰彬、罗慧、潘德健、王水亮、黄宗校、王日邓、黄焘、马灵芝、黄飞、何家美、梁青拍、陆朝满、梁凤梅、苏宗洋、雷连杰、许燕娜、杨金祥、黄 捷。</w:t>
      </w:r>
    </w:p>
    <w:p>
      <w:pPr>
        <w:pStyle w:val="59"/>
        <w:ind w:firstLine="420"/>
      </w:pPr>
    </w:p>
    <w:p>
      <w:pPr>
        <w:pStyle w:val="59"/>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146B650930E54950ADC580CE40E8380A"/>
        </w:placeholder>
      </w:sdtPr>
      <w:sdtContent>
        <w:p>
          <w:pPr>
            <w:pStyle w:val="180"/>
            <w:spacing w:before="2" w:beforeLines="1" w:after="528" w:afterLines="220"/>
          </w:pPr>
          <w:bookmarkStart w:id="22" w:name="NEW_STAND_NAME"/>
          <w:r>
            <w:rPr>
              <w:rFonts w:hint="eastAsia"/>
            </w:rPr>
            <w:t>石漠化地区条桑收获桑园套种玉米技术规程</w:t>
          </w:r>
        </w:p>
      </w:sdtContent>
    </w:sdt>
    <w:bookmarkEnd w:id="22"/>
    <w:p>
      <w:pPr>
        <w:pStyle w:val="107"/>
        <w:spacing w:before="240" w:after="240"/>
      </w:pPr>
      <w:bookmarkStart w:id="23" w:name="_Toc24884218"/>
      <w:bookmarkStart w:id="24" w:name="_Toc17233325"/>
      <w:bookmarkStart w:id="25" w:name="_Toc17233333"/>
      <w:bookmarkStart w:id="26" w:name="_Toc26718930"/>
      <w:bookmarkStart w:id="27" w:name="_Toc26986530"/>
      <w:bookmarkStart w:id="28" w:name="_Toc26986771"/>
      <w:bookmarkStart w:id="29" w:name="_Toc97192964"/>
      <w:bookmarkStart w:id="30" w:name="_Toc24884211"/>
      <w:bookmarkStart w:id="31" w:name="_Toc26648465"/>
      <w:r>
        <w:rPr>
          <w:rFonts w:hint="eastAsia"/>
        </w:rPr>
        <w:t>范围</w:t>
      </w:r>
      <w:bookmarkEnd w:id="23"/>
      <w:bookmarkEnd w:id="24"/>
      <w:bookmarkEnd w:id="25"/>
      <w:bookmarkEnd w:id="26"/>
      <w:bookmarkEnd w:id="27"/>
      <w:bookmarkEnd w:id="28"/>
      <w:bookmarkEnd w:id="29"/>
      <w:bookmarkEnd w:id="30"/>
      <w:bookmarkEnd w:id="31"/>
    </w:p>
    <w:p>
      <w:pPr>
        <w:pStyle w:val="59"/>
        <w:ind w:firstLine="420"/>
      </w:pPr>
      <w:bookmarkStart w:id="32" w:name="_Toc24884219"/>
      <w:bookmarkStart w:id="33" w:name="_Toc17233326"/>
      <w:bookmarkStart w:id="34" w:name="_Toc17233334"/>
      <w:bookmarkStart w:id="35" w:name="_Toc24884212"/>
      <w:bookmarkStart w:id="36" w:name="_Toc26648466"/>
      <w:r>
        <w:rPr>
          <w:rFonts w:hint="eastAsia"/>
        </w:rPr>
        <w:t>本文件界定了石漠化地区条桑收获桑园套种玉米涉及的术语和定义，确立了石漠化地区条桑收获桑园套种玉米技术的程序，规定了桑园地选择、品种选择、玉米套种、玉米收获后桑园管理的操作指示，描述了栽培过程信息的追溯方法。</w:t>
      </w:r>
    </w:p>
    <w:p>
      <w:pPr>
        <w:pStyle w:val="59"/>
        <w:ind w:firstLine="420"/>
      </w:pPr>
      <w:r>
        <w:rPr>
          <w:rFonts w:hint="eastAsia"/>
        </w:rPr>
        <w:t>本文件适用于石漠化地区条桑收获桑园套种玉米的栽培。</w:t>
      </w:r>
    </w:p>
    <w:p>
      <w:pPr>
        <w:pStyle w:val="107"/>
        <w:spacing w:before="240" w:after="240"/>
      </w:pPr>
      <w:bookmarkStart w:id="37" w:name="_Toc97192965"/>
      <w:bookmarkStart w:id="38" w:name="_Toc26986531"/>
      <w:bookmarkStart w:id="39" w:name="_Toc267189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1A97D63B5C82430CA9740A6B7E0291D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rPr>
          <w:rFonts w:hint="eastAsia"/>
        </w:rPr>
        <w:t>NY/T 496  肥料合理使用准则  通则</w:t>
      </w:r>
    </w:p>
    <w:p>
      <w:pPr>
        <w:pStyle w:val="59"/>
        <w:ind w:firstLine="420"/>
      </w:pPr>
      <w:r>
        <w:t xml:space="preserve">NY/T 1027  </w:t>
      </w:r>
      <w:r>
        <w:rPr>
          <w:rFonts w:hint="eastAsia"/>
        </w:rPr>
        <w:t>桑园用药技术规程</w:t>
      </w:r>
    </w:p>
    <w:p>
      <w:pPr>
        <w:pStyle w:val="59"/>
        <w:ind w:firstLine="420"/>
      </w:pPr>
      <w:r>
        <w:rPr>
          <w:rFonts w:hint="eastAsia"/>
        </w:rPr>
        <w:t>NY/T 5010  无公害农产品  种植业产地环境条件</w:t>
      </w:r>
    </w:p>
    <w:p>
      <w:pPr>
        <w:pStyle w:val="107"/>
        <w:spacing w:before="240" w:after="240"/>
      </w:pPr>
      <w:bookmarkStart w:id="41" w:name="_Toc97192966"/>
      <w:r>
        <w:rPr>
          <w:rFonts w:hint="eastAsia"/>
          <w:szCs w:val="21"/>
        </w:rPr>
        <w:t>术语和定义</w:t>
      </w:r>
      <w:bookmarkEnd w:id="41"/>
    </w:p>
    <w:sdt>
      <w:sdtPr>
        <w:id w:val="-1909835108"/>
        <w:placeholder>
          <w:docPart w:val="0AD66CF5B8A141A4AF7EA82839C19A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42" w:name="_Toc26986532"/>
          <w:bookmarkEnd w:id="42"/>
          <w:r>
            <w:t>下列术语和定义适用于本文件。</w:t>
          </w:r>
        </w:p>
      </w:sdtContent>
    </w:sdt>
    <w:p>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条桑</w:t>
      </w:r>
      <w:r>
        <w:rPr>
          <w:rFonts w:ascii="黑体" w:hAnsi="黑体" w:eastAsia="黑体"/>
        </w:rPr>
        <w:t>收获桑园</w:t>
      </w:r>
      <w:r>
        <w:rPr>
          <w:rFonts w:hint="eastAsia" w:ascii="黑体" w:hAnsi="黑体" w:eastAsia="黑体"/>
        </w:rPr>
        <w:t xml:space="preserve">  </w:t>
      </w:r>
      <w:r>
        <w:rPr>
          <w:rFonts w:ascii="黑体" w:hAnsi="黑体" w:eastAsia="黑体"/>
        </w:rPr>
        <w:t>mulberry shoot harvesting</w:t>
      </w:r>
    </w:p>
    <w:p>
      <w:pPr>
        <w:pStyle w:val="59"/>
        <w:ind w:firstLine="420"/>
      </w:pPr>
      <w:r>
        <w:rPr>
          <w:rFonts w:hint="eastAsia"/>
        </w:rPr>
        <w:t>剪伐带叶枝条收获的桑园。</w:t>
      </w:r>
    </w:p>
    <w:p>
      <w:pPr>
        <w:pStyle w:val="107"/>
        <w:spacing w:before="240" w:after="240"/>
      </w:pPr>
      <w:r>
        <w:rPr>
          <w:rFonts w:hint="eastAsia"/>
        </w:rPr>
        <w:t>桑</w:t>
      </w:r>
      <w:r>
        <w:t>园地选择</w:t>
      </w:r>
    </w:p>
    <w:p>
      <w:pPr>
        <w:pStyle w:val="59"/>
        <w:ind w:firstLine="420"/>
      </w:pPr>
      <w:r>
        <w:rPr>
          <w:rFonts w:hint="eastAsia"/>
        </w:rPr>
        <w:t>选择坡度≤25°，土层较厚，土质疏松，土壤肥力中等以上，土壤pH4.5～pH7.0，排、灌方便，桑树行距大于80</w:t>
      </w:r>
      <w:r>
        <w:rPr>
          <w:rFonts w:hint="eastAsia"/>
          <w:vertAlign w:val="superscript"/>
        </w:rPr>
        <w:t xml:space="preserve"> </w:t>
      </w:r>
      <w:r>
        <w:rPr>
          <w:rFonts w:hint="eastAsia"/>
        </w:rPr>
        <w:t>cm的新种或老桑园，</w:t>
      </w:r>
      <w:r>
        <w:rPr>
          <w:rFonts w:hAnsi="宋体" w:cs="宋体"/>
          <w:szCs w:val="21"/>
        </w:rPr>
        <w:t>园地环境条件应符合N</w:t>
      </w:r>
      <w:r>
        <w:rPr>
          <w:rFonts w:hAnsi="宋体" w:cs="宋体"/>
          <w:spacing w:val="-1"/>
          <w:szCs w:val="21"/>
        </w:rPr>
        <w:t>Y/T 5010的要求</w:t>
      </w:r>
      <w:r>
        <w:rPr>
          <w:rFonts w:hint="eastAsia"/>
        </w:rPr>
        <w:t>。</w:t>
      </w:r>
    </w:p>
    <w:p>
      <w:pPr>
        <w:pStyle w:val="107"/>
        <w:spacing w:before="240" w:after="240"/>
      </w:pPr>
      <w:r>
        <w:rPr>
          <w:rFonts w:hint="eastAsia"/>
        </w:rPr>
        <w:t>品种选择</w:t>
      </w:r>
    </w:p>
    <w:p>
      <w:pPr>
        <w:pStyle w:val="108"/>
        <w:spacing w:before="120" w:after="120"/>
      </w:pPr>
      <w:r>
        <w:rPr>
          <w:rFonts w:hint="eastAsia"/>
        </w:rPr>
        <w:t>桑树品种</w:t>
      </w:r>
    </w:p>
    <w:p>
      <w:pPr>
        <w:pStyle w:val="59"/>
        <w:ind w:firstLine="420"/>
      </w:pPr>
      <w:r>
        <w:rPr>
          <w:rFonts w:hint="eastAsia"/>
        </w:rPr>
        <w:t>桑园桑树品种宜再生能力强、群体整齐、有效枝条数较多、生长旺、长叶快、壮枝多、节间密、耐剪伐的桑树品种，如桂桑优12、桂桑优62、桂桑5号、桂桑6号等杂交品种。</w:t>
      </w:r>
    </w:p>
    <w:p>
      <w:pPr>
        <w:pStyle w:val="108"/>
        <w:spacing w:before="120" w:after="120"/>
      </w:pPr>
      <w:r>
        <w:rPr>
          <w:rFonts w:hint="eastAsia"/>
        </w:rPr>
        <w:t>玉米品种</w:t>
      </w:r>
    </w:p>
    <w:p>
      <w:pPr>
        <w:pStyle w:val="59"/>
        <w:ind w:firstLine="420"/>
      </w:pPr>
      <w:r>
        <w:rPr>
          <w:rFonts w:hint="eastAsia"/>
        </w:rPr>
        <w:t>选择适合石漠化地区气候环境条件的茎叶夹角小、叶片上冲，且根系向纵深发展的耐密型抗病紧凑型、半紧凑型玉米品种,生长期90</w:t>
      </w:r>
      <w:r>
        <w:rPr>
          <w:rFonts w:hint="eastAsia"/>
          <w:vertAlign w:val="superscript"/>
        </w:rPr>
        <w:t xml:space="preserve"> </w:t>
      </w:r>
      <w:r>
        <w:rPr>
          <w:rFonts w:hint="eastAsia"/>
        </w:rPr>
        <w:t>d～110</w:t>
      </w:r>
      <w:r>
        <w:rPr>
          <w:rFonts w:hint="eastAsia"/>
          <w:vertAlign w:val="superscript"/>
        </w:rPr>
        <w:t xml:space="preserve"> </w:t>
      </w:r>
      <w:r>
        <w:rPr>
          <w:rFonts w:hint="eastAsia"/>
        </w:rPr>
        <w:t>d，如正大619、正大719、云瑞152、宜单629等。</w:t>
      </w:r>
    </w:p>
    <w:p>
      <w:pPr>
        <w:pStyle w:val="107"/>
        <w:spacing w:before="240" w:after="240"/>
      </w:pPr>
      <w:r>
        <w:rPr>
          <w:rFonts w:hint="eastAsia"/>
        </w:rPr>
        <w:t>玉米</w:t>
      </w:r>
      <w:r>
        <w:t>套种</w:t>
      </w:r>
    </w:p>
    <w:p>
      <w:pPr>
        <w:pStyle w:val="108"/>
        <w:spacing w:before="120" w:after="120"/>
      </w:pPr>
      <w:r>
        <w:rPr>
          <w:rFonts w:hint="eastAsia"/>
        </w:rPr>
        <w:t>栽植</w:t>
      </w:r>
    </w:p>
    <w:p>
      <w:pPr>
        <w:pStyle w:val="68"/>
        <w:spacing w:before="120" w:after="120"/>
      </w:pPr>
      <w:r>
        <w:rPr>
          <w:rFonts w:hint="eastAsia"/>
        </w:rPr>
        <w:t>播种时期</w:t>
      </w:r>
    </w:p>
    <w:p>
      <w:pPr>
        <w:pStyle w:val="59"/>
        <w:ind w:firstLine="420"/>
      </w:pPr>
      <w:r>
        <w:rPr>
          <w:rFonts w:hint="eastAsia"/>
        </w:rPr>
        <w:t>7月中下旬，桑园第一造条桑收获后播种玉米种或栽种玉米苗。</w:t>
      </w:r>
    </w:p>
    <w:p>
      <w:pPr>
        <w:pStyle w:val="68"/>
        <w:spacing w:before="120" w:after="120"/>
      </w:pPr>
      <w:r>
        <w:rPr>
          <w:rFonts w:hint="eastAsia"/>
        </w:rPr>
        <w:t>整地及</w:t>
      </w:r>
      <w:r>
        <w:t>施</w:t>
      </w:r>
      <w:r>
        <w:rPr>
          <w:rFonts w:hint="eastAsia"/>
        </w:rPr>
        <w:t>基</w:t>
      </w:r>
      <w:r>
        <w:t>肥</w:t>
      </w:r>
    </w:p>
    <w:p>
      <w:pPr>
        <w:pStyle w:val="59"/>
        <w:ind w:firstLine="420"/>
      </w:pPr>
      <w:r>
        <w:rPr>
          <w:rFonts w:hint="eastAsia"/>
        </w:rPr>
        <w:t>条桑收获后，结合桑园除草清园，在桑行间进行翻耕、整地，结合翻耕施入基肥，每667</w:t>
      </w:r>
      <w:r>
        <w:rPr>
          <w:rFonts w:hint="eastAsia"/>
          <w:vertAlign w:val="superscript"/>
        </w:rPr>
        <w:t xml:space="preserve"> </w:t>
      </w:r>
      <w:r>
        <w:rPr>
          <w:rFonts w:hint="eastAsia"/>
        </w:rPr>
        <w:t>m</w:t>
      </w:r>
      <w:r>
        <w:rPr>
          <w:vertAlign w:val="superscript"/>
        </w:rPr>
        <w:t>2</w:t>
      </w:r>
      <w:r>
        <w:rPr>
          <w:rFonts w:hint="eastAsia"/>
        </w:rPr>
        <w:t>用30</w:t>
      </w:r>
      <w:r>
        <w:rPr>
          <w:vertAlign w:val="superscript"/>
        </w:rPr>
        <w:t xml:space="preserve"> </w:t>
      </w:r>
      <w:r>
        <w:t>kg</w:t>
      </w:r>
      <w:r>
        <w:rPr>
          <w:rFonts w:hint="eastAsia"/>
        </w:rPr>
        <w:t>～</w:t>
      </w:r>
      <w:r>
        <w:t>40</w:t>
      </w:r>
      <w:r>
        <w:rPr>
          <w:rFonts w:hint="eastAsia"/>
          <w:vertAlign w:val="superscript"/>
        </w:rPr>
        <w:t xml:space="preserve"> </w:t>
      </w:r>
      <w:r>
        <w:rPr>
          <w:rFonts w:hint="eastAsia"/>
        </w:rPr>
        <w:t>kg</w:t>
      </w:r>
      <w:r>
        <w:rPr>
          <w:rFonts w:hint="eastAsia" w:ascii="Times New Roman"/>
          <w:sz w:val="20"/>
        </w:rPr>
        <w:t>复合肥</w:t>
      </w:r>
      <w:r>
        <w:rPr>
          <w:rFonts w:hint="eastAsia"/>
        </w:rPr>
        <w:t>（15-15-15）均匀撒于地表，随即翻耕入土。肥料的使用应符合NY/T 496的规定。</w:t>
      </w:r>
    </w:p>
    <w:p>
      <w:pPr>
        <w:pStyle w:val="68"/>
        <w:spacing w:before="120" w:after="120"/>
      </w:pPr>
      <w:r>
        <w:rPr>
          <w:rFonts w:hint="eastAsia"/>
        </w:rPr>
        <w:t>种植密度</w:t>
      </w:r>
    </w:p>
    <w:p>
      <w:pPr>
        <w:pStyle w:val="59"/>
        <w:ind w:firstLine="420"/>
      </w:pPr>
      <w:r>
        <w:rPr>
          <w:rFonts w:hint="eastAsia"/>
        </w:rPr>
        <w:t>玉米种植密度每667</w:t>
      </w:r>
      <w:r>
        <w:rPr>
          <w:rFonts w:hint="eastAsia"/>
          <w:vertAlign w:val="superscript"/>
        </w:rPr>
        <w:t xml:space="preserve"> </w:t>
      </w:r>
      <w:r>
        <w:rPr>
          <w:rFonts w:hint="eastAsia"/>
        </w:rPr>
        <w:t>m</w:t>
      </w:r>
      <w:r>
        <w:rPr>
          <w:rFonts w:hint="eastAsia"/>
          <w:vertAlign w:val="superscript"/>
        </w:rPr>
        <w:t>2</w:t>
      </w:r>
      <w:r>
        <w:rPr>
          <w:rFonts w:hint="eastAsia"/>
        </w:rPr>
        <w:t>播种为1</w:t>
      </w:r>
      <w:r>
        <w:rPr>
          <w:vertAlign w:val="superscript"/>
        </w:rPr>
        <w:t xml:space="preserve"> </w:t>
      </w:r>
      <w:r>
        <w:rPr>
          <w:rFonts w:hint="eastAsia"/>
        </w:rPr>
        <w:t>500～2</w:t>
      </w:r>
      <w:r>
        <w:rPr>
          <w:vertAlign w:val="superscript"/>
        </w:rPr>
        <w:t xml:space="preserve"> </w:t>
      </w:r>
      <w:r>
        <w:rPr>
          <w:rFonts w:hint="eastAsia"/>
        </w:rPr>
        <w:t>000</w:t>
      </w:r>
      <w:r>
        <w:rPr>
          <w:vertAlign w:val="superscript"/>
        </w:rPr>
        <w:t xml:space="preserve"> </w:t>
      </w:r>
      <w:r>
        <w:rPr>
          <w:rFonts w:hint="eastAsia"/>
        </w:rPr>
        <w:t>株，根据不同品种及土壤肥力作相应的调整。</w:t>
      </w:r>
    </w:p>
    <w:p>
      <w:pPr>
        <w:pStyle w:val="68"/>
        <w:spacing w:before="120" w:after="120"/>
      </w:pPr>
      <w:r>
        <w:rPr>
          <w:rFonts w:hint="eastAsia"/>
        </w:rPr>
        <w:t>栽植方式</w:t>
      </w:r>
    </w:p>
    <w:p>
      <w:pPr>
        <w:pStyle w:val="167"/>
      </w:pPr>
      <w:r>
        <w:rPr>
          <w:rFonts w:hint="eastAsia"/>
        </w:rPr>
        <w:t>均行种植桑园（行距80</w:t>
      </w:r>
      <w:r>
        <w:rPr>
          <w:rFonts w:hint="eastAsia"/>
          <w:vertAlign w:val="superscript"/>
        </w:rPr>
        <w:t xml:space="preserve"> </w:t>
      </w:r>
      <w:r>
        <w:rPr>
          <w:rFonts w:hint="eastAsia"/>
        </w:rPr>
        <w:t>cm～90</w:t>
      </w:r>
      <w:r>
        <w:rPr>
          <w:rFonts w:hint="eastAsia"/>
          <w:vertAlign w:val="superscript"/>
        </w:rPr>
        <w:t xml:space="preserve"> </w:t>
      </w:r>
      <w:r>
        <w:rPr>
          <w:rFonts w:hint="eastAsia"/>
        </w:rPr>
        <w:t>cm）的，于行间种植1行玉米，株距40</w:t>
      </w:r>
      <w:r>
        <w:rPr>
          <w:rFonts w:hint="eastAsia"/>
          <w:vertAlign w:val="superscript"/>
        </w:rPr>
        <w:t xml:space="preserve"> </w:t>
      </w:r>
      <w:r>
        <w:rPr>
          <w:rFonts w:hint="eastAsia"/>
        </w:rPr>
        <w:t>cm～55</w:t>
      </w:r>
      <w:r>
        <w:rPr>
          <w:vertAlign w:val="superscript"/>
        </w:rPr>
        <w:t xml:space="preserve"> </w:t>
      </w:r>
      <w:r>
        <w:rPr>
          <w:rFonts w:hint="eastAsia"/>
        </w:rPr>
        <w:t>cm；宽窄行种植桑园（宽行行距为100</w:t>
      </w:r>
      <w:r>
        <w:rPr>
          <w:rFonts w:hint="eastAsia"/>
          <w:vertAlign w:val="superscript"/>
        </w:rPr>
        <w:t xml:space="preserve"> </w:t>
      </w:r>
      <w:r>
        <w:rPr>
          <w:rFonts w:hint="eastAsia"/>
        </w:rPr>
        <w:t>cm～120</w:t>
      </w:r>
      <w:r>
        <w:rPr>
          <w:rFonts w:hint="eastAsia"/>
          <w:vertAlign w:val="superscript"/>
        </w:rPr>
        <w:t xml:space="preserve"> </w:t>
      </w:r>
      <w:r>
        <w:rPr>
          <w:rFonts w:hint="eastAsia"/>
        </w:rPr>
        <w:t>cm）的，于宽行种植两行玉米,株距40</w:t>
      </w:r>
      <w:r>
        <w:rPr>
          <w:vertAlign w:val="superscript"/>
        </w:rPr>
        <w:t xml:space="preserve"> </w:t>
      </w:r>
      <w:r>
        <w:rPr>
          <w:rFonts w:hint="eastAsia"/>
        </w:rPr>
        <w:t>cm～55</w:t>
      </w:r>
      <w:r>
        <w:rPr>
          <w:vertAlign w:val="superscript"/>
        </w:rPr>
        <w:t xml:space="preserve"> </w:t>
      </w:r>
      <w:r>
        <w:rPr>
          <w:rFonts w:hint="eastAsia"/>
        </w:rPr>
        <w:t>cm，品字形播种。</w:t>
      </w:r>
    </w:p>
    <w:p>
      <w:pPr>
        <w:pStyle w:val="167"/>
      </w:pPr>
      <w:r>
        <w:rPr>
          <w:rFonts w:hint="eastAsia"/>
        </w:rPr>
        <w:t>根据种子或移栽苗不同按下列栽植方式进行：</w:t>
      </w:r>
    </w:p>
    <w:p>
      <w:pPr>
        <w:pStyle w:val="135"/>
      </w:pPr>
      <w:r>
        <w:rPr>
          <w:rFonts w:hint="eastAsia"/>
        </w:rPr>
        <w:t>种子播种的，开8</w:t>
      </w:r>
      <w:r>
        <w:rPr>
          <w:rFonts w:hint="eastAsia"/>
          <w:vertAlign w:val="superscript"/>
        </w:rPr>
        <w:t xml:space="preserve"> </w:t>
      </w:r>
      <w:r>
        <w:rPr>
          <w:rFonts w:hint="eastAsia"/>
        </w:rPr>
        <w:t>cm～15</w:t>
      </w:r>
      <w:r>
        <w:rPr>
          <w:rFonts w:hint="eastAsia"/>
          <w:vertAlign w:val="superscript"/>
        </w:rPr>
        <w:t xml:space="preserve"> </w:t>
      </w:r>
      <w:r>
        <w:rPr>
          <w:rFonts w:hint="eastAsia"/>
        </w:rPr>
        <w:t>cm种植沟，将种子按种植规格播种于种植沟中，注意与种子隔离，玉米播种后盖土3</w:t>
      </w:r>
      <w:r>
        <w:rPr>
          <w:rFonts w:hint="eastAsia"/>
          <w:vertAlign w:val="superscript"/>
        </w:rPr>
        <w:t xml:space="preserve"> </w:t>
      </w:r>
      <w:r>
        <w:rPr>
          <w:rFonts w:hint="eastAsia"/>
        </w:rPr>
        <w:t>cm～5</w:t>
      </w:r>
      <w:r>
        <w:rPr>
          <w:rFonts w:hint="eastAsia"/>
          <w:vertAlign w:val="superscript"/>
        </w:rPr>
        <w:t xml:space="preserve"> </w:t>
      </w:r>
      <w:r>
        <w:rPr>
          <w:rFonts w:hint="eastAsia"/>
        </w:rPr>
        <w:t>cm</w:t>
      </w:r>
      <w:r>
        <w:rPr>
          <w:rFonts w:hint="eastAsia"/>
          <w:lang w:eastAsia="zh-CN"/>
        </w:rPr>
        <w:t>；</w:t>
      </w:r>
      <w:bookmarkStart w:id="44" w:name="_GoBack"/>
      <w:bookmarkEnd w:id="44"/>
    </w:p>
    <w:p>
      <w:pPr>
        <w:pStyle w:val="135"/>
      </w:pPr>
      <w:r>
        <w:rPr>
          <w:rFonts w:hint="eastAsia"/>
        </w:rPr>
        <w:t>移栽苗的，苗龄以2叶1心期至3叶1心期为宜，移栽前将基肥施于种植沟内，移栽时将小苗带土等距、定向排列在沟里，栽后随即浇定根水。缓苗后,浇一次返青水。</w:t>
      </w:r>
    </w:p>
    <w:p>
      <w:pPr>
        <w:pStyle w:val="108"/>
        <w:spacing w:before="120" w:after="120"/>
      </w:pPr>
      <w:r>
        <w:rPr>
          <w:rFonts w:hint="eastAsia"/>
        </w:rPr>
        <w:t>田间管理</w:t>
      </w:r>
    </w:p>
    <w:p>
      <w:pPr>
        <w:pStyle w:val="68"/>
        <w:spacing w:before="120" w:after="120"/>
      </w:pPr>
      <w:r>
        <w:rPr>
          <w:rFonts w:hint="eastAsia"/>
        </w:rPr>
        <w:t>苗期管理</w:t>
      </w:r>
    </w:p>
    <w:p>
      <w:pPr>
        <w:pStyle w:val="59"/>
        <w:ind w:firstLine="420"/>
      </w:pPr>
      <w:r>
        <w:rPr>
          <w:rFonts w:hint="eastAsia"/>
        </w:rPr>
        <w:t>出苗后应及时查苗补种。玉米3～5叶期间苗、定苗，拔除弱苗、劣苗和杂苗，结合除草中耕</w:t>
      </w:r>
      <w:r>
        <w:rPr>
          <w:rFonts w:hint="eastAsia"/>
          <w:color w:val="4472C4" w:themeColor="accent1"/>
          <w14:textFill>
            <w14:solidFill>
              <w14:schemeClr w14:val="accent1"/>
            </w14:solidFill>
          </w14:textFill>
        </w:rPr>
        <w:t>。</w:t>
      </w:r>
    </w:p>
    <w:p>
      <w:pPr>
        <w:pStyle w:val="68"/>
        <w:spacing w:before="120" w:after="120"/>
      </w:pPr>
      <w:r>
        <w:rPr>
          <w:rFonts w:hint="eastAsia"/>
        </w:rPr>
        <w:t>追肥</w:t>
      </w:r>
    </w:p>
    <w:p>
      <w:pPr>
        <w:pStyle w:val="59"/>
        <w:ind w:firstLine="420"/>
        <w:rPr>
          <w:color w:val="FF0000"/>
        </w:rPr>
      </w:pPr>
      <w:r>
        <w:rPr>
          <w:rFonts w:hint="eastAsia"/>
        </w:rPr>
        <w:t>玉米种植后20</w:t>
      </w:r>
      <w:r>
        <w:rPr>
          <w:vertAlign w:val="superscript"/>
        </w:rPr>
        <w:t xml:space="preserve"> </w:t>
      </w:r>
      <w:r>
        <w:rPr>
          <w:rFonts w:hint="eastAsia"/>
        </w:rPr>
        <w:t>d左右施展叶肥（苗肥），每667</w:t>
      </w:r>
      <w:r>
        <w:rPr>
          <w:rFonts w:hint="eastAsia"/>
          <w:vertAlign w:val="superscript"/>
        </w:rPr>
        <w:t xml:space="preserve"> </w:t>
      </w:r>
      <w:r>
        <w:rPr>
          <w:rFonts w:hint="eastAsia"/>
        </w:rPr>
        <w:t>m</w:t>
      </w:r>
      <w:r>
        <w:rPr>
          <w:rFonts w:hint="eastAsia"/>
          <w:vertAlign w:val="superscript"/>
        </w:rPr>
        <w:t>2</w:t>
      </w:r>
      <w:r>
        <w:rPr>
          <w:rFonts w:hint="eastAsia"/>
        </w:rPr>
        <w:t>施复合肥20</w:t>
      </w:r>
      <w:r>
        <w:rPr>
          <w:vertAlign w:val="superscript"/>
        </w:rPr>
        <w:t xml:space="preserve"> </w:t>
      </w:r>
      <w:r>
        <w:rPr>
          <w:rFonts w:hint="eastAsia"/>
        </w:rPr>
        <w:t>kg～25</w:t>
      </w:r>
      <w:r>
        <w:rPr>
          <w:vertAlign w:val="superscript"/>
        </w:rPr>
        <w:t xml:space="preserve"> </w:t>
      </w:r>
      <w:r>
        <w:rPr>
          <w:rFonts w:hint="eastAsia"/>
        </w:rPr>
        <w:t>kg、尿素16</w:t>
      </w:r>
      <w:r>
        <w:rPr>
          <w:vertAlign w:val="superscript"/>
        </w:rPr>
        <w:t xml:space="preserve"> </w:t>
      </w:r>
      <w:r>
        <w:rPr>
          <w:rFonts w:hint="eastAsia"/>
        </w:rPr>
        <w:t>kg～20</w:t>
      </w:r>
      <w:r>
        <w:rPr>
          <w:vertAlign w:val="superscript"/>
        </w:rPr>
        <w:t xml:space="preserve"> </w:t>
      </w:r>
      <w:r>
        <w:rPr>
          <w:rFonts w:hint="eastAsia"/>
        </w:rPr>
        <w:t>kg；种植50</w:t>
      </w:r>
      <w:r>
        <w:rPr>
          <w:vertAlign w:val="superscript"/>
        </w:rPr>
        <w:t xml:space="preserve"> </w:t>
      </w:r>
      <w:r>
        <w:t>d</w:t>
      </w:r>
      <w:r>
        <w:rPr>
          <w:rFonts w:hint="eastAsia"/>
        </w:rPr>
        <w:t>左右施攻饱肥，每667</w:t>
      </w:r>
      <w:r>
        <w:rPr>
          <w:rFonts w:hint="eastAsia"/>
          <w:vertAlign w:val="superscript"/>
        </w:rPr>
        <w:t xml:space="preserve"> </w:t>
      </w:r>
      <w:r>
        <w:rPr>
          <w:rFonts w:hint="eastAsia"/>
        </w:rPr>
        <w:t>m</w:t>
      </w:r>
      <w:r>
        <w:rPr>
          <w:rFonts w:hint="eastAsia"/>
          <w:vertAlign w:val="superscript"/>
        </w:rPr>
        <w:t>2</w:t>
      </w:r>
      <w:r>
        <w:rPr>
          <w:rFonts w:hint="eastAsia"/>
        </w:rPr>
        <w:t>施复合肥30</w:t>
      </w:r>
      <w:r>
        <w:rPr>
          <w:vertAlign w:val="superscript"/>
        </w:rPr>
        <w:t xml:space="preserve"> </w:t>
      </w:r>
      <w:r>
        <w:rPr>
          <w:rFonts w:hint="eastAsia"/>
        </w:rPr>
        <w:t>kg～40</w:t>
      </w:r>
      <w:r>
        <w:rPr>
          <w:vertAlign w:val="superscript"/>
        </w:rPr>
        <w:t xml:space="preserve"> </w:t>
      </w:r>
      <w:r>
        <w:rPr>
          <w:rFonts w:hint="eastAsia"/>
        </w:rPr>
        <w:t>kg、尿素10</w:t>
      </w:r>
      <w:r>
        <w:rPr>
          <w:vertAlign w:val="superscript"/>
        </w:rPr>
        <w:t xml:space="preserve"> </w:t>
      </w:r>
      <w:r>
        <w:rPr>
          <w:rFonts w:hint="eastAsia"/>
        </w:rPr>
        <w:t>kg～15</w:t>
      </w:r>
      <w:r>
        <w:rPr>
          <w:vertAlign w:val="superscript"/>
        </w:rPr>
        <w:t xml:space="preserve"> </w:t>
      </w:r>
      <w:r>
        <w:rPr>
          <w:rFonts w:hint="eastAsia"/>
        </w:rPr>
        <w:t>kg、钾肥5</w:t>
      </w:r>
      <w:r>
        <w:rPr>
          <w:vertAlign w:val="superscript"/>
        </w:rPr>
        <w:t xml:space="preserve"> </w:t>
      </w:r>
      <w:r>
        <w:rPr>
          <w:rFonts w:hint="eastAsia"/>
        </w:rPr>
        <w:t>kg～7</w:t>
      </w:r>
      <w:r>
        <w:rPr>
          <w:vertAlign w:val="superscript"/>
        </w:rPr>
        <w:t xml:space="preserve"> </w:t>
      </w:r>
      <w:r>
        <w:rPr>
          <w:rFonts w:hint="eastAsia"/>
        </w:rPr>
        <w:t>kg。</w:t>
      </w:r>
    </w:p>
    <w:p>
      <w:pPr>
        <w:pStyle w:val="68"/>
        <w:spacing w:before="120" w:after="120"/>
      </w:pPr>
      <w:r>
        <w:rPr>
          <w:rFonts w:hint="eastAsia"/>
        </w:rPr>
        <w:t>水分管理</w:t>
      </w:r>
    </w:p>
    <w:p>
      <w:pPr>
        <w:pStyle w:val="59"/>
        <w:ind w:firstLine="420"/>
      </w:pPr>
      <w:r>
        <w:rPr>
          <w:rFonts w:hint="eastAsia"/>
        </w:rPr>
        <w:t>苗期适当“蹲苗”，出现卷叶时灌溉。拔节、大喇叭口、吐丝、灌浆期，重点监控旱情和汛情，根据土壤情况及时灌溉或排水，当田间持水量降到60％以下时应及时浇水抗旱，遇涝及时排除。</w:t>
      </w:r>
    </w:p>
    <w:p>
      <w:pPr>
        <w:pStyle w:val="68"/>
        <w:spacing w:before="120" w:after="120"/>
      </w:pPr>
      <w:r>
        <w:rPr>
          <w:rFonts w:hint="eastAsia"/>
        </w:rPr>
        <w:t>除草</w:t>
      </w:r>
    </w:p>
    <w:p>
      <w:pPr>
        <w:pStyle w:val="59"/>
        <w:ind w:firstLine="420"/>
      </w:pPr>
      <w:r>
        <w:rPr>
          <w:rFonts w:hint="eastAsia"/>
        </w:rPr>
        <w:t>结合施肥，园地除草、培土。</w:t>
      </w:r>
    </w:p>
    <w:p>
      <w:pPr>
        <w:pStyle w:val="108"/>
        <w:spacing w:before="120" w:after="120"/>
      </w:pPr>
      <w:r>
        <w:rPr>
          <w:rFonts w:hint="eastAsia"/>
        </w:rPr>
        <w:t>病虫害防治</w:t>
      </w:r>
    </w:p>
    <w:p>
      <w:pPr>
        <w:pStyle w:val="68"/>
        <w:spacing w:before="120" w:after="120"/>
      </w:pPr>
      <w:r>
        <w:rPr>
          <w:rFonts w:hint="eastAsia"/>
        </w:rPr>
        <w:t>主要病虫害</w:t>
      </w:r>
    </w:p>
    <w:p>
      <w:pPr>
        <w:pStyle w:val="59"/>
        <w:ind w:firstLine="420"/>
      </w:pPr>
      <w:r>
        <w:rPr>
          <w:rFonts w:hint="eastAsia"/>
        </w:rPr>
        <w:t>玉米主要病害有大斑病、小斑病、纹枯病等；主要虫害有玉米螟、蚜虫、草地贪叶蛾等。</w:t>
      </w:r>
    </w:p>
    <w:p>
      <w:pPr>
        <w:pStyle w:val="68"/>
        <w:spacing w:before="120" w:after="120"/>
      </w:pPr>
      <w:r>
        <w:rPr>
          <w:rFonts w:hint="eastAsia"/>
        </w:rPr>
        <w:t>防治原则</w:t>
      </w:r>
    </w:p>
    <w:p>
      <w:pPr>
        <w:pStyle w:val="59"/>
        <w:ind w:firstLine="420"/>
      </w:pPr>
      <w:r>
        <w:rPr>
          <w:rFonts w:hint="eastAsia"/>
        </w:rPr>
        <w:t>坚持“预防为主，综合防治”的方针，结合桑园病虫害防治及养蚕用叶，采用农业防治、物理防治、生物防治等绿色防控和化学防治相结合的措施。</w:t>
      </w:r>
    </w:p>
    <w:p>
      <w:pPr>
        <w:pStyle w:val="68"/>
        <w:spacing w:before="120" w:after="120"/>
      </w:pPr>
      <w:r>
        <w:rPr>
          <w:rFonts w:hint="eastAsia"/>
        </w:rPr>
        <w:t>防治</w:t>
      </w:r>
      <w:r>
        <w:t>方法</w:t>
      </w:r>
    </w:p>
    <w:p>
      <w:pPr>
        <w:pStyle w:val="97"/>
        <w:spacing w:before="120" w:after="120"/>
      </w:pPr>
      <w:r>
        <w:rPr>
          <w:rFonts w:hint="eastAsia"/>
        </w:rPr>
        <w:t>绿色防控</w:t>
      </w:r>
    </w:p>
    <w:p>
      <w:pPr>
        <w:pStyle w:val="59"/>
        <w:ind w:firstLine="420"/>
      </w:pPr>
      <w:r>
        <w:rPr>
          <w:rFonts w:hint="eastAsia"/>
        </w:rPr>
        <w:t>选用抗病玉米品种，合理密植，清理桑园杂草，增加田间通透性，减轻病害发生；采用诱虫灯、色板诱杀及性诱剂等绿色防控技术防治虫害</w:t>
      </w:r>
    </w:p>
    <w:p>
      <w:pPr>
        <w:pStyle w:val="97"/>
        <w:spacing w:before="120" w:after="120"/>
      </w:pPr>
      <w:r>
        <w:rPr>
          <w:rFonts w:hint="eastAsia"/>
        </w:rPr>
        <w:t>化学防治</w:t>
      </w:r>
    </w:p>
    <w:p>
      <w:pPr>
        <w:pStyle w:val="170"/>
      </w:pPr>
      <w:r>
        <w:rPr>
          <w:rFonts w:hint="eastAsia"/>
        </w:rPr>
        <w:t>桑园及玉米遭受病害时，可喷洒70％甲基拖布津可湿性粉剂1</w:t>
      </w:r>
      <w:r>
        <w:rPr>
          <w:vertAlign w:val="superscript"/>
        </w:rPr>
        <w:t xml:space="preserve"> </w:t>
      </w:r>
      <w:r>
        <w:rPr>
          <w:rFonts w:hint="eastAsia"/>
        </w:rPr>
        <w:t>000～1</w:t>
      </w:r>
      <w:r>
        <w:rPr>
          <w:vertAlign w:val="superscript"/>
        </w:rPr>
        <w:t xml:space="preserve"> </w:t>
      </w:r>
      <w:r>
        <w:rPr>
          <w:rFonts w:hint="eastAsia"/>
        </w:rPr>
        <w:t>500倍液、50％多菌灵、75％百菌清或25％三唑酮1</w:t>
      </w:r>
      <w:r>
        <w:rPr>
          <w:vertAlign w:val="superscript"/>
        </w:rPr>
        <w:t xml:space="preserve"> </w:t>
      </w:r>
      <w:r>
        <w:rPr>
          <w:rFonts w:hint="eastAsia"/>
        </w:rPr>
        <w:t>500倍液，间隔10</w:t>
      </w:r>
      <w:r>
        <w:rPr>
          <w:rFonts w:hint="eastAsia"/>
          <w:vertAlign w:val="superscript"/>
        </w:rPr>
        <w:t xml:space="preserve"> </w:t>
      </w:r>
      <w:r>
        <w:rPr>
          <w:rFonts w:hint="eastAsia"/>
        </w:rPr>
        <w:t>d～15</w:t>
      </w:r>
      <w:r>
        <w:rPr>
          <w:rFonts w:hint="eastAsia"/>
          <w:vertAlign w:val="superscript"/>
        </w:rPr>
        <w:t xml:space="preserve"> </w:t>
      </w:r>
      <w:r>
        <w:rPr>
          <w:rFonts w:hint="eastAsia"/>
        </w:rPr>
        <w:t>d使用一次，连续交替使用2～3次，</w:t>
      </w:r>
      <w:r>
        <w:t>并</w:t>
      </w:r>
      <w:r>
        <w:rPr>
          <w:rFonts w:hint="eastAsia"/>
        </w:rPr>
        <w:t>根据各类药物说明使用。</w:t>
      </w:r>
    </w:p>
    <w:p>
      <w:pPr>
        <w:pStyle w:val="170"/>
      </w:pPr>
      <w:r>
        <w:rPr>
          <w:rFonts w:hint="eastAsia"/>
        </w:rPr>
        <w:t>桑园及玉米遭受虫害时，可全面喷洒80％敌敌畏乳油1</w:t>
      </w:r>
      <w:r>
        <w:rPr>
          <w:vertAlign w:val="superscript"/>
        </w:rPr>
        <w:t xml:space="preserve"> </w:t>
      </w:r>
      <w:r>
        <w:rPr>
          <w:rFonts w:hint="eastAsia"/>
        </w:rPr>
        <w:t>000倍液（养蚕安全间隔5</w:t>
      </w:r>
      <w:r>
        <w:rPr>
          <w:vertAlign w:val="superscript"/>
        </w:rPr>
        <w:t xml:space="preserve"> </w:t>
      </w:r>
      <w:r>
        <w:t>d</w:t>
      </w:r>
      <w:r>
        <w:rPr>
          <w:rFonts w:hint="eastAsia"/>
        </w:rPr>
        <w:t>～7</w:t>
      </w:r>
      <w:r>
        <w:rPr>
          <w:vertAlign w:val="superscript"/>
        </w:rPr>
        <w:t xml:space="preserve"> </w:t>
      </w:r>
      <w:r>
        <w:rPr>
          <w:rFonts w:hint="eastAsia"/>
        </w:rPr>
        <w:t>d）或60％敌畏·马1000倍液（养蚕安全间隔7</w:t>
      </w:r>
      <w:r>
        <w:rPr>
          <w:vertAlign w:val="superscript"/>
        </w:rPr>
        <w:t xml:space="preserve"> </w:t>
      </w:r>
      <w:r>
        <w:rPr>
          <w:rFonts w:hint="eastAsia"/>
        </w:rPr>
        <w:t>d）。</w:t>
      </w:r>
    </w:p>
    <w:p>
      <w:pPr>
        <w:pStyle w:val="170"/>
      </w:pPr>
      <w:r>
        <w:rPr>
          <w:rFonts w:hint="eastAsia"/>
        </w:rPr>
        <w:t>桑园用药应符合NY/T 1027的规定。</w:t>
      </w:r>
    </w:p>
    <w:p>
      <w:pPr>
        <w:pStyle w:val="108"/>
        <w:spacing w:before="120" w:after="120"/>
      </w:pPr>
      <w:r>
        <w:rPr>
          <w:rFonts w:hint="eastAsia"/>
        </w:rPr>
        <w:t>玉米收获</w:t>
      </w:r>
    </w:p>
    <w:p>
      <w:pPr>
        <w:pStyle w:val="59"/>
        <w:ind w:firstLine="420"/>
      </w:pPr>
      <w:r>
        <w:rPr>
          <w:rFonts w:hint="eastAsia"/>
        </w:rPr>
        <w:t>雌穗吐丝授粉后20</w:t>
      </w:r>
      <w:r>
        <w:rPr>
          <w:rFonts w:hint="eastAsia"/>
          <w:vertAlign w:val="superscript"/>
        </w:rPr>
        <w:t xml:space="preserve"> </w:t>
      </w:r>
      <w:r>
        <w:rPr>
          <w:rFonts w:hint="eastAsia"/>
        </w:rPr>
        <w:t>d～25</w:t>
      </w:r>
      <w:r>
        <w:rPr>
          <w:rFonts w:hint="eastAsia"/>
          <w:vertAlign w:val="superscript"/>
        </w:rPr>
        <w:t xml:space="preserve"> </w:t>
      </w:r>
      <w:r>
        <w:rPr>
          <w:rFonts w:hint="eastAsia"/>
        </w:rPr>
        <w:t>d左右，当果穗包叶成黄白色而松散，籽粒变硬，并呈现出本品种固有的色泽时为最佳采收期。玉米收获后，结合桑园冬伐清园，将玉米杆及桑枝切碎堆沤，返还桑园中，改善桑园土壤透气性。</w:t>
      </w:r>
    </w:p>
    <w:p>
      <w:pPr>
        <w:pStyle w:val="107"/>
        <w:spacing w:before="240" w:after="240"/>
      </w:pPr>
      <w:r>
        <w:rPr>
          <w:rFonts w:hint="eastAsia"/>
        </w:rPr>
        <w:t>玉米收获后桑园管理</w:t>
      </w:r>
    </w:p>
    <w:p>
      <w:pPr>
        <w:pStyle w:val="108"/>
        <w:spacing w:before="120" w:after="120"/>
      </w:pPr>
      <w:r>
        <w:rPr>
          <w:rFonts w:hint="eastAsia"/>
        </w:rPr>
        <w:t>冬季剪伐</w:t>
      </w:r>
    </w:p>
    <w:p>
      <w:pPr>
        <w:pStyle w:val="168"/>
        <w:numPr>
          <w:ilvl w:val="3"/>
          <w:numId w:val="0"/>
        </w:numPr>
        <w:ind w:firstLine="420" w:firstLineChars="200"/>
      </w:pPr>
      <w:r>
        <w:rPr>
          <w:rFonts w:hint="eastAsia"/>
        </w:rPr>
        <w:t>在玉米收获后，冬至前后7</w:t>
      </w:r>
      <w:r>
        <w:rPr>
          <w:rFonts w:hint="eastAsia"/>
          <w:vertAlign w:val="superscript"/>
        </w:rPr>
        <w:t xml:space="preserve"> </w:t>
      </w:r>
      <w:r>
        <w:rPr>
          <w:rFonts w:hint="eastAsia"/>
        </w:rPr>
        <w:t>d进行冬伐，对最后一次条桑收获后长出的枝条进行根刈，并清理桑园、翻耕土地、施肥及封园。</w:t>
      </w:r>
    </w:p>
    <w:p>
      <w:pPr>
        <w:pStyle w:val="108"/>
        <w:spacing w:before="120" w:after="120"/>
      </w:pPr>
      <w:r>
        <w:rPr>
          <w:rFonts w:hint="eastAsia"/>
        </w:rPr>
        <w:t>施肥管理</w:t>
      </w:r>
    </w:p>
    <w:p>
      <w:pPr>
        <w:pStyle w:val="168"/>
        <w:numPr>
          <w:ilvl w:val="3"/>
          <w:numId w:val="0"/>
        </w:numPr>
        <w:ind w:firstLine="420" w:firstLineChars="200"/>
      </w:pPr>
      <w:r>
        <w:rPr>
          <w:rFonts w:hint="eastAsia"/>
        </w:rPr>
        <w:t>在桑行中间开沟或坑、穴施肥，每667</w:t>
      </w:r>
      <w:r>
        <w:rPr>
          <w:rFonts w:hint="eastAsia"/>
          <w:vertAlign w:val="superscript"/>
        </w:rPr>
        <w:t xml:space="preserve"> </w:t>
      </w:r>
      <w:r>
        <w:rPr>
          <w:rFonts w:hint="eastAsia"/>
        </w:rPr>
        <w:t>m</w:t>
      </w:r>
      <w:r>
        <w:rPr>
          <w:rFonts w:hint="eastAsia"/>
          <w:vertAlign w:val="superscript"/>
        </w:rPr>
        <w:t>2</w:t>
      </w:r>
      <w:r>
        <w:rPr>
          <w:rFonts w:hint="eastAsia"/>
        </w:rPr>
        <w:t>施入有机肥1</w:t>
      </w:r>
      <w:r>
        <w:rPr>
          <w:rFonts w:hint="eastAsia"/>
          <w:vertAlign w:val="superscript"/>
        </w:rPr>
        <w:t xml:space="preserve"> </w:t>
      </w:r>
      <w:r>
        <w:rPr>
          <w:rFonts w:hint="eastAsia"/>
        </w:rPr>
        <w:t>500</w:t>
      </w:r>
      <w:r>
        <w:rPr>
          <w:rFonts w:hint="eastAsia"/>
          <w:vertAlign w:val="superscript"/>
        </w:rPr>
        <w:t xml:space="preserve"> </w:t>
      </w:r>
      <w:r>
        <w:rPr>
          <w:rFonts w:hint="eastAsia"/>
        </w:rPr>
        <w:t>kg～3</w:t>
      </w:r>
      <w:r>
        <w:rPr>
          <w:rFonts w:hint="eastAsia"/>
          <w:vertAlign w:val="superscript"/>
        </w:rPr>
        <w:t xml:space="preserve"> </w:t>
      </w:r>
      <w:r>
        <w:rPr>
          <w:rFonts w:hint="eastAsia"/>
        </w:rPr>
        <w:t>000</w:t>
      </w:r>
      <w:r>
        <w:rPr>
          <w:rFonts w:hint="eastAsia"/>
          <w:vertAlign w:val="superscript"/>
        </w:rPr>
        <w:t xml:space="preserve"> </w:t>
      </w:r>
      <w:r>
        <w:rPr>
          <w:rFonts w:hint="eastAsia"/>
        </w:rPr>
        <w:t>kg、复合肥（15-15-15）80</w:t>
      </w:r>
      <w:r>
        <w:rPr>
          <w:rFonts w:hint="eastAsia"/>
          <w:vertAlign w:val="superscript"/>
        </w:rPr>
        <w:t xml:space="preserve"> </w:t>
      </w:r>
      <w:r>
        <w:rPr>
          <w:rFonts w:hint="eastAsia"/>
        </w:rPr>
        <w:t>kg～100</w:t>
      </w:r>
      <w:r>
        <w:rPr>
          <w:rFonts w:hint="eastAsia"/>
          <w:vertAlign w:val="superscript"/>
        </w:rPr>
        <w:t xml:space="preserve"> </w:t>
      </w:r>
      <w:r>
        <w:rPr>
          <w:rFonts w:hint="eastAsia"/>
        </w:rPr>
        <w:t>kg，覆土压实。</w:t>
      </w:r>
    </w:p>
    <w:p>
      <w:pPr>
        <w:pStyle w:val="107"/>
        <w:spacing w:before="240" w:after="240"/>
      </w:pPr>
      <w:r>
        <w:rPr>
          <w:rFonts w:hint="eastAsia"/>
        </w:rPr>
        <w:t>档案管理</w:t>
      </w:r>
    </w:p>
    <w:p>
      <w:pPr>
        <w:pStyle w:val="59"/>
        <w:ind w:firstLine="420"/>
        <w:rPr>
          <w:rFonts w:hint="eastAsia"/>
        </w:rPr>
      </w:pPr>
      <w:r>
        <w:rPr>
          <w:rFonts w:hint="eastAsia"/>
        </w:rPr>
        <w:t>档案管理包括投入品的名称、来源、用法、用量和使用、停用的日期及生产技术、病虫害的发生和防治等。</w:t>
      </w:r>
    </w:p>
    <w:bookmarkEnd w:id="21"/>
    <w:p>
      <w:pPr>
        <w:pStyle w:val="59"/>
        <w:ind w:firstLine="0" w:firstLineChars="0"/>
        <w:jc w:val="center"/>
      </w:pPr>
      <w:bookmarkStart w:id="43"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T/GXAS XXXX—2023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XXXX—2023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T/GXAS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4C7EF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0A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357B"/>
    <w:rsid w:val="000F4050"/>
    <w:rsid w:val="000F4AEA"/>
    <w:rsid w:val="000F67E9"/>
    <w:rsid w:val="00104926"/>
    <w:rsid w:val="00113B1E"/>
    <w:rsid w:val="00116715"/>
    <w:rsid w:val="0011711C"/>
    <w:rsid w:val="001219DC"/>
    <w:rsid w:val="00124E4F"/>
    <w:rsid w:val="001260B7"/>
    <w:rsid w:val="001265CB"/>
    <w:rsid w:val="0012666F"/>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B95"/>
    <w:rsid w:val="00153C7E"/>
    <w:rsid w:val="00156B25"/>
    <w:rsid w:val="00156E1A"/>
    <w:rsid w:val="00157894"/>
    <w:rsid w:val="00157B55"/>
    <w:rsid w:val="0016042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7A0"/>
    <w:rsid w:val="002204BB"/>
    <w:rsid w:val="00221B79"/>
    <w:rsid w:val="00221C6B"/>
    <w:rsid w:val="002253A1"/>
    <w:rsid w:val="00225CF8"/>
    <w:rsid w:val="0022794E"/>
    <w:rsid w:val="00233D64"/>
    <w:rsid w:val="0023482A"/>
    <w:rsid w:val="002359CB"/>
    <w:rsid w:val="00240E2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BB6"/>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A03"/>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150"/>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6DF0"/>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93E"/>
    <w:rsid w:val="003B09AD"/>
    <w:rsid w:val="003B1F18"/>
    <w:rsid w:val="003B5BF0"/>
    <w:rsid w:val="003B5CC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688D"/>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7F0"/>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EF3"/>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3AA"/>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D21"/>
    <w:rsid w:val="00555044"/>
    <w:rsid w:val="00561475"/>
    <w:rsid w:val="00562308"/>
    <w:rsid w:val="00564716"/>
    <w:rsid w:val="0056487B"/>
    <w:rsid w:val="00564FB9"/>
    <w:rsid w:val="00573D9E"/>
    <w:rsid w:val="005801E3"/>
    <w:rsid w:val="00581802"/>
    <w:rsid w:val="005836A8"/>
    <w:rsid w:val="0058409C"/>
    <w:rsid w:val="00584262"/>
    <w:rsid w:val="00586630"/>
    <w:rsid w:val="00587ADD"/>
    <w:rsid w:val="00590775"/>
    <w:rsid w:val="00593A49"/>
    <w:rsid w:val="00596160"/>
    <w:rsid w:val="005966E2"/>
    <w:rsid w:val="00596D48"/>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9D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4894"/>
    <w:rsid w:val="006015CE"/>
    <w:rsid w:val="00604784"/>
    <w:rsid w:val="00605B0F"/>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45C"/>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D38"/>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8BB"/>
    <w:rsid w:val="006C1BBA"/>
    <w:rsid w:val="006C2079"/>
    <w:rsid w:val="006C5A62"/>
    <w:rsid w:val="006C5D68"/>
    <w:rsid w:val="006C6976"/>
    <w:rsid w:val="006C6DD0"/>
    <w:rsid w:val="006C7380"/>
    <w:rsid w:val="006D04EA"/>
    <w:rsid w:val="006D16C4"/>
    <w:rsid w:val="006D3E96"/>
    <w:rsid w:val="006D4515"/>
    <w:rsid w:val="006D4BB1"/>
    <w:rsid w:val="006D6593"/>
    <w:rsid w:val="006E1BB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8F3"/>
    <w:rsid w:val="00724E1B"/>
    <w:rsid w:val="00725949"/>
    <w:rsid w:val="00727FA2"/>
    <w:rsid w:val="007322D9"/>
    <w:rsid w:val="00732BC0"/>
    <w:rsid w:val="00733CA7"/>
    <w:rsid w:val="007371B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3103"/>
    <w:rsid w:val="007B5A3D"/>
    <w:rsid w:val="007B5B95"/>
    <w:rsid w:val="007B6032"/>
    <w:rsid w:val="007B68EA"/>
    <w:rsid w:val="007B7453"/>
    <w:rsid w:val="007C286C"/>
    <w:rsid w:val="007C2D89"/>
    <w:rsid w:val="007C4593"/>
    <w:rsid w:val="007C5309"/>
    <w:rsid w:val="007C6069"/>
    <w:rsid w:val="007D06C4"/>
    <w:rsid w:val="007D1352"/>
    <w:rsid w:val="007D2508"/>
    <w:rsid w:val="007D346A"/>
    <w:rsid w:val="007D6518"/>
    <w:rsid w:val="007D6FD3"/>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3A06"/>
    <w:rsid w:val="00882A5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6F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1C7"/>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3BEF"/>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BCE"/>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E2D"/>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35C"/>
    <w:rsid w:val="00A648CD"/>
    <w:rsid w:val="00A6537A"/>
    <w:rsid w:val="00A67866"/>
    <w:rsid w:val="00A70B07"/>
    <w:rsid w:val="00A723F8"/>
    <w:rsid w:val="00A75A94"/>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B1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2C74"/>
    <w:rsid w:val="00AE37E5"/>
    <w:rsid w:val="00AE5EB4"/>
    <w:rsid w:val="00AF0C18"/>
    <w:rsid w:val="00AF47C5"/>
    <w:rsid w:val="00AF5398"/>
    <w:rsid w:val="00B00850"/>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450D"/>
    <w:rsid w:val="00B758BF"/>
    <w:rsid w:val="00B77EC8"/>
    <w:rsid w:val="00B827A6"/>
    <w:rsid w:val="00B831CE"/>
    <w:rsid w:val="00B86677"/>
    <w:rsid w:val="00B87131"/>
    <w:rsid w:val="00B939B1"/>
    <w:rsid w:val="00B96D40"/>
    <w:rsid w:val="00B97386"/>
    <w:rsid w:val="00BA263B"/>
    <w:rsid w:val="00BA42B2"/>
    <w:rsid w:val="00BA58D4"/>
    <w:rsid w:val="00BA5B9E"/>
    <w:rsid w:val="00BA6BA1"/>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BAC"/>
    <w:rsid w:val="00C94DF2"/>
    <w:rsid w:val="00C96741"/>
    <w:rsid w:val="00CA2D1B"/>
    <w:rsid w:val="00CA375D"/>
    <w:rsid w:val="00CA662A"/>
    <w:rsid w:val="00CA7AFD"/>
    <w:rsid w:val="00CA7C3C"/>
    <w:rsid w:val="00CB0189"/>
    <w:rsid w:val="00CB0BA2"/>
    <w:rsid w:val="00CB1A42"/>
    <w:rsid w:val="00CB1B0C"/>
    <w:rsid w:val="00CB2C0B"/>
    <w:rsid w:val="00CB31F5"/>
    <w:rsid w:val="00CB517D"/>
    <w:rsid w:val="00CC038D"/>
    <w:rsid w:val="00CC08DB"/>
    <w:rsid w:val="00CC37F7"/>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1C6"/>
    <w:rsid w:val="00D223DE"/>
    <w:rsid w:val="00D25E37"/>
    <w:rsid w:val="00D2661A"/>
    <w:rsid w:val="00D27582"/>
    <w:rsid w:val="00D27EC4"/>
    <w:rsid w:val="00D32719"/>
    <w:rsid w:val="00D33333"/>
    <w:rsid w:val="00D351F2"/>
    <w:rsid w:val="00D352A2"/>
    <w:rsid w:val="00D4162B"/>
    <w:rsid w:val="00D4514F"/>
    <w:rsid w:val="00D451E2"/>
    <w:rsid w:val="00D45E89"/>
    <w:rsid w:val="00D45E8D"/>
    <w:rsid w:val="00D466AE"/>
    <w:rsid w:val="00D4734F"/>
    <w:rsid w:val="00D51B53"/>
    <w:rsid w:val="00D51BF3"/>
    <w:rsid w:val="00D66846"/>
    <w:rsid w:val="00D675FB"/>
    <w:rsid w:val="00D678A2"/>
    <w:rsid w:val="00D71F25"/>
    <w:rsid w:val="00D72A9C"/>
    <w:rsid w:val="00D77031"/>
    <w:rsid w:val="00D81AD4"/>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3CF"/>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2AA"/>
    <w:rsid w:val="00E60C63"/>
    <w:rsid w:val="00E62FF9"/>
    <w:rsid w:val="00E635D6"/>
    <w:rsid w:val="00E639BC"/>
    <w:rsid w:val="00E656D1"/>
    <w:rsid w:val="00E664CC"/>
    <w:rsid w:val="00E70388"/>
    <w:rsid w:val="00E705A9"/>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856"/>
    <w:rsid w:val="00EA58D1"/>
    <w:rsid w:val="00EA61BC"/>
    <w:rsid w:val="00EA681A"/>
    <w:rsid w:val="00EA735B"/>
    <w:rsid w:val="00EB1E69"/>
    <w:rsid w:val="00EB2086"/>
    <w:rsid w:val="00EB31ED"/>
    <w:rsid w:val="00EB5EDF"/>
    <w:rsid w:val="00EB60FE"/>
    <w:rsid w:val="00EB74DB"/>
    <w:rsid w:val="00EC403B"/>
    <w:rsid w:val="00EC5359"/>
    <w:rsid w:val="00EC562A"/>
    <w:rsid w:val="00ED067A"/>
    <w:rsid w:val="00ED2B50"/>
    <w:rsid w:val="00ED2DE3"/>
    <w:rsid w:val="00EE0350"/>
    <w:rsid w:val="00EE0719"/>
    <w:rsid w:val="00EE0E80"/>
    <w:rsid w:val="00EE613F"/>
    <w:rsid w:val="00EE7295"/>
    <w:rsid w:val="00EE7869"/>
    <w:rsid w:val="00EF040A"/>
    <w:rsid w:val="00EF054A"/>
    <w:rsid w:val="00EF3235"/>
    <w:rsid w:val="00EF7E72"/>
    <w:rsid w:val="00F042D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9A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612"/>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9D"/>
    <w:rsid w:val="00FE1FBE"/>
    <w:rsid w:val="00FE3901"/>
    <w:rsid w:val="00FE39D3"/>
    <w:rsid w:val="00FE4BCE"/>
    <w:rsid w:val="00FE54AE"/>
    <w:rsid w:val="00FE576A"/>
    <w:rsid w:val="00FE7E79"/>
    <w:rsid w:val="00FF3E7D"/>
    <w:rsid w:val="00FF5B99"/>
    <w:rsid w:val="00FF603E"/>
    <w:rsid w:val="00FF730C"/>
    <w:rsid w:val="00FF73F4"/>
    <w:rsid w:val="00FF7CE4"/>
    <w:rsid w:val="00FF7E39"/>
    <w:rsid w:val="01D241B3"/>
    <w:rsid w:val="066B5CCB"/>
    <w:rsid w:val="0DBC0BBA"/>
    <w:rsid w:val="0FB57FB7"/>
    <w:rsid w:val="179B1910"/>
    <w:rsid w:val="18DE232D"/>
    <w:rsid w:val="1A90315D"/>
    <w:rsid w:val="22590C76"/>
    <w:rsid w:val="2B1602F9"/>
    <w:rsid w:val="2BE4623F"/>
    <w:rsid w:val="2DF7D606"/>
    <w:rsid w:val="2DFF2153"/>
    <w:rsid w:val="30BE497C"/>
    <w:rsid w:val="3132BF7B"/>
    <w:rsid w:val="35E2652C"/>
    <w:rsid w:val="35FDDD77"/>
    <w:rsid w:val="36251143"/>
    <w:rsid w:val="395B7E56"/>
    <w:rsid w:val="398B5E7A"/>
    <w:rsid w:val="3B08098E"/>
    <w:rsid w:val="3C7F3A64"/>
    <w:rsid w:val="3F6A6A6F"/>
    <w:rsid w:val="3FF75F32"/>
    <w:rsid w:val="431D0447"/>
    <w:rsid w:val="44000925"/>
    <w:rsid w:val="457F2197"/>
    <w:rsid w:val="475128EC"/>
    <w:rsid w:val="47F67A77"/>
    <w:rsid w:val="4EE79B69"/>
    <w:rsid w:val="4FDFAEEE"/>
    <w:rsid w:val="4FFF1A34"/>
    <w:rsid w:val="51313B97"/>
    <w:rsid w:val="574D0906"/>
    <w:rsid w:val="5D760AFD"/>
    <w:rsid w:val="5DD73963"/>
    <w:rsid w:val="619052E3"/>
    <w:rsid w:val="61CF84B1"/>
    <w:rsid w:val="63864720"/>
    <w:rsid w:val="6A73210E"/>
    <w:rsid w:val="6BF7560B"/>
    <w:rsid w:val="6F755C1C"/>
    <w:rsid w:val="6FBD3845"/>
    <w:rsid w:val="6FD75C69"/>
    <w:rsid w:val="6FFC5935"/>
    <w:rsid w:val="74FD2DCB"/>
    <w:rsid w:val="75137DDD"/>
    <w:rsid w:val="764F748F"/>
    <w:rsid w:val="777F1871"/>
    <w:rsid w:val="777FFEB5"/>
    <w:rsid w:val="77DF56EE"/>
    <w:rsid w:val="77F731DE"/>
    <w:rsid w:val="796822CC"/>
    <w:rsid w:val="79892D64"/>
    <w:rsid w:val="7A970391"/>
    <w:rsid w:val="7AF14708"/>
    <w:rsid w:val="7B53150D"/>
    <w:rsid w:val="7B851FAC"/>
    <w:rsid w:val="7BFD2EB1"/>
    <w:rsid w:val="7D834F00"/>
    <w:rsid w:val="7DE65507"/>
    <w:rsid w:val="7E7F8762"/>
    <w:rsid w:val="7EFF4B95"/>
    <w:rsid w:val="7EFF966F"/>
    <w:rsid w:val="7F7778F2"/>
    <w:rsid w:val="7F7F00E5"/>
    <w:rsid w:val="7F7F0260"/>
    <w:rsid w:val="7F9F2540"/>
    <w:rsid w:val="7FA7EF50"/>
    <w:rsid w:val="7FBEB981"/>
    <w:rsid w:val="7FD9D6B7"/>
    <w:rsid w:val="7FEFB717"/>
    <w:rsid w:val="7FF7ED75"/>
    <w:rsid w:val="97835FC4"/>
    <w:rsid w:val="B57F88CC"/>
    <w:rsid w:val="B8B7DDA8"/>
    <w:rsid w:val="C77127CA"/>
    <w:rsid w:val="D6F78EA4"/>
    <w:rsid w:val="D7ABA2F2"/>
    <w:rsid w:val="D8FF3DF7"/>
    <w:rsid w:val="DD3E3AC6"/>
    <w:rsid w:val="DDD6CE4F"/>
    <w:rsid w:val="E1F60D70"/>
    <w:rsid w:val="EEFD4458"/>
    <w:rsid w:val="F39F3AD3"/>
    <w:rsid w:val="F6BD8EE7"/>
    <w:rsid w:val="F6C20CC8"/>
    <w:rsid w:val="F6DC9A14"/>
    <w:rsid w:val="F7BEA863"/>
    <w:rsid w:val="F7F9B93B"/>
    <w:rsid w:val="F7FA75F7"/>
    <w:rsid w:val="F7FF7727"/>
    <w:rsid w:val="FBFF27F6"/>
    <w:rsid w:val="FDBB2BAE"/>
    <w:rsid w:val="FDEFE222"/>
    <w:rsid w:val="FDFFFE81"/>
    <w:rsid w:val="FE57D070"/>
    <w:rsid w:val="FF9F27F9"/>
    <w:rsid w:val="FFA8232B"/>
    <w:rsid w:val="FFEF06A0"/>
    <w:rsid w:val="FFEFC581"/>
    <w:rsid w:val="FFFD8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sz w:val="44"/>
    </w:rPr>
  </w:style>
  <w:style w:type="paragraph" w:customStyle="1" w:styleId="62">
    <w:name w:val="标准文件_标准代替"/>
    <w:basedOn w:val="1"/>
    <w:next w:val="1"/>
    <w:qFormat/>
    <w:uiPriority w:val="0"/>
    <w:pPr>
      <w:spacing w:line="310" w:lineRule="exact"/>
      <w:jc w:val="right"/>
    </w:pPr>
    <w:rPr>
      <w:rFonts w:ascii="宋体" w:hAnsi="宋体"/>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sz w:val="28"/>
    </w:rPr>
  </w:style>
  <w:style w:type="paragraph" w:customStyle="1" w:styleId="72">
    <w:name w:val="标准文件_封面标准分类号"/>
    <w:basedOn w:val="1"/>
    <w:qFormat/>
    <w:uiPriority w:val="0"/>
    <w:rPr>
      <w:rFonts w:ascii="黑体" w:eastAsia="黑体"/>
      <w:b/>
      <w:sz w:val="28"/>
    </w:rPr>
  </w:style>
  <w:style w:type="paragraph" w:customStyle="1" w:styleId="73">
    <w:name w:val="标准文件_封面标准名称"/>
    <w:basedOn w:val="1"/>
    <w:qFormat/>
    <w:uiPriority w:val="0"/>
    <w:pPr>
      <w:spacing w:line="240" w:lineRule="auto"/>
      <w:jc w:val="center"/>
    </w:pPr>
    <w:rPr>
      <w:rFonts w:ascii="黑体" w:eastAsia="黑体"/>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sz w:val="18"/>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semiHidden/>
    <w:qFormat/>
    <w:uiPriority w:val="99"/>
  </w:style>
  <w:style w:type="character" w:customStyle="1" w:styleId="234">
    <w:name w:val="批注主题 字符"/>
    <w:basedOn w:val="233"/>
    <w:link w:val="27"/>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46B650930E54950ADC580CE40E8380A"/>
        <w:style w:val=""/>
        <w:category>
          <w:name w:val="常规"/>
          <w:gallery w:val="placeholder"/>
        </w:category>
        <w:types>
          <w:type w:val="bbPlcHdr"/>
        </w:types>
        <w:behaviors>
          <w:behavior w:val="content"/>
        </w:behaviors>
        <w:description w:val=""/>
        <w:guid w:val="{D71168E4-1A09-4B9B-8415-A7856D02BE93}"/>
      </w:docPartPr>
      <w:docPartBody>
        <w:p>
          <w:pPr>
            <w:pStyle w:val="5"/>
          </w:pPr>
          <w:r>
            <w:rPr>
              <w:rStyle w:val="4"/>
              <w:rFonts w:hint="eastAsia"/>
            </w:rPr>
            <w:t>单击或点击此处输入文字。</w:t>
          </w:r>
        </w:p>
      </w:docPartBody>
    </w:docPart>
    <w:docPart>
      <w:docPartPr>
        <w:name w:val="1A97D63B5C82430CA9740A6B7E0291DE"/>
        <w:style w:val=""/>
        <w:category>
          <w:name w:val="常规"/>
          <w:gallery w:val="placeholder"/>
        </w:category>
        <w:types>
          <w:type w:val="bbPlcHdr"/>
        </w:types>
        <w:behaviors>
          <w:behavior w:val="content"/>
        </w:behaviors>
        <w:description w:val=""/>
        <w:guid w:val="{BA18BBFC-AE55-464D-BAE3-7DF3A2116F20}"/>
      </w:docPartPr>
      <w:docPartBody>
        <w:p>
          <w:pPr>
            <w:pStyle w:val="6"/>
          </w:pPr>
          <w:r>
            <w:rPr>
              <w:rStyle w:val="4"/>
              <w:rFonts w:hint="eastAsia"/>
            </w:rPr>
            <w:t>选择一项。</w:t>
          </w:r>
        </w:p>
      </w:docPartBody>
    </w:docPart>
    <w:docPart>
      <w:docPartPr>
        <w:name w:val="0AD66CF5B8A141A4AF7EA82839C19AAF"/>
        <w:style w:val=""/>
        <w:category>
          <w:name w:val="常规"/>
          <w:gallery w:val="placeholder"/>
        </w:category>
        <w:types>
          <w:type w:val="bbPlcHdr"/>
        </w:types>
        <w:behaviors>
          <w:behavior w:val="content"/>
        </w:behaviors>
        <w:description w:val=""/>
        <w:guid w:val="{2F45C539-158E-4BF4-81E9-DC8C883B483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94F"/>
    <w:rsid w:val="002674E9"/>
    <w:rsid w:val="003A3F92"/>
    <w:rsid w:val="003D2E37"/>
    <w:rsid w:val="0042494F"/>
    <w:rsid w:val="00522CEA"/>
    <w:rsid w:val="006626C1"/>
    <w:rsid w:val="007D4F06"/>
    <w:rsid w:val="00EE7F53"/>
    <w:rsid w:val="00F87043"/>
    <w:rsid w:val="00FB7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46B650930E54950ADC580CE40E8380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A97D63B5C82430CA9740A6B7E0291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AD66CF5B8A141A4AF7EA82839C19AA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7</Pages>
  <Words>448</Words>
  <Characters>2559</Characters>
  <Lines>21</Lines>
  <Paragraphs>6</Paragraphs>
  <TotalTime>17</TotalTime>
  <ScaleCrop>false</ScaleCrop>
  <LinksUpToDate>false</LinksUpToDate>
  <CharactersWithSpaces>3001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2023-12-15T16:16:00Z</dcterms:created>
  <dc:creator>USER</dc:creator>
  <dc:description>&lt;config cover="true" show_menu="true" version="1.0.0" doctype="SDKXY"&gt;_x000d_
&lt;/config&gt;</dc:description>
  <cp:lastModifiedBy>杀死那朵花</cp:lastModifiedBy>
  <cp:lastPrinted>2021-02-03T16:22:00Z</cp:lastPrinted>
  <dcterms:modified xsi:type="dcterms:W3CDTF">2023-12-25T11:29:55Z</dcterms:modified>
  <dc:title>团体标准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2052-12.1.0.15990</vt:lpwstr>
  </property>
  <property fmtid="{D5CDD505-2E9C-101B-9397-08002B2CF9AE}" pid="15" name="ICV">
    <vt:lpwstr>C8154F1AFC48426CA3DD09F853B01D63_12</vt:lpwstr>
  </property>
  <property fmtid="{D5CDD505-2E9C-101B-9397-08002B2CF9AE}" pid="16" name="DoublePage">
    <vt:lpwstr>true</vt:lpwstr>
  </property>
</Properties>
</file>