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20</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2023</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sz w:val="10"/>
          <w:szCs w:val="10"/>
        </w:rPr>
      </w:pPr>
      <w:r>
        <w:rPr>
          <w:rFonts w:ascii="黑体" w:hAnsi="黑体" w:eastAsia="黑体"/>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石漠化地区嫁接桑栽培技术规程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cultivation of grafting mulberry in rocky desertification area</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2023</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360"/>
      </w:pPr>
      <w:bookmarkStart w:id="20"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本文件由百色市农业农村局提出、归口并宣贯。</w:t>
      </w:r>
    </w:p>
    <w:p>
      <w:pPr>
        <w:pStyle w:val="56"/>
        <w:ind w:firstLine="420"/>
      </w:pPr>
      <w:r>
        <w:rPr>
          <w:rFonts w:hint="eastAsia"/>
        </w:rPr>
        <w:t>本文件起草单位：百色市农业农村局、百色市蚕业发展中心、隆林各族自治县蚕业技术服务中心、凌云县经济作物发展中心、隆林盛业生态农业科技发展有限公司。</w:t>
      </w:r>
    </w:p>
    <w:p>
      <w:pPr>
        <w:pStyle w:val="56"/>
        <w:ind w:firstLine="420"/>
      </w:pPr>
      <w:r>
        <w:rPr>
          <w:rFonts w:hint="eastAsia"/>
        </w:rPr>
        <w:t>本文件主要起草人：文柳璎、张仕光、黄丽萍、黄绍松、李福乐、吴贤飞、刘春强、黄宗校、王日邓、黄焘、黄飞、王水亮、罗慧、马灵芝、刘蔚、邓祖高、蓝黄丽、黄兰彬、何家美、梁青拍、潘德健、陆朝满、梁凤梅、苏宗洋、雷连杰、许燕娜、杨金祥、聂根荣、邓华秋。</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0FB544D3E5C4459DA896F041CFB56617"/>
        </w:placeholder>
      </w:sdtPr>
      <w:sdtContent>
        <w:p>
          <w:pPr>
            <w:pStyle w:val="177"/>
            <w:spacing w:before="240" w:beforeLines="100" w:after="528" w:afterLines="220"/>
          </w:pPr>
          <w:bookmarkStart w:id="22" w:name="NEW_STAND_NAME"/>
          <w:r>
            <w:rPr>
              <w:rFonts w:hint="eastAsia"/>
            </w:rPr>
            <w:t>石漠化地区嫁接桑栽培技术规程</w:t>
          </w:r>
        </w:p>
      </w:sdtContent>
    </w:sdt>
    <w:bookmarkEnd w:id="22"/>
    <w:p>
      <w:pPr>
        <w:pStyle w:val="104"/>
        <w:spacing w:before="240" w:after="240"/>
      </w:pPr>
      <w:bookmarkStart w:id="23" w:name="_Toc24884211"/>
      <w:bookmarkStart w:id="24" w:name="_Toc26648465"/>
      <w:bookmarkStart w:id="25" w:name="_Toc17233325"/>
      <w:bookmarkStart w:id="26" w:name="_Toc26986530"/>
      <w:bookmarkStart w:id="27" w:name="_Toc97192964"/>
      <w:bookmarkStart w:id="28" w:name="_Toc26718930"/>
      <w:bookmarkStart w:id="29" w:name="_Toc26986771"/>
      <w:bookmarkStart w:id="30" w:name="_Toc17233333"/>
      <w:bookmarkStart w:id="31" w:name="_Toc24884218"/>
      <w:r>
        <w:rPr>
          <w:rFonts w:hint="eastAsia"/>
        </w:rPr>
        <w:t>范围</w:t>
      </w:r>
      <w:bookmarkEnd w:id="23"/>
      <w:bookmarkEnd w:id="24"/>
      <w:bookmarkEnd w:id="25"/>
      <w:bookmarkEnd w:id="26"/>
      <w:bookmarkEnd w:id="27"/>
      <w:bookmarkEnd w:id="28"/>
      <w:bookmarkEnd w:id="29"/>
      <w:bookmarkEnd w:id="30"/>
      <w:bookmarkEnd w:id="31"/>
    </w:p>
    <w:p>
      <w:pPr>
        <w:pStyle w:val="56"/>
        <w:ind w:firstLine="420"/>
      </w:pPr>
      <w:bookmarkStart w:id="32" w:name="_Toc17233326"/>
      <w:bookmarkStart w:id="33" w:name="_Toc24884219"/>
      <w:bookmarkStart w:id="34" w:name="_Toc26648466"/>
      <w:bookmarkStart w:id="35" w:name="_Toc17233334"/>
      <w:bookmarkStart w:id="36" w:name="_Toc24884212"/>
      <w:r>
        <w:rPr>
          <w:rFonts w:hint="eastAsia"/>
        </w:rPr>
        <w:t>本文件界定了石漠化地区嫁接桑栽培涉及的术语和定义，确立了石漠化地区嫁接桑栽培技术的程序，规定了园地选择与规划、品种选择、栽植、桑园管理、病虫害防治、采收的操作指示，描述了栽培过程信息的追溯方法。</w:t>
      </w:r>
    </w:p>
    <w:p>
      <w:pPr>
        <w:pStyle w:val="56"/>
        <w:ind w:firstLine="420"/>
      </w:pPr>
      <w:r>
        <w:rPr>
          <w:rFonts w:hint="eastAsia"/>
        </w:rPr>
        <w:t>本文件适用于石漠化地区嫁接桑的栽培。</w:t>
      </w:r>
    </w:p>
    <w:p>
      <w:pPr>
        <w:pStyle w:val="104"/>
        <w:spacing w:before="240" w:after="240"/>
      </w:pPr>
      <w:bookmarkStart w:id="37" w:name="_Toc97192965"/>
      <w:bookmarkStart w:id="38" w:name="_Toc26986772"/>
      <w:bookmarkStart w:id="39" w:name="_Toc26986531"/>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85E6AE4E3F8641ED95BBAF6BFE06CD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 19173  桑树种子和苗木</w:t>
      </w:r>
    </w:p>
    <w:p>
      <w:pPr>
        <w:pStyle w:val="56"/>
        <w:ind w:firstLine="420"/>
      </w:pPr>
      <w:r>
        <w:rPr>
          <w:rFonts w:hint="eastAsia"/>
        </w:rPr>
        <w:t>NY/T 496  肥料合理使用准则  通则</w:t>
      </w:r>
    </w:p>
    <w:p>
      <w:pPr>
        <w:pStyle w:val="56"/>
        <w:ind w:firstLine="420"/>
      </w:pPr>
      <w:r>
        <w:rPr>
          <w:rFonts w:hint="eastAsia"/>
        </w:rPr>
        <w:t>NY/T 1027  桑园用药技术规程</w:t>
      </w:r>
    </w:p>
    <w:p>
      <w:pPr>
        <w:pStyle w:val="104"/>
        <w:spacing w:before="240" w:after="240"/>
      </w:pPr>
      <w:bookmarkStart w:id="41" w:name="_Toc97192966"/>
      <w:r>
        <w:rPr>
          <w:rFonts w:hint="eastAsia"/>
        </w:rPr>
        <w:t>术语和定义</w:t>
      </w:r>
      <w:bookmarkEnd w:id="41"/>
    </w:p>
    <w:sdt>
      <w:sdtPr>
        <w:id w:val="-1909835108"/>
        <w:placeholder>
          <w:docPart w:val="9D51051808E1479D9F917364A0F645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2" w:name="_Toc26986532"/>
          <w:bookmarkEnd w:id="42"/>
          <w:r>
            <w:t>本文件没有需要界定的术语和定义。</w:t>
          </w:r>
        </w:p>
      </w:sdtContent>
    </w:sdt>
    <w:p>
      <w:pPr>
        <w:pStyle w:val="104"/>
        <w:spacing w:before="240" w:after="240"/>
      </w:pPr>
      <w:r>
        <w:rPr>
          <w:rFonts w:hint="eastAsia"/>
        </w:rPr>
        <w:t>园地选择与规划</w:t>
      </w:r>
    </w:p>
    <w:p>
      <w:pPr>
        <w:pStyle w:val="105"/>
        <w:spacing w:before="120" w:after="120"/>
      </w:pPr>
      <w:r>
        <w:rPr>
          <w:rFonts w:hint="eastAsia"/>
        </w:rPr>
        <w:t>园地选择</w:t>
      </w:r>
    </w:p>
    <w:p>
      <w:pPr>
        <w:pStyle w:val="65"/>
        <w:spacing w:before="120" w:after="120"/>
      </w:pPr>
      <w:r>
        <w:rPr>
          <w:rFonts w:hint="eastAsia"/>
        </w:rPr>
        <w:t>地形和土壤</w:t>
      </w:r>
    </w:p>
    <w:p>
      <w:pPr>
        <w:pStyle w:val="56"/>
        <w:ind w:firstLine="420"/>
      </w:pPr>
      <w:r>
        <w:rPr>
          <w:rFonts w:hint="eastAsia"/>
        </w:rPr>
        <w:t>选择土壤pH为4.5～7.5的台地、坡地、河滩地、峰丛洼地、峰林谷地、石芽地建设桑园。</w:t>
      </w:r>
    </w:p>
    <w:p>
      <w:pPr>
        <w:pStyle w:val="65"/>
        <w:spacing w:before="120" w:after="120"/>
      </w:pPr>
      <w:r>
        <w:rPr>
          <w:rFonts w:hint="eastAsia"/>
        </w:rPr>
        <w:t>环境</w:t>
      </w:r>
    </w:p>
    <w:p>
      <w:pPr>
        <w:pStyle w:val="56"/>
        <w:ind w:firstLine="420"/>
      </w:pPr>
      <w:r>
        <w:rPr>
          <w:rFonts w:hint="eastAsia"/>
        </w:rPr>
        <w:t>应远离废气、废水、工业污染区域600</w:t>
      </w:r>
      <w:r>
        <w:rPr>
          <w:vertAlign w:val="superscript"/>
        </w:rPr>
        <w:t xml:space="preserve"> </w:t>
      </w:r>
      <w:r>
        <w:rPr>
          <w:rFonts w:hint="eastAsia"/>
        </w:rPr>
        <w:t>m～1</w:t>
      </w:r>
      <w:r>
        <w:rPr>
          <w:vertAlign w:val="superscript"/>
        </w:rPr>
        <w:t xml:space="preserve"> </w:t>
      </w:r>
      <w:r>
        <w:rPr>
          <w:rFonts w:hint="eastAsia"/>
        </w:rPr>
        <w:t>000</w:t>
      </w:r>
      <w:r>
        <w:rPr>
          <w:vertAlign w:val="superscript"/>
        </w:rPr>
        <w:t xml:space="preserve"> </w:t>
      </w:r>
      <w:r>
        <w:rPr>
          <w:rFonts w:hint="eastAsia"/>
        </w:rPr>
        <w:t>m，远离烟草种植区400</w:t>
      </w:r>
      <w:r>
        <w:rPr>
          <w:vertAlign w:val="superscript"/>
        </w:rPr>
        <w:t xml:space="preserve"> </w:t>
      </w:r>
      <w:r>
        <w:rPr>
          <w:rFonts w:hint="eastAsia"/>
        </w:rPr>
        <w:t>m～500</w:t>
      </w:r>
      <w:r>
        <w:rPr>
          <w:vertAlign w:val="superscript"/>
        </w:rPr>
        <w:t xml:space="preserve"> </w:t>
      </w:r>
      <w:r>
        <w:rPr>
          <w:rFonts w:hint="eastAsia"/>
        </w:rPr>
        <w:t>m。</w:t>
      </w:r>
    </w:p>
    <w:p>
      <w:pPr>
        <w:pStyle w:val="105"/>
        <w:spacing w:before="120" w:after="120"/>
      </w:pPr>
      <w:r>
        <w:rPr>
          <w:rFonts w:hint="eastAsia"/>
        </w:rPr>
        <w:t>园地规划</w:t>
      </w:r>
    </w:p>
    <w:p>
      <w:pPr>
        <w:pStyle w:val="65"/>
        <w:spacing w:before="120" w:after="120"/>
      </w:pPr>
      <w:r>
        <w:rPr>
          <w:rFonts w:hint="eastAsia"/>
        </w:rPr>
        <w:t>土壤改良和整理</w:t>
      </w:r>
    </w:p>
    <w:p>
      <w:pPr>
        <w:pStyle w:val="56"/>
        <w:ind w:firstLine="420"/>
      </w:pPr>
      <w:r>
        <w:rPr>
          <w:rFonts w:hint="eastAsia" w:ascii="Times New Roman"/>
        </w:rPr>
        <w:t>坡度</w:t>
      </w:r>
      <w:r>
        <w:rPr>
          <w:rFonts w:hint="eastAsia" w:ascii="宋体" w:hAnsi="宋体" w:eastAsia="宋体" w:cs="宋体"/>
        </w:rPr>
        <w:t>5</w:t>
      </w:r>
      <w:r>
        <w:rPr>
          <w:rFonts w:hint="eastAsia" w:ascii="Times New Roman"/>
        </w:rPr>
        <w:t>°～</w:t>
      </w:r>
      <w:r>
        <w:rPr>
          <w:rFonts w:hint="eastAsia" w:ascii="宋体" w:hAnsi="宋体" w:eastAsia="宋体" w:cs="宋体"/>
        </w:rPr>
        <w:t>10</w:t>
      </w:r>
      <w:r>
        <w:rPr>
          <w:rFonts w:hint="eastAsia" w:ascii="Times New Roman"/>
        </w:rPr>
        <w:t>°，</w:t>
      </w:r>
      <w:r>
        <w:rPr>
          <w:rFonts w:hint="eastAsia"/>
        </w:rPr>
        <w:t>起垄堆土抬高种桑地面；坡度＞15°，修筑梯田；土层瘠薄的石山地块，应拣除石块，垒土造地，增</w:t>
      </w:r>
      <w:bookmarkStart w:id="46" w:name="_GoBack"/>
      <w:bookmarkEnd w:id="46"/>
      <w:r>
        <w:rPr>
          <w:rFonts w:hint="eastAsia"/>
        </w:rPr>
        <w:t>厚土层；低洼易积水土地，应开通排水沟。</w:t>
      </w:r>
    </w:p>
    <w:p>
      <w:pPr>
        <w:pStyle w:val="65"/>
        <w:spacing w:before="120" w:after="120"/>
      </w:pPr>
      <w:r>
        <w:rPr>
          <w:rFonts w:hint="eastAsia"/>
        </w:rPr>
        <w:t>划分种植区</w:t>
      </w:r>
    </w:p>
    <w:p>
      <w:pPr>
        <w:pStyle w:val="56"/>
        <w:ind w:firstLine="420"/>
      </w:pPr>
      <w:r>
        <w:rPr>
          <w:rFonts w:hint="eastAsia"/>
        </w:rPr>
        <w:t>结合地形、交通、水利、品种安排等进行划分种植区。</w:t>
      </w:r>
    </w:p>
    <w:p>
      <w:pPr>
        <w:pStyle w:val="65"/>
        <w:spacing w:before="120" w:after="120"/>
      </w:pPr>
      <w:r>
        <w:rPr>
          <w:rFonts w:hint="eastAsia"/>
        </w:rPr>
        <w:t>道路</w:t>
      </w:r>
    </w:p>
    <w:p>
      <w:pPr>
        <w:pStyle w:val="56"/>
        <w:ind w:firstLine="420"/>
      </w:pPr>
      <w:r>
        <w:rPr>
          <w:rFonts w:hint="eastAsia"/>
        </w:rPr>
        <w:t>根据园地规模、地势地形修建道路。主道贯通全园，路宽4</w:t>
      </w:r>
      <w:r>
        <w:rPr>
          <w:rFonts w:hint="eastAsia"/>
          <w:vertAlign w:val="superscript"/>
        </w:rPr>
        <w:t xml:space="preserve"> </w:t>
      </w:r>
      <w:r>
        <w:rPr>
          <w:rFonts w:hint="eastAsia"/>
        </w:rPr>
        <w:t>m～5</w:t>
      </w:r>
      <w:r>
        <w:rPr>
          <w:rFonts w:hint="eastAsia"/>
          <w:vertAlign w:val="superscript"/>
        </w:rPr>
        <w:t xml:space="preserve"> </w:t>
      </w:r>
      <w:r>
        <w:rPr>
          <w:rFonts w:hint="eastAsia"/>
        </w:rPr>
        <w:t>m；种植区间道路宽0.3</w:t>
      </w:r>
      <w:r>
        <w:rPr>
          <w:vertAlign w:val="superscript"/>
        </w:rPr>
        <w:t xml:space="preserve"> </w:t>
      </w:r>
      <w:r>
        <w:rPr>
          <w:rFonts w:hint="eastAsia"/>
        </w:rPr>
        <w:t>m～0.5</w:t>
      </w:r>
      <w:r>
        <w:rPr>
          <w:rFonts w:hint="eastAsia"/>
          <w:vertAlign w:val="superscript"/>
        </w:rPr>
        <w:t xml:space="preserve"> </w:t>
      </w:r>
      <w:r>
        <w:rPr>
          <w:rFonts w:hint="eastAsia"/>
        </w:rPr>
        <w:t>m。</w:t>
      </w:r>
    </w:p>
    <w:p>
      <w:pPr>
        <w:pStyle w:val="65"/>
        <w:spacing w:before="120" w:after="120"/>
      </w:pPr>
      <w:r>
        <w:rPr>
          <w:rFonts w:hint="eastAsia"/>
        </w:rPr>
        <w:t>水利设施</w:t>
      </w:r>
    </w:p>
    <w:p>
      <w:pPr>
        <w:pStyle w:val="56"/>
        <w:ind w:firstLine="420"/>
      </w:pPr>
      <w:r>
        <w:rPr>
          <w:rFonts w:hint="eastAsia"/>
        </w:rPr>
        <w:t>桑园配套修建蓄水池。</w:t>
      </w:r>
    </w:p>
    <w:p>
      <w:pPr>
        <w:pStyle w:val="56"/>
        <w:ind w:firstLine="420"/>
      </w:pPr>
    </w:p>
    <w:p>
      <w:pPr>
        <w:pStyle w:val="56"/>
        <w:ind w:firstLine="420"/>
      </w:pPr>
    </w:p>
    <w:p>
      <w:pPr>
        <w:pStyle w:val="104"/>
        <w:spacing w:before="240" w:after="240"/>
      </w:pPr>
      <w:r>
        <w:rPr>
          <w:rFonts w:hint="eastAsia"/>
        </w:rPr>
        <w:t>品种</w:t>
      </w:r>
      <w:r>
        <w:t>选择</w:t>
      </w:r>
    </w:p>
    <w:p>
      <w:pPr>
        <w:pStyle w:val="56"/>
        <w:ind w:firstLine="420"/>
      </w:pPr>
      <w:bookmarkStart w:id="43" w:name="OLE_LINK1"/>
      <w:r>
        <w:rPr>
          <w:rFonts w:hint="eastAsia"/>
        </w:rPr>
        <w:t>选择抗旱、耐贫瘠的嫁接桑品种，如农桑14、伦教40。</w:t>
      </w:r>
    </w:p>
    <w:bookmarkEnd w:id="43"/>
    <w:p>
      <w:pPr>
        <w:pStyle w:val="104"/>
        <w:spacing w:before="240" w:after="240"/>
      </w:pPr>
      <w:r>
        <w:rPr>
          <w:rFonts w:hint="eastAsia"/>
        </w:rPr>
        <w:t>栽植</w:t>
      </w:r>
    </w:p>
    <w:p>
      <w:pPr>
        <w:pStyle w:val="105"/>
        <w:spacing w:before="120" w:after="120"/>
      </w:pPr>
      <w:r>
        <w:rPr>
          <w:rFonts w:hint="eastAsia"/>
        </w:rPr>
        <w:t>栽植准备</w:t>
      </w:r>
    </w:p>
    <w:p>
      <w:pPr>
        <w:pStyle w:val="56"/>
        <w:ind w:firstLine="420"/>
      </w:pPr>
      <w:r>
        <w:rPr>
          <w:rFonts w:hint="eastAsia"/>
        </w:rPr>
        <w:t>翻耕土地，整碎整平，按桑行线开沟，沟深10</w:t>
      </w:r>
      <w:r>
        <w:rPr>
          <w:vertAlign w:val="superscript"/>
        </w:rPr>
        <w:t xml:space="preserve"> </w:t>
      </w:r>
      <w:r>
        <w:rPr>
          <w:rFonts w:hint="eastAsia"/>
        </w:rPr>
        <w:t>cm～40</w:t>
      </w:r>
      <w:r>
        <w:rPr>
          <w:vertAlign w:val="superscript"/>
        </w:rPr>
        <w:t xml:space="preserve"> </w:t>
      </w:r>
      <w:r>
        <w:rPr>
          <w:rFonts w:hint="eastAsia"/>
        </w:rPr>
        <w:t>cm，沟宽30</w:t>
      </w:r>
      <w:r>
        <w:rPr>
          <w:vertAlign w:val="superscript"/>
        </w:rPr>
        <w:t xml:space="preserve"> </w:t>
      </w:r>
      <w:r>
        <w:rPr>
          <w:rFonts w:hint="eastAsia"/>
        </w:rPr>
        <w:t>cm～40</w:t>
      </w:r>
      <w:r>
        <w:rPr>
          <w:vertAlign w:val="superscript"/>
        </w:rPr>
        <w:t xml:space="preserve"> </w:t>
      </w:r>
      <w:r>
        <w:rPr>
          <w:rFonts w:hint="eastAsia"/>
        </w:rPr>
        <w:t>cm；每667</w:t>
      </w:r>
      <w:r>
        <w:rPr>
          <w:rFonts w:hint="eastAsia"/>
          <w:vertAlign w:val="superscript"/>
        </w:rPr>
        <w:t xml:space="preserve"> </w:t>
      </w:r>
      <w:r>
        <w:rPr>
          <w:rFonts w:hint="eastAsia"/>
        </w:rPr>
        <w:t>m</w:t>
      </w:r>
      <w:r>
        <w:rPr>
          <w:rFonts w:hint="eastAsia"/>
          <w:vertAlign w:val="superscript"/>
        </w:rPr>
        <w:t>2</w:t>
      </w:r>
      <w:r>
        <w:rPr>
          <w:rFonts w:hint="eastAsia"/>
        </w:rPr>
        <w:t>施入有机肥1</w:t>
      </w:r>
      <w:r>
        <w:rPr>
          <w:vertAlign w:val="superscript"/>
        </w:rPr>
        <w:t xml:space="preserve"> </w:t>
      </w:r>
      <w:r>
        <w:rPr>
          <w:rFonts w:hint="eastAsia"/>
        </w:rPr>
        <w:t>500</w:t>
      </w:r>
      <w:r>
        <w:rPr>
          <w:vertAlign w:val="superscript"/>
        </w:rPr>
        <w:t xml:space="preserve"> </w:t>
      </w:r>
      <w:r>
        <w:rPr>
          <w:rFonts w:hint="eastAsia"/>
        </w:rPr>
        <w:t>kg～2</w:t>
      </w:r>
      <w:r>
        <w:rPr>
          <w:rFonts w:hint="eastAsia"/>
          <w:vertAlign w:val="superscript"/>
        </w:rPr>
        <w:t xml:space="preserve"> </w:t>
      </w:r>
      <w:r>
        <w:rPr>
          <w:rFonts w:hint="eastAsia"/>
        </w:rPr>
        <w:t>000</w:t>
      </w:r>
      <w:r>
        <w:rPr>
          <w:rFonts w:hint="eastAsia"/>
          <w:vertAlign w:val="superscript"/>
        </w:rPr>
        <w:t xml:space="preserve"> </w:t>
      </w:r>
      <w:r>
        <w:rPr>
          <w:rFonts w:hint="eastAsia"/>
        </w:rPr>
        <w:t>kg作为基肥，肥料使用应符合NY/T 496的要求。</w:t>
      </w:r>
    </w:p>
    <w:p>
      <w:pPr>
        <w:pStyle w:val="105"/>
        <w:spacing w:before="120" w:after="120"/>
      </w:pPr>
      <w:r>
        <w:rPr>
          <w:rFonts w:hint="eastAsia"/>
        </w:rPr>
        <w:t>苗木处理</w:t>
      </w:r>
    </w:p>
    <w:p>
      <w:pPr>
        <w:pStyle w:val="56"/>
        <w:ind w:firstLine="420"/>
        <w:rPr>
          <w:rFonts w:ascii="黑体" w:eastAsia="黑体"/>
        </w:rPr>
      </w:pPr>
      <w:r>
        <w:rPr>
          <w:rFonts w:hint="eastAsia"/>
        </w:rPr>
        <w:t>应选用质量合格的苗木，可适度修剪根系，苗木符合GB 19173的规定。种植前宜用混有3％～5％磷肥的泥浆蘸根。</w:t>
      </w:r>
    </w:p>
    <w:p>
      <w:pPr>
        <w:pStyle w:val="105"/>
        <w:spacing w:before="120" w:after="120"/>
      </w:pPr>
      <w:r>
        <w:rPr>
          <w:rFonts w:hint="eastAsia"/>
        </w:rPr>
        <w:t>栽植</w:t>
      </w:r>
      <w:r>
        <w:t>时</w:t>
      </w:r>
      <w:r>
        <w:rPr>
          <w:rFonts w:hint="eastAsia"/>
        </w:rPr>
        <w:t>期</w:t>
      </w:r>
    </w:p>
    <w:p>
      <w:pPr>
        <w:pStyle w:val="56"/>
        <w:ind w:firstLine="420"/>
        <w:rPr>
          <w:color w:val="FF0000"/>
        </w:rPr>
      </w:pPr>
      <w:r>
        <w:rPr>
          <w:rFonts w:hint="eastAsia"/>
        </w:rPr>
        <w:t>以冬季及早春栽植为宜，时间为11月至次年3月。其他季节如雨水充沛或有灌溉条件的也可栽植。</w:t>
      </w:r>
    </w:p>
    <w:p>
      <w:pPr>
        <w:pStyle w:val="105"/>
        <w:spacing w:before="120" w:after="120"/>
      </w:pPr>
      <w:r>
        <w:rPr>
          <w:rFonts w:hint="eastAsia"/>
        </w:rPr>
        <w:t>栽植密度</w:t>
      </w:r>
    </w:p>
    <w:p>
      <w:pPr>
        <w:pStyle w:val="56"/>
        <w:ind w:firstLine="420"/>
      </w:pPr>
      <w:r>
        <w:rPr>
          <w:rFonts w:hint="eastAsia"/>
        </w:rPr>
        <w:t>成片桑园等行种植，每667</w:t>
      </w:r>
      <w:r>
        <w:rPr>
          <w:vertAlign w:val="superscript"/>
        </w:rPr>
        <w:t xml:space="preserve"> </w:t>
      </w:r>
      <w:r>
        <w:rPr>
          <w:rFonts w:hint="eastAsia"/>
        </w:rPr>
        <w:t>m</w:t>
      </w:r>
      <w:r>
        <w:rPr>
          <w:vertAlign w:val="superscript"/>
        </w:rPr>
        <w:t>2</w:t>
      </w:r>
      <w:r>
        <w:rPr>
          <w:rFonts w:hint="eastAsia"/>
        </w:rPr>
        <w:t>种植1</w:t>
      </w:r>
      <w:r>
        <w:rPr>
          <w:rFonts w:hint="eastAsia"/>
          <w:vertAlign w:val="superscript"/>
          <w:lang w:val="en-US" w:eastAsia="zh-CN"/>
        </w:rPr>
        <w:t xml:space="preserve"> </w:t>
      </w:r>
      <w:r>
        <w:rPr>
          <w:rFonts w:hint="eastAsia"/>
        </w:rPr>
        <w:t>200～1</w:t>
      </w:r>
      <w:r>
        <w:rPr>
          <w:rFonts w:hint="eastAsia"/>
          <w:vertAlign w:val="superscript"/>
          <w:lang w:val="en-US" w:eastAsia="zh-CN"/>
        </w:rPr>
        <w:t xml:space="preserve"> </w:t>
      </w:r>
      <w:r>
        <w:rPr>
          <w:rFonts w:hint="eastAsia"/>
        </w:rPr>
        <w:t>500株，行距100</w:t>
      </w:r>
      <w:r>
        <w:rPr>
          <w:vertAlign w:val="superscript"/>
        </w:rPr>
        <w:t xml:space="preserve"> </w:t>
      </w:r>
      <w:r>
        <w:rPr>
          <w:rFonts w:hint="eastAsia"/>
        </w:rPr>
        <w:t>cm～110</w:t>
      </w:r>
      <w:r>
        <w:rPr>
          <w:vertAlign w:val="superscript"/>
        </w:rPr>
        <w:t xml:space="preserve"> </w:t>
      </w:r>
      <w:r>
        <w:rPr>
          <w:rFonts w:hint="eastAsia"/>
        </w:rPr>
        <w:t>cm，株距40</w:t>
      </w:r>
      <w:r>
        <w:rPr>
          <w:vertAlign w:val="superscript"/>
        </w:rPr>
        <w:t xml:space="preserve"> </w:t>
      </w:r>
      <w:r>
        <w:rPr>
          <w:rFonts w:hint="eastAsia"/>
        </w:rPr>
        <w:t>cm～50</w:t>
      </w:r>
      <w:r>
        <w:rPr>
          <w:vertAlign w:val="superscript"/>
        </w:rPr>
        <w:t xml:space="preserve"> </w:t>
      </w:r>
      <w:r>
        <w:rPr>
          <w:rFonts w:hint="eastAsia"/>
        </w:rPr>
        <w:t>cm；间种桑园宽窄行种植，每667</w:t>
      </w:r>
      <w:r>
        <w:rPr>
          <w:vertAlign w:val="superscript"/>
        </w:rPr>
        <w:t xml:space="preserve"> </w:t>
      </w:r>
      <w:r>
        <w:rPr>
          <w:rFonts w:hint="eastAsia"/>
        </w:rPr>
        <w:t>m</w:t>
      </w:r>
      <w:r>
        <w:rPr>
          <w:vertAlign w:val="superscript"/>
        </w:rPr>
        <w:t>2</w:t>
      </w:r>
      <w:r>
        <w:rPr>
          <w:rFonts w:hint="eastAsia"/>
        </w:rPr>
        <w:t>种植1</w:t>
      </w:r>
      <w:r>
        <w:rPr>
          <w:rFonts w:hint="eastAsia"/>
          <w:vertAlign w:val="superscript"/>
          <w:lang w:val="en-US" w:eastAsia="zh-CN"/>
        </w:rPr>
        <w:t xml:space="preserve"> </w:t>
      </w:r>
      <w:r>
        <w:rPr>
          <w:rFonts w:hint="eastAsia"/>
        </w:rPr>
        <w:t>200～1</w:t>
      </w:r>
      <w:r>
        <w:rPr>
          <w:rFonts w:hint="eastAsia"/>
          <w:vertAlign w:val="superscript"/>
          <w:lang w:val="en-US" w:eastAsia="zh-CN"/>
        </w:rPr>
        <w:t xml:space="preserve"> </w:t>
      </w:r>
      <w:r>
        <w:rPr>
          <w:rFonts w:hint="eastAsia"/>
        </w:rPr>
        <w:t>500株，宽行150</w:t>
      </w:r>
      <w:r>
        <w:rPr>
          <w:vertAlign w:val="superscript"/>
        </w:rPr>
        <w:t xml:space="preserve"> </w:t>
      </w:r>
      <w:r>
        <w:rPr>
          <w:rFonts w:hint="eastAsia"/>
        </w:rPr>
        <w:t>cm，窄行60</w:t>
      </w:r>
      <w:r>
        <w:rPr>
          <w:vertAlign w:val="superscript"/>
        </w:rPr>
        <w:t xml:space="preserve"> </w:t>
      </w:r>
      <w:r>
        <w:t>cm</w:t>
      </w:r>
      <w:r>
        <w:rPr>
          <w:rFonts w:hint="eastAsia"/>
        </w:rPr>
        <w:t>～70</w:t>
      </w:r>
      <w:r>
        <w:rPr>
          <w:vertAlign w:val="superscript"/>
        </w:rPr>
        <w:t xml:space="preserve"> </w:t>
      </w:r>
      <w:r>
        <w:rPr>
          <w:rFonts w:hint="eastAsia"/>
        </w:rPr>
        <w:t>cm，株距40</w:t>
      </w:r>
      <w:r>
        <w:rPr>
          <w:vertAlign w:val="superscript"/>
        </w:rPr>
        <w:t xml:space="preserve"> </w:t>
      </w:r>
      <w:r>
        <w:rPr>
          <w:rFonts w:hint="eastAsia"/>
        </w:rPr>
        <w:t>cm～50</w:t>
      </w:r>
      <w:r>
        <w:rPr>
          <w:vertAlign w:val="superscript"/>
        </w:rPr>
        <w:t xml:space="preserve"> </w:t>
      </w:r>
      <w:r>
        <w:rPr>
          <w:rFonts w:hint="eastAsia"/>
        </w:rPr>
        <w:t>cm。</w:t>
      </w:r>
    </w:p>
    <w:p>
      <w:pPr>
        <w:pStyle w:val="105"/>
        <w:spacing w:before="120" w:after="120"/>
      </w:pPr>
      <w:r>
        <w:rPr>
          <w:rFonts w:hint="eastAsia"/>
        </w:rPr>
        <w:t>栽植</w:t>
      </w:r>
      <w:r>
        <w:t>方法</w:t>
      </w:r>
    </w:p>
    <w:p>
      <w:pPr>
        <w:pStyle w:val="56"/>
        <w:ind w:firstLine="420"/>
      </w:pPr>
      <w:r>
        <w:rPr>
          <w:rFonts w:hint="eastAsia"/>
        </w:rPr>
        <w:t>将桑苗竖立于桑行线中，盖土轻提使根伸展，踏实再盖一层松土，覆土盖过桑苗根茎部2</w:t>
      </w:r>
      <w:r>
        <w:rPr>
          <w:rFonts w:hint="eastAsia"/>
          <w:vertAlign w:val="superscript"/>
        </w:rPr>
        <w:t xml:space="preserve"> </w:t>
      </w:r>
      <w:r>
        <w:rPr>
          <w:rFonts w:hint="eastAsia"/>
        </w:rPr>
        <w:t>cm～3</w:t>
      </w:r>
      <w:r>
        <w:rPr>
          <w:rFonts w:hint="eastAsia"/>
          <w:vertAlign w:val="superscript"/>
        </w:rPr>
        <w:t xml:space="preserve"> </w:t>
      </w:r>
      <w:r>
        <w:rPr>
          <w:rFonts w:hint="eastAsia"/>
        </w:rPr>
        <w:t>cm，浇足定根水。</w:t>
      </w:r>
    </w:p>
    <w:p>
      <w:pPr>
        <w:pStyle w:val="104"/>
        <w:spacing w:before="240" w:after="240"/>
      </w:pPr>
      <w:r>
        <w:rPr>
          <w:rFonts w:hint="eastAsia"/>
        </w:rPr>
        <w:t>桑园管理</w:t>
      </w:r>
    </w:p>
    <w:p>
      <w:pPr>
        <w:pStyle w:val="105"/>
        <w:spacing w:before="120" w:after="120"/>
      </w:pPr>
      <w:r>
        <w:rPr>
          <w:rFonts w:hint="eastAsia"/>
        </w:rPr>
        <w:t>树型养成</w:t>
      </w:r>
    </w:p>
    <w:p>
      <w:pPr>
        <w:pStyle w:val="65"/>
        <w:spacing w:before="120" w:after="120"/>
      </w:pPr>
      <w:r>
        <w:rPr>
          <w:rFonts w:hint="eastAsia"/>
        </w:rPr>
        <w:t>总体目标</w:t>
      </w:r>
    </w:p>
    <w:p>
      <w:pPr>
        <w:pStyle w:val="164"/>
      </w:pPr>
      <w:r>
        <w:rPr>
          <w:rFonts w:hint="eastAsia"/>
        </w:rPr>
        <w:t>树型养成后，主干高25</w:t>
      </w:r>
      <w:r>
        <w:rPr>
          <w:rFonts w:hint="eastAsia"/>
          <w:vertAlign w:val="superscript"/>
        </w:rPr>
        <w:t xml:space="preserve"> </w:t>
      </w:r>
      <w:r>
        <w:rPr>
          <w:rFonts w:hint="eastAsia"/>
        </w:rPr>
        <w:t>cm～30</w:t>
      </w:r>
      <w:r>
        <w:rPr>
          <w:rFonts w:hint="eastAsia"/>
          <w:vertAlign w:val="superscript"/>
        </w:rPr>
        <w:t xml:space="preserve"> </w:t>
      </w:r>
      <w:r>
        <w:rPr>
          <w:rFonts w:hint="eastAsia"/>
        </w:rPr>
        <w:t>cm、一级枝干12</w:t>
      </w:r>
      <w:r>
        <w:rPr>
          <w:rFonts w:hint="eastAsia"/>
          <w:vertAlign w:val="superscript"/>
        </w:rPr>
        <w:t xml:space="preserve"> </w:t>
      </w:r>
      <w:r>
        <w:rPr>
          <w:rFonts w:hint="eastAsia"/>
        </w:rPr>
        <w:t>cm～15</w:t>
      </w:r>
      <w:r>
        <w:rPr>
          <w:rFonts w:hint="eastAsia"/>
          <w:vertAlign w:val="superscript"/>
        </w:rPr>
        <w:t xml:space="preserve"> </w:t>
      </w:r>
      <w:r>
        <w:rPr>
          <w:rFonts w:hint="eastAsia"/>
        </w:rPr>
        <w:t>cm、二级支干8</w:t>
      </w:r>
      <w:r>
        <w:rPr>
          <w:rFonts w:hint="eastAsia"/>
          <w:vertAlign w:val="superscript"/>
        </w:rPr>
        <w:t xml:space="preserve"> </w:t>
      </w:r>
      <w:r>
        <w:rPr>
          <w:rFonts w:hint="eastAsia"/>
        </w:rPr>
        <w:t>cm～10</w:t>
      </w:r>
      <w:r>
        <w:rPr>
          <w:rFonts w:hint="eastAsia"/>
          <w:vertAlign w:val="superscript"/>
        </w:rPr>
        <w:t xml:space="preserve"> </w:t>
      </w:r>
      <w:r>
        <w:rPr>
          <w:rFonts w:hint="eastAsia"/>
        </w:rPr>
        <w:t>cm，树干总高40</w:t>
      </w:r>
      <w:r>
        <w:rPr>
          <w:rFonts w:hint="eastAsia"/>
          <w:vertAlign w:val="superscript"/>
        </w:rPr>
        <w:t xml:space="preserve"> </w:t>
      </w:r>
      <w:r>
        <w:rPr>
          <w:rFonts w:hint="eastAsia"/>
        </w:rPr>
        <w:t>cm～50</w:t>
      </w:r>
      <w:r>
        <w:rPr>
          <w:rFonts w:hint="eastAsia"/>
          <w:vertAlign w:val="superscript"/>
        </w:rPr>
        <w:t xml:space="preserve"> </w:t>
      </w:r>
      <w:r>
        <w:rPr>
          <w:rFonts w:hint="eastAsia"/>
        </w:rPr>
        <w:t>cm。</w:t>
      </w:r>
    </w:p>
    <w:p>
      <w:pPr>
        <w:pStyle w:val="164"/>
      </w:pPr>
      <w:r>
        <w:rPr>
          <w:rFonts w:hint="eastAsia"/>
        </w:rPr>
        <w:t>冬季栽植的，栽后第二年养成主干及一级支干，第三年养成二级支干；早春栽植的，当年养成主干及一级支干，第二年养成二级支干。</w:t>
      </w:r>
    </w:p>
    <w:p>
      <w:pPr>
        <w:pStyle w:val="65"/>
        <w:spacing w:before="120" w:after="120"/>
      </w:pPr>
      <w:r>
        <w:rPr>
          <w:rFonts w:hint="eastAsia"/>
        </w:rPr>
        <w:t>主干养成</w:t>
      </w:r>
    </w:p>
    <w:p>
      <w:pPr>
        <w:pStyle w:val="56"/>
        <w:ind w:firstLine="420"/>
      </w:pPr>
      <w:r>
        <w:rPr>
          <w:rFonts w:hint="eastAsia"/>
        </w:rPr>
        <w:t>栽植后2</w:t>
      </w:r>
      <w:r>
        <w:rPr>
          <w:rFonts w:hint="eastAsia"/>
          <w:vertAlign w:val="superscript"/>
        </w:rPr>
        <w:t xml:space="preserve"> </w:t>
      </w:r>
      <w:r>
        <w:t>d</w:t>
      </w:r>
      <w:r>
        <w:rPr>
          <w:rFonts w:hint="eastAsia"/>
        </w:rPr>
        <w:t>内，在距根茎部25</w:t>
      </w:r>
      <w:r>
        <w:rPr>
          <w:vertAlign w:val="superscript"/>
        </w:rPr>
        <w:t xml:space="preserve"> </w:t>
      </w:r>
      <w:r>
        <w:t>cm</w:t>
      </w:r>
      <w:r>
        <w:rPr>
          <w:rFonts w:hint="eastAsia"/>
        </w:rPr>
        <w:t>～30</w:t>
      </w:r>
      <w:r>
        <w:rPr>
          <w:vertAlign w:val="superscript"/>
        </w:rPr>
        <w:t xml:space="preserve"> </w:t>
      </w:r>
      <w:r>
        <w:rPr>
          <w:rFonts w:hint="eastAsia"/>
        </w:rPr>
        <w:t>cm处剪定主干。</w:t>
      </w:r>
    </w:p>
    <w:p>
      <w:pPr>
        <w:pStyle w:val="65"/>
        <w:spacing w:before="120" w:after="120"/>
      </w:pPr>
      <w:r>
        <w:rPr>
          <w:rFonts w:hint="eastAsia"/>
        </w:rPr>
        <w:t>第一支干养成</w:t>
      </w:r>
    </w:p>
    <w:p>
      <w:pPr>
        <w:pStyle w:val="56"/>
        <w:ind w:firstLine="420"/>
      </w:pPr>
      <w:r>
        <w:rPr>
          <w:rFonts w:hint="eastAsia"/>
        </w:rPr>
        <w:t>定干后的桑苗新芽长至10</w:t>
      </w:r>
      <w:r>
        <w:rPr>
          <w:vertAlign w:val="superscript"/>
        </w:rPr>
        <w:t xml:space="preserve"> </w:t>
      </w:r>
      <w:r>
        <w:t>cm</w:t>
      </w:r>
      <w:r>
        <w:rPr>
          <w:rFonts w:hint="eastAsia"/>
        </w:rPr>
        <w:t>～15</w:t>
      </w:r>
      <w:r>
        <w:rPr>
          <w:vertAlign w:val="superscript"/>
        </w:rPr>
        <w:t xml:space="preserve"> </w:t>
      </w:r>
      <w:r>
        <w:rPr>
          <w:rFonts w:hint="eastAsia"/>
        </w:rPr>
        <w:t>cm，选择上部2～3根粗壮，方向与桑行垂直的新稍芽作为第一支干，其余剪掉。当年冬至前后5</w:t>
      </w:r>
      <w:r>
        <w:rPr>
          <w:vertAlign w:val="superscript"/>
        </w:rPr>
        <w:t xml:space="preserve"> </w:t>
      </w:r>
      <w:r>
        <w:t>d</w:t>
      </w:r>
      <w:r>
        <w:rPr>
          <w:rFonts w:hint="eastAsia"/>
        </w:rPr>
        <w:t>～7</w:t>
      </w:r>
      <w:r>
        <w:rPr>
          <w:rFonts w:hint="eastAsia"/>
          <w:vertAlign w:val="superscript"/>
        </w:rPr>
        <w:t xml:space="preserve"> </w:t>
      </w:r>
      <w:r>
        <w:t>d</w:t>
      </w:r>
      <w:r>
        <w:rPr>
          <w:rFonts w:hint="eastAsia"/>
        </w:rPr>
        <w:t>内，剪留枝条基部10</w:t>
      </w:r>
      <w:r>
        <w:rPr>
          <w:vertAlign w:val="superscript"/>
        </w:rPr>
        <w:t xml:space="preserve"> </w:t>
      </w:r>
      <w:r>
        <w:rPr>
          <w:rFonts w:hint="eastAsia"/>
        </w:rPr>
        <w:t>cm～15</w:t>
      </w:r>
      <w:r>
        <w:rPr>
          <w:vertAlign w:val="superscript"/>
        </w:rPr>
        <w:t xml:space="preserve"> </w:t>
      </w:r>
      <w:r>
        <w:rPr>
          <w:rFonts w:hint="eastAsia"/>
        </w:rPr>
        <w:t>cm，确定一级支干。</w:t>
      </w:r>
    </w:p>
    <w:p>
      <w:pPr>
        <w:pStyle w:val="65"/>
        <w:spacing w:before="120" w:after="120"/>
      </w:pPr>
      <w:r>
        <w:rPr>
          <w:rFonts w:hint="eastAsia"/>
        </w:rPr>
        <w:t>第二支干养成</w:t>
      </w:r>
    </w:p>
    <w:p>
      <w:pPr>
        <w:pStyle w:val="56"/>
        <w:ind w:firstLine="420"/>
      </w:pPr>
      <w:r>
        <w:rPr>
          <w:rFonts w:hint="eastAsia"/>
        </w:rPr>
        <w:t>在第一支干新梢长至10</w:t>
      </w:r>
      <w:r>
        <w:rPr>
          <w:vertAlign w:val="superscript"/>
        </w:rPr>
        <w:t xml:space="preserve"> </w:t>
      </w:r>
      <w:r>
        <w:rPr>
          <w:rFonts w:hint="eastAsia"/>
        </w:rPr>
        <w:t>cm～15</w:t>
      </w:r>
      <w:r>
        <w:rPr>
          <w:vertAlign w:val="superscript"/>
        </w:rPr>
        <w:t xml:space="preserve"> </w:t>
      </w:r>
      <w:r>
        <w:rPr>
          <w:rFonts w:hint="eastAsia"/>
        </w:rPr>
        <w:t>c</w:t>
      </w:r>
      <w:r>
        <w:t>m</w:t>
      </w:r>
      <w:r>
        <w:rPr>
          <w:rFonts w:hint="eastAsia"/>
        </w:rPr>
        <w:t>，每根支干上选留上部2～3根粗壮新梢条，其余芽疏去，上半年养蚕结束后，于6下旬至7月上旬夏伐，留枝条基部10</w:t>
      </w:r>
      <w:r>
        <w:rPr>
          <w:vertAlign w:val="superscript"/>
        </w:rPr>
        <w:t xml:space="preserve"> </w:t>
      </w:r>
      <w:r>
        <w:rPr>
          <w:rFonts w:hint="eastAsia"/>
        </w:rPr>
        <w:t>cm～15</w:t>
      </w:r>
      <w:r>
        <w:rPr>
          <w:vertAlign w:val="superscript"/>
        </w:rPr>
        <w:t xml:space="preserve"> </w:t>
      </w:r>
      <w:r>
        <w:rPr>
          <w:rFonts w:hint="eastAsia"/>
        </w:rPr>
        <w:t>cm养成第二支干。树型养成当年，适当采收枝条下部成熟叶喂蚕，留枝条1/2以上叶片。</w:t>
      </w:r>
    </w:p>
    <w:p>
      <w:pPr>
        <w:pStyle w:val="105"/>
        <w:spacing w:before="120" w:after="120"/>
      </w:pPr>
      <w:r>
        <w:rPr>
          <w:rFonts w:hint="eastAsia"/>
        </w:rPr>
        <w:t>施肥管理</w:t>
      </w:r>
    </w:p>
    <w:p>
      <w:pPr>
        <w:pStyle w:val="65"/>
        <w:spacing w:before="120" w:after="120"/>
      </w:pPr>
      <w:r>
        <w:rPr>
          <w:rFonts w:hint="eastAsia"/>
        </w:rPr>
        <w:t>全年两次施肥</w:t>
      </w:r>
    </w:p>
    <w:p>
      <w:pPr>
        <w:pStyle w:val="164"/>
      </w:pPr>
      <w:r>
        <w:rPr>
          <w:rFonts w:hint="eastAsia"/>
        </w:rPr>
        <w:t>冬伐后至发芽期，在桑行中间开沟或坑、穴，每667</w:t>
      </w:r>
      <w:r>
        <w:rPr>
          <w:rFonts w:hint="eastAsia"/>
          <w:vertAlign w:val="superscript"/>
        </w:rPr>
        <w:t xml:space="preserve"> </w:t>
      </w:r>
      <w:r>
        <w:rPr>
          <w:rFonts w:hint="eastAsia"/>
        </w:rPr>
        <w:t>m</w:t>
      </w:r>
      <w:r>
        <w:rPr>
          <w:rFonts w:hint="eastAsia"/>
          <w:vertAlign w:val="superscript"/>
        </w:rPr>
        <w:t>2</w:t>
      </w:r>
      <w:r>
        <w:rPr>
          <w:rFonts w:hint="eastAsia"/>
        </w:rPr>
        <w:t>施入有机肥2</w:t>
      </w:r>
      <w:r>
        <w:rPr>
          <w:vertAlign w:val="superscript"/>
        </w:rPr>
        <w:t xml:space="preserve"> </w:t>
      </w:r>
      <w:r>
        <w:rPr>
          <w:rFonts w:hint="eastAsia"/>
        </w:rPr>
        <w:t>000</w:t>
      </w:r>
      <w:r>
        <w:rPr>
          <w:rFonts w:hint="eastAsia"/>
          <w:vertAlign w:val="superscript"/>
        </w:rPr>
        <w:t xml:space="preserve"> </w:t>
      </w:r>
      <w:r>
        <w:rPr>
          <w:rFonts w:hint="eastAsia"/>
        </w:rPr>
        <w:t>kg～3</w:t>
      </w:r>
      <w:r>
        <w:rPr>
          <w:rFonts w:hint="eastAsia"/>
          <w:vertAlign w:val="superscript"/>
        </w:rPr>
        <w:t xml:space="preserve"> </w:t>
      </w:r>
      <w:r>
        <w:rPr>
          <w:rFonts w:hint="eastAsia"/>
        </w:rPr>
        <w:t>000</w:t>
      </w:r>
      <w:r>
        <w:rPr>
          <w:rFonts w:hint="eastAsia"/>
          <w:vertAlign w:val="superscript"/>
        </w:rPr>
        <w:t xml:space="preserve"> </w:t>
      </w:r>
      <w:r>
        <w:rPr>
          <w:rFonts w:hint="eastAsia"/>
        </w:rPr>
        <w:t>kg、复合肥（15-15-15）80</w:t>
      </w:r>
      <w:r>
        <w:rPr>
          <w:rFonts w:hint="eastAsia"/>
          <w:vertAlign w:val="superscript"/>
        </w:rPr>
        <w:t xml:space="preserve"> </w:t>
      </w:r>
      <w:r>
        <w:rPr>
          <w:rFonts w:hint="eastAsia"/>
        </w:rPr>
        <w:t>kg～100</w:t>
      </w:r>
      <w:r>
        <w:rPr>
          <w:rFonts w:hint="eastAsia"/>
          <w:vertAlign w:val="superscript"/>
        </w:rPr>
        <w:t xml:space="preserve"> </w:t>
      </w:r>
      <w:r>
        <w:rPr>
          <w:rFonts w:hint="eastAsia"/>
        </w:rPr>
        <w:t>kg、尿素30</w:t>
      </w:r>
      <w:r>
        <w:rPr>
          <w:rFonts w:hint="eastAsia"/>
          <w:vertAlign w:val="superscript"/>
        </w:rPr>
        <w:t xml:space="preserve"> </w:t>
      </w:r>
      <w:r>
        <w:rPr>
          <w:rFonts w:hint="eastAsia"/>
        </w:rPr>
        <w:t>kg～35</w:t>
      </w:r>
      <w:r>
        <w:rPr>
          <w:rFonts w:hint="eastAsia"/>
          <w:vertAlign w:val="superscript"/>
        </w:rPr>
        <w:t xml:space="preserve"> </w:t>
      </w:r>
      <w:r>
        <w:rPr>
          <w:rFonts w:hint="eastAsia"/>
        </w:rPr>
        <w:t>kg或尿素60</w:t>
      </w:r>
      <w:r>
        <w:rPr>
          <w:vertAlign w:val="superscript"/>
        </w:rPr>
        <w:t xml:space="preserve"> </w:t>
      </w:r>
      <w:r>
        <w:rPr>
          <w:rFonts w:hint="eastAsia"/>
        </w:rPr>
        <w:t>kg、过磷酸钙80</w:t>
      </w:r>
      <w:r>
        <w:rPr>
          <w:rFonts w:hint="eastAsia"/>
          <w:vertAlign w:val="superscript"/>
        </w:rPr>
        <w:t xml:space="preserve"> </w:t>
      </w:r>
      <w:r>
        <w:rPr>
          <w:rFonts w:hint="eastAsia"/>
        </w:rPr>
        <w:t>kg、氯化钾24</w:t>
      </w:r>
      <w:r>
        <w:rPr>
          <w:rFonts w:hint="eastAsia"/>
          <w:vertAlign w:val="superscript"/>
        </w:rPr>
        <w:t xml:space="preserve"> </w:t>
      </w:r>
      <w:r>
        <w:rPr>
          <w:rFonts w:hint="eastAsia"/>
        </w:rPr>
        <w:t>kg，覆土压实。</w:t>
      </w:r>
    </w:p>
    <w:p>
      <w:pPr>
        <w:pStyle w:val="164"/>
      </w:pPr>
      <w:r>
        <w:rPr>
          <w:rFonts w:hint="eastAsia"/>
        </w:rPr>
        <w:t>夏伐后，在桑行中间开沟或坑、穴，每667</w:t>
      </w:r>
      <w:r>
        <w:rPr>
          <w:rFonts w:hint="eastAsia"/>
          <w:vertAlign w:val="superscript"/>
        </w:rPr>
        <w:t xml:space="preserve"> </w:t>
      </w:r>
      <w:r>
        <w:rPr>
          <w:rFonts w:hint="eastAsia"/>
        </w:rPr>
        <w:t>m</w:t>
      </w:r>
      <w:r>
        <w:rPr>
          <w:rFonts w:hint="eastAsia"/>
          <w:vertAlign w:val="superscript"/>
        </w:rPr>
        <w:t>2</w:t>
      </w:r>
      <w:r>
        <w:rPr>
          <w:rFonts w:hint="eastAsia"/>
        </w:rPr>
        <w:t>施入复合肥（15-15-15）60</w:t>
      </w:r>
      <w:r>
        <w:rPr>
          <w:rFonts w:hint="eastAsia"/>
          <w:vertAlign w:val="superscript"/>
        </w:rPr>
        <w:t xml:space="preserve"> </w:t>
      </w:r>
      <w:r>
        <w:rPr>
          <w:rFonts w:hint="eastAsia"/>
        </w:rPr>
        <w:t>kg～80</w:t>
      </w:r>
      <w:r>
        <w:rPr>
          <w:vertAlign w:val="superscript"/>
        </w:rPr>
        <w:t xml:space="preserve"> </w:t>
      </w:r>
      <w:r>
        <w:rPr>
          <w:rFonts w:hint="eastAsia"/>
        </w:rPr>
        <w:t>kg、尿素25</w:t>
      </w:r>
      <w:r>
        <w:rPr>
          <w:vertAlign w:val="superscript"/>
        </w:rPr>
        <w:t xml:space="preserve"> </w:t>
      </w:r>
      <w:r>
        <w:rPr>
          <w:rFonts w:hint="eastAsia"/>
        </w:rPr>
        <w:t>kg～30</w:t>
      </w:r>
      <w:r>
        <w:rPr>
          <w:rFonts w:hint="eastAsia"/>
          <w:vertAlign w:val="superscript"/>
        </w:rPr>
        <w:t xml:space="preserve"> </w:t>
      </w:r>
      <w:r>
        <w:rPr>
          <w:rFonts w:hint="eastAsia"/>
        </w:rPr>
        <w:t>kg或尿素45</w:t>
      </w:r>
      <w:r>
        <w:rPr>
          <w:rFonts w:hint="eastAsia"/>
          <w:vertAlign w:val="superscript"/>
        </w:rPr>
        <w:t xml:space="preserve"> </w:t>
      </w:r>
      <w:r>
        <w:rPr>
          <w:rFonts w:hint="eastAsia"/>
        </w:rPr>
        <w:t>kg、过磷酸钙60</w:t>
      </w:r>
      <w:r>
        <w:rPr>
          <w:rFonts w:hint="eastAsia"/>
          <w:vertAlign w:val="superscript"/>
        </w:rPr>
        <w:t xml:space="preserve"> </w:t>
      </w:r>
      <w:r>
        <w:rPr>
          <w:rFonts w:hint="eastAsia"/>
        </w:rPr>
        <w:t>kg、氯化钾18</w:t>
      </w:r>
      <w:r>
        <w:rPr>
          <w:rFonts w:hint="eastAsia"/>
          <w:vertAlign w:val="superscript"/>
        </w:rPr>
        <w:t xml:space="preserve"> </w:t>
      </w:r>
      <w:r>
        <w:rPr>
          <w:rFonts w:hint="eastAsia"/>
        </w:rPr>
        <w:t>kg，覆土压实。</w:t>
      </w:r>
    </w:p>
    <w:p>
      <w:pPr>
        <w:pStyle w:val="65"/>
        <w:spacing w:before="120" w:after="120"/>
      </w:pPr>
      <w:r>
        <w:rPr>
          <w:rFonts w:hint="eastAsia"/>
        </w:rPr>
        <w:t>叶面施肥</w:t>
      </w:r>
    </w:p>
    <w:p>
      <w:pPr>
        <w:pStyle w:val="164"/>
        <w:numPr>
          <w:ilvl w:val="4"/>
          <w:numId w:val="0"/>
        </w:numPr>
        <w:ind w:firstLine="420" w:firstLineChars="200"/>
      </w:pPr>
      <w:r>
        <w:rPr>
          <w:rFonts w:hint="eastAsia"/>
        </w:rPr>
        <w:t>养蚕用叶前15</w:t>
      </w:r>
      <w:r>
        <w:rPr>
          <w:vertAlign w:val="superscript"/>
        </w:rPr>
        <w:t xml:space="preserve"> </w:t>
      </w:r>
      <w:r>
        <w:t>d</w:t>
      </w:r>
      <w:r>
        <w:rPr>
          <w:rFonts w:hint="eastAsia"/>
        </w:rPr>
        <w:t>～20</w:t>
      </w:r>
      <w:r>
        <w:rPr>
          <w:vertAlign w:val="superscript"/>
        </w:rPr>
        <w:t xml:space="preserve"> </w:t>
      </w:r>
      <w:r>
        <w:rPr>
          <w:rFonts w:hint="eastAsia"/>
        </w:rPr>
        <w:t>d，宜使用0.2％～0.3％磷酸二氢钾喷施桑叶1次。</w:t>
      </w:r>
    </w:p>
    <w:p>
      <w:pPr>
        <w:pStyle w:val="105"/>
        <w:spacing w:before="120" w:after="120"/>
      </w:pPr>
      <w:r>
        <w:rPr>
          <w:rFonts w:hint="eastAsia"/>
        </w:rPr>
        <w:t>水份管理</w:t>
      </w:r>
    </w:p>
    <w:p>
      <w:pPr>
        <w:pStyle w:val="56"/>
        <w:ind w:firstLine="420"/>
      </w:pPr>
      <w:r>
        <w:rPr>
          <w:rFonts w:hint="eastAsia"/>
        </w:rPr>
        <w:t>桑苗定植后，应视天气情况浇水。若连续干旱15</w:t>
      </w:r>
      <w:r>
        <w:rPr>
          <w:vertAlign w:val="superscript"/>
        </w:rPr>
        <w:t xml:space="preserve"> </w:t>
      </w:r>
      <w:r>
        <w:rPr>
          <w:rFonts w:hint="eastAsia"/>
        </w:rPr>
        <w:t>d～20</w:t>
      </w:r>
      <w:r>
        <w:rPr>
          <w:vertAlign w:val="superscript"/>
        </w:rPr>
        <w:t xml:space="preserve"> </w:t>
      </w:r>
      <w:r>
        <w:rPr>
          <w:rFonts w:hint="eastAsia"/>
        </w:rPr>
        <w:t>d，应立即灌水；梅雨季节，要注意排水。</w:t>
      </w:r>
    </w:p>
    <w:p>
      <w:pPr>
        <w:pStyle w:val="105"/>
        <w:spacing w:before="120" w:after="120"/>
      </w:pPr>
      <w:r>
        <w:rPr>
          <w:rFonts w:hint="eastAsia"/>
        </w:rPr>
        <w:t>土壤管理</w:t>
      </w:r>
    </w:p>
    <w:p>
      <w:pPr>
        <w:pStyle w:val="56"/>
        <w:ind w:firstLine="420"/>
      </w:pPr>
      <w:r>
        <w:rPr>
          <w:rFonts w:hint="eastAsia"/>
        </w:rPr>
        <w:t>每年桑园耕翻土地2～3次，分别在冬伐、夏伐后，结合中耕、清园、封园。</w:t>
      </w:r>
    </w:p>
    <w:p>
      <w:pPr>
        <w:pStyle w:val="105"/>
        <w:spacing w:before="120" w:after="120"/>
      </w:pPr>
      <w:r>
        <w:rPr>
          <w:rFonts w:hint="eastAsia"/>
        </w:rPr>
        <w:t>剪</w:t>
      </w:r>
      <w:r>
        <w:t>伐</w:t>
      </w:r>
    </w:p>
    <w:p>
      <w:pPr>
        <w:pStyle w:val="56"/>
        <w:ind w:firstLine="420"/>
      </w:pPr>
      <w:r>
        <w:rPr>
          <w:rFonts w:hint="eastAsia"/>
        </w:rPr>
        <w:t>全年剪</w:t>
      </w:r>
      <w:r>
        <w:t>伐</w:t>
      </w:r>
      <w:r>
        <w:rPr>
          <w:rFonts w:hint="eastAsia"/>
        </w:rPr>
        <w:t>两次，冬伐和夏伐。冬伐在冬至前后7</w:t>
      </w:r>
      <w:r>
        <w:rPr>
          <w:rFonts w:hint="eastAsia"/>
          <w:vertAlign w:val="superscript"/>
        </w:rPr>
        <w:t xml:space="preserve"> </w:t>
      </w:r>
      <w:r>
        <w:rPr>
          <w:rFonts w:hint="eastAsia"/>
        </w:rPr>
        <w:t>d进行，在树叉拳部剪伐；夏伐在夏至至7月上旬，剪留上半年长出的新枝15</w:t>
      </w:r>
      <w:r>
        <w:rPr>
          <w:vertAlign w:val="superscript"/>
        </w:rPr>
        <w:t xml:space="preserve"> </w:t>
      </w:r>
      <w:r>
        <w:rPr>
          <w:rFonts w:hint="eastAsia"/>
        </w:rPr>
        <w:t>cm～20</w:t>
      </w:r>
      <w:r>
        <w:rPr>
          <w:vertAlign w:val="superscript"/>
        </w:rPr>
        <w:t xml:space="preserve"> </w:t>
      </w:r>
      <w:r>
        <w:rPr>
          <w:rFonts w:hint="eastAsia"/>
        </w:rPr>
        <w:t>cm；同时修剪病枝、枯枝、弱枝、清扫落叶，集中处理。</w:t>
      </w:r>
    </w:p>
    <w:p>
      <w:pPr>
        <w:pStyle w:val="104"/>
        <w:spacing w:before="240" w:after="240"/>
      </w:pPr>
      <w:r>
        <w:rPr>
          <w:rFonts w:hint="eastAsia"/>
        </w:rPr>
        <w:t>病虫害防治</w:t>
      </w:r>
    </w:p>
    <w:p>
      <w:pPr>
        <w:pStyle w:val="105"/>
        <w:spacing w:before="120" w:after="120"/>
        <w:rPr>
          <w:color w:val="FF0000"/>
        </w:rPr>
      </w:pPr>
      <w:r>
        <w:rPr>
          <w:rFonts w:hint="eastAsia"/>
        </w:rPr>
        <w:t>主要病虫害</w:t>
      </w:r>
    </w:p>
    <w:p>
      <w:pPr>
        <w:pStyle w:val="56"/>
        <w:ind w:firstLine="420"/>
      </w:pPr>
      <w:r>
        <w:rPr>
          <w:rFonts w:hint="eastAsia"/>
        </w:rPr>
        <w:t>主要虫害为桑尺蠖、</w:t>
      </w:r>
      <w:r>
        <w:rPr>
          <w:spacing w:val="-3"/>
        </w:rPr>
        <w:t>桑象虫</w:t>
      </w:r>
      <w:r>
        <w:rPr>
          <w:rFonts w:hint="eastAsia"/>
        </w:rPr>
        <w:t>、桑瘿蚊、桑蓟马、桑叶螨（红蜘蛛）、桑螟等；主要病害为桑赤锈病、桑里白粉病、桑褐斑病、桑疫病等。</w:t>
      </w:r>
    </w:p>
    <w:p>
      <w:pPr>
        <w:pStyle w:val="105"/>
        <w:spacing w:before="120" w:after="120"/>
      </w:pPr>
      <w:r>
        <w:rPr>
          <w:rFonts w:hint="eastAsia"/>
        </w:rPr>
        <w:t>防治原则</w:t>
      </w:r>
    </w:p>
    <w:p>
      <w:pPr>
        <w:pStyle w:val="56"/>
        <w:ind w:firstLine="420"/>
      </w:pPr>
      <w:r>
        <w:rPr>
          <w:rFonts w:hint="eastAsia"/>
        </w:rPr>
        <w:t>贯彻执行“预防为主，综合防治”植物保护工作方针，以农业防治、物理防治、生物防治为主，化学防治为辅。</w:t>
      </w:r>
    </w:p>
    <w:p>
      <w:pPr>
        <w:pStyle w:val="105"/>
        <w:spacing w:before="120" w:after="120"/>
      </w:pPr>
      <w:r>
        <w:rPr>
          <w:rFonts w:hint="eastAsia"/>
        </w:rPr>
        <w:t>防治方法</w:t>
      </w:r>
    </w:p>
    <w:p>
      <w:pPr>
        <w:pStyle w:val="65"/>
        <w:spacing w:before="120" w:after="120"/>
      </w:pPr>
      <w:r>
        <w:rPr>
          <w:rFonts w:hint="eastAsia"/>
        </w:rPr>
        <w:t>农业防治</w:t>
      </w:r>
    </w:p>
    <w:p>
      <w:pPr>
        <w:pStyle w:val="56"/>
        <w:ind w:firstLine="420"/>
      </w:pPr>
      <w:r>
        <w:rPr>
          <w:rFonts w:hint="eastAsia"/>
        </w:rPr>
        <w:t>做好肥水管理，及时清除杂草，挖除病树，剪除病虫枝，清除枯枝落叶，人工捕杀害虫，清除卵块。</w:t>
      </w:r>
    </w:p>
    <w:p>
      <w:pPr>
        <w:pStyle w:val="65"/>
        <w:spacing w:before="120" w:after="120"/>
      </w:pPr>
      <w:r>
        <w:rPr>
          <w:rFonts w:hint="eastAsia"/>
        </w:rPr>
        <w:t>物理防治</w:t>
      </w:r>
    </w:p>
    <w:p>
      <w:pPr>
        <w:pStyle w:val="94"/>
        <w:spacing w:before="120" w:after="120"/>
      </w:pPr>
      <w:r>
        <w:rPr>
          <w:rFonts w:hint="eastAsia"/>
        </w:rPr>
        <w:t>诱虫灯</w:t>
      </w:r>
    </w:p>
    <w:p>
      <w:pPr>
        <w:pStyle w:val="56"/>
        <w:ind w:firstLine="420"/>
      </w:pPr>
      <w:r>
        <w:rPr>
          <w:rFonts w:hint="eastAsia"/>
        </w:rPr>
        <w:t>可在田间每10</w:t>
      </w:r>
      <w:r>
        <w:rPr>
          <w:rFonts w:hint="eastAsia"/>
          <w:vertAlign w:val="superscript"/>
        </w:rPr>
        <w:t xml:space="preserve"> </w:t>
      </w:r>
      <w:r>
        <w:rPr>
          <w:rFonts w:hint="eastAsia"/>
        </w:rPr>
        <w:t>000</w:t>
      </w:r>
      <w:r>
        <w:rPr>
          <w:vertAlign w:val="superscript"/>
        </w:rPr>
        <w:t xml:space="preserve"> </w:t>
      </w:r>
      <w:r>
        <w:rPr>
          <w:rFonts w:hint="eastAsia"/>
        </w:rPr>
        <w:t>m</w:t>
      </w:r>
      <w:r>
        <w:rPr>
          <w:vertAlign w:val="superscript"/>
        </w:rPr>
        <w:t>2</w:t>
      </w:r>
      <w:r>
        <w:rPr>
          <w:rFonts w:hint="eastAsia"/>
        </w:rPr>
        <w:t>～150</w:t>
      </w:r>
      <w:r>
        <w:rPr>
          <w:rFonts w:hint="eastAsia"/>
          <w:vertAlign w:val="superscript"/>
        </w:rPr>
        <w:t xml:space="preserve"> </w:t>
      </w:r>
      <w:r>
        <w:rPr>
          <w:rFonts w:hint="eastAsia"/>
        </w:rPr>
        <w:t>000</w:t>
      </w:r>
      <w:r>
        <w:rPr>
          <w:vertAlign w:val="superscript"/>
        </w:rPr>
        <w:t xml:space="preserve"> </w:t>
      </w:r>
      <w:r>
        <w:rPr>
          <w:rFonts w:hint="eastAsia"/>
        </w:rPr>
        <w:t>m</w:t>
      </w:r>
      <w:r>
        <w:rPr>
          <w:vertAlign w:val="superscript"/>
        </w:rPr>
        <w:t>2</w:t>
      </w:r>
      <w:r>
        <w:rPr>
          <w:rFonts w:hint="eastAsia"/>
        </w:rPr>
        <w:t>放置1台频振式诱虫灯，防治斜纹夜蛾等鳞翅目害虫。</w:t>
      </w:r>
    </w:p>
    <w:p>
      <w:pPr>
        <w:pStyle w:val="94"/>
        <w:spacing w:before="120" w:after="120"/>
      </w:pPr>
      <w:r>
        <w:rPr>
          <w:rFonts w:hint="eastAsia"/>
        </w:rPr>
        <w:t>粘虫板</w:t>
      </w:r>
    </w:p>
    <w:p>
      <w:pPr>
        <w:pStyle w:val="56"/>
        <w:ind w:firstLine="420"/>
      </w:pPr>
      <w:r>
        <w:rPr>
          <w:rFonts w:hint="eastAsia"/>
        </w:rPr>
        <w:t>可在田间每667</w:t>
      </w:r>
      <w:r>
        <w:rPr>
          <w:vertAlign w:val="superscript"/>
        </w:rPr>
        <w:t xml:space="preserve"> </w:t>
      </w:r>
      <w:r>
        <w:rPr>
          <w:rFonts w:hint="eastAsia"/>
        </w:rPr>
        <w:t>m</w:t>
      </w:r>
      <w:r>
        <w:rPr>
          <w:vertAlign w:val="superscript"/>
        </w:rPr>
        <w:t>2</w:t>
      </w:r>
      <w:r>
        <w:rPr>
          <w:rFonts w:hint="eastAsia"/>
        </w:rPr>
        <w:t>悬挂30～40块黄色粘虫板，防治桑瘿蚊、桑叶蝉等害虫。</w:t>
      </w:r>
    </w:p>
    <w:p>
      <w:pPr>
        <w:pStyle w:val="94"/>
        <w:spacing w:before="120" w:after="120"/>
      </w:pPr>
      <w:r>
        <w:rPr>
          <w:rFonts w:hint="eastAsia"/>
        </w:rPr>
        <w:t>性外激素</w:t>
      </w:r>
    </w:p>
    <w:p>
      <w:pPr>
        <w:pStyle w:val="56"/>
        <w:ind w:firstLine="420"/>
      </w:pPr>
      <w:r>
        <w:rPr>
          <w:rFonts w:hint="eastAsia"/>
        </w:rPr>
        <w:t>可在田间每667</w:t>
      </w:r>
      <w:r>
        <w:rPr>
          <w:vertAlign w:val="superscript"/>
        </w:rPr>
        <w:t xml:space="preserve"> </w:t>
      </w:r>
      <w:r>
        <w:rPr>
          <w:rFonts w:hint="eastAsia"/>
        </w:rPr>
        <w:t>m</w:t>
      </w:r>
      <w:r>
        <w:rPr>
          <w:vertAlign w:val="superscript"/>
        </w:rPr>
        <w:t>2</w:t>
      </w:r>
      <w:r>
        <w:rPr>
          <w:rFonts w:hint="eastAsia"/>
        </w:rPr>
        <w:t>放置2～3个性外激素诱捕装置，防治桑螟。</w:t>
      </w:r>
    </w:p>
    <w:p>
      <w:pPr>
        <w:pStyle w:val="65"/>
        <w:spacing w:before="120" w:after="120"/>
      </w:pPr>
      <w:r>
        <w:rPr>
          <w:rFonts w:hint="eastAsia"/>
        </w:rPr>
        <w:t>生物防治</w:t>
      </w:r>
    </w:p>
    <w:p>
      <w:pPr>
        <w:pStyle w:val="56"/>
        <w:ind w:firstLine="420"/>
      </w:pPr>
      <w:r>
        <w:rPr>
          <w:rFonts w:hint="eastAsia"/>
        </w:rPr>
        <w:t>保护和利用天敌，如人工释放桑尺蠖脊腹茧峰防控桑尺蠖，桑天牛啮小蜂防控桑天牛，螟黄赤眼蜂防控桑螟等。</w:t>
      </w:r>
    </w:p>
    <w:p>
      <w:pPr>
        <w:pStyle w:val="65"/>
        <w:spacing w:before="120" w:after="120"/>
      </w:pPr>
      <w:r>
        <w:rPr>
          <w:rFonts w:hint="eastAsia"/>
        </w:rPr>
        <w:t>化学防治</w:t>
      </w:r>
    </w:p>
    <w:p>
      <w:pPr>
        <w:pStyle w:val="56"/>
        <w:ind w:firstLine="416"/>
      </w:pPr>
      <w:r>
        <w:rPr>
          <w:spacing w:val="-1"/>
          <w:szCs w:val="21"/>
        </w:rPr>
        <w:t>桑园病虫害防控及农药使用方法</w:t>
      </w:r>
      <w:r>
        <w:rPr>
          <w:rFonts w:hint="eastAsia"/>
          <w:spacing w:val="-1"/>
          <w:szCs w:val="21"/>
        </w:rPr>
        <w:t>详细见附录</w:t>
      </w:r>
      <w:r>
        <w:rPr>
          <w:spacing w:val="-1"/>
          <w:szCs w:val="21"/>
        </w:rPr>
        <w:t>A</w:t>
      </w:r>
      <w:r>
        <w:rPr>
          <w:rFonts w:hint="eastAsia"/>
          <w:spacing w:val="-1"/>
          <w:szCs w:val="21"/>
        </w:rPr>
        <w:t>，桑园用药</w:t>
      </w:r>
      <w:r>
        <w:rPr>
          <w:rFonts w:hint="eastAsia"/>
        </w:rPr>
        <w:t>应符合NY/T 1027的规定执行。</w:t>
      </w:r>
    </w:p>
    <w:p>
      <w:pPr>
        <w:pStyle w:val="104"/>
        <w:spacing w:before="240" w:after="240"/>
      </w:pPr>
      <w:r>
        <w:rPr>
          <w:rFonts w:hint="eastAsia"/>
        </w:rPr>
        <w:t>采收</w:t>
      </w:r>
    </w:p>
    <w:p>
      <w:pPr>
        <w:pStyle w:val="56"/>
        <w:ind w:firstLine="420"/>
      </w:pPr>
      <w:r>
        <w:rPr>
          <w:rFonts w:hint="eastAsia"/>
        </w:rPr>
        <w:t>根据蚕龄不同，采集对应叶片。在上午露水干后或在下午16:00后采收，不得在烈日下采收；摘叶时，不得伤枝皮；摘嫩叶应留叶柄。</w:t>
      </w:r>
    </w:p>
    <w:p>
      <w:pPr>
        <w:pStyle w:val="104"/>
        <w:spacing w:before="240" w:after="240"/>
      </w:pPr>
      <w:r>
        <w:rPr>
          <w:rFonts w:hint="eastAsia"/>
        </w:rPr>
        <w:t>档案管理</w:t>
      </w:r>
    </w:p>
    <w:p>
      <w:pPr>
        <w:pStyle w:val="56"/>
        <w:ind w:firstLine="420"/>
      </w:pPr>
      <w:r>
        <w:rPr>
          <w:rFonts w:hint="eastAsia"/>
        </w:rPr>
        <w:t>建立并保存相关生产档案，做好种植过程中农事操作、生产投入品管理等所有记录材料，生产档案至少保存2年。</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p>
    <w:bookmarkEnd w:id="21"/>
    <w:p>
      <w:pPr>
        <w:pStyle w:val="198"/>
      </w:pPr>
      <w:bookmarkStart w:id="44" w:name="BookMark5"/>
    </w:p>
    <w:p>
      <w:pPr>
        <w:pStyle w:val="199"/>
      </w:pPr>
    </w:p>
    <w:p>
      <w:pPr>
        <w:pStyle w:val="76"/>
        <w:spacing w:after="120"/>
      </w:pPr>
      <w:r>
        <w:br w:type="textWrapping"/>
      </w:r>
      <w:r>
        <w:rPr>
          <w:rFonts w:hint="eastAsia"/>
        </w:rPr>
        <w:t>（资料性）</w:t>
      </w:r>
      <w:r>
        <w:br w:type="textWrapping"/>
      </w:r>
      <w:r>
        <w:rPr>
          <w:rFonts w:hint="eastAsia"/>
        </w:rPr>
        <w:t>桑园病虫害防控及农药使用方法</w:t>
      </w:r>
    </w:p>
    <w:p>
      <w:pPr>
        <w:pStyle w:val="56"/>
        <w:ind w:firstLine="420"/>
      </w:pPr>
      <w:r>
        <w:rPr>
          <w:rFonts w:hint="eastAsia"/>
        </w:rPr>
        <w:t>桑园主要病虫害防控常用化学农药及使用方法见表A.1。</w:t>
      </w:r>
    </w:p>
    <w:p>
      <w:pPr>
        <w:pStyle w:val="77"/>
        <w:spacing w:before="120" w:after="120"/>
      </w:pPr>
      <w:r>
        <w:rPr>
          <w:rFonts w:hint="eastAsia"/>
        </w:rPr>
        <w:t>桑园主要病虫害防控常用化学农药及使用方法</w:t>
      </w:r>
    </w:p>
    <w:tbl>
      <w:tblPr>
        <w:tblStyle w:val="231"/>
        <w:tblW w:w="50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49"/>
        <w:gridCol w:w="1104"/>
        <w:gridCol w:w="1253"/>
        <w:gridCol w:w="1230"/>
        <w:gridCol w:w="1134"/>
        <w:gridCol w:w="746"/>
        <w:gridCol w:w="1001"/>
        <w:gridCol w:w="1957"/>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tcBorders>
              <w:top w:val="single" w:color="000000" w:sz="8" w:space="0"/>
              <w:left w:val="single" w:color="000000" w:sz="8" w:space="0"/>
              <w:bottom w:val="single" w:color="000000" w:sz="8" w:space="0"/>
              <w:right w:val="single" w:color="000000" w:sz="4" w:space="0"/>
            </w:tcBorders>
            <w:vAlign w:val="center"/>
          </w:tcPr>
          <w:p>
            <w:pPr>
              <w:pStyle w:val="230"/>
              <w:spacing w:line="240" w:lineRule="auto"/>
              <w:jc w:val="center"/>
            </w:pPr>
            <w:r>
              <w:rPr>
                <w:spacing w:val="-3"/>
              </w:rPr>
              <w:t>项目</w:t>
            </w:r>
          </w:p>
        </w:tc>
        <w:tc>
          <w:tcPr>
            <w:tcW w:w="589" w:type="pct"/>
            <w:tcBorders>
              <w:top w:val="single" w:color="000000" w:sz="8" w:space="0"/>
              <w:left w:val="single" w:color="000000" w:sz="4" w:space="0"/>
              <w:bottom w:val="single" w:color="000000" w:sz="8" w:space="0"/>
              <w:right w:val="single" w:color="000000" w:sz="4" w:space="0"/>
              <w:tl2br w:val="nil"/>
              <w:tr2bl w:val="nil"/>
            </w:tcBorders>
            <w:vAlign w:val="center"/>
          </w:tcPr>
          <w:p>
            <w:pPr>
              <w:pStyle w:val="230"/>
              <w:spacing w:line="240" w:lineRule="auto"/>
              <w:jc w:val="center"/>
            </w:pPr>
            <w:r>
              <w:rPr>
                <w:spacing w:val="-4"/>
              </w:rPr>
              <w:t>防控对象</w:t>
            </w:r>
          </w:p>
        </w:tc>
        <w:tc>
          <w:tcPr>
            <w:tcW w:w="668" w:type="pct"/>
            <w:tcBorders>
              <w:top w:val="single" w:color="000000" w:sz="8" w:space="0"/>
              <w:left w:val="single" w:color="000000" w:sz="4" w:space="0"/>
              <w:bottom w:val="single" w:color="000000" w:sz="8" w:space="0"/>
              <w:right w:val="single" w:color="000000" w:sz="4" w:space="0"/>
              <w:tl2br w:val="nil"/>
              <w:tr2bl w:val="nil"/>
            </w:tcBorders>
            <w:vAlign w:val="center"/>
          </w:tcPr>
          <w:p>
            <w:pPr>
              <w:pStyle w:val="230"/>
              <w:spacing w:line="240" w:lineRule="auto"/>
              <w:jc w:val="center"/>
            </w:pPr>
            <w:r>
              <w:rPr>
                <w:spacing w:val="-2"/>
              </w:rPr>
              <w:t>农药种类</w:t>
            </w:r>
          </w:p>
        </w:tc>
        <w:tc>
          <w:tcPr>
            <w:tcW w:w="656" w:type="pct"/>
            <w:tcBorders>
              <w:top w:val="single" w:color="000000" w:sz="8" w:space="0"/>
              <w:left w:val="single" w:color="000000" w:sz="4" w:space="0"/>
              <w:bottom w:val="single" w:color="000000" w:sz="8" w:space="0"/>
              <w:right w:val="single" w:color="000000" w:sz="4" w:space="0"/>
              <w:tl2br w:val="nil"/>
              <w:tr2bl w:val="nil"/>
            </w:tcBorders>
            <w:vAlign w:val="center"/>
          </w:tcPr>
          <w:p>
            <w:pPr>
              <w:pStyle w:val="230"/>
              <w:spacing w:line="240" w:lineRule="auto"/>
              <w:jc w:val="center"/>
            </w:pPr>
            <w:r>
              <w:rPr>
                <w:spacing w:val="-2"/>
              </w:rPr>
              <w:t>剂型</w:t>
            </w:r>
          </w:p>
        </w:tc>
        <w:tc>
          <w:tcPr>
            <w:tcW w:w="605" w:type="pct"/>
            <w:tcBorders>
              <w:top w:val="single" w:color="000000" w:sz="8" w:space="0"/>
              <w:left w:val="single" w:color="000000" w:sz="4" w:space="0"/>
              <w:bottom w:val="single" w:color="000000" w:sz="8" w:space="0"/>
              <w:right w:val="single" w:color="000000" w:sz="4" w:space="0"/>
              <w:tl2br w:val="nil"/>
              <w:tr2bl w:val="nil"/>
            </w:tcBorders>
            <w:vAlign w:val="center"/>
          </w:tcPr>
          <w:p>
            <w:pPr>
              <w:pStyle w:val="230"/>
              <w:spacing w:line="240" w:lineRule="auto"/>
              <w:jc w:val="center"/>
            </w:pPr>
            <w:r>
              <w:rPr>
                <w:spacing w:val="-2"/>
              </w:rPr>
              <w:t>使用浓度</w:t>
            </w:r>
            <w:r>
              <w:rPr>
                <w:spacing w:val="-6"/>
              </w:rPr>
              <w:t>（倍）</w:t>
            </w:r>
          </w:p>
        </w:tc>
        <w:tc>
          <w:tcPr>
            <w:tcW w:w="398" w:type="pct"/>
            <w:tcBorders>
              <w:top w:val="single" w:color="000000" w:sz="8" w:space="0"/>
              <w:left w:val="single" w:color="000000" w:sz="4" w:space="0"/>
              <w:bottom w:val="single" w:color="000000" w:sz="8" w:space="0"/>
              <w:right w:val="single" w:color="000000" w:sz="4" w:space="0"/>
              <w:tl2br w:val="nil"/>
              <w:tr2bl w:val="nil"/>
            </w:tcBorders>
            <w:vAlign w:val="center"/>
          </w:tcPr>
          <w:p>
            <w:pPr>
              <w:pStyle w:val="230"/>
              <w:spacing w:line="240" w:lineRule="auto"/>
              <w:jc w:val="center"/>
            </w:pPr>
            <w:r>
              <w:rPr>
                <w:spacing w:val="-4"/>
              </w:rPr>
              <w:t>使用方法</w:t>
            </w:r>
          </w:p>
        </w:tc>
        <w:tc>
          <w:tcPr>
            <w:tcW w:w="534" w:type="pct"/>
            <w:tcBorders>
              <w:top w:val="single" w:color="000000" w:sz="8" w:space="0"/>
              <w:left w:val="single" w:color="000000" w:sz="4" w:space="0"/>
              <w:bottom w:val="single" w:color="000000" w:sz="8" w:space="0"/>
              <w:right w:val="single" w:color="000000" w:sz="4" w:space="0"/>
              <w:tl2br w:val="nil"/>
              <w:tr2bl w:val="nil"/>
            </w:tcBorders>
            <w:vAlign w:val="center"/>
          </w:tcPr>
          <w:p>
            <w:pPr>
              <w:pStyle w:val="230"/>
              <w:spacing w:line="240" w:lineRule="auto"/>
              <w:jc w:val="center"/>
            </w:pPr>
            <w:r>
              <w:rPr>
                <w:spacing w:val="-4"/>
              </w:rPr>
              <w:t>桑蚕安</w:t>
            </w:r>
            <w:r>
              <w:rPr>
                <w:spacing w:val="-2"/>
              </w:rPr>
              <w:t>全期</w:t>
            </w:r>
          </w:p>
        </w:tc>
        <w:tc>
          <w:tcPr>
            <w:tcW w:w="1043" w:type="pct"/>
            <w:tcBorders>
              <w:top w:val="single" w:color="000000" w:sz="8" w:space="0"/>
              <w:left w:val="single" w:color="000000" w:sz="4" w:space="0"/>
              <w:bottom w:val="single" w:color="000000" w:sz="8" w:space="0"/>
              <w:right w:val="single" w:color="000000" w:sz="8" w:space="0"/>
              <w:tl2br w:val="nil"/>
              <w:tr2bl w:val="nil"/>
            </w:tcBorders>
            <w:vAlign w:val="center"/>
          </w:tcPr>
          <w:p>
            <w:pPr>
              <w:pStyle w:val="230"/>
              <w:spacing w:line="240" w:lineRule="auto"/>
              <w:jc w:val="center"/>
            </w:pPr>
            <w:r>
              <w:rPr>
                <w:spacing w:val="-3"/>
              </w:rPr>
              <w:t>备注</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restart"/>
            <w:tcBorders>
              <w:top w:val="single" w:color="000000" w:sz="8" w:space="0"/>
              <w:bottom w:val="nil"/>
              <w:right w:val="single" w:color="000000" w:sz="4" w:space="0"/>
              <w:tl2br w:val="nil"/>
              <w:tr2bl w:val="nil"/>
            </w:tcBorders>
            <w:vAlign w:val="center"/>
          </w:tcPr>
          <w:p>
            <w:pPr>
              <w:spacing w:line="240" w:lineRule="auto"/>
              <w:jc w:val="center"/>
              <w:rPr>
                <w:rFonts w:ascii="宋体" w:hAnsi="宋体"/>
                <w:spacing w:val="-2"/>
                <w:sz w:val="18"/>
                <w:szCs w:val="18"/>
              </w:rPr>
            </w:pPr>
            <w:r>
              <w:rPr>
                <w:rFonts w:ascii="宋体" w:hAnsi="宋体"/>
                <w:sz w:val="18"/>
                <w:szCs w:val="18"/>
              </w:rPr>
              <w:t>主要虫害</w:t>
            </w:r>
          </w:p>
        </w:tc>
        <w:tc>
          <w:tcPr>
            <w:tcW w:w="589" w:type="pct"/>
            <w:vMerge w:val="restart"/>
            <w:tcBorders>
              <w:top w:val="single" w:color="000000" w:sz="8" w:space="0"/>
              <w:left w:val="single" w:color="000000" w:sz="4" w:space="0"/>
              <w:bottom w:val="single" w:color="000000" w:sz="4" w:space="0"/>
              <w:right w:val="single" w:color="000000" w:sz="4" w:space="0"/>
            </w:tcBorders>
            <w:vAlign w:val="center"/>
          </w:tcPr>
          <w:p>
            <w:pPr>
              <w:pStyle w:val="230"/>
              <w:spacing w:line="240" w:lineRule="auto"/>
              <w:jc w:val="center"/>
            </w:pPr>
            <w:r>
              <w:rPr>
                <w:spacing w:val="-3"/>
                <w:position w:val="10"/>
              </w:rPr>
              <w:t>桑尺蠖</w:t>
            </w:r>
          </w:p>
        </w:tc>
        <w:tc>
          <w:tcPr>
            <w:tcW w:w="668" w:type="pct"/>
            <w:tcBorders>
              <w:top w:val="single" w:color="000000" w:sz="8" w:space="0"/>
              <w:left w:val="single" w:color="000000" w:sz="4" w:space="0"/>
              <w:bottom w:val="single" w:color="000000" w:sz="4" w:space="0"/>
              <w:right w:val="single" w:color="000000" w:sz="4" w:space="0"/>
            </w:tcBorders>
            <w:vAlign w:val="center"/>
          </w:tcPr>
          <w:p>
            <w:pPr>
              <w:pStyle w:val="230"/>
              <w:spacing w:line="240" w:lineRule="auto"/>
              <w:jc w:val="center"/>
              <w:rPr>
                <w:lang w:eastAsia="zh-CN"/>
              </w:rPr>
            </w:pPr>
            <w:r>
              <w:rPr>
                <w:rFonts w:hint="eastAsia"/>
                <w:lang w:eastAsia="zh-CN"/>
              </w:rPr>
              <w:t>敌敌畏</w:t>
            </w:r>
          </w:p>
        </w:tc>
        <w:tc>
          <w:tcPr>
            <w:tcW w:w="656" w:type="pct"/>
            <w:tcBorders>
              <w:top w:val="single" w:color="000000" w:sz="8"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spacing w:val="-2"/>
              </w:rPr>
              <w:t>80</w:t>
            </w:r>
            <w:r>
              <w:rPr>
                <w:rFonts w:hint="eastAsia"/>
              </w:rPr>
              <w:t>％</w:t>
            </w:r>
            <w:r>
              <w:rPr>
                <w:spacing w:val="-2"/>
              </w:rPr>
              <w:t>乳油</w:t>
            </w:r>
          </w:p>
        </w:tc>
        <w:tc>
          <w:tcPr>
            <w:tcW w:w="605" w:type="pct"/>
            <w:tcBorders>
              <w:top w:val="single" w:color="000000" w:sz="8"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spacing w:val="-2"/>
              </w:rPr>
              <w:t>50</w:t>
            </w:r>
            <w:r>
              <w:rPr>
                <w:spacing w:val="-2"/>
                <w:vertAlign w:val="superscript"/>
              </w:rPr>
              <w:t xml:space="preserve"> </w:t>
            </w:r>
            <w:r>
              <w:rPr>
                <w:spacing w:val="-2"/>
              </w:rPr>
              <w:t>g/667</w:t>
            </w:r>
            <w:r>
              <w:rPr>
                <w:spacing w:val="-2"/>
                <w:vertAlign w:val="superscript"/>
              </w:rPr>
              <w:t xml:space="preserve"> </w:t>
            </w:r>
            <w:r>
              <w:rPr>
                <w:spacing w:val="-2"/>
              </w:rPr>
              <w:t>m</w:t>
            </w:r>
            <w:r>
              <w:rPr>
                <w:spacing w:val="-2"/>
                <w:vertAlign w:val="superscript"/>
              </w:rPr>
              <w:t>2</w:t>
            </w:r>
          </w:p>
        </w:tc>
        <w:tc>
          <w:tcPr>
            <w:tcW w:w="398" w:type="pct"/>
            <w:vMerge w:val="restart"/>
            <w:tcBorders>
              <w:top w:val="single" w:color="000000" w:sz="8" w:space="0"/>
              <w:left w:val="single" w:color="000000" w:sz="4" w:space="0"/>
              <w:bottom w:val="single" w:color="000000" w:sz="4" w:space="0"/>
              <w:right w:val="single" w:color="000000" w:sz="4" w:space="0"/>
            </w:tcBorders>
            <w:vAlign w:val="center"/>
          </w:tcPr>
          <w:p>
            <w:pPr>
              <w:pStyle w:val="230"/>
              <w:spacing w:line="240" w:lineRule="auto"/>
              <w:jc w:val="center"/>
            </w:pPr>
            <w:r>
              <w:rPr>
                <w:spacing w:val="-4"/>
              </w:rPr>
              <w:t>喷雾</w:t>
            </w:r>
          </w:p>
        </w:tc>
        <w:tc>
          <w:tcPr>
            <w:tcW w:w="534" w:type="pct"/>
            <w:tcBorders>
              <w:top w:val="single" w:color="000000" w:sz="8"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spacing w:val="-2"/>
              </w:rPr>
              <w:t>5</w:t>
            </w:r>
            <w:r>
              <w:rPr>
                <w:spacing w:val="-2"/>
                <w:vertAlign w:val="superscript"/>
              </w:rPr>
              <w:t xml:space="preserve"> </w:t>
            </w:r>
            <w:r>
              <w:rPr>
                <w:spacing w:val="-2"/>
              </w:rPr>
              <w:t>d</w:t>
            </w:r>
          </w:p>
        </w:tc>
        <w:tc>
          <w:tcPr>
            <w:tcW w:w="1043" w:type="pct"/>
            <w:vMerge w:val="restart"/>
            <w:tcBorders>
              <w:top w:val="single" w:color="000000" w:sz="8" w:space="0"/>
              <w:left w:val="single" w:color="000000" w:sz="4" w:space="0"/>
              <w:bottom w:val="single" w:color="000000" w:sz="4" w:space="0"/>
              <w:tl2br w:val="nil"/>
              <w:tr2bl w:val="nil"/>
            </w:tcBorders>
            <w:vAlign w:val="center"/>
          </w:tcPr>
          <w:p>
            <w:pPr>
              <w:tabs>
                <w:tab w:val="left" w:pos="1058"/>
              </w:tabs>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nil"/>
              <w:right w:val="single" w:color="000000" w:sz="4" w:space="0"/>
              <w:tl2br w:val="nil"/>
              <w:tr2bl w:val="nil"/>
            </w:tcBorders>
            <w:vAlign w:val="center"/>
          </w:tcPr>
          <w:p>
            <w:pPr>
              <w:spacing w:line="240" w:lineRule="auto"/>
              <w:jc w:val="center"/>
              <w:rPr>
                <w:rFonts w:ascii="宋体" w:hAnsi="宋体"/>
                <w:sz w:val="18"/>
                <w:szCs w:val="18"/>
              </w:rPr>
            </w:pPr>
          </w:p>
        </w:tc>
        <w:tc>
          <w:tcPr>
            <w:tcW w:w="589" w:type="pct"/>
            <w:vMerge w:val="continue"/>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3"/>
                <w:position w:val="10"/>
              </w:rPr>
            </w:pP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3"/>
                <w:position w:val="9"/>
              </w:rPr>
            </w:pPr>
            <w:r>
              <w:rPr>
                <w:rFonts w:hint="eastAsia"/>
                <w:spacing w:val="-3"/>
                <w:position w:val="9"/>
              </w:rPr>
              <w:t>敌·马</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rFonts w:hint="eastAsia"/>
                <w:spacing w:val="-2"/>
              </w:rPr>
              <w:t>60％乳油</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rFonts w:hint="eastAsia"/>
                <w:spacing w:val="-2"/>
              </w:rPr>
              <w:t>1</w:t>
            </w:r>
            <w:r>
              <w:rPr>
                <w:spacing w:val="-2"/>
                <w:vertAlign w:val="superscript"/>
              </w:rPr>
              <w:t xml:space="preserve"> </w:t>
            </w:r>
            <w:r>
              <w:rPr>
                <w:rFonts w:hint="eastAsia"/>
                <w:spacing w:val="-2"/>
              </w:rPr>
              <w:t>000～1</w:t>
            </w:r>
            <w:r>
              <w:rPr>
                <w:spacing w:val="-2"/>
                <w:vertAlign w:val="superscript"/>
              </w:rPr>
              <w:t xml:space="preserve"> </w:t>
            </w:r>
            <w:r>
              <w:rPr>
                <w:rFonts w:hint="eastAsia"/>
                <w:spacing w:val="-2"/>
              </w:rPr>
              <w:t>500</w:t>
            </w:r>
          </w:p>
        </w:tc>
        <w:tc>
          <w:tcPr>
            <w:tcW w:w="398" w:type="pct"/>
            <w:vMerge w:val="continue"/>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p>
        </w:tc>
        <w:tc>
          <w:tcPr>
            <w:tcW w:w="534"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spacing w:val="-2"/>
              </w:rPr>
              <w:t>10</w:t>
            </w:r>
            <w:r>
              <w:rPr>
                <w:spacing w:val="-2"/>
                <w:vertAlign w:val="superscript"/>
              </w:rPr>
              <w:t xml:space="preserve"> </w:t>
            </w:r>
            <w:r>
              <w:rPr>
                <w:spacing w:val="-2"/>
              </w:rPr>
              <w:t>d</w:t>
            </w:r>
          </w:p>
        </w:tc>
        <w:tc>
          <w:tcPr>
            <w:tcW w:w="1043" w:type="pct"/>
            <w:vMerge w:val="continue"/>
            <w:tcBorders>
              <w:top w:val="single" w:color="000000" w:sz="4" w:space="0"/>
              <w:left w:val="single" w:color="000000" w:sz="4" w:space="0"/>
              <w:bottom w:val="single" w:color="000000" w:sz="4" w:space="0"/>
              <w:tl2br w:val="nil"/>
              <w:tr2bl w:val="nil"/>
            </w:tcBorders>
            <w:vAlign w:val="center"/>
          </w:tcPr>
          <w:p>
            <w:pPr>
              <w:tabs>
                <w:tab w:val="left" w:pos="1058"/>
              </w:tabs>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nil"/>
              <w:right w:val="single" w:color="000000" w:sz="4" w:space="0"/>
              <w:tl2br w:val="nil"/>
              <w:tr2bl w:val="nil"/>
            </w:tcBorders>
            <w:vAlign w:val="center"/>
          </w:tcPr>
          <w:p>
            <w:pPr>
              <w:spacing w:line="240" w:lineRule="auto"/>
              <w:jc w:val="center"/>
              <w:rPr>
                <w:rFonts w:ascii="宋体" w:hAnsi="宋体"/>
                <w:sz w:val="18"/>
                <w:szCs w:val="18"/>
              </w:rPr>
            </w:pPr>
          </w:p>
        </w:tc>
        <w:tc>
          <w:tcPr>
            <w:tcW w:w="589" w:type="pct"/>
            <w:vMerge w:val="continue"/>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3"/>
                <w:position w:val="10"/>
              </w:rPr>
            </w:pP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3"/>
                <w:position w:val="9"/>
              </w:rPr>
            </w:pPr>
            <w:r>
              <w:rPr>
                <w:rFonts w:hint="eastAsia"/>
                <w:spacing w:val="-3"/>
                <w:position w:val="9"/>
              </w:rPr>
              <w:t>残杀威</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rFonts w:hint="eastAsia"/>
                <w:spacing w:val="-2"/>
              </w:rPr>
              <w:t>8％可湿性粉剂</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rFonts w:hint="eastAsia"/>
                <w:spacing w:val="-2"/>
              </w:rPr>
              <w:t>1</w:t>
            </w:r>
            <w:r>
              <w:rPr>
                <w:spacing w:val="-2"/>
                <w:vertAlign w:val="superscript"/>
              </w:rPr>
              <w:t xml:space="preserve"> </w:t>
            </w:r>
            <w:r>
              <w:rPr>
                <w:rFonts w:hint="eastAsia"/>
                <w:spacing w:val="-2"/>
              </w:rPr>
              <w:t>000～1</w:t>
            </w:r>
            <w:r>
              <w:rPr>
                <w:spacing w:val="-2"/>
                <w:vertAlign w:val="superscript"/>
              </w:rPr>
              <w:t xml:space="preserve"> </w:t>
            </w:r>
            <w:r>
              <w:rPr>
                <w:rFonts w:hint="eastAsia"/>
                <w:spacing w:val="-2"/>
              </w:rPr>
              <w:t>500</w:t>
            </w:r>
          </w:p>
        </w:tc>
        <w:tc>
          <w:tcPr>
            <w:tcW w:w="398" w:type="pct"/>
            <w:vMerge w:val="continue"/>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p>
        </w:tc>
        <w:tc>
          <w:tcPr>
            <w:tcW w:w="534"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spacing w:val="-2"/>
              </w:rPr>
              <w:t>7</w:t>
            </w:r>
            <w:r>
              <w:rPr>
                <w:spacing w:val="-2"/>
                <w:vertAlign w:val="superscript"/>
              </w:rPr>
              <w:t xml:space="preserve"> </w:t>
            </w:r>
            <w:r>
              <w:rPr>
                <w:spacing w:val="-2"/>
              </w:rPr>
              <w:t>d</w:t>
            </w:r>
          </w:p>
        </w:tc>
        <w:tc>
          <w:tcPr>
            <w:tcW w:w="1043" w:type="pct"/>
            <w:vMerge w:val="continue"/>
            <w:tcBorders>
              <w:top w:val="single" w:color="000000" w:sz="4" w:space="0"/>
              <w:left w:val="single" w:color="000000" w:sz="4" w:space="0"/>
              <w:bottom w:val="single" w:color="000000" w:sz="4" w:space="0"/>
              <w:tl2br w:val="nil"/>
              <w:tr2bl w:val="nil"/>
            </w:tcBorders>
            <w:vAlign w:val="center"/>
          </w:tcPr>
          <w:p>
            <w:pPr>
              <w:tabs>
                <w:tab w:val="left" w:pos="1058"/>
              </w:tabs>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nil"/>
              <w:right w:val="single" w:color="000000" w:sz="4" w:space="0"/>
              <w:tl2br w:val="nil"/>
              <w:tr2bl w:val="nil"/>
            </w:tcBorders>
            <w:vAlign w:val="center"/>
          </w:tcPr>
          <w:p>
            <w:pPr>
              <w:spacing w:line="240" w:lineRule="auto"/>
              <w:jc w:val="center"/>
              <w:rPr>
                <w:rFonts w:ascii="宋体" w:hAnsi="宋体"/>
                <w:sz w:val="18"/>
                <w:szCs w:val="18"/>
              </w:rPr>
            </w:pPr>
          </w:p>
        </w:tc>
        <w:tc>
          <w:tcPr>
            <w:tcW w:w="589"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桑象虫</w:t>
            </w: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2"/>
              </w:rPr>
              <w:t>残杀威</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2"/>
              </w:rPr>
              <w:t>8</w:t>
            </w:r>
            <w:r>
              <w:rPr>
                <w:rFonts w:hint="eastAsia"/>
                <w:spacing w:val="-2"/>
              </w:rPr>
              <w:t>％</w:t>
            </w:r>
            <w:r>
              <w:rPr>
                <w:spacing w:val="-2"/>
              </w:rPr>
              <w:t>可湿性粉剂</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1</w:t>
            </w:r>
            <w:r>
              <w:rPr>
                <w:spacing w:val="-3"/>
                <w:vertAlign w:val="superscript"/>
              </w:rPr>
              <w:t xml:space="preserve"> </w:t>
            </w:r>
            <w:r>
              <w:rPr>
                <w:spacing w:val="-3"/>
              </w:rPr>
              <w:t>000～1</w:t>
            </w:r>
            <w:r>
              <w:rPr>
                <w:spacing w:val="-3"/>
                <w:vertAlign w:val="superscript"/>
              </w:rPr>
              <w:t xml:space="preserve"> </w:t>
            </w:r>
            <w:r>
              <w:rPr>
                <w:spacing w:val="-3"/>
              </w:rPr>
              <w:t>500</w:t>
            </w:r>
          </w:p>
        </w:tc>
        <w:tc>
          <w:tcPr>
            <w:tcW w:w="39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4"/>
              </w:rPr>
              <w:t>喷雾</w:t>
            </w:r>
          </w:p>
        </w:tc>
        <w:tc>
          <w:tcPr>
            <w:tcW w:w="534"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6"/>
              </w:rPr>
              <w:t>7</w:t>
            </w:r>
            <w:r>
              <w:rPr>
                <w:spacing w:val="13"/>
                <w:vertAlign w:val="superscript"/>
              </w:rPr>
              <w:t xml:space="preserve"> </w:t>
            </w:r>
            <w:r>
              <w:rPr>
                <w:spacing w:val="-6"/>
              </w:rPr>
              <w:t>d</w:t>
            </w:r>
          </w:p>
        </w:tc>
        <w:tc>
          <w:tcPr>
            <w:tcW w:w="1043" w:type="pct"/>
            <w:tcBorders>
              <w:top w:val="single" w:color="000000" w:sz="4" w:space="0"/>
              <w:left w:val="single" w:color="000000" w:sz="4" w:space="0"/>
              <w:bottom w:val="single" w:color="000000" w:sz="4" w:space="0"/>
              <w:tl2br w:val="nil"/>
              <w:tr2bl w:val="nil"/>
            </w:tcBorders>
            <w:vAlign w:val="center"/>
          </w:tcPr>
          <w:p>
            <w:pPr>
              <w:pStyle w:val="230"/>
              <w:spacing w:line="240" w:lineRule="auto"/>
              <w:jc w:val="center"/>
            </w:pPr>
            <w:r>
              <w:rPr>
                <w:spacing w:val="-1"/>
              </w:rPr>
              <w:t>每季度最多能用一次</w:t>
            </w:r>
            <w:r>
              <w:rPr>
                <w:spacing w:val="-2"/>
              </w:rPr>
              <w:t>兼治其他害虫</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nil"/>
              <w:right w:val="single" w:color="000000" w:sz="4" w:space="0"/>
              <w:tl2br w:val="nil"/>
              <w:tr2bl w:val="nil"/>
            </w:tcBorders>
            <w:vAlign w:val="center"/>
          </w:tcPr>
          <w:p>
            <w:pPr>
              <w:spacing w:line="240" w:lineRule="auto"/>
              <w:jc w:val="center"/>
              <w:rPr>
                <w:rFonts w:ascii="宋体" w:hAnsi="宋体"/>
                <w:sz w:val="18"/>
                <w:szCs w:val="18"/>
              </w:rPr>
            </w:pPr>
          </w:p>
        </w:tc>
        <w:tc>
          <w:tcPr>
            <w:tcW w:w="589"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天牛类</w:t>
            </w: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敌敌畏</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1"/>
              </w:rPr>
              <w:t>80</w:t>
            </w:r>
            <w:r>
              <w:rPr>
                <w:rFonts w:hint="eastAsia"/>
                <w:spacing w:val="-1"/>
              </w:rPr>
              <w:t>％</w:t>
            </w:r>
            <w:r>
              <w:rPr>
                <w:spacing w:val="-1"/>
              </w:rPr>
              <w:t>乳油</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lang w:eastAsia="zh-CN"/>
              </w:rPr>
            </w:pPr>
            <w:r>
              <w:rPr>
                <w:rFonts w:hint="eastAsia"/>
                <w:spacing w:val="-2"/>
                <w:lang w:eastAsia="zh-CN"/>
              </w:rPr>
              <w:t>30～50</w:t>
            </w:r>
          </w:p>
        </w:tc>
        <w:tc>
          <w:tcPr>
            <w:tcW w:w="39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2"/>
              </w:rPr>
              <w:t>棉球蘸</w:t>
            </w:r>
          </w:p>
        </w:tc>
        <w:tc>
          <w:tcPr>
            <w:tcW w:w="534"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lang w:eastAsia="zh-CN"/>
              </w:rPr>
            </w:pPr>
            <w:r>
              <w:rPr>
                <w:rFonts w:hint="eastAsia"/>
                <w:spacing w:val="-3"/>
                <w:lang w:eastAsia="zh-CN"/>
              </w:rPr>
              <w:t>0</w:t>
            </w:r>
            <w:r>
              <w:rPr>
                <w:spacing w:val="-3"/>
                <w:vertAlign w:val="superscript"/>
                <w:lang w:eastAsia="zh-CN"/>
              </w:rPr>
              <w:t xml:space="preserve"> </w:t>
            </w:r>
            <w:r>
              <w:rPr>
                <w:rFonts w:hint="eastAsia"/>
                <w:spacing w:val="-3"/>
                <w:lang w:eastAsia="zh-CN"/>
              </w:rPr>
              <w:t>d</w:t>
            </w:r>
          </w:p>
        </w:tc>
        <w:tc>
          <w:tcPr>
            <w:tcW w:w="1043" w:type="pct"/>
            <w:tcBorders>
              <w:top w:val="single" w:color="000000" w:sz="4" w:space="0"/>
              <w:left w:val="single" w:color="000000" w:sz="4" w:space="0"/>
              <w:bottom w:val="single" w:color="000000" w:sz="4" w:space="0"/>
              <w:tl2br w:val="nil"/>
              <w:tr2bl w:val="nil"/>
            </w:tcBorders>
            <w:vAlign w:val="center"/>
          </w:tcPr>
          <w:p>
            <w:pPr>
              <w:pStyle w:val="230"/>
              <w:spacing w:line="240" w:lineRule="auto"/>
              <w:jc w:val="center"/>
              <w:rPr>
                <w:lang w:eastAsia="zh-CN"/>
              </w:rPr>
            </w:pPr>
            <w:r>
              <w:rPr>
                <w:spacing w:val="-6"/>
                <w:lang w:eastAsia="zh-CN"/>
              </w:rPr>
              <w:t>捕捉成虫、刺杀幼虫、</w:t>
            </w:r>
            <w:r>
              <w:rPr>
                <w:spacing w:val="-5"/>
                <w:lang w:eastAsia="zh-CN"/>
              </w:rPr>
              <w:t>卵粒</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nil"/>
              <w:right w:val="single" w:color="000000" w:sz="4" w:space="0"/>
              <w:tl2br w:val="nil"/>
              <w:tr2bl w:val="nil"/>
            </w:tcBorders>
            <w:vAlign w:val="center"/>
          </w:tcPr>
          <w:p>
            <w:pPr>
              <w:spacing w:line="240" w:lineRule="auto"/>
              <w:jc w:val="center"/>
              <w:rPr>
                <w:rFonts w:ascii="宋体" w:hAnsi="宋体"/>
                <w:sz w:val="18"/>
                <w:szCs w:val="18"/>
              </w:rPr>
            </w:pPr>
          </w:p>
        </w:tc>
        <w:tc>
          <w:tcPr>
            <w:tcW w:w="589"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桑螟</w:t>
            </w: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rFonts w:hint="eastAsia"/>
              </w:rPr>
              <w:t>敌敌畏</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1"/>
              </w:rPr>
              <w:t>80</w:t>
            </w:r>
            <w:r>
              <w:rPr>
                <w:rFonts w:hint="eastAsia"/>
                <w:spacing w:val="-1"/>
              </w:rPr>
              <w:t>％</w:t>
            </w:r>
            <w:r>
              <w:rPr>
                <w:spacing w:val="-1"/>
              </w:rPr>
              <w:t>乳油</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2"/>
              </w:rPr>
              <w:t>50</w:t>
            </w:r>
            <w:r>
              <w:rPr>
                <w:spacing w:val="11"/>
                <w:vertAlign w:val="superscript"/>
              </w:rPr>
              <w:t xml:space="preserve"> </w:t>
            </w:r>
            <w:r>
              <w:rPr>
                <w:spacing w:val="-2"/>
              </w:rPr>
              <w:t>g/667</w:t>
            </w:r>
            <w:r>
              <w:rPr>
                <w:spacing w:val="-2"/>
                <w:vertAlign w:val="superscript"/>
              </w:rPr>
              <w:t xml:space="preserve"> </w:t>
            </w:r>
            <w:r>
              <w:rPr>
                <w:spacing w:val="-2"/>
              </w:rPr>
              <w:t>m</w:t>
            </w:r>
            <w:r>
              <w:rPr>
                <w:spacing w:val="-2"/>
                <w:vertAlign w:val="superscript"/>
              </w:rPr>
              <w:t>2</w:t>
            </w:r>
          </w:p>
        </w:tc>
        <w:tc>
          <w:tcPr>
            <w:tcW w:w="398" w:type="pct"/>
            <w:vMerge w:val="restart"/>
            <w:tcBorders>
              <w:top w:val="single" w:color="000000" w:sz="4" w:space="0"/>
              <w:left w:val="single" w:color="000000" w:sz="4" w:space="0"/>
              <w:right w:val="single" w:color="000000" w:sz="4" w:space="0"/>
            </w:tcBorders>
            <w:vAlign w:val="center"/>
          </w:tcPr>
          <w:p>
            <w:pPr>
              <w:pStyle w:val="230"/>
              <w:spacing w:line="240" w:lineRule="auto"/>
              <w:jc w:val="center"/>
            </w:pPr>
            <w:r>
              <w:rPr>
                <w:spacing w:val="-4"/>
              </w:rPr>
              <w:t>喷雾</w:t>
            </w:r>
          </w:p>
        </w:tc>
        <w:tc>
          <w:tcPr>
            <w:tcW w:w="534"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1"/>
              </w:rPr>
            </w:pPr>
            <w:r>
              <w:rPr>
                <w:spacing w:val="-1"/>
              </w:rPr>
              <w:t>5</w:t>
            </w:r>
            <w:r>
              <w:rPr>
                <w:spacing w:val="-1"/>
                <w:vertAlign w:val="superscript"/>
              </w:rPr>
              <w:t xml:space="preserve"> </w:t>
            </w:r>
            <w:r>
              <w:rPr>
                <w:spacing w:val="-1"/>
              </w:rPr>
              <w:t>d</w:t>
            </w:r>
          </w:p>
        </w:tc>
        <w:tc>
          <w:tcPr>
            <w:tcW w:w="1043" w:type="pct"/>
            <w:vMerge w:val="restart"/>
            <w:tcBorders>
              <w:top w:val="single" w:color="000000" w:sz="4" w:space="0"/>
              <w:left w:val="single" w:color="000000" w:sz="4" w:space="0"/>
              <w:bottom w:val="single" w:color="000000" w:sz="4" w:space="0"/>
              <w:tl2br w:val="nil"/>
              <w:tr2bl w:val="nil"/>
            </w:tcBorders>
            <w:vAlign w:val="center"/>
          </w:tcPr>
          <w:p>
            <w:pPr>
              <w:pStyle w:val="230"/>
              <w:spacing w:line="240" w:lineRule="auto"/>
              <w:jc w:val="center"/>
            </w:pPr>
            <w:r>
              <w:rPr>
                <w:spacing w:val="-3"/>
              </w:rPr>
              <w:t>喷芽和叶背</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379" w:hRule="atLeast"/>
          <w:jc w:val="center"/>
        </w:trPr>
        <w:tc>
          <w:tcPr>
            <w:tcW w:w="506" w:type="pct"/>
            <w:vMerge w:val="continue"/>
            <w:tcBorders>
              <w:top w:val="nil"/>
              <w:bottom w:val="nil"/>
              <w:right w:val="single" w:color="000000" w:sz="4" w:space="0"/>
              <w:tl2br w:val="nil"/>
              <w:tr2bl w:val="nil"/>
            </w:tcBorders>
            <w:vAlign w:val="center"/>
          </w:tcPr>
          <w:p>
            <w:pPr>
              <w:spacing w:line="240" w:lineRule="auto"/>
              <w:jc w:val="center"/>
              <w:rPr>
                <w:rFonts w:ascii="宋体" w:hAnsi="宋体"/>
                <w:sz w:val="18"/>
                <w:szCs w:val="18"/>
              </w:rPr>
            </w:pPr>
          </w:p>
        </w:tc>
        <w:tc>
          <w:tcPr>
            <w:tcW w:w="589"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桑蓟马</w:t>
            </w: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辛硫磷</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1"/>
              </w:rPr>
              <w:t>40</w:t>
            </w:r>
            <w:r>
              <w:rPr>
                <w:rFonts w:hint="eastAsia"/>
                <w:spacing w:val="-1"/>
              </w:rPr>
              <w:t>％</w:t>
            </w:r>
            <w:r>
              <w:rPr>
                <w:spacing w:val="-1"/>
              </w:rPr>
              <w:t>乳油</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1</w:t>
            </w:r>
            <w:r>
              <w:rPr>
                <w:spacing w:val="-3"/>
                <w:vertAlign w:val="superscript"/>
              </w:rPr>
              <w:t xml:space="preserve"> </w:t>
            </w:r>
            <w:r>
              <w:rPr>
                <w:spacing w:val="-3"/>
              </w:rPr>
              <w:t>000～2</w:t>
            </w:r>
            <w:r>
              <w:rPr>
                <w:spacing w:val="-3"/>
                <w:vertAlign w:val="superscript"/>
              </w:rPr>
              <w:t xml:space="preserve"> </w:t>
            </w:r>
            <w:r>
              <w:rPr>
                <w:spacing w:val="-3"/>
              </w:rPr>
              <w:t>000</w:t>
            </w:r>
          </w:p>
        </w:tc>
        <w:tc>
          <w:tcPr>
            <w:tcW w:w="398" w:type="pct"/>
            <w:vMerge w:val="continue"/>
            <w:tcBorders>
              <w:left w:val="single" w:color="000000" w:sz="4" w:space="0"/>
              <w:bottom w:val="single" w:color="000000" w:sz="4" w:space="0"/>
              <w:right w:val="single" w:color="000000" w:sz="4" w:space="0"/>
            </w:tcBorders>
            <w:vAlign w:val="center"/>
          </w:tcPr>
          <w:p>
            <w:pPr>
              <w:spacing w:line="240" w:lineRule="auto"/>
              <w:jc w:val="center"/>
              <w:rPr>
                <w:rFonts w:ascii="宋体" w:hAnsi="宋体"/>
                <w:sz w:val="18"/>
                <w:szCs w:val="18"/>
              </w:rPr>
            </w:pPr>
          </w:p>
        </w:tc>
        <w:tc>
          <w:tcPr>
            <w:tcW w:w="534"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1"/>
              </w:rPr>
              <w:t>10</w:t>
            </w:r>
            <w:r>
              <w:rPr>
                <w:spacing w:val="-1"/>
                <w:vertAlign w:val="superscript"/>
              </w:rPr>
              <w:t xml:space="preserve"> </w:t>
            </w:r>
            <w:r>
              <w:rPr>
                <w:spacing w:val="-1"/>
              </w:rPr>
              <w:t>d</w:t>
            </w:r>
          </w:p>
        </w:tc>
        <w:tc>
          <w:tcPr>
            <w:tcW w:w="1043" w:type="pct"/>
            <w:vMerge w:val="continue"/>
            <w:tcBorders>
              <w:top w:val="single" w:color="000000" w:sz="4" w:space="0"/>
              <w:left w:val="single" w:color="000000" w:sz="4" w:space="0"/>
              <w:bottom w:val="single" w:color="000000" w:sz="4" w:space="0"/>
              <w:tl2br w:val="nil"/>
              <w:tr2bl w:val="nil"/>
            </w:tcBorders>
            <w:vAlign w:val="center"/>
          </w:tcPr>
          <w:p>
            <w:pPr>
              <w:spacing w:line="240" w:lineRule="auto"/>
              <w:jc w:val="center"/>
              <w:rPr>
                <w:rFonts w:ascii="宋体" w:hAnsi="宋体"/>
                <w:sz w:val="18"/>
                <w:szCs w:val="1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nil"/>
              <w:right w:val="single" w:color="000000" w:sz="4" w:space="0"/>
              <w:tl2br w:val="nil"/>
              <w:tr2bl w:val="nil"/>
            </w:tcBorders>
            <w:vAlign w:val="center"/>
          </w:tcPr>
          <w:p>
            <w:pPr>
              <w:spacing w:line="240" w:lineRule="auto"/>
              <w:jc w:val="center"/>
              <w:rPr>
                <w:rFonts w:ascii="宋体" w:hAnsi="宋体"/>
                <w:sz w:val="18"/>
                <w:szCs w:val="18"/>
              </w:rPr>
            </w:pPr>
          </w:p>
        </w:tc>
        <w:tc>
          <w:tcPr>
            <w:tcW w:w="589"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红蜘蛛</w:t>
            </w: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2"/>
              </w:rPr>
              <w:t>炔螨特</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2"/>
              </w:rPr>
              <w:t>33</w:t>
            </w:r>
            <w:r>
              <w:rPr>
                <w:rFonts w:hint="eastAsia"/>
                <w:spacing w:val="-2"/>
              </w:rPr>
              <w:t>％</w:t>
            </w:r>
            <w:r>
              <w:rPr>
                <w:spacing w:val="-2"/>
              </w:rPr>
              <w:t>乳油</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1</w:t>
            </w:r>
            <w:r>
              <w:rPr>
                <w:spacing w:val="-3"/>
                <w:vertAlign w:val="superscript"/>
              </w:rPr>
              <w:t xml:space="preserve"> </w:t>
            </w:r>
            <w:r>
              <w:rPr>
                <w:spacing w:val="-3"/>
              </w:rPr>
              <w:t>500～2</w:t>
            </w:r>
            <w:r>
              <w:rPr>
                <w:spacing w:val="-3"/>
                <w:vertAlign w:val="superscript"/>
              </w:rPr>
              <w:t xml:space="preserve"> </w:t>
            </w:r>
            <w:r>
              <w:rPr>
                <w:spacing w:val="-3"/>
              </w:rPr>
              <w:t>000</w:t>
            </w:r>
          </w:p>
        </w:tc>
        <w:tc>
          <w:tcPr>
            <w:tcW w:w="39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4"/>
              </w:rPr>
              <w:t>喷雾</w:t>
            </w:r>
          </w:p>
        </w:tc>
        <w:tc>
          <w:tcPr>
            <w:tcW w:w="534"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7"/>
              </w:rPr>
              <w:t>10</w:t>
            </w:r>
            <w:r>
              <w:rPr>
                <w:spacing w:val="12"/>
                <w:vertAlign w:val="superscript"/>
              </w:rPr>
              <w:t xml:space="preserve"> </w:t>
            </w:r>
            <w:r>
              <w:rPr>
                <w:spacing w:val="-7"/>
              </w:rPr>
              <w:t>d</w:t>
            </w:r>
          </w:p>
        </w:tc>
        <w:tc>
          <w:tcPr>
            <w:tcW w:w="1043" w:type="pct"/>
            <w:tcBorders>
              <w:top w:val="single" w:color="000000" w:sz="4" w:space="0"/>
              <w:left w:val="single" w:color="000000" w:sz="4" w:space="0"/>
              <w:bottom w:val="single" w:color="000000" w:sz="4" w:space="0"/>
              <w:tl2br w:val="nil"/>
              <w:tr2bl w:val="nil"/>
            </w:tcBorders>
            <w:vAlign w:val="center"/>
          </w:tcPr>
          <w:p>
            <w:pPr>
              <w:pStyle w:val="230"/>
              <w:spacing w:line="240" w:lineRule="auto"/>
              <w:jc w:val="center"/>
            </w:pPr>
            <w:r>
              <w:rPr>
                <w:spacing w:val="-1"/>
              </w:rPr>
              <w:t>每季度最多能用2次</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nil"/>
              <w:right w:val="single" w:color="000000" w:sz="4" w:space="0"/>
              <w:tl2br w:val="nil"/>
              <w:tr2bl w:val="nil"/>
            </w:tcBorders>
            <w:vAlign w:val="center"/>
          </w:tcPr>
          <w:p>
            <w:pPr>
              <w:pStyle w:val="230"/>
              <w:spacing w:line="240" w:lineRule="auto"/>
              <w:jc w:val="center"/>
            </w:pPr>
          </w:p>
        </w:tc>
        <w:tc>
          <w:tcPr>
            <w:tcW w:w="589" w:type="pct"/>
            <w:vMerge w:val="restar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rPr>
              <w:t>桑缨蚊</w:t>
            </w: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3"/>
                <w:position w:val="9"/>
              </w:rPr>
              <w:t>敌敌畏</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1"/>
              </w:rPr>
            </w:pPr>
            <w:r>
              <w:rPr>
                <w:spacing w:val="-1"/>
              </w:rPr>
              <w:t>80</w:t>
            </w:r>
            <w:r>
              <w:rPr>
                <w:rFonts w:hint="eastAsia"/>
                <w:spacing w:val="-1"/>
              </w:rPr>
              <w:t>％</w:t>
            </w:r>
            <w:r>
              <w:rPr>
                <w:spacing w:val="-1"/>
              </w:rPr>
              <w:t>乳油</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lang w:eastAsia="zh-CN"/>
              </w:rPr>
            </w:pPr>
            <w:r>
              <w:rPr>
                <w:spacing w:val="-2"/>
              </w:rPr>
              <w:t>50</w:t>
            </w:r>
            <w:r>
              <w:rPr>
                <w:spacing w:val="11"/>
                <w:vertAlign w:val="superscript"/>
              </w:rPr>
              <w:t xml:space="preserve"> </w:t>
            </w:r>
            <w:r>
              <w:rPr>
                <w:spacing w:val="-2"/>
              </w:rPr>
              <w:t>g/667</w:t>
            </w:r>
            <w:r>
              <w:rPr>
                <w:spacing w:val="-2"/>
                <w:vertAlign w:val="superscript"/>
              </w:rPr>
              <w:t xml:space="preserve"> </w:t>
            </w:r>
            <w:r>
              <w:rPr>
                <w:spacing w:val="-2"/>
              </w:rPr>
              <w:t>m</w:t>
            </w:r>
            <w:r>
              <w:rPr>
                <w:spacing w:val="-2"/>
                <w:vertAlign w:val="superscript"/>
              </w:rPr>
              <w:t>2</w:t>
            </w:r>
          </w:p>
        </w:tc>
        <w:tc>
          <w:tcPr>
            <w:tcW w:w="398" w:type="pct"/>
            <w:vMerge w:val="restar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pPr>
            <w:r>
              <w:rPr>
                <w:spacing w:val="-4"/>
              </w:rPr>
              <w:t>喷雾</w:t>
            </w:r>
          </w:p>
        </w:tc>
        <w:tc>
          <w:tcPr>
            <w:tcW w:w="534"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6"/>
              </w:rPr>
            </w:pPr>
            <w:r>
              <w:rPr>
                <w:spacing w:val="-6"/>
              </w:rPr>
              <w:t>5</w:t>
            </w:r>
            <w:r>
              <w:rPr>
                <w:spacing w:val="13"/>
                <w:vertAlign w:val="superscript"/>
              </w:rPr>
              <w:t xml:space="preserve"> </w:t>
            </w:r>
            <w:r>
              <w:rPr>
                <w:spacing w:val="-6"/>
              </w:rPr>
              <w:t>d</w:t>
            </w:r>
          </w:p>
        </w:tc>
        <w:tc>
          <w:tcPr>
            <w:tcW w:w="1043" w:type="pct"/>
            <w:vMerge w:val="restart"/>
            <w:tcBorders>
              <w:top w:val="single" w:color="000000" w:sz="4" w:space="0"/>
              <w:left w:val="single" w:color="000000" w:sz="4" w:space="0"/>
              <w:bottom w:val="single" w:color="000000" w:sz="4" w:space="0"/>
              <w:tl2br w:val="nil"/>
              <w:tr2bl w:val="nil"/>
            </w:tcBorders>
            <w:vAlign w:val="center"/>
          </w:tcPr>
          <w:p>
            <w:pPr>
              <w:pStyle w:val="230"/>
              <w:spacing w:line="240" w:lineRule="auto"/>
              <w:jc w:val="center"/>
              <w:rPr>
                <w:lang w:eastAsia="zh-CN"/>
              </w:rPr>
            </w:pPr>
            <w:r>
              <w:rPr>
                <w:spacing w:val="-1"/>
                <w:lang w:eastAsia="zh-CN"/>
              </w:rPr>
              <w:t>虫芽率≧5%喷雾桑芽蚕期可分片封闭喷雾</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single" w:color="000000" w:sz="4" w:space="0"/>
              <w:right w:val="single" w:color="000000" w:sz="4" w:space="0"/>
              <w:tl2br w:val="nil"/>
              <w:tr2bl w:val="nil"/>
            </w:tcBorders>
            <w:vAlign w:val="center"/>
          </w:tcPr>
          <w:p>
            <w:pPr>
              <w:pStyle w:val="230"/>
              <w:spacing w:line="240" w:lineRule="auto"/>
              <w:jc w:val="center"/>
              <w:rPr>
                <w:lang w:eastAsia="zh-CN"/>
              </w:rPr>
            </w:pPr>
          </w:p>
        </w:tc>
        <w:tc>
          <w:tcPr>
            <w:tcW w:w="589" w:type="pct"/>
            <w:vMerge w:val="continue"/>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3"/>
                <w:lang w:eastAsia="zh-CN"/>
              </w:rPr>
            </w:pP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3"/>
                <w:position w:val="9"/>
              </w:rPr>
            </w:pPr>
            <w:r>
              <w:rPr>
                <w:spacing w:val="-3"/>
              </w:rPr>
              <w:t>辛硫磷</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1"/>
              </w:rPr>
            </w:pPr>
            <w:r>
              <w:rPr>
                <w:spacing w:val="-1"/>
              </w:rPr>
              <w:t>40</w:t>
            </w:r>
            <w:r>
              <w:rPr>
                <w:rFonts w:hint="eastAsia"/>
                <w:spacing w:val="-1"/>
              </w:rPr>
              <w:t>％</w:t>
            </w:r>
            <w:r>
              <w:rPr>
                <w:spacing w:val="-1"/>
              </w:rPr>
              <w:t>乳油</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spacing w:val="-3"/>
              </w:rPr>
              <w:t>1</w:t>
            </w:r>
            <w:r>
              <w:rPr>
                <w:spacing w:val="-3"/>
                <w:vertAlign w:val="superscript"/>
              </w:rPr>
              <w:t xml:space="preserve"> </w:t>
            </w:r>
            <w:r>
              <w:rPr>
                <w:spacing w:val="-3"/>
              </w:rPr>
              <w:t>000～2</w:t>
            </w:r>
            <w:r>
              <w:rPr>
                <w:spacing w:val="-3"/>
                <w:vertAlign w:val="superscript"/>
              </w:rPr>
              <w:t xml:space="preserve"> </w:t>
            </w:r>
            <w:r>
              <w:rPr>
                <w:spacing w:val="-3"/>
              </w:rPr>
              <w:t>000</w:t>
            </w:r>
          </w:p>
        </w:tc>
        <w:tc>
          <w:tcPr>
            <w:tcW w:w="398" w:type="pct"/>
            <w:vMerge w:val="continue"/>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4"/>
              </w:rPr>
            </w:pPr>
          </w:p>
        </w:tc>
        <w:tc>
          <w:tcPr>
            <w:tcW w:w="534"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6"/>
              </w:rPr>
            </w:pPr>
            <w:r>
              <w:rPr>
                <w:spacing w:val="-7"/>
              </w:rPr>
              <w:t>10</w:t>
            </w:r>
            <w:r>
              <w:rPr>
                <w:spacing w:val="12"/>
                <w:vertAlign w:val="superscript"/>
              </w:rPr>
              <w:t xml:space="preserve"> </w:t>
            </w:r>
            <w:r>
              <w:rPr>
                <w:spacing w:val="-7"/>
              </w:rPr>
              <w:t>d</w:t>
            </w:r>
          </w:p>
        </w:tc>
        <w:tc>
          <w:tcPr>
            <w:tcW w:w="1043" w:type="pct"/>
            <w:vMerge w:val="continue"/>
            <w:tcBorders>
              <w:top w:val="single" w:color="000000" w:sz="4" w:space="0"/>
              <w:left w:val="single" w:color="000000" w:sz="4" w:space="0"/>
              <w:bottom w:val="single" w:color="000000" w:sz="4" w:space="0"/>
              <w:tl2br w:val="nil"/>
              <w:tr2bl w:val="nil"/>
            </w:tcBorders>
            <w:vAlign w:val="center"/>
          </w:tcPr>
          <w:p>
            <w:pPr>
              <w:pStyle w:val="230"/>
              <w:spacing w:line="240" w:lineRule="auto"/>
              <w:jc w:val="center"/>
              <w:rPr>
                <w:spacing w:val="-1"/>
                <w:lang w:eastAsia="zh-CN"/>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restart"/>
            <w:tcBorders>
              <w:top w:val="single" w:color="000000" w:sz="4" w:space="0"/>
              <w:bottom w:val="nil"/>
              <w:right w:val="single" w:color="000000" w:sz="4" w:space="0"/>
              <w:tl2br w:val="nil"/>
              <w:tr2bl w:val="nil"/>
            </w:tcBorders>
            <w:vAlign w:val="center"/>
          </w:tcPr>
          <w:p>
            <w:pPr>
              <w:spacing w:line="240" w:lineRule="auto"/>
              <w:jc w:val="center"/>
              <w:rPr>
                <w:rFonts w:ascii="宋体" w:hAnsi="宋体"/>
                <w:sz w:val="18"/>
                <w:szCs w:val="18"/>
              </w:rPr>
            </w:pPr>
            <w:r>
              <w:rPr>
                <w:rFonts w:ascii="宋体" w:hAnsi="宋体"/>
                <w:spacing w:val="-2"/>
                <w:sz w:val="18"/>
                <w:szCs w:val="18"/>
              </w:rPr>
              <w:t>主要病害</w:t>
            </w:r>
          </w:p>
        </w:tc>
        <w:tc>
          <w:tcPr>
            <w:tcW w:w="589" w:type="pct"/>
            <w:vMerge w:val="restar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lang w:eastAsia="zh-CN"/>
              </w:rPr>
            </w:pPr>
            <w:r>
              <w:rPr>
                <w:spacing w:val="-2"/>
                <w:lang w:eastAsia="zh-CN"/>
              </w:rPr>
              <w:t>桑细菌性黑枯病（桑疫病、烂</w:t>
            </w:r>
            <w:r>
              <w:rPr>
                <w:spacing w:val="-5"/>
                <w:lang w:eastAsia="zh-CN"/>
              </w:rPr>
              <w:t>头病）</w:t>
            </w: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lang w:eastAsia="zh-CN"/>
              </w:rPr>
            </w:pPr>
            <w:r>
              <w:rPr>
                <w:spacing w:val="-1"/>
                <w:lang w:eastAsia="zh-CN"/>
              </w:rPr>
              <w:t>蚕期</w:t>
            </w:r>
            <w:r>
              <w:rPr>
                <w:rFonts w:hint="eastAsia"/>
                <w:spacing w:val="-1"/>
                <w:lang w:eastAsia="zh-CN"/>
              </w:rPr>
              <w:t>：</w:t>
            </w:r>
            <w:r>
              <w:rPr>
                <w:spacing w:val="-1"/>
                <w:lang w:eastAsia="zh-CN"/>
              </w:rPr>
              <w:t>15</w:t>
            </w:r>
            <w:r>
              <w:rPr>
                <w:rFonts w:hint="eastAsia"/>
                <w:spacing w:val="-1"/>
                <w:lang w:eastAsia="zh-CN"/>
              </w:rPr>
              <w:t>％</w:t>
            </w:r>
            <w:r>
              <w:rPr>
                <w:spacing w:val="-1"/>
                <w:lang w:eastAsia="zh-CN"/>
              </w:rPr>
              <w:t>链霉素+1.5</w:t>
            </w:r>
            <w:r>
              <w:rPr>
                <w:rFonts w:hint="eastAsia"/>
                <w:spacing w:val="-1"/>
                <w:lang w:eastAsia="zh-CN"/>
              </w:rPr>
              <w:t>％</w:t>
            </w:r>
            <w:r>
              <w:rPr>
                <w:spacing w:val="-1"/>
                <w:lang w:eastAsia="zh-CN"/>
              </w:rPr>
              <w:t>土霉素</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contextualSpacing/>
              <w:jc w:val="center"/>
              <w:rPr>
                <w:spacing w:val="-4"/>
              </w:rPr>
            </w:pPr>
            <w:r>
              <w:rPr>
                <w:spacing w:val="-4"/>
              </w:rPr>
              <w:t>混合液</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rPr>
            </w:pPr>
            <w:r>
              <w:rPr>
                <w:spacing w:val="-3"/>
              </w:rPr>
              <w:t>500</w:t>
            </w:r>
          </w:p>
        </w:tc>
        <w:tc>
          <w:tcPr>
            <w:tcW w:w="398" w:type="pct"/>
            <w:vMerge w:val="restar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4"/>
              </w:rPr>
            </w:pPr>
            <w:r>
              <w:rPr>
                <w:spacing w:val="-4"/>
              </w:rPr>
              <w:t>喷雾</w:t>
            </w:r>
          </w:p>
        </w:tc>
        <w:tc>
          <w:tcPr>
            <w:tcW w:w="534" w:type="pct"/>
            <w:vMerge w:val="restar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1"/>
              </w:rPr>
            </w:pPr>
            <w:r>
              <w:rPr>
                <w:spacing w:val="-1"/>
              </w:rPr>
              <w:t>7</w:t>
            </w:r>
            <w:r>
              <w:rPr>
                <w:spacing w:val="-1"/>
                <w:vertAlign w:val="superscript"/>
              </w:rPr>
              <w:t xml:space="preserve"> </w:t>
            </w:r>
            <w:r>
              <w:rPr>
                <w:spacing w:val="-1"/>
              </w:rPr>
              <w:t>d</w:t>
            </w:r>
          </w:p>
        </w:tc>
        <w:tc>
          <w:tcPr>
            <w:tcW w:w="1043" w:type="pct"/>
            <w:vMerge w:val="restart"/>
            <w:tcBorders>
              <w:top w:val="single" w:color="000000" w:sz="4" w:space="0"/>
              <w:left w:val="single" w:color="000000" w:sz="4" w:space="0"/>
              <w:bottom w:val="single" w:color="000000" w:sz="4" w:space="0"/>
              <w:tl2br w:val="nil"/>
              <w:tr2bl w:val="nil"/>
            </w:tcBorders>
            <w:vAlign w:val="center"/>
          </w:tcPr>
          <w:p>
            <w:pPr>
              <w:pStyle w:val="230"/>
              <w:spacing w:line="240" w:lineRule="auto"/>
              <w:jc w:val="center"/>
              <w:rPr>
                <w:spacing w:val="-7"/>
                <w:lang w:eastAsia="zh-CN"/>
              </w:rPr>
            </w:pPr>
            <w:r>
              <w:rPr>
                <w:rFonts w:hint="eastAsia"/>
                <w:spacing w:val="-1"/>
                <w:lang w:eastAsia="zh-CN"/>
              </w:rPr>
              <w:t>喷施嫩芽、嫩稍</w:t>
            </w:r>
            <w:r>
              <w:rPr>
                <w:spacing w:val="-1"/>
                <w:lang w:eastAsia="zh-CN"/>
              </w:rPr>
              <w:t>隔7</w:t>
            </w:r>
            <w:r>
              <w:rPr>
                <w:spacing w:val="-1"/>
                <w:vertAlign w:val="superscript"/>
                <w:lang w:eastAsia="zh-CN"/>
              </w:rPr>
              <w:t xml:space="preserve"> </w:t>
            </w:r>
            <w:r>
              <w:rPr>
                <w:spacing w:val="-1"/>
                <w:lang w:eastAsia="zh-CN"/>
              </w:rPr>
              <w:t>d</w:t>
            </w:r>
            <w:r>
              <w:rPr>
                <w:spacing w:val="-7"/>
                <w:lang w:eastAsia="zh-CN"/>
              </w:rPr>
              <w:t>喷次，连续两次到三次效</w:t>
            </w:r>
            <w:r>
              <w:rPr>
                <w:spacing w:val="-3"/>
                <w:lang w:eastAsia="zh-CN"/>
              </w:rPr>
              <w:t>果明显</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nil"/>
              <w:right w:val="single" w:color="000000" w:sz="4" w:space="0"/>
              <w:tl2br w:val="nil"/>
              <w:tr2bl w:val="nil"/>
            </w:tcBorders>
            <w:vAlign w:val="center"/>
          </w:tcPr>
          <w:p>
            <w:pPr>
              <w:spacing w:line="240" w:lineRule="auto"/>
              <w:jc w:val="center"/>
              <w:rPr>
                <w:rFonts w:ascii="宋体" w:hAnsi="宋体"/>
                <w:spacing w:val="-2"/>
                <w:sz w:val="18"/>
                <w:szCs w:val="18"/>
              </w:rPr>
            </w:pPr>
          </w:p>
        </w:tc>
        <w:tc>
          <w:tcPr>
            <w:tcW w:w="589" w:type="pct"/>
            <w:vMerge w:val="continue"/>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2"/>
                <w:lang w:eastAsia="zh-CN"/>
              </w:rPr>
            </w:pPr>
          </w:p>
        </w:tc>
        <w:tc>
          <w:tcPr>
            <w:tcW w:w="668"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rPr>
                <w:spacing w:val="-1"/>
                <w:lang w:eastAsia="zh-CN"/>
              </w:rPr>
            </w:pPr>
            <w:r>
              <w:rPr>
                <w:spacing w:val="-16"/>
                <w:lang w:eastAsia="zh-CN"/>
              </w:rPr>
              <w:t>非蚕期</w:t>
            </w:r>
            <w:r>
              <w:rPr>
                <w:rFonts w:hint="eastAsia"/>
                <w:spacing w:val="-16"/>
                <w:lang w:eastAsia="zh-CN"/>
              </w:rPr>
              <w:t>：</w:t>
            </w:r>
            <w:r>
              <w:rPr>
                <w:spacing w:val="-16"/>
                <w:lang w:eastAsia="zh-CN"/>
              </w:rPr>
              <w:t>15</w:t>
            </w:r>
            <w:r>
              <w:rPr>
                <w:rFonts w:hint="eastAsia"/>
                <w:spacing w:val="-16"/>
                <w:lang w:eastAsia="zh-CN"/>
              </w:rPr>
              <w:t>％</w:t>
            </w:r>
            <w:r>
              <w:rPr>
                <w:spacing w:val="-16"/>
                <w:lang w:eastAsia="zh-CN"/>
              </w:rPr>
              <w:t>铜</w:t>
            </w:r>
            <w:r>
              <w:rPr>
                <w:spacing w:val="-2"/>
                <w:lang w:eastAsia="zh-CN"/>
              </w:rPr>
              <w:t>氨杀菌剂</w:t>
            </w:r>
          </w:p>
        </w:tc>
        <w:tc>
          <w:tcPr>
            <w:tcW w:w="656"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contextualSpacing/>
              <w:jc w:val="center"/>
              <w:rPr>
                <w:spacing w:val="-4"/>
                <w:lang w:eastAsia="zh-CN"/>
              </w:rPr>
            </w:pPr>
            <w:r>
              <w:rPr>
                <w:spacing w:val="-3"/>
              </w:rPr>
              <w:t>15</w:t>
            </w:r>
            <w:r>
              <w:rPr>
                <w:rFonts w:hint="eastAsia"/>
                <w:spacing w:val="-3"/>
              </w:rPr>
              <w:t>％</w:t>
            </w:r>
            <w:r>
              <w:rPr>
                <w:spacing w:val="-3"/>
              </w:rPr>
              <w:t>混合液</w:t>
            </w:r>
          </w:p>
        </w:tc>
        <w:tc>
          <w:tcPr>
            <w:tcW w:w="605" w:type="pct"/>
            <w:tcBorders>
              <w:top w:val="single" w:color="000000" w:sz="4" w:space="0"/>
              <w:left w:val="single" w:color="000000" w:sz="4" w:space="0"/>
              <w:bottom w:val="single" w:color="000000" w:sz="4" w:space="0"/>
              <w:right w:val="single" w:color="000000" w:sz="4" w:space="0"/>
            </w:tcBorders>
            <w:vAlign w:val="center"/>
          </w:tcPr>
          <w:p>
            <w:pPr>
              <w:pStyle w:val="230"/>
              <w:spacing w:line="240" w:lineRule="auto"/>
              <w:jc w:val="center"/>
              <w:rPr>
                <w:spacing w:val="-3"/>
                <w:lang w:eastAsia="zh-CN"/>
              </w:rPr>
            </w:pPr>
            <w:r>
              <w:rPr>
                <w:spacing w:val="-2"/>
              </w:rPr>
              <w:t>200</w:t>
            </w:r>
          </w:p>
        </w:tc>
        <w:tc>
          <w:tcPr>
            <w:tcW w:w="398"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pStyle w:val="230"/>
              <w:spacing w:line="240" w:lineRule="auto"/>
              <w:jc w:val="center"/>
              <w:rPr>
                <w:spacing w:val="-4"/>
                <w:lang w:eastAsia="zh-CN"/>
              </w:rPr>
            </w:pPr>
          </w:p>
        </w:tc>
        <w:tc>
          <w:tcPr>
            <w:tcW w:w="534"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pPr>
              <w:pStyle w:val="230"/>
              <w:spacing w:line="240" w:lineRule="auto"/>
              <w:jc w:val="center"/>
              <w:rPr>
                <w:spacing w:val="-1"/>
                <w:lang w:eastAsia="zh-CN"/>
              </w:rPr>
            </w:pPr>
          </w:p>
        </w:tc>
        <w:tc>
          <w:tcPr>
            <w:tcW w:w="1043" w:type="pct"/>
            <w:vMerge w:val="continue"/>
            <w:tcBorders>
              <w:top w:val="single" w:color="000000" w:sz="4" w:space="0"/>
              <w:left w:val="single" w:color="000000" w:sz="4" w:space="0"/>
              <w:bottom w:val="single" w:color="000000" w:sz="4" w:space="0"/>
              <w:tl2br w:val="nil"/>
              <w:tr2bl w:val="nil"/>
            </w:tcBorders>
            <w:vAlign w:val="center"/>
          </w:tcPr>
          <w:p>
            <w:pPr>
              <w:pStyle w:val="230"/>
              <w:spacing w:line="240" w:lineRule="auto"/>
              <w:jc w:val="center"/>
              <w:rPr>
                <w:spacing w:val="-1"/>
                <w:lang w:eastAsia="zh-CN"/>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nil"/>
              <w:bottom w:val="single" w:color="000000" w:sz="8" w:space="0"/>
              <w:right w:val="single" w:color="000000" w:sz="4" w:space="0"/>
              <w:tl2br w:val="nil"/>
              <w:tr2bl w:val="nil"/>
            </w:tcBorders>
            <w:vAlign w:val="center"/>
          </w:tcPr>
          <w:p>
            <w:pPr>
              <w:spacing w:line="240" w:lineRule="auto"/>
              <w:jc w:val="center"/>
              <w:rPr>
                <w:rFonts w:ascii="宋体" w:hAnsi="宋体"/>
                <w:sz w:val="18"/>
                <w:szCs w:val="18"/>
              </w:rPr>
            </w:pPr>
          </w:p>
        </w:tc>
        <w:tc>
          <w:tcPr>
            <w:tcW w:w="589" w:type="pct"/>
            <w:vMerge w:val="restart"/>
            <w:tcBorders>
              <w:top w:val="single" w:color="000000" w:sz="4" w:space="0"/>
              <w:left w:val="single" w:color="000000" w:sz="4" w:space="0"/>
              <w:bottom w:val="single" w:color="000000" w:sz="8" w:space="0"/>
              <w:right w:val="single" w:color="000000" w:sz="4" w:space="0"/>
              <w:tl2br w:val="nil"/>
              <w:tr2bl w:val="nil"/>
            </w:tcBorders>
            <w:vAlign w:val="center"/>
          </w:tcPr>
          <w:p>
            <w:pPr>
              <w:pStyle w:val="230"/>
              <w:spacing w:line="240" w:lineRule="auto"/>
              <w:jc w:val="center"/>
              <w:rPr>
                <w:spacing w:val="-2"/>
                <w:lang w:eastAsia="zh-CN"/>
              </w:rPr>
            </w:pPr>
            <w:r>
              <w:rPr>
                <w:rFonts w:hint="eastAsia"/>
                <w:spacing w:val="-2"/>
                <w:lang w:eastAsia="zh-CN"/>
              </w:rPr>
              <w:t>桑赤锈病、桑里白粉病、</w:t>
            </w:r>
            <w:r>
              <w:rPr>
                <w:rFonts w:hint="eastAsia"/>
                <w:lang w:eastAsia="zh-CN"/>
              </w:rPr>
              <w:t>桑褐斑病</w:t>
            </w:r>
          </w:p>
        </w:tc>
        <w:tc>
          <w:tcPr>
            <w:tcW w:w="66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30"/>
              <w:spacing w:line="240" w:lineRule="auto"/>
              <w:jc w:val="center"/>
              <w:rPr>
                <w:spacing w:val="-2"/>
              </w:rPr>
            </w:pPr>
            <w:r>
              <w:rPr>
                <w:rFonts w:hint="eastAsia"/>
                <w:spacing w:val="-2"/>
                <w:lang w:eastAsia="zh-CN"/>
              </w:rPr>
              <w:t>25％三唑酮</w:t>
            </w:r>
          </w:p>
        </w:tc>
        <w:tc>
          <w:tcPr>
            <w:tcW w:w="656"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30"/>
              <w:spacing w:line="240" w:lineRule="auto"/>
              <w:jc w:val="center"/>
              <w:rPr>
                <w:spacing w:val="-2"/>
                <w:lang w:eastAsia="zh-CN"/>
              </w:rPr>
            </w:pPr>
            <w:r>
              <w:rPr>
                <w:rFonts w:hint="eastAsia"/>
                <w:spacing w:val="-2"/>
                <w:lang w:eastAsia="zh-CN"/>
              </w:rPr>
              <w:t>可湿性粉剂</w:t>
            </w:r>
          </w:p>
        </w:tc>
        <w:tc>
          <w:tcPr>
            <w:tcW w:w="605"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30"/>
              <w:spacing w:line="240" w:lineRule="auto"/>
              <w:jc w:val="center"/>
              <w:rPr>
                <w:spacing w:val="-2"/>
                <w:lang w:eastAsia="zh-CN"/>
              </w:rPr>
            </w:pPr>
            <w:r>
              <w:rPr>
                <w:rFonts w:hint="eastAsia"/>
                <w:spacing w:val="-2"/>
                <w:lang w:eastAsia="zh-CN"/>
              </w:rPr>
              <w:t>1</w:t>
            </w:r>
            <w:r>
              <w:rPr>
                <w:spacing w:val="-2"/>
                <w:vertAlign w:val="superscript"/>
                <w:lang w:eastAsia="zh-CN"/>
              </w:rPr>
              <w:t xml:space="preserve"> </w:t>
            </w:r>
            <w:r>
              <w:rPr>
                <w:rFonts w:hint="eastAsia"/>
                <w:spacing w:val="-2"/>
                <w:lang w:eastAsia="zh-CN"/>
              </w:rPr>
              <w:t>500</w:t>
            </w:r>
          </w:p>
        </w:tc>
        <w:tc>
          <w:tcPr>
            <w:tcW w:w="398" w:type="pct"/>
            <w:vMerge w:val="restart"/>
            <w:tcBorders>
              <w:top w:val="single" w:color="000000" w:sz="4" w:space="0"/>
              <w:left w:val="single" w:color="000000" w:sz="4" w:space="0"/>
              <w:bottom w:val="single" w:color="000000" w:sz="8" w:space="0"/>
              <w:right w:val="single" w:color="000000" w:sz="4" w:space="0"/>
              <w:tl2br w:val="nil"/>
              <w:tr2bl w:val="nil"/>
            </w:tcBorders>
            <w:vAlign w:val="center"/>
          </w:tcPr>
          <w:p>
            <w:pPr>
              <w:pStyle w:val="230"/>
              <w:spacing w:line="240" w:lineRule="auto"/>
              <w:jc w:val="center"/>
              <w:rPr>
                <w:spacing w:val="-4"/>
              </w:rPr>
            </w:pPr>
            <w:r>
              <w:rPr>
                <w:spacing w:val="-4"/>
              </w:rPr>
              <w:t>喷雾</w:t>
            </w:r>
          </w:p>
        </w:tc>
        <w:tc>
          <w:tcPr>
            <w:tcW w:w="534" w:type="pct"/>
            <w:vMerge w:val="restart"/>
            <w:tcBorders>
              <w:top w:val="single" w:color="000000" w:sz="4" w:space="0"/>
              <w:left w:val="single" w:color="000000" w:sz="4" w:space="0"/>
              <w:bottom w:val="single" w:color="000000" w:sz="8" w:space="0"/>
              <w:right w:val="single" w:color="000000" w:sz="4" w:space="0"/>
              <w:tl2br w:val="nil"/>
              <w:tr2bl w:val="nil"/>
            </w:tcBorders>
            <w:vAlign w:val="center"/>
          </w:tcPr>
          <w:p>
            <w:pPr>
              <w:pStyle w:val="230"/>
              <w:spacing w:line="240" w:lineRule="auto"/>
              <w:jc w:val="center"/>
              <w:rPr>
                <w:spacing w:val="-1"/>
                <w:lang w:eastAsia="zh-CN"/>
              </w:rPr>
            </w:pPr>
            <w:r>
              <w:rPr>
                <w:spacing w:val="-1"/>
              </w:rPr>
              <w:t>7</w:t>
            </w:r>
            <w:r>
              <w:rPr>
                <w:spacing w:val="-1"/>
                <w:vertAlign w:val="superscript"/>
              </w:rPr>
              <w:t xml:space="preserve"> </w:t>
            </w:r>
            <w:r>
              <w:rPr>
                <w:spacing w:val="-1"/>
              </w:rPr>
              <w:t>d</w:t>
            </w:r>
            <w:r>
              <w:rPr>
                <w:rFonts w:hint="eastAsia"/>
                <w:spacing w:val="-1"/>
                <w:lang w:eastAsia="zh-CN"/>
              </w:rPr>
              <w:t>～10</w:t>
            </w:r>
            <w:r>
              <w:rPr>
                <w:spacing w:val="-1"/>
                <w:vertAlign w:val="superscript"/>
                <w:lang w:eastAsia="zh-CN"/>
              </w:rPr>
              <w:t xml:space="preserve"> </w:t>
            </w:r>
            <w:r>
              <w:rPr>
                <w:spacing w:val="-1"/>
              </w:rPr>
              <w:t>d</w:t>
            </w:r>
          </w:p>
        </w:tc>
        <w:tc>
          <w:tcPr>
            <w:tcW w:w="1043" w:type="pct"/>
            <w:vMerge w:val="restart"/>
            <w:tcBorders>
              <w:top w:val="single" w:color="000000" w:sz="4" w:space="0"/>
              <w:left w:val="single" w:color="000000" w:sz="4" w:space="0"/>
              <w:bottom w:val="single" w:color="000000" w:sz="4" w:space="0"/>
              <w:tl2br w:val="nil"/>
              <w:tr2bl w:val="nil"/>
            </w:tcBorders>
            <w:vAlign w:val="center"/>
          </w:tcPr>
          <w:p>
            <w:pPr>
              <w:pStyle w:val="230"/>
              <w:spacing w:line="240" w:lineRule="auto"/>
              <w:jc w:val="center"/>
              <w:rPr>
                <w:spacing w:val="-7"/>
                <w:lang w:eastAsia="zh-CN"/>
              </w:rPr>
            </w:pPr>
            <w:r>
              <w:rPr>
                <w:rFonts w:hint="eastAsia"/>
                <w:spacing w:val="-7"/>
                <w:lang w:eastAsia="zh-CN"/>
              </w:rPr>
              <w:t>发病初期喷施，间隔10</w:t>
            </w:r>
            <w:r>
              <w:rPr>
                <w:spacing w:val="-7"/>
                <w:vertAlign w:val="superscript"/>
                <w:lang w:eastAsia="zh-CN"/>
              </w:rPr>
              <w:t xml:space="preserve"> </w:t>
            </w:r>
            <w:r>
              <w:rPr>
                <w:spacing w:val="-7"/>
                <w:lang w:eastAsia="zh-CN"/>
              </w:rPr>
              <w:t>d</w:t>
            </w:r>
            <w:r>
              <w:rPr>
                <w:rFonts w:hint="eastAsia"/>
                <w:spacing w:val="-7"/>
                <w:lang w:eastAsia="zh-CN"/>
              </w:rPr>
              <w:t>～15</w:t>
            </w:r>
            <w:r>
              <w:rPr>
                <w:spacing w:val="-7"/>
                <w:vertAlign w:val="superscript"/>
                <w:lang w:eastAsia="zh-CN"/>
              </w:rPr>
              <w:t xml:space="preserve"> </w:t>
            </w:r>
            <w:r>
              <w:rPr>
                <w:spacing w:val="-7"/>
                <w:lang w:eastAsia="zh-CN"/>
              </w:rPr>
              <w:t>d</w:t>
            </w:r>
            <w:r>
              <w:rPr>
                <w:rFonts w:hint="eastAsia"/>
                <w:spacing w:val="-7"/>
                <w:lang w:eastAsia="zh-CN"/>
              </w:rPr>
              <w:t>使用1次，连续交替使用2～3次</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408" w:hRule="atLeast"/>
          <w:jc w:val="center"/>
        </w:trPr>
        <w:tc>
          <w:tcPr>
            <w:tcW w:w="506" w:type="pct"/>
            <w:vMerge w:val="continue"/>
            <w:tcBorders>
              <w:top w:val="single" w:color="000000" w:sz="8" w:space="0"/>
              <w:bottom w:val="single" w:color="000000" w:sz="8" w:space="0"/>
              <w:right w:val="single" w:color="000000" w:sz="4" w:space="0"/>
              <w:tl2br w:val="nil"/>
              <w:tr2bl w:val="nil"/>
            </w:tcBorders>
            <w:vAlign w:val="center"/>
          </w:tcPr>
          <w:p>
            <w:pPr>
              <w:spacing w:line="240" w:lineRule="auto"/>
              <w:jc w:val="center"/>
              <w:rPr>
                <w:rFonts w:ascii="宋体" w:hAnsi="宋体"/>
                <w:sz w:val="18"/>
                <w:szCs w:val="18"/>
              </w:rPr>
            </w:pPr>
          </w:p>
        </w:tc>
        <w:tc>
          <w:tcPr>
            <w:tcW w:w="589" w:type="pct"/>
            <w:vMerge w:val="continue"/>
            <w:tcBorders>
              <w:top w:val="single" w:color="000000" w:sz="8" w:space="0"/>
              <w:left w:val="single" w:color="000000" w:sz="4" w:space="0"/>
              <w:bottom w:val="single" w:color="000000" w:sz="8" w:space="0"/>
              <w:right w:val="single" w:color="000000" w:sz="4" w:space="0"/>
              <w:tl2br w:val="nil"/>
              <w:tr2bl w:val="nil"/>
            </w:tcBorders>
            <w:vAlign w:val="center"/>
          </w:tcPr>
          <w:p>
            <w:pPr>
              <w:pStyle w:val="230"/>
              <w:spacing w:line="240" w:lineRule="auto"/>
              <w:jc w:val="center"/>
              <w:rPr>
                <w:spacing w:val="-2"/>
                <w:lang w:eastAsia="zh-CN"/>
              </w:rPr>
            </w:pPr>
          </w:p>
        </w:tc>
        <w:tc>
          <w:tcPr>
            <w:tcW w:w="668" w:type="pct"/>
            <w:tcBorders>
              <w:top w:val="single" w:color="000000" w:sz="4" w:space="0"/>
              <w:left w:val="single" w:color="000000" w:sz="4" w:space="0"/>
              <w:right w:val="single" w:color="000000" w:sz="4" w:space="0"/>
              <w:tl2br w:val="nil"/>
              <w:tr2bl w:val="nil"/>
            </w:tcBorders>
            <w:vAlign w:val="center"/>
          </w:tcPr>
          <w:p>
            <w:pPr>
              <w:pStyle w:val="230"/>
              <w:spacing w:line="240" w:lineRule="auto"/>
              <w:jc w:val="center"/>
              <w:rPr>
                <w:spacing w:val="-2"/>
                <w:lang w:eastAsia="zh-CN"/>
              </w:rPr>
            </w:pPr>
            <w:r>
              <w:rPr>
                <w:rFonts w:hint="eastAsia"/>
                <w:spacing w:val="-2"/>
                <w:lang w:eastAsia="zh-CN"/>
              </w:rPr>
              <w:t>70％甲基托布津</w:t>
            </w:r>
          </w:p>
        </w:tc>
        <w:tc>
          <w:tcPr>
            <w:tcW w:w="656" w:type="pct"/>
            <w:tcBorders>
              <w:top w:val="single" w:color="000000" w:sz="4" w:space="0"/>
              <w:left w:val="single" w:color="000000" w:sz="4" w:space="0"/>
              <w:right w:val="single" w:color="000000" w:sz="4" w:space="0"/>
              <w:tl2br w:val="nil"/>
              <w:tr2bl w:val="nil"/>
            </w:tcBorders>
            <w:vAlign w:val="center"/>
          </w:tcPr>
          <w:p>
            <w:pPr>
              <w:pStyle w:val="230"/>
              <w:spacing w:line="240" w:lineRule="auto"/>
              <w:jc w:val="center"/>
              <w:rPr>
                <w:spacing w:val="-2"/>
                <w:lang w:eastAsia="zh-CN"/>
              </w:rPr>
            </w:pPr>
            <w:r>
              <w:rPr>
                <w:rFonts w:hint="eastAsia"/>
                <w:spacing w:val="-2"/>
                <w:lang w:eastAsia="zh-CN"/>
              </w:rPr>
              <w:t>可湿性粉剂</w:t>
            </w:r>
          </w:p>
        </w:tc>
        <w:tc>
          <w:tcPr>
            <w:tcW w:w="605" w:type="pct"/>
            <w:tcBorders>
              <w:top w:val="single" w:color="000000" w:sz="4" w:space="0"/>
              <w:left w:val="single" w:color="000000" w:sz="4" w:space="0"/>
              <w:right w:val="single" w:color="000000" w:sz="4" w:space="0"/>
              <w:tl2br w:val="nil"/>
              <w:tr2bl w:val="nil"/>
            </w:tcBorders>
            <w:vAlign w:val="center"/>
          </w:tcPr>
          <w:p>
            <w:pPr>
              <w:pStyle w:val="230"/>
              <w:spacing w:line="240" w:lineRule="auto"/>
              <w:jc w:val="center"/>
              <w:rPr>
                <w:spacing w:val="-2"/>
                <w:lang w:eastAsia="zh-CN"/>
              </w:rPr>
            </w:pPr>
            <w:r>
              <w:rPr>
                <w:rFonts w:hint="eastAsia"/>
                <w:spacing w:val="-2"/>
                <w:lang w:eastAsia="zh-CN"/>
              </w:rPr>
              <w:t>1</w:t>
            </w:r>
            <w:r>
              <w:rPr>
                <w:spacing w:val="-2"/>
                <w:vertAlign w:val="superscript"/>
                <w:lang w:eastAsia="zh-CN"/>
              </w:rPr>
              <w:t xml:space="preserve"> </w:t>
            </w:r>
            <w:r>
              <w:rPr>
                <w:rFonts w:hint="eastAsia"/>
                <w:spacing w:val="-2"/>
                <w:lang w:eastAsia="zh-CN"/>
              </w:rPr>
              <w:t>000～1</w:t>
            </w:r>
            <w:r>
              <w:rPr>
                <w:spacing w:val="-2"/>
                <w:vertAlign w:val="superscript"/>
                <w:lang w:eastAsia="zh-CN"/>
              </w:rPr>
              <w:t xml:space="preserve"> </w:t>
            </w:r>
            <w:r>
              <w:rPr>
                <w:rFonts w:hint="eastAsia"/>
                <w:spacing w:val="-2"/>
                <w:lang w:eastAsia="zh-CN"/>
              </w:rPr>
              <w:t>500</w:t>
            </w:r>
          </w:p>
        </w:tc>
        <w:tc>
          <w:tcPr>
            <w:tcW w:w="398" w:type="pct"/>
            <w:vMerge w:val="continue"/>
            <w:tcBorders>
              <w:top w:val="single" w:color="000000" w:sz="8" w:space="0"/>
              <w:left w:val="single" w:color="000000" w:sz="4" w:space="0"/>
              <w:bottom w:val="single" w:color="000000" w:sz="8" w:space="0"/>
              <w:right w:val="single" w:color="000000" w:sz="4" w:space="0"/>
              <w:tl2br w:val="nil"/>
              <w:tr2bl w:val="nil"/>
            </w:tcBorders>
            <w:vAlign w:val="center"/>
          </w:tcPr>
          <w:p>
            <w:pPr>
              <w:pStyle w:val="230"/>
              <w:spacing w:line="240" w:lineRule="auto"/>
              <w:jc w:val="center"/>
              <w:rPr>
                <w:spacing w:val="-4"/>
              </w:rPr>
            </w:pPr>
          </w:p>
        </w:tc>
        <w:tc>
          <w:tcPr>
            <w:tcW w:w="534" w:type="pct"/>
            <w:vMerge w:val="continue"/>
            <w:tcBorders>
              <w:top w:val="single" w:color="000000" w:sz="8" w:space="0"/>
              <w:left w:val="single" w:color="000000" w:sz="4" w:space="0"/>
              <w:bottom w:val="single" w:color="000000" w:sz="8" w:space="0"/>
              <w:right w:val="single" w:color="000000" w:sz="4" w:space="0"/>
              <w:tl2br w:val="nil"/>
              <w:tr2bl w:val="nil"/>
            </w:tcBorders>
            <w:vAlign w:val="center"/>
          </w:tcPr>
          <w:p>
            <w:pPr>
              <w:pStyle w:val="230"/>
              <w:spacing w:line="240" w:lineRule="auto"/>
              <w:jc w:val="center"/>
              <w:rPr>
                <w:spacing w:val="-1"/>
              </w:rPr>
            </w:pPr>
          </w:p>
        </w:tc>
        <w:tc>
          <w:tcPr>
            <w:tcW w:w="1043" w:type="pct"/>
            <w:vMerge w:val="continue"/>
            <w:tcBorders>
              <w:top w:val="single" w:color="000000" w:sz="4" w:space="0"/>
              <w:left w:val="single" w:color="000000" w:sz="4" w:space="0"/>
              <w:tl2br w:val="nil"/>
              <w:tr2bl w:val="nil"/>
            </w:tcBorders>
            <w:vAlign w:val="center"/>
          </w:tcPr>
          <w:p>
            <w:pPr>
              <w:pStyle w:val="230"/>
              <w:spacing w:line="240" w:lineRule="auto"/>
              <w:jc w:val="center"/>
              <w:rPr>
                <w:spacing w:val="-7"/>
                <w:lang w:eastAsia="zh-CN"/>
              </w:rPr>
            </w:pPr>
          </w:p>
        </w:tc>
      </w:tr>
    </w:tbl>
    <w:p>
      <w:pPr>
        <w:pStyle w:val="56"/>
        <w:ind w:firstLine="0" w:firstLineChars="0"/>
        <w:rPr>
          <w:rFonts w:hint="eastAsia"/>
        </w:rPr>
      </w:pPr>
    </w:p>
    <w:bookmarkEnd w:id="44"/>
    <w:p>
      <w:pPr>
        <w:pStyle w:val="56"/>
        <w:ind w:firstLine="0" w:firstLineChars="0"/>
        <w:jc w:val="center"/>
      </w:pPr>
      <w:bookmarkStart w:id="45"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XXXX—2023</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XXXX—2023</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XXXX—2023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1" w:cryptProviderType="rsaAES" w:cryptAlgorithmClass="hash" w:cryptAlgorithmType="typeAny" w:cryptAlgorithmSid="14" w:cryptSpinCount="100000" w:hash="BxNu0EuI/MGQ08jG1Y5JACBbL1wGc11Gav1uL9Hl2uzSpMNvdCNNXBl/k/WP43oibi8l0nDuRJvDV+ocIWKR8w==" w:salt="WcDIB45B8T1bQSp9G0NJW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0OWNhMGUyYzc2MTI5ZWY2NzM4MTVkMDAwODg0YzMifQ=="/>
  </w:docVars>
  <w:rsids>
    <w:rsidRoot w:val="007B74F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3F9C"/>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6DD"/>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0DA7"/>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3CC"/>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B7C"/>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3EE"/>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B6A"/>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722"/>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4F9"/>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3F76"/>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3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95D"/>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2E00"/>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215"/>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1C6"/>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295"/>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A5B"/>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19A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C56ED2"/>
    <w:rsid w:val="27BB1A8B"/>
    <w:rsid w:val="28FF45B6"/>
    <w:rsid w:val="44E91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sz w:val="44"/>
    </w:rPr>
  </w:style>
  <w:style w:type="paragraph" w:customStyle="1" w:styleId="59">
    <w:name w:val="标准文件_标准代替"/>
    <w:basedOn w:val="1"/>
    <w:next w:val="1"/>
    <w:qFormat/>
    <w:uiPriority w:val="0"/>
    <w:pPr>
      <w:spacing w:line="310" w:lineRule="exact"/>
      <w:jc w:val="right"/>
    </w:pPr>
    <w:rPr>
      <w:rFonts w:ascii="宋体" w:hAnsi="宋体"/>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sz w:val="28"/>
    </w:rPr>
  </w:style>
  <w:style w:type="paragraph" w:customStyle="1" w:styleId="69">
    <w:name w:val="标准文件_封面标准分类号"/>
    <w:basedOn w:val="1"/>
    <w:uiPriority w:val="0"/>
    <w:rPr>
      <w:rFonts w:ascii="黑体" w:eastAsia="黑体"/>
      <w:b/>
      <w:sz w:val="28"/>
    </w:rPr>
  </w:style>
  <w:style w:type="paragraph" w:customStyle="1" w:styleId="70">
    <w:name w:val="标准文件_封面标准名称"/>
    <w:basedOn w:val="1"/>
    <w:uiPriority w:val="0"/>
    <w:pPr>
      <w:spacing w:line="240" w:lineRule="auto"/>
      <w:jc w:val="center"/>
    </w:pPr>
    <w:rPr>
      <w:rFonts w:ascii="黑体" w:eastAsia="黑体"/>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sz w:val="18"/>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Table Text"/>
    <w:basedOn w:val="1"/>
    <w:semiHidden/>
    <w:qFormat/>
    <w:uiPriority w:val="0"/>
    <w:rPr>
      <w:rFonts w:ascii="宋体" w:hAnsi="宋体" w:cs="宋体"/>
      <w:sz w:val="18"/>
      <w:szCs w:val="18"/>
      <w:lang w:eastAsia="en-US"/>
    </w:rPr>
  </w:style>
  <w:style w:type="table" w:customStyle="1" w:styleId="231">
    <w:name w:val="Table Normal"/>
    <w:semiHidden/>
    <w:unhideWhenUsed/>
    <w:qFormat/>
    <w:uiPriority w:val="0"/>
    <w:rPr>
      <w:rFonts w:ascii="Times New Roman" w:hAnsi="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FB544D3E5C4459DA896F041CFB56617"/>
        <w:style w:val=""/>
        <w:category>
          <w:name w:val="常规"/>
          <w:gallery w:val="placeholder"/>
        </w:category>
        <w:types>
          <w:type w:val="bbPlcHdr"/>
        </w:types>
        <w:behaviors>
          <w:behavior w:val="content"/>
        </w:behaviors>
        <w:description w:val=""/>
        <w:guid w:val="{24A8829C-9563-494A-B945-7FA49160A570}"/>
      </w:docPartPr>
      <w:docPartBody>
        <w:p>
          <w:pPr>
            <w:pStyle w:val="5"/>
          </w:pPr>
          <w:r>
            <w:rPr>
              <w:rStyle w:val="4"/>
              <w:rFonts w:hint="eastAsia"/>
            </w:rPr>
            <w:t>单击或点击此处输入文字。</w:t>
          </w:r>
        </w:p>
      </w:docPartBody>
    </w:docPart>
    <w:docPart>
      <w:docPartPr>
        <w:name w:val="85E6AE4E3F8641ED95BBAF6BFE06CD6B"/>
        <w:style w:val=""/>
        <w:category>
          <w:name w:val="常规"/>
          <w:gallery w:val="placeholder"/>
        </w:category>
        <w:types>
          <w:type w:val="bbPlcHdr"/>
        </w:types>
        <w:behaviors>
          <w:behavior w:val="content"/>
        </w:behaviors>
        <w:description w:val=""/>
        <w:guid w:val="{64A5F1C5-2BE0-46DB-9E4C-B28072EF6D30}"/>
      </w:docPartPr>
      <w:docPartBody>
        <w:p>
          <w:pPr>
            <w:pStyle w:val="6"/>
          </w:pPr>
          <w:r>
            <w:rPr>
              <w:rStyle w:val="4"/>
              <w:rFonts w:hint="eastAsia"/>
            </w:rPr>
            <w:t>选择一项。</w:t>
          </w:r>
        </w:p>
      </w:docPartBody>
    </w:docPart>
    <w:docPart>
      <w:docPartPr>
        <w:name w:val="9D51051808E1479D9F917364A0F645CB"/>
        <w:style w:val=""/>
        <w:category>
          <w:name w:val="常规"/>
          <w:gallery w:val="placeholder"/>
        </w:category>
        <w:types>
          <w:type w:val="bbPlcHdr"/>
        </w:types>
        <w:behaviors>
          <w:behavior w:val="content"/>
        </w:behaviors>
        <w:description w:val=""/>
        <w:guid w:val="{F977BA1A-AA88-4B86-A735-9D07A4B6C409}"/>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B25"/>
    <w:rsid w:val="00660B25"/>
    <w:rsid w:val="00D5146B"/>
    <w:rsid w:val="00EF6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FB544D3E5C4459DA896F041CFB5661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5E6AE4E3F8641ED95BBAF6BFE06CD6B"/>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D51051808E1479D9F917364A0F645C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25D611-2220-4F7F-86F2-342AABD66F86}">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9</Pages>
  <Words>608</Words>
  <Characters>3471</Characters>
  <Lines>28</Lines>
  <Paragraphs>8</Paragraphs>
  <TotalTime>1</TotalTime>
  <ScaleCrop>false</ScaleCrop>
  <LinksUpToDate>false</LinksUpToDate>
  <CharactersWithSpaces>4071</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2023-12-25T08:52:00Z</dcterms:created>
  <dc:creator>USER</dc:creator>
  <dc:description>&lt;config cover="true" show_menu="true" version="1.0.0" doctype="SDKXY"&gt;_x000d_
&lt;/config&gt;</dc:description>
  <cp:lastModifiedBy>杀死那朵花</cp:lastModifiedBy>
  <cp:lastPrinted>2021-02-02T08:22:00Z</cp:lastPrinted>
  <dcterms:modified xsi:type="dcterms:W3CDTF">2023-12-25T11:34:48Z</dcterms:modified>
  <dc:title>团体标准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2052-12.1.0.15990</vt:lpwstr>
  </property>
  <property fmtid="{D5CDD505-2E9C-101B-9397-08002B2CF9AE}" pid="16" name="ICV">
    <vt:lpwstr>C7C0EBFFD0C845BF903A1989B75F613D_12</vt:lpwstr>
  </property>
</Properties>
</file>