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13.100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pPr>
                    <w:pStyle w:val="49"/>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C 78</w:t>
            </w:r>
            <w:r>
              <w:rPr>
                <w:rFonts w:ascii="黑体" w:hAnsi="黑体" w:eastAsia="黑体"/>
                <w:sz w:val="21"/>
                <w:szCs w:val="21"/>
              </w:rPr>
              <w:fldChar w:fldCharType="end"/>
            </w:r>
            <w:bookmarkEnd w:id="2"/>
          </w:p>
        </w:tc>
      </w:tr>
    </w:tbl>
    <w:p>
      <w:pPr>
        <w:pStyle w:val="50"/>
        <w:framePr w:w="9639" w:h="624" w:hRule="exact" w:hSpace="181" w:vSpace="181" w:wrap="around" w:hAnchor="page" w:x="1305" w:y="2269"/>
        <w:rPr>
          <w:rFonts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pPr>
        <w:pStyle w:val="195"/>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pPr>
        <w:pStyle w:val="196"/>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垃圾焚烧发电厂安全风险分级管控与隐患排查治理双重预防机制建设指南</w:t>
      </w:r>
      <w:r>
        <w:fldChar w:fldCharType="end"/>
      </w:r>
      <w:bookmarkEnd w:id="8"/>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ascii="黑体" w:hAnsi="黑体" w:eastAsia="黑体"/>
          <w:szCs w:val="28"/>
        </w:rPr>
      </w:pPr>
      <w:r>
        <w:rPr>
          <w:rFonts w:ascii="黑体" w:hAnsi="黑体" w:eastAsia="黑体"/>
          <w:szCs w:val="28"/>
        </w:rPr>
        <w:fldChar w:fldCharType="begin">
          <w:ffData>
            <w:name w:val="ESTD_NAME"/>
            <w:enabled/>
            <w:calcOnExit w:val="0"/>
            <w:textInput>
              <w:default w:val="点击此处添加标准名称的英文译名"/>
            </w:textInput>
          </w:ffData>
        </w:fldChar>
      </w:r>
      <w:bookmarkStart w:id="9" w:name="ESTD_NAME"/>
      <w:r>
        <w:rPr>
          <w:rFonts w:ascii="黑体" w:hAnsi="黑体" w:eastAsia="黑体"/>
          <w:szCs w:val="28"/>
        </w:rPr>
        <w:instrText xml:space="preserve"> FORMTEXT </w:instrText>
      </w:r>
      <w:r>
        <w:rPr>
          <w:rFonts w:ascii="黑体" w:hAnsi="黑体" w:eastAsia="黑体"/>
          <w:szCs w:val="28"/>
        </w:rPr>
        <w:fldChar w:fldCharType="separate"/>
      </w:r>
      <w:r>
        <w:rPr>
          <w:rFonts w:ascii="黑体" w:hAnsi="黑体" w:eastAsia="黑体"/>
          <w:szCs w:val="28"/>
        </w:rPr>
        <w:t>Implementation guideline for the construction of dual prevention mechanism for safety risk classification control and hidden danger investigation and management of waste incineration power plants</w:t>
      </w:r>
      <w:r>
        <w:rPr>
          <w:rFonts w:ascii="黑体" w:hAnsi="黑体" w:eastAsia="黑体"/>
          <w:szCs w:val="28"/>
        </w:rPr>
        <w:fldChar w:fldCharType="end"/>
      </w:r>
      <w:bookmarkEnd w:id="9"/>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pPr>
        <w:pStyle w:val="151"/>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rPr>
        <w:t>广西标准化协会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89"/>
        <w:spacing w:before="900" w:after="360"/>
      </w:pPr>
      <w:bookmarkStart w:id="20" w:name="BookMark2"/>
      <w:r>
        <w:rPr>
          <w:spacing w:val="320"/>
        </w:rPr>
        <w:t>前</w:t>
      </w:r>
      <w:r>
        <w:t>言</w:t>
      </w:r>
    </w:p>
    <w:p>
      <w:pPr>
        <w:pStyle w:val="56"/>
        <w:ind w:firstLine="420"/>
      </w:pPr>
      <w:r>
        <w:rPr>
          <w:rFonts w:hint="eastAsia"/>
        </w:rPr>
        <w:t>本文件参照GB/T 1.1—2020《标准化工作导则  第1部分：标准化文件的结构和起草规则》的规定起草。</w:t>
      </w:r>
    </w:p>
    <w:p>
      <w:pPr>
        <w:pStyle w:val="56"/>
        <w:ind w:firstLine="420"/>
      </w:pPr>
      <w:r>
        <w:rPr>
          <w:rFonts w:hint="eastAsia"/>
        </w:rPr>
        <w:t>请注意本文件的某些内容可能涉及专利。本文件的发布机构不承担识别专利的责任。</w:t>
      </w:r>
    </w:p>
    <w:p>
      <w:pPr>
        <w:pStyle w:val="56"/>
        <w:ind w:firstLine="420"/>
      </w:pPr>
      <w:r>
        <w:rPr>
          <w:rFonts w:hint="eastAsia"/>
        </w:rPr>
        <w:t>本文件由</w:t>
      </w:r>
      <w:r>
        <w:t>广西安全生产科学研究院提出</w:t>
      </w:r>
      <w:r>
        <w:rPr>
          <w:rFonts w:hint="eastAsia"/>
        </w:rPr>
        <w:t>。</w:t>
      </w:r>
    </w:p>
    <w:p>
      <w:pPr>
        <w:pStyle w:val="56"/>
        <w:ind w:firstLine="420"/>
      </w:pPr>
      <w:r>
        <w:rPr>
          <w:rFonts w:hint="eastAsia"/>
        </w:rPr>
        <w:t>本文件由广西标准化协会归口。</w:t>
      </w:r>
    </w:p>
    <w:p>
      <w:pPr>
        <w:pStyle w:val="56"/>
        <w:ind w:firstLine="420"/>
      </w:pPr>
      <w:r>
        <w:rPr>
          <w:rFonts w:hint="eastAsia"/>
        </w:rPr>
        <w:t>本文件起草单位：广西安全生产科学研究院、广西吉锐安全技术有限公司、广西应安联信息技术有限公司</w:t>
      </w:r>
    </w:p>
    <w:p>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rPr>
          <w:rFonts w:hint="eastAsia"/>
        </w:rPr>
        <w:t>本文件主要起草人：黄健、曾觉发、霍祥全、杨文芳、莫华、张峰、冯海昀、韦涛、莫耀林、覃炜秋。</w:t>
      </w:r>
    </w:p>
    <w:bookmarkEnd w:id="20"/>
    <w:p>
      <w:pPr>
        <w:spacing w:line="20" w:lineRule="exact"/>
        <w:jc w:val="center"/>
        <w:rPr>
          <w:rFonts w:ascii="黑体" w:hAnsi="黑体" w:eastAsia="黑体"/>
          <w:sz w:val="32"/>
          <w:szCs w:val="32"/>
        </w:rPr>
      </w:pPr>
      <w:bookmarkStart w:id="21" w:name="BookMark4"/>
    </w:p>
    <w:p>
      <w:pPr>
        <w:spacing w:line="20" w:lineRule="exact"/>
        <w:jc w:val="center"/>
        <w:rPr>
          <w:rFonts w:ascii="黑体" w:hAnsi="黑体" w:eastAsia="黑体"/>
          <w:sz w:val="32"/>
          <w:szCs w:val="32"/>
        </w:rPr>
      </w:pPr>
    </w:p>
    <w:sdt>
      <w:sdtPr>
        <w:tag w:val="NEW_STAND_NAME"/>
        <w:id w:val="595910757"/>
        <w:lock w:val="sdtLocked"/>
        <w:placeholder>
          <w:docPart w:val="A7257A6B785C45D49893DCC163C0B63D"/>
        </w:placeholder>
      </w:sdtPr>
      <w:sdtContent>
        <w:p>
          <w:pPr>
            <w:pStyle w:val="177"/>
            <w:spacing w:before="436" w:beforeLines="182" w:after="528" w:afterLines="220"/>
          </w:pPr>
          <w:bookmarkStart w:id="22" w:name="NEW_STAND_NAME"/>
          <w:r>
            <w:rPr>
              <w:rFonts w:hint="eastAsia"/>
            </w:rPr>
            <w:t>垃圾焚烧发电厂安全风险分级管控与隐患排查治理双重预防机制建设指南</w:t>
          </w:r>
        </w:p>
      </w:sdtContent>
    </w:sdt>
    <w:bookmarkEnd w:id="22"/>
    <w:p>
      <w:pPr>
        <w:pStyle w:val="104"/>
        <w:spacing w:before="240" w:after="240"/>
      </w:pPr>
      <w:bookmarkStart w:id="23" w:name="_Toc17233325"/>
      <w:bookmarkStart w:id="24" w:name="_Toc26718930"/>
      <w:bookmarkStart w:id="25" w:name="_Toc26986530"/>
      <w:bookmarkStart w:id="26" w:name="_Toc26648465"/>
      <w:bookmarkStart w:id="27" w:name="_Toc24884211"/>
      <w:bookmarkStart w:id="28" w:name="_Toc26986771"/>
      <w:bookmarkStart w:id="29" w:name="_Toc17233333"/>
      <w:bookmarkStart w:id="30" w:name="_Toc97192964"/>
      <w:bookmarkStart w:id="31" w:name="_Toc24884218"/>
      <w:r>
        <w:rPr>
          <w:rFonts w:hint="eastAsia"/>
        </w:rPr>
        <w:t>范围</w:t>
      </w:r>
      <w:bookmarkEnd w:id="23"/>
      <w:bookmarkEnd w:id="24"/>
      <w:bookmarkEnd w:id="25"/>
      <w:bookmarkEnd w:id="26"/>
      <w:bookmarkEnd w:id="27"/>
      <w:bookmarkEnd w:id="28"/>
      <w:bookmarkEnd w:id="29"/>
      <w:bookmarkEnd w:id="30"/>
      <w:bookmarkEnd w:id="31"/>
    </w:p>
    <w:p>
      <w:pPr>
        <w:pStyle w:val="56"/>
        <w:ind w:firstLine="420"/>
      </w:pPr>
      <w:bookmarkStart w:id="32" w:name="_Toc17233326"/>
      <w:bookmarkStart w:id="33" w:name="_Toc24884212"/>
      <w:bookmarkStart w:id="34" w:name="_Toc26648466"/>
      <w:bookmarkStart w:id="35" w:name="_Toc24884219"/>
      <w:bookmarkStart w:id="36" w:name="_Toc17233334"/>
      <w:r>
        <w:rPr>
          <w:rFonts w:hint="eastAsia"/>
        </w:rPr>
        <w:t>本文件界定了垃圾焚烧发电厂安全风险分级管控与隐患排查治理双重预防机制（以下</w:t>
      </w:r>
      <w:r>
        <w:t>简称双重预防</w:t>
      </w:r>
      <w:r>
        <w:rPr>
          <w:rFonts w:hint="eastAsia"/>
        </w:rPr>
        <w:t>机制）建设涉及的</w:t>
      </w:r>
      <w:r>
        <w:t>术语和定义</w:t>
      </w:r>
      <w:r>
        <w:rPr>
          <w:rFonts w:hint="eastAsia"/>
        </w:rPr>
        <w:t>，提供了垃圾焚烧发</w:t>
      </w:r>
      <w:r>
        <w:t>电厂</w:t>
      </w:r>
      <w:r>
        <w:rPr>
          <w:rFonts w:hint="eastAsia"/>
        </w:rPr>
        <w:t>双重预防机制基本要求、安全风险分级管控、隐患排查治理、文件管理、信息化建设、体系融合、持续改进等内容的建设指南。</w:t>
      </w:r>
    </w:p>
    <w:p>
      <w:pPr>
        <w:pStyle w:val="56"/>
        <w:ind w:firstLine="420"/>
      </w:pPr>
      <w:r>
        <w:rPr>
          <w:rFonts w:hint="eastAsia"/>
        </w:rPr>
        <w:t>本文件适用于广西行政区域内垃圾焚烧发</w:t>
      </w:r>
      <w:r>
        <w:t>电厂</w:t>
      </w:r>
      <w:r>
        <w:rPr>
          <w:rFonts w:hint="eastAsia"/>
        </w:rPr>
        <w:t>开展双重预防机制建设工作。</w:t>
      </w:r>
    </w:p>
    <w:p>
      <w:pPr>
        <w:pStyle w:val="104"/>
        <w:spacing w:before="240" w:after="240"/>
      </w:pPr>
      <w:bookmarkStart w:id="37" w:name="_Toc97192965"/>
      <w:bookmarkStart w:id="38" w:name="_Toc26986531"/>
      <w:bookmarkStart w:id="39" w:name="_Toc26986772"/>
      <w:bookmarkStart w:id="40" w:name="_Toc26718931"/>
      <w:r>
        <w:rPr>
          <w:rFonts w:hint="eastAsia"/>
        </w:rPr>
        <w:t>规范性引用文件</w:t>
      </w:r>
      <w:bookmarkEnd w:id="32"/>
      <w:bookmarkEnd w:id="33"/>
      <w:bookmarkEnd w:id="34"/>
      <w:bookmarkEnd w:id="35"/>
      <w:bookmarkEnd w:id="36"/>
      <w:bookmarkEnd w:id="37"/>
      <w:bookmarkEnd w:id="38"/>
      <w:bookmarkEnd w:id="39"/>
      <w:bookmarkEnd w:id="40"/>
    </w:p>
    <w:sdt>
      <w:sdtPr>
        <w:rPr>
          <w:rFonts w:hint="eastAsia"/>
        </w:rPr>
        <w:id w:val="715848253"/>
        <w:placeholder>
          <w:docPart w:val="BC7E5BB051914270942D32523990228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rPr>
        <w:t xml:space="preserve">GB 6441 </w:t>
      </w:r>
      <w:r>
        <w:t xml:space="preserve"> </w:t>
      </w:r>
      <w:r>
        <w:rPr>
          <w:rFonts w:hint="eastAsia"/>
        </w:rPr>
        <w:t>企业职工伤亡事故分类</w:t>
      </w:r>
    </w:p>
    <w:p>
      <w:pPr>
        <w:pStyle w:val="56"/>
        <w:ind w:firstLine="420"/>
      </w:pPr>
      <w:r>
        <w:rPr>
          <w:rFonts w:hint="eastAsia"/>
        </w:rPr>
        <w:t>GB/T 13861</w:t>
      </w:r>
      <w:r>
        <w:t xml:space="preserve">  </w:t>
      </w:r>
      <w:r>
        <w:rPr>
          <w:rFonts w:hint="eastAsia"/>
        </w:rPr>
        <w:t>生产过程危险和有害因素分类与代码</w:t>
      </w:r>
    </w:p>
    <w:p>
      <w:pPr>
        <w:pStyle w:val="56"/>
        <w:ind w:firstLine="420"/>
      </w:pPr>
      <w:r>
        <w:rPr>
          <w:rFonts w:hint="eastAsia"/>
        </w:rPr>
        <w:t>GB 18218  危险化学品重大危险源辨识</w:t>
      </w:r>
    </w:p>
    <w:p>
      <w:pPr>
        <w:pStyle w:val="56"/>
        <w:ind w:firstLine="420"/>
      </w:pPr>
      <w:r>
        <w:rPr>
          <w:rFonts w:hint="eastAsia"/>
        </w:rPr>
        <w:t>GB/T 23694</w:t>
      </w:r>
      <w:r>
        <w:t xml:space="preserve">  </w:t>
      </w:r>
      <w:r>
        <w:rPr>
          <w:rFonts w:hint="eastAsia"/>
        </w:rPr>
        <w:t>风险管理  术语</w:t>
      </w:r>
    </w:p>
    <w:p>
      <w:pPr>
        <w:pStyle w:val="56"/>
        <w:ind w:firstLine="420"/>
      </w:pPr>
      <w:r>
        <w:t>GB/T 33000  企业安全生产标准化基本规范</w:t>
      </w:r>
    </w:p>
    <w:p>
      <w:pPr>
        <w:pStyle w:val="56"/>
        <w:ind w:firstLine="420"/>
      </w:pPr>
      <w:r>
        <w:rPr>
          <w:rFonts w:hint="eastAsia"/>
        </w:rPr>
        <w:t>GB 35181</w:t>
      </w:r>
      <w:r>
        <w:t xml:space="preserve">  </w:t>
      </w:r>
      <w:r>
        <w:rPr>
          <w:rFonts w:hint="eastAsia"/>
        </w:rPr>
        <w:t>重大火灾隐患判定方法</w:t>
      </w:r>
    </w:p>
    <w:p>
      <w:pPr>
        <w:pStyle w:val="104"/>
        <w:spacing w:before="240" w:after="240"/>
      </w:pPr>
      <w:bookmarkStart w:id="41" w:name="_Toc97192966"/>
      <w:r>
        <w:rPr>
          <w:rFonts w:hint="eastAsia"/>
          <w:szCs w:val="21"/>
        </w:rPr>
        <w:t>术语和定义</w:t>
      </w:r>
      <w:bookmarkEnd w:id="41"/>
    </w:p>
    <w:sdt>
      <w:sdtPr>
        <w:id w:val="-1909835108"/>
        <w:placeholder>
          <w:docPart w:val="A4F0EF2E4B3A4B2F99D9D340859D97A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42" w:name="_Toc26986532"/>
          <w:bookmarkEnd w:id="42"/>
          <w:r>
            <w:rPr>
              <w:rFonts w:hint="eastAsia"/>
            </w:rPr>
            <w:t>GB/T 23694、GB/T 33000界定</w:t>
          </w:r>
          <w:r>
            <w:t>的以及下列术语和定义适用于本文件。</w:t>
          </w:r>
        </w:p>
      </w:sdtContent>
    </w:sdt>
    <w:p>
      <w:pPr>
        <w:pStyle w:val="223"/>
        <w:ind w:left="420" w:hanging="420" w:hangingChars="200"/>
        <w:rPr>
          <w:rFonts w:ascii="黑体" w:hAnsi="黑体" w:eastAsia="黑体"/>
        </w:rPr>
      </w:pPr>
    </w:p>
    <w:p>
      <w:pPr>
        <w:pStyle w:val="223"/>
        <w:numPr>
          <w:ilvl w:val="0"/>
          <w:numId w:val="0"/>
        </w:numPr>
        <w:ind w:left="420"/>
        <w:rPr>
          <w:rFonts w:ascii="黑体" w:hAnsi="黑体" w:eastAsia="黑体"/>
        </w:rPr>
      </w:pPr>
      <w:r>
        <w:rPr>
          <w:rFonts w:ascii="黑体" w:hAnsi="黑体" w:eastAsia="黑体"/>
        </w:rPr>
        <w:t>垃圾</w:t>
      </w:r>
      <w:bookmarkStart w:id="156" w:name="_GoBack"/>
      <w:bookmarkEnd w:id="156"/>
      <w:r>
        <w:rPr>
          <w:rFonts w:ascii="黑体" w:hAnsi="黑体" w:eastAsia="黑体"/>
        </w:rPr>
        <w:t>焚烧发电厂</w:t>
      </w:r>
      <w:r>
        <w:rPr>
          <w:rFonts w:hint="eastAsia" w:ascii="黑体" w:hAnsi="黑体" w:eastAsia="黑体"/>
        </w:rPr>
        <w:t xml:space="preserve"> </w:t>
      </w:r>
      <w:r>
        <w:rPr>
          <w:rFonts w:ascii="黑体" w:hAnsi="黑体" w:eastAsia="黑体"/>
        </w:rPr>
        <w:t xml:space="preserve"> waste incineration power plants</w:t>
      </w:r>
    </w:p>
    <w:p>
      <w:pPr>
        <w:pStyle w:val="56"/>
        <w:ind w:firstLine="420"/>
      </w:pPr>
      <w:bookmarkStart w:id="43" w:name="_Hlk129682487"/>
      <w:r>
        <w:t>以生活垃圾为主要燃料，通过焚烧垃圾进行发电的</w:t>
      </w:r>
      <w:bookmarkEnd w:id="43"/>
      <w:r>
        <w:t>发电厂</w:t>
      </w:r>
      <w:r>
        <w:rPr>
          <w:rFonts w:hint="eastAsia"/>
        </w:rPr>
        <w:t>。</w:t>
      </w:r>
    </w:p>
    <w:p>
      <w:pPr>
        <w:pStyle w:val="223"/>
        <w:ind w:left="420" w:hanging="420" w:hangingChars="200"/>
        <w:rPr>
          <w:rFonts w:ascii="黑体" w:hAnsi="黑体" w:eastAsia="黑体"/>
        </w:rPr>
      </w:pPr>
      <w:bookmarkStart w:id="44" w:name="_Toc129687435"/>
      <w:bookmarkStart w:id="45" w:name="_Toc132785816"/>
      <w:bookmarkStart w:id="46" w:name="_Toc132806665"/>
      <w:bookmarkStart w:id="47" w:name="_Toc129857368"/>
      <w:bookmarkStart w:id="48" w:name="_Toc132876621"/>
      <w:r>
        <w:rPr>
          <w:rFonts w:ascii="黑体" w:hAnsi="黑体" w:eastAsia="黑体"/>
        </w:rPr>
        <w:br w:type="textWrapping"/>
      </w:r>
      <w:r>
        <w:rPr>
          <w:rFonts w:hint="eastAsia" w:ascii="黑体" w:hAnsi="黑体" w:eastAsia="黑体"/>
        </w:rPr>
        <w:t>相关方</w:t>
      </w:r>
      <w:bookmarkEnd w:id="44"/>
      <w:bookmarkEnd w:id="45"/>
      <w:bookmarkEnd w:id="46"/>
      <w:bookmarkEnd w:id="47"/>
      <w:bookmarkEnd w:id="48"/>
      <w:r>
        <w:rPr>
          <w:rFonts w:hint="eastAsia" w:ascii="黑体" w:hAnsi="黑体" w:eastAsia="黑体"/>
        </w:rPr>
        <w:t xml:space="preserve"> </w:t>
      </w:r>
      <w:r>
        <w:rPr>
          <w:rFonts w:ascii="黑体" w:hAnsi="黑体" w:eastAsia="黑体"/>
        </w:rPr>
        <w:t xml:space="preserve"> </w:t>
      </w:r>
      <w:r>
        <w:rPr>
          <w:rFonts w:hint="eastAsia" w:ascii="黑体" w:hAnsi="黑体" w:eastAsia="黑体"/>
        </w:rPr>
        <w:t>related party</w:t>
      </w:r>
    </w:p>
    <w:p>
      <w:pPr>
        <w:pStyle w:val="56"/>
        <w:ind w:firstLine="420"/>
      </w:pPr>
      <w:bookmarkStart w:id="49" w:name="_Hlk132809488"/>
      <w:r>
        <w:rPr>
          <w:rFonts w:hint="eastAsia"/>
        </w:rPr>
        <w:t>工作场所内外与企业安全生产绩效有关或受其影响的个人或单位，如承包商、供应商等</w:t>
      </w:r>
      <w:bookmarkEnd w:id="49"/>
      <w:r>
        <w:rPr>
          <w:rFonts w:hint="eastAsia"/>
        </w:rPr>
        <w:t>。</w:t>
      </w:r>
    </w:p>
    <w:p>
      <w:pPr>
        <w:pStyle w:val="56"/>
        <w:ind w:firstLine="420"/>
      </w:pPr>
      <w:r>
        <w:rPr>
          <w:rFonts w:hint="eastAsia"/>
        </w:rPr>
        <w:t>[来源：G</w:t>
      </w:r>
      <w:r>
        <w:t>B/T 33000—2016</w:t>
      </w:r>
      <w:r>
        <w:rPr>
          <w:rFonts w:hint="eastAsia"/>
        </w:rPr>
        <w:t>，</w:t>
      </w:r>
      <w:r>
        <w:t>3.4</w:t>
      </w:r>
      <w:r>
        <w:rPr>
          <w:rFonts w:hint="eastAsia"/>
        </w:rPr>
        <w:t>]</w:t>
      </w:r>
    </w:p>
    <w:p>
      <w:pPr>
        <w:pStyle w:val="223"/>
        <w:ind w:left="420" w:hanging="420" w:hangingChars="200"/>
        <w:rPr>
          <w:rFonts w:ascii="黑体" w:hAnsi="黑体" w:eastAsia="黑体"/>
          <w:szCs w:val="21"/>
        </w:rPr>
      </w:pPr>
    </w:p>
    <w:p>
      <w:pPr>
        <w:pStyle w:val="223"/>
        <w:numPr>
          <w:ilvl w:val="0"/>
          <w:numId w:val="0"/>
        </w:numPr>
        <w:ind w:left="420"/>
        <w:rPr>
          <w:rFonts w:ascii="黑体" w:hAnsi="黑体" w:eastAsia="黑体"/>
          <w:szCs w:val="21"/>
        </w:rPr>
      </w:pPr>
      <w:r>
        <w:rPr>
          <w:rFonts w:hint="eastAsia" w:ascii="黑体" w:hAnsi="黑体" w:eastAsia="黑体"/>
        </w:rPr>
        <w:t>固有风险  inherent risk</w:t>
      </w:r>
    </w:p>
    <w:p>
      <w:pPr>
        <w:pStyle w:val="56"/>
        <w:ind w:firstLine="420"/>
      </w:pPr>
      <w:r>
        <w:rPr>
          <w:rFonts w:hint="eastAsia" w:hAnsi="宋体"/>
        </w:rPr>
        <w:t>风险点（单元、设备设施、作业活动等）因其固有危险性（涉及危险物质或能量或其他情况）而潜在的风险。或者是在不考虑现有管控措施的情况下，风险点可能潜在的风险。</w:t>
      </w:r>
    </w:p>
    <w:p>
      <w:pPr>
        <w:pStyle w:val="223"/>
        <w:ind w:left="420" w:hanging="420" w:hangingChars="200"/>
        <w:rPr>
          <w:rFonts w:ascii="黑体" w:hAnsi="黑体" w:eastAsia="黑体"/>
        </w:rPr>
      </w:pPr>
      <w:r>
        <w:rPr>
          <w:rFonts w:hint="eastAsia" w:ascii="黑体" w:hAnsi="黑体" w:eastAsia="黑体"/>
        </w:rPr>
        <w:br w:type="textWrapping"/>
      </w:r>
      <w:r>
        <w:rPr>
          <w:rFonts w:hint="eastAsia" w:ascii="黑体" w:hAnsi="黑体" w:eastAsia="黑体"/>
        </w:rPr>
        <w:t>剩余风险  residual risk</w:t>
      </w:r>
    </w:p>
    <w:p>
      <w:pPr>
        <w:pStyle w:val="56"/>
        <w:ind w:firstLine="420"/>
      </w:pPr>
      <w:r>
        <w:rPr>
          <w:rFonts w:hint="eastAsia" w:hAnsi="宋体"/>
        </w:rPr>
        <w:t>处理风险之后仍然存在的风险。</w:t>
      </w:r>
    </w:p>
    <w:p>
      <w:pPr>
        <w:pStyle w:val="179"/>
      </w:pPr>
      <w:r>
        <w:rPr>
          <w:rFonts w:hint="eastAsia"/>
        </w:rPr>
        <w:t>剩余风险可包括未识别的风险。</w:t>
      </w:r>
    </w:p>
    <w:p>
      <w:pPr>
        <w:pStyle w:val="179"/>
      </w:pPr>
      <w:r>
        <w:rPr>
          <w:rFonts w:hint="eastAsia"/>
        </w:rPr>
        <w:t>剩余风险还可被称为“留存的风险”。</w:t>
      </w:r>
    </w:p>
    <w:p>
      <w:pPr>
        <w:pStyle w:val="56"/>
        <w:ind w:firstLine="420"/>
      </w:pPr>
      <w:r>
        <w:rPr>
          <w:rFonts w:hint="eastAsia" w:hAnsi="宋体"/>
        </w:rPr>
        <w:t>[来源：GB/T 23694，4.8.1.6]</w:t>
      </w:r>
    </w:p>
    <w:p>
      <w:pPr>
        <w:pStyle w:val="104"/>
        <w:spacing w:before="240" w:after="240"/>
      </w:pPr>
      <w:bookmarkStart w:id="50" w:name="_Toc134717459"/>
      <w:r>
        <w:rPr>
          <w:rFonts w:hint="eastAsia"/>
        </w:rPr>
        <w:t>总体要求</w:t>
      </w:r>
      <w:bookmarkEnd w:id="50"/>
    </w:p>
    <w:p>
      <w:pPr>
        <w:pStyle w:val="105"/>
        <w:spacing w:before="120" w:after="120"/>
      </w:pPr>
      <w:bookmarkStart w:id="51" w:name="_Toc134717460"/>
      <w:r>
        <w:rPr>
          <w:rFonts w:hint="eastAsia"/>
        </w:rPr>
        <w:t>基本原则</w:t>
      </w:r>
      <w:bookmarkEnd w:id="51"/>
    </w:p>
    <w:p>
      <w:pPr>
        <w:pStyle w:val="165"/>
        <w:rPr>
          <w:szCs w:val="21"/>
        </w:rPr>
      </w:pPr>
      <w:r>
        <w:rPr>
          <w:rFonts w:hint="eastAsia"/>
        </w:rPr>
        <w:t>企业应建立以主要负责人为核心的工作机制，保证全员参与，建立健全各项安全生产制度，全面辨识危险源，客观分析、评价风险，采取一切合理可行措施消除或控制风险，强化隐患排查、治理、验收闭环管理，防止和减少生产安全事故，持续提升安全绩效。</w:t>
      </w:r>
    </w:p>
    <w:p>
      <w:pPr>
        <w:pStyle w:val="165"/>
      </w:pPr>
      <w:r>
        <w:rPr>
          <w:rFonts w:hint="eastAsia"/>
        </w:rPr>
        <w:t>已建立安全风险分级管控和事故隐患排查治理机制、安全生产标准化管理体系或职业健康安全管理体系的企业，应将安全风险分级管控和隐患排查治理工作作为其安全生产标准化的重要组成部分，并在现行的安全生产体系的基础上，按本标准进一步完善安全管理工作。</w:t>
      </w:r>
    </w:p>
    <w:p>
      <w:pPr>
        <w:pStyle w:val="165"/>
      </w:pPr>
      <w:r>
        <w:rPr>
          <w:rFonts w:hint="eastAsia"/>
        </w:rPr>
        <w:t>企业应建设线上线下融合的双重预防机制信息化平台，包含管理端和移动端。</w:t>
      </w:r>
    </w:p>
    <w:p>
      <w:pPr>
        <w:pStyle w:val="165"/>
      </w:pPr>
      <w:r>
        <w:rPr>
          <w:rFonts w:hint="eastAsia"/>
        </w:rPr>
        <w:t>双重预防机制信息化平台应具备以下功能，包括但不限于：</w:t>
      </w:r>
    </w:p>
    <w:p>
      <w:pPr>
        <w:pStyle w:val="132"/>
      </w:pPr>
      <w:r>
        <w:rPr>
          <w:rFonts w:hint="eastAsia"/>
        </w:rPr>
        <w:t>风险辨识、评估信息的录入及导出；</w:t>
      </w:r>
    </w:p>
    <w:p>
      <w:pPr>
        <w:pStyle w:val="132"/>
      </w:pPr>
      <w:r>
        <w:rPr>
          <w:rFonts w:hint="eastAsia"/>
        </w:rPr>
        <w:t>风险分级管控信息的录入及导出；</w:t>
      </w:r>
    </w:p>
    <w:p>
      <w:pPr>
        <w:pStyle w:val="132"/>
      </w:pPr>
      <w:r>
        <w:rPr>
          <w:rFonts w:hint="eastAsia"/>
        </w:rPr>
        <w:t>支持风险点巡检；</w:t>
      </w:r>
    </w:p>
    <w:p>
      <w:pPr>
        <w:pStyle w:val="132"/>
      </w:pPr>
      <w:r>
        <w:rPr>
          <w:rFonts w:hint="eastAsia"/>
        </w:rPr>
        <w:t>风险公告栏及风险告知图的录入及导出；</w:t>
      </w:r>
    </w:p>
    <w:p>
      <w:pPr>
        <w:pStyle w:val="132"/>
      </w:pPr>
      <w:r>
        <w:rPr>
          <w:rFonts w:hint="eastAsia"/>
        </w:rPr>
        <w:t>隐患排查任务推送；</w:t>
      </w:r>
    </w:p>
    <w:p>
      <w:pPr>
        <w:pStyle w:val="132"/>
      </w:pPr>
      <w:r>
        <w:rPr>
          <w:rFonts w:hint="eastAsia"/>
        </w:rPr>
        <w:t>隐患排查任务和预警信息接收；</w:t>
      </w:r>
    </w:p>
    <w:p>
      <w:pPr>
        <w:pStyle w:val="132"/>
      </w:pPr>
      <w:r>
        <w:rPr>
          <w:rFonts w:hint="eastAsia"/>
        </w:rPr>
        <w:t>现场隐患排查情况实时上报；</w:t>
      </w:r>
    </w:p>
    <w:p>
      <w:pPr>
        <w:pStyle w:val="132"/>
      </w:pPr>
      <w:r>
        <w:rPr>
          <w:rFonts w:hint="eastAsia"/>
        </w:rPr>
        <w:t>隐患治理全程跟踪，自动形成隐患整改台账；</w:t>
      </w:r>
    </w:p>
    <w:p>
      <w:pPr>
        <w:pStyle w:val="132"/>
      </w:pPr>
      <w:r>
        <w:rPr>
          <w:rFonts w:hint="eastAsia"/>
        </w:rPr>
        <w:t>数据统计及分析；</w:t>
      </w:r>
    </w:p>
    <w:p>
      <w:pPr>
        <w:pStyle w:val="132"/>
      </w:pPr>
      <w:r>
        <w:rPr>
          <w:rFonts w:hint="eastAsia"/>
        </w:rPr>
        <w:t>与政府安全生产监管综合智能化平台预留互联互通、信息共享端口。</w:t>
      </w:r>
    </w:p>
    <w:p>
      <w:pPr>
        <w:pStyle w:val="105"/>
        <w:spacing w:before="120" w:after="120"/>
      </w:pPr>
      <w:bookmarkStart w:id="52" w:name="_Toc134717461"/>
      <w:r>
        <w:rPr>
          <w:rFonts w:hint="eastAsia"/>
        </w:rPr>
        <w:t>基本程序</w:t>
      </w:r>
      <w:bookmarkEnd w:id="52"/>
    </w:p>
    <w:p>
      <w:pPr>
        <w:pStyle w:val="56"/>
        <w:ind w:firstLine="420"/>
        <w:rPr>
          <w:rFonts w:hAnsi="宋体"/>
        </w:rPr>
      </w:pPr>
      <w:r>
        <w:rPr>
          <w:rFonts w:hint="eastAsia" w:hAnsi="宋体"/>
        </w:rPr>
        <w:t>见附录A。</w:t>
      </w:r>
    </w:p>
    <w:p>
      <w:pPr>
        <w:pStyle w:val="104"/>
        <w:spacing w:before="240" w:after="240"/>
      </w:pPr>
      <w:bookmarkStart w:id="53" w:name="_Toc134717462"/>
      <w:r>
        <w:rPr>
          <w:rFonts w:hint="eastAsia"/>
        </w:rPr>
        <w:t>计划与准备</w:t>
      </w:r>
      <w:bookmarkEnd w:id="53"/>
    </w:p>
    <w:p>
      <w:pPr>
        <w:pStyle w:val="105"/>
        <w:spacing w:before="120" w:after="120"/>
      </w:pPr>
      <w:bookmarkStart w:id="54" w:name="_Toc134717463"/>
      <w:r>
        <w:rPr>
          <w:rFonts w:hint="eastAsia"/>
        </w:rPr>
        <w:t>成立组织机构</w:t>
      </w:r>
      <w:bookmarkEnd w:id="54"/>
    </w:p>
    <w:p>
      <w:pPr>
        <w:pStyle w:val="56"/>
        <w:ind w:firstLine="420"/>
      </w:pPr>
      <w:r>
        <w:rPr>
          <w:rFonts w:hint="eastAsia"/>
        </w:rPr>
        <w:t>应成立由主要负责人、分管负责人和各职能部门负责人以及安全、设备、电气等各类专业技术人员组成的风险分级管控和隐患排查治理组织领导机构，建立健全双重预防机制责任体系，明确双重预防机制建设和运行的分管负责人、管理部门等各层级人员，负责双重预防机制运行的监督、考核，并明确各级人员的职责：</w:t>
      </w:r>
    </w:p>
    <w:p>
      <w:pPr>
        <w:pStyle w:val="174"/>
      </w:pPr>
      <w:r>
        <w:rPr>
          <w:rFonts w:hint="eastAsia"/>
        </w:rPr>
        <w:t>主要负责人全面负责安全风险分级管控和隐患排查治理双重预防机制建设工作；</w:t>
      </w:r>
    </w:p>
    <w:p>
      <w:pPr>
        <w:pStyle w:val="174"/>
      </w:pPr>
      <w:r>
        <w:rPr>
          <w:rFonts w:hint="eastAsia"/>
        </w:rPr>
        <w:t>分管负责人协助主要负责人推进安全风险分级管控和隐患排查治理双重预防机制建设工作；</w:t>
      </w:r>
    </w:p>
    <w:p>
      <w:pPr>
        <w:pStyle w:val="174"/>
      </w:pPr>
      <w:r>
        <w:rPr>
          <w:rFonts w:hint="eastAsia"/>
        </w:rPr>
        <w:t>各职能部门负责人及各专业技术人员负责分管范围内的风险分级管控和隐患排查治理工作；</w:t>
      </w:r>
    </w:p>
    <w:p>
      <w:pPr>
        <w:pStyle w:val="174"/>
      </w:pPr>
      <w:r>
        <w:rPr>
          <w:rFonts w:hint="eastAsia"/>
        </w:rPr>
        <w:t>其他从业人员按照岗位职责负责岗位安全风险分级管控和隐患排查治理工作。</w:t>
      </w:r>
    </w:p>
    <w:p>
      <w:pPr>
        <w:pStyle w:val="105"/>
        <w:spacing w:before="120" w:after="120"/>
        <w:rPr>
          <w:szCs w:val="21"/>
        </w:rPr>
      </w:pPr>
      <w:bookmarkStart w:id="55" w:name="_Toc134717464"/>
      <w:r>
        <w:rPr>
          <w:rFonts w:hint="eastAsia"/>
        </w:rPr>
        <w:t>制定实施方案</w:t>
      </w:r>
    </w:p>
    <w:p>
      <w:pPr>
        <w:pStyle w:val="56"/>
        <w:ind w:firstLine="420"/>
      </w:pPr>
      <w:r>
        <w:rPr>
          <w:rFonts w:hint="eastAsia" w:hAnsi="宋体"/>
        </w:rPr>
        <w:t>企业应制定实施方案，明确工作目标、实施步骤、工作要求、保障措施等内容，确定风险辨识、风险评估、风险分级、风险管控、隐患排查治理以及持续改进等工作的原则和方法。</w:t>
      </w:r>
    </w:p>
    <w:p>
      <w:pPr>
        <w:pStyle w:val="105"/>
        <w:spacing w:before="120" w:after="120"/>
      </w:pPr>
      <w:r>
        <w:rPr>
          <w:rFonts w:hint="eastAsia"/>
        </w:rPr>
        <w:t>建立健全制度</w:t>
      </w:r>
      <w:bookmarkEnd w:id="55"/>
    </w:p>
    <w:p>
      <w:pPr>
        <w:pStyle w:val="56"/>
        <w:ind w:firstLine="420"/>
      </w:pPr>
      <w:bookmarkStart w:id="56" w:name="_Toc134717465"/>
      <w:r>
        <w:rPr>
          <w:rFonts w:hint="eastAsia"/>
        </w:rPr>
        <w:t>企业宜在安全生产标准化基础上，进一步制定和完善双重预防机制相关制度，形成一体化安全管理体系，应至少包含以下制度：</w:t>
      </w:r>
    </w:p>
    <w:p>
      <w:pPr>
        <w:pStyle w:val="132"/>
      </w:pPr>
      <w:r>
        <w:rPr>
          <w:rFonts w:hint="eastAsia"/>
        </w:rPr>
        <w:t>风险分级管控制度，应至少明确风险辨识范围、风险评估方法、风险管控原则等；</w:t>
      </w:r>
    </w:p>
    <w:p>
      <w:pPr>
        <w:pStyle w:val="132"/>
      </w:pPr>
      <w:r>
        <w:rPr>
          <w:rFonts w:hint="eastAsia"/>
        </w:rPr>
        <w:t>隐患排查治理制度，应至少明确隐患排查范围、频率、人员等；</w:t>
      </w:r>
    </w:p>
    <w:p>
      <w:pPr>
        <w:pStyle w:val="132"/>
      </w:pPr>
      <w:r>
        <w:rPr>
          <w:rFonts w:hint="eastAsia"/>
        </w:rPr>
        <w:t>全员安全生产责任制，应至少明确全体从业人员的安全生产责任、考核办法及奖惩等；</w:t>
      </w:r>
    </w:p>
    <w:p>
      <w:pPr>
        <w:pStyle w:val="132"/>
      </w:pPr>
      <w:r>
        <w:rPr>
          <w:rFonts w:hint="eastAsia"/>
        </w:rPr>
        <w:t>安全风险公告制度，应至少明确风险告知形式、方式等；</w:t>
      </w:r>
    </w:p>
    <w:p>
      <w:pPr>
        <w:pStyle w:val="132"/>
      </w:pPr>
      <w:r>
        <w:rPr>
          <w:rFonts w:hint="eastAsia"/>
        </w:rPr>
        <w:t>双重预防机制建设考核奖惩制度，应至少明确考核奖惩频次、层级、奖惩力度等；</w:t>
      </w:r>
    </w:p>
    <w:p>
      <w:pPr>
        <w:pStyle w:val="132"/>
      </w:pPr>
      <w:r>
        <w:rPr>
          <w:rFonts w:hint="eastAsia"/>
        </w:rPr>
        <w:t>双重预防机制建设运行管理及考核制度，应至少明确管理要求及过程控制考核要求等；</w:t>
      </w:r>
    </w:p>
    <w:p>
      <w:pPr>
        <w:pStyle w:val="132"/>
      </w:pPr>
      <w:r>
        <w:rPr>
          <w:rFonts w:hint="eastAsia"/>
        </w:rPr>
        <w:t>双重预防机制建设教育和培训制度，应至少明确培训计划、对象、内容及频次等；</w:t>
      </w:r>
    </w:p>
    <w:p>
      <w:pPr>
        <w:pStyle w:val="132"/>
      </w:pPr>
      <w:r>
        <w:rPr>
          <w:rFonts w:hint="eastAsia"/>
        </w:rPr>
        <w:t>双重预防机制建设持续改进更新制度，应至少明确定期更新频次、持续改进要求等。</w:t>
      </w:r>
    </w:p>
    <w:bookmarkEnd w:id="56"/>
    <w:p>
      <w:pPr>
        <w:pStyle w:val="105"/>
        <w:spacing w:before="120" w:after="120"/>
        <w:rPr>
          <w:szCs w:val="21"/>
        </w:rPr>
      </w:pPr>
      <w:bookmarkStart w:id="57" w:name="_Toc134717471"/>
      <w:r>
        <w:rPr>
          <w:rFonts w:hint="eastAsia"/>
        </w:rPr>
        <w:t>收集整理资料</w:t>
      </w:r>
    </w:p>
    <w:p>
      <w:pPr>
        <w:pStyle w:val="56"/>
        <w:ind w:firstLine="420"/>
      </w:pPr>
      <w:r>
        <w:rPr>
          <w:rFonts w:hint="eastAsia" w:hAnsi="宋体"/>
        </w:rPr>
        <w:t>企业应收集整理相关资料，包括但不限于：</w:t>
      </w:r>
    </w:p>
    <w:p>
      <w:pPr>
        <w:pStyle w:val="132"/>
      </w:pPr>
      <w:r>
        <w:rPr>
          <w:rFonts w:hint="eastAsia"/>
        </w:rPr>
        <w:t>规划、设计、建设、投产和运行等阶段的相关图纸及文件资料；</w:t>
      </w:r>
    </w:p>
    <w:p>
      <w:pPr>
        <w:pStyle w:val="132"/>
      </w:pPr>
      <w:r>
        <w:rPr>
          <w:rFonts w:hint="eastAsia"/>
        </w:rPr>
        <w:t>与双重预防机制建设工作相关的法律、法规、规章、标准和文件；</w:t>
      </w:r>
    </w:p>
    <w:p>
      <w:pPr>
        <w:pStyle w:val="132"/>
      </w:pPr>
      <w:r>
        <w:rPr>
          <w:rFonts w:hint="eastAsia"/>
        </w:rPr>
        <w:t>本单位规章制度与操作流程、工艺流程、设备设施和物料、机构、岗位、人员与职责设置以及区位、布局与平面布置等资料；</w:t>
      </w:r>
    </w:p>
    <w:p>
      <w:pPr>
        <w:pStyle w:val="132"/>
      </w:pPr>
      <w:r>
        <w:rPr>
          <w:rFonts w:hint="eastAsia"/>
        </w:rPr>
        <w:t>生产安全事故应急预案及相关演练记录；</w:t>
      </w:r>
    </w:p>
    <w:p>
      <w:pPr>
        <w:pStyle w:val="132"/>
      </w:pPr>
      <w:r>
        <w:rPr>
          <w:rFonts w:hint="eastAsia"/>
        </w:rPr>
        <w:t>初步设计、施工图设计等材料；</w:t>
      </w:r>
    </w:p>
    <w:p>
      <w:pPr>
        <w:pStyle w:val="132"/>
      </w:pPr>
      <w:r>
        <w:rPr>
          <w:rFonts w:hint="eastAsia"/>
        </w:rPr>
        <w:t>安全三同时、职业卫生三同时等报告；</w:t>
      </w:r>
    </w:p>
    <w:p>
      <w:pPr>
        <w:pStyle w:val="132"/>
      </w:pPr>
      <w:r>
        <w:rPr>
          <w:rFonts w:hint="eastAsia"/>
        </w:rPr>
        <w:t>职业健康体检资料、职业病危害因素检测等报告；</w:t>
      </w:r>
    </w:p>
    <w:p>
      <w:pPr>
        <w:pStyle w:val="132"/>
      </w:pPr>
      <w:r>
        <w:rPr>
          <w:rFonts w:hint="eastAsia"/>
        </w:rPr>
        <w:t>国内外行业内生产安全事故案例资料；</w:t>
      </w:r>
    </w:p>
    <w:p>
      <w:pPr>
        <w:pStyle w:val="132"/>
      </w:pPr>
      <w:r>
        <w:rPr>
          <w:rFonts w:hint="eastAsia"/>
        </w:rPr>
        <w:t>外来施工单位总体情况及其安全管理情况等；</w:t>
      </w:r>
    </w:p>
    <w:p>
      <w:pPr>
        <w:pStyle w:val="132"/>
      </w:pPr>
      <w:r>
        <w:rPr>
          <w:rFonts w:hint="eastAsia"/>
        </w:rPr>
        <w:t>本单位危险源清单、重大危险源清单等；</w:t>
      </w:r>
    </w:p>
    <w:p>
      <w:pPr>
        <w:pStyle w:val="132"/>
      </w:pPr>
      <w:r>
        <w:rPr>
          <w:rFonts w:hint="eastAsia"/>
        </w:rPr>
        <w:t>本单位各类安全检查台账资料；</w:t>
      </w:r>
    </w:p>
    <w:p>
      <w:pPr>
        <w:pStyle w:val="132"/>
      </w:pPr>
      <w:r>
        <w:rPr>
          <w:rFonts w:hint="eastAsia"/>
        </w:rPr>
        <w:t>本单位安全管理相关资料及与安全生产相关的其他技术资料。</w:t>
      </w:r>
    </w:p>
    <w:p>
      <w:pPr>
        <w:pStyle w:val="105"/>
        <w:spacing w:before="120" w:after="120"/>
      </w:pPr>
      <w:r>
        <w:rPr>
          <w:rFonts w:hint="eastAsia"/>
        </w:rPr>
        <w:t>安全教育及培训</w:t>
      </w:r>
    </w:p>
    <w:p>
      <w:pPr>
        <w:pStyle w:val="65"/>
        <w:spacing w:before="120" w:after="120"/>
      </w:pPr>
      <w:r>
        <w:rPr>
          <w:rFonts w:hint="eastAsia"/>
        </w:rPr>
        <w:t>基本要求</w:t>
      </w:r>
    </w:p>
    <w:p>
      <w:pPr>
        <w:pStyle w:val="56"/>
        <w:ind w:firstLine="420"/>
      </w:pPr>
      <w:r>
        <w:rPr>
          <w:rFonts w:hint="eastAsia" w:hAnsi="宋体"/>
        </w:rPr>
        <w:t>企业应制定双重预防机制建设教育及培训计划，明确各级车间（部门）、人员的培训内容及考核要求，分层次、分阶段开展培训工作，并建立培训记录档案。</w:t>
      </w:r>
    </w:p>
    <w:p>
      <w:pPr>
        <w:pStyle w:val="65"/>
        <w:spacing w:before="120" w:after="120"/>
      </w:pPr>
      <w:r>
        <w:rPr>
          <w:rFonts w:hint="eastAsia"/>
        </w:rPr>
        <w:t>主要负责人和安全管理人员</w:t>
      </w:r>
    </w:p>
    <w:p>
      <w:pPr>
        <w:pStyle w:val="164"/>
      </w:pPr>
      <w:r>
        <w:rPr>
          <w:rFonts w:hint="eastAsia"/>
        </w:rPr>
        <w:t>企业主要负责人和安全管理人员应具备与所从事的生产经营活动相适应的双重预防机制建设的知识与能力。</w:t>
      </w:r>
    </w:p>
    <w:p>
      <w:pPr>
        <w:pStyle w:val="164"/>
      </w:pPr>
      <w:r>
        <w:rPr>
          <w:rFonts w:hint="eastAsia"/>
        </w:rPr>
        <w:t>企业应定期对各级管理人员进行教育培训，使其具备岗位双重预防机制建设的知识与能力。</w:t>
      </w:r>
    </w:p>
    <w:p>
      <w:pPr>
        <w:pStyle w:val="65"/>
        <w:spacing w:before="120" w:after="120"/>
      </w:pPr>
      <w:r>
        <w:rPr>
          <w:rFonts w:hint="eastAsia"/>
        </w:rPr>
        <w:t>从业人员</w:t>
      </w:r>
    </w:p>
    <w:p>
      <w:pPr>
        <w:pStyle w:val="164"/>
      </w:pPr>
      <w:r>
        <w:rPr>
          <w:rFonts w:hint="eastAsia"/>
        </w:rPr>
        <w:t>企业应通过专题培训、三级教育、日常班组会和业内交流观摩等方式开展从业人员安全教育培训，保证从业人员熟悉有关法规、标准和制度的要求，掌握本岗位危险源辨识、风险分析、风险评价、风险管控、隐患排查治理、应急处置的知识和技能。</w:t>
      </w:r>
    </w:p>
    <w:p>
      <w:pPr>
        <w:pStyle w:val="164"/>
      </w:pPr>
      <w:r>
        <w:rPr>
          <w:rFonts w:hint="eastAsia"/>
        </w:rPr>
        <w:t>从事特种作业和特种设备作业的人员应按照有关规定，经过专门的教育培训，考核合格取得相应的资格后方可上岗作业，并定期接受复审。</w:t>
      </w:r>
    </w:p>
    <w:p>
      <w:pPr>
        <w:pStyle w:val="164"/>
      </w:pPr>
      <w:r>
        <w:rPr>
          <w:rFonts w:hint="eastAsia"/>
        </w:rPr>
        <w:t>应在新技术、新工艺、新设备和新材料投入生产使用前，对相关从业人员进行有针对性教育培训，确保其具备相应的风险评估及紧急情况应急处置能力。</w:t>
      </w:r>
    </w:p>
    <w:p>
      <w:pPr>
        <w:pStyle w:val="65"/>
        <w:spacing w:before="120" w:after="120"/>
      </w:pPr>
      <w:r>
        <w:rPr>
          <w:rFonts w:hint="eastAsia"/>
        </w:rPr>
        <w:t>外来人员</w:t>
      </w:r>
    </w:p>
    <w:p>
      <w:pPr>
        <w:pStyle w:val="164"/>
      </w:pPr>
      <w:r>
        <w:rPr>
          <w:rFonts w:hint="eastAsia"/>
        </w:rPr>
        <w:t>企业应对进入本企业从事服务作业、检查、参观、学习的外来人员进行有针对性的教育培训和风险告知，并保存记录。</w:t>
      </w:r>
    </w:p>
    <w:p>
      <w:pPr>
        <w:pStyle w:val="164"/>
      </w:pPr>
      <w:r>
        <w:rPr>
          <w:rFonts w:hint="eastAsia"/>
        </w:rPr>
        <w:t>培训和告知内容应包括：</w:t>
      </w:r>
    </w:p>
    <w:p>
      <w:pPr>
        <w:pStyle w:val="132"/>
      </w:pPr>
      <w:r>
        <w:rPr>
          <w:rFonts w:hint="eastAsia"/>
        </w:rPr>
        <w:t>企业安全规定；</w:t>
      </w:r>
    </w:p>
    <w:p>
      <w:pPr>
        <w:pStyle w:val="132"/>
      </w:pPr>
      <w:r>
        <w:rPr>
          <w:rFonts w:hint="eastAsia"/>
        </w:rPr>
        <w:t>作业安全要求；</w:t>
      </w:r>
    </w:p>
    <w:p>
      <w:pPr>
        <w:pStyle w:val="132"/>
      </w:pPr>
      <w:r>
        <w:rPr>
          <w:rFonts w:hint="eastAsia"/>
        </w:rPr>
        <w:t>作业或活动可能接触到的风险；</w:t>
      </w:r>
    </w:p>
    <w:p>
      <w:pPr>
        <w:pStyle w:val="132"/>
      </w:pPr>
      <w:r>
        <w:rPr>
          <w:rFonts w:hint="eastAsia"/>
        </w:rPr>
        <w:t>风险等级及管控措施；</w:t>
      </w:r>
    </w:p>
    <w:p>
      <w:pPr>
        <w:pStyle w:val="132"/>
      </w:pPr>
      <w:r>
        <w:rPr>
          <w:rFonts w:hint="eastAsia"/>
        </w:rPr>
        <w:t>应急知识等。</w:t>
      </w:r>
    </w:p>
    <w:p>
      <w:pPr>
        <w:pStyle w:val="104"/>
        <w:spacing w:before="240" w:after="240"/>
      </w:pPr>
      <w:r>
        <w:rPr>
          <w:rFonts w:hint="eastAsia"/>
        </w:rPr>
        <w:t>安全风险分级管控</w:t>
      </w:r>
      <w:bookmarkEnd w:id="57"/>
    </w:p>
    <w:p>
      <w:pPr>
        <w:pStyle w:val="105"/>
        <w:spacing w:before="120" w:after="120"/>
      </w:pPr>
      <w:bookmarkStart w:id="58" w:name="_Toc129857391"/>
      <w:bookmarkStart w:id="59" w:name="_Toc132785841"/>
      <w:bookmarkStart w:id="60" w:name="_Toc16306"/>
      <w:bookmarkStart w:id="61" w:name="_Toc132876643"/>
      <w:bookmarkStart w:id="62" w:name="_Toc134697635"/>
      <w:bookmarkStart w:id="63" w:name="_Toc129687458"/>
      <w:bookmarkStart w:id="64" w:name="_Toc134717472"/>
      <w:bookmarkStart w:id="65" w:name="_Toc132806687"/>
      <w:r>
        <w:rPr>
          <w:rFonts w:hint="eastAsia"/>
        </w:rPr>
        <w:t>基本要求</w:t>
      </w:r>
      <w:bookmarkEnd w:id="58"/>
      <w:bookmarkEnd w:id="59"/>
      <w:bookmarkEnd w:id="60"/>
      <w:bookmarkEnd w:id="61"/>
      <w:bookmarkEnd w:id="62"/>
      <w:bookmarkEnd w:id="63"/>
      <w:bookmarkEnd w:id="64"/>
      <w:bookmarkEnd w:id="65"/>
    </w:p>
    <w:p>
      <w:pPr>
        <w:pStyle w:val="56"/>
        <w:ind w:firstLine="420"/>
        <w:rPr>
          <w:rFonts w:hAnsi="宋体"/>
        </w:rPr>
      </w:pPr>
      <w:r>
        <w:rPr>
          <w:rFonts w:hint="eastAsia" w:hAnsi="宋体"/>
        </w:rPr>
        <w:t>企业应自主开展风险划分、风险辨识、风险评价、风险分级、风险分级管控及风险告知，定期检查风险管控措施落实情况，分析风险管控效果，完善管控措施。</w:t>
      </w:r>
    </w:p>
    <w:p>
      <w:pPr>
        <w:pStyle w:val="231"/>
      </w:pPr>
      <w:r>
        <w:rPr>
          <w:rFonts w:hint="eastAsia" w:hAnsi="宋体"/>
        </w:rPr>
        <w:t>企业应自主制定管控方案或措施，对于专业性强、技术含量高、管控体系复杂的管控方案或措施，可聘请外部机构或专家指导制定</w:t>
      </w:r>
      <w:r>
        <w:rPr>
          <w:rFonts w:hint="eastAsia" w:ascii="宋体" w:hAnsi="宋体"/>
        </w:rPr>
        <w:t>给出</w:t>
      </w:r>
      <w:r>
        <w:rPr>
          <w:rFonts w:ascii="宋体" w:hAnsi="宋体"/>
        </w:rPr>
        <w:t>了</w:t>
      </w:r>
      <w:r>
        <w:rPr>
          <w:rFonts w:hint="eastAsia" w:ascii="宋体" w:hAnsi="宋体"/>
        </w:rPr>
        <w:t>双重预防机制建设</w:t>
      </w:r>
      <w:r>
        <w:rPr>
          <w:rFonts w:ascii="宋体" w:hAnsi="宋体"/>
        </w:rPr>
        <w:t>的基本程序</w:t>
      </w:r>
      <w:r>
        <w:rPr>
          <w:rFonts w:hint="eastAsia" w:hAnsi="宋体"/>
        </w:rPr>
        <w:t>。</w:t>
      </w:r>
    </w:p>
    <w:p>
      <w:pPr>
        <w:pStyle w:val="105"/>
        <w:spacing w:before="120" w:after="120"/>
      </w:pPr>
      <w:bookmarkStart w:id="66" w:name="_Toc134717473"/>
      <w:bookmarkStart w:id="67" w:name="_Toc132876644"/>
      <w:bookmarkStart w:id="68" w:name="_Toc132785842"/>
      <w:bookmarkStart w:id="69" w:name="_Toc132806688"/>
      <w:bookmarkStart w:id="70" w:name="_Toc134697636"/>
      <w:bookmarkStart w:id="71" w:name="_Toc17726"/>
      <w:r>
        <w:rPr>
          <w:rFonts w:hint="eastAsia"/>
        </w:rPr>
        <w:t>风险划分</w:t>
      </w:r>
      <w:bookmarkEnd w:id="66"/>
      <w:bookmarkEnd w:id="67"/>
      <w:bookmarkEnd w:id="68"/>
      <w:bookmarkEnd w:id="69"/>
      <w:bookmarkEnd w:id="70"/>
      <w:bookmarkEnd w:id="71"/>
    </w:p>
    <w:p>
      <w:pPr>
        <w:pStyle w:val="65"/>
        <w:spacing w:before="120" w:after="120"/>
      </w:pPr>
      <w:bookmarkStart w:id="72" w:name="_Toc132785843"/>
      <w:bookmarkStart w:id="73" w:name="_Toc134717474"/>
      <w:r>
        <w:rPr>
          <w:rFonts w:hint="eastAsia"/>
        </w:rPr>
        <w:t>风险区域划分</w:t>
      </w:r>
      <w:bookmarkEnd w:id="72"/>
      <w:bookmarkEnd w:id="73"/>
    </w:p>
    <w:p>
      <w:pPr>
        <w:pStyle w:val="56"/>
        <w:ind w:firstLine="420"/>
        <w:rPr>
          <w:rFonts w:hAnsi="宋体"/>
        </w:rPr>
      </w:pPr>
      <w:r>
        <w:rPr>
          <w:rFonts w:hint="eastAsia"/>
        </w:rPr>
        <w:t>垃圾焚烧发电厂企业在开展风险评估前，应根据工艺流程、生产工段、储存罐区、作业场所、平面布局等划分风险区域（风险分析单元），建立垃圾焚烧发电厂企业《安全风险区域划分登记表》，</w:t>
      </w:r>
      <w:bookmarkStart w:id="74" w:name="_Hlk132357381"/>
      <w:r>
        <w:rPr>
          <w:rFonts w:hint="eastAsia"/>
        </w:rPr>
        <w:t>见附表B</w:t>
      </w:r>
      <w:r>
        <w:t>.1</w:t>
      </w:r>
      <w:bookmarkEnd w:id="74"/>
      <w:r>
        <w:rPr>
          <w:rFonts w:hint="eastAsia"/>
        </w:rPr>
        <w:t>。</w:t>
      </w:r>
    </w:p>
    <w:p>
      <w:pPr>
        <w:pStyle w:val="65"/>
        <w:spacing w:before="120" w:after="120"/>
      </w:pPr>
      <w:bookmarkStart w:id="75" w:name="_Toc134717475"/>
      <w:bookmarkStart w:id="76" w:name="_Toc129687459"/>
      <w:bookmarkStart w:id="77" w:name="_Toc132785844"/>
      <w:bookmarkStart w:id="78" w:name="_Toc129857392"/>
      <w:r>
        <w:rPr>
          <w:rFonts w:hint="eastAsia"/>
        </w:rPr>
        <w:t>风险点划分</w:t>
      </w:r>
      <w:bookmarkEnd w:id="75"/>
      <w:bookmarkEnd w:id="76"/>
      <w:bookmarkEnd w:id="77"/>
      <w:bookmarkEnd w:id="78"/>
    </w:p>
    <w:p>
      <w:pPr>
        <w:pStyle w:val="56"/>
        <w:ind w:firstLine="420"/>
      </w:pPr>
      <w:r>
        <w:rPr>
          <w:rFonts w:hint="eastAsia"/>
        </w:rPr>
        <w:t>风险点划分应遵循大小适中、便于分类、功能独立、易于管理、范围清晰的原则，根据垃圾焚烧发电厂企业各风险区域建立《风险点登记台账》及相应的《设备设施清单》、《作业活动清单》，见表B</w:t>
      </w:r>
      <w:r>
        <w:t>.2</w:t>
      </w:r>
      <w:r>
        <w:rPr>
          <w:rFonts w:hint="eastAsia"/>
        </w:rPr>
        <w:t>、表B</w:t>
      </w:r>
      <w:r>
        <w:t>.3</w:t>
      </w:r>
      <w:r>
        <w:rPr>
          <w:rFonts w:hint="eastAsia"/>
        </w:rPr>
        <w:t>、表B</w:t>
      </w:r>
      <w:r>
        <w:t>.4</w:t>
      </w:r>
      <w:r>
        <w:rPr>
          <w:rFonts w:hint="eastAsia"/>
        </w:rPr>
        <w:t>。</w:t>
      </w:r>
    </w:p>
    <w:p>
      <w:pPr>
        <w:pStyle w:val="105"/>
        <w:spacing w:before="120" w:after="120"/>
      </w:pPr>
      <w:bookmarkStart w:id="79" w:name="_Toc134717476"/>
      <w:bookmarkStart w:id="80" w:name="_Toc129687460"/>
      <w:bookmarkStart w:id="81" w:name="_Toc132876645"/>
      <w:bookmarkStart w:id="82" w:name="_Toc132785845"/>
      <w:bookmarkStart w:id="83" w:name="_Toc132806689"/>
      <w:bookmarkStart w:id="84" w:name="_Toc7252"/>
      <w:bookmarkStart w:id="85" w:name="_Toc129857393"/>
      <w:bookmarkStart w:id="86" w:name="_Toc134697637"/>
      <w:r>
        <w:rPr>
          <w:rFonts w:hint="eastAsia"/>
        </w:rPr>
        <w:t>风险辨识</w:t>
      </w:r>
      <w:bookmarkEnd w:id="79"/>
      <w:bookmarkEnd w:id="80"/>
      <w:bookmarkEnd w:id="81"/>
      <w:bookmarkEnd w:id="82"/>
      <w:bookmarkEnd w:id="83"/>
      <w:bookmarkEnd w:id="84"/>
      <w:bookmarkEnd w:id="85"/>
      <w:bookmarkEnd w:id="86"/>
    </w:p>
    <w:p>
      <w:pPr>
        <w:pStyle w:val="65"/>
        <w:spacing w:before="120" w:after="120"/>
      </w:pPr>
      <w:bookmarkStart w:id="87" w:name="_Toc134717477"/>
      <w:bookmarkStart w:id="88" w:name="_Toc129857394"/>
      <w:bookmarkStart w:id="89" w:name="_Toc132785846"/>
      <w:bookmarkStart w:id="90" w:name="_Toc129687461"/>
      <w:r>
        <w:rPr>
          <w:rFonts w:hint="eastAsia"/>
        </w:rPr>
        <w:t>基本原则</w:t>
      </w:r>
      <w:bookmarkEnd w:id="87"/>
      <w:bookmarkEnd w:id="88"/>
      <w:bookmarkEnd w:id="89"/>
      <w:bookmarkEnd w:id="90"/>
    </w:p>
    <w:p>
      <w:pPr>
        <w:pStyle w:val="56"/>
        <w:ind w:firstLine="420"/>
      </w:pPr>
      <w:r>
        <w:rPr>
          <w:rFonts w:hint="eastAsia"/>
        </w:rPr>
        <w:t>垃圾焚烧发电厂企业应根据评估目的，结合自身生产经营特点，选择适用的风险评估方法，对生产准备、实施、维护和终止等阶段进行危险有害因素辨识，确定可能发生的事故类别。</w:t>
      </w:r>
      <w:r>
        <w:rPr>
          <w:rFonts w:hint="eastAsia" w:hAnsi="宋体"/>
        </w:rPr>
        <w:t>危险源或潜在事件应按照GB/T 13861开展辨识。</w:t>
      </w:r>
      <w:r>
        <w:rPr>
          <w:rFonts w:hint="eastAsia"/>
        </w:rPr>
        <w:t>事故类别应按照GB</w:t>
      </w:r>
      <w:r>
        <w:t xml:space="preserve"> </w:t>
      </w:r>
      <w:r>
        <w:rPr>
          <w:rFonts w:hint="eastAsia"/>
        </w:rPr>
        <w:t>6441的规定进行划分</w:t>
      </w:r>
      <w:r>
        <w:rPr>
          <w:rFonts w:hint="eastAsia" w:hAnsi="宋体"/>
        </w:rPr>
        <w:t>。</w:t>
      </w:r>
    </w:p>
    <w:p>
      <w:pPr>
        <w:pStyle w:val="65"/>
        <w:spacing w:before="120" w:after="120"/>
      </w:pPr>
      <w:bookmarkStart w:id="91" w:name="_Toc132785847"/>
      <w:bookmarkStart w:id="92" w:name="_Toc134717478"/>
      <w:r>
        <w:rPr>
          <w:rFonts w:hint="eastAsia"/>
        </w:rPr>
        <w:t>辨识对象</w:t>
      </w:r>
      <w:r>
        <w:t>及</w:t>
      </w:r>
      <w:r>
        <w:rPr>
          <w:rFonts w:hint="eastAsia"/>
        </w:rPr>
        <w:t>范围</w:t>
      </w:r>
      <w:bookmarkEnd w:id="91"/>
      <w:bookmarkEnd w:id="92"/>
    </w:p>
    <w:p>
      <w:pPr>
        <w:pStyle w:val="164"/>
      </w:pPr>
      <w:bookmarkStart w:id="93" w:name="_Toc129687464"/>
      <w:bookmarkStart w:id="94" w:name="_Toc134717479"/>
      <w:bookmarkStart w:id="95" w:name="_Toc132785848"/>
      <w:bookmarkStart w:id="96" w:name="_Toc129857397"/>
      <w:r>
        <w:rPr>
          <w:rFonts w:hint="eastAsia"/>
        </w:rPr>
        <w:t>垃圾接收、储存及投料系统：地磅房、垃圾运输车辆的运输；垃圾分选系统和设备；倾倒垃圾、卸料平台作业；垃圾仓；渗滤液收集池或渗滤液收集沟道作业、渗滤液输送；垃圾吊运，排渣破碎机；临边作业等。</w:t>
      </w:r>
    </w:p>
    <w:p>
      <w:pPr>
        <w:pStyle w:val="164"/>
      </w:pPr>
      <w:r>
        <w:rPr>
          <w:rFonts w:hint="eastAsia"/>
        </w:rPr>
        <w:t>垃圾焚烧炉系统：焚烧炉启动、运行、停止；润滑油系统、柴油/天然气等辅助燃烧系统操作、锅炉液压油系统、焚烧炉和辅机检修，高空区域的巡视检查：锅炉堵灰处理作业、锅炉人工放渣作业、锅炉打焦和积灰清理作业等。</w:t>
      </w:r>
    </w:p>
    <w:p>
      <w:pPr>
        <w:pStyle w:val="164"/>
      </w:pPr>
      <w:r>
        <w:rPr>
          <w:rFonts w:hint="eastAsia"/>
        </w:rPr>
        <w:t>烟气处理系统：脱酸药剂、脱硝药剂、烟气处理药剂的装卸作业，反应塔内、洗涤塔、气气换热器、活性炭吸附喷射装置、活性炭喷射装置、脱硝反应器内的作业，除尘器内作业，烟道内作业等。</w:t>
      </w:r>
    </w:p>
    <w:p>
      <w:pPr>
        <w:pStyle w:val="164"/>
      </w:pPr>
      <w:r>
        <w:rPr>
          <w:rFonts w:hint="eastAsia"/>
        </w:rPr>
        <w:t>灰渣及渗滤液处理系统：飞灰鳌合药剂与炉渣装卸、吊装、运输作业：渗滤液调节池清淤处理：渗滤液厌氧系统作业：生化池内、脱泥池内作业：厌氧/好氧冷却塔的作业：污水处理系统管道清淤。</w:t>
      </w:r>
    </w:p>
    <w:p>
      <w:pPr>
        <w:pStyle w:val="164"/>
      </w:pPr>
      <w:r>
        <w:rPr>
          <w:rFonts w:hint="eastAsia"/>
        </w:rPr>
        <w:t>汽轮机及汽水系统：汽水品质分析、承压部件和辅机检修，高处作业：吊装：密闭空间作业：投运及停运作业，高温高压的区域巡视检查，蒸汽烫伤，凝汽器酸洗作业。</w:t>
      </w:r>
    </w:p>
    <w:p>
      <w:pPr>
        <w:pStyle w:val="164"/>
      </w:pPr>
      <w:r>
        <w:rPr>
          <w:rFonts w:hint="eastAsia"/>
        </w:rPr>
        <w:t>电气设备系统：临时用电，电气照明，倒闸操作，设备停、送电，变压器、互感器、开关柜、电动机等强电设备的检修，高压设备的交流耐压试验，直流耐压试验，接地装置的电阻测量，高压设备绝缘电阻测量，在高电压辐射区域巡视检查。</w:t>
      </w:r>
    </w:p>
    <w:p>
      <w:pPr>
        <w:pStyle w:val="164"/>
      </w:pPr>
      <w:r>
        <w:rPr>
          <w:rFonts w:hint="eastAsia"/>
        </w:rPr>
        <w:t>热工设备系统：锅炉安全监控系统，汽轮机保护系统，主要辅机联锁保护等。</w:t>
      </w:r>
    </w:p>
    <w:p>
      <w:pPr>
        <w:pStyle w:val="164"/>
      </w:pPr>
      <w:r>
        <w:rPr>
          <w:rFonts w:hint="eastAsia"/>
        </w:rPr>
        <w:t>化学设备系统：原水品质、除盐水品质水、循环水品质、生产废水系统，锅炉受热面化学监督，凝汽器化学监督，入厂药剂质量检验，卸酸碱作业，在线化学仪表等。</w:t>
      </w:r>
    </w:p>
    <w:p>
      <w:pPr>
        <w:pStyle w:val="164"/>
      </w:pPr>
      <w:r>
        <w:rPr>
          <w:rFonts w:hint="eastAsia"/>
        </w:rPr>
        <w:t>公用设备系统：消防系统，取供水系统，压缩空气系统，采暖通风系统，生活污水处理系统等。</w:t>
      </w:r>
    </w:p>
    <w:p>
      <w:pPr>
        <w:pStyle w:val="164"/>
      </w:pPr>
      <w:r>
        <w:rPr>
          <w:rFonts w:hint="eastAsia"/>
        </w:rPr>
        <w:t>沼气利用系统：沼气系统投入操作，系统隔离后置换操作，沼气系统巡回检查，动火作业，沼气管道与存储设备检修作业。</w:t>
      </w:r>
    </w:p>
    <w:p>
      <w:pPr>
        <w:pStyle w:val="164"/>
      </w:pPr>
      <w:r>
        <w:rPr>
          <w:rFonts w:hint="eastAsia"/>
        </w:rPr>
        <w:t>危险物质存储：乙快、沼气、天然气、氨水、汽油、柴油、浓硫酸、氢氧化钠、盐酸、活性炭、石灰等危险物质临界存储量鉴定按GB 18218标准执行。</w:t>
      </w:r>
    </w:p>
    <w:p>
      <w:pPr>
        <w:pStyle w:val="164"/>
      </w:pPr>
      <w:r>
        <w:rPr>
          <w:rFonts w:hint="eastAsia"/>
        </w:rPr>
        <w:t>检修和改造：设备的检修、技术改造工作：厂房等建(构)筑物的检修。</w:t>
      </w:r>
    </w:p>
    <w:p>
      <w:pPr>
        <w:pStyle w:val="65"/>
        <w:spacing w:before="120" w:after="120"/>
      </w:pPr>
      <w:r>
        <w:rPr>
          <w:rFonts w:hint="eastAsia"/>
        </w:rPr>
        <w:t>辨识方法</w:t>
      </w:r>
      <w:bookmarkEnd w:id="93"/>
      <w:bookmarkEnd w:id="94"/>
      <w:bookmarkEnd w:id="95"/>
      <w:bookmarkEnd w:id="96"/>
    </w:p>
    <w:p>
      <w:pPr>
        <w:pStyle w:val="56"/>
        <w:ind w:firstLine="420"/>
      </w:pPr>
      <w:bookmarkStart w:id="97" w:name="_Toc132785849"/>
      <w:bookmarkStart w:id="98" w:name="_Toc134717480"/>
      <w:bookmarkStart w:id="99" w:name="_Toc129687465"/>
      <w:bookmarkStart w:id="100" w:name="_Toc129857398"/>
      <w:r>
        <w:rPr>
          <w:rFonts w:hint="eastAsia"/>
        </w:rPr>
        <w:t>企业可结合实际选择有效、可行的风险辨识方法，从不同的角度和层次对风险点的危险源进行辨识：</w:t>
      </w:r>
    </w:p>
    <w:p>
      <w:pPr>
        <w:pStyle w:val="132"/>
      </w:pPr>
      <w:r>
        <w:rPr>
          <w:rFonts w:hint="eastAsia"/>
        </w:rPr>
        <w:t>对生产现场及其它区域设备设施中存在的危险源进行辨识宜选用安全检查表法（SCL），见附录B表B.5；</w:t>
      </w:r>
    </w:p>
    <w:p>
      <w:pPr>
        <w:pStyle w:val="132"/>
      </w:pPr>
      <w:r>
        <w:rPr>
          <w:rFonts w:hint="eastAsia"/>
        </w:rPr>
        <w:t>对作业过程中人的不安全行为中存在的危险源进行辨识宜选用作业危害分析法（JHA），见附录B表B.6；</w:t>
      </w:r>
    </w:p>
    <w:p>
      <w:pPr>
        <w:pStyle w:val="132"/>
      </w:pPr>
      <w:r>
        <w:rPr>
          <w:rFonts w:hint="eastAsia"/>
        </w:rPr>
        <w:t>对于复杂工艺，宜采用GB/T 35320进行辨识。</w:t>
      </w:r>
    </w:p>
    <w:p>
      <w:pPr>
        <w:pStyle w:val="65"/>
        <w:spacing w:before="120" w:after="120"/>
      </w:pPr>
      <w:r>
        <w:rPr>
          <w:rFonts w:hint="eastAsia"/>
        </w:rPr>
        <w:t>动态管理</w:t>
      </w:r>
      <w:bookmarkEnd w:id="97"/>
      <w:bookmarkEnd w:id="98"/>
      <w:bookmarkEnd w:id="99"/>
      <w:bookmarkEnd w:id="100"/>
    </w:p>
    <w:p>
      <w:pPr>
        <w:pStyle w:val="56"/>
        <w:ind w:firstLine="420"/>
      </w:pPr>
      <w:r>
        <w:rPr>
          <w:rFonts w:hint="eastAsia"/>
        </w:rPr>
        <w:t>当下列情况发生时，应重新开展风险辨识：</w:t>
      </w:r>
    </w:p>
    <w:p>
      <w:pPr>
        <w:pStyle w:val="132"/>
        <w:rPr>
          <w:szCs w:val="21"/>
        </w:rPr>
      </w:pPr>
      <w:r>
        <w:rPr>
          <w:rFonts w:hint="eastAsia"/>
        </w:rPr>
        <w:t>与风险评估和实施必要的控制措施相关的法律、法规、标准、规范发生变化的；</w:t>
      </w:r>
    </w:p>
    <w:p>
      <w:pPr>
        <w:pStyle w:val="132"/>
      </w:pPr>
      <w:r>
        <w:rPr>
          <w:rFonts w:hint="eastAsia"/>
        </w:rPr>
        <w:t>企业周边环境发生重大变化的；</w:t>
      </w:r>
    </w:p>
    <w:p>
      <w:pPr>
        <w:pStyle w:val="132"/>
      </w:pPr>
      <w:r>
        <w:rPr>
          <w:rFonts w:hint="eastAsia"/>
        </w:rPr>
        <w:t>实施新(改、扩)建或关键设备、生产工艺、技术和材料发生变化的；</w:t>
      </w:r>
    </w:p>
    <w:p>
      <w:pPr>
        <w:pStyle w:val="132"/>
      </w:pPr>
      <w:r>
        <w:rPr>
          <w:rFonts w:hint="eastAsia"/>
        </w:rPr>
        <w:t>应急管理和应急资源发生重大变化的；</w:t>
      </w:r>
    </w:p>
    <w:p>
      <w:pPr>
        <w:pStyle w:val="132"/>
      </w:pPr>
      <w:r>
        <w:rPr>
          <w:rFonts w:hint="eastAsia"/>
        </w:rPr>
        <w:t>企业合并分立、业务划转、组织机构变动的；</w:t>
      </w:r>
    </w:p>
    <w:p>
      <w:pPr>
        <w:pStyle w:val="132"/>
      </w:pPr>
      <w:r>
        <w:rPr>
          <w:rFonts w:hint="eastAsia"/>
        </w:rPr>
        <w:t>实施了重大风险或重大危险源治理后风险仍未降低的；</w:t>
      </w:r>
    </w:p>
    <w:p>
      <w:pPr>
        <w:pStyle w:val="132"/>
      </w:pPr>
      <w:r>
        <w:rPr>
          <w:rFonts w:hint="eastAsia"/>
        </w:rPr>
        <w:t>同行业在近期发生重特大生产安全事故的；</w:t>
      </w:r>
    </w:p>
    <w:p>
      <w:pPr>
        <w:pStyle w:val="132"/>
      </w:pPr>
      <w:r>
        <w:rPr>
          <w:rFonts w:hint="eastAsia"/>
        </w:rPr>
        <w:t>企业发生人员死亡生产安全事故的；</w:t>
      </w:r>
    </w:p>
    <w:p>
      <w:pPr>
        <w:pStyle w:val="132"/>
      </w:pPr>
      <w:r>
        <w:rPr>
          <w:rFonts w:hint="eastAsia"/>
        </w:rPr>
        <w:t>企业经内部评估后认为有必要进行的。</w:t>
      </w:r>
    </w:p>
    <w:p>
      <w:pPr>
        <w:pStyle w:val="105"/>
        <w:spacing w:before="120" w:after="120"/>
      </w:pPr>
      <w:bookmarkStart w:id="101" w:name="_Toc129857399"/>
      <w:bookmarkStart w:id="102" w:name="_Toc132876646"/>
      <w:bookmarkStart w:id="103" w:name="_Toc132785850"/>
      <w:bookmarkStart w:id="104" w:name="_Toc129687466"/>
      <w:bookmarkStart w:id="105" w:name="_Toc132806690"/>
      <w:bookmarkStart w:id="106" w:name="_Toc134697638"/>
      <w:bookmarkStart w:id="107" w:name="_Toc134717481"/>
      <w:bookmarkStart w:id="108" w:name="_Toc25105"/>
      <w:r>
        <w:rPr>
          <w:rFonts w:hint="eastAsia"/>
        </w:rPr>
        <w:t>风险评价</w:t>
      </w:r>
      <w:bookmarkEnd w:id="101"/>
      <w:bookmarkEnd w:id="102"/>
      <w:bookmarkEnd w:id="103"/>
      <w:bookmarkEnd w:id="104"/>
      <w:bookmarkEnd w:id="105"/>
      <w:bookmarkEnd w:id="106"/>
      <w:bookmarkEnd w:id="107"/>
      <w:bookmarkEnd w:id="108"/>
    </w:p>
    <w:p>
      <w:pPr>
        <w:pStyle w:val="65"/>
        <w:spacing w:before="120" w:after="120"/>
        <w:rPr>
          <w:szCs w:val="21"/>
        </w:rPr>
      </w:pPr>
      <w:r>
        <w:rPr>
          <w:rFonts w:hint="eastAsia"/>
        </w:rPr>
        <w:t>风险分析</w:t>
      </w:r>
    </w:p>
    <w:p>
      <w:pPr>
        <w:pStyle w:val="164"/>
      </w:pPr>
      <w:r>
        <w:rPr>
          <w:rFonts w:hint="eastAsia"/>
        </w:rPr>
        <w:t>企业宜根据GB/T 27921选取适当的风险评估技术。</w:t>
      </w:r>
    </w:p>
    <w:p>
      <w:pPr>
        <w:pStyle w:val="164"/>
      </w:pPr>
      <w:r>
        <w:rPr>
          <w:rFonts w:hint="eastAsia"/>
        </w:rPr>
        <w:t>企业对风险发生的可能性及其后果严重性进行定性、定量或半定量风险分析，风险分析过程中应充分考虑安全风险管控措施的有效性。</w:t>
      </w:r>
    </w:p>
    <w:p>
      <w:pPr>
        <w:pStyle w:val="65"/>
        <w:spacing w:before="120" w:after="120"/>
      </w:pPr>
      <w:r>
        <w:rPr>
          <w:rFonts w:hint="eastAsia"/>
        </w:rPr>
        <w:t>选择风险评价方法</w:t>
      </w:r>
    </w:p>
    <w:p>
      <w:pPr>
        <w:pStyle w:val="56"/>
        <w:ind w:firstLine="420"/>
      </w:pPr>
      <w:r>
        <w:rPr>
          <w:rFonts w:hint="eastAsia"/>
        </w:rPr>
        <w:t>企业应根据GB/T 27921选取适当的评价方法，一般情况下宜选用以下风险分析方法：</w:t>
      </w:r>
    </w:p>
    <w:p>
      <w:pPr>
        <w:pStyle w:val="132"/>
      </w:pPr>
      <w:r>
        <w:rPr>
          <w:rFonts w:hint="eastAsia"/>
        </w:rPr>
        <w:t>设备设施风险评价宜选择风险矩阵分析法（LS），见附录</w:t>
      </w:r>
      <w:r>
        <w:t>C</w:t>
      </w:r>
      <w:r>
        <w:rPr>
          <w:rFonts w:hint="eastAsia"/>
        </w:rPr>
        <w:t>.1；</w:t>
      </w:r>
    </w:p>
    <w:p>
      <w:pPr>
        <w:pStyle w:val="132"/>
      </w:pPr>
      <w:r>
        <w:rPr>
          <w:rFonts w:hint="eastAsia"/>
        </w:rPr>
        <w:t>作业活动风险评价宜选用作业条件危险性分析法（LEC），见附录</w:t>
      </w:r>
      <w:r>
        <w:t>C</w:t>
      </w:r>
      <w:r>
        <w:rPr>
          <w:rFonts w:hint="eastAsia"/>
        </w:rPr>
        <w:t>.2。</w:t>
      </w:r>
    </w:p>
    <w:p>
      <w:pPr>
        <w:pStyle w:val="65"/>
        <w:spacing w:before="120" w:after="120"/>
      </w:pPr>
      <w:r>
        <w:rPr>
          <w:rFonts w:hint="eastAsia"/>
        </w:rPr>
        <w:t>固有风险及剩余风险评价</w:t>
      </w:r>
    </w:p>
    <w:p>
      <w:pPr>
        <w:pStyle w:val="164"/>
      </w:pPr>
      <w:r>
        <w:rPr>
          <w:rFonts w:hint="eastAsia"/>
        </w:rPr>
        <w:t>企业应对辨识出的各项安全风险类型进行风险分析评价，分别确定其固有风险等级和剩余风险等级。</w:t>
      </w:r>
    </w:p>
    <w:p>
      <w:pPr>
        <w:pStyle w:val="164"/>
      </w:pPr>
      <w:r>
        <w:rPr>
          <w:rFonts w:hint="eastAsia"/>
        </w:rPr>
        <w:t>企业应编制安全检查表分析评价记录表及工作危害分析评价记录表，评价内容应包括固有风险评价及剩余风险评价，见附录B表B.7、表B.8。</w:t>
      </w:r>
    </w:p>
    <w:p>
      <w:pPr>
        <w:pStyle w:val="65"/>
        <w:spacing w:before="120" w:after="120"/>
      </w:pPr>
      <w:r>
        <w:rPr>
          <w:rFonts w:hint="eastAsia"/>
        </w:rPr>
        <w:t>重大风险判定标准</w:t>
      </w:r>
    </w:p>
    <w:p>
      <w:pPr>
        <w:pStyle w:val="164"/>
      </w:pPr>
      <w:r>
        <w:rPr>
          <w:rFonts w:hint="eastAsia"/>
        </w:rPr>
        <w:t>企业参照GB 35181，自行判定企业内存在的重大火灾风险。</w:t>
      </w:r>
    </w:p>
    <w:p>
      <w:pPr>
        <w:pStyle w:val="164"/>
      </w:pPr>
      <w:r>
        <w:rPr>
          <w:rFonts w:hint="eastAsia"/>
        </w:rPr>
        <w:t>企业存在以下情形的，应直接判定为重大风险：</w:t>
      </w:r>
    </w:p>
    <w:p>
      <w:pPr>
        <w:pStyle w:val="132"/>
      </w:pPr>
      <w:r>
        <w:rPr>
          <w:rFonts w:hint="eastAsia"/>
        </w:rPr>
        <w:t>液氨储罐泄漏；</w:t>
      </w:r>
    </w:p>
    <w:p>
      <w:pPr>
        <w:pStyle w:val="132"/>
      </w:pPr>
      <w:r>
        <w:rPr>
          <w:rFonts w:hint="eastAsia"/>
        </w:rPr>
        <w:t>燃油储罐泄漏；</w:t>
      </w:r>
    </w:p>
    <w:p>
      <w:pPr>
        <w:pStyle w:val="132"/>
      </w:pPr>
      <w:r>
        <w:rPr>
          <w:rFonts w:hint="eastAsia"/>
        </w:rPr>
        <w:t>储氢罐泄漏；</w:t>
      </w:r>
    </w:p>
    <w:p>
      <w:pPr>
        <w:pStyle w:val="132"/>
      </w:pPr>
      <w:r>
        <w:rPr>
          <w:rFonts w:hint="eastAsia"/>
        </w:rPr>
        <w:t>液氨充装未使用万向管道充装系统；</w:t>
      </w:r>
    </w:p>
    <w:p>
      <w:pPr>
        <w:pStyle w:val="132"/>
      </w:pPr>
      <w:r>
        <w:rPr>
          <w:rFonts w:hint="eastAsia"/>
        </w:rPr>
        <w:t>未进行锅炉防磨防爆检查；</w:t>
      </w:r>
    </w:p>
    <w:p>
      <w:pPr>
        <w:pStyle w:val="132"/>
      </w:pPr>
      <w:r>
        <w:rPr>
          <w:rFonts w:hint="eastAsia"/>
        </w:rPr>
        <w:t>符合《工贸企业重大事故隐患判定标准》相关条款的；</w:t>
      </w:r>
    </w:p>
    <w:p>
      <w:pPr>
        <w:pStyle w:val="132"/>
      </w:pPr>
      <w:r>
        <w:rPr>
          <w:rFonts w:hint="eastAsia"/>
        </w:rPr>
        <w:t>企业认为有必要判定为重大风险的风险点；</w:t>
      </w:r>
    </w:p>
    <w:p>
      <w:pPr>
        <w:pStyle w:val="132"/>
      </w:pPr>
      <w:r>
        <w:rPr>
          <w:rFonts w:hint="eastAsia"/>
        </w:rPr>
        <w:t>风险评价后达到重大风险标准的风险点。</w:t>
      </w:r>
    </w:p>
    <w:p>
      <w:pPr>
        <w:pStyle w:val="65"/>
        <w:spacing w:before="120" w:after="120"/>
      </w:pPr>
      <w:r>
        <w:rPr>
          <w:rFonts w:hint="eastAsia"/>
        </w:rPr>
        <w:t>较大风险判定标准</w:t>
      </w:r>
    </w:p>
    <w:p>
      <w:pPr>
        <w:pStyle w:val="164"/>
      </w:pPr>
      <w:r>
        <w:rPr>
          <w:rFonts w:hint="eastAsia"/>
        </w:rPr>
        <w:t>企业参照国家相关法律法规及《工贸行业较大危险因素辨识与防范指导手册（2016版）》，自行开展企业较大危险因素辨识，对符合条件的较大危险因素应判定为较大风险。</w:t>
      </w:r>
    </w:p>
    <w:p>
      <w:pPr>
        <w:pStyle w:val="164"/>
      </w:pPr>
      <w:r>
        <w:rPr>
          <w:rFonts w:hint="eastAsia"/>
        </w:rPr>
        <w:t>企业认为有必要判定为较大风险的风险点。</w:t>
      </w:r>
    </w:p>
    <w:p>
      <w:pPr>
        <w:pStyle w:val="164"/>
      </w:pPr>
      <w:r>
        <w:rPr>
          <w:rFonts w:hint="eastAsia"/>
        </w:rPr>
        <w:t>风险评价后达到较大风险标准的风险点。</w:t>
      </w:r>
    </w:p>
    <w:p>
      <w:pPr>
        <w:pStyle w:val="65"/>
        <w:spacing w:before="120" w:after="120"/>
      </w:pPr>
      <w:r>
        <w:rPr>
          <w:rFonts w:hint="eastAsia"/>
        </w:rPr>
        <w:t>一般风险及低风险判定标准</w:t>
      </w:r>
    </w:p>
    <w:p>
      <w:pPr>
        <w:pStyle w:val="56"/>
        <w:ind w:firstLine="420"/>
      </w:pPr>
      <w:r>
        <w:rPr>
          <w:rFonts w:hint="eastAsia" w:hAnsi="宋体"/>
        </w:rPr>
        <w:t>风险评价后达到一般风险、低风险标准的风险点。</w:t>
      </w:r>
    </w:p>
    <w:p>
      <w:pPr>
        <w:pStyle w:val="105"/>
        <w:spacing w:before="120" w:after="120"/>
      </w:pPr>
      <w:r>
        <w:rPr>
          <w:rFonts w:hint="eastAsia"/>
        </w:rPr>
        <w:t>风险分级</w:t>
      </w:r>
    </w:p>
    <w:p>
      <w:pPr>
        <w:pStyle w:val="56"/>
        <w:ind w:firstLine="420"/>
      </w:pPr>
      <w:r>
        <w:rPr>
          <w:rFonts w:hint="eastAsia" w:hAnsi="宋体"/>
        </w:rPr>
        <w:t>企业采用各种风险分析评价方法得出的安全风险等级应合理对应到重大风险、较大风险、一般风险和低风险四个等级，分别对应红色、橙色、黄色、蓝色，见附录</w:t>
      </w:r>
      <w:r>
        <w:rPr>
          <w:rFonts w:hAnsi="宋体"/>
        </w:rPr>
        <w:t>C</w:t>
      </w:r>
      <w:r>
        <w:rPr>
          <w:rFonts w:hint="eastAsia" w:hAnsi="宋体"/>
        </w:rPr>
        <w:t>表</w:t>
      </w:r>
      <w:r>
        <w:rPr>
          <w:rFonts w:hAnsi="宋体"/>
        </w:rPr>
        <w:t>C</w:t>
      </w:r>
      <w:r>
        <w:rPr>
          <w:rFonts w:hint="eastAsia" w:hAnsi="宋体"/>
        </w:rPr>
        <w:t>.3、表</w:t>
      </w:r>
      <w:r>
        <w:rPr>
          <w:rFonts w:hAnsi="宋体"/>
        </w:rPr>
        <w:t>C</w:t>
      </w:r>
      <w:r>
        <w:rPr>
          <w:rFonts w:hint="eastAsia" w:hAnsi="宋体"/>
        </w:rPr>
        <w:t>.7。</w:t>
      </w:r>
    </w:p>
    <w:p>
      <w:pPr>
        <w:pStyle w:val="105"/>
        <w:spacing w:before="120" w:after="120"/>
        <w:rPr>
          <w:szCs w:val="21"/>
        </w:rPr>
      </w:pPr>
      <w:r>
        <w:rPr>
          <w:rFonts w:hint="eastAsia"/>
        </w:rPr>
        <w:t>风险分级管控</w:t>
      </w:r>
    </w:p>
    <w:p>
      <w:pPr>
        <w:pStyle w:val="65"/>
        <w:spacing w:before="120" w:after="120"/>
      </w:pPr>
      <w:r>
        <w:rPr>
          <w:rFonts w:hint="eastAsia"/>
        </w:rPr>
        <w:t>基本原则</w:t>
      </w:r>
    </w:p>
    <w:p>
      <w:pPr>
        <w:pStyle w:val="56"/>
        <w:ind w:firstLine="420"/>
      </w:pPr>
      <w:r>
        <w:rPr>
          <w:rFonts w:hint="eastAsia"/>
        </w:rPr>
        <w:t>企业应根据风险评价结果，对安全风险分级、分层、分类、分专业进行管理，逐一落实公司级、车间（部门）级、班组级、岗位级管控责任，尤其强化对重大危险源和存在重大安全风险的生产经营系统、生产区域、岗位的重点管控，管控原则包括：</w:t>
      </w:r>
    </w:p>
    <w:p>
      <w:pPr>
        <w:pStyle w:val="132"/>
      </w:pPr>
      <w:r>
        <w:rPr>
          <w:rFonts w:hint="eastAsia"/>
        </w:rPr>
        <w:t>风险越大，管控级别越高，上级负责管控的风险，下级应同时负责管控，逐级落实具体措施；</w:t>
      </w:r>
    </w:p>
    <w:p>
      <w:pPr>
        <w:pStyle w:val="132"/>
      </w:pPr>
      <w:r>
        <w:rPr>
          <w:rFonts w:hint="eastAsia"/>
        </w:rPr>
        <w:t>应结合企业机构设置，分类、分级、分层、分专业，逐一明确各层级管控重点、管控责任和管控措施，合理确定风险的管控层级；</w:t>
      </w:r>
    </w:p>
    <w:p>
      <w:pPr>
        <w:pStyle w:val="132"/>
      </w:pPr>
      <w:r>
        <w:rPr>
          <w:rFonts w:hint="eastAsia"/>
        </w:rPr>
        <w:t>企业选择适当的评价方法进行风险评价分级后，按照风险分级管控和隐患排查治理双重预防体系建设相关文件要求，划分为重大风险、较大风险、一般风险和低风险，实施分级管控；</w:t>
      </w:r>
    </w:p>
    <w:p>
      <w:pPr>
        <w:pStyle w:val="132"/>
      </w:pPr>
      <w:r>
        <w:rPr>
          <w:rFonts w:hint="eastAsia"/>
        </w:rPr>
        <w:t>企业要高度关注运营状况和危险源变化后的风险状况，动态评估、调整风险等级和管控措施，确保安全风险始终处于受控范围内；</w:t>
      </w:r>
    </w:p>
    <w:p>
      <w:pPr>
        <w:pStyle w:val="132"/>
      </w:pPr>
      <w:r>
        <w:rPr>
          <w:rFonts w:hint="eastAsia"/>
        </w:rPr>
        <w:t>当发生一般及以上生产安全事故后，原风险应提级管控，宜由公司级或车间（部门）级负责人进行直接管控。如原风险已经由最高层级管控，但仍发生事故的，应重新开展全员辨识及培训，投入必要资金、采取必要措施加强管控措施，并由外部专家针对管控措施进行专项评审，通过验收后持续加强管控；</w:t>
      </w:r>
    </w:p>
    <w:p>
      <w:pPr>
        <w:pStyle w:val="132"/>
      </w:pPr>
      <w:r>
        <w:rPr>
          <w:rFonts w:hint="eastAsia"/>
        </w:rPr>
        <w:t>企业应在每一轮危险源辨识和风险评估后，编制包括全部风险点各类风险信息的风险分级管控清单，经过各级部门审核，且经企业负责人最终审批签字，形成正式、有效文件，印发公示并明确分级管控责任和措施。</w:t>
      </w:r>
    </w:p>
    <w:p>
      <w:pPr>
        <w:pStyle w:val="65"/>
        <w:spacing w:before="120" w:after="120"/>
      </w:pPr>
      <w:r>
        <w:rPr>
          <w:rFonts w:hint="eastAsia"/>
        </w:rPr>
        <w:t>制定风险管控措施</w:t>
      </w:r>
    </w:p>
    <w:p>
      <w:pPr>
        <w:pStyle w:val="164"/>
      </w:pPr>
      <w:r>
        <w:rPr>
          <w:rFonts w:hint="eastAsia"/>
        </w:rPr>
        <w:t>企业应投入足够资源保证风险管控措施的落实，包括但不限于人员、物资、资金、技术和信息等内容。</w:t>
      </w:r>
    </w:p>
    <w:p>
      <w:pPr>
        <w:pStyle w:val="164"/>
      </w:pPr>
      <w:r>
        <w:rPr>
          <w:rFonts w:hint="eastAsia"/>
        </w:rPr>
        <w:t>企业应根据安全风险辨识结果和级别，组织专业技术人员编制安全风险管控措施，充分考虑安全风险防控措施的可行性、安全性和有效性。</w:t>
      </w:r>
    </w:p>
    <w:p>
      <w:pPr>
        <w:pStyle w:val="164"/>
      </w:pPr>
      <w:r>
        <w:rPr>
          <w:rFonts w:hint="eastAsia"/>
        </w:rPr>
        <w:t>企业应根据安全生产法律、法规、规章、标准、规程的规定，从工程技术、管理、人员培训、个体防护、应急处置等方面改进和完善安全风险控制措施：</w:t>
      </w:r>
    </w:p>
    <w:p>
      <w:pPr>
        <w:pStyle w:val="132"/>
      </w:pPr>
      <w:r>
        <w:rPr>
          <w:rFonts w:hint="eastAsia"/>
        </w:rPr>
        <w:t>工程技术措施：采取消除、替代、封闭、隔离、移开或改变方向等，实现本质安全。；李例如通过隔离带、栅栏、警戒绳等把人与危险区域隔开；作业过程中设置隔离带等；</w:t>
      </w:r>
    </w:p>
    <w:p>
      <w:pPr>
        <w:pStyle w:val="132"/>
      </w:pPr>
      <w:r>
        <w:rPr>
          <w:rFonts w:hint="eastAsia"/>
        </w:rPr>
        <w:t>管理措施：制定实施作业程序、安全许可、安全操作规程、减少暴露时间、监测监控、警报和警示信号、安全互助、风险转移等；</w:t>
      </w:r>
    </w:p>
    <w:p>
      <w:pPr>
        <w:pStyle w:val="132"/>
      </w:pPr>
      <w:r>
        <w:rPr>
          <w:rFonts w:hint="eastAsia"/>
        </w:rPr>
        <w:t>教育培训措施：进行入厂三级培训、每年再培训、安全管理人员及特种作业人员继续教育、其他方面的专题培训等；</w:t>
      </w:r>
    </w:p>
    <w:p>
      <w:pPr>
        <w:pStyle w:val="132"/>
      </w:pPr>
      <w:r>
        <w:rPr>
          <w:rFonts w:hint="eastAsia"/>
        </w:rPr>
        <w:t>个体防护措施：佩戴安全帽、防护服、耳塞、防护手套、防护眼镜、绝缘鞋、防毒面具、安全带、呼吸器等；</w:t>
      </w:r>
    </w:p>
    <w:p>
      <w:pPr>
        <w:pStyle w:val="132"/>
      </w:pPr>
      <w:r>
        <w:rPr>
          <w:rFonts w:hint="eastAsia"/>
        </w:rPr>
        <w:t>应急处置措施：紧急情况分析、应急方案、现场处置方案的制定、应急物资的准备；通过应急演练、培训等措施，确认和提高相关人员的应急能力，以防止和减少安全不良后果。</w:t>
      </w:r>
    </w:p>
    <w:p>
      <w:pPr>
        <w:pStyle w:val="65"/>
        <w:spacing w:before="120" w:after="120"/>
      </w:pPr>
      <w:r>
        <w:rPr>
          <w:rFonts w:hint="eastAsia"/>
        </w:rPr>
        <w:t>制定风险分级管控清单</w:t>
      </w:r>
    </w:p>
    <w:p>
      <w:pPr>
        <w:pStyle w:val="56"/>
        <w:ind w:firstLine="420"/>
      </w:pPr>
      <w:r>
        <w:rPr>
          <w:rFonts w:hint="eastAsia" w:hAnsi="宋体"/>
        </w:rPr>
        <w:t>企业应在完成风险评估后，编制设备设施及作业活动的风险管控清单，内容包括风险点、可能导致的事故类型、固有风险等级、现有风险等级、管控措施、管控层级、管控部门、管控负责人等，见附录B表B.9、表B.10。</w:t>
      </w:r>
    </w:p>
    <w:p>
      <w:pPr>
        <w:pStyle w:val="65"/>
        <w:spacing w:before="120" w:after="120"/>
      </w:pPr>
      <w:r>
        <w:rPr>
          <w:rFonts w:hint="eastAsia"/>
        </w:rPr>
        <w:t>控制效果评估</w:t>
      </w:r>
    </w:p>
    <w:p>
      <w:pPr>
        <w:pStyle w:val="56"/>
        <w:ind w:firstLine="420"/>
      </w:pPr>
      <w:r>
        <w:rPr>
          <w:rFonts w:hint="eastAsia" w:hAnsi="宋体"/>
        </w:rPr>
        <w:t>企业每年应组织专业技术人员或外部专家定期对风险控制措施的有效性、合理性、充分性和可操作性，以及是否会引发新的安全风险进行评估，并定期对重大（红色）、较大（橙色）安全风险进行分析、评估和预警，评估的内容应包括：</w:t>
      </w:r>
    </w:p>
    <w:p>
      <w:pPr>
        <w:pStyle w:val="132"/>
      </w:pPr>
      <w:r>
        <w:rPr>
          <w:rFonts w:hint="eastAsia"/>
        </w:rPr>
        <w:t>措施的可行性和有效性；</w:t>
      </w:r>
    </w:p>
    <w:p>
      <w:pPr>
        <w:pStyle w:val="132"/>
      </w:pPr>
      <w:r>
        <w:rPr>
          <w:rFonts w:hint="eastAsia"/>
        </w:rPr>
        <w:t>是否使风险降低到可以接受的程度；</w:t>
      </w:r>
    </w:p>
    <w:p>
      <w:pPr>
        <w:pStyle w:val="132"/>
      </w:pPr>
      <w:r>
        <w:rPr>
          <w:rFonts w:hint="eastAsia"/>
        </w:rPr>
        <w:t>是否产生新的风险；</w:t>
      </w:r>
    </w:p>
    <w:p>
      <w:pPr>
        <w:pStyle w:val="132"/>
      </w:pPr>
      <w:r>
        <w:rPr>
          <w:rFonts w:hint="eastAsia"/>
        </w:rPr>
        <w:t>是否已选定了最佳的解决方案；</w:t>
      </w:r>
    </w:p>
    <w:p>
      <w:pPr>
        <w:pStyle w:val="132"/>
      </w:pPr>
      <w:r>
        <w:rPr>
          <w:rFonts w:hint="eastAsia"/>
        </w:rPr>
        <w:t>是否会被应用于实际工作中。</w:t>
      </w:r>
    </w:p>
    <w:p>
      <w:pPr>
        <w:pStyle w:val="105"/>
        <w:spacing w:before="120" w:after="120"/>
      </w:pPr>
      <w:r>
        <w:rPr>
          <w:rFonts w:hint="eastAsia"/>
        </w:rPr>
        <w:t>风险告知</w:t>
      </w:r>
    </w:p>
    <w:p>
      <w:pPr>
        <w:pStyle w:val="65"/>
        <w:spacing w:before="120" w:after="120"/>
      </w:pPr>
      <w:r>
        <w:rPr>
          <w:rFonts w:hint="eastAsia"/>
        </w:rPr>
        <w:t>风险四色图</w:t>
      </w:r>
    </w:p>
    <w:p>
      <w:pPr>
        <w:pStyle w:val="164"/>
      </w:pPr>
      <w:r>
        <w:rPr>
          <w:rFonts w:hint="eastAsia"/>
        </w:rPr>
        <w:t>企业应使用红、橙、黄、蓝四种颜色将生产设施、作业场所等区域存在的不同等级风险标示在总平面布置图，见附录</w:t>
      </w:r>
      <w:r>
        <w:t>D</w:t>
      </w:r>
      <w:r>
        <w:rPr>
          <w:rFonts w:hint="eastAsia"/>
        </w:rPr>
        <w:t>图</w:t>
      </w:r>
      <w:r>
        <w:t>D</w:t>
      </w:r>
      <w:r>
        <w:rPr>
          <w:rFonts w:hint="eastAsia"/>
        </w:rPr>
        <w:t>.1。</w:t>
      </w:r>
    </w:p>
    <w:p>
      <w:pPr>
        <w:pStyle w:val="164"/>
      </w:pPr>
      <w:r>
        <w:rPr>
          <w:rFonts w:hint="eastAsia"/>
        </w:rPr>
        <w:t>企业应编制固有风险与现有风险的风险比较图并在醒目位置公示。</w:t>
      </w:r>
    </w:p>
    <w:p>
      <w:pPr>
        <w:pStyle w:val="65"/>
        <w:spacing w:before="120" w:after="120"/>
      </w:pPr>
      <w:r>
        <w:rPr>
          <w:rFonts w:hint="eastAsia"/>
        </w:rPr>
        <w:t>作业安全风险比较图</w:t>
      </w:r>
    </w:p>
    <w:p>
      <w:pPr>
        <w:pStyle w:val="56"/>
        <w:ind w:firstLine="420"/>
      </w:pPr>
      <w:r>
        <w:rPr>
          <w:rFonts w:hint="eastAsia" w:hAnsi="宋体"/>
        </w:rPr>
        <w:t>企业应通过对部分作业活动、关键任务、生产工序等风险，利用统计学的方法，采取柱状图、曲线图或饼状图等形式，将不同作业的风险按照从高到低的顺序标示出来，实现对重点环节的重点管控。</w:t>
      </w:r>
    </w:p>
    <w:p>
      <w:pPr>
        <w:pStyle w:val="65"/>
        <w:spacing w:before="120" w:after="120"/>
      </w:pPr>
      <w:r>
        <w:rPr>
          <w:rFonts w:hint="eastAsia"/>
        </w:rPr>
        <w:t>安全风险公告栏</w:t>
      </w:r>
    </w:p>
    <w:p>
      <w:pPr>
        <w:pStyle w:val="56"/>
        <w:ind w:firstLine="420"/>
      </w:pPr>
      <w:r>
        <w:rPr>
          <w:rFonts w:hint="eastAsia" w:hAnsi="宋体"/>
        </w:rPr>
        <w:t>企业应在车间醒目位置和重点区域分别设置安全风险公告栏，公告栏应以白色为底，不宜出现除红、橙、黄、蓝外的其余颜色，见附录</w:t>
      </w:r>
      <w:r>
        <w:rPr>
          <w:rFonts w:hAnsi="宋体"/>
        </w:rPr>
        <w:t>D</w:t>
      </w:r>
      <w:r>
        <w:rPr>
          <w:rFonts w:hint="eastAsia" w:hAnsi="宋体"/>
        </w:rPr>
        <w:t>图</w:t>
      </w:r>
      <w:r>
        <w:rPr>
          <w:rFonts w:hAnsi="宋体"/>
        </w:rPr>
        <w:t>D</w:t>
      </w:r>
      <w:r>
        <w:rPr>
          <w:rFonts w:hint="eastAsia" w:hAnsi="宋体"/>
        </w:rPr>
        <w:t>.</w:t>
      </w:r>
      <w:r>
        <w:t>2</w:t>
      </w:r>
      <w:r>
        <w:rPr>
          <w:rFonts w:hint="eastAsia" w:hAnsi="宋体"/>
        </w:rPr>
        <w:t>，公告栏内容应包括：</w:t>
      </w:r>
    </w:p>
    <w:p>
      <w:pPr>
        <w:pStyle w:val="132"/>
      </w:pPr>
      <w:r>
        <w:rPr>
          <w:rFonts w:hint="eastAsia"/>
        </w:rPr>
        <w:t>位置/场所；</w:t>
      </w:r>
    </w:p>
    <w:p>
      <w:pPr>
        <w:pStyle w:val="132"/>
      </w:pPr>
      <w:r>
        <w:rPr>
          <w:rFonts w:hint="eastAsia"/>
        </w:rPr>
        <w:t>主要危险源；</w:t>
      </w:r>
    </w:p>
    <w:p>
      <w:pPr>
        <w:pStyle w:val="132"/>
      </w:pPr>
      <w:r>
        <w:rPr>
          <w:rFonts w:hint="eastAsia"/>
        </w:rPr>
        <w:t>风险等级；</w:t>
      </w:r>
    </w:p>
    <w:p>
      <w:pPr>
        <w:pStyle w:val="132"/>
      </w:pPr>
      <w:r>
        <w:rPr>
          <w:rFonts w:hint="eastAsia"/>
        </w:rPr>
        <w:t>风险类别；</w:t>
      </w:r>
    </w:p>
    <w:p>
      <w:pPr>
        <w:pStyle w:val="132"/>
      </w:pPr>
      <w:r>
        <w:rPr>
          <w:rFonts w:hint="eastAsia"/>
        </w:rPr>
        <w:t>可能导致的后果；</w:t>
      </w:r>
    </w:p>
    <w:p>
      <w:pPr>
        <w:pStyle w:val="132"/>
      </w:pPr>
      <w:r>
        <w:rPr>
          <w:rFonts w:hint="eastAsia"/>
        </w:rPr>
        <w:t>风险主要管控措施；</w:t>
      </w:r>
    </w:p>
    <w:p>
      <w:pPr>
        <w:pStyle w:val="132"/>
      </w:pPr>
      <w:r>
        <w:rPr>
          <w:rFonts w:hint="eastAsia"/>
        </w:rPr>
        <w:t>管控层级；</w:t>
      </w:r>
    </w:p>
    <w:p>
      <w:pPr>
        <w:pStyle w:val="132"/>
      </w:pPr>
      <w:r>
        <w:rPr>
          <w:rFonts w:hint="eastAsia"/>
        </w:rPr>
        <w:t>管控部门及责任人。</w:t>
      </w:r>
    </w:p>
    <w:p>
      <w:pPr>
        <w:pStyle w:val="65"/>
        <w:spacing w:before="120" w:after="120"/>
      </w:pPr>
      <w:r>
        <w:rPr>
          <w:rFonts w:hint="eastAsia"/>
        </w:rPr>
        <w:t>岗位安全风险告知卡</w:t>
      </w:r>
    </w:p>
    <w:p>
      <w:pPr>
        <w:pStyle w:val="164"/>
      </w:pPr>
      <w:r>
        <w:rPr>
          <w:rFonts w:hint="eastAsia"/>
        </w:rPr>
        <w:t>企业应根据风险分级管控信息制作岗位安全风险告知卡，并在一般风险及以上的工作场所和岗位设置安全风险告知卡。</w:t>
      </w:r>
    </w:p>
    <w:p>
      <w:pPr>
        <w:pStyle w:val="164"/>
      </w:pPr>
      <w:r>
        <w:rPr>
          <w:rFonts w:hint="eastAsia"/>
        </w:rPr>
        <w:t>对存在重大安全风险的工作场所和岗位，应设置安全风险告知卡及明显的警示标志，并强化危险源监测和预警。</w:t>
      </w:r>
    </w:p>
    <w:p>
      <w:pPr>
        <w:pStyle w:val="164"/>
      </w:pPr>
      <w:r>
        <w:rPr>
          <w:rFonts w:hint="eastAsia"/>
        </w:rPr>
        <w:t>安全风险告知卡应以白色为底，不宜出现除红、橙、黄、蓝外的其余颜色，见附录</w:t>
      </w:r>
      <w:r>
        <w:t>D</w:t>
      </w:r>
      <w:r>
        <w:rPr>
          <w:rFonts w:hint="eastAsia"/>
        </w:rPr>
        <w:t>图</w:t>
      </w:r>
      <w:r>
        <w:t>D</w:t>
      </w:r>
      <w:r>
        <w:rPr>
          <w:rFonts w:hint="eastAsia"/>
        </w:rPr>
        <w:t>.</w:t>
      </w:r>
      <w:r>
        <w:t>3</w:t>
      </w:r>
      <w:r>
        <w:rPr>
          <w:rFonts w:hint="eastAsia"/>
        </w:rPr>
        <w:t>，告知卡内容应包括：</w:t>
      </w:r>
    </w:p>
    <w:p>
      <w:pPr>
        <w:pStyle w:val="132"/>
      </w:pPr>
      <w:r>
        <w:rPr>
          <w:rFonts w:hint="eastAsia"/>
        </w:rPr>
        <w:t>场所和岗位名称；</w:t>
      </w:r>
    </w:p>
    <w:p>
      <w:pPr>
        <w:pStyle w:val="132"/>
      </w:pPr>
      <w:r>
        <w:rPr>
          <w:rFonts w:hint="eastAsia"/>
        </w:rPr>
        <w:t>主要风险类别；</w:t>
      </w:r>
    </w:p>
    <w:p>
      <w:pPr>
        <w:pStyle w:val="132"/>
      </w:pPr>
      <w:r>
        <w:rPr>
          <w:rFonts w:hint="eastAsia"/>
        </w:rPr>
        <w:t>风险等级；</w:t>
      </w:r>
    </w:p>
    <w:p>
      <w:pPr>
        <w:pStyle w:val="132"/>
      </w:pPr>
      <w:r>
        <w:rPr>
          <w:rFonts w:hint="eastAsia"/>
        </w:rPr>
        <w:t>危害或潜在危害事件；</w:t>
      </w:r>
    </w:p>
    <w:p>
      <w:pPr>
        <w:pStyle w:val="132"/>
      </w:pPr>
      <w:r>
        <w:rPr>
          <w:rFonts w:hint="eastAsia"/>
        </w:rPr>
        <w:t>风险主要管控措施；</w:t>
      </w:r>
    </w:p>
    <w:p>
      <w:pPr>
        <w:pStyle w:val="132"/>
      </w:pPr>
      <w:r>
        <w:rPr>
          <w:rFonts w:hint="eastAsia"/>
        </w:rPr>
        <w:t>管控层级；</w:t>
      </w:r>
    </w:p>
    <w:p>
      <w:pPr>
        <w:pStyle w:val="132"/>
      </w:pPr>
      <w:r>
        <w:rPr>
          <w:rFonts w:hint="eastAsia"/>
        </w:rPr>
        <w:t>管控部门及责任人；</w:t>
      </w:r>
    </w:p>
    <w:p>
      <w:pPr>
        <w:pStyle w:val="132"/>
      </w:pPr>
      <w:r>
        <w:rPr>
          <w:rFonts w:hint="eastAsia" w:hAnsi="宋体"/>
        </w:rPr>
        <w:t>相关安全警示标志。</w:t>
      </w:r>
    </w:p>
    <w:p>
      <w:pPr>
        <w:pStyle w:val="104"/>
        <w:spacing w:before="240" w:after="240"/>
      </w:pPr>
      <w:bookmarkStart w:id="109" w:name="_Toc134717498"/>
      <w:r>
        <w:rPr>
          <w:rFonts w:hint="eastAsia"/>
        </w:rPr>
        <w:t>隐患排查治理</w:t>
      </w:r>
      <w:bookmarkEnd w:id="109"/>
    </w:p>
    <w:p>
      <w:pPr>
        <w:pStyle w:val="105"/>
        <w:spacing w:before="120" w:after="120"/>
        <w:rPr>
          <w:szCs w:val="21"/>
        </w:rPr>
      </w:pPr>
      <w:bookmarkStart w:id="110" w:name="_Toc129687478"/>
      <w:bookmarkStart w:id="111" w:name="_Toc132806695"/>
      <w:bookmarkStart w:id="112" w:name="_Toc17112"/>
      <w:bookmarkStart w:id="113" w:name="_Toc134717499"/>
      <w:bookmarkStart w:id="114" w:name="_Toc132785868"/>
      <w:bookmarkStart w:id="115" w:name="_Toc129857412"/>
      <w:bookmarkStart w:id="116" w:name="_Toc134697643"/>
      <w:bookmarkStart w:id="117" w:name="_Toc132876651"/>
      <w:r>
        <w:rPr>
          <w:rFonts w:hint="eastAsia"/>
        </w:rPr>
        <w:t>隐</w:t>
      </w:r>
      <w:bookmarkEnd w:id="110"/>
      <w:bookmarkEnd w:id="111"/>
      <w:bookmarkEnd w:id="112"/>
      <w:bookmarkEnd w:id="113"/>
      <w:bookmarkEnd w:id="114"/>
      <w:bookmarkEnd w:id="115"/>
      <w:bookmarkEnd w:id="116"/>
      <w:bookmarkEnd w:id="117"/>
      <w:bookmarkStart w:id="118" w:name="_Toc134717510"/>
      <w:r>
        <w:rPr>
          <w:rFonts w:hint="eastAsia"/>
        </w:rPr>
        <w:t>隐患分级</w:t>
      </w:r>
    </w:p>
    <w:p>
      <w:pPr>
        <w:pStyle w:val="165"/>
      </w:pPr>
      <w:r>
        <w:rPr>
          <w:rFonts w:hint="eastAsia"/>
        </w:rPr>
        <w:t>企业应将隐患分为重大隐患和一般隐患。</w:t>
      </w:r>
    </w:p>
    <w:p>
      <w:pPr>
        <w:pStyle w:val="165"/>
      </w:pPr>
      <w:r>
        <w:rPr>
          <w:rFonts w:hint="eastAsia"/>
        </w:rPr>
        <w:t>重大隐患应依据《工贸企业重大事故隐患判定标准》等国家相关法律法规及规范性文件判定，除重大隐患之外的为一般隐患。</w:t>
      </w:r>
    </w:p>
    <w:p>
      <w:pPr>
        <w:pStyle w:val="165"/>
      </w:pPr>
      <w:r>
        <w:rPr>
          <w:rFonts w:hint="eastAsia"/>
        </w:rPr>
        <w:t>为便于隐患管理，企业可根据本企业的实际情况将一般隐患等级进行细分。</w:t>
      </w:r>
    </w:p>
    <w:p>
      <w:pPr>
        <w:pStyle w:val="105"/>
        <w:spacing w:before="120" w:after="120"/>
      </w:pPr>
      <w:r>
        <w:rPr>
          <w:rFonts w:hint="eastAsia"/>
        </w:rPr>
        <w:t>隐患排查</w:t>
      </w:r>
    </w:p>
    <w:p>
      <w:pPr>
        <w:pStyle w:val="65"/>
        <w:spacing w:before="120" w:after="120"/>
      </w:pPr>
      <w:r>
        <w:rPr>
          <w:rFonts w:hint="eastAsia"/>
        </w:rPr>
        <w:t>一般要求</w:t>
      </w:r>
    </w:p>
    <w:p>
      <w:pPr>
        <w:pStyle w:val="164"/>
      </w:pPr>
      <w:r>
        <w:rPr>
          <w:rFonts w:hint="eastAsia" w:hAnsi="宋体"/>
        </w:rPr>
        <w:t>企业应制定事故隐患排查治理制度，明确隐患排查的排查周期、排查类型、责任部门、人员和方法等内容。</w:t>
      </w:r>
    </w:p>
    <w:p>
      <w:pPr>
        <w:pStyle w:val="164"/>
      </w:pPr>
      <w:r>
        <w:rPr>
          <w:rFonts w:hint="eastAsia" w:hAnsi="宋体"/>
        </w:rPr>
        <w:t>企业应建立全员参与、全岗位覆盖、全过程衔接的隐患排查机制和清单管理、动态更新、闭环整改的动态调整机制，持续组织开展事故隐患排查治理。</w:t>
      </w:r>
    </w:p>
    <w:p>
      <w:pPr>
        <w:pStyle w:val="164"/>
      </w:pPr>
      <w:r>
        <w:rPr>
          <w:rFonts w:hint="eastAsia" w:hAnsi="宋体"/>
        </w:rPr>
        <w:t>企业应制定年度隐患排查计划，明确各类型隐患排查的排查时间、排查目的、排查要求、排查范围、组织级别及排查人员等。</w:t>
      </w:r>
    </w:p>
    <w:p>
      <w:pPr>
        <w:pStyle w:val="164"/>
      </w:pPr>
      <w:r>
        <w:rPr>
          <w:rFonts w:hint="eastAsia" w:hAnsi="宋体"/>
        </w:rPr>
        <w:t>企业应根据安全生产法律法规要求和风险管控情况，结合企业生产工艺特点开展隐患排查，隐患排查应做到全面覆盖、责任到人。</w:t>
      </w:r>
    </w:p>
    <w:p>
      <w:pPr>
        <w:pStyle w:val="164"/>
      </w:pPr>
      <w:r>
        <w:rPr>
          <w:rFonts w:hint="eastAsia" w:hAnsi="宋体"/>
        </w:rPr>
        <w:t>隐患排查结束后，对于当场不能立即整改的，由隐患排查组织部门下达隐患整改通知，向从业人员通报隐患信息。</w:t>
      </w:r>
    </w:p>
    <w:p>
      <w:pPr>
        <w:pStyle w:val="164"/>
      </w:pPr>
      <w:r>
        <w:rPr>
          <w:rFonts w:hint="eastAsia" w:hAnsi="宋体"/>
        </w:rPr>
        <w:t>隐患存在单位在实施隐患治理前应当对隐患存在的原因进行分析，制定可靠的治理措施和应急措施或预案，估算整改资金并按规定时限落实整改，并将整改情况及时反馈至隐患排查组织部门。隐患排查组织部门应当对隐患整改效果组织验收并出具验收意见。</w:t>
      </w:r>
    </w:p>
    <w:p>
      <w:pPr>
        <w:pStyle w:val="164"/>
      </w:pPr>
      <w:r>
        <w:rPr>
          <w:rFonts w:hint="eastAsia" w:hAnsi="宋体"/>
        </w:rPr>
        <w:t>对动态排查出来以及政府主管部门通知整改的重大事故隐患，一时难以整改的，应逐条落实整改措施、责任、资金、时限和事故应急预案，并及时向政府主管部门上报隐患整改情况。</w:t>
      </w:r>
    </w:p>
    <w:p>
      <w:pPr>
        <w:pStyle w:val="65"/>
        <w:spacing w:before="120" w:after="120"/>
      </w:pPr>
      <w:r>
        <w:rPr>
          <w:rFonts w:hint="eastAsia"/>
        </w:rPr>
        <w:t>排查类型</w:t>
      </w:r>
    </w:p>
    <w:p>
      <w:pPr>
        <w:pStyle w:val="94"/>
        <w:spacing w:before="120" w:after="120"/>
      </w:pPr>
      <w:r>
        <w:rPr>
          <w:rFonts w:hint="eastAsia"/>
        </w:rPr>
        <w:t>日常隐患排查</w:t>
      </w:r>
    </w:p>
    <w:p>
      <w:pPr>
        <w:pStyle w:val="56"/>
        <w:ind w:firstLine="420"/>
        <w:rPr>
          <w:rFonts w:hAnsi="宋体"/>
        </w:rPr>
      </w:pPr>
      <w:r>
        <w:rPr>
          <w:rFonts w:hint="eastAsia" w:hAnsi="宋体"/>
        </w:rPr>
        <w:t>日常隐患排查是指部门、班组、岗位员工的交接班检查和班中巡回检查，以及基层单位管理人员和工艺、设备、电气、仪表等专业技术人员的日常性检查，重点突出班组、岗位区域及责任设备区域存在的隐患。</w:t>
      </w:r>
    </w:p>
    <w:p>
      <w:pPr>
        <w:pStyle w:val="94"/>
        <w:spacing w:before="120" w:after="120"/>
      </w:pPr>
      <w:r>
        <w:rPr>
          <w:rFonts w:hint="eastAsia"/>
        </w:rPr>
        <w:t>综合性隐患排查</w:t>
      </w:r>
    </w:p>
    <w:p>
      <w:pPr>
        <w:pStyle w:val="56"/>
        <w:ind w:firstLine="420"/>
        <w:rPr>
          <w:rFonts w:hAnsi="宋体"/>
        </w:rPr>
      </w:pPr>
      <w:r>
        <w:rPr>
          <w:rFonts w:hint="eastAsia" w:hAnsi="宋体"/>
        </w:rPr>
        <w:t>综合性隐患排查是指以保障安全生产为目的，以安全责任制、各项专业管理制度和安全生产管理制度落实情况为重点，由各相关专业和部门共同参与的检查，重点突出对各级各部门制度落实情况的检查，包括对管理干部日常责任落实情况、公司内部管理制度执行情况、更新情况等。</w:t>
      </w:r>
    </w:p>
    <w:p>
      <w:pPr>
        <w:pStyle w:val="94"/>
        <w:spacing w:before="120" w:after="120"/>
      </w:pPr>
      <w:r>
        <w:rPr>
          <w:rFonts w:hint="eastAsia" w:hAnsi="黑体"/>
        </w:rPr>
        <w:t>专业或专项隐患排查</w:t>
      </w:r>
    </w:p>
    <w:p>
      <w:pPr>
        <w:pStyle w:val="56"/>
        <w:ind w:firstLine="420"/>
      </w:pPr>
      <w:r>
        <w:rPr>
          <w:rFonts w:hint="eastAsia" w:hAnsi="宋体"/>
        </w:rPr>
        <w:t>专业或专项隐患排查是指根据企业生产实际情况，抽调专业技术人员和安全管理人员，编制相应的安全检查标准，进行现场检查。</w:t>
      </w:r>
    </w:p>
    <w:p>
      <w:pPr>
        <w:pStyle w:val="94"/>
        <w:spacing w:before="120" w:after="120"/>
      </w:pPr>
      <w:r>
        <w:rPr>
          <w:rFonts w:hint="eastAsia"/>
        </w:rPr>
        <w:t>季节性</w:t>
      </w:r>
      <w:r>
        <w:rPr>
          <w:rFonts w:hint="eastAsia" w:hAnsi="黑体"/>
        </w:rPr>
        <w:t>隐患排查</w:t>
      </w:r>
    </w:p>
    <w:p>
      <w:pPr>
        <w:pStyle w:val="56"/>
        <w:ind w:firstLine="420"/>
      </w:pPr>
      <w:r>
        <w:rPr>
          <w:rFonts w:hint="eastAsia" w:hAnsi="宋体"/>
        </w:rPr>
        <w:t>季节性隐患排查是指根据各季节特点开展的专项隐患检查，应包括：</w:t>
      </w:r>
    </w:p>
    <w:p>
      <w:pPr>
        <w:pStyle w:val="132"/>
      </w:pPr>
      <w:r>
        <w:rPr>
          <w:rFonts w:hint="eastAsia"/>
        </w:rPr>
        <w:t>春季以防风、防雷、防火、防污闪、防绝缘不良、防人身伤害为重点，包括电气方面的春季预防性试验的执行情况以及试验结果的整改情况；</w:t>
      </w:r>
    </w:p>
    <w:p>
      <w:pPr>
        <w:pStyle w:val="132"/>
      </w:pPr>
      <w:r>
        <w:rPr>
          <w:rFonts w:hint="eastAsia"/>
        </w:rPr>
        <w:t>夏季以防雷电、防大风、防洪防汛、防暑降温、防食物中毒为重点，重点结合公司所处地域的特点，有针对性地开展“五防”事故演练；</w:t>
      </w:r>
    </w:p>
    <w:p>
      <w:pPr>
        <w:pStyle w:val="132"/>
      </w:pPr>
      <w:r>
        <w:rPr>
          <w:rFonts w:hint="eastAsia"/>
        </w:rPr>
        <w:t>秋季以防火、防静电为重点，应重点排查防火重点区域的隐患，包括油罐区域、煤气区域以及电气设备区域相应管控措施的落实情况；</w:t>
      </w:r>
    </w:p>
    <w:p>
      <w:pPr>
        <w:pStyle w:val="132"/>
      </w:pPr>
      <w:r>
        <w:rPr>
          <w:rFonts w:hint="eastAsia"/>
        </w:rPr>
        <w:t>冬季以防火、防爆、防寒防冻、防小动物短路、防绝缘不良、防中毒为重点，应结合公司以往发生的事故，开展事故防范措施的落实情况及设备保温等情况的检查。</w:t>
      </w:r>
    </w:p>
    <w:p>
      <w:pPr>
        <w:pStyle w:val="94"/>
        <w:spacing w:before="120" w:after="120"/>
      </w:pPr>
      <w:r>
        <w:rPr>
          <w:rFonts w:hint="eastAsia" w:hAnsi="黑体"/>
        </w:rPr>
        <w:t>重大</w:t>
      </w:r>
      <w:r>
        <w:rPr>
          <w:rFonts w:hint="eastAsia"/>
        </w:rPr>
        <w:t>活动</w:t>
      </w:r>
      <w:r>
        <w:rPr>
          <w:rFonts w:hint="eastAsia" w:hAnsi="黑体"/>
        </w:rPr>
        <w:t>及节假日前隐患检查</w:t>
      </w:r>
    </w:p>
    <w:p>
      <w:pPr>
        <w:pStyle w:val="56"/>
        <w:ind w:firstLine="420"/>
      </w:pPr>
      <w:r>
        <w:rPr>
          <w:rFonts w:hint="eastAsia" w:hAnsi="宋体"/>
        </w:rPr>
        <w:t>在重大活动和节假日前，对生产是否存在异常状况和隐患、备用设备状态、备品备件、生产及应急物资储备、应急工作等进行的检查，特别是要对节日期间干部值班情况及紧急抢修力量安排、备件及各类物资储备和应急工作进行重点检查。</w:t>
      </w:r>
    </w:p>
    <w:p>
      <w:pPr>
        <w:pStyle w:val="65"/>
        <w:spacing w:before="120" w:after="120"/>
      </w:pPr>
      <w:r>
        <w:rPr>
          <w:rFonts w:hint="eastAsia"/>
        </w:rPr>
        <w:t>排查人员及频率</w:t>
      </w:r>
    </w:p>
    <w:p>
      <w:pPr>
        <w:pStyle w:val="56"/>
        <w:ind w:firstLine="420"/>
      </w:pPr>
      <w:r>
        <w:rPr>
          <w:rFonts w:hint="eastAsia" w:hAnsi="宋体"/>
        </w:rPr>
        <w:t>企业隐患排查人员及频率宜满足如下要求：</w:t>
      </w:r>
    </w:p>
    <w:p>
      <w:pPr>
        <w:pStyle w:val="132"/>
      </w:pPr>
      <w:r>
        <w:rPr>
          <w:rFonts w:hint="eastAsia"/>
        </w:rPr>
        <w:t>企业主要负责人或指定的分管负责人每季度至少组织一次综合检查；</w:t>
      </w:r>
    </w:p>
    <w:p>
      <w:pPr>
        <w:pStyle w:val="132"/>
      </w:pPr>
      <w:r>
        <w:rPr>
          <w:rFonts w:hint="eastAsia"/>
        </w:rPr>
        <w:t>国家及地区重大活动及法定节假日前，主要负责人或指定的分管负责人在节前1</w:t>
      </w:r>
      <w:r>
        <w:rPr>
          <w:rFonts w:hint="eastAsia"/>
          <w:vertAlign w:val="superscript"/>
        </w:rPr>
        <w:t xml:space="preserve"> </w:t>
      </w:r>
      <w:r>
        <w:rPr>
          <w:rFonts w:hint="eastAsia"/>
        </w:rPr>
        <w:t>d～3</w:t>
      </w:r>
      <w:r>
        <w:rPr>
          <w:rFonts w:hint="eastAsia"/>
          <w:vertAlign w:val="superscript"/>
        </w:rPr>
        <w:t xml:space="preserve"> </w:t>
      </w:r>
      <w:r>
        <w:rPr>
          <w:rFonts w:hint="eastAsia"/>
        </w:rPr>
        <w:t>d开展一次重大活动及节假日前检查；</w:t>
      </w:r>
    </w:p>
    <w:p>
      <w:pPr>
        <w:pStyle w:val="132"/>
      </w:pPr>
      <w:r>
        <w:rPr>
          <w:rFonts w:hint="eastAsia"/>
        </w:rPr>
        <w:t>专业检查、季节性检查由分管负责人或指定的安全部门负责人每季度至少组织一次；</w:t>
      </w:r>
    </w:p>
    <w:p>
      <w:pPr>
        <w:pStyle w:val="132"/>
      </w:pPr>
      <w:r>
        <w:rPr>
          <w:rFonts w:hint="eastAsia"/>
        </w:rPr>
        <w:t>日常检查按各层级职责范围实施，可分为公司(厂)、部门(车间、单位)、班组、岗位层级，公司(厂)级检查(综合检查)每季度至少组织一次，部门(车间、单位)级每月组织一次，班组级、岗位级每班开展日常隐患排查。</w:t>
      </w:r>
    </w:p>
    <w:p>
      <w:pPr>
        <w:pStyle w:val="65"/>
        <w:spacing w:before="120" w:after="120"/>
      </w:pPr>
      <w:r>
        <w:rPr>
          <w:rFonts w:hint="eastAsia"/>
        </w:rPr>
        <w:t>排查清单</w:t>
      </w:r>
    </w:p>
    <w:p>
      <w:pPr>
        <w:pStyle w:val="164"/>
      </w:pPr>
      <w:r>
        <w:rPr>
          <w:rFonts w:hint="eastAsia"/>
        </w:rPr>
        <w:t>企业应根据风险辨识评估确定的各类风险的全部控制措施和基础安全管理要求，编制隐患排查项目清单，基础管理类隐患排查清单表见附录E表E.1，生产现场类隐患排查清单（设备设施）参见附录E表E.2，生产现场类隐患排查清单（作业活动）见附录E表E.3。</w:t>
      </w:r>
    </w:p>
    <w:p>
      <w:pPr>
        <w:pStyle w:val="164"/>
      </w:pPr>
      <w:r>
        <w:rPr>
          <w:rFonts w:hint="eastAsia"/>
        </w:rPr>
        <w:t>基础管理类隐患主要包括：</w:t>
      </w:r>
    </w:p>
    <w:p>
      <w:pPr>
        <w:pStyle w:val="132"/>
      </w:pPr>
      <w:r>
        <w:rPr>
          <w:rFonts w:hint="eastAsia"/>
        </w:rPr>
        <w:t>生产经营企业资质证照（资质证照）；</w:t>
      </w:r>
    </w:p>
    <w:p>
      <w:pPr>
        <w:pStyle w:val="132"/>
      </w:pPr>
      <w:r>
        <w:rPr>
          <w:rFonts w:hint="eastAsia"/>
        </w:rPr>
        <w:t>安全生产管理机构及人员（机构及人员）；</w:t>
      </w:r>
    </w:p>
    <w:p>
      <w:pPr>
        <w:pStyle w:val="132"/>
      </w:pPr>
      <w:r>
        <w:rPr>
          <w:rFonts w:hint="eastAsia"/>
        </w:rPr>
        <w:t>安全生产责任制、管理制度、操作规程（责任制度）；</w:t>
      </w:r>
    </w:p>
    <w:p>
      <w:pPr>
        <w:pStyle w:val="132"/>
      </w:pPr>
      <w:r>
        <w:rPr>
          <w:rFonts w:hint="eastAsia"/>
        </w:rPr>
        <w:t>安全生产教育培训（教育培训）；</w:t>
      </w:r>
    </w:p>
    <w:p>
      <w:pPr>
        <w:pStyle w:val="132"/>
      </w:pPr>
      <w:r>
        <w:rPr>
          <w:rFonts w:hint="eastAsia"/>
        </w:rPr>
        <w:t>安全生产管理档案（管理档案）；</w:t>
      </w:r>
    </w:p>
    <w:p>
      <w:pPr>
        <w:pStyle w:val="132"/>
      </w:pPr>
      <w:r>
        <w:rPr>
          <w:rFonts w:hint="eastAsia"/>
        </w:rPr>
        <w:t>安全生产投入（生产投入）；</w:t>
      </w:r>
    </w:p>
    <w:p>
      <w:pPr>
        <w:pStyle w:val="132"/>
      </w:pPr>
      <w:r>
        <w:rPr>
          <w:rFonts w:hint="eastAsia"/>
        </w:rPr>
        <w:t>应急管理（应急管理）；</w:t>
      </w:r>
    </w:p>
    <w:p>
      <w:pPr>
        <w:pStyle w:val="132"/>
      </w:pPr>
      <w:r>
        <w:rPr>
          <w:rFonts w:hint="eastAsia"/>
        </w:rPr>
        <w:t>特种设备基础管理（特种设备基础）</w:t>
      </w:r>
    </w:p>
    <w:p>
      <w:pPr>
        <w:pStyle w:val="132"/>
      </w:pPr>
      <w:r>
        <w:rPr>
          <w:rFonts w:hint="eastAsia"/>
        </w:rPr>
        <w:t>职业卫生基础管理（职卫基础）；</w:t>
      </w:r>
    </w:p>
    <w:p>
      <w:pPr>
        <w:pStyle w:val="132"/>
      </w:pPr>
      <w:r>
        <w:rPr>
          <w:rFonts w:hint="eastAsia"/>
        </w:rPr>
        <w:t>相关方基础管理（相关方基础）；</w:t>
      </w:r>
    </w:p>
    <w:p>
      <w:pPr>
        <w:pStyle w:val="132"/>
      </w:pPr>
      <w:r>
        <w:rPr>
          <w:rFonts w:hint="eastAsia"/>
        </w:rPr>
        <w:t>其他基础管理（基础其他）。</w:t>
      </w:r>
    </w:p>
    <w:p>
      <w:pPr>
        <w:pStyle w:val="164"/>
      </w:pPr>
      <w:r>
        <w:rPr>
          <w:rFonts w:hint="eastAsia"/>
        </w:rPr>
        <w:t>生产现场类隐患主要包括：</w:t>
      </w:r>
    </w:p>
    <w:p>
      <w:pPr>
        <w:pStyle w:val="132"/>
      </w:pPr>
      <w:r>
        <w:rPr>
          <w:rFonts w:hint="eastAsia"/>
        </w:rPr>
        <w:t>设备设施、建构筑物；</w:t>
      </w:r>
    </w:p>
    <w:p>
      <w:pPr>
        <w:pStyle w:val="132"/>
      </w:pPr>
      <w:r>
        <w:rPr>
          <w:rFonts w:hint="eastAsia"/>
        </w:rPr>
        <w:t>作业活动；</w:t>
      </w:r>
    </w:p>
    <w:p>
      <w:pPr>
        <w:pStyle w:val="132"/>
      </w:pPr>
      <w:r>
        <w:rPr>
          <w:rFonts w:hint="eastAsia"/>
        </w:rPr>
        <w:t>作业现场周边环境；</w:t>
      </w:r>
    </w:p>
    <w:p>
      <w:pPr>
        <w:pStyle w:val="132"/>
      </w:pPr>
      <w:r>
        <w:rPr>
          <w:rFonts w:hint="eastAsia"/>
        </w:rPr>
        <w:t>其他与生产现场相关的风险点。</w:t>
      </w:r>
    </w:p>
    <w:p>
      <w:pPr>
        <w:pStyle w:val="105"/>
        <w:spacing w:before="120" w:after="120"/>
      </w:pPr>
      <w:r>
        <w:rPr>
          <w:rFonts w:hint="eastAsia"/>
        </w:rPr>
        <w:t>隐患治理</w:t>
      </w:r>
    </w:p>
    <w:p>
      <w:pPr>
        <w:pStyle w:val="65"/>
        <w:spacing w:before="120" w:after="120"/>
      </w:pPr>
      <w:r>
        <w:rPr>
          <w:rFonts w:hint="eastAsia"/>
        </w:rPr>
        <w:t>治理要求</w:t>
      </w:r>
    </w:p>
    <w:p>
      <w:pPr>
        <w:pStyle w:val="56"/>
        <w:ind w:firstLine="420"/>
        <w:rPr>
          <w:rFonts w:hAnsi="宋体"/>
        </w:rPr>
      </w:pPr>
      <w:r>
        <w:rPr>
          <w:rFonts w:hint="eastAsia" w:hAnsi="宋体"/>
        </w:rPr>
        <w:t>隐患治理应保证整改措施、责任、资金、时限和预案“五到位”实现隐患流程的闭环管理。</w:t>
      </w:r>
    </w:p>
    <w:p>
      <w:pPr>
        <w:pStyle w:val="65"/>
        <w:spacing w:before="120" w:after="120"/>
      </w:pPr>
      <w:r>
        <w:rPr>
          <w:rFonts w:hint="eastAsia"/>
        </w:rPr>
        <w:t>重大隐患治理</w:t>
      </w:r>
    </w:p>
    <w:p>
      <w:pPr>
        <w:pStyle w:val="164"/>
      </w:pPr>
      <w:r>
        <w:rPr>
          <w:rFonts w:hint="eastAsia"/>
        </w:rPr>
        <w:t>重大隐患应编制隐患评估报告书，评估报告书应包括隐患的类别、影响范围和风险程度以及对隐患的监控措施、治理方式、治理期限的建议等内容。</w:t>
      </w:r>
    </w:p>
    <w:p>
      <w:pPr>
        <w:pStyle w:val="164"/>
      </w:pPr>
      <w:r>
        <w:rPr>
          <w:rFonts w:hint="eastAsia"/>
        </w:rPr>
        <w:t>企业应根据评估报告书制定重大隐患治理方案，并由主要负责人报告给当地县(市、区)人民政府负有安全生产监督管理职责的部门及上级主管部门。</w:t>
      </w:r>
    </w:p>
    <w:p>
      <w:pPr>
        <w:pStyle w:val="164"/>
      </w:pPr>
      <w:r>
        <w:rPr>
          <w:rFonts w:hint="eastAsia"/>
        </w:rPr>
        <w:t>治理方案应当包括下列主要内容：</w:t>
      </w:r>
    </w:p>
    <w:p>
      <w:pPr>
        <w:pStyle w:val="132"/>
      </w:pPr>
      <w:r>
        <w:rPr>
          <w:rFonts w:hint="eastAsia"/>
        </w:rPr>
        <w:t>治理的目标和任务；</w:t>
      </w:r>
    </w:p>
    <w:p>
      <w:pPr>
        <w:pStyle w:val="132"/>
      </w:pPr>
      <w:r>
        <w:rPr>
          <w:rFonts w:hint="eastAsia"/>
        </w:rPr>
        <w:t>采取的方法和措施；</w:t>
      </w:r>
    </w:p>
    <w:p>
      <w:pPr>
        <w:pStyle w:val="132"/>
      </w:pPr>
      <w:r>
        <w:rPr>
          <w:rFonts w:hint="eastAsia"/>
        </w:rPr>
        <w:t>经费和物资的落实；</w:t>
      </w:r>
    </w:p>
    <w:p>
      <w:pPr>
        <w:pStyle w:val="132"/>
      </w:pPr>
      <w:r>
        <w:rPr>
          <w:rFonts w:hint="eastAsia"/>
        </w:rPr>
        <w:t>负责治理的机构和人员；</w:t>
      </w:r>
    </w:p>
    <w:p>
      <w:pPr>
        <w:pStyle w:val="132"/>
      </w:pPr>
      <w:r>
        <w:rPr>
          <w:rFonts w:hint="eastAsia"/>
        </w:rPr>
        <w:t>治理的时限和要求；</w:t>
      </w:r>
    </w:p>
    <w:p>
      <w:pPr>
        <w:pStyle w:val="132"/>
      </w:pPr>
      <w:r>
        <w:rPr>
          <w:rFonts w:hint="eastAsia"/>
        </w:rPr>
        <w:t>防止整改期间发生事故的安全措施。</w:t>
      </w:r>
    </w:p>
    <w:p>
      <w:pPr>
        <w:pStyle w:val="65"/>
        <w:spacing w:before="120" w:after="120"/>
      </w:pPr>
      <w:r>
        <w:rPr>
          <w:rFonts w:hint="eastAsia"/>
        </w:rPr>
        <w:t>一般隐患治理</w:t>
      </w:r>
    </w:p>
    <w:p>
      <w:pPr>
        <w:pStyle w:val="164"/>
      </w:pPr>
      <w:r>
        <w:rPr>
          <w:rFonts w:hint="eastAsia"/>
        </w:rPr>
        <w:t>一般隐患由企业各级(车间、部门、班组等)负责人或者有关人员负责组织整改。</w:t>
      </w:r>
    </w:p>
    <w:p>
      <w:pPr>
        <w:pStyle w:val="164"/>
      </w:pPr>
      <w:r>
        <w:rPr>
          <w:rFonts w:hint="eastAsia"/>
        </w:rPr>
        <w:t>对于能够立即整改的隐患应立即组织整改，整改情况应安排专人进行确认。</w:t>
      </w:r>
    </w:p>
    <w:p>
      <w:pPr>
        <w:pStyle w:val="164"/>
      </w:pPr>
      <w:r>
        <w:rPr>
          <w:rFonts w:hint="eastAsia"/>
        </w:rPr>
        <w:t>对于难以立即排除的应及时进行分析，制定整改措施并限期整改。</w:t>
      </w:r>
    </w:p>
    <w:p>
      <w:pPr>
        <w:pStyle w:val="105"/>
        <w:spacing w:before="120" w:after="120"/>
      </w:pPr>
      <w:r>
        <w:rPr>
          <w:rFonts w:hint="eastAsia"/>
        </w:rPr>
        <w:t>隐患验收</w:t>
      </w:r>
    </w:p>
    <w:p>
      <w:pPr>
        <w:pStyle w:val="65"/>
        <w:spacing w:before="120" w:after="120"/>
      </w:pPr>
      <w:r>
        <w:rPr>
          <w:rFonts w:hint="eastAsia"/>
        </w:rPr>
        <w:t>重大隐患治理验收</w:t>
      </w:r>
    </w:p>
    <w:p>
      <w:pPr>
        <w:pStyle w:val="164"/>
      </w:pPr>
      <w:r>
        <w:rPr>
          <w:rFonts w:hint="eastAsia"/>
        </w:rPr>
        <w:t>重大隐患治理工作结束后，应组织对治理情况进行复查评估，相关责任单位同时出具重大事故隐患整改方案落实情况。</w:t>
      </w:r>
    </w:p>
    <w:p>
      <w:pPr>
        <w:pStyle w:val="164"/>
      </w:pPr>
      <w:r>
        <w:rPr>
          <w:rFonts w:hint="eastAsia"/>
        </w:rPr>
        <w:t>企业主要负责人在《重大事故隐患整改通知单》签字确认后，应按照国家有关规定将治理结果向所在地负有安全生产监督管理职责的部门报告。</w:t>
      </w:r>
    </w:p>
    <w:p>
      <w:pPr>
        <w:pStyle w:val="65"/>
        <w:spacing w:before="120" w:after="120"/>
      </w:pPr>
      <w:r>
        <w:rPr>
          <w:rFonts w:hint="eastAsia"/>
        </w:rPr>
        <w:t>一般隐患验收</w:t>
      </w:r>
    </w:p>
    <w:p>
      <w:pPr>
        <w:pStyle w:val="56"/>
        <w:ind w:firstLine="420"/>
      </w:pPr>
      <w:r>
        <w:rPr>
          <w:rFonts w:hint="eastAsia" w:hAnsi="宋体"/>
        </w:rPr>
        <w:t>隐患治理完成后，应根据隐患级别组织相关人员对治理情况进行验收，并建立完善一般隐患排查治理台账。</w:t>
      </w:r>
    </w:p>
    <w:p>
      <w:pPr>
        <w:pStyle w:val="104"/>
        <w:spacing w:before="240" w:after="240"/>
      </w:pPr>
      <w:r>
        <w:rPr>
          <w:rFonts w:hint="eastAsia"/>
        </w:rPr>
        <w:t>文件管理</w:t>
      </w:r>
      <w:bookmarkEnd w:id="118"/>
    </w:p>
    <w:p>
      <w:pPr>
        <w:pStyle w:val="162"/>
      </w:pPr>
      <w:r>
        <w:rPr>
          <w:rFonts w:hint="eastAsia"/>
        </w:rPr>
        <w:t>企业宜参照GB/T 33000的相关规定，建立文件和记录管理制度。</w:t>
      </w:r>
    </w:p>
    <w:p>
      <w:pPr>
        <w:pStyle w:val="162"/>
      </w:pPr>
      <w:r>
        <w:rPr>
          <w:rFonts w:hint="eastAsia"/>
        </w:rPr>
        <w:t>企业应编制双重预防机制建设评估报告，见附录F。</w:t>
      </w:r>
    </w:p>
    <w:p>
      <w:pPr>
        <w:pStyle w:val="162"/>
      </w:pPr>
      <w:r>
        <w:rPr>
          <w:rFonts w:hint="eastAsia"/>
        </w:rPr>
        <w:t>企业应完整保存双重预防机制建设文件、过程资料与数据信息及建设报告，并建立电子档案。</w:t>
      </w:r>
    </w:p>
    <w:p>
      <w:pPr>
        <w:pStyle w:val="104"/>
        <w:spacing w:before="240" w:after="240"/>
        <w:rPr>
          <w:szCs w:val="21"/>
        </w:rPr>
      </w:pPr>
      <w:r>
        <w:rPr>
          <w:rFonts w:hint="eastAsia"/>
        </w:rPr>
        <w:t>信息化管理</w:t>
      </w:r>
    </w:p>
    <w:p>
      <w:pPr>
        <w:pStyle w:val="162"/>
      </w:pPr>
      <w:r>
        <w:rPr>
          <w:rFonts w:hint="eastAsia"/>
        </w:rPr>
        <w:t>企业应通过信息平台向负有安全生产监督检查部门报告安全风险分级管控和隐患排查治理情况，内容包括：</w:t>
      </w:r>
    </w:p>
    <w:p>
      <w:pPr>
        <w:pStyle w:val="132"/>
      </w:pPr>
      <w:r>
        <w:rPr>
          <w:rFonts w:hint="eastAsia"/>
        </w:rPr>
        <w:t>每月按时上报企业隐患排查实施计划及开展情况；</w:t>
      </w:r>
    </w:p>
    <w:p>
      <w:pPr>
        <w:pStyle w:val="132"/>
      </w:pPr>
      <w:r>
        <w:rPr>
          <w:rFonts w:hint="eastAsia"/>
        </w:rPr>
        <w:t>排查发现重大隐患后，应录入信息系统，直接上报；</w:t>
      </w:r>
    </w:p>
    <w:p>
      <w:pPr>
        <w:pStyle w:val="132"/>
      </w:pPr>
      <w:r>
        <w:rPr>
          <w:rFonts w:hint="eastAsia"/>
        </w:rPr>
        <w:t>建立健全隐患整改台账；</w:t>
      </w:r>
    </w:p>
    <w:p>
      <w:pPr>
        <w:pStyle w:val="132"/>
      </w:pPr>
      <w:r>
        <w:rPr>
          <w:rFonts w:hint="eastAsia"/>
        </w:rPr>
        <w:t>根据各级相关部门要求的其他安全数据信息。</w:t>
      </w:r>
    </w:p>
    <w:p>
      <w:pPr>
        <w:pStyle w:val="162"/>
      </w:pPr>
      <w:r>
        <w:rPr>
          <w:rFonts w:hint="eastAsia"/>
        </w:rPr>
        <w:t>企业应建立内部沟通和外部沟通机制，及时有效传递风险信息和隐患信息，提高风险管控效果与隐患排查治理的效果和效率。</w:t>
      </w:r>
    </w:p>
    <w:p>
      <w:pPr>
        <w:pStyle w:val="162"/>
      </w:pPr>
      <w:r>
        <w:rPr>
          <w:rFonts w:hint="eastAsia"/>
        </w:rPr>
        <w:t>企业应实现信息化管理，相关信息系统中企业基本信息、双重预防机制相关组织机构及人员、设备设施库、作业活动库、相关管理制度、体系文件等信息填写完整。</w:t>
      </w:r>
    </w:p>
    <w:p>
      <w:pPr>
        <w:pStyle w:val="162"/>
      </w:pPr>
      <w:r>
        <w:rPr>
          <w:rFonts w:hint="eastAsia"/>
        </w:rPr>
        <w:t>重大风险信息更新后应及时组织相关人员进行培训。</w:t>
      </w:r>
    </w:p>
    <w:p>
      <w:pPr>
        <w:pStyle w:val="104"/>
        <w:spacing w:before="240" w:after="240"/>
      </w:pPr>
      <w:r>
        <w:rPr>
          <w:rFonts w:hint="eastAsia"/>
        </w:rPr>
        <w:t>持续改进</w:t>
      </w:r>
    </w:p>
    <w:p>
      <w:pPr>
        <w:pStyle w:val="105"/>
        <w:spacing w:before="120" w:after="120"/>
      </w:pPr>
      <w:r>
        <w:rPr>
          <w:rFonts w:hint="eastAsia"/>
        </w:rPr>
        <w:t>评估要求</w:t>
      </w:r>
    </w:p>
    <w:p>
      <w:pPr>
        <w:pStyle w:val="165"/>
      </w:pPr>
      <w:r>
        <w:rPr>
          <w:rFonts w:hint="eastAsia"/>
        </w:rPr>
        <w:t>企业应每年对本单位风险分析管控体系进行评估。</w:t>
      </w:r>
    </w:p>
    <w:p>
      <w:pPr>
        <w:pStyle w:val="165"/>
      </w:pPr>
      <w:r>
        <w:rPr>
          <w:rFonts w:hint="eastAsia"/>
        </w:rPr>
        <w:t>企业应根据评估结果对其实施方案进行修改完善，确保有效运行。</w:t>
      </w:r>
    </w:p>
    <w:p>
      <w:pPr>
        <w:pStyle w:val="165"/>
      </w:pPr>
      <w:r>
        <w:rPr>
          <w:rFonts w:hint="eastAsia"/>
        </w:rPr>
        <w:t>评估结果及修改完善后的实施方案应纳入文件管理予以保存。</w:t>
      </w:r>
    </w:p>
    <w:p>
      <w:pPr>
        <w:pStyle w:val="105"/>
        <w:spacing w:before="120" w:after="120"/>
      </w:pPr>
      <w:r>
        <w:rPr>
          <w:rFonts w:hint="eastAsia"/>
        </w:rPr>
        <w:t>适时更新</w:t>
      </w:r>
    </w:p>
    <w:p>
      <w:pPr>
        <w:pStyle w:val="56"/>
        <w:ind w:firstLine="420"/>
      </w:pPr>
      <w:r>
        <w:rPr>
          <w:rFonts w:hint="eastAsia" w:hAnsi="宋体"/>
        </w:rPr>
        <w:t>当出现以下情况之一，应及时更新双重预防机制建设相关内容：</w:t>
      </w:r>
    </w:p>
    <w:p>
      <w:pPr>
        <w:pStyle w:val="132"/>
      </w:pPr>
      <w:r>
        <w:rPr>
          <w:rFonts w:hint="eastAsia"/>
        </w:rPr>
        <w:t>法律、法规、标准和规程变化或更新的；</w:t>
      </w:r>
    </w:p>
    <w:p>
      <w:pPr>
        <w:pStyle w:val="132"/>
      </w:pPr>
      <w:r>
        <w:rPr>
          <w:rFonts w:hint="eastAsia"/>
        </w:rPr>
        <w:t>政府规范性文件提出新要求的；</w:t>
      </w:r>
    </w:p>
    <w:p>
      <w:pPr>
        <w:pStyle w:val="132"/>
      </w:pPr>
      <w:r>
        <w:rPr>
          <w:rFonts w:hint="eastAsia"/>
        </w:rPr>
        <w:t>组织机构及安全管理机制发生重大变化的；</w:t>
      </w:r>
    </w:p>
    <w:p>
      <w:pPr>
        <w:pStyle w:val="132"/>
      </w:pPr>
      <w:r>
        <w:rPr>
          <w:rFonts w:hint="eastAsia"/>
        </w:rPr>
        <w:t>生产工艺、设备设施、材料、技术发生变化的；</w:t>
      </w:r>
    </w:p>
    <w:p>
      <w:pPr>
        <w:pStyle w:val="132"/>
      </w:pPr>
      <w:r>
        <w:rPr>
          <w:rFonts w:hint="eastAsia"/>
        </w:rPr>
        <w:t>风险程度变化后，需要对风险控制措施的调整的；</w:t>
      </w:r>
    </w:p>
    <w:p>
      <w:pPr>
        <w:pStyle w:val="132"/>
      </w:pPr>
      <w:r>
        <w:rPr>
          <w:rFonts w:hint="eastAsia"/>
        </w:rPr>
        <w:t>新辨识出的危险源；</w:t>
      </w:r>
    </w:p>
    <w:p>
      <w:pPr>
        <w:pStyle w:val="132"/>
      </w:pPr>
      <w:r>
        <w:rPr>
          <w:rFonts w:hint="eastAsia"/>
        </w:rPr>
        <w:t>未遂事件、紧急情况或应急预案演练结果反馈的需求；</w:t>
      </w:r>
    </w:p>
    <w:p>
      <w:pPr>
        <w:pStyle w:val="132"/>
      </w:pPr>
      <w:r>
        <w:rPr>
          <w:rFonts w:hint="eastAsia"/>
        </w:rPr>
        <w:t>风险程度或者风险控制措施的变化；</w:t>
      </w:r>
    </w:p>
    <w:p>
      <w:pPr>
        <w:pStyle w:val="132"/>
      </w:pPr>
      <w:r>
        <w:rPr>
          <w:rFonts w:hint="eastAsia"/>
        </w:rPr>
        <w:t>同类型风险点或者相关行业发生事故灾害后，对事故、事件或其他信息有新的认识。</w:t>
      </w:r>
    </w:p>
    <w:p>
      <w:pPr>
        <w:pStyle w:val="56"/>
        <w:ind w:firstLine="420"/>
      </w:pPr>
    </w:p>
    <w:bookmarkEnd w:id="21"/>
    <w:p>
      <w:pPr>
        <w:pStyle w:val="56"/>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linePitch="312" w:charSpace="0"/>
        </w:sectPr>
      </w:pPr>
      <w:bookmarkStart w:id="119" w:name="BookMark5"/>
    </w:p>
    <w:p>
      <w:pPr>
        <w:pStyle w:val="198"/>
        <w:rPr>
          <w:vanish w:val="0"/>
        </w:rPr>
      </w:pPr>
    </w:p>
    <w:p>
      <w:pPr>
        <w:pStyle w:val="199"/>
        <w:rPr>
          <w:vanish w:val="0"/>
        </w:rPr>
      </w:pPr>
    </w:p>
    <w:p>
      <w:pPr>
        <w:pStyle w:val="76"/>
        <w:spacing w:after="120"/>
      </w:pPr>
      <w:r>
        <w:br w:type="textWrapping"/>
      </w:r>
      <w:r>
        <w:rPr>
          <w:rFonts w:hint="eastAsia"/>
        </w:rPr>
        <w:t>（资料性）</w:t>
      </w:r>
      <w:r>
        <w:br w:type="textWrapping"/>
      </w:r>
      <w:r>
        <w:rPr>
          <w:rFonts w:hint="eastAsia"/>
        </w:rPr>
        <w:t>双重预防机制程序</w:t>
      </w:r>
    </w:p>
    <w:p>
      <w:pPr>
        <w:pStyle w:val="56"/>
        <w:ind w:firstLine="420"/>
        <w:rPr>
          <w:rFonts w:hint="eastAsia"/>
        </w:rPr>
      </w:pPr>
      <w:r>
        <w:rPr>
          <w:rFonts w:hint="eastAsia"/>
        </w:rPr>
        <w:t>图A.1给出了双重预防机制建设的程序。</w:t>
      </w:r>
    </w:p>
    <w:p>
      <w:pPr>
        <w:pStyle w:val="56"/>
        <w:ind w:firstLine="420"/>
      </w:pPr>
      <w:bookmarkStart w:id="120" w:name="_Hlk132793905"/>
      <w:r>
        <mc:AlternateContent>
          <mc:Choice Requires="wpc">
            <w:drawing>
              <wp:inline distT="0" distB="0" distL="0" distR="0">
                <wp:extent cx="5730240" cy="6556375"/>
                <wp:effectExtent l="0" t="0" r="0" b="0"/>
                <wp:docPr id="86" name="画布 86"/>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s:wsp>
                        <wps:cNvPr id="4" name="AutoShape 4"/>
                        <wps:cNvSpPr>
                          <a:spLocks noChangeArrowheads="1"/>
                        </wps:cNvSpPr>
                        <wps:spPr bwMode="auto">
                          <a:xfrm>
                            <a:off x="1864579" y="395906"/>
                            <a:ext cx="1025464" cy="429723"/>
                          </a:xfrm>
                          <a:prstGeom prst="flowChartProcess">
                            <a:avLst/>
                          </a:prstGeom>
                          <a:solidFill>
                            <a:srgbClr val="FFFFFF"/>
                          </a:solidFill>
                          <a:ln w="9525">
                            <a:solidFill>
                              <a:srgbClr val="000000"/>
                            </a:solidFill>
                            <a:miter lim="800000"/>
                          </a:ln>
                        </wps:spPr>
                        <wps:txbx>
                          <w:txbxContent>
                            <w:p>
                              <w:pPr>
                                <w:jc w:val="center"/>
                                <w:rPr>
                                  <w:sz w:val="15"/>
                                </w:rPr>
                              </w:pPr>
                              <w:r>
                                <w:rPr>
                                  <w:sz w:val="15"/>
                                </w:rPr>
                                <w:t>计划与准备</w:t>
                              </w:r>
                            </w:p>
                          </w:txbxContent>
                        </wps:txbx>
                        <wps:bodyPr rot="0" vert="horz" wrap="square" lIns="91440" tIns="45720" rIns="91440" bIns="45720" anchor="t" anchorCtr="0" upright="1">
                          <a:noAutofit/>
                        </wps:bodyPr>
                      </wps:wsp>
                      <wps:wsp>
                        <wps:cNvPr id="6" name="AutoShape 5"/>
                        <wps:cNvSpPr>
                          <a:spLocks noChangeArrowheads="1"/>
                        </wps:cNvSpPr>
                        <wps:spPr bwMode="auto">
                          <a:xfrm>
                            <a:off x="3369363" y="750573"/>
                            <a:ext cx="1025464" cy="408278"/>
                          </a:xfrm>
                          <a:prstGeom prst="flowChartProcess">
                            <a:avLst/>
                          </a:prstGeom>
                          <a:solidFill>
                            <a:srgbClr val="FFFFFF"/>
                          </a:solidFill>
                          <a:ln w="9525">
                            <a:solidFill>
                              <a:srgbClr val="000000"/>
                            </a:solidFill>
                            <a:miter lim="800000"/>
                          </a:ln>
                        </wps:spPr>
                        <wps:txbx>
                          <w:txbxContent>
                            <w:p>
                              <w:pPr>
                                <w:jc w:val="center"/>
                                <w:rPr>
                                  <w:sz w:val="15"/>
                                </w:rPr>
                              </w:pPr>
                              <w:r>
                                <w:rPr>
                                  <w:sz w:val="15"/>
                                </w:rPr>
                                <w:t>风险区域划分</w:t>
                              </w:r>
                            </w:p>
                          </w:txbxContent>
                        </wps:txbx>
                        <wps:bodyPr rot="0" vert="horz" wrap="square" lIns="91440" tIns="45720" rIns="91440" bIns="45720" anchor="t" anchorCtr="0" upright="1">
                          <a:noAutofit/>
                        </wps:bodyPr>
                      </wps:wsp>
                      <wps:wsp>
                        <wps:cNvPr id="7" name="AutoShape 6"/>
                        <wps:cNvSpPr>
                          <a:spLocks noChangeArrowheads="1"/>
                        </wps:cNvSpPr>
                        <wps:spPr bwMode="auto">
                          <a:xfrm>
                            <a:off x="3369363" y="1511043"/>
                            <a:ext cx="1025464" cy="387658"/>
                          </a:xfrm>
                          <a:prstGeom prst="flowChartProcess">
                            <a:avLst/>
                          </a:prstGeom>
                          <a:solidFill>
                            <a:srgbClr val="FFFFFF"/>
                          </a:solidFill>
                          <a:ln w="9525">
                            <a:solidFill>
                              <a:srgbClr val="000000"/>
                            </a:solidFill>
                            <a:miter lim="800000"/>
                          </a:ln>
                        </wps:spPr>
                        <wps:txbx>
                          <w:txbxContent>
                            <w:p>
                              <w:pPr>
                                <w:jc w:val="center"/>
                                <w:rPr>
                                  <w:sz w:val="15"/>
                                </w:rPr>
                              </w:pPr>
                              <w:r>
                                <w:rPr>
                                  <w:sz w:val="15"/>
                                </w:rPr>
                                <w:t>风险点划分</w:t>
                              </w:r>
                            </w:p>
                          </w:txbxContent>
                        </wps:txbx>
                        <wps:bodyPr rot="0" vert="horz" wrap="square" lIns="91440" tIns="45720" rIns="91440" bIns="45720" anchor="t" anchorCtr="0" upright="1">
                          <a:noAutofit/>
                        </wps:bodyPr>
                      </wps:wsp>
                      <wps:wsp>
                        <wps:cNvPr id="8" name="AutoShape 7"/>
                        <wps:cNvSpPr>
                          <a:spLocks noChangeArrowheads="1"/>
                        </wps:cNvSpPr>
                        <wps:spPr bwMode="auto">
                          <a:xfrm>
                            <a:off x="1864579" y="1817045"/>
                            <a:ext cx="1026289" cy="399206"/>
                          </a:xfrm>
                          <a:prstGeom prst="flowChartProcess">
                            <a:avLst/>
                          </a:prstGeom>
                          <a:solidFill>
                            <a:srgbClr val="FFFFFF"/>
                          </a:solidFill>
                          <a:ln w="9525">
                            <a:solidFill>
                              <a:srgbClr val="000000"/>
                            </a:solidFill>
                            <a:miter lim="800000"/>
                          </a:ln>
                        </wps:spPr>
                        <wps:txbx>
                          <w:txbxContent>
                            <w:p>
                              <w:pPr>
                                <w:jc w:val="center"/>
                                <w:rPr>
                                  <w:sz w:val="15"/>
                                </w:rPr>
                              </w:pPr>
                              <w:r>
                                <w:rPr>
                                  <w:sz w:val="15"/>
                                </w:rPr>
                                <w:t>风险辨识</w:t>
                              </w:r>
                            </w:p>
                          </w:txbxContent>
                        </wps:txbx>
                        <wps:bodyPr rot="0" vert="horz" wrap="square" lIns="91440" tIns="45720" rIns="91440" bIns="45720" anchor="t" anchorCtr="0" upright="1">
                          <a:noAutofit/>
                        </wps:bodyPr>
                      </wps:wsp>
                      <wps:wsp>
                        <wps:cNvPr id="9" name="AutoShape 8"/>
                        <wps:cNvSpPr>
                          <a:spLocks noChangeArrowheads="1"/>
                        </wps:cNvSpPr>
                        <wps:spPr bwMode="auto">
                          <a:xfrm>
                            <a:off x="1922329" y="2559370"/>
                            <a:ext cx="910790" cy="419001"/>
                          </a:xfrm>
                          <a:prstGeom prst="flowChartProcess">
                            <a:avLst/>
                          </a:prstGeom>
                          <a:solidFill>
                            <a:srgbClr val="FFFFFF"/>
                          </a:solidFill>
                          <a:ln w="9525">
                            <a:solidFill>
                              <a:srgbClr val="000000"/>
                            </a:solidFill>
                            <a:miter lim="800000"/>
                          </a:ln>
                        </wps:spPr>
                        <wps:txbx>
                          <w:txbxContent>
                            <w:p>
                              <w:pPr>
                                <w:jc w:val="center"/>
                              </w:pPr>
                              <w:r>
                                <w:rPr>
                                  <w:sz w:val="15"/>
                                </w:rPr>
                                <w:t>风险评价</w:t>
                              </w:r>
                            </w:p>
                          </w:txbxContent>
                        </wps:txbx>
                        <wps:bodyPr rot="0" vert="horz" wrap="square" lIns="91440" tIns="45720" rIns="91440" bIns="45720" anchor="t" anchorCtr="0" upright="1">
                          <a:noAutofit/>
                        </wps:bodyPr>
                      </wps:wsp>
                      <wps:wsp>
                        <wps:cNvPr id="10" name="AutoShape 9"/>
                        <wps:cNvSpPr>
                          <a:spLocks noChangeArrowheads="1"/>
                        </wps:cNvSpPr>
                        <wps:spPr bwMode="auto">
                          <a:xfrm>
                            <a:off x="1848080" y="3292622"/>
                            <a:ext cx="1059289" cy="343119"/>
                          </a:xfrm>
                          <a:prstGeom prst="flowChartProcess">
                            <a:avLst/>
                          </a:prstGeom>
                          <a:solidFill>
                            <a:srgbClr val="FFFFFF"/>
                          </a:solidFill>
                          <a:ln w="9525">
                            <a:solidFill>
                              <a:srgbClr val="000000"/>
                            </a:solidFill>
                            <a:miter lim="800000"/>
                          </a:ln>
                        </wps:spPr>
                        <wps:txbx>
                          <w:txbxContent>
                            <w:p>
                              <w:pPr>
                                <w:jc w:val="center"/>
                              </w:pPr>
                              <w:r>
                                <w:rPr>
                                  <w:sz w:val="15"/>
                                </w:rPr>
                                <w:t>风险分级管控</w:t>
                              </w:r>
                            </w:p>
                          </w:txbxContent>
                        </wps:txbx>
                        <wps:bodyPr rot="0" vert="horz" wrap="square" lIns="91440" tIns="45720" rIns="91440" bIns="45720" anchor="t" anchorCtr="0" upright="1">
                          <a:noAutofit/>
                        </wps:bodyPr>
                      </wps:wsp>
                      <wps:wsp>
                        <wps:cNvPr id="11" name="AutoShape 10"/>
                        <wps:cNvSpPr>
                          <a:spLocks noChangeArrowheads="1"/>
                        </wps:cNvSpPr>
                        <wps:spPr bwMode="auto">
                          <a:xfrm>
                            <a:off x="1922329" y="4073712"/>
                            <a:ext cx="910790" cy="333221"/>
                          </a:xfrm>
                          <a:prstGeom prst="flowChartProcess">
                            <a:avLst/>
                          </a:prstGeom>
                          <a:solidFill>
                            <a:srgbClr val="FFFFFF"/>
                          </a:solidFill>
                          <a:ln w="9525">
                            <a:solidFill>
                              <a:srgbClr val="000000"/>
                            </a:solidFill>
                            <a:miter lim="800000"/>
                          </a:ln>
                        </wps:spPr>
                        <wps:txbx>
                          <w:txbxContent>
                            <w:p>
                              <w:pPr>
                                <w:jc w:val="center"/>
                              </w:pPr>
                              <w:r>
                                <w:rPr>
                                  <w:sz w:val="15"/>
                                </w:rPr>
                                <w:t>风险告知</w:t>
                              </w:r>
                            </w:p>
                          </w:txbxContent>
                        </wps:txbx>
                        <wps:bodyPr rot="0" vert="horz" wrap="square" lIns="91440" tIns="45720" rIns="91440" bIns="45720" anchor="t" anchorCtr="0" upright="1">
                          <a:noAutofit/>
                        </wps:bodyPr>
                      </wps:wsp>
                      <wps:wsp>
                        <wps:cNvPr id="12" name="AutoShape 11"/>
                        <wps:cNvSpPr>
                          <a:spLocks noChangeArrowheads="1"/>
                        </wps:cNvSpPr>
                        <wps:spPr bwMode="auto">
                          <a:xfrm>
                            <a:off x="1928929" y="4769023"/>
                            <a:ext cx="920690" cy="667267"/>
                          </a:xfrm>
                          <a:prstGeom prst="flowChartProcess">
                            <a:avLst/>
                          </a:prstGeom>
                          <a:solidFill>
                            <a:srgbClr val="FFFFFF"/>
                          </a:solidFill>
                          <a:ln w="9525">
                            <a:solidFill>
                              <a:srgbClr val="000000"/>
                            </a:solidFill>
                            <a:miter lim="800000"/>
                          </a:ln>
                        </wps:spPr>
                        <wps:txbx>
                          <w:txbxContent>
                            <w:p>
                              <w:pPr>
                                <w:jc w:val="center"/>
                              </w:pPr>
                              <w:bookmarkStart w:id="140" w:name="_Hlk132373775"/>
                              <w:bookmarkStart w:id="141" w:name="_Hlk132373777"/>
                              <w:bookmarkStart w:id="142" w:name="_Hlk132373773"/>
                              <w:bookmarkStart w:id="143" w:name="_Hlk132373769"/>
                              <w:bookmarkStart w:id="144" w:name="_Hlk132373780"/>
                              <w:bookmarkStart w:id="145" w:name="_Hlk132373771"/>
                              <w:bookmarkStart w:id="146" w:name="_Hlk132373778"/>
                              <w:bookmarkStart w:id="147" w:name="_Hlk132373782"/>
                              <w:bookmarkStart w:id="148" w:name="_Hlk132373776"/>
                              <w:bookmarkStart w:id="149" w:name="_Hlk132373772"/>
                              <w:bookmarkStart w:id="150" w:name="_Hlk132373774"/>
                              <w:bookmarkStart w:id="151" w:name="_Hlk132373779"/>
                              <w:bookmarkStart w:id="152" w:name="_Hlk132373770"/>
                              <w:bookmarkStart w:id="153" w:name="_Hlk132373767"/>
                              <w:bookmarkStart w:id="154" w:name="_Hlk132373781"/>
                              <w:bookmarkStart w:id="155" w:name="_Hlk132373768"/>
                              <w:r>
                                <w:rPr>
                                  <w:sz w:val="15"/>
                                </w:rPr>
                                <w:t>隐患排查治理及验收</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txbxContent>
                        </wps:txbx>
                        <wps:bodyPr rot="0" vert="horz" wrap="square" lIns="91440" tIns="45720" rIns="91440" bIns="45720" anchor="t" anchorCtr="0" upright="1">
                          <a:noAutofit/>
                        </wps:bodyPr>
                      </wps:wsp>
                      <wps:wsp>
                        <wps:cNvPr id="13" name="AutoShape 12"/>
                        <wps:cNvSpPr>
                          <a:spLocks noChangeArrowheads="1"/>
                        </wps:cNvSpPr>
                        <wps:spPr bwMode="auto">
                          <a:xfrm>
                            <a:off x="4609325" y="2283885"/>
                            <a:ext cx="389396" cy="1551458"/>
                          </a:xfrm>
                          <a:prstGeom prst="flowChartProcess">
                            <a:avLst/>
                          </a:prstGeom>
                          <a:solidFill>
                            <a:srgbClr val="FFFFFF"/>
                          </a:solidFill>
                          <a:ln w="9525">
                            <a:solidFill>
                              <a:srgbClr val="000000"/>
                            </a:solidFill>
                            <a:miter lim="800000"/>
                          </a:ln>
                        </wps:spPr>
                        <wps:txbx>
                          <w:txbxContent>
                            <w:p>
                              <w:pPr>
                                <w:jc w:val="center"/>
                                <w:rPr>
                                  <w:sz w:val="15"/>
                                </w:rPr>
                              </w:pPr>
                              <w:r>
                                <w:rPr>
                                  <w:sz w:val="15"/>
                                </w:rPr>
                                <w:t>持续改进</w:t>
                              </w:r>
                            </w:p>
                          </w:txbxContent>
                        </wps:txbx>
                        <wps:bodyPr rot="0" vert="eaVert" wrap="square" lIns="91440" tIns="45720" rIns="91440" bIns="45720" anchor="t" anchorCtr="0" upright="1">
                          <a:noAutofit/>
                        </wps:bodyPr>
                      </wps:wsp>
                      <wps:wsp>
                        <wps:cNvPr id="14" name="AutoShape 13"/>
                        <wps:cNvCnPr>
                          <a:cxnSpLocks noChangeShapeType="1"/>
                        </wps:cNvCnPr>
                        <wps:spPr bwMode="auto">
                          <a:xfrm>
                            <a:off x="2377724" y="2216251"/>
                            <a:ext cx="825" cy="343119"/>
                          </a:xfrm>
                          <a:prstGeom prst="straightConnector1">
                            <a:avLst/>
                          </a:prstGeom>
                          <a:noFill/>
                          <a:ln w="9525">
                            <a:solidFill>
                              <a:srgbClr val="000000"/>
                            </a:solidFill>
                            <a:round/>
                            <a:tailEnd type="triangle" w="med" len="med"/>
                          </a:ln>
                        </wps:spPr>
                        <wps:bodyPr/>
                      </wps:wsp>
                      <wps:wsp>
                        <wps:cNvPr id="15" name="AutoShape 14"/>
                        <wps:cNvCnPr>
                          <a:cxnSpLocks noChangeShapeType="1"/>
                        </wps:cNvCnPr>
                        <wps:spPr bwMode="auto">
                          <a:xfrm>
                            <a:off x="2377724" y="2978371"/>
                            <a:ext cx="825" cy="314251"/>
                          </a:xfrm>
                          <a:prstGeom prst="straightConnector1">
                            <a:avLst/>
                          </a:prstGeom>
                          <a:noFill/>
                          <a:ln w="9525">
                            <a:solidFill>
                              <a:srgbClr val="000000"/>
                            </a:solidFill>
                            <a:round/>
                            <a:tailEnd type="triangle" w="med" len="med"/>
                          </a:ln>
                        </wps:spPr>
                        <wps:bodyPr/>
                      </wps:wsp>
                      <wps:wsp>
                        <wps:cNvPr id="16" name="AutoShape 15"/>
                        <wps:cNvCnPr>
                          <a:cxnSpLocks noChangeShapeType="1"/>
                        </wps:cNvCnPr>
                        <wps:spPr bwMode="auto">
                          <a:xfrm>
                            <a:off x="2377724" y="3635740"/>
                            <a:ext cx="825" cy="437971"/>
                          </a:xfrm>
                          <a:prstGeom prst="straightConnector1">
                            <a:avLst/>
                          </a:prstGeom>
                          <a:noFill/>
                          <a:ln w="9525">
                            <a:solidFill>
                              <a:srgbClr val="000000"/>
                            </a:solidFill>
                            <a:round/>
                            <a:tailEnd type="triangle" w="med" len="med"/>
                          </a:ln>
                        </wps:spPr>
                        <wps:bodyPr/>
                      </wps:wsp>
                      <wps:wsp>
                        <wps:cNvPr id="17" name="AutoShape 16"/>
                        <wps:cNvCnPr>
                          <a:cxnSpLocks noChangeShapeType="1"/>
                        </wps:cNvCnPr>
                        <wps:spPr bwMode="auto">
                          <a:xfrm>
                            <a:off x="2377724" y="4406933"/>
                            <a:ext cx="4950" cy="362089"/>
                          </a:xfrm>
                          <a:prstGeom prst="straightConnector1">
                            <a:avLst/>
                          </a:prstGeom>
                          <a:noFill/>
                          <a:ln w="9525">
                            <a:solidFill>
                              <a:srgbClr val="000000"/>
                            </a:solidFill>
                            <a:round/>
                            <a:tailEnd type="triangle" w="med" len="med"/>
                          </a:ln>
                        </wps:spPr>
                        <wps:bodyPr/>
                      </wps:wsp>
                      <wps:wsp>
                        <wps:cNvPr id="18" name="AutoShape 17"/>
                        <wps:cNvSpPr>
                          <a:spLocks noChangeArrowheads="1"/>
                        </wps:cNvSpPr>
                        <wps:spPr bwMode="auto">
                          <a:xfrm>
                            <a:off x="1871179" y="5730745"/>
                            <a:ext cx="1036189" cy="383534"/>
                          </a:xfrm>
                          <a:prstGeom prst="flowChartProcess">
                            <a:avLst/>
                          </a:prstGeom>
                          <a:solidFill>
                            <a:srgbClr val="FFFFFF"/>
                          </a:solidFill>
                          <a:ln w="9525">
                            <a:solidFill>
                              <a:srgbClr val="000000"/>
                            </a:solidFill>
                            <a:miter lim="800000"/>
                          </a:ln>
                        </wps:spPr>
                        <wps:txbx>
                          <w:txbxContent>
                            <w:p>
                              <w:pPr>
                                <w:jc w:val="center"/>
                                <w:rPr>
                                  <w:sz w:val="15"/>
                                </w:rPr>
                              </w:pPr>
                              <w:r>
                                <w:rPr>
                                  <w:sz w:val="15"/>
                                </w:rPr>
                                <w:t>信息化建设</w:t>
                              </w:r>
                            </w:p>
                          </w:txbxContent>
                        </wps:txbx>
                        <wps:bodyPr rot="0" vert="horz" wrap="square" lIns="91440" tIns="45720" rIns="91440" bIns="45720" anchor="t" anchorCtr="0" upright="1">
                          <a:noAutofit/>
                        </wps:bodyPr>
                      </wps:wsp>
                      <wps:wsp>
                        <wps:cNvPr id="19" name="AutoShape 18"/>
                        <wps:cNvCnPr>
                          <a:cxnSpLocks noChangeShapeType="1"/>
                        </wps:cNvCnPr>
                        <wps:spPr bwMode="auto">
                          <a:xfrm rot="5400000" flipH="1">
                            <a:off x="2646884" y="126746"/>
                            <a:ext cx="1887979" cy="2426299"/>
                          </a:xfrm>
                          <a:prstGeom prst="bentConnector3">
                            <a:avLst>
                              <a:gd name="adj1" fmla="val 112106"/>
                            </a:avLst>
                          </a:prstGeom>
                          <a:noFill/>
                          <a:ln w="9525">
                            <a:solidFill>
                              <a:srgbClr val="000000"/>
                            </a:solidFill>
                            <a:miter lim="800000"/>
                            <a:tailEnd type="triangle" w="med" len="med"/>
                          </a:ln>
                        </wps:spPr>
                        <wps:bodyPr/>
                      </wps:wsp>
                      <wps:wsp>
                        <wps:cNvPr id="20" name="AutoShape 19"/>
                        <wps:cNvSpPr>
                          <a:spLocks noChangeArrowheads="1"/>
                        </wps:cNvSpPr>
                        <wps:spPr bwMode="auto">
                          <a:xfrm>
                            <a:off x="245122" y="1778280"/>
                            <a:ext cx="782092" cy="342294"/>
                          </a:xfrm>
                          <a:prstGeom prst="flowChartProcess">
                            <a:avLst/>
                          </a:prstGeom>
                          <a:solidFill>
                            <a:srgbClr val="FFFFFF"/>
                          </a:solidFill>
                          <a:ln w="9525">
                            <a:solidFill>
                              <a:srgbClr val="000000"/>
                            </a:solidFill>
                            <a:miter lim="800000"/>
                          </a:ln>
                        </wps:spPr>
                        <wps:txbx>
                          <w:txbxContent>
                            <w:p>
                              <w:pPr>
                                <w:jc w:val="center"/>
                                <w:rPr>
                                  <w:sz w:val="15"/>
                                </w:rPr>
                              </w:pPr>
                              <w:r>
                                <w:rPr>
                                  <w:sz w:val="15"/>
                                </w:rPr>
                                <w:t>重大风险</w:t>
                              </w:r>
                            </w:p>
                          </w:txbxContent>
                        </wps:txbx>
                        <wps:bodyPr rot="0" vert="horz" wrap="square" lIns="91440" tIns="45720" rIns="91440" bIns="45720" anchor="t" anchorCtr="0" upright="1">
                          <a:noAutofit/>
                        </wps:bodyPr>
                      </wps:wsp>
                      <wps:wsp>
                        <wps:cNvPr id="21" name="AutoShape 20"/>
                        <wps:cNvSpPr>
                          <a:spLocks noChangeArrowheads="1"/>
                        </wps:cNvSpPr>
                        <wps:spPr bwMode="auto">
                          <a:xfrm>
                            <a:off x="245122" y="2242645"/>
                            <a:ext cx="782092" cy="324973"/>
                          </a:xfrm>
                          <a:prstGeom prst="flowChartProcess">
                            <a:avLst/>
                          </a:prstGeom>
                          <a:solidFill>
                            <a:srgbClr val="FFFFFF"/>
                          </a:solidFill>
                          <a:ln w="9525">
                            <a:solidFill>
                              <a:srgbClr val="000000"/>
                            </a:solidFill>
                            <a:miter lim="800000"/>
                          </a:ln>
                        </wps:spPr>
                        <wps:txbx>
                          <w:txbxContent>
                            <w:p>
                              <w:pPr>
                                <w:jc w:val="center"/>
                                <w:rPr>
                                  <w:sz w:val="15"/>
                                </w:rPr>
                              </w:pPr>
                              <w:r>
                                <w:rPr>
                                  <w:sz w:val="15"/>
                                </w:rPr>
                                <w:t>较大风险</w:t>
                              </w:r>
                            </w:p>
                          </w:txbxContent>
                        </wps:txbx>
                        <wps:bodyPr rot="0" vert="horz" wrap="square" lIns="91440" tIns="45720" rIns="91440" bIns="45720" anchor="t" anchorCtr="0" upright="1">
                          <a:noAutofit/>
                        </wps:bodyPr>
                      </wps:wsp>
                      <wps:wsp>
                        <wps:cNvPr id="22" name="Rectangle 21"/>
                        <wps:cNvSpPr>
                          <a:spLocks noChangeArrowheads="1"/>
                        </wps:cNvSpPr>
                        <wps:spPr bwMode="auto">
                          <a:xfrm>
                            <a:off x="245122" y="2702061"/>
                            <a:ext cx="782092" cy="333221"/>
                          </a:xfrm>
                          <a:prstGeom prst="rect">
                            <a:avLst/>
                          </a:prstGeom>
                          <a:solidFill>
                            <a:srgbClr val="FFFFFF"/>
                          </a:solidFill>
                          <a:ln w="9525">
                            <a:solidFill>
                              <a:srgbClr val="000000"/>
                            </a:solidFill>
                            <a:miter lim="800000"/>
                          </a:ln>
                        </wps:spPr>
                        <wps:txbx>
                          <w:txbxContent>
                            <w:p>
                              <w:pPr>
                                <w:jc w:val="center"/>
                                <w:rPr>
                                  <w:sz w:val="15"/>
                                </w:rPr>
                              </w:pPr>
                              <w:r>
                                <w:rPr>
                                  <w:sz w:val="15"/>
                                </w:rPr>
                                <w:t>一般风险</w:t>
                              </w:r>
                            </w:p>
                          </w:txbxContent>
                        </wps:txbx>
                        <wps:bodyPr rot="0" vert="horz" wrap="square" lIns="91440" tIns="45720" rIns="91440" bIns="45720" anchor="t" anchorCtr="0" upright="1">
                          <a:noAutofit/>
                        </wps:bodyPr>
                      </wps:wsp>
                      <wps:wsp>
                        <wps:cNvPr id="23" name="Rectangle 22"/>
                        <wps:cNvSpPr>
                          <a:spLocks noChangeArrowheads="1"/>
                        </wps:cNvSpPr>
                        <wps:spPr bwMode="auto">
                          <a:xfrm>
                            <a:off x="245122" y="3168901"/>
                            <a:ext cx="782092" cy="362089"/>
                          </a:xfrm>
                          <a:prstGeom prst="rect">
                            <a:avLst/>
                          </a:prstGeom>
                          <a:solidFill>
                            <a:srgbClr val="FFFFFF"/>
                          </a:solidFill>
                          <a:ln w="9525">
                            <a:solidFill>
                              <a:srgbClr val="000000"/>
                            </a:solidFill>
                            <a:miter lim="800000"/>
                          </a:ln>
                        </wps:spPr>
                        <wps:txbx>
                          <w:txbxContent>
                            <w:p>
                              <w:pPr>
                                <w:jc w:val="center"/>
                                <w:rPr>
                                  <w:sz w:val="15"/>
                                </w:rPr>
                              </w:pPr>
                              <w:r>
                                <w:rPr>
                                  <w:sz w:val="15"/>
                                </w:rPr>
                                <w:t>低风险</w:t>
                              </w:r>
                            </w:p>
                          </w:txbxContent>
                        </wps:txbx>
                        <wps:bodyPr rot="0" vert="horz" wrap="square" lIns="91440" tIns="45720" rIns="91440" bIns="45720" anchor="t" anchorCtr="0" upright="1">
                          <a:noAutofit/>
                        </wps:bodyPr>
                      </wps:wsp>
                      <wps:wsp>
                        <wps:cNvPr id="24" name="AutoShape 23"/>
                        <wps:cNvCnPr>
                          <a:cxnSpLocks noChangeShapeType="1"/>
                        </wps:cNvCnPr>
                        <wps:spPr bwMode="auto">
                          <a:xfrm>
                            <a:off x="1027213" y="1949839"/>
                            <a:ext cx="895116" cy="819031"/>
                          </a:xfrm>
                          <a:prstGeom prst="bentConnector3">
                            <a:avLst>
                              <a:gd name="adj1" fmla="val 49931"/>
                            </a:avLst>
                          </a:prstGeom>
                          <a:noFill/>
                          <a:ln w="9525">
                            <a:solidFill>
                              <a:srgbClr val="000000"/>
                            </a:solidFill>
                            <a:miter lim="800000"/>
                            <a:tailEnd type="triangle" w="med" len="med"/>
                          </a:ln>
                        </wps:spPr>
                        <wps:bodyPr/>
                      </wps:wsp>
                      <wps:wsp>
                        <wps:cNvPr id="25" name="AutoShape 24"/>
                        <wps:cNvCnPr>
                          <a:cxnSpLocks noChangeShapeType="1"/>
                        </wps:cNvCnPr>
                        <wps:spPr bwMode="auto">
                          <a:xfrm>
                            <a:off x="1027213" y="2405131"/>
                            <a:ext cx="895116" cy="363739"/>
                          </a:xfrm>
                          <a:prstGeom prst="bentConnector3">
                            <a:avLst>
                              <a:gd name="adj1" fmla="val 49931"/>
                            </a:avLst>
                          </a:prstGeom>
                          <a:noFill/>
                          <a:ln w="9525">
                            <a:solidFill>
                              <a:srgbClr val="000000"/>
                            </a:solidFill>
                            <a:miter lim="800000"/>
                            <a:tailEnd type="triangle" w="med" len="med"/>
                          </a:ln>
                        </wps:spPr>
                        <wps:bodyPr/>
                      </wps:wsp>
                      <wps:wsp>
                        <wps:cNvPr id="26" name="AutoShape 25"/>
                        <wps:cNvCnPr>
                          <a:cxnSpLocks noChangeShapeType="1"/>
                        </wps:cNvCnPr>
                        <wps:spPr bwMode="auto">
                          <a:xfrm flipV="1">
                            <a:off x="1027213" y="2768870"/>
                            <a:ext cx="895116" cy="99801"/>
                          </a:xfrm>
                          <a:prstGeom prst="bentConnector3">
                            <a:avLst>
                              <a:gd name="adj1" fmla="val 49931"/>
                            </a:avLst>
                          </a:prstGeom>
                          <a:noFill/>
                          <a:ln w="9525">
                            <a:solidFill>
                              <a:srgbClr val="000000"/>
                            </a:solidFill>
                            <a:miter lim="800000"/>
                            <a:tailEnd type="triangle" w="med" len="med"/>
                          </a:ln>
                        </wps:spPr>
                        <wps:bodyPr/>
                      </wps:wsp>
                      <wps:wsp>
                        <wps:cNvPr id="27" name="AutoShape 26"/>
                        <wps:cNvCnPr>
                          <a:cxnSpLocks noChangeShapeType="1"/>
                        </wps:cNvCnPr>
                        <wps:spPr bwMode="auto">
                          <a:xfrm flipV="1">
                            <a:off x="1027213" y="2768870"/>
                            <a:ext cx="895116" cy="581488"/>
                          </a:xfrm>
                          <a:prstGeom prst="bentConnector3">
                            <a:avLst>
                              <a:gd name="adj1" fmla="val 49931"/>
                            </a:avLst>
                          </a:prstGeom>
                          <a:noFill/>
                          <a:ln w="9525">
                            <a:solidFill>
                              <a:srgbClr val="000000"/>
                            </a:solidFill>
                            <a:miter lim="800000"/>
                            <a:tailEnd type="triangle" w="med" len="med"/>
                          </a:ln>
                        </wps:spPr>
                        <wps:bodyPr/>
                      </wps:wsp>
                      <wps:wsp>
                        <wps:cNvPr id="28" name="Rectangle 27"/>
                        <wps:cNvSpPr>
                          <a:spLocks noChangeArrowheads="1"/>
                        </wps:cNvSpPr>
                        <wps:spPr bwMode="auto">
                          <a:xfrm>
                            <a:off x="1885204" y="1101939"/>
                            <a:ext cx="985040" cy="409103"/>
                          </a:xfrm>
                          <a:prstGeom prst="rect">
                            <a:avLst/>
                          </a:prstGeom>
                          <a:solidFill>
                            <a:srgbClr val="FFFFFF"/>
                          </a:solidFill>
                          <a:ln w="9525">
                            <a:solidFill>
                              <a:srgbClr val="000000"/>
                            </a:solidFill>
                            <a:miter lim="800000"/>
                          </a:ln>
                        </wps:spPr>
                        <wps:txbx>
                          <w:txbxContent>
                            <w:p>
                              <w:pPr>
                                <w:jc w:val="center"/>
                                <w:rPr>
                                  <w:sz w:val="15"/>
                                </w:rPr>
                              </w:pPr>
                              <w:r>
                                <w:rPr>
                                  <w:sz w:val="15"/>
                                </w:rPr>
                                <w:t>风险划分</w:t>
                              </w:r>
                            </w:p>
                          </w:txbxContent>
                        </wps:txbx>
                        <wps:bodyPr rot="0" vert="horz" wrap="square" lIns="91440" tIns="45720" rIns="91440" bIns="45720" anchor="t" anchorCtr="0" upright="1">
                          <a:noAutofit/>
                        </wps:bodyPr>
                      </wps:wsp>
                      <wps:wsp>
                        <wps:cNvPr id="29" name="AutoShape 28"/>
                        <wps:cNvCnPr>
                          <a:cxnSpLocks noChangeShapeType="1"/>
                        </wps:cNvCnPr>
                        <wps:spPr bwMode="auto">
                          <a:xfrm rot="10800000" flipV="1">
                            <a:off x="2870244" y="955124"/>
                            <a:ext cx="499120" cy="351367"/>
                          </a:xfrm>
                          <a:prstGeom prst="bentConnector3">
                            <a:avLst>
                              <a:gd name="adj1" fmla="val 50000"/>
                            </a:avLst>
                          </a:prstGeom>
                          <a:noFill/>
                          <a:ln w="9525">
                            <a:solidFill>
                              <a:srgbClr val="000000"/>
                            </a:solidFill>
                            <a:miter lim="800000"/>
                            <a:tailEnd type="triangle" w="med" len="med"/>
                          </a:ln>
                        </wps:spPr>
                        <wps:bodyPr/>
                      </wps:wsp>
                      <wps:wsp>
                        <wps:cNvPr id="30" name="AutoShape 29"/>
                        <wps:cNvCnPr>
                          <a:cxnSpLocks noChangeShapeType="1"/>
                        </wps:cNvCnPr>
                        <wps:spPr bwMode="auto">
                          <a:xfrm rot="10800000">
                            <a:off x="2870244" y="1306491"/>
                            <a:ext cx="499120" cy="398381"/>
                          </a:xfrm>
                          <a:prstGeom prst="bentConnector3">
                            <a:avLst>
                              <a:gd name="adj1" fmla="val 50000"/>
                            </a:avLst>
                          </a:prstGeom>
                          <a:noFill/>
                          <a:ln w="9525">
                            <a:solidFill>
                              <a:srgbClr val="000000"/>
                            </a:solidFill>
                            <a:miter lim="800000"/>
                            <a:tailEnd type="triangle" w="med" len="med"/>
                          </a:ln>
                        </wps:spPr>
                        <wps:bodyPr/>
                      </wps:wsp>
                      <wps:wsp>
                        <wps:cNvPr id="31" name="AutoShape 30"/>
                        <wps:cNvCnPr>
                          <a:cxnSpLocks noChangeShapeType="1"/>
                        </wps:cNvCnPr>
                        <wps:spPr bwMode="auto">
                          <a:xfrm>
                            <a:off x="2377724" y="825630"/>
                            <a:ext cx="825" cy="276310"/>
                          </a:xfrm>
                          <a:prstGeom prst="straightConnector1">
                            <a:avLst/>
                          </a:prstGeom>
                          <a:noFill/>
                          <a:ln w="9525">
                            <a:solidFill>
                              <a:srgbClr val="000000"/>
                            </a:solidFill>
                            <a:round/>
                            <a:tailEnd type="triangle" w="med" len="med"/>
                          </a:ln>
                        </wps:spPr>
                        <wps:bodyPr/>
                      </wps:wsp>
                      <wps:wsp>
                        <wps:cNvPr id="64" name="AutoShape 31"/>
                        <wps:cNvCnPr>
                          <a:cxnSpLocks noChangeShapeType="1"/>
                        </wps:cNvCnPr>
                        <wps:spPr bwMode="auto">
                          <a:xfrm flipH="1">
                            <a:off x="2377724" y="1511043"/>
                            <a:ext cx="825" cy="306003"/>
                          </a:xfrm>
                          <a:prstGeom prst="straightConnector1">
                            <a:avLst/>
                          </a:prstGeom>
                          <a:noFill/>
                          <a:ln w="9525">
                            <a:solidFill>
                              <a:srgbClr val="000000"/>
                            </a:solidFill>
                            <a:round/>
                            <a:tailEnd type="triangle" w="med" len="med"/>
                          </a:ln>
                        </wps:spPr>
                        <wps:bodyPr/>
                      </wps:wsp>
                      <wps:wsp>
                        <wps:cNvPr id="65" name="Rectangle 32"/>
                        <wps:cNvSpPr>
                          <a:spLocks noChangeArrowheads="1"/>
                        </wps:cNvSpPr>
                        <wps:spPr bwMode="auto">
                          <a:xfrm>
                            <a:off x="332571" y="4140521"/>
                            <a:ext cx="781267" cy="390958"/>
                          </a:xfrm>
                          <a:prstGeom prst="rect">
                            <a:avLst/>
                          </a:prstGeom>
                          <a:solidFill>
                            <a:srgbClr val="FFFFFF"/>
                          </a:solidFill>
                          <a:ln w="9525">
                            <a:solidFill>
                              <a:srgbClr val="000000"/>
                            </a:solidFill>
                            <a:miter lim="800000"/>
                          </a:ln>
                        </wps:spPr>
                        <wps:txbx>
                          <w:txbxContent>
                            <w:p>
                              <w:pPr>
                                <w:jc w:val="center"/>
                                <w:rPr>
                                  <w:sz w:val="15"/>
                                </w:rPr>
                              </w:pPr>
                              <w:r>
                                <w:rPr>
                                  <w:sz w:val="15"/>
                                </w:rPr>
                                <w:t>隐患分级</w:t>
                              </w:r>
                            </w:p>
                          </w:txbxContent>
                        </wps:txbx>
                        <wps:bodyPr rot="0" vert="horz" wrap="square" lIns="91440" tIns="45720" rIns="91440" bIns="45720" anchor="t" anchorCtr="0" upright="1">
                          <a:noAutofit/>
                        </wps:bodyPr>
                      </wps:wsp>
                      <wps:wsp>
                        <wps:cNvPr id="66" name="Rectangle 33"/>
                        <wps:cNvSpPr>
                          <a:spLocks noChangeArrowheads="1"/>
                        </wps:cNvSpPr>
                        <wps:spPr bwMode="auto">
                          <a:xfrm>
                            <a:off x="332571" y="4626331"/>
                            <a:ext cx="781267" cy="361265"/>
                          </a:xfrm>
                          <a:prstGeom prst="rect">
                            <a:avLst/>
                          </a:prstGeom>
                          <a:solidFill>
                            <a:srgbClr val="FFFFFF"/>
                          </a:solidFill>
                          <a:ln w="9525">
                            <a:solidFill>
                              <a:srgbClr val="000000"/>
                            </a:solidFill>
                            <a:miter lim="800000"/>
                          </a:ln>
                        </wps:spPr>
                        <wps:txbx>
                          <w:txbxContent>
                            <w:p>
                              <w:pPr>
                                <w:jc w:val="center"/>
                                <w:rPr>
                                  <w:sz w:val="15"/>
                                </w:rPr>
                              </w:pPr>
                              <w:r>
                                <w:rPr>
                                  <w:sz w:val="15"/>
                                </w:rPr>
                                <w:t>隐患排查</w:t>
                              </w:r>
                            </w:p>
                          </w:txbxContent>
                        </wps:txbx>
                        <wps:bodyPr rot="0" vert="horz" wrap="square" lIns="91440" tIns="45720" rIns="91440" bIns="45720" anchor="t" anchorCtr="0" upright="1">
                          <a:noAutofit/>
                        </wps:bodyPr>
                      </wps:wsp>
                      <wps:wsp>
                        <wps:cNvPr id="67" name="AutoShape 34"/>
                        <wps:cNvSpPr>
                          <a:spLocks noChangeArrowheads="1"/>
                        </wps:cNvSpPr>
                        <wps:spPr bwMode="auto">
                          <a:xfrm>
                            <a:off x="343296" y="5083273"/>
                            <a:ext cx="770542" cy="353017"/>
                          </a:xfrm>
                          <a:prstGeom prst="flowChartProcess">
                            <a:avLst/>
                          </a:prstGeom>
                          <a:solidFill>
                            <a:srgbClr val="FFFFFF"/>
                          </a:solidFill>
                          <a:ln w="9525">
                            <a:solidFill>
                              <a:srgbClr val="000000"/>
                            </a:solidFill>
                            <a:miter lim="800000"/>
                          </a:ln>
                        </wps:spPr>
                        <wps:txbx>
                          <w:txbxContent>
                            <w:p>
                              <w:pPr>
                                <w:jc w:val="center"/>
                                <w:rPr>
                                  <w:sz w:val="15"/>
                                </w:rPr>
                              </w:pPr>
                              <w:r>
                                <w:rPr>
                                  <w:sz w:val="15"/>
                                </w:rPr>
                                <w:t>隐患治理</w:t>
                              </w:r>
                            </w:p>
                          </w:txbxContent>
                        </wps:txbx>
                        <wps:bodyPr rot="0" vert="horz" wrap="square" lIns="91440" tIns="45720" rIns="91440" bIns="45720" anchor="t" anchorCtr="0" upright="1">
                          <a:noAutofit/>
                        </wps:bodyPr>
                      </wps:wsp>
                      <wps:wsp>
                        <wps:cNvPr id="68" name="Rectangle 35"/>
                        <wps:cNvSpPr>
                          <a:spLocks noChangeArrowheads="1"/>
                        </wps:cNvSpPr>
                        <wps:spPr bwMode="auto">
                          <a:xfrm>
                            <a:off x="343296" y="5531142"/>
                            <a:ext cx="770542" cy="381060"/>
                          </a:xfrm>
                          <a:prstGeom prst="rect">
                            <a:avLst/>
                          </a:prstGeom>
                          <a:solidFill>
                            <a:srgbClr val="FFFFFF"/>
                          </a:solidFill>
                          <a:ln w="9525">
                            <a:solidFill>
                              <a:srgbClr val="000000"/>
                            </a:solidFill>
                            <a:miter lim="800000"/>
                          </a:ln>
                        </wps:spPr>
                        <wps:txbx>
                          <w:txbxContent>
                            <w:p>
                              <w:pPr>
                                <w:jc w:val="center"/>
                                <w:rPr>
                                  <w:sz w:val="15"/>
                                </w:rPr>
                              </w:pPr>
                              <w:r>
                                <w:rPr>
                                  <w:sz w:val="15"/>
                                </w:rPr>
                                <w:t>隐患验收</w:t>
                              </w:r>
                            </w:p>
                          </w:txbxContent>
                        </wps:txbx>
                        <wps:bodyPr rot="0" vert="horz" wrap="square" lIns="91440" tIns="45720" rIns="91440" bIns="45720" anchor="t" anchorCtr="0" upright="1">
                          <a:noAutofit/>
                        </wps:bodyPr>
                      </wps:wsp>
                      <wps:wsp>
                        <wps:cNvPr id="69" name="AutoShape 36"/>
                        <wps:cNvCnPr>
                          <a:cxnSpLocks noChangeShapeType="1"/>
                        </wps:cNvCnPr>
                        <wps:spPr bwMode="auto">
                          <a:xfrm>
                            <a:off x="1113837" y="4336825"/>
                            <a:ext cx="808491" cy="766244"/>
                          </a:xfrm>
                          <a:prstGeom prst="bentConnector3">
                            <a:avLst>
                              <a:gd name="adj1" fmla="val 49963"/>
                            </a:avLst>
                          </a:prstGeom>
                          <a:noFill/>
                          <a:ln w="9525">
                            <a:solidFill>
                              <a:srgbClr val="000000"/>
                            </a:solidFill>
                            <a:miter lim="800000"/>
                            <a:tailEnd type="triangle" w="med" len="med"/>
                          </a:ln>
                        </wps:spPr>
                        <wps:bodyPr/>
                      </wps:wsp>
                      <wps:wsp>
                        <wps:cNvPr id="70" name="AutoShape 37"/>
                        <wps:cNvCnPr>
                          <a:cxnSpLocks noChangeShapeType="1"/>
                        </wps:cNvCnPr>
                        <wps:spPr bwMode="auto">
                          <a:xfrm>
                            <a:off x="1113837" y="4806964"/>
                            <a:ext cx="808491" cy="296105"/>
                          </a:xfrm>
                          <a:prstGeom prst="bentConnector3">
                            <a:avLst>
                              <a:gd name="adj1" fmla="val 49963"/>
                            </a:avLst>
                          </a:prstGeom>
                          <a:noFill/>
                          <a:ln w="9525">
                            <a:solidFill>
                              <a:srgbClr val="000000"/>
                            </a:solidFill>
                            <a:miter lim="800000"/>
                            <a:tailEnd type="triangle" w="med" len="med"/>
                          </a:ln>
                        </wps:spPr>
                        <wps:bodyPr/>
                      </wps:wsp>
                      <wps:wsp>
                        <wps:cNvPr id="71" name="AutoShape 38"/>
                        <wps:cNvCnPr>
                          <a:cxnSpLocks noChangeShapeType="1"/>
                        </wps:cNvCnPr>
                        <wps:spPr bwMode="auto">
                          <a:xfrm flipV="1">
                            <a:off x="1113837" y="5103069"/>
                            <a:ext cx="808491" cy="156713"/>
                          </a:xfrm>
                          <a:prstGeom prst="bentConnector3">
                            <a:avLst>
                              <a:gd name="adj1" fmla="val 49963"/>
                            </a:avLst>
                          </a:prstGeom>
                          <a:noFill/>
                          <a:ln w="9525">
                            <a:solidFill>
                              <a:srgbClr val="000000"/>
                            </a:solidFill>
                            <a:miter lim="800000"/>
                            <a:tailEnd type="triangle" w="med" len="med"/>
                          </a:ln>
                        </wps:spPr>
                        <wps:bodyPr/>
                      </wps:wsp>
                      <wps:wsp>
                        <wps:cNvPr id="72" name="AutoShape 39"/>
                        <wps:cNvCnPr>
                          <a:cxnSpLocks noChangeShapeType="1"/>
                        </wps:cNvCnPr>
                        <wps:spPr bwMode="auto">
                          <a:xfrm flipV="1">
                            <a:off x="1113837" y="5103069"/>
                            <a:ext cx="808491" cy="618604"/>
                          </a:xfrm>
                          <a:prstGeom prst="bentConnector3">
                            <a:avLst>
                              <a:gd name="adj1" fmla="val 49963"/>
                            </a:avLst>
                          </a:prstGeom>
                          <a:noFill/>
                          <a:ln w="9525">
                            <a:solidFill>
                              <a:srgbClr val="000000"/>
                            </a:solidFill>
                            <a:miter lim="800000"/>
                            <a:tailEnd type="triangle" w="med" len="med"/>
                          </a:ln>
                        </wps:spPr>
                        <wps:bodyPr/>
                      </wps:wsp>
                      <wps:wsp>
                        <wps:cNvPr id="74" name="AutoShape 40"/>
                        <wps:cNvSpPr>
                          <a:spLocks noChangeArrowheads="1"/>
                        </wps:cNvSpPr>
                        <wps:spPr bwMode="auto">
                          <a:xfrm>
                            <a:off x="3392463" y="3106216"/>
                            <a:ext cx="1066714" cy="424775"/>
                          </a:xfrm>
                          <a:prstGeom prst="flowChartProcess">
                            <a:avLst/>
                          </a:prstGeom>
                          <a:solidFill>
                            <a:srgbClr val="FFFFFF"/>
                          </a:solidFill>
                          <a:ln w="9525">
                            <a:solidFill>
                              <a:srgbClr val="000000"/>
                            </a:solidFill>
                            <a:miter lim="800000"/>
                          </a:ln>
                        </wps:spPr>
                        <wps:txbx>
                          <w:txbxContent>
                            <w:p>
                              <w:pPr>
                                <w:jc w:val="center"/>
                                <w:rPr>
                                  <w:sz w:val="15"/>
                                </w:rPr>
                              </w:pPr>
                              <w:r>
                                <w:rPr>
                                  <w:sz w:val="15"/>
                                </w:rPr>
                                <w:t>风险四色图</w:t>
                              </w:r>
                            </w:p>
                          </w:txbxContent>
                        </wps:txbx>
                        <wps:bodyPr rot="0" vert="horz" wrap="square" lIns="91440" tIns="45720" rIns="91440" bIns="45720" anchor="t" anchorCtr="0" upright="1">
                          <a:noAutofit/>
                        </wps:bodyPr>
                      </wps:wsp>
                      <wps:wsp>
                        <wps:cNvPr id="75" name="AutoShape 41"/>
                        <wps:cNvSpPr>
                          <a:spLocks noChangeArrowheads="1"/>
                        </wps:cNvSpPr>
                        <wps:spPr bwMode="auto">
                          <a:xfrm>
                            <a:off x="3392463" y="3659660"/>
                            <a:ext cx="1066714" cy="590560"/>
                          </a:xfrm>
                          <a:prstGeom prst="flowChartProcess">
                            <a:avLst/>
                          </a:prstGeom>
                          <a:solidFill>
                            <a:srgbClr val="FFFFFF"/>
                          </a:solidFill>
                          <a:ln w="9525">
                            <a:solidFill>
                              <a:srgbClr val="000000"/>
                            </a:solidFill>
                            <a:miter lim="800000"/>
                          </a:ln>
                        </wps:spPr>
                        <wps:txbx>
                          <w:txbxContent>
                            <w:p>
                              <w:pPr>
                                <w:jc w:val="center"/>
                                <w:rPr>
                                  <w:sz w:val="15"/>
                                </w:rPr>
                              </w:pPr>
                              <w:r>
                                <w:rPr>
                                  <w:sz w:val="15"/>
                                </w:rPr>
                                <w:t>作业安全风险比较图</w:t>
                              </w:r>
                            </w:p>
                          </w:txbxContent>
                        </wps:txbx>
                        <wps:bodyPr rot="0" vert="horz" wrap="square" lIns="91440" tIns="45720" rIns="91440" bIns="45720" anchor="t" anchorCtr="0" upright="1">
                          <a:noAutofit/>
                        </wps:bodyPr>
                      </wps:wsp>
                      <wps:wsp>
                        <wps:cNvPr id="76" name="AutoShape 42"/>
                        <wps:cNvSpPr>
                          <a:spLocks noChangeArrowheads="1"/>
                        </wps:cNvSpPr>
                        <wps:spPr bwMode="auto">
                          <a:xfrm>
                            <a:off x="3392463" y="4463845"/>
                            <a:ext cx="1089813" cy="471788"/>
                          </a:xfrm>
                          <a:prstGeom prst="flowChartProcess">
                            <a:avLst/>
                          </a:prstGeom>
                          <a:solidFill>
                            <a:srgbClr val="FFFFFF"/>
                          </a:solidFill>
                          <a:ln w="9525">
                            <a:solidFill>
                              <a:srgbClr val="000000"/>
                            </a:solidFill>
                            <a:miter lim="800000"/>
                          </a:ln>
                        </wps:spPr>
                        <wps:txbx>
                          <w:txbxContent>
                            <w:p>
                              <w:pPr>
                                <w:jc w:val="center"/>
                                <w:rPr>
                                  <w:sz w:val="15"/>
                                </w:rPr>
                              </w:pPr>
                              <w:r>
                                <w:rPr>
                                  <w:sz w:val="15"/>
                                </w:rPr>
                                <w:t>风险公告栏</w:t>
                              </w:r>
                            </w:p>
                          </w:txbxContent>
                        </wps:txbx>
                        <wps:bodyPr rot="0" vert="horz" wrap="square" lIns="91440" tIns="45720" rIns="91440" bIns="45720" anchor="t" anchorCtr="0" upright="1">
                          <a:noAutofit/>
                        </wps:bodyPr>
                      </wps:wsp>
                      <wps:wsp>
                        <wps:cNvPr id="77" name="Rectangle 43"/>
                        <wps:cNvSpPr>
                          <a:spLocks noChangeArrowheads="1"/>
                        </wps:cNvSpPr>
                        <wps:spPr bwMode="auto">
                          <a:xfrm>
                            <a:off x="3392463" y="5103069"/>
                            <a:ext cx="1065889" cy="447044"/>
                          </a:xfrm>
                          <a:prstGeom prst="rect">
                            <a:avLst/>
                          </a:prstGeom>
                          <a:solidFill>
                            <a:srgbClr val="FFFFFF"/>
                          </a:solidFill>
                          <a:ln w="9525">
                            <a:solidFill>
                              <a:srgbClr val="000000"/>
                            </a:solidFill>
                            <a:miter lim="800000"/>
                          </a:ln>
                        </wps:spPr>
                        <wps:txbx>
                          <w:txbxContent>
                            <w:p>
                              <w:pPr>
                                <w:jc w:val="center"/>
                                <w:rPr>
                                  <w:sz w:val="15"/>
                                </w:rPr>
                              </w:pPr>
                              <w:r>
                                <w:rPr>
                                  <w:sz w:val="15"/>
                                </w:rPr>
                                <w:t>风险告知卡</w:t>
                              </w:r>
                            </w:p>
                          </w:txbxContent>
                        </wps:txbx>
                        <wps:bodyPr rot="0" vert="horz" wrap="square" lIns="91440" tIns="45720" rIns="91440" bIns="45720" anchor="t" anchorCtr="0" upright="1">
                          <a:noAutofit/>
                        </wps:bodyPr>
                      </wps:wsp>
                      <wps:wsp>
                        <wps:cNvPr id="78" name="AutoShape 44"/>
                        <wps:cNvCnPr>
                          <a:cxnSpLocks noChangeShapeType="1"/>
                        </wps:cNvCnPr>
                        <wps:spPr bwMode="auto">
                          <a:xfrm rot="10800000" flipV="1">
                            <a:off x="2833119" y="3319015"/>
                            <a:ext cx="559344" cy="921307"/>
                          </a:xfrm>
                          <a:prstGeom prst="bentConnector3">
                            <a:avLst>
                              <a:gd name="adj1" fmla="val 49944"/>
                            </a:avLst>
                          </a:prstGeom>
                          <a:noFill/>
                          <a:ln w="9525">
                            <a:solidFill>
                              <a:srgbClr val="000000"/>
                            </a:solidFill>
                            <a:miter lim="800000"/>
                            <a:tailEnd type="triangle" w="med" len="med"/>
                          </a:ln>
                        </wps:spPr>
                        <wps:bodyPr/>
                      </wps:wsp>
                      <wps:wsp>
                        <wps:cNvPr id="79" name="AutoShape 45"/>
                        <wps:cNvCnPr>
                          <a:cxnSpLocks noChangeShapeType="1"/>
                        </wps:cNvCnPr>
                        <wps:spPr bwMode="auto">
                          <a:xfrm rot="10800000" flipV="1">
                            <a:off x="2833119" y="3954940"/>
                            <a:ext cx="559344" cy="285383"/>
                          </a:xfrm>
                          <a:prstGeom prst="bentConnector3">
                            <a:avLst>
                              <a:gd name="adj1" fmla="val 49944"/>
                            </a:avLst>
                          </a:prstGeom>
                          <a:noFill/>
                          <a:ln w="9525">
                            <a:solidFill>
                              <a:srgbClr val="000000"/>
                            </a:solidFill>
                            <a:miter lim="800000"/>
                            <a:tailEnd type="triangle" w="med" len="med"/>
                          </a:ln>
                        </wps:spPr>
                        <wps:bodyPr/>
                      </wps:wsp>
                      <wps:wsp>
                        <wps:cNvPr id="80" name="AutoShape 46"/>
                        <wps:cNvCnPr>
                          <a:cxnSpLocks noChangeShapeType="1"/>
                        </wps:cNvCnPr>
                        <wps:spPr bwMode="auto">
                          <a:xfrm rot="10800000">
                            <a:off x="2833119" y="4240323"/>
                            <a:ext cx="559344" cy="460241"/>
                          </a:xfrm>
                          <a:prstGeom prst="bentConnector3">
                            <a:avLst>
                              <a:gd name="adj1" fmla="val 49944"/>
                            </a:avLst>
                          </a:prstGeom>
                          <a:noFill/>
                          <a:ln w="9525">
                            <a:solidFill>
                              <a:srgbClr val="000000"/>
                            </a:solidFill>
                            <a:miter lim="800000"/>
                            <a:tailEnd type="triangle" w="med" len="med"/>
                          </a:ln>
                        </wps:spPr>
                        <wps:bodyPr/>
                      </wps:wsp>
                      <wps:wsp>
                        <wps:cNvPr id="81" name="AutoShape 47"/>
                        <wps:cNvCnPr>
                          <a:cxnSpLocks noChangeShapeType="1"/>
                        </wps:cNvCnPr>
                        <wps:spPr bwMode="auto">
                          <a:xfrm rot="10800000">
                            <a:off x="2833119" y="4240323"/>
                            <a:ext cx="559344" cy="1086268"/>
                          </a:xfrm>
                          <a:prstGeom prst="bentConnector3">
                            <a:avLst>
                              <a:gd name="adj1" fmla="val 49944"/>
                            </a:avLst>
                          </a:prstGeom>
                          <a:noFill/>
                          <a:ln w="9525">
                            <a:solidFill>
                              <a:srgbClr val="000000"/>
                            </a:solidFill>
                            <a:miter lim="800000"/>
                            <a:tailEnd type="triangle" w="med" len="med"/>
                          </a:ln>
                        </wps:spPr>
                        <wps:bodyPr/>
                      </wps:wsp>
                      <wps:wsp>
                        <wps:cNvPr id="82" name="AutoShape 48"/>
                        <wps:cNvSpPr>
                          <a:spLocks noChangeArrowheads="1"/>
                        </wps:cNvSpPr>
                        <wps:spPr bwMode="auto">
                          <a:xfrm>
                            <a:off x="3441138" y="5721672"/>
                            <a:ext cx="1018039" cy="392607"/>
                          </a:xfrm>
                          <a:prstGeom prst="flowChartProcess">
                            <a:avLst/>
                          </a:prstGeom>
                          <a:solidFill>
                            <a:srgbClr val="FFFFFF"/>
                          </a:solidFill>
                          <a:ln w="9525">
                            <a:solidFill>
                              <a:srgbClr val="000000"/>
                            </a:solidFill>
                            <a:miter lim="800000"/>
                          </a:ln>
                        </wps:spPr>
                        <wps:txbx>
                          <w:txbxContent>
                            <w:p>
                              <w:pPr>
                                <w:jc w:val="center"/>
                                <w:rPr>
                                  <w:sz w:val="15"/>
                                </w:rPr>
                              </w:pPr>
                              <w:r>
                                <w:rPr>
                                  <w:sz w:val="15"/>
                                </w:rPr>
                                <w:t>文件管理</w:t>
                              </w:r>
                            </w:p>
                          </w:txbxContent>
                        </wps:txbx>
                        <wps:bodyPr rot="0" vert="horz" wrap="square" lIns="91440" tIns="45720" rIns="91440" bIns="45720" anchor="t" anchorCtr="0" upright="1">
                          <a:noAutofit/>
                        </wps:bodyPr>
                      </wps:wsp>
                      <wps:wsp>
                        <wps:cNvPr id="83" name="AutoShape 49"/>
                        <wps:cNvCnPr>
                          <a:cxnSpLocks noChangeShapeType="1"/>
                        </wps:cNvCnPr>
                        <wps:spPr bwMode="auto">
                          <a:xfrm>
                            <a:off x="2382674" y="5440414"/>
                            <a:ext cx="6600" cy="290331"/>
                          </a:xfrm>
                          <a:prstGeom prst="straightConnector1">
                            <a:avLst/>
                          </a:prstGeom>
                          <a:noFill/>
                          <a:ln w="9525">
                            <a:solidFill>
                              <a:srgbClr val="000000"/>
                            </a:solidFill>
                            <a:round/>
                            <a:tailEnd type="triangle" w="med" len="med"/>
                          </a:ln>
                        </wps:spPr>
                        <wps:bodyPr/>
                      </wps:wsp>
                      <wps:wsp>
                        <wps:cNvPr id="84" name="AutoShape 50"/>
                        <wps:cNvCnPr>
                          <a:cxnSpLocks noChangeShapeType="1"/>
                        </wps:cNvCnPr>
                        <wps:spPr bwMode="auto">
                          <a:xfrm flipV="1">
                            <a:off x="2907368" y="5917976"/>
                            <a:ext cx="533769" cy="4949"/>
                          </a:xfrm>
                          <a:prstGeom prst="bentConnector3">
                            <a:avLst>
                              <a:gd name="adj1" fmla="val 49940"/>
                            </a:avLst>
                          </a:prstGeom>
                          <a:noFill/>
                          <a:ln w="9525">
                            <a:solidFill>
                              <a:srgbClr val="000000"/>
                            </a:solidFill>
                            <a:miter lim="800000"/>
                            <a:tailEnd type="triangle" w="med" len="med"/>
                          </a:ln>
                        </wps:spPr>
                        <wps:bodyPr/>
                      </wps:wsp>
                      <wps:wsp>
                        <wps:cNvPr id="85" name="AutoShape 51"/>
                        <wps:cNvCnPr>
                          <a:cxnSpLocks noChangeShapeType="1"/>
                        </wps:cNvCnPr>
                        <wps:spPr bwMode="auto">
                          <a:xfrm flipV="1">
                            <a:off x="4459177" y="3835343"/>
                            <a:ext cx="344846" cy="2082633"/>
                          </a:xfrm>
                          <a:prstGeom prst="bentConnector2">
                            <a:avLst/>
                          </a:prstGeom>
                          <a:noFill/>
                          <a:ln w="9525">
                            <a:solidFill>
                              <a:srgbClr val="000000"/>
                            </a:solidFill>
                            <a:miter lim="800000"/>
                            <a:tailEnd type="triangle" w="med" len="med"/>
                          </a:ln>
                        </wps:spPr>
                        <wps:bodyPr/>
                      </wps:wsp>
                    </wpc:wpc>
                  </a:graphicData>
                </a:graphic>
              </wp:inline>
            </w:drawing>
          </mc:Choice>
          <mc:Fallback>
            <w:pict>
              <v:group id="_x0000_s1026" o:spid="_x0000_s1026" o:spt="203" style="height:516.25pt;width:451.2pt;" coordsize="5730240,6556375" editas="canvas" o:gfxdata="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">
                <o:lock v:ext="edit" aspectratio="f"/>
                <v:shape id="_x0000_s1026" o:spid="_x0000_s1026" style="position:absolute;left:0;top:0;height:6556375;width:5730240;" filled="f" stroked="f" coordsize="21600,21600" o:gfxdata="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">
                  <v:fill on="f" focussize="0,0"/>
                  <v:stroke on="f"/>
                  <v:imagedata o:title=""/>
                  <o:lock v:ext="edit" position="t" aspectratio="f"/>
                </v:shape>
                <v:shape id="AutoShape 4" o:spid="_x0000_s1026" o:spt="109" type="#_x0000_t109" style="position:absolute;left:1864579;top:395906;height:429723;width:1025464;" fillcolor="#FFFFFF" filled="t" stroked="t" coordsize="21600,21600" o:gfxdata="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DyN2s1wAAAAYBAAAPAAAAAAAAAAEAIAAAACIAAABkcnMv&#10;ZG93bnJldi54bWxQSwECFAAUAAAACACHTuJAzgIgDz0CAACUBAAADgAAAAAAAAABACAAAAAmAQAA&#10;ZHJzL2Uyb0RvYy54bWxQSwUGAAAAAAYABgBZAQAA1QUAAAAA&#10;">
                  <v:fill on="t" focussize="0,0"/>
                  <v:stroke color="#000000" miterlimit="8" joinstyle="miter"/>
                  <v:imagedata o:title=""/>
                  <o:lock v:ext="edit" aspectratio="f"/>
                  <v:textbox>
                    <w:txbxContent>
                      <w:p>
                        <w:pPr>
                          <w:jc w:val="center"/>
                          <w:rPr>
                            <w:sz w:val="15"/>
                          </w:rPr>
                        </w:pPr>
                        <w:r>
                          <w:rPr>
                            <w:sz w:val="15"/>
                          </w:rPr>
                          <w:t>计划与准备</w:t>
                        </w:r>
                      </w:p>
                    </w:txbxContent>
                  </v:textbox>
                </v:shape>
                <v:shape id="AutoShape 5" o:spid="_x0000_s1026" o:spt="109" type="#_x0000_t109" style="position:absolute;left:3369363;top:750573;height:408278;width:1025464;" fillcolor="#FFFFFF" filled="t" stroked="t" coordsize="21600,21600" o:gfxdata="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DyN2s1wAAAAYBAAAPAAAAAAAAAAEAIAAAACIAAABk&#10;cnMvZG93bnJldi54bWxQSwECFAAUAAAACACHTuJA7oT8y0ACAACUBAAADgAAAAAAAAABACAAAAAm&#10;AQAAZHJzL2Uyb0RvYy54bWxQSwUGAAAAAAYABgBZAQAA2AUAAAAA&#10;">
                  <v:fill on="t" focussize="0,0"/>
                  <v:stroke color="#000000" miterlimit="8" joinstyle="miter"/>
                  <v:imagedata o:title=""/>
                  <o:lock v:ext="edit" aspectratio="f"/>
                  <v:textbox>
                    <w:txbxContent>
                      <w:p>
                        <w:pPr>
                          <w:jc w:val="center"/>
                          <w:rPr>
                            <w:sz w:val="15"/>
                          </w:rPr>
                        </w:pPr>
                        <w:r>
                          <w:rPr>
                            <w:sz w:val="15"/>
                          </w:rPr>
                          <w:t>风险区域划分</w:t>
                        </w:r>
                      </w:p>
                    </w:txbxContent>
                  </v:textbox>
                </v:shape>
                <v:shape id="AutoShape 6" o:spid="_x0000_s1026" o:spt="109" type="#_x0000_t109" style="position:absolute;left:3369363;top:1511043;height:387658;width:1025464;" fillcolor="#FFFFFF" filled="t" stroked="t" coordsize="21600,21600" o:gfxdata="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DyN2s1wAAAAYBAAAPAAAAAAAAAAEAIAAAACIAAABk&#10;cnMvZG93bnJldi54bWxQSwECFAAUAAAACACHTuJAu2ux0UACAACVBAAADgAAAAAAAAABACAAAAAm&#10;AQAAZHJzL2Uyb0RvYy54bWxQSwUGAAAAAAYABgBZAQAA2AUAAAAA&#10;">
                  <v:fill on="t" focussize="0,0"/>
                  <v:stroke color="#000000" miterlimit="8" joinstyle="miter"/>
                  <v:imagedata o:title=""/>
                  <o:lock v:ext="edit" aspectratio="f"/>
                  <v:textbox>
                    <w:txbxContent>
                      <w:p>
                        <w:pPr>
                          <w:jc w:val="center"/>
                          <w:rPr>
                            <w:sz w:val="15"/>
                          </w:rPr>
                        </w:pPr>
                        <w:r>
                          <w:rPr>
                            <w:sz w:val="15"/>
                          </w:rPr>
                          <w:t>风险点划分</w:t>
                        </w:r>
                      </w:p>
                    </w:txbxContent>
                  </v:textbox>
                </v:shape>
                <v:shape id="AutoShape 7" o:spid="_x0000_s1026" o:spt="109" type="#_x0000_t109" style="position:absolute;left:1864579;top:1817045;height:399206;width:1026289;" fillcolor="#FFFFFF" filled="t" stroked="t" coordsize="21600,21600" o:gfxdata="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g8jdrNcAAAAGAQAADwAAAAAAAAABACAAAAAiAAAAZHJzL2Rv&#10;d25yZXYueG1sUEsBAhQAFAAAAAgAh07iQK/vxKo7AgAAlQQAAA4AAAAAAAAAAQAgAAAAJgEAAGRy&#10;cy9lMm9Eb2MueG1sUEsFBgAAAAAGAAYAWQEAANMFAAAAAA==&#10;">
                  <v:fill on="t" focussize="0,0"/>
                  <v:stroke color="#000000" miterlimit="8" joinstyle="miter"/>
                  <v:imagedata o:title=""/>
                  <o:lock v:ext="edit" aspectratio="f"/>
                  <v:textbox>
                    <w:txbxContent>
                      <w:p>
                        <w:pPr>
                          <w:jc w:val="center"/>
                          <w:rPr>
                            <w:sz w:val="15"/>
                          </w:rPr>
                        </w:pPr>
                        <w:r>
                          <w:rPr>
                            <w:sz w:val="15"/>
                          </w:rPr>
                          <w:t>风险辨识</w:t>
                        </w:r>
                      </w:p>
                    </w:txbxContent>
                  </v:textbox>
                </v:shape>
                <v:shape id="AutoShape 8" o:spid="_x0000_s1026" o:spt="109" type="#_x0000_t109" style="position:absolute;left:1922329;top:2559370;height:419001;width:910790;" fillcolor="#FFFFFF" filled="t" stroked="t" coordsize="21600,21600" o:gfxdata="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DyN2s1wAAAAYBAAAPAAAAAAAAAAEAIAAAACIAAABkcnMv&#10;ZG93bnJldi54bWxQSwECFAAUAAAACACHTuJAqdzoSD0CAACUBAAADgAAAAAAAAABACAAAAAmAQAA&#10;ZHJzL2Uyb0RvYy54bWxQSwUGAAAAAAYABgBZAQAA1QUAAAAA&#10;">
                  <v:fill on="t" focussize="0,0"/>
                  <v:stroke color="#000000" miterlimit="8" joinstyle="miter"/>
                  <v:imagedata o:title=""/>
                  <o:lock v:ext="edit" aspectratio="f"/>
                  <v:textbox>
                    <w:txbxContent>
                      <w:p>
                        <w:pPr>
                          <w:jc w:val="center"/>
                        </w:pPr>
                        <w:r>
                          <w:rPr>
                            <w:sz w:val="15"/>
                          </w:rPr>
                          <w:t>风险评价</w:t>
                        </w:r>
                      </w:p>
                    </w:txbxContent>
                  </v:textbox>
                </v:shape>
                <v:shape id="AutoShape 9" o:spid="_x0000_s1026" o:spt="109" type="#_x0000_t109" style="position:absolute;left:1848080;top:3292622;height:343119;width:1059289;" fillcolor="#FFFFFF" filled="t" stroked="t" coordsize="21600,21600" o:gfxdata="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&#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PI3azXAAAABgEAAA8AAAAAAAAAAQAgAAAAIgAAAGRy&#10;cy9kb3ducmV2LnhtbFBLAQIUABQAAAAIAIdO4kCe8OODPwIAAJYEAAAOAAAAAAAAAAEAIAAAACYB&#10;AABkcnMvZTJvRG9jLnhtbFBLBQYAAAAABgAGAFkBAADXBQAAAAA=&#10;">
                  <v:fill on="t" focussize="0,0"/>
                  <v:stroke color="#000000" miterlimit="8" joinstyle="miter"/>
                  <v:imagedata o:title=""/>
                  <o:lock v:ext="edit" aspectratio="f"/>
                  <v:textbox>
                    <w:txbxContent>
                      <w:p>
                        <w:pPr>
                          <w:jc w:val="center"/>
                        </w:pPr>
                        <w:r>
                          <w:rPr>
                            <w:sz w:val="15"/>
                          </w:rPr>
                          <w:t>风险分级管控</w:t>
                        </w:r>
                      </w:p>
                    </w:txbxContent>
                  </v:textbox>
                </v:shape>
                <v:shape id="AutoShape 10" o:spid="_x0000_s1026" o:spt="109" type="#_x0000_t109" style="position:absolute;left:1922329;top:4073712;height:333221;width:910790;" fillcolor="#FFFFFF" filled="t" stroked="t" coordsize="21600,21600" o:gfxdata="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DyN2s1wAAAAYBAAAPAAAAAAAAAAEAIAAAACIAAABk&#10;cnMvZG93bnJldi54bWxQSwECFAAUAAAACACHTuJAVPJp3EACAACWBAAADgAAAAAAAAABACAAAAAm&#10;AQAAZHJzL2Uyb0RvYy54bWxQSwUGAAAAAAYABgBZAQAA2AUAAAAA&#10;">
                  <v:fill on="t" focussize="0,0"/>
                  <v:stroke color="#000000" miterlimit="8" joinstyle="miter"/>
                  <v:imagedata o:title=""/>
                  <o:lock v:ext="edit" aspectratio="f"/>
                  <v:textbox>
                    <w:txbxContent>
                      <w:p>
                        <w:pPr>
                          <w:jc w:val="center"/>
                        </w:pPr>
                        <w:r>
                          <w:rPr>
                            <w:sz w:val="15"/>
                          </w:rPr>
                          <w:t>风险告知</w:t>
                        </w:r>
                      </w:p>
                    </w:txbxContent>
                  </v:textbox>
                </v:shape>
                <v:shape id="AutoShape 11" o:spid="_x0000_s1026" o:spt="109" type="#_x0000_t109" style="position:absolute;left:1928929;top:4769023;height:667267;width:920690;" fillcolor="#FFFFFF" filled="t" stroked="t" coordsize="21600,21600" o:gfxdata="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DyN2s1wAAAAYBAAAPAAAAAAAAAAEAIAAAACIAAABkcnMv&#10;ZG93bnJldi54bWxQSwECFAAUAAAACACHTuJAYJrssj0CAACWBAAADgAAAAAAAAABACAAAAAmAQAA&#10;ZHJzL2Uyb0RvYy54bWxQSwUGAAAAAAYABgBZAQAA1QUAAAAA&#10;">
                  <v:fill on="t" focussize="0,0"/>
                  <v:stroke color="#000000" miterlimit="8" joinstyle="miter"/>
                  <v:imagedata o:title=""/>
                  <o:lock v:ext="edit" aspectratio="f"/>
                  <v:textbox>
                    <w:txbxContent>
                      <w:p>
                        <w:pPr>
                          <w:jc w:val="center"/>
                        </w:pPr>
                        <w:bookmarkStart w:id="140" w:name="_Hlk132373775"/>
                        <w:bookmarkStart w:id="141" w:name="_Hlk132373777"/>
                        <w:bookmarkStart w:id="142" w:name="_Hlk132373773"/>
                        <w:bookmarkStart w:id="143" w:name="_Hlk132373769"/>
                        <w:bookmarkStart w:id="144" w:name="_Hlk132373780"/>
                        <w:bookmarkStart w:id="145" w:name="_Hlk132373771"/>
                        <w:bookmarkStart w:id="146" w:name="_Hlk132373778"/>
                        <w:bookmarkStart w:id="147" w:name="_Hlk132373782"/>
                        <w:bookmarkStart w:id="148" w:name="_Hlk132373776"/>
                        <w:bookmarkStart w:id="149" w:name="_Hlk132373772"/>
                        <w:bookmarkStart w:id="150" w:name="_Hlk132373774"/>
                        <w:bookmarkStart w:id="151" w:name="_Hlk132373779"/>
                        <w:bookmarkStart w:id="152" w:name="_Hlk132373770"/>
                        <w:bookmarkStart w:id="153" w:name="_Hlk132373767"/>
                        <w:bookmarkStart w:id="154" w:name="_Hlk132373781"/>
                        <w:bookmarkStart w:id="155" w:name="_Hlk132373768"/>
                        <w:r>
                          <w:rPr>
                            <w:sz w:val="15"/>
                          </w:rPr>
                          <w:t>隐患排查治理及验收</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txbxContent>
                  </v:textbox>
                </v:shape>
                <v:shape id="AutoShape 12" o:spid="_x0000_s1026" o:spt="109" type="#_x0000_t109" style="position:absolute;left:4609325;top:2283885;height:1551458;width:389396;" fillcolor="#FFFFFF" filled="t" stroked="t" coordsize="21600,21600" o:gfxdata="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R1csPdYAAAAGAQAADwAAAAAAAAABACAAAAAiAAAAZHJz&#10;L2Rvd25yZXYueG1sUEsBAhQAFAAAAAgAh07iQJdDKBE/AgAAmQQAAA4AAAAAAAAAAQAgAAAAJQEA&#10;AGRycy9lMm9Eb2MueG1sUEsFBgAAAAAGAAYAWQEAANYFAAAAAA==&#10;">
                  <v:fill on="t" focussize="0,0"/>
                  <v:stroke color="#000000" miterlimit="8" joinstyle="miter"/>
                  <v:imagedata o:title=""/>
                  <o:lock v:ext="edit" aspectratio="f"/>
                  <v:textbox style="layout-flow:vertical-ideographic;">
                    <w:txbxContent>
                      <w:p>
                        <w:pPr>
                          <w:jc w:val="center"/>
                          <w:rPr>
                            <w:sz w:val="15"/>
                          </w:rPr>
                        </w:pPr>
                        <w:r>
                          <w:rPr>
                            <w:sz w:val="15"/>
                          </w:rPr>
                          <w:t>持续改进</w:t>
                        </w:r>
                      </w:p>
                    </w:txbxContent>
                  </v:textbox>
                </v:shape>
                <v:shape id="AutoShape 13" o:spid="_x0000_s1026" o:spt="32" type="#_x0000_t32" style="position:absolute;left:2377724;top:2216251;height:343119;width:825;" filled="f" stroked="t" coordsize="21600,21600" o:gfxdata="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HMu0cdcAAAAGAQAADwAAAAAAAAABACAAAAAiAAAAZHJzL2Rvd25y&#10;ZXYueG1sUEsBAhQAFAAAAAgAh07iQFub0xr/AQAA7wMAAA4AAAAAAAAAAQAgAAAAJgEAAGRycy9l&#10;Mm9Eb2MueG1sUEsFBgAAAAAGAAYAWQEAAJcFAAAAAA==&#10;">
                  <v:fill on="f" focussize="0,0"/>
                  <v:stroke color="#000000" joinstyle="round" endarrow="block"/>
                  <v:imagedata o:title=""/>
                  <o:lock v:ext="edit" aspectratio="f"/>
                </v:shape>
                <v:shape id="AutoShape 14" o:spid="_x0000_s1026" o:spt="32" type="#_x0000_t32" style="position:absolute;left:2377724;top:2978371;height:314251;width:825;" filled="f" stroked="t" coordsize="21600,21600" o:gfxdata="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cy7Rx1wAAAAYBAAAPAAAAAAAAAAEAIAAAACIAAABkcnMvZG93bnJl&#10;di54bWxQSwECFAAUAAAACACHTuJAuZONTf4BAADvAwAADgAAAAAAAAABACAAAAAmAQAAZHJzL2Uy&#10;b0RvYy54bWxQSwUGAAAAAAYABgBZAQAAlgUAAAAA&#10;">
                  <v:fill on="f" focussize="0,0"/>
                  <v:stroke color="#000000" joinstyle="round" endarrow="block"/>
                  <v:imagedata o:title=""/>
                  <o:lock v:ext="edit" aspectratio="f"/>
                </v:shape>
                <v:shape id="AutoShape 15" o:spid="_x0000_s1026" o:spt="32" type="#_x0000_t32" style="position:absolute;left:2377724;top:3635740;height:437971;width:825;" filled="f" stroked="t" coordsize="21600,21600" o:gfxdata="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cy7Rx1wAAAAYBAAAPAAAAAAAAAAEAIAAAACIAAABkcnMvZG93bnJl&#10;di54bWxQSwECFAAUAAAACACHTuJAtts8zv4BAADvAwAADgAAAAAAAAABACAAAAAmAQAAZHJzL2Uy&#10;b0RvYy54bWxQSwUGAAAAAAYABgBZAQAAlgUAAAAA&#10;">
                  <v:fill on="f" focussize="0,0"/>
                  <v:stroke color="#000000" joinstyle="round" endarrow="block"/>
                  <v:imagedata o:title=""/>
                  <o:lock v:ext="edit" aspectratio="f"/>
                </v:shape>
                <v:shape id="AutoShape 16" o:spid="_x0000_s1026" o:spt="32" type="#_x0000_t32" style="position:absolute;left:2377724;top:4406933;height:362089;width:4950;" filled="f" stroked="t" coordsize="21600,21600" o:gfxdata="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HMu0cdcAAAAGAQAADwAAAAAAAAABACAAAAAiAAAAZHJzL2Rv&#10;d25yZXYueG1sUEsBAhQAFAAAAAgAh07iQKTqEXoCAgAA8AMAAA4AAAAAAAAAAQAgAAAAJgEAAGRy&#10;cy9lMm9Eb2MueG1sUEsFBgAAAAAGAAYAWQEAAJoFAAAAAA==&#10;">
                  <v:fill on="f" focussize="0,0"/>
                  <v:stroke color="#000000" joinstyle="round" endarrow="block"/>
                  <v:imagedata o:title=""/>
                  <o:lock v:ext="edit" aspectratio="f"/>
                </v:shape>
                <v:shape id="AutoShape 17" o:spid="_x0000_s1026" o:spt="109" type="#_x0000_t109" style="position:absolute;left:1871179;top:5730745;height:383534;width:1036189;" fillcolor="#FFFFFF" filled="t" stroked="t" coordsize="21600,21600" o:gfxdata="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DyN2s1wAAAAYBAAAPAAAAAAAAAAEAIAAAACIAAABk&#10;cnMvZG93bnJldi54bWxQSwECFAAUAAAACACHTuJA6xUmN0ACAACXBAAADgAAAAAAAAABACAAAAAm&#10;AQAAZHJzL2Uyb0RvYy54bWxQSwUGAAAAAAYABgBZAQAA2AUAAAAA&#10;">
                  <v:fill on="t" focussize="0,0"/>
                  <v:stroke color="#000000" miterlimit="8" joinstyle="miter"/>
                  <v:imagedata o:title=""/>
                  <o:lock v:ext="edit" aspectratio="f"/>
                  <v:textbox>
                    <w:txbxContent>
                      <w:p>
                        <w:pPr>
                          <w:jc w:val="center"/>
                          <w:rPr>
                            <w:sz w:val="15"/>
                          </w:rPr>
                        </w:pPr>
                        <w:r>
                          <w:rPr>
                            <w:sz w:val="15"/>
                          </w:rPr>
                          <w:t>信息化建设</w:t>
                        </w:r>
                      </w:p>
                    </w:txbxContent>
                  </v:textbox>
                </v:shape>
                <v:shape id="AutoShape 18" o:spid="_x0000_s1026" o:spt="34" type="#_x0000_t34" style="position:absolute;left:2646884;top:126746;flip:x;height:2426299;width:1887979;rotation:-5898240f;" filled="f" stroked="t" coordsize="21600,21600" o:gfxdata="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XtqkntYAAAAGAQAADwAAAAAAAAABACAAAAAiAAAAZHJzL2Rvd25yZXYueG1sUEsB&#10;AhQAFAAAAAgAh07iQM9IeawwAgAAQgQAAA4AAAAAAAAAAQAgAAAAJQEAAGRycy9lMm9Eb2MueG1s&#10;UEsFBgAAAAAGAAYAWQEAAMcFAAAAAA==&#10;" adj="24215">
                  <v:fill on="f" focussize="0,0"/>
                  <v:stroke color="#000000" miterlimit="8" joinstyle="miter" endarrow="block"/>
                  <v:imagedata o:title=""/>
                  <o:lock v:ext="edit" aspectratio="f"/>
                </v:shape>
                <v:shape id="AutoShape 19" o:spid="_x0000_s1026" o:spt="109" type="#_x0000_t109" style="position:absolute;left:245122;top:1778280;height:342294;width:782092;" fillcolor="#FFFFFF" filled="t" stroked="t" coordsize="21600,21600" o:gfxdata="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PI3azXAAAABgEAAA8AAAAAAAAAAQAgAAAAIgAAAGRycy9k&#10;b3ducmV2LnhtbFBLAQIUABQAAAAIAIdO4kAWtm93PAIAAJUEAAAOAAAAAAAAAAEAIAAAACYBAABk&#10;cnMvZTJvRG9jLnhtbFBLBQYAAAAABgAGAFkBAADUBQAAAAA=&#10;">
                  <v:fill on="t" focussize="0,0"/>
                  <v:stroke color="#000000" miterlimit="8" joinstyle="miter"/>
                  <v:imagedata o:title=""/>
                  <o:lock v:ext="edit" aspectratio="f"/>
                  <v:textbox>
                    <w:txbxContent>
                      <w:p>
                        <w:pPr>
                          <w:jc w:val="center"/>
                          <w:rPr>
                            <w:sz w:val="15"/>
                          </w:rPr>
                        </w:pPr>
                        <w:r>
                          <w:rPr>
                            <w:sz w:val="15"/>
                          </w:rPr>
                          <w:t>重大风险</w:t>
                        </w:r>
                      </w:p>
                    </w:txbxContent>
                  </v:textbox>
                </v:shape>
                <v:shape id="AutoShape 20" o:spid="_x0000_s1026" o:spt="109" type="#_x0000_t109" style="position:absolute;left:245122;top:2242645;height:324973;width:782092;" fillcolor="#FFFFFF" filled="t" stroked="t" coordsize="21600,21600" o:gfxdata="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g8jdrNcAAAAGAQAADwAAAAAAAAABACAAAAAiAAAAZHJz&#10;L2Rvd25yZXYueG1sUEsBAhQAFAAAAAgAh07iQGfdZZE+AgAAlQQAAA4AAAAAAAAAAQAgAAAAJgEA&#10;AGRycy9lMm9Eb2MueG1sUEsFBgAAAAAGAAYAWQEAANYFAAAAAA==&#10;">
                  <v:fill on="t" focussize="0,0"/>
                  <v:stroke color="#000000" miterlimit="8" joinstyle="miter"/>
                  <v:imagedata o:title=""/>
                  <o:lock v:ext="edit" aspectratio="f"/>
                  <v:textbox>
                    <w:txbxContent>
                      <w:p>
                        <w:pPr>
                          <w:jc w:val="center"/>
                          <w:rPr>
                            <w:sz w:val="15"/>
                          </w:rPr>
                        </w:pPr>
                        <w:r>
                          <w:rPr>
                            <w:sz w:val="15"/>
                          </w:rPr>
                          <w:t>较大风险</w:t>
                        </w:r>
                      </w:p>
                    </w:txbxContent>
                  </v:textbox>
                </v:shape>
                <v:rect id="Rectangle 21" o:spid="_x0000_s1026" o:spt="1" style="position:absolute;left:245122;top:2702061;height:333221;width:782092;" fillcolor="#FFFFFF" filled="t" stroked="t" coordsize="21600,21600" o:gfxdata="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MDka1TVAAAABgEAAA8AAAAAAAAAAQAgAAAAIgAAAGRycy9kb3ducmV2&#10;LnhtbFBLAQIUABQAAAAIAIdO4kDSYTBtOAIAAIkEAAAOAAAAAAAAAAEAIAAAACQBAABkcnMvZTJv&#10;RG9jLnhtbFBLBQYAAAAABgAGAFkBAADOBQAAAAA=&#10;">
                  <v:fill on="t" focussize="0,0"/>
                  <v:stroke color="#000000" miterlimit="8" joinstyle="miter"/>
                  <v:imagedata o:title=""/>
                  <o:lock v:ext="edit" aspectratio="f"/>
                  <v:textbox>
                    <w:txbxContent>
                      <w:p>
                        <w:pPr>
                          <w:jc w:val="center"/>
                          <w:rPr>
                            <w:sz w:val="15"/>
                          </w:rPr>
                        </w:pPr>
                        <w:r>
                          <w:rPr>
                            <w:sz w:val="15"/>
                          </w:rPr>
                          <w:t>一般风险</w:t>
                        </w:r>
                      </w:p>
                    </w:txbxContent>
                  </v:textbox>
                </v:rect>
                <v:rect id="Rectangle 22" o:spid="_x0000_s1026" o:spt="1" style="position:absolute;left:245122;top:3168901;height:362089;width:782092;" fillcolor="#FFFFFF" filled="t" stroked="t" coordsize="21600,21600" o:gfxdata="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DA5GtU1QAAAAYBAAAPAAAAAAAAAAEAIAAAACIAAABkcnMvZG93bnJl&#10;di54bWxQSwECFAAUAAAACACHTuJAHT9T4DkCAACJBAAADgAAAAAAAAABACAAAAAkAQAAZHJzL2Uy&#10;b0RvYy54bWxQSwUGAAAAAAYABgBZAQAAzwUAAAAA&#10;">
                  <v:fill on="t" focussize="0,0"/>
                  <v:stroke color="#000000" miterlimit="8" joinstyle="miter"/>
                  <v:imagedata o:title=""/>
                  <o:lock v:ext="edit" aspectratio="f"/>
                  <v:textbox>
                    <w:txbxContent>
                      <w:p>
                        <w:pPr>
                          <w:jc w:val="center"/>
                          <w:rPr>
                            <w:sz w:val="15"/>
                          </w:rPr>
                        </w:pPr>
                        <w:r>
                          <w:rPr>
                            <w:sz w:val="15"/>
                          </w:rPr>
                          <w:t>低风险</w:t>
                        </w:r>
                      </w:p>
                    </w:txbxContent>
                  </v:textbox>
                </v:rect>
                <v:shape id="AutoShape 23" o:spid="_x0000_s1026" o:spt="34" type="#_x0000_t34" style="position:absolute;left:1027213;top:1949839;height:819031;width:895116;" filled="f" stroked="t" coordsize="21600,21600" o:gfxdata="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LwpCajXAAAABgEA&#10;AA8AAAAAAAAAAQAgAAAAIgAAAGRycy9kb3ducmV2LnhtbFBLAQIUABQAAAAIAIdO4kAij5tFGwIA&#10;ACgEAAAOAAAAAAAAAAEAIAAAACYBAABkcnMvZTJvRG9jLnhtbFBLBQYAAAAABgAGAFkBAACzBQAA&#10;AAA=&#10;" adj="10785">
                  <v:fill on="f" focussize="0,0"/>
                  <v:stroke color="#000000" miterlimit="8" joinstyle="miter" endarrow="block"/>
                  <v:imagedata o:title=""/>
                  <o:lock v:ext="edit" aspectratio="f"/>
                </v:shape>
                <v:shape id="AutoShape 24" o:spid="_x0000_s1026" o:spt="34" type="#_x0000_t34" style="position:absolute;left:1027213;top:2405131;height:363739;width:895116;" filled="f" stroked="t" coordsize="21600,21600" o:gfxdata="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LwpCajXAAAABgEA&#10;AA8AAAAAAAAAAQAgAAAAIgAAAGRycy9kb3ducmV2LnhtbFBLAQIUABQAAAAIAIdO4kCjL1eQGwIA&#10;ACgEAAAOAAAAAAAAAAEAIAAAACYBAABkcnMvZTJvRG9jLnhtbFBLBQYAAAAABgAGAFkBAACzBQAA&#10;AAA=&#10;" adj="10785">
                  <v:fill on="f" focussize="0,0"/>
                  <v:stroke color="#000000" miterlimit="8" joinstyle="miter" endarrow="block"/>
                  <v:imagedata o:title=""/>
                  <o:lock v:ext="edit" aspectratio="f"/>
                </v:shape>
                <v:shape id="AutoShape 25" o:spid="_x0000_s1026" o:spt="34" type="#_x0000_t34" style="position:absolute;left:1027213;top:2768870;flip:y;height:99801;width:895116;" filled="f" stroked="t" coordsize="21600,21600" o:gfxdata="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" adj="10785">
                  <v:fill on="f" focussize="0,0"/>
                  <v:stroke color="#000000" miterlimit="8" joinstyle="miter" endarrow="block"/>
                  <v:imagedata o:title=""/>
                  <o:lock v:ext="edit" aspectratio="f"/>
                </v:shape>
                <v:shape id="AutoShape 26" o:spid="_x0000_s1026" o:spt="34" type="#_x0000_t34" style="position:absolute;left:1027213;top:2768870;flip:y;height:581488;width:895116;" filled="f" stroked="t" coordsize="21600,21600" o:gfxdata="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A5rp4B1AAA&#10;AAYBAAAPAAAAAAAAAAEAIAAAACIAAABkcnMvZG93bnJldi54bWxQSwECFAAUAAAACACHTuJAXWPY&#10;/iICAAAyBAAADgAAAAAAAAABACAAAAAjAQAAZHJzL2Uyb0RvYy54bWxQSwUGAAAAAAYABgBZAQAA&#10;twUAAAAA&#10;" adj="10785">
                  <v:fill on="f" focussize="0,0"/>
                  <v:stroke color="#000000" miterlimit="8" joinstyle="miter" endarrow="block"/>
                  <v:imagedata o:title=""/>
                  <o:lock v:ext="edit" aspectratio="f"/>
                </v:shape>
                <v:rect id="Rectangle 27" o:spid="_x0000_s1026" o:spt="1" style="position:absolute;left:1885204;top:1101939;height:409103;width:985040;" fillcolor="#FFFFFF" filled="t" stroked="t" coordsize="21600,21600" o:gfxdata="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wORrVNUAAAAGAQAADwAAAAAAAAABACAAAAAiAAAAZHJzL2Rvd25y&#10;ZXYueG1sUEsBAhQAFAAAAAgAh07iQAvMA1I6AgAAigQAAA4AAAAAAAAAAQAgAAAAJAEAAGRycy9l&#10;Mm9Eb2MueG1sUEsFBgAAAAAGAAYAWQEAANAFAAAAAA==&#10;">
                  <v:fill on="t" focussize="0,0"/>
                  <v:stroke color="#000000" miterlimit="8" joinstyle="miter"/>
                  <v:imagedata o:title=""/>
                  <o:lock v:ext="edit" aspectratio="f"/>
                  <v:textbox>
                    <w:txbxContent>
                      <w:p>
                        <w:pPr>
                          <w:jc w:val="center"/>
                          <w:rPr>
                            <w:sz w:val="15"/>
                          </w:rPr>
                        </w:pPr>
                        <w:r>
                          <w:rPr>
                            <w:sz w:val="15"/>
                          </w:rPr>
                          <w:t>风险划分</w:t>
                        </w:r>
                      </w:p>
                    </w:txbxContent>
                  </v:textbox>
                </v:rect>
                <v:shape id="AutoShape 28" o:spid="_x0000_s1026" o:spt="34" type="#_x0000_t34" style="position:absolute;left:2870244;top:955124;flip:y;height:351367;width:499120;rotation:11796480f;" filled="f" stroked="t" coordsize="21600,21600" o:gfxdata="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BemD21AAAAAYBAAAPAAAAAAAAAAEAIAAAACIAAABkcnMvZG93bnJldi54bWxQSwECFAAUAAAA&#10;CACHTuJAP4PNIysCAABABAAADgAAAAAAAAABACAAAAAjAQAAZHJzL2Uyb0RvYy54bWxQSwUGAAAA&#10;AAYABgBZAQAAwAUAAAAA&#10;" adj="10800">
                  <v:fill on="f" focussize="0,0"/>
                  <v:stroke color="#000000" miterlimit="8" joinstyle="miter" endarrow="block"/>
                  <v:imagedata o:title=""/>
                  <o:lock v:ext="edit" aspectratio="f"/>
                </v:shape>
                <v:shape id="AutoShape 29" o:spid="_x0000_s1026" o:spt="34" type="#_x0000_t34" style="position:absolute;left:2870244;top:1306491;height:398381;width:499120;rotation:11796480f;" filled="f" stroked="t" coordsize="21600,21600" o:gfxdata="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37Lq2NcAAAAGAQAADwAAAAAAAAABACAAAAAiAAAAZHJzL2Rvd25yZXYueG1sUEsBAhQAFAAAAAgA&#10;h07iQEkIgNYmAgAANwQAAA4AAAAAAAAAAQAgAAAAJgEAAGRycy9lMm9Eb2MueG1sUEsFBgAAAAAG&#10;AAYAWQEAAL4FAAAAAA==&#10;" adj="10800">
                  <v:fill on="f" focussize="0,0"/>
                  <v:stroke color="#000000" miterlimit="8" joinstyle="miter" endarrow="block"/>
                  <v:imagedata o:title=""/>
                  <o:lock v:ext="edit" aspectratio="f"/>
                </v:shape>
                <v:shape id="AutoShape 30" o:spid="_x0000_s1026" o:spt="32" type="#_x0000_t32" style="position:absolute;left:2377724;top:825630;height:276310;width:825;" filled="f" stroked="t" coordsize="21600,21600" o:gfxdata="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Acy7Rx1wAAAAYBAAAPAAAAAAAAAAEAIAAAACIAAABkcnMvZG93bnJl&#10;di54bWxQSwECFAAUAAAACACHTuJAy7LBwf4BAADuAwAADgAAAAAAAAABACAAAAAmAQAAZHJzL2Uy&#10;b0RvYy54bWxQSwUGAAAAAAYABgBZAQAAlgUAAAAA&#10;">
                  <v:fill on="f" focussize="0,0"/>
                  <v:stroke color="#000000" joinstyle="round" endarrow="block"/>
                  <v:imagedata o:title=""/>
                  <o:lock v:ext="edit" aspectratio="f"/>
                </v:shape>
                <v:shape id="AutoShape 31" o:spid="_x0000_s1026" o:spt="32" type="#_x0000_t32" style="position:absolute;left:2377724;top:1511043;flip:x;height:306003;width:825;" filled="f" stroked="t" coordsize="21600,21600" o:gfxdata="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LNMTV9YAAAAGAQAADwAAAAAAAAABACAAAAAiAAAAZHJz&#10;L2Rvd25yZXYueG1sUEsBAhQAFAAAAAgAh07iQOH8GqkGAgAA+QMAAA4AAAAAAAAAAQAgAAAAJQEA&#10;AGRycy9lMm9Eb2MueG1sUEsFBgAAAAAGAAYAWQEAAJ0FAAAAAA==&#10;">
                  <v:fill on="f" focussize="0,0"/>
                  <v:stroke color="#000000" joinstyle="round" endarrow="block"/>
                  <v:imagedata o:title=""/>
                  <o:lock v:ext="edit" aspectratio="f"/>
                </v:shape>
                <v:rect id="Rectangle 32" o:spid="_x0000_s1026" o:spt="1" style="position:absolute;left:332571;top:4140521;height:390958;width:781267;" fillcolor="#FFFFFF" filled="t" stroked="t" coordsize="21600,21600" o:gfxdata="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DA5GtU1QAAAAYBAAAPAAAAAAAAAAEAIAAAACIAAABkcnMvZG93&#10;bnJldi54bWxQSwECFAAUAAAACACHTuJAF5QsvjwCAACJBAAADgAAAAAAAAABACAAAAAkAQAAZHJz&#10;L2Uyb0RvYy54bWxQSwUGAAAAAAYABgBZAQAA0gUAAAAA&#10;">
                  <v:fill on="t" focussize="0,0"/>
                  <v:stroke color="#000000" miterlimit="8" joinstyle="miter"/>
                  <v:imagedata o:title=""/>
                  <o:lock v:ext="edit" aspectratio="f"/>
                  <v:textbox>
                    <w:txbxContent>
                      <w:p>
                        <w:pPr>
                          <w:jc w:val="center"/>
                          <w:rPr>
                            <w:sz w:val="15"/>
                          </w:rPr>
                        </w:pPr>
                        <w:r>
                          <w:rPr>
                            <w:sz w:val="15"/>
                          </w:rPr>
                          <w:t>隐患分级</w:t>
                        </w:r>
                      </w:p>
                    </w:txbxContent>
                  </v:textbox>
                </v:rect>
                <v:rect id="Rectangle 33" o:spid="_x0000_s1026" o:spt="1" style="position:absolute;left:332571;top:4626331;height:361265;width:781267;" fillcolor="#FFFFFF" filled="t" stroked="t" coordsize="21600,21600" o:gfxdata="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MDka1TVAAAABgEAAA8AAAAAAAAAAQAgAAAAIgAAAGRycy9kb3du&#10;cmV2LnhtbFBLAQIUABQAAAAIAIdO4kBkSy90OwIAAIkEAAAOAAAAAAAAAAEAIAAAACQBAABkcnMv&#10;ZTJvRG9jLnhtbFBLBQYAAAAABgAGAFkBAADRBQAAAAA=&#10;">
                  <v:fill on="t" focussize="0,0"/>
                  <v:stroke color="#000000" miterlimit="8" joinstyle="miter"/>
                  <v:imagedata o:title=""/>
                  <o:lock v:ext="edit" aspectratio="f"/>
                  <v:textbox>
                    <w:txbxContent>
                      <w:p>
                        <w:pPr>
                          <w:jc w:val="center"/>
                          <w:rPr>
                            <w:sz w:val="15"/>
                          </w:rPr>
                        </w:pPr>
                        <w:r>
                          <w:rPr>
                            <w:sz w:val="15"/>
                          </w:rPr>
                          <w:t>隐患排查</w:t>
                        </w:r>
                      </w:p>
                    </w:txbxContent>
                  </v:textbox>
                </v:rect>
                <v:shape id="AutoShape 34" o:spid="_x0000_s1026" o:spt="109" type="#_x0000_t109" style="position:absolute;left:343296;top:5083273;height:353017;width:770542;" fillcolor="#FFFFFF" filled="t" stroked="t" coordsize="21600,21600" o:gfxdata="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g8jdrNcAAAAGAQAADwAAAAAAAAABACAAAAAiAAAA&#10;ZHJzL2Rvd25yZXYueG1sUEsBAhQAFAAAAAgAh07iQHyxnhtBAgAAlQQAAA4AAAAAAAAAAQAgAAAA&#10;JgEAAGRycy9lMm9Eb2MueG1sUEsFBgAAAAAGAAYAWQEAANkFAAAAAA==&#10;">
                  <v:fill on="t" focussize="0,0"/>
                  <v:stroke color="#000000" miterlimit="8" joinstyle="miter"/>
                  <v:imagedata o:title=""/>
                  <o:lock v:ext="edit" aspectratio="f"/>
                  <v:textbox>
                    <w:txbxContent>
                      <w:p>
                        <w:pPr>
                          <w:jc w:val="center"/>
                          <w:rPr>
                            <w:sz w:val="15"/>
                          </w:rPr>
                        </w:pPr>
                        <w:r>
                          <w:rPr>
                            <w:sz w:val="15"/>
                          </w:rPr>
                          <w:t>隐患治理</w:t>
                        </w:r>
                      </w:p>
                    </w:txbxContent>
                  </v:textbox>
                </v:shape>
                <v:rect id="Rectangle 35" o:spid="_x0000_s1026" o:spt="1" style="position:absolute;left:343296;top:5531142;height:381060;width:770542;" fillcolor="#FFFFFF" filled="t" stroked="t" coordsize="21600,21600" o:gfxdata="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wORrVNUAAAAGAQAADwAAAAAAAAABACAAAAAiAAAAZHJzL2Rv&#10;d25yZXYueG1sUEsBAhQAFAAAAAgAh07iQHZpsS89AgAAiQQAAA4AAAAAAAAAAQAgAAAAJAEAAGRy&#10;cy9lMm9Eb2MueG1sUEsFBgAAAAAGAAYAWQEAANMFAAAAAA==&#10;">
                  <v:fill on="t" focussize="0,0"/>
                  <v:stroke color="#000000" miterlimit="8" joinstyle="miter"/>
                  <v:imagedata o:title=""/>
                  <o:lock v:ext="edit" aspectratio="f"/>
                  <v:textbox>
                    <w:txbxContent>
                      <w:p>
                        <w:pPr>
                          <w:jc w:val="center"/>
                          <w:rPr>
                            <w:sz w:val="15"/>
                          </w:rPr>
                        </w:pPr>
                        <w:r>
                          <w:rPr>
                            <w:sz w:val="15"/>
                          </w:rPr>
                          <w:t>隐患验收</w:t>
                        </w:r>
                      </w:p>
                    </w:txbxContent>
                  </v:textbox>
                </v:rect>
                <v:shape id="AutoShape 36" o:spid="_x0000_s1026" o:spt="34" type="#_x0000_t34" style="position:absolute;left:1113837;top:4336825;height:766244;width:808491;" filled="f" stroked="t" coordsize="21600,21600" o:gfxdata="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879D21wAAAAYB&#10;AAAPAAAAAAAAAAEAIAAAACIAAABkcnMvZG93bnJldi54bWxQSwECFAAUAAAACACHTuJAP1q3rBwC&#10;AAAoBAAADgAAAAAAAAABACAAAAAmAQAAZHJzL2Uyb0RvYy54bWxQSwUGAAAAAAYABgBZAQAAtAUA&#10;AAAA&#10;" adj="10792">
                  <v:fill on="f" focussize="0,0"/>
                  <v:stroke color="#000000" miterlimit="8" joinstyle="miter" endarrow="block"/>
                  <v:imagedata o:title=""/>
                  <o:lock v:ext="edit" aspectratio="f"/>
                </v:shape>
                <v:shape id="AutoShape 37" o:spid="_x0000_s1026" o:spt="34" type="#_x0000_t34" style="position:absolute;left:1113837;top:4806964;height:296105;width:808491;" filled="f" stroked="t" coordsize="21600,21600" o:gfxdata="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879D21wAAAAYB&#10;AAAPAAAAAAAAAAEAIAAAACIAAABkcnMvZG93bnJldi54bWxQSwECFAAUAAAACACHTuJAu4Hy1hwC&#10;AAAoBAAADgAAAAAAAAABACAAAAAmAQAAZHJzL2Uyb0RvYy54bWxQSwUGAAAAAAYABgBZAQAAtAUA&#10;AAAA&#10;" adj="10792">
                  <v:fill on="f" focussize="0,0"/>
                  <v:stroke color="#000000" miterlimit="8" joinstyle="miter" endarrow="block"/>
                  <v:imagedata o:title=""/>
                  <o:lock v:ext="edit" aspectratio="f"/>
                </v:shape>
                <v:shape id="AutoShape 38" o:spid="_x0000_s1026" o:spt="34" type="#_x0000_t34" style="position:absolute;left:1113837;top:5103069;flip:y;height:156713;width:808491;" filled="f" stroked="t" coordsize="21600,21600" o:gfxdata="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EFgj7fW&#10;AAAABgEAAA8AAAAAAAAAAQAgAAAAIgAAAGRycy9kb3ducmV2LnhtbFBLAQIUABQAAAAIAIdO4kCc&#10;CqQkIgIAADIEAAAOAAAAAAAAAAEAIAAAACUBAABkcnMvZTJvRG9jLnhtbFBLBQYAAAAABgAGAFkB&#10;AAC5BQAAAAA=&#10;" adj="10792">
                  <v:fill on="f" focussize="0,0"/>
                  <v:stroke color="#000000" miterlimit="8" joinstyle="miter" endarrow="block"/>
                  <v:imagedata o:title=""/>
                  <o:lock v:ext="edit" aspectratio="f"/>
                </v:shape>
                <v:shape id="AutoShape 39" o:spid="_x0000_s1026" o:spt="34" type="#_x0000_t34" style="position:absolute;left:1113837;top:5103069;flip:y;height:618604;width:808491;" filled="f" stroked="t" coordsize="21600,21600" o:gfxdata="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BYI+3&#10;1gAAAAYBAAAPAAAAAAAAAAEAIAAAACIAAABkcnMvZG93bnJldi54bWxQSwECFAAUAAAACACHTuJA&#10;fDuLvSMCAAAyBAAADgAAAAAAAAABACAAAAAlAQAAZHJzL2Uyb0RvYy54bWxQSwUGAAAAAAYABgBZ&#10;AQAAugUAAAAA&#10;" adj="10792">
                  <v:fill on="f" focussize="0,0"/>
                  <v:stroke color="#000000" miterlimit="8" joinstyle="miter" endarrow="block"/>
                  <v:imagedata o:title=""/>
                  <o:lock v:ext="edit" aspectratio="f"/>
                </v:shape>
                <v:shape id="AutoShape 40" o:spid="_x0000_s1026" o:spt="109" type="#_x0000_t109" style="position:absolute;left:3392463;top:3106216;height:424775;width:1066714;" fillcolor="#FFFFFF" filled="t" stroked="t" coordsize="21600,21600" o:gfxdata="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DyN2s1wAAAAYBAAAPAAAAAAAAAAEAIAAAACIAAABk&#10;cnMvZG93bnJldi54bWxQSwECFAAUAAAACACHTuJAojCKpUACAACXBAAADgAAAAAAAAABACAAAAAm&#10;AQAAZHJzL2Uyb0RvYy54bWxQSwUGAAAAAAYABgBZAQAA2AUAAAAA&#10;">
                  <v:fill on="t" focussize="0,0"/>
                  <v:stroke color="#000000" miterlimit="8" joinstyle="miter"/>
                  <v:imagedata o:title=""/>
                  <o:lock v:ext="edit" aspectratio="f"/>
                  <v:textbox>
                    <w:txbxContent>
                      <w:p>
                        <w:pPr>
                          <w:jc w:val="center"/>
                          <w:rPr>
                            <w:sz w:val="15"/>
                          </w:rPr>
                        </w:pPr>
                        <w:r>
                          <w:rPr>
                            <w:sz w:val="15"/>
                          </w:rPr>
                          <w:t>风险四色图</w:t>
                        </w:r>
                      </w:p>
                    </w:txbxContent>
                  </v:textbox>
                </v:shape>
                <v:shape id="AutoShape 41" o:spid="_x0000_s1026" o:spt="109" type="#_x0000_t109" style="position:absolute;left:3392463;top:3659660;height:590560;width:1066714;" fillcolor="#FFFFFF" filled="t" stroked="t" coordsize="21600,21600" o:gfxdata="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DyN2s1wAAAAYBAAAPAAAAAAAAAAEAIAAAACIAAABk&#10;cnMvZG93bnJldi54bWxQSwECFAAUAAAACACHTuJALtBWd0ACAACXBAAADgAAAAAAAAABACAAAAAm&#10;AQAAZHJzL2Uyb0RvYy54bWxQSwUGAAAAAAYABgBZAQAA2AUAAAAA&#10;">
                  <v:fill on="t" focussize="0,0"/>
                  <v:stroke color="#000000" miterlimit="8" joinstyle="miter"/>
                  <v:imagedata o:title=""/>
                  <o:lock v:ext="edit" aspectratio="f"/>
                  <v:textbox>
                    <w:txbxContent>
                      <w:p>
                        <w:pPr>
                          <w:jc w:val="center"/>
                          <w:rPr>
                            <w:sz w:val="15"/>
                          </w:rPr>
                        </w:pPr>
                        <w:r>
                          <w:rPr>
                            <w:sz w:val="15"/>
                          </w:rPr>
                          <w:t>作业安全风险比较图</w:t>
                        </w:r>
                      </w:p>
                    </w:txbxContent>
                  </v:textbox>
                </v:shape>
                <v:shape id="AutoShape 42" o:spid="_x0000_s1026" o:spt="109" type="#_x0000_t109" style="position:absolute;left:3392463;top:4463845;height:471788;width:1089813;" fillcolor="#FFFFFF" filled="t" stroked="t" coordsize="21600,21600" o:gfxdata="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DyN2s1wAAAAYBAAAPAAAAAAAAAAEAIAAAACIAAABk&#10;cnMvZG93bnJldi54bWxQSwECFAAUAAAACACHTuJA15Gau0ACAACXBAAADgAAAAAAAAABACAAAAAm&#10;AQAAZHJzL2Uyb0RvYy54bWxQSwUGAAAAAAYABgBZAQAA2AUAAAAA&#10;">
                  <v:fill on="t" focussize="0,0"/>
                  <v:stroke color="#000000" miterlimit="8" joinstyle="miter"/>
                  <v:imagedata o:title=""/>
                  <o:lock v:ext="edit" aspectratio="f"/>
                  <v:textbox>
                    <w:txbxContent>
                      <w:p>
                        <w:pPr>
                          <w:jc w:val="center"/>
                          <w:rPr>
                            <w:sz w:val="15"/>
                          </w:rPr>
                        </w:pPr>
                        <w:r>
                          <w:rPr>
                            <w:sz w:val="15"/>
                          </w:rPr>
                          <w:t>风险公告栏</w:t>
                        </w:r>
                      </w:p>
                    </w:txbxContent>
                  </v:textbox>
                </v:shape>
                <v:rect id="Rectangle 43" o:spid="_x0000_s1026" o:spt="1" style="position:absolute;left:3392463;top:5103069;height:447044;width:1065889;" fillcolor="#FFFFFF" filled="t" stroked="t" coordsize="21600,21600" o:gfxdata="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wORrVNUAAAAGAQAADwAAAAAAAAABACAAAAAiAAAAZHJzL2Rv&#10;d25yZXYueG1sUEsBAhQAFAAAAAgAh07iQL8AgDo9AgAAiwQAAA4AAAAAAAAAAQAgAAAAJAEAAGRy&#10;cy9lMm9Eb2MueG1sUEsFBgAAAAAGAAYAWQEAANMFAAAAAA==&#10;">
                  <v:fill on="t" focussize="0,0"/>
                  <v:stroke color="#000000" miterlimit="8" joinstyle="miter"/>
                  <v:imagedata o:title=""/>
                  <o:lock v:ext="edit" aspectratio="f"/>
                  <v:textbox>
                    <w:txbxContent>
                      <w:p>
                        <w:pPr>
                          <w:jc w:val="center"/>
                          <w:rPr>
                            <w:sz w:val="15"/>
                          </w:rPr>
                        </w:pPr>
                        <w:r>
                          <w:rPr>
                            <w:sz w:val="15"/>
                          </w:rPr>
                          <w:t>风险告知卡</w:t>
                        </w:r>
                      </w:p>
                    </w:txbxContent>
                  </v:textbox>
                </v:rect>
                <v:shape id="AutoShape 44" o:spid="_x0000_s1026" o:spt="34" type="#_x0000_t34" style="position:absolute;left:2833119;top:3319015;flip:y;height:921307;width:559344;rotation:11796480f;" filled="f" stroked="t" coordsize="21600,21600" o:gfxdata="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DzxWFbWAAAABgEAAA8AAAAAAAAAAQAgAAAAIgAAAGRycy9kb3ducmV2LnhtbFBLAQIU&#10;ABQAAAAIAIdO4kCKg9FKLgIAAEEEAAAOAAAAAAAAAAEAIAAAACUBAABkcnMvZTJvRG9jLnhtbFBL&#10;BQYAAAAABgAGAFkBAADFBQAAAAA=&#10;" adj="10788">
                  <v:fill on="f" focussize="0,0"/>
                  <v:stroke color="#000000" miterlimit="8" joinstyle="miter" endarrow="block"/>
                  <v:imagedata o:title=""/>
                  <o:lock v:ext="edit" aspectratio="f"/>
                </v:shape>
                <v:shape id="AutoShape 45" o:spid="_x0000_s1026" o:spt="34" type="#_x0000_t34" style="position:absolute;left:2833119;top:3954940;flip:y;height:285383;width:559344;rotation:11796480f;" filled="f" stroked="t" coordsize="21600,21600" o:gfxdata="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DzxWFbWAAAABgEAAA8AAAAAAAAAAQAgAAAAIgAAAGRycy9kb3ducmV2LnhtbFBLAQIU&#10;ABQAAAAIAIdO4kD8od0xLgIAAEEEAAAOAAAAAAAAAAEAIAAAACUBAABkcnMvZTJvRG9jLnhtbFBL&#10;BQYAAAAABgAGAFkBAADFBQAAAAA=&#10;" adj="10788">
                  <v:fill on="f" focussize="0,0"/>
                  <v:stroke color="#000000" miterlimit="8" joinstyle="miter" endarrow="block"/>
                  <v:imagedata o:title=""/>
                  <o:lock v:ext="edit" aspectratio="f"/>
                </v:shape>
                <v:shape id="AutoShape 46" o:spid="_x0000_s1026" o:spt="34" type="#_x0000_t34" style="position:absolute;left:2833119;top:4240323;height:460241;width:559344;rotation:11796480f;" filled="f" stroked="t" coordsize="21600,21600" o:gfxdata="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KKTU3nXAAAABgEAAA8AAAAAAAAAAQAgAAAAIgAAAGRycy9kb3ducmV2LnhtbFBLAQIUABQAAAAI&#10;AIdO4kDXS+n0JwIAADcEAAAOAAAAAAAAAAEAIAAAACYBAABkcnMvZTJvRG9jLnhtbFBLBQYAAAAA&#10;BgAGAFkBAAC/BQAAAAA=&#10;" adj="10788">
                  <v:fill on="f" focussize="0,0"/>
                  <v:stroke color="#000000" miterlimit="8" joinstyle="miter" endarrow="block"/>
                  <v:imagedata o:title=""/>
                  <o:lock v:ext="edit" aspectratio="f"/>
                </v:shape>
                <v:shape id="AutoShape 47" o:spid="_x0000_s1026" o:spt="34" type="#_x0000_t34" style="position:absolute;left:2833119;top:4240323;height:1086268;width:559344;rotation:11796480f;" filled="f" stroked="t" coordsize="21600,21600" o:gfxdata="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ik1N51wAAAAYBAAAPAAAAAAAAAAEAIAAAACIAAABkcnMvZG93bnJldi54bWxQSwECFAAUAAAA&#10;CACHTuJAFCJZ4ygCAAA4BAAADgAAAAAAAAABACAAAAAmAQAAZHJzL2Uyb0RvYy54bWxQSwUGAAAA&#10;AAYABgBZAQAAwAUAAAAA&#10;" adj="10788">
                  <v:fill on="f" focussize="0,0"/>
                  <v:stroke color="#000000" miterlimit="8" joinstyle="miter" endarrow="block"/>
                  <v:imagedata o:title=""/>
                  <o:lock v:ext="edit" aspectratio="f"/>
                </v:shape>
                <v:shape id="AutoShape 48" o:spid="_x0000_s1026" o:spt="109" type="#_x0000_t109" style="position:absolute;left:3441138;top:5721672;height:392607;width:1018039;" fillcolor="#FFFFFF" filled="t" stroked="t" coordsize="21600,21600" o:gfxdata="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g8jdrNcAAAAGAQAADwAAAAAAAAABACAAAAAiAAAA&#10;ZHJzL2Rvd25yZXYueG1sUEsBAhQAFAAAAAgAh07iQB22EXdBAgAAlwQAAA4AAAAAAAAAAQAgAAAA&#10;JgEAAGRycy9lMm9Eb2MueG1sUEsFBgAAAAAGAAYAWQEAANkFAAAAAA==&#10;">
                  <v:fill on="t" focussize="0,0"/>
                  <v:stroke color="#000000" miterlimit="8" joinstyle="miter"/>
                  <v:imagedata o:title=""/>
                  <o:lock v:ext="edit" aspectratio="f"/>
                  <v:textbox>
                    <w:txbxContent>
                      <w:p>
                        <w:pPr>
                          <w:jc w:val="center"/>
                          <w:rPr>
                            <w:sz w:val="15"/>
                          </w:rPr>
                        </w:pPr>
                        <w:r>
                          <w:rPr>
                            <w:sz w:val="15"/>
                          </w:rPr>
                          <w:t>文件管理</w:t>
                        </w:r>
                      </w:p>
                    </w:txbxContent>
                  </v:textbox>
                </v:shape>
                <v:shape id="AutoShape 49" o:spid="_x0000_s1026" o:spt="32" type="#_x0000_t32" style="position:absolute;left:2382674;top:5440414;height:290331;width:6600;" filled="f" stroked="t" coordsize="21600,21600" o:gfxdata="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BzLtHHXAAAABgEAAA8AAAAAAAAAAQAgAAAAIgAAAGRycy9k&#10;b3ducmV2LnhtbFBLAQIUABQAAAAIAIdO4kD9kHUaAwIAAPADAAAOAAAAAAAAAAEAIAAAACYBAABk&#10;cnMvZTJvRG9jLnhtbFBLBQYAAAAABgAGAFkBAACbBQAAAAA=&#10;">
                  <v:fill on="f" focussize="0,0"/>
                  <v:stroke color="#000000" joinstyle="round" endarrow="block"/>
                  <v:imagedata o:title=""/>
                  <o:lock v:ext="edit" aspectratio="f"/>
                </v:shape>
                <v:shape id="AutoShape 50" o:spid="_x0000_s1026" o:spt="34" type="#_x0000_t34" style="position:absolute;left:2907368;top:5917976;flip:y;height:4949;width:533769;" filled="f" stroked="t" coordsize="21600,21600" o:gfxdata="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BAC1tV&#10;1QAAAAYBAAAPAAAAAAAAAAEAIAAAACIAAABkcnMvZG93bnJldi54bWxQSwECFAAUAAAACACHTuJA&#10;3o2YVSQCAAAwBAAADgAAAAAAAAABACAAAAAkAQAAZHJzL2Uyb0RvYy54bWxQSwUGAAAAAAYABgBZ&#10;AQAAugUAAAAA&#10;" adj="10787">
                  <v:fill on="f" focussize="0,0"/>
                  <v:stroke color="#000000" miterlimit="8" joinstyle="miter" endarrow="block"/>
                  <v:imagedata o:title=""/>
                  <o:lock v:ext="edit" aspectratio="f"/>
                </v:shape>
                <v:shape id="AutoShape 51" o:spid="_x0000_s1026" o:spt="33" type="#_x0000_t33" style="position:absolute;left:4459177;top:3835343;flip:y;height:2082633;width:344846;" filled="f" stroked="t" coordsize="21600,21600" o:gfxdata="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ictUCNYAAAAGAQAADwAAAAAAAAABACAA&#10;AAAiAAAAZHJzL2Rvd25yZXYueG1sUEsBAhQAFAAAAAgAh07iQBhy744PAgAABgQAAA4AAAAAAAAA&#10;AQAgAAAAJQEAAGRycy9lMm9Eb2MueG1sUEsFBgAAAAAGAAYAWQEAAKYFAAAAAA==&#10;">
                  <v:fill on="f" focussize="0,0"/>
                  <v:stroke color="#000000" miterlimit="8" joinstyle="miter" endarrow="block"/>
                  <v:imagedata o:title=""/>
                  <o:lock v:ext="edit" aspectratio="f"/>
                </v:shape>
                <w10:wrap type="none"/>
                <w10:anchorlock/>
              </v:group>
            </w:pict>
          </mc:Fallback>
        </mc:AlternateContent>
      </w:r>
      <w:bookmarkEnd w:id="120"/>
    </w:p>
    <w:p>
      <w:pPr>
        <w:pStyle w:val="83"/>
        <w:spacing w:before="120" w:after="120"/>
      </w:pPr>
      <w:r>
        <w:rPr>
          <w:rFonts w:hint="eastAsia"/>
        </w:rPr>
        <w:t xml:space="preserve"> 双重预防机制建设</w:t>
      </w:r>
      <w:r>
        <w:t>程序图</w:t>
      </w:r>
    </w:p>
    <w:p>
      <w:pPr>
        <w:pStyle w:val="77"/>
        <w:spacing w:before="120" w:after="120"/>
        <w:sectPr>
          <w:pgSz w:w="11906" w:h="16838"/>
          <w:pgMar w:top="1928" w:right="1134" w:bottom="1134" w:left="1134" w:header="1418" w:footer="1134" w:gutter="284"/>
          <w:cols w:space="425" w:num="1"/>
          <w:formProt w:val="0"/>
          <w:docGrid w:linePitch="312" w:charSpace="0"/>
        </w:sectPr>
      </w:pPr>
    </w:p>
    <w:p>
      <w:pPr>
        <w:pStyle w:val="198"/>
        <w:rPr>
          <w:vanish w:val="0"/>
        </w:rPr>
      </w:pPr>
    </w:p>
    <w:p>
      <w:pPr>
        <w:pStyle w:val="199"/>
        <w:rPr>
          <w:vanish w:val="0"/>
        </w:rPr>
      </w:pPr>
    </w:p>
    <w:p>
      <w:pPr>
        <w:pStyle w:val="76"/>
        <w:spacing w:after="120"/>
      </w:pPr>
      <w:r>
        <w:br w:type="textWrapping"/>
      </w:r>
      <w:r>
        <w:rPr>
          <w:rFonts w:hint="eastAsia"/>
        </w:rPr>
        <w:t>（资料性）</w:t>
      </w:r>
      <w:r>
        <w:br w:type="textWrapping"/>
      </w:r>
      <w:r>
        <w:rPr>
          <w:rFonts w:hint="eastAsia"/>
        </w:rPr>
        <w:t>风险分级管控样例表</w:t>
      </w:r>
    </w:p>
    <w:p>
      <w:pPr>
        <w:pStyle w:val="56"/>
        <w:ind w:firstLine="420"/>
        <w:rPr>
          <w:szCs w:val="21"/>
        </w:rPr>
      </w:pPr>
      <w:r>
        <w:rPr>
          <w:rFonts w:hint="eastAsia" w:hAnsi="宋体"/>
        </w:rPr>
        <w:t>表B.1～表B.10给出了风险分级管控样例。</w:t>
      </w:r>
    </w:p>
    <w:p>
      <w:pPr>
        <w:pStyle w:val="77"/>
        <w:spacing w:before="120" w:after="120"/>
      </w:pPr>
      <w:r>
        <w:rPr>
          <w:rFonts w:hint="eastAsia"/>
        </w:rPr>
        <w:t xml:space="preserve"> 安全风险区域划分登记表</w:t>
      </w:r>
    </w:p>
    <w:p>
      <w:pPr>
        <w:pStyle w:val="56"/>
        <w:ind w:firstLine="0" w:firstLineChars="0"/>
        <w:jc w:val="left"/>
      </w:pPr>
      <w:r>
        <w:t>辨识单元：XX垃圾焚烧发电厂公司</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84"/>
        <w:gridCol w:w="1684"/>
        <w:gridCol w:w="1157"/>
        <w:gridCol w:w="3257"/>
        <w:gridCol w:w="2107"/>
        <w:gridCol w:w="58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tblHeader/>
          <w:jc w:val="center"/>
        </w:trPr>
        <w:tc>
          <w:tcPr>
            <w:tcW w:w="312" w:type="pct"/>
            <w:tcBorders>
              <w:top w:val="single" w:color="auto" w:sz="8" w:space="0"/>
              <w:bottom w:val="single" w:color="auto" w:sz="8" w:space="0"/>
            </w:tcBorders>
            <w:shd w:val="clear" w:color="auto" w:fill="auto"/>
            <w:vAlign w:val="center"/>
          </w:tcPr>
          <w:p>
            <w:pPr>
              <w:pStyle w:val="178"/>
            </w:pPr>
            <w:r>
              <w:t>序号</w:t>
            </w:r>
          </w:p>
        </w:tc>
        <w:tc>
          <w:tcPr>
            <w:tcW w:w="898" w:type="pct"/>
            <w:tcBorders>
              <w:top w:val="single" w:color="auto" w:sz="8" w:space="0"/>
              <w:bottom w:val="single" w:color="auto" w:sz="8" w:space="0"/>
            </w:tcBorders>
            <w:shd w:val="clear" w:color="auto" w:fill="auto"/>
            <w:vAlign w:val="center"/>
          </w:tcPr>
          <w:p>
            <w:pPr>
              <w:pStyle w:val="178"/>
            </w:pPr>
            <w:r>
              <w:t>风险区域（单元）</w:t>
            </w:r>
          </w:p>
        </w:tc>
        <w:tc>
          <w:tcPr>
            <w:tcW w:w="617" w:type="pct"/>
            <w:tcBorders>
              <w:top w:val="single" w:color="auto" w:sz="8" w:space="0"/>
              <w:bottom w:val="single" w:color="auto" w:sz="8" w:space="0"/>
            </w:tcBorders>
            <w:shd w:val="clear" w:color="auto" w:fill="auto"/>
            <w:vAlign w:val="center"/>
          </w:tcPr>
          <w:p>
            <w:pPr>
              <w:pStyle w:val="178"/>
            </w:pPr>
            <w:r>
              <w:t>编号</w:t>
            </w:r>
          </w:p>
        </w:tc>
        <w:tc>
          <w:tcPr>
            <w:tcW w:w="1737" w:type="pct"/>
            <w:tcBorders>
              <w:top w:val="single" w:color="auto" w:sz="8" w:space="0"/>
              <w:bottom w:val="single" w:color="auto" w:sz="8" w:space="0"/>
            </w:tcBorders>
            <w:shd w:val="clear" w:color="auto" w:fill="auto"/>
            <w:vAlign w:val="center"/>
          </w:tcPr>
          <w:p>
            <w:pPr>
              <w:pStyle w:val="178"/>
            </w:pPr>
            <w:r>
              <w:t>可能导致的事故类型</w:t>
            </w:r>
          </w:p>
        </w:tc>
        <w:tc>
          <w:tcPr>
            <w:tcW w:w="1124" w:type="pct"/>
            <w:tcBorders>
              <w:top w:val="single" w:color="auto" w:sz="8" w:space="0"/>
              <w:bottom w:val="single" w:color="auto" w:sz="8" w:space="0"/>
            </w:tcBorders>
            <w:shd w:val="clear" w:color="auto" w:fill="auto"/>
            <w:vAlign w:val="center"/>
          </w:tcPr>
          <w:p>
            <w:pPr>
              <w:pStyle w:val="178"/>
            </w:pPr>
            <w:r>
              <w:t>责任部门（管辖单位）</w:t>
            </w:r>
          </w:p>
        </w:tc>
        <w:tc>
          <w:tcPr>
            <w:tcW w:w="312" w:type="pct"/>
            <w:tcBorders>
              <w:top w:val="single" w:color="auto" w:sz="8" w:space="0"/>
              <w:bottom w:val="single" w:color="auto" w:sz="8" w:space="0"/>
            </w:tcBorders>
            <w:shd w:val="clear" w:color="auto" w:fill="auto"/>
            <w:vAlign w:val="center"/>
          </w:tcPr>
          <w:p>
            <w:pPr>
              <w:pStyle w:val="178"/>
            </w:pPr>
            <w: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312" w:type="pct"/>
            <w:tcBorders>
              <w:top w:val="single" w:color="auto" w:sz="8" w:space="0"/>
            </w:tcBorders>
            <w:shd w:val="clear" w:color="auto" w:fill="auto"/>
            <w:vAlign w:val="center"/>
          </w:tcPr>
          <w:p>
            <w:pPr>
              <w:pStyle w:val="178"/>
            </w:pPr>
            <w:r>
              <w:t>1</w:t>
            </w:r>
          </w:p>
        </w:tc>
        <w:tc>
          <w:tcPr>
            <w:tcW w:w="898" w:type="pct"/>
            <w:tcBorders>
              <w:top w:val="single" w:color="auto" w:sz="8" w:space="0"/>
            </w:tcBorders>
            <w:shd w:val="clear" w:color="auto" w:fill="auto"/>
            <w:vAlign w:val="center"/>
          </w:tcPr>
          <w:p>
            <w:pPr>
              <w:pStyle w:val="178"/>
            </w:pPr>
            <w:r>
              <w:rPr>
                <w:rFonts w:hint="eastAsia"/>
              </w:rPr>
              <w:t>垃圾接收、储存</w:t>
            </w:r>
            <w:r>
              <w:t>及投料系统</w:t>
            </w:r>
          </w:p>
        </w:tc>
        <w:tc>
          <w:tcPr>
            <w:tcW w:w="617" w:type="pct"/>
            <w:tcBorders>
              <w:top w:val="single" w:color="auto" w:sz="8" w:space="0"/>
            </w:tcBorders>
            <w:shd w:val="clear" w:color="auto" w:fill="auto"/>
            <w:vAlign w:val="center"/>
          </w:tcPr>
          <w:p>
            <w:pPr>
              <w:pStyle w:val="178"/>
            </w:pPr>
            <w:r>
              <w:t>XX-1</w:t>
            </w:r>
          </w:p>
        </w:tc>
        <w:tc>
          <w:tcPr>
            <w:tcW w:w="1737" w:type="pct"/>
            <w:tcBorders>
              <w:top w:val="single" w:color="auto" w:sz="8" w:space="0"/>
            </w:tcBorders>
            <w:shd w:val="clear" w:color="auto" w:fill="auto"/>
            <w:vAlign w:val="center"/>
          </w:tcPr>
          <w:p>
            <w:pPr>
              <w:pStyle w:val="178"/>
            </w:pPr>
            <w:r>
              <w:t>火灾、</w:t>
            </w:r>
            <w:r>
              <w:rPr>
                <w:rFonts w:hint="eastAsia"/>
              </w:rPr>
              <w:t>车辆伤害</w:t>
            </w:r>
            <w:r>
              <w:t>、机械伤害、</w:t>
            </w:r>
            <w:r>
              <w:rPr>
                <w:rFonts w:hint="eastAsia"/>
              </w:rPr>
              <w:t>臭气</w:t>
            </w:r>
            <w:r>
              <w:t>污染</w:t>
            </w:r>
            <w:r>
              <w:rPr>
                <w:rFonts w:hint="eastAsia"/>
              </w:rPr>
              <w:t>.中毒</w:t>
            </w:r>
            <w:r>
              <w:t>、</w:t>
            </w:r>
            <w:r>
              <w:rPr>
                <w:rFonts w:hint="eastAsia"/>
              </w:rPr>
              <w:t>高处</w:t>
            </w:r>
            <w:r>
              <w:t>坠落</w:t>
            </w:r>
            <w:r>
              <w:rPr>
                <w:rFonts w:hint="eastAsia"/>
              </w:rPr>
              <w:t>、</w:t>
            </w:r>
            <w:r>
              <w:t>爆炸、</w:t>
            </w:r>
            <w:r>
              <w:rPr>
                <w:rFonts w:hint="eastAsia"/>
              </w:rPr>
              <w:t>坍塌、触电</w:t>
            </w:r>
            <w:r>
              <w:t>、其他伤害</w:t>
            </w:r>
          </w:p>
        </w:tc>
        <w:tc>
          <w:tcPr>
            <w:tcW w:w="1124" w:type="pct"/>
            <w:tcBorders>
              <w:top w:val="single" w:color="auto" w:sz="8" w:space="0"/>
            </w:tcBorders>
            <w:shd w:val="clear" w:color="auto" w:fill="auto"/>
            <w:vAlign w:val="center"/>
          </w:tcPr>
          <w:p>
            <w:pPr>
              <w:pStyle w:val="178"/>
            </w:pPr>
            <w:r>
              <w:t>生产部</w:t>
            </w:r>
          </w:p>
        </w:tc>
        <w:tc>
          <w:tcPr>
            <w:tcW w:w="312" w:type="pct"/>
            <w:tcBorders>
              <w:top w:val="single" w:color="auto" w:sz="8" w:space="0"/>
            </w:tcBorders>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312" w:type="pct"/>
            <w:shd w:val="clear" w:color="auto" w:fill="auto"/>
            <w:vAlign w:val="center"/>
          </w:tcPr>
          <w:p>
            <w:pPr>
              <w:pStyle w:val="178"/>
            </w:pPr>
            <w:r>
              <w:t>2</w:t>
            </w:r>
          </w:p>
        </w:tc>
        <w:tc>
          <w:tcPr>
            <w:tcW w:w="898" w:type="pct"/>
            <w:shd w:val="clear" w:color="auto" w:fill="auto"/>
            <w:vAlign w:val="center"/>
          </w:tcPr>
          <w:p>
            <w:pPr>
              <w:pStyle w:val="178"/>
            </w:pPr>
            <w:r>
              <w:t>烧</w:t>
            </w:r>
            <w:r>
              <w:rPr>
                <w:rFonts w:hint="eastAsia"/>
              </w:rPr>
              <w:t>炉</w:t>
            </w:r>
            <w:r>
              <w:t>系统</w:t>
            </w:r>
          </w:p>
        </w:tc>
        <w:tc>
          <w:tcPr>
            <w:tcW w:w="617" w:type="pct"/>
            <w:shd w:val="clear" w:color="auto" w:fill="auto"/>
            <w:vAlign w:val="center"/>
          </w:tcPr>
          <w:p>
            <w:pPr>
              <w:pStyle w:val="178"/>
            </w:pPr>
            <w:r>
              <w:t>XX-2</w:t>
            </w:r>
          </w:p>
        </w:tc>
        <w:tc>
          <w:tcPr>
            <w:tcW w:w="1737" w:type="pct"/>
            <w:shd w:val="clear" w:color="auto" w:fill="auto"/>
            <w:vAlign w:val="center"/>
          </w:tcPr>
          <w:p>
            <w:pPr>
              <w:pStyle w:val="178"/>
            </w:pPr>
            <w:r>
              <w:t>火灾、触电、灼烫、物体打击、中毒和窒息、高处坠落、其他伤害</w:t>
            </w:r>
          </w:p>
        </w:tc>
        <w:tc>
          <w:tcPr>
            <w:tcW w:w="1124" w:type="pct"/>
            <w:shd w:val="clear" w:color="auto" w:fill="auto"/>
            <w:vAlign w:val="center"/>
          </w:tcPr>
          <w:p>
            <w:pPr>
              <w:pStyle w:val="178"/>
            </w:pPr>
            <w:r>
              <w:t>生产部</w:t>
            </w:r>
          </w:p>
        </w:tc>
        <w:tc>
          <w:tcPr>
            <w:tcW w:w="312" w:type="pct"/>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312" w:type="pct"/>
            <w:shd w:val="clear" w:color="auto" w:fill="auto"/>
            <w:vAlign w:val="center"/>
          </w:tcPr>
          <w:p>
            <w:pPr>
              <w:pStyle w:val="178"/>
            </w:pPr>
            <w:r>
              <w:t>3</w:t>
            </w:r>
          </w:p>
        </w:tc>
        <w:tc>
          <w:tcPr>
            <w:tcW w:w="898" w:type="pct"/>
            <w:shd w:val="clear" w:color="auto" w:fill="auto"/>
            <w:vAlign w:val="center"/>
          </w:tcPr>
          <w:p>
            <w:pPr>
              <w:pStyle w:val="178"/>
            </w:pPr>
            <w:r>
              <w:rPr>
                <w:rFonts w:hint="eastAsia"/>
              </w:rPr>
              <w:t>烟气处理</w:t>
            </w:r>
          </w:p>
        </w:tc>
        <w:tc>
          <w:tcPr>
            <w:tcW w:w="617" w:type="pct"/>
            <w:shd w:val="clear" w:color="auto" w:fill="auto"/>
            <w:vAlign w:val="center"/>
          </w:tcPr>
          <w:p>
            <w:pPr>
              <w:pStyle w:val="178"/>
            </w:pPr>
            <w:r>
              <w:t>XX-3</w:t>
            </w:r>
          </w:p>
        </w:tc>
        <w:tc>
          <w:tcPr>
            <w:tcW w:w="1737" w:type="pct"/>
            <w:shd w:val="clear" w:color="auto" w:fill="auto"/>
            <w:vAlign w:val="center"/>
          </w:tcPr>
          <w:p>
            <w:pPr>
              <w:pStyle w:val="178"/>
            </w:pPr>
            <w:r>
              <w:rPr>
                <w:rFonts w:hint="eastAsia"/>
              </w:rPr>
              <w:t>氨水腐蚀</w:t>
            </w:r>
            <w:r>
              <w:t>和灼伤、</w:t>
            </w:r>
            <w:r>
              <w:rPr>
                <w:rFonts w:hint="eastAsia"/>
              </w:rPr>
              <w:t>物体</w:t>
            </w:r>
            <w:r>
              <w:t>打击、高处坠落、</w:t>
            </w:r>
            <w:r>
              <w:rPr>
                <w:rFonts w:hint="eastAsia"/>
              </w:rPr>
              <w:t>粉尘</w:t>
            </w:r>
            <w:r>
              <w:t>、</w:t>
            </w:r>
            <w:r>
              <w:rPr>
                <w:rFonts w:hint="eastAsia"/>
              </w:rPr>
              <w:t>、</w:t>
            </w:r>
            <w:r>
              <w:t>机械伤害</w:t>
            </w:r>
            <w:r>
              <w:rPr>
                <w:rFonts w:hint="eastAsia"/>
              </w:rPr>
              <w:t>、</w:t>
            </w:r>
            <w:r>
              <w:t>其他伤害</w:t>
            </w:r>
          </w:p>
        </w:tc>
        <w:tc>
          <w:tcPr>
            <w:tcW w:w="1124" w:type="pct"/>
            <w:shd w:val="clear" w:color="auto" w:fill="auto"/>
            <w:vAlign w:val="center"/>
          </w:tcPr>
          <w:p>
            <w:pPr>
              <w:pStyle w:val="178"/>
            </w:pPr>
            <w:r>
              <w:rPr>
                <w:rFonts w:hint="eastAsia"/>
              </w:rPr>
              <w:t>生产</w:t>
            </w:r>
            <w:r>
              <w:t>部</w:t>
            </w:r>
          </w:p>
        </w:tc>
        <w:tc>
          <w:tcPr>
            <w:tcW w:w="312" w:type="pct"/>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312" w:type="pct"/>
            <w:shd w:val="clear" w:color="auto" w:fill="auto"/>
            <w:vAlign w:val="center"/>
          </w:tcPr>
          <w:p>
            <w:pPr>
              <w:pStyle w:val="178"/>
            </w:pPr>
            <w:r>
              <w:t>…</w:t>
            </w:r>
          </w:p>
        </w:tc>
        <w:tc>
          <w:tcPr>
            <w:tcW w:w="898" w:type="pct"/>
            <w:shd w:val="clear" w:color="auto" w:fill="auto"/>
            <w:vAlign w:val="center"/>
          </w:tcPr>
          <w:p>
            <w:pPr>
              <w:pStyle w:val="178"/>
            </w:pPr>
            <w:r>
              <w:t>…</w:t>
            </w:r>
          </w:p>
        </w:tc>
        <w:tc>
          <w:tcPr>
            <w:tcW w:w="617" w:type="pct"/>
            <w:shd w:val="clear" w:color="auto" w:fill="auto"/>
            <w:vAlign w:val="center"/>
          </w:tcPr>
          <w:p>
            <w:pPr>
              <w:pStyle w:val="178"/>
            </w:pPr>
            <w:r>
              <w:t>…</w:t>
            </w:r>
          </w:p>
        </w:tc>
        <w:tc>
          <w:tcPr>
            <w:tcW w:w="1737" w:type="pct"/>
            <w:shd w:val="clear" w:color="auto" w:fill="auto"/>
            <w:vAlign w:val="center"/>
          </w:tcPr>
          <w:p>
            <w:pPr>
              <w:pStyle w:val="178"/>
            </w:pPr>
            <w:r>
              <w:t>…</w:t>
            </w:r>
          </w:p>
        </w:tc>
        <w:tc>
          <w:tcPr>
            <w:tcW w:w="1124" w:type="pct"/>
            <w:shd w:val="clear" w:color="auto" w:fill="auto"/>
            <w:vAlign w:val="center"/>
          </w:tcPr>
          <w:p>
            <w:pPr>
              <w:pStyle w:val="178"/>
            </w:pPr>
            <w:r>
              <w:t>…</w:t>
            </w:r>
          </w:p>
        </w:tc>
        <w:tc>
          <w:tcPr>
            <w:tcW w:w="312" w:type="pct"/>
            <w:shd w:val="clear" w:color="auto" w:fill="auto"/>
            <w:vAlign w:val="center"/>
          </w:tcPr>
          <w:p>
            <w:pPr>
              <w:pStyle w:val="178"/>
            </w:pPr>
          </w:p>
        </w:tc>
      </w:tr>
    </w:tbl>
    <w:p>
      <w:pPr>
        <w:pStyle w:val="77"/>
        <w:spacing w:before="240" w:beforeLines="100" w:after="120"/>
        <w:ind w:firstLine="420"/>
      </w:pPr>
      <w:r>
        <w:rPr>
          <w:rFonts w:hint="eastAsia"/>
        </w:rPr>
        <w:t xml:space="preserve"> 风险点登记台账</w:t>
      </w:r>
    </w:p>
    <w:p>
      <w:pPr>
        <w:pStyle w:val="56"/>
        <w:ind w:firstLine="0" w:firstLineChars="0"/>
      </w:pPr>
      <w:r>
        <w:rPr>
          <w:szCs w:val="21"/>
        </w:rPr>
        <w:t>辨识单元：</w:t>
      </w:r>
      <w:r>
        <w:rPr>
          <w:rFonts w:hint="eastAsia"/>
        </w:rPr>
        <w:t>垃圾接收、储存</w:t>
      </w:r>
      <w:r>
        <w:t>及投料系统</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01"/>
        <w:gridCol w:w="1458"/>
        <w:gridCol w:w="1204"/>
        <w:gridCol w:w="996"/>
        <w:gridCol w:w="2173"/>
        <w:gridCol w:w="1170"/>
        <w:gridCol w:w="1170"/>
        <w:gridCol w:w="60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tblHeader/>
          <w:jc w:val="center"/>
        </w:trPr>
        <w:tc>
          <w:tcPr>
            <w:tcW w:w="321" w:type="pct"/>
            <w:tcBorders>
              <w:top w:val="single" w:color="auto" w:sz="8" w:space="0"/>
              <w:bottom w:val="single" w:color="auto" w:sz="8" w:space="0"/>
            </w:tcBorders>
            <w:shd w:val="clear" w:color="auto" w:fill="auto"/>
            <w:vAlign w:val="center"/>
          </w:tcPr>
          <w:p>
            <w:pPr>
              <w:pStyle w:val="178"/>
            </w:pPr>
            <w:r>
              <w:t>序号</w:t>
            </w:r>
          </w:p>
        </w:tc>
        <w:tc>
          <w:tcPr>
            <w:tcW w:w="778" w:type="pct"/>
            <w:tcBorders>
              <w:top w:val="single" w:color="auto" w:sz="8" w:space="0"/>
              <w:bottom w:val="single" w:color="auto" w:sz="8" w:space="0"/>
            </w:tcBorders>
            <w:shd w:val="clear" w:color="auto" w:fill="auto"/>
            <w:vAlign w:val="center"/>
          </w:tcPr>
          <w:p>
            <w:pPr>
              <w:pStyle w:val="178"/>
            </w:pPr>
            <w:r>
              <w:t>风险点名称</w:t>
            </w:r>
          </w:p>
        </w:tc>
        <w:tc>
          <w:tcPr>
            <w:tcW w:w="642" w:type="pct"/>
            <w:tcBorders>
              <w:top w:val="single" w:color="auto" w:sz="8" w:space="0"/>
              <w:bottom w:val="single" w:color="auto" w:sz="8" w:space="0"/>
            </w:tcBorders>
            <w:shd w:val="clear" w:color="auto" w:fill="auto"/>
            <w:vAlign w:val="center"/>
          </w:tcPr>
          <w:p>
            <w:pPr>
              <w:pStyle w:val="178"/>
            </w:pPr>
            <w:r>
              <w:t>编号</w:t>
            </w:r>
          </w:p>
        </w:tc>
        <w:tc>
          <w:tcPr>
            <w:tcW w:w="531" w:type="pct"/>
            <w:tcBorders>
              <w:top w:val="single" w:color="auto" w:sz="8" w:space="0"/>
              <w:bottom w:val="single" w:color="auto" w:sz="8" w:space="0"/>
            </w:tcBorders>
            <w:shd w:val="clear" w:color="auto" w:fill="auto"/>
            <w:vAlign w:val="center"/>
          </w:tcPr>
          <w:p>
            <w:pPr>
              <w:pStyle w:val="178"/>
            </w:pPr>
            <w:r>
              <w:t>类型</w:t>
            </w:r>
          </w:p>
        </w:tc>
        <w:tc>
          <w:tcPr>
            <w:tcW w:w="1159" w:type="pct"/>
            <w:tcBorders>
              <w:top w:val="single" w:color="auto" w:sz="8" w:space="0"/>
              <w:bottom w:val="single" w:color="auto" w:sz="8" w:space="0"/>
            </w:tcBorders>
            <w:vAlign w:val="center"/>
          </w:tcPr>
          <w:p>
            <w:pPr>
              <w:pStyle w:val="178"/>
            </w:pPr>
            <w:r>
              <w:t>可能导致的主要事故类型</w:t>
            </w:r>
          </w:p>
        </w:tc>
        <w:tc>
          <w:tcPr>
            <w:tcW w:w="624" w:type="pct"/>
            <w:tcBorders>
              <w:top w:val="single" w:color="auto" w:sz="8" w:space="0"/>
              <w:bottom w:val="single" w:color="auto" w:sz="8" w:space="0"/>
            </w:tcBorders>
            <w:shd w:val="clear" w:color="auto" w:fill="auto"/>
            <w:vAlign w:val="center"/>
          </w:tcPr>
          <w:p>
            <w:pPr>
              <w:pStyle w:val="178"/>
            </w:pPr>
            <w:r>
              <w:t>区域位置</w:t>
            </w:r>
          </w:p>
        </w:tc>
        <w:tc>
          <w:tcPr>
            <w:tcW w:w="624" w:type="pct"/>
            <w:tcBorders>
              <w:top w:val="single" w:color="auto" w:sz="8" w:space="0"/>
              <w:bottom w:val="single" w:color="auto" w:sz="8" w:space="0"/>
            </w:tcBorders>
            <w:vAlign w:val="center"/>
          </w:tcPr>
          <w:p>
            <w:pPr>
              <w:pStyle w:val="178"/>
            </w:pPr>
            <w:r>
              <w:t>管辖部门</w:t>
            </w:r>
          </w:p>
        </w:tc>
        <w:tc>
          <w:tcPr>
            <w:tcW w:w="321" w:type="pct"/>
            <w:tcBorders>
              <w:top w:val="single" w:color="auto" w:sz="8" w:space="0"/>
              <w:bottom w:val="single" w:color="auto" w:sz="8" w:space="0"/>
            </w:tcBorders>
            <w:shd w:val="clear" w:color="auto" w:fill="auto"/>
            <w:vAlign w:val="center"/>
          </w:tcPr>
          <w:p>
            <w:pPr>
              <w:pStyle w:val="178"/>
            </w:pPr>
            <w: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321" w:type="pct"/>
            <w:tcBorders>
              <w:top w:val="single" w:color="auto" w:sz="8" w:space="0"/>
            </w:tcBorders>
            <w:shd w:val="clear" w:color="auto" w:fill="auto"/>
            <w:vAlign w:val="center"/>
          </w:tcPr>
          <w:p>
            <w:pPr>
              <w:pStyle w:val="178"/>
            </w:pPr>
            <w:r>
              <w:t>1</w:t>
            </w:r>
          </w:p>
        </w:tc>
        <w:tc>
          <w:tcPr>
            <w:tcW w:w="778" w:type="pct"/>
            <w:tcBorders>
              <w:top w:val="single" w:color="auto" w:sz="8" w:space="0"/>
            </w:tcBorders>
            <w:shd w:val="clear" w:color="auto" w:fill="auto"/>
            <w:vAlign w:val="center"/>
          </w:tcPr>
          <w:p>
            <w:pPr>
              <w:pStyle w:val="178"/>
            </w:pPr>
            <w:r>
              <w:rPr>
                <w:rFonts w:hint="eastAsia" w:hAnsi="宋体"/>
                <w:szCs w:val="18"/>
              </w:rPr>
              <w:t>垃圾</w:t>
            </w:r>
            <w:r>
              <w:rPr>
                <w:rFonts w:hAnsi="宋体"/>
                <w:szCs w:val="18"/>
              </w:rPr>
              <w:t>运输作业</w:t>
            </w:r>
          </w:p>
        </w:tc>
        <w:tc>
          <w:tcPr>
            <w:tcW w:w="642" w:type="pct"/>
            <w:tcBorders>
              <w:top w:val="single" w:color="auto" w:sz="8" w:space="0"/>
            </w:tcBorders>
            <w:shd w:val="clear" w:color="auto" w:fill="auto"/>
            <w:vAlign w:val="center"/>
          </w:tcPr>
          <w:p>
            <w:pPr>
              <w:pStyle w:val="178"/>
            </w:pPr>
            <w:r>
              <w:t>XX1-ZY1</w:t>
            </w:r>
          </w:p>
        </w:tc>
        <w:tc>
          <w:tcPr>
            <w:tcW w:w="531" w:type="pct"/>
            <w:tcBorders>
              <w:top w:val="single" w:color="auto" w:sz="8" w:space="0"/>
            </w:tcBorders>
            <w:shd w:val="clear" w:color="auto" w:fill="auto"/>
            <w:vAlign w:val="center"/>
          </w:tcPr>
          <w:p>
            <w:pPr>
              <w:pStyle w:val="178"/>
            </w:pPr>
            <w:r>
              <w:t>作业类</w:t>
            </w:r>
          </w:p>
        </w:tc>
        <w:tc>
          <w:tcPr>
            <w:tcW w:w="1159" w:type="pct"/>
            <w:tcBorders>
              <w:top w:val="single" w:color="auto" w:sz="8" w:space="0"/>
            </w:tcBorders>
            <w:vAlign w:val="center"/>
          </w:tcPr>
          <w:p>
            <w:pPr>
              <w:pStyle w:val="178"/>
            </w:pPr>
            <w:r>
              <w:t>火灾、</w:t>
            </w:r>
            <w:r>
              <w:rPr>
                <w:rFonts w:hint="eastAsia"/>
              </w:rPr>
              <w:t>车辆伤害</w:t>
            </w:r>
            <w:r>
              <w:t>、</w:t>
            </w:r>
            <w:r>
              <w:rPr>
                <w:rFonts w:hint="eastAsia"/>
              </w:rPr>
              <w:t>臭气</w:t>
            </w:r>
            <w:r>
              <w:t>污染</w:t>
            </w:r>
            <w:r>
              <w:rPr>
                <w:rFonts w:hint="eastAsia"/>
              </w:rPr>
              <w:t>、中毒</w:t>
            </w:r>
            <w:r>
              <w:t>、其他伤害</w:t>
            </w:r>
          </w:p>
        </w:tc>
        <w:tc>
          <w:tcPr>
            <w:tcW w:w="624" w:type="pct"/>
            <w:tcBorders>
              <w:top w:val="single" w:color="auto" w:sz="8" w:space="0"/>
            </w:tcBorders>
            <w:shd w:val="clear" w:color="auto" w:fill="auto"/>
            <w:vAlign w:val="center"/>
          </w:tcPr>
          <w:p>
            <w:pPr>
              <w:pStyle w:val="178"/>
            </w:pPr>
            <w:r>
              <w:rPr>
                <w:rFonts w:hint="eastAsia"/>
              </w:rPr>
              <w:t>垃圾接收、储存</w:t>
            </w:r>
            <w:r>
              <w:t>及投料</w:t>
            </w:r>
            <w:r>
              <w:rPr>
                <w:rFonts w:hint="eastAsia"/>
              </w:rPr>
              <w:t>区</w:t>
            </w:r>
          </w:p>
        </w:tc>
        <w:tc>
          <w:tcPr>
            <w:tcW w:w="624" w:type="pct"/>
            <w:tcBorders>
              <w:top w:val="single" w:color="auto" w:sz="8" w:space="0"/>
            </w:tcBorders>
            <w:vAlign w:val="center"/>
          </w:tcPr>
          <w:p>
            <w:pPr>
              <w:pStyle w:val="178"/>
            </w:pPr>
            <w:r>
              <w:rPr>
                <w:rFonts w:hint="eastAsia"/>
              </w:rPr>
              <w:t>垃圾接收、储存</w:t>
            </w:r>
            <w:r>
              <w:t>及投料车间</w:t>
            </w:r>
          </w:p>
        </w:tc>
        <w:tc>
          <w:tcPr>
            <w:tcW w:w="321" w:type="pct"/>
            <w:tcBorders>
              <w:top w:val="single" w:color="auto" w:sz="8" w:space="0"/>
            </w:tcBorders>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321" w:type="pct"/>
            <w:shd w:val="clear" w:color="auto" w:fill="auto"/>
            <w:vAlign w:val="center"/>
          </w:tcPr>
          <w:p>
            <w:pPr>
              <w:pStyle w:val="178"/>
            </w:pPr>
            <w:r>
              <w:t>2</w:t>
            </w:r>
          </w:p>
        </w:tc>
        <w:tc>
          <w:tcPr>
            <w:tcW w:w="778" w:type="pct"/>
            <w:shd w:val="clear" w:color="auto" w:fill="auto"/>
            <w:vAlign w:val="center"/>
          </w:tcPr>
          <w:p>
            <w:pPr>
              <w:pStyle w:val="178"/>
            </w:pPr>
            <w:r>
              <w:rPr>
                <w:rFonts w:hint="eastAsia" w:hAnsi="宋体"/>
                <w:szCs w:val="18"/>
              </w:rPr>
              <w:t>设备</w:t>
            </w:r>
            <w:r>
              <w:rPr>
                <w:rFonts w:hAnsi="宋体"/>
                <w:szCs w:val="18"/>
              </w:rPr>
              <w:t>巡检</w:t>
            </w:r>
          </w:p>
        </w:tc>
        <w:tc>
          <w:tcPr>
            <w:tcW w:w="642" w:type="pct"/>
            <w:shd w:val="clear" w:color="auto" w:fill="auto"/>
            <w:vAlign w:val="center"/>
          </w:tcPr>
          <w:p>
            <w:pPr>
              <w:pStyle w:val="178"/>
            </w:pPr>
            <w:r>
              <w:t>XX1-ZY2</w:t>
            </w:r>
          </w:p>
        </w:tc>
        <w:tc>
          <w:tcPr>
            <w:tcW w:w="531" w:type="pct"/>
            <w:shd w:val="clear" w:color="auto" w:fill="auto"/>
            <w:vAlign w:val="center"/>
          </w:tcPr>
          <w:p>
            <w:pPr>
              <w:pStyle w:val="178"/>
            </w:pPr>
            <w:r>
              <w:t>巡检类</w:t>
            </w:r>
          </w:p>
        </w:tc>
        <w:tc>
          <w:tcPr>
            <w:tcW w:w="1159" w:type="pct"/>
            <w:vAlign w:val="center"/>
          </w:tcPr>
          <w:p>
            <w:pPr>
              <w:pStyle w:val="178"/>
            </w:pPr>
            <w:r>
              <w:rPr>
                <w:rFonts w:hint="eastAsia"/>
              </w:rPr>
              <w:t>机械</w:t>
            </w:r>
            <w:r>
              <w:t>伤害、触电、其他伤害</w:t>
            </w:r>
          </w:p>
        </w:tc>
        <w:tc>
          <w:tcPr>
            <w:tcW w:w="624" w:type="pct"/>
            <w:shd w:val="clear" w:color="auto" w:fill="auto"/>
            <w:vAlign w:val="center"/>
          </w:tcPr>
          <w:p>
            <w:pPr>
              <w:pStyle w:val="178"/>
            </w:pPr>
            <w:r>
              <w:rPr>
                <w:rFonts w:hint="eastAsia"/>
              </w:rPr>
              <w:t>垃圾接收、储存</w:t>
            </w:r>
            <w:r>
              <w:t>及投料</w:t>
            </w:r>
            <w:r>
              <w:rPr>
                <w:rFonts w:hint="eastAsia"/>
              </w:rPr>
              <w:t>区</w:t>
            </w:r>
          </w:p>
        </w:tc>
        <w:tc>
          <w:tcPr>
            <w:tcW w:w="624" w:type="pct"/>
            <w:vAlign w:val="center"/>
          </w:tcPr>
          <w:p>
            <w:pPr>
              <w:pStyle w:val="178"/>
            </w:pPr>
            <w:r>
              <w:rPr>
                <w:rFonts w:hint="eastAsia"/>
              </w:rPr>
              <w:t>垃圾接收、储存</w:t>
            </w:r>
            <w:r>
              <w:t>及投料车间</w:t>
            </w:r>
          </w:p>
        </w:tc>
        <w:tc>
          <w:tcPr>
            <w:tcW w:w="321" w:type="pct"/>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321" w:type="pct"/>
            <w:shd w:val="clear" w:color="auto" w:fill="auto"/>
            <w:vAlign w:val="center"/>
          </w:tcPr>
          <w:p>
            <w:pPr>
              <w:pStyle w:val="178"/>
            </w:pPr>
            <w:r>
              <w:t>3</w:t>
            </w:r>
          </w:p>
        </w:tc>
        <w:tc>
          <w:tcPr>
            <w:tcW w:w="778" w:type="pct"/>
            <w:shd w:val="clear" w:color="auto" w:fill="auto"/>
            <w:vAlign w:val="center"/>
          </w:tcPr>
          <w:p>
            <w:pPr>
              <w:pStyle w:val="178"/>
            </w:pPr>
            <w:r>
              <w:rPr>
                <w:rFonts w:hint="eastAsia" w:hAnsi="宋体"/>
                <w:szCs w:val="18"/>
              </w:rPr>
              <w:t>渗滤液收集</w:t>
            </w:r>
            <w:r>
              <w:rPr>
                <w:rFonts w:hAnsi="宋体"/>
                <w:szCs w:val="18"/>
              </w:rPr>
              <w:t>池维修</w:t>
            </w:r>
          </w:p>
        </w:tc>
        <w:tc>
          <w:tcPr>
            <w:tcW w:w="642" w:type="pct"/>
            <w:shd w:val="clear" w:color="auto" w:fill="auto"/>
            <w:vAlign w:val="center"/>
          </w:tcPr>
          <w:p>
            <w:pPr>
              <w:pStyle w:val="178"/>
            </w:pPr>
            <w:r>
              <w:t>XX1-ZY3</w:t>
            </w:r>
          </w:p>
        </w:tc>
        <w:tc>
          <w:tcPr>
            <w:tcW w:w="531" w:type="pct"/>
            <w:shd w:val="clear" w:color="auto" w:fill="auto"/>
            <w:vAlign w:val="center"/>
          </w:tcPr>
          <w:p>
            <w:pPr>
              <w:pStyle w:val="178"/>
            </w:pPr>
            <w:r>
              <w:t>维修类</w:t>
            </w:r>
          </w:p>
        </w:tc>
        <w:tc>
          <w:tcPr>
            <w:tcW w:w="1159" w:type="pct"/>
            <w:vAlign w:val="center"/>
          </w:tcPr>
          <w:p>
            <w:pPr>
              <w:pStyle w:val="178"/>
            </w:pPr>
            <w:r>
              <w:t>中毒</w:t>
            </w:r>
            <w:r>
              <w:rPr>
                <w:rFonts w:hint="eastAsia"/>
              </w:rPr>
              <w:t>、</w:t>
            </w:r>
            <w:r>
              <w:t>爆炸</w:t>
            </w:r>
            <w:r>
              <w:rPr>
                <w:rFonts w:hint="eastAsia"/>
              </w:rPr>
              <w:t>、</w:t>
            </w:r>
            <w:r>
              <w:t>火灾、其他伤害</w:t>
            </w:r>
          </w:p>
        </w:tc>
        <w:tc>
          <w:tcPr>
            <w:tcW w:w="624" w:type="pct"/>
            <w:shd w:val="clear" w:color="auto" w:fill="auto"/>
            <w:vAlign w:val="center"/>
          </w:tcPr>
          <w:p>
            <w:pPr>
              <w:pStyle w:val="178"/>
            </w:pPr>
            <w:r>
              <w:rPr>
                <w:rFonts w:hint="eastAsia" w:hAnsi="宋体"/>
                <w:szCs w:val="18"/>
              </w:rPr>
              <w:t>渗滤液收集</w:t>
            </w:r>
            <w:r>
              <w:rPr>
                <w:rFonts w:hAnsi="宋体"/>
                <w:szCs w:val="18"/>
              </w:rPr>
              <w:t>池</w:t>
            </w:r>
          </w:p>
        </w:tc>
        <w:tc>
          <w:tcPr>
            <w:tcW w:w="624" w:type="pct"/>
            <w:vAlign w:val="center"/>
          </w:tcPr>
          <w:p>
            <w:pPr>
              <w:pStyle w:val="178"/>
            </w:pPr>
            <w:r>
              <w:rPr>
                <w:rFonts w:hint="eastAsia"/>
              </w:rPr>
              <w:t>垃圾接收、储存</w:t>
            </w:r>
            <w:r>
              <w:t>及投料车间</w:t>
            </w:r>
          </w:p>
        </w:tc>
        <w:tc>
          <w:tcPr>
            <w:tcW w:w="321" w:type="pct"/>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321" w:type="pct"/>
            <w:shd w:val="clear" w:color="auto" w:fill="auto"/>
            <w:vAlign w:val="center"/>
          </w:tcPr>
          <w:p>
            <w:pPr>
              <w:pStyle w:val="178"/>
            </w:pPr>
            <w:r>
              <w:t>…</w:t>
            </w:r>
          </w:p>
        </w:tc>
        <w:tc>
          <w:tcPr>
            <w:tcW w:w="778" w:type="pct"/>
            <w:shd w:val="clear" w:color="auto" w:fill="auto"/>
            <w:vAlign w:val="center"/>
          </w:tcPr>
          <w:p>
            <w:pPr>
              <w:pStyle w:val="178"/>
            </w:pPr>
            <w:r>
              <w:t>…</w:t>
            </w:r>
          </w:p>
        </w:tc>
        <w:tc>
          <w:tcPr>
            <w:tcW w:w="642" w:type="pct"/>
            <w:shd w:val="clear" w:color="auto" w:fill="auto"/>
            <w:vAlign w:val="center"/>
          </w:tcPr>
          <w:p>
            <w:pPr>
              <w:pStyle w:val="178"/>
            </w:pPr>
            <w:r>
              <w:t>…</w:t>
            </w:r>
          </w:p>
        </w:tc>
        <w:tc>
          <w:tcPr>
            <w:tcW w:w="531" w:type="pct"/>
            <w:shd w:val="clear" w:color="auto" w:fill="auto"/>
            <w:vAlign w:val="center"/>
          </w:tcPr>
          <w:p>
            <w:pPr>
              <w:pStyle w:val="178"/>
            </w:pPr>
            <w:r>
              <w:t>…</w:t>
            </w:r>
          </w:p>
        </w:tc>
        <w:tc>
          <w:tcPr>
            <w:tcW w:w="1159" w:type="pct"/>
            <w:vAlign w:val="center"/>
          </w:tcPr>
          <w:p>
            <w:pPr>
              <w:pStyle w:val="178"/>
            </w:pPr>
            <w:r>
              <w:t>…</w:t>
            </w:r>
          </w:p>
        </w:tc>
        <w:tc>
          <w:tcPr>
            <w:tcW w:w="624" w:type="pct"/>
            <w:shd w:val="clear" w:color="auto" w:fill="auto"/>
            <w:vAlign w:val="center"/>
          </w:tcPr>
          <w:p>
            <w:pPr>
              <w:pStyle w:val="178"/>
            </w:pPr>
            <w:r>
              <w:t>…</w:t>
            </w:r>
          </w:p>
        </w:tc>
        <w:tc>
          <w:tcPr>
            <w:tcW w:w="624" w:type="pct"/>
            <w:vAlign w:val="center"/>
          </w:tcPr>
          <w:p>
            <w:pPr>
              <w:pStyle w:val="178"/>
            </w:pPr>
            <w:r>
              <w:t>…</w:t>
            </w:r>
          </w:p>
        </w:tc>
        <w:tc>
          <w:tcPr>
            <w:tcW w:w="321" w:type="pct"/>
            <w:shd w:val="clear" w:color="auto" w:fill="auto"/>
            <w:vAlign w:val="center"/>
          </w:tcPr>
          <w:p>
            <w:pPr>
              <w:pStyle w:val="178"/>
            </w:pPr>
            <w: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5000" w:type="pct"/>
            <w:gridSpan w:val="8"/>
            <w:shd w:val="clear" w:color="auto" w:fill="auto"/>
            <w:vAlign w:val="center"/>
          </w:tcPr>
          <w:p>
            <w:pPr>
              <w:pStyle w:val="179"/>
            </w:pPr>
            <w:r>
              <w:t>类型分为作业活动类、设备设施类</w:t>
            </w:r>
          </w:p>
        </w:tc>
      </w:tr>
    </w:tbl>
    <w:p>
      <w:pPr>
        <w:pStyle w:val="56"/>
        <w:ind w:firstLine="420"/>
      </w:pPr>
    </w:p>
    <w:p>
      <w:pPr>
        <w:pStyle w:val="77"/>
        <w:spacing w:before="120" w:after="120"/>
        <w:ind w:firstLine="420"/>
      </w:pPr>
      <w:r>
        <w:rPr>
          <w:rFonts w:hint="eastAsia"/>
        </w:rPr>
        <w:t xml:space="preserve"> 设施设备清单</w:t>
      </w:r>
    </w:p>
    <w:p>
      <w:pPr>
        <w:pStyle w:val="56"/>
        <w:ind w:firstLine="0" w:firstLineChars="0"/>
      </w:pPr>
      <w:r>
        <w:t>辨识单元：</w:t>
      </w:r>
      <w:r>
        <w:rPr>
          <w:rFonts w:hint="eastAsia"/>
        </w:rPr>
        <w:t>脱酸反应</w:t>
      </w:r>
      <w:r>
        <w:t>车间</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01"/>
        <w:gridCol w:w="1458"/>
        <w:gridCol w:w="1204"/>
        <w:gridCol w:w="996"/>
        <w:gridCol w:w="2173"/>
        <w:gridCol w:w="1170"/>
        <w:gridCol w:w="1170"/>
        <w:gridCol w:w="60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tblHeader/>
          <w:jc w:val="center"/>
        </w:trPr>
        <w:tc>
          <w:tcPr>
            <w:tcW w:w="321" w:type="pct"/>
            <w:tcBorders>
              <w:top w:val="single" w:color="auto" w:sz="8" w:space="0"/>
              <w:bottom w:val="single" w:color="auto" w:sz="8" w:space="0"/>
            </w:tcBorders>
            <w:shd w:val="clear" w:color="auto" w:fill="auto"/>
            <w:vAlign w:val="center"/>
          </w:tcPr>
          <w:p>
            <w:pPr>
              <w:pStyle w:val="178"/>
            </w:pPr>
            <w:r>
              <w:t>编号</w:t>
            </w:r>
          </w:p>
        </w:tc>
        <w:tc>
          <w:tcPr>
            <w:tcW w:w="778" w:type="pct"/>
            <w:tcBorders>
              <w:top w:val="single" w:color="auto" w:sz="8" w:space="0"/>
              <w:bottom w:val="single" w:color="auto" w:sz="8" w:space="0"/>
            </w:tcBorders>
            <w:shd w:val="clear" w:color="auto" w:fill="auto"/>
            <w:vAlign w:val="center"/>
          </w:tcPr>
          <w:p>
            <w:pPr>
              <w:pStyle w:val="178"/>
            </w:pPr>
            <w:r>
              <w:t>设备设施名称</w:t>
            </w:r>
          </w:p>
        </w:tc>
        <w:tc>
          <w:tcPr>
            <w:tcW w:w="642" w:type="pct"/>
            <w:tcBorders>
              <w:top w:val="single" w:color="auto" w:sz="8" w:space="0"/>
              <w:bottom w:val="single" w:color="auto" w:sz="8" w:space="0"/>
            </w:tcBorders>
            <w:shd w:val="clear" w:color="auto" w:fill="auto"/>
            <w:vAlign w:val="center"/>
          </w:tcPr>
          <w:p>
            <w:pPr>
              <w:pStyle w:val="178"/>
            </w:pPr>
            <w:r>
              <w:t>设备设施类型</w:t>
            </w:r>
          </w:p>
        </w:tc>
        <w:tc>
          <w:tcPr>
            <w:tcW w:w="531" w:type="pct"/>
            <w:tcBorders>
              <w:top w:val="single" w:color="auto" w:sz="8" w:space="0"/>
              <w:bottom w:val="single" w:color="auto" w:sz="8" w:space="0"/>
            </w:tcBorders>
            <w:shd w:val="clear" w:color="auto" w:fill="auto"/>
            <w:vAlign w:val="center"/>
          </w:tcPr>
          <w:p>
            <w:pPr>
              <w:pStyle w:val="178"/>
            </w:pPr>
            <w:r>
              <w:t>数量</w:t>
            </w:r>
          </w:p>
        </w:tc>
        <w:tc>
          <w:tcPr>
            <w:tcW w:w="1159" w:type="pct"/>
            <w:tcBorders>
              <w:top w:val="single" w:color="auto" w:sz="8" w:space="0"/>
              <w:bottom w:val="single" w:color="auto" w:sz="8" w:space="0"/>
            </w:tcBorders>
            <w:vAlign w:val="center"/>
          </w:tcPr>
          <w:p>
            <w:pPr>
              <w:pStyle w:val="178"/>
            </w:pPr>
            <w:r>
              <w:t>区域/位置</w:t>
            </w:r>
          </w:p>
        </w:tc>
        <w:tc>
          <w:tcPr>
            <w:tcW w:w="624" w:type="pct"/>
            <w:tcBorders>
              <w:top w:val="single" w:color="auto" w:sz="8" w:space="0"/>
              <w:bottom w:val="single" w:color="auto" w:sz="8" w:space="0"/>
            </w:tcBorders>
            <w:shd w:val="clear" w:color="auto" w:fill="auto"/>
            <w:vAlign w:val="center"/>
          </w:tcPr>
          <w:p>
            <w:pPr>
              <w:pStyle w:val="178"/>
            </w:pPr>
            <w:r>
              <w:t>管辖部门</w:t>
            </w:r>
          </w:p>
        </w:tc>
        <w:tc>
          <w:tcPr>
            <w:tcW w:w="624" w:type="pct"/>
            <w:tcBorders>
              <w:top w:val="single" w:color="auto" w:sz="8" w:space="0"/>
              <w:bottom w:val="single" w:color="auto" w:sz="8" w:space="0"/>
            </w:tcBorders>
            <w:vAlign w:val="center"/>
          </w:tcPr>
          <w:p>
            <w:pPr>
              <w:pStyle w:val="178"/>
            </w:pPr>
            <w:r>
              <w:t>是否特种设备</w:t>
            </w:r>
          </w:p>
        </w:tc>
        <w:tc>
          <w:tcPr>
            <w:tcW w:w="320" w:type="pct"/>
            <w:tcBorders>
              <w:top w:val="single" w:color="auto" w:sz="8" w:space="0"/>
              <w:bottom w:val="single" w:color="auto" w:sz="8" w:space="0"/>
            </w:tcBorders>
            <w:shd w:val="clear" w:color="auto" w:fill="auto"/>
            <w:vAlign w:val="center"/>
          </w:tcPr>
          <w:p>
            <w:pPr>
              <w:pStyle w:val="178"/>
            </w:pPr>
            <w: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321" w:type="pct"/>
            <w:tcBorders>
              <w:top w:val="single" w:color="auto" w:sz="8" w:space="0"/>
            </w:tcBorders>
            <w:shd w:val="clear" w:color="auto" w:fill="auto"/>
            <w:vAlign w:val="center"/>
          </w:tcPr>
          <w:p>
            <w:pPr>
              <w:pStyle w:val="178"/>
            </w:pPr>
            <w:r>
              <w:t>1</w:t>
            </w:r>
          </w:p>
        </w:tc>
        <w:tc>
          <w:tcPr>
            <w:tcW w:w="778" w:type="pct"/>
            <w:tcBorders>
              <w:top w:val="single" w:color="auto" w:sz="8" w:space="0"/>
            </w:tcBorders>
            <w:shd w:val="clear" w:color="auto" w:fill="auto"/>
            <w:vAlign w:val="center"/>
          </w:tcPr>
          <w:p>
            <w:pPr>
              <w:pStyle w:val="178"/>
            </w:pPr>
            <w:r>
              <w:rPr>
                <w:rFonts w:hint="eastAsia"/>
              </w:rPr>
              <w:t>脱酸反应塔</w:t>
            </w:r>
          </w:p>
        </w:tc>
        <w:tc>
          <w:tcPr>
            <w:tcW w:w="642" w:type="pct"/>
            <w:tcBorders>
              <w:top w:val="single" w:color="auto" w:sz="8" w:space="0"/>
            </w:tcBorders>
            <w:shd w:val="clear" w:color="auto" w:fill="auto"/>
            <w:vAlign w:val="center"/>
          </w:tcPr>
          <w:p>
            <w:pPr>
              <w:pStyle w:val="178"/>
            </w:pPr>
            <w:r>
              <w:rPr>
                <w:rFonts w:hint="eastAsia"/>
              </w:rPr>
              <w:t>烟气处理</w:t>
            </w:r>
            <w:r>
              <w:t>设备</w:t>
            </w:r>
          </w:p>
        </w:tc>
        <w:tc>
          <w:tcPr>
            <w:tcW w:w="531" w:type="pct"/>
            <w:tcBorders>
              <w:top w:val="single" w:color="auto" w:sz="8" w:space="0"/>
            </w:tcBorders>
            <w:shd w:val="clear" w:color="auto" w:fill="auto"/>
            <w:vAlign w:val="center"/>
          </w:tcPr>
          <w:p>
            <w:pPr>
              <w:pStyle w:val="178"/>
            </w:pPr>
            <w:r>
              <w:t>2</w:t>
            </w:r>
          </w:p>
        </w:tc>
        <w:tc>
          <w:tcPr>
            <w:tcW w:w="1159" w:type="pct"/>
            <w:tcBorders>
              <w:top w:val="single" w:color="auto" w:sz="8" w:space="0"/>
            </w:tcBorders>
            <w:vAlign w:val="center"/>
          </w:tcPr>
          <w:p>
            <w:pPr>
              <w:pStyle w:val="178"/>
            </w:pPr>
            <w:r>
              <w:rPr>
                <w:rFonts w:hint="eastAsia"/>
              </w:rPr>
              <w:t>脱酸反应</w:t>
            </w:r>
            <w:r>
              <w:t>车间</w:t>
            </w:r>
          </w:p>
        </w:tc>
        <w:tc>
          <w:tcPr>
            <w:tcW w:w="624" w:type="pct"/>
            <w:tcBorders>
              <w:top w:val="single" w:color="auto" w:sz="8" w:space="0"/>
            </w:tcBorders>
            <w:shd w:val="clear" w:color="auto" w:fill="auto"/>
            <w:vAlign w:val="center"/>
          </w:tcPr>
          <w:p>
            <w:pPr>
              <w:pStyle w:val="178"/>
            </w:pPr>
            <w:r>
              <w:rPr>
                <w:rFonts w:hint="eastAsia"/>
              </w:rPr>
              <w:t>脱酸反应</w:t>
            </w:r>
            <w:r>
              <w:t>车间</w:t>
            </w:r>
          </w:p>
        </w:tc>
        <w:tc>
          <w:tcPr>
            <w:tcW w:w="624" w:type="pct"/>
            <w:tcBorders>
              <w:top w:val="single" w:color="auto" w:sz="8" w:space="0"/>
            </w:tcBorders>
            <w:vAlign w:val="center"/>
          </w:tcPr>
          <w:p>
            <w:pPr>
              <w:pStyle w:val="178"/>
            </w:pPr>
            <w:r>
              <w:t>否</w:t>
            </w:r>
          </w:p>
        </w:tc>
        <w:tc>
          <w:tcPr>
            <w:tcW w:w="320" w:type="pct"/>
            <w:tcBorders>
              <w:top w:val="single" w:color="auto" w:sz="8" w:space="0"/>
            </w:tcBorders>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321" w:type="pct"/>
            <w:tcBorders>
              <w:bottom w:val="single" w:color="auto" w:sz="8" w:space="0"/>
            </w:tcBorders>
            <w:shd w:val="clear" w:color="auto" w:fill="auto"/>
            <w:vAlign w:val="center"/>
          </w:tcPr>
          <w:p>
            <w:pPr>
              <w:pStyle w:val="178"/>
            </w:pPr>
            <w:r>
              <w:t>…</w:t>
            </w:r>
            <w:r>
              <w:rPr>
                <w:vertAlign w:val="superscript"/>
              </w:rPr>
              <w:t>a</w:t>
            </w:r>
          </w:p>
        </w:tc>
        <w:tc>
          <w:tcPr>
            <w:tcW w:w="778" w:type="pct"/>
            <w:tcBorders>
              <w:bottom w:val="single" w:color="auto" w:sz="8" w:space="0"/>
            </w:tcBorders>
            <w:shd w:val="clear" w:color="auto" w:fill="auto"/>
            <w:vAlign w:val="center"/>
          </w:tcPr>
          <w:p>
            <w:pPr>
              <w:pStyle w:val="178"/>
            </w:pPr>
            <w:r>
              <w:t>…</w:t>
            </w:r>
          </w:p>
        </w:tc>
        <w:tc>
          <w:tcPr>
            <w:tcW w:w="642" w:type="pct"/>
            <w:tcBorders>
              <w:bottom w:val="single" w:color="auto" w:sz="8" w:space="0"/>
            </w:tcBorders>
            <w:shd w:val="clear" w:color="auto" w:fill="auto"/>
            <w:vAlign w:val="center"/>
          </w:tcPr>
          <w:p>
            <w:pPr>
              <w:pStyle w:val="178"/>
            </w:pPr>
            <w:r>
              <w:t>…</w:t>
            </w:r>
          </w:p>
        </w:tc>
        <w:tc>
          <w:tcPr>
            <w:tcW w:w="531" w:type="pct"/>
            <w:tcBorders>
              <w:bottom w:val="single" w:color="auto" w:sz="8" w:space="0"/>
            </w:tcBorders>
            <w:shd w:val="clear" w:color="auto" w:fill="auto"/>
            <w:vAlign w:val="center"/>
          </w:tcPr>
          <w:p>
            <w:pPr>
              <w:pStyle w:val="178"/>
            </w:pPr>
            <w:r>
              <w:t>…</w:t>
            </w:r>
          </w:p>
        </w:tc>
        <w:tc>
          <w:tcPr>
            <w:tcW w:w="1159" w:type="pct"/>
            <w:tcBorders>
              <w:bottom w:val="single" w:color="auto" w:sz="8" w:space="0"/>
            </w:tcBorders>
            <w:vAlign w:val="center"/>
          </w:tcPr>
          <w:p>
            <w:pPr>
              <w:pStyle w:val="178"/>
            </w:pPr>
            <w:r>
              <w:t>…</w:t>
            </w:r>
          </w:p>
        </w:tc>
        <w:tc>
          <w:tcPr>
            <w:tcW w:w="624" w:type="pct"/>
            <w:tcBorders>
              <w:bottom w:val="single" w:color="auto" w:sz="8" w:space="0"/>
            </w:tcBorders>
            <w:shd w:val="clear" w:color="auto" w:fill="auto"/>
            <w:vAlign w:val="center"/>
          </w:tcPr>
          <w:p>
            <w:pPr>
              <w:pStyle w:val="178"/>
            </w:pPr>
            <w:r>
              <w:t>…</w:t>
            </w:r>
          </w:p>
        </w:tc>
        <w:tc>
          <w:tcPr>
            <w:tcW w:w="624" w:type="pct"/>
            <w:tcBorders>
              <w:bottom w:val="single" w:color="auto" w:sz="8" w:space="0"/>
            </w:tcBorders>
            <w:vAlign w:val="center"/>
          </w:tcPr>
          <w:p>
            <w:pPr>
              <w:pStyle w:val="178"/>
            </w:pPr>
            <w:r>
              <w:t>…</w:t>
            </w:r>
          </w:p>
        </w:tc>
        <w:tc>
          <w:tcPr>
            <w:tcW w:w="320" w:type="pct"/>
            <w:tcBorders>
              <w:bottom w:val="single" w:color="auto" w:sz="8" w:space="0"/>
            </w:tcBorders>
            <w:shd w:val="clear" w:color="auto" w:fill="auto"/>
            <w:vAlign w:val="center"/>
          </w:tcPr>
          <w:p>
            <w:pPr>
              <w:pStyle w:val="178"/>
            </w:pPr>
            <w: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5000" w:type="pct"/>
            <w:gridSpan w:val="8"/>
            <w:tcBorders>
              <w:top w:val="single" w:color="auto" w:sz="8" w:space="0"/>
              <w:bottom w:val="single" w:color="auto" w:sz="8" w:space="0"/>
            </w:tcBorders>
            <w:shd w:val="clear" w:color="auto" w:fill="auto"/>
            <w:vAlign w:val="center"/>
          </w:tcPr>
          <w:p>
            <w:pPr>
              <w:pStyle w:val="101"/>
              <w:numPr>
                <w:ilvl w:val="0"/>
                <w:numId w:val="0"/>
              </w:numPr>
              <w:ind w:left="539"/>
            </w:pPr>
            <w:r>
              <w:t>注：设备设施类型参照GB/T 14885</w:t>
            </w:r>
            <w:r>
              <w:rPr>
                <w:rFonts w:hint="eastAsia"/>
              </w:rPr>
              <w:t>的</w:t>
            </w:r>
            <w:r>
              <w:t xml:space="preserve">规定执行。 </w:t>
            </w:r>
          </w:p>
        </w:tc>
      </w:tr>
    </w:tbl>
    <w:p>
      <w:pPr>
        <w:pStyle w:val="77"/>
        <w:spacing w:before="240" w:beforeLines="100" w:after="120"/>
        <w:ind w:firstLine="420"/>
      </w:pPr>
      <w:r>
        <w:rPr>
          <w:rFonts w:hint="eastAsia"/>
        </w:rPr>
        <w:t xml:space="preserve"> 作业活动清单</w:t>
      </w:r>
    </w:p>
    <w:p>
      <w:pPr>
        <w:pStyle w:val="56"/>
        <w:ind w:firstLine="0" w:firstLineChars="0"/>
      </w:pPr>
      <w:r>
        <w:t>辨识单元：</w:t>
      </w:r>
      <w:r>
        <w:rPr>
          <w:rFonts w:hint="eastAsia"/>
        </w:rPr>
        <w:t>垃圾接收、储存</w:t>
      </w:r>
      <w:r>
        <w:t>及投料系统</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01"/>
        <w:gridCol w:w="1459"/>
        <w:gridCol w:w="1204"/>
        <w:gridCol w:w="1423"/>
        <w:gridCol w:w="1747"/>
        <w:gridCol w:w="1170"/>
        <w:gridCol w:w="1170"/>
        <w:gridCol w:w="60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tblHeader/>
          <w:jc w:val="center"/>
        </w:trPr>
        <w:tc>
          <w:tcPr>
            <w:tcW w:w="321" w:type="pct"/>
            <w:tcBorders>
              <w:top w:val="single" w:color="auto" w:sz="8" w:space="0"/>
              <w:bottom w:val="single" w:color="auto" w:sz="8" w:space="0"/>
            </w:tcBorders>
            <w:shd w:val="clear" w:color="auto" w:fill="auto"/>
            <w:vAlign w:val="center"/>
          </w:tcPr>
          <w:p>
            <w:pPr>
              <w:pStyle w:val="178"/>
            </w:pPr>
            <w:r>
              <w:t>编号</w:t>
            </w:r>
          </w:p>
        </w:tc>
        <w:tc>
          <w:tcPr>
            <w:tcW w:w="778" w:type="pct"/>
            <w:tcBorders>
              <w:top w:val="single" w:color="auto" w:sz="8" w:space="0"/>
              <w:bottom w:val="single" w:color="auto" w:sz="8" w:space="0"/>
            </w:tcBorders>
            <w:shd w:val="clear" w:color="auto" w:fill="auto"/>
            <w:vAlign w:val="center"/>
          </w:tcPr>
          <w:p>
            <w:pPr>
              <w:pStyle w:val="178"/>
            </w:pPr>
            <w:r>
              <w:t>作业活动名称</w:t>
            </w:r>
          </w:p>
        </w:tc>
        <w:tc>
          <w:tcPr>
            <w:tcW w:w="642" w:type="pct"/>
            <w:tcBorders>
              <w:top w:val="single" w:color="auto" w:sz="8" w:space="0"/>
              <w:bottom w:val="single" w:color="auto" w:sz="8" w:space="0"/>
            </w:tcBorders>
            <w:shd w:val="clear" w:color="auto" w:fill="auto"/>
            <w:vAlign w:val="center"/>
          </w:tcPr>
          <w:p>
            <w:pPr>
              <w:pStyle w:val="178"/>
            </w:pPr>
            <w:r>
              <w:t>作业活动类型</w:t>
            </w:r>
          </w:p>
        </w:tc>
        <w:tc>
          <w:tcPr>
            <w:tcW w:w="759" w:type="pct"/>
            <w:tcBorders>
              <w:top w:val="single" w:color="auto" w:sz="8" w:space="0"/>
              <w:bottom w:val="single" w:color="auto" w:sz="8" w:space="0"/>
            </w:tcBorders>
            <w:shd w:val="clear" w:color="auto" w:fill="auto"/>
            <w:vAlign w:val="center"/>
          </w:tcPr>
          <w:p>
            <w:pPr>
              <w:pStyle w:val="178"/>
            </w:pPr>
            <w:r>
              <w:t>作业活动频率</w:t>
            </w:r>
          </w:p>
        </w:tc>
        <w:tc>
          <w:tcPr>
            <w:tcW w:w="932" w:type="pct"/>
            <w:tcBorders>
              <w:top w:val="single" w:color="auto" w:sz="8" w:space="0"/>
              <w:bottom w:val="single" w:color="auto" w:sz="8" w:space="0"/>
            </w:tcBorders>
            <w:shd w:val="clear" w:color="auto" w:fill="auto"/>
            <w:vAlign w:val="center"/>
          </w:tcPr>
          <w:p>
            <w:pPr>
              <w:pStyle w:val="178"/>
            </w:pPr>
            <w:r>
              <w:t>作业区域</w:t>
            </w:r>
          </w:p>
        </w:tc>
        <w:tc>
          <w:tcPr>
            <w:tcW w:w="624" w:type="pct"/>
            <w:tcBorders>
              <w:top w:val="single" w:color="auto" w:sz="8" w:space="0"/>
              <w:bottom w:val="single" w:color="auto" w:sz="8" w:space="0"/>
            </w:tcBorders>
            <w:shd w:val="clear" w:color="auto" w:fill="auto"/>
            <w:vAlign w:val="center"/>
          </w:tcPr>
          <w:p>
            <w:pPr>
              <w:pStyle w:val="178"/>
            </w:pPr>
            <w:r>
              <w:t>管辖部门</w:t>
            </w:r>
          </w:p>
        </w:tc>
        <w:tc>
          <w:tcPr>
            <w:tcW w:w="624" w:type="pct"/>
            <w:tcBorders>
              <w:top w:val="single" w:color="auto" w:sz="8" w:space="0"/>
              <w:bottom w:val="single" w:color="auto" w:sz="8" w:space="0"/>
            </w:tcBorders>
            <w:shd w:val="clear" w:color="auto" w:fill="auto"/>
            <w:vAlign w:val="center"/>
          </w:tcPr>
          <w:p>
            <w:pPr>
              <w:pStyle w:val="178"/>
            </w:pPr>
            <w:r>
              <w:t>是否特种作业</w:t>
            </w:r>
          </w:p>
        </w:tc>
        <w:tc>
          <w:tcPr>
            <w:tcW w:w="320" w:type="pct"/>
            <w:tcBorders>
              <w:top w:val="single" w:color="auto" w:sz="8" w:space="0"/>
              <w:bottom w:val="single" w:color="auto" w:sz="8" w:space="0"/>
            </w:tcBorders>
            <w:shd w:val="clear" w:color="auto" w:fill="auto"/>
            <w:vAlign w:val="center"/>
          </w:tcPr>
          <w:p>
            <w:pPr>
              <w:pStyle w:val="178"/>
            </w:pPr>
            <w:r>
              <w:t>备注</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321" w:type="pct"/>
            <w:tcBorders>
              <w:top w:val="single" w:color="auto" w:sz="8" w:space="0"/>
            </w:tcBorders>
            <w:shd w:val="clear" w:color="auto" w:fill="auto"/>
            <w:vAlign w:val="center"/>
          </w:tcPr>
          <w:p>
            <w:pPr>
              <w:pStyle w:val="178"/>
            </w:pPr>
            <w:r>
              <w:t>1</w:t>
            </w:r>
          </w:p>
        </w:tc>
        <w:tc>
          <w:tcPr>
            <w:tcW w:w="778" w:type="pct"/>
            <w:tcBorders>
              <w:top w:val="single" w:color="auto" w:sz="8" w:space="0"/>
            </w:tcBorders>
            <w:shd w:val="clear" w:color="auto" w:fill="auto"/>
            <w:vAlign w:val="center"/>
          </w:tcPr>
          <w:p>
            <w:pPr>
              <w:pStyle w:val="178"/>
            </w:pPr>
            <w:r>
              <w:rPr>
                <w:rFonts w:hint="eastAsia" w:hAnsi="宋体"/>
                <w:szCs w:val="18"/>
              </w:rPr>
              <w:t>垃圾</w:t>
            </w:r>
            <w:r>
              <w:rPr>
                <w:rFonts w:hAnsi="宋体"/>
                <w:szCs w:val="18"/>
              </w:rPr>
              <w:t>运输作业</w:t>
            </w:r>
          </w:p>
        </w:tc>
        <w:tc>
          <w:tcPr>
            <w:tcW w:w="642" w:type="pct"/>
            <w:tcBorders>
              <w:top w:val="single" w:color="auto" w:sz="8" w:space="0"/>
            </w:tcBorders>
            <w:shd w:val="clear" w:color="auto" w:fill="auto"/>
            <w:vAlign w:val="center"/>
          </w:tcPr>
          <w:p>
            <w:pPr>
              <w:pStyle w:val="178"/>
            </w:pPr>
            <w:r>
              <w:t>作业类</w:t>
            </w:r>
          </w:p>
        </w:tc>
        <w:tc>
          <w:tcPr>
            <w:tcW w:w="759" w:type="pct"/>
            <w:tcBorders>
              <w:top w:val="single" w:color="auto" w:sz="8" w:space="0"/>
            </w:tcBorders>
            <w:shd w:val="clear" w:color="auto" w:fill="auto"/>
            <w:vAlign w:val="center"/>
          </w:tcPr>
          <w:p>
            <w:pPr>
              <w:pStyle w:val="178"/>
            </w:pPr>
            <w:r>
              <w:t>每天进行</w:t>
            </w:r>
          </w:p>
        </w:tc>
        <w:tc>
          <w:tcPr>
            <w:tcW w:w="932" w:type="pct"/>
            <w:tcBorders>
              <w:top w:val="single" w:color="auto" w:sz="8" w:space="0"/>
            </w:tcBorders>
            <w:shd w:val="clear" w:color="auto" w:fill="auto"/>
            <w:vAlign w:val="center"/>
          </w:tcPr>
          <w:p>
            <w:pPr>
              <w:pStyle w:val="178"/>
            </w:pPr>
            <w:r>
              <w:rPr>
                <w:rFonts w:hint="eastAsia"/>
              </w:rPr>
              <w:t>垃圾接收、储存</w:t>
            </w:r>
            <w:r>
              <w:t>及投料</w:t>
            </w:r>
            <w:r>
              <w:rPr>
                <w:rFonts w:hint="eastAsia"/>
              </w:rPr>
              <w:t>区</w:t>
            </w:r>
          </w:p>
        </w:tc>
        <w:tc>
          <w:tcPr>
            <w:tcW w:w="624" w:type="pct"/>
            <w:tcBorders>
              <w:top w:val="single" w:color="auto" w:sz="8" w:space="0"/>
            </w:tcBorders>
            <w:shd w:val="clear" w:color="auto" w:fill="auto"/>
            <w:vAlign w:val="center"/>
          </w:tcPr>
          <w:p>
            <w:pPr>
              <w:pStyle w:val="178"/>
            </w:pPr>
            <w:r>
              <w:t>车间</w:t>
            </w:r>
          </w:p>
        </w:tc>
        <w:tc>
          <w:tcPr>
            <w:tcW w:w="624" w:type="pct"/>
            <w:tcBorders>
              <w:top w:val="single" w:color="auto" w:sz="8" w:space="0"/>
            </w:tcBorders>
            <w:shd w:val="clear" w:color="auto" w:fill="auto"/>
            <w:vAlign w:val="center"/>
          </w:tcPr>
          <w:p>
            <w:pPr>
              <w:pStyle w:val="178"/>
            </w:pPr>
            <w:r>
              <w:t>否</w:t>
            </w:r>
          </w:p>
        </w:tc>
        <w:tc>
          <w:tcPr>
            <w:tcW w:w="320" w:type="pct"/>
            <w:tcBorders>
              <w:top w:val="single" w:color="auto" w:sz="8" w:space="0"/>
            </w:tcBorders>
            <w:shd w:val="clear" w:color="auto" w:fill="auto"/>
            <w:vAlign w:val="center"/>
          </w:tcPr>
          <w:p>
            <w:pPr>
              <w:pStyle w:val="178"/>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321" w:type="pct"/>
            <w:tcBorders>
              <w:bottom w:val="single" w:color="auto" w:sz="8" w:space="0"/>
            </w:tcBorders>
            <w:shd w:val="clear" w:color="auto" w:fill="auto"/>
            <w:vAlign w:val="center"/>
          </w:tcPr>
          <w:p>
            <w:pPr>
              <w:pStyle w:val="178"/>
            </w:pPr>
            <w:r>
              <w:t>…</w:t>
            </w:r>
          </w:p>
        </w:tc>
        <w:tc>
          <w:tcPr>
            <w:tcW w:w="778" w:type="pct"/>
            <w:tcBorders>
              <w:bottom w:val="single" w:color="auto" w:sz="8" w:space="0"/>
            </w:tcBorders>
            <w:shd w:val="clear" w:color="auto" w:fill="auto"/>
            <w:vAlign w:val="center"/>
          </w:tcPr>
          <w:p>
            <w:pPr>
              <w:pStyle w:val="178"/>
            </w:pPr>
            <w:r>
              <w:t>…</w:t>
            </w:r>
          </w:p>
        </w:tc>
        <w:tc>
          <w:tcPr>
            <w:tcW w:w="642" w:type="pct"/>
            <w:tcBorders>
              <w:bottom w:val="single" w:color="auto" w:sz="8" w:space="0"/>
            </w:tcBorders>
            <w:shd w:val="clear" w:color="auto" w:fill="auto"/>
            <w:vAlign w:val="center"/>
          </w:tcPr>
          <w:p>
            <w:pPr>
              <w:pStyle w:val="178"/>
            </w:pPr>
            <w:r>
              <w:t>…</w:t>
            </w:r>
          </w:p>
        </w:tc>
        <w:tc>
          <w:tcPr>
            <w:tcW w:w="759" w:type="pct"/>
            <w:tcBorders>
              <w:bottom w:val="single" w:color="auto" w:sz="8" w:space="0"/>
            </w:tcBorders>
            <w:shd w:val="clear" w:color="auto" w:fill="auto"/>
            <w:vAlign w:val="center"/>
          </w:tcPr>
          <w:p>
            <w:pPr>
              <w:pStyle w:val="178"/>
            </w:pPr>
            <w:r>
              <w:t>…</w:t>
            </w:r>
          </w:p>
        </w:tc>
        <w:tc>
          <w:tcPr>
            <w:tcW w:w="932" w:type="pct"/>
            <w:tcBorders>
              <w:bottom w:val="single" w:color="auto" w:sz="8" w:space="0"/>
            </w:tcBorders>
            <w:shd w:val="clear" w:color="auto" w:fill="auto"/>
            <w:vAlign w:val="center"/>
          </w:tcPr>
          <w:p>
            <w:pPr>
              <w:pStyle w:val="178"/>
            </w:pPr>
            <w:r>
              <w:t>…</w:t>
            </w:r>
          </w:p>
        </w:tc>
        <w:tc>
          <w:tcPr>
            <w:tcW w:w="624" w:type="pct"/>
            <w:tcBorders>
              <w:bottom w:val="single" w:color="auto" w:sz="8" w:space="0"/>
            </w:tcBorders>
            <w:shd w:val="clear" w:color="auto" w:fill="auto"/>
            <w:vAlign w:val="center"/>
          </w:tcPr>
          <w:p>
            <w:pPr>
              <w:pStyle w:val="178"/>
            </w:pPr>
            <w:r>
              <w:t>…</w:t>
            </w:r>
          </w:p>
        </w:tc>
        <w:tc>
          <w:tcPr>
            <w:tcW w:w="624" w:type="pct"/>
            <w:tcBorders>
              <w:bottom w:val="single" w:color="auto" w:sz="8" w:space="0"/>
            </w:tcBorders>
            <w:shd w:val="clear" w:color="auto" w:fill="auto"/>
            <w:vAlign w:val="center"/>
          </w:tcPr>
          <w:p>
            <w:pPr>
              <w:pStyle w:val="178"/>
            </w:pPr>
            <w:r>
              <w:t>…</w:t>
            </w:r>
          </w:p>
        </w:tc>
        <w:tc>
          <w:tcPr>
            <w:tcW w:w="320" w:type="pct"/>
            <w:tcBorders>
              <w:bottom w:val="single" w:color="auto" w:sz="8" w:space="0"/>
            </w:tcBorders>
            <w:shd w:val="clear" w:color="auto" w:fill="auto"/>
            <w:vAlign w:val="center"/>
          </w:tcPr>
          <w:p>
            <w:pPr>
              <w:pStyle w:val="178"/>
            </w:pPr>
            <w:r>
              <w:t>…</w:t>
            </w:r>
          </w:p>
        </w:tc>
      </w:tr>
    </w:tbl>
    <w:p>
      <w:pPr>
        <w:pStyle w:val="56"/>
        <w:ind w:firstLine="420"/>
      </w:pPr>
    </w:p>
    <w:p>
      <w:pPr>
        <w:widowControl/>
        <w:adjustRightInd/>
        <w:jc w:val="left"/>
        <w:rPr>
          <w:kern w:val="0"/>
          <w:szCs w:val="20"/>
        </w:rPr>
      </w:pPr>
      <w:r>
        <w:br w:type="page"/>
      </w:r>
    </w:p>
    <w:p>
      <w:pPr>
        <w:pStyle w:val="77"/>
        <w:spacing w:before="120" w:after="120"/>
        <w:ind w:firstLine="420"/>
      </w:pPr>
      <w:r>
        <w:rPr>
          <w:rFonts w:hint="eastAsia"/>
        </w:rPr>
        <w:t xml:space="preserve"> 设备设施安全检查分析表（SCL）</w:t>
      </w:r>
    </w:p>
    <w:p>
      <w:pPr>
        <w:pStyle w:val="56"/>
        <w:ind w:firstLine="0" w:firstLineChars="0"/>
      </w:pPr>
      <w:r>
        <w:t>辨识单元：</w:t>
      </w:r>
      <w:r>
        <w:rPr>
          <w:rFonts w:hint="eastAsia"/>
        </w:rPr>
        <w:t>热工</w:t>
      </w:r>
      <w:r>
        <w:t>车间</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48"/>
        <w:gridCol w:w="722"/>
        <w:gridCol w:w="787"/>
        <w:gridCol w:w="1819"/>
        <w:gridCol w:w="2848"/>
        <w:gridCol w:w="255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57" w:hRule="atLeast"/>
          <w:tblHeader/>
          <w:jc w:val="center"/>
        </w:trPr>
        <w:tc>
          <w:tcPr>
            <w:tcW w:w="1151" w:type="pct"/>
            <w:gridSpan w:val="3"/>
            <w:tcBorders>
              <w:top w:val="single" w:color="auto" w:sz="8" w:space="0"/>
            </w:tcBorders>
            <w:shd w:val="clear" w:color="auto" w:fill="auto"/>
            <w:vAlign w:val="center"/>
          </w:tcPr>
          <w:p>
            <w:pPr>
              <w:pStyle w:val="178"/>
              <w:spacing w:after="120"/>
            </w:pPr>
            <w:bookmarkStart w:id="121" w:name="_Hlk132790786"/>
            <w:r>
              <w:t>风险点基本信息</w:t>
            </w:r>
          </w:p>
        </w:tc>
        <w:tc>
          <w:tcPr>
            <w:tcW w:w="3849" w:type="pct"/>
            <w:gridSpan w:val="3"/>
            <w:tcBorders>
              <w:top w:val="single" w:color="auto" w:sz="8" w:space="0"/>
            </w:tcBorders>
            <w:shd w:val="clear" w:color="auto" w:fill="auto"/>
            <w:vAlign w:val="center"/>
          </w:tcPr>
          <w:p>
            <w:pPr>
              <w:pStyle w:val="178"/>
              <w:spacing w:after="120"/>
            </w:pPr>
            <w:r>
              <w:t>检查项目</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57" w:hRule="atLeast"/>
          <w:tblHeader/>
          <w:jc w:val="center"/>
        </w:trPr>
        <w:tc>
          <w:tcPr>
            <w:tcW w:w="346" w:type="pct"/>
            <w:tcBorders>
              <w:bottom w:val="single" w:color="auto" w:sz="8" w:space="0"/>
            </w:tcBorders>
            <w:shd w:val="clear" w:color="auto" w:fill="auto"/>
            <w:vAlign w:val="center"/>
          </w:tcPr>
          <w:p>
            <w:pPr>
              <w:pStyle w:val="178"/>
              <w:spacing w:after="120"/>
            </w:pPr>
            <w:r>
              <w:t>编号</w:t>
            </w:r>
          </w:p>
        </w:tc>
        <w:tc>
          <w:tcPr>
            <w:tcW w:w="385" w:type="pct"/>
            <w:tcBorders>
              <w:top w:val="single" w:color="auto" w:sz="8" w:space="0"/>
              <w:bottom w:val="single" w:color="auto" w:sz="8" w:space="0"/>
            </w:tcBorders>
            <w:shd w:val="clear" w:color="auto" w:fill="auto"/>
            <w:vAlign w:val="center"/>
          </w:tcPr>
          <w:p>
            <w:pPr>
              <w:pStyle w:val="178"/>
              <w:spacing w:after="120"/>
            </w:pPr>
            <w:r>
              <w:t>类型</w:t>
            </w:r>
          </w:p>
        </w:tc>
        <w:tc>
          <w:tcPr>
            <w:tcW w:w="420" w:type="pct"/>
            <w:tcBorders>
              <w:top w:val="single" w:color="auto" w:sz="8" w:space="0"/>
              <w:bottom w:val="single" w:color="auto" w:sz="8" w:space="0"/>
            </w:tcBorders>
            <w:shd w:val="clear" w:color="auto" w:fill="auto"/>
            <w:vAlign w:val="center"/>
          </w:tcPr>
          <w:p>
            <w:pPr>
              <w:pStyle w:val="178"/>
              <w:spacing w:after="120"/>
            </w:pPr>
            <w:r>
              <w:t>名称</w:t>
            </w:r>
          </w:p>
        </w:tc>
        <w:tc>
          <w:tcPr>
            <w:tcW w:w="970" w:type="pct"/>
            <w:tcBorders>
              <w:bottom w:val="single" w:color="auto" w:sz="8" w:space="0"/>
            </w:tcBorders>
            <w:shd w:val="clear" w:color="auto" w:fill="auto"/>
            <w:vAlign w:val="center"/>
          </w:tcPr>
          <w:p>
            <w:pPr>
              <w:pStyle w:val="178"/>
              <w:spacing w:after="120"/>
            </w:pPr>
            <w:r>
              <w:t>检查项目名称</w:t>
            </w:r>
          </w:p>
        </w:tc>
        <w:tc>
          <w:tcPr>
            <w:tcW w:w="1519" w:type="pct"/>
            <w:tcBorders>
              <w:bottom w:val="single" w:color="auto" w:sz="8" w:space="0"/>
            </w:tcBorders>
            <w:shd w:val="clear" w:color="auto" w:fill="auto"/>
            <w:vAlign w:val="center"/>
          </w:tcPr>
          <w:p>
            <w:pPr>
              <w:pStyle w:val="178"/>
              <w:spacing w:after="120"/>
            </w:pPr>
            <w:r>
              <w:t>检查标准</w:t>
            </w:r>
          </w:p>
        </w:tc>
        <w:tc>
          <w:tcPr>
            <w:tcW w:w="1360" w:type="pct"/>
            <w:tcBorders>
              <w:bottom w:val="single" w:color="auto" w:sz="8" w:space="0"/>
            </w:tcBorders>
            <w:shd w:val="clear" w:color="auto" w:fill="auto"/>
            <w:vAlign w:val="center"/>
          </w:tcPr>
          <w:p>
            <w:pPr>
              <w:pStyle w:val="178"/>
              <w:spacing w:after="120"/>
            </w:pPr>
            <w:r>
              <w:t>主要后果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0" w:hRule="atLeast"/>
          <w:jc w:val="center"/>
        </w:trPr>
        <w:tc>
          <w:tcPr>
            <w:tcW w:w="346" w:type="pct"/>
            <w:vMerge w:val="restart"/>
            <w:tcBorders>
              <w:top w:val="single" w:color="auto" w:sz="8" w:space="0"/>
            </w:tcBorders>
            <w:shd w:val="clear" w:color="auto" w:fill="auto"/>
            <w:vAlign w:val="center"/>
          </w:tcPr>
          <w:p>
            <w:pPr>
              <w:pStyle w:val="178"/>
              <w:spacing w:after="120"/>
            </w:pPr>
            <w:r>
              <w:t>RG-SB-1</w:t>
            </w:r>
          </w:p>
        </w:tc>
        <w:tc>
          <w:tcPr>
            <w:tcW w:w="385" w:type="pct"/>
            <w:vMerge w:val="restart"/>
            <w:tcBorders>
              <w:top w:val="single" w:color="auto" w:sz="8" w:space="0"/>
            </w:tcBorders>
            <w:shd w:val="clear" w:color="auto" w:fill="auto"/>
            <w:vAlign w:val="center"/>
          </w:tcPr>
          <w:p>
            <w:pPr>
              <w:pStyle w:val="178"/>
              <w:spacing w:after="120"/>
            </w:pPr>
            <w:r>
              <w:rPr>
                <w:rFonts w:hint="eastAsia"/>
              </w:rPr>
              <w:t>设备</w:t>
            </w:r>
            <w:r>
              <w:t>设施类</w:t>
            </w:r>
          </w:p>
        </w:tc>
        <w:tc>
          <w:tcPr>
            <w:tcW w:w="420" w:type="pct"/>
            <w:vMerge w:val="restart"/>
            <w:tcBorders>
              <w:top w:val="single" w:color="auto" w:sz="8" w:space="0"/>
            </w:tcBorders>
            <w:shd w:val="clear" w:color="auto" w:fill="auto"/>
            <w:vAlign w:val="center"/>
          </w:tcPr>
          <w:p>
            <w:pPr>
              <w:pStyle w:val="178"/>
              <w:spacing w:after="120"/>
            </w:pPr>
            <w:r>
              <w:rPr>
                <w:rFonts w:hint="eastAsia"/>
              </w:rPr>
              <w:t>火检系统</w:t>
            </w:r>
          </w:p>
        </w:tc>
        <w:tc>
          <w:tcPr>
            <w:tcW w:w="970" w:type="pct"/>
            <w:tcBorders>
              <w:top w:val="single" w:color="auto" w:sz="8" w:space="0"/>
            </w:tcBorders>
            <w:shd w:val="clear" w:color="auto" w:fill="auto"/>
            <w:vAlign w:val="center"/>
          </w:tcPr>
          <w:p>
            <w:pPr>
              <w:pStyle w:val="178"/>
              <w:spacing w:after="120"/>
            </w:pPr>
            <w:r>
              <w:rPr>
                <w:rFonts w:hint="eastAsia"/>
              </w:rPr>
              <w:t>电源</w:t>
            </w:r>
            <w:r>
              <w:t>检查</w:t>
            </w:r>
          </w:p>
        </w:tc>
        <w:tc>
          <w:tcPr>
            <w:tcW w:w="1519" w:type="pct"/>
            <w:tcBorders>
              <w:top w:val="single" w:color="auto" w:sz="8" w:space="0"/>
            </w:tcBorders>
            <w:shd w:val="clear" w:color="auto" w:fill="auto"/>
            <w:vAlign w:val="center"/>
          </w:tcPr>
          <w:p>
            <w:pPr>
              <w:pStyle w:val="178"/>
              <w:spacing w:after="120"/>
            </w:pPr>
            <w:r>
              <w:rPr>
                <w:rFonts w:hint="eastAsia"/>
              </w:rPr>
              <w:t>电源指示</w:t>
            </w:r>
            <w:r>
              <w:t>正常</w:t>
            </w:r>
          </w:p>
        </w:tc>
        <w:tc>
          <w:tcPr>
            <w:tcW w:w="1360" w:type="pct"/>
            <w:tcBorders>
              <w:top w:val="single" w:color="auto" w:sz="8" w:space="0"/>
            </w:tcBorders>
            <w:shd w:val="clear" w:color="auto" w:fill="auto"/>
            <w:vAlign w:val="center"/>
          </w:tcPr>
          <w:p>
            <w:pPr>
              <w:pStyle w:val="178"/>
              <w:spacing w:after="120"/>
            </w:pPr>
            <w:r>
              <w:t>其他伤害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0" w:hRule="atLeast"/>
          <w:jc w:val="center"/>
        </w:trPr>
        <w:tc>
          <w:tcPr>
            <w:tcW w:w="346" w:type="pct"/>
            <w:vMerge w:val="continue"/>
            <w:shd w:val="clear" w:color="auto" w:fill="auto"/>
            <w:vAlign w:val="center"/>
          </w:tcPr>
          <w:p>
            <w:pPr>
              <w:pStyle w:val="178"/>
              <w:spacing w:after="120"/>
            </w:pPr>
          </w:p>
        </w:tc>
        <w:tc>
          <w:tcPr>
            <w:tcW w:w="385" w:type="pct"/>
            <w:vMerge w:val="continue"/>
            <w:shd w:val="clear" w:color="auto" w:fill="auto"/>
            <w:vAlign w:val="center"/>
          </w:tcPr>
          <w:p>
            <w:pPr>
              <w:pStyle w:val="178"/>
              <w:spacing w:after="120"/>
            </w:pPr>
          </w:p>
        </w:tc>
        <w:tc>
          <w:tcPr>
            <w:tcW w:w="420" w:type="pct"/>
            <w:vMerge w:val="continue"/>
            <w:shd w:val="clear" w:color="auto" w:fill="auto"/>
            <w:vAlign w:val="center"/>
          </w:tcPr>
          <w:p>
            <w:pPr>
              <w:pStyle w:val="178"/>
              <w:spacing w:after="120"/>
            </w:pPr>
          </w:p>
        </w:tc>
        <w:tc>
          <w:tcPr>
            <w:tcW w:w="970" w:type="pct"/>
            <w:tcBorders>
              <w:top w:val="single" w:color="auto" w:sz="8" w:space="0"/>
            </w:tcBorders>
            <w:shd w:val="clear" w:color="auto" w:fill="auto"/>
            <w:vAlign w:val="center"/>
          </w:tcPr>
          <w:p>
            <w:pPr>
              <w:pStyle w:val="178"/>
              <w:spacing w:after="120"/>
            </w:pPr>
            <w:r>
              <w:rPr>
                <w:rFonts w:hint="eastAsia"/>
              </w:rPr>
              <w:t>火检件</w:t>
            </w:r>
            <w:r>
              <w:t>检查</w:t>
            </w:r>
          </w:p>
        </w:tc>
        <w:tc>
          <w:tcPr>
            <w:tcW w:w="1519" w:type="pct"/>
            <w:tcBorders>
              <w:top w:val="single" w:color="auto" w:sz="8" w:space="0"/>
            </w:tcBorders>
            <w:shd w:val="clear" w:color="auto" w:fill="auto"/>
            <w:vAlign w:val="center"/>
          </w:tcPr>
          <w:p>
            <w:pPr>
              <w:pStyle w:val="178"/>
              <w:spacing w:after="120"/>
            </w:pPr>
            <w:r>
              <w:rPr>
                <w:rFonts w:hint="eastAsia"/>
              </w:rPr>
              <w:t>卡件</w:t>
            </w:r>
            <w:r>
              <w:t>状态正常，通讯正常</w:t>
            </w:r>
          </w:p>
        </w:tc>
        <w:tc>
          <w:tcPr>
            <w:tcW w:w="1360" w:type="pct"/>
            <w:tcBorders>
              <w:top w:val="single" w:color="auto" w:sz="8" w:space="0"/>
            </w:tcBorders>
            <w:shd w:val="clear" w:color="auto" w:fill="auto"/>
            <w:vAlign w:val="center"/>
          </w:tcPr>
          <w:p>
            <w:pPr>
              <w:pStyle w:val="178"/>
              <w:spacing w:after="120"/>
            </w:pPr>
            <w:r>
              <w:t>其他伤害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0" w:hRule="atLeast"/>
          <w:jc w:val="center"/>
        </w:trPr>
        <w:tc>
          <w:tcPr>
            <w:tcW w:w="346" w:type="pct"/>
            <w:vMerge w:val="continue"/>
            <w:shd w:val="clear" w:color="auto" w:fill="auto"/>
            <w:vAlign w:val="center"/>
          </w:tcPr>
          <w:p>
            <w:pPr>
              <w:pStyle w:val="178"/>
              <w:spacing w:after="120"/>
            </w:pPr>
          </w:p>
        </w:tc>
        <w:tc>
          <w:tcPr>
            <w:tcW w:w="385" w:type="pct"/>
            <w:vMerge w:val="continue"/>
            <w:shd w:val="clear" w:color="auto" w:fill="auto"/>
            <w:vAlign w:val="center"/>
          </w:tcPr>
          <w:p>
            <w:pPr>
              <w:pStyle w:val="178"/>
              <w:spacing w:after="120"/>
            </w:pPr>
          </w:p>
        </w:tc>
        <w:tc>
          <w:tcPr>
            <w:tcW w:w="420" w:type="pct"/>
            <w:vMerge w:val="continue"/>
            <w:shd w:val="clear" w:color="auto" w:fill="auto"/>
            <w:vAlign w:val="center"/>
          </w:tcPr>
          <w:p>
            <w:pPr>
              <w:pStyle w:val="178"/>
              <w:spacing w:after="120"/>
            </w:pPr>
          </w:p>
        </w:tc>
        <w:tc>
          <w:tcPr>
            <w:tcW w:w="970" w:type="pct"/>
            <w:tcBorders>
              <w:top w:val="single" w:color="auto" w:sz="8" w:space="0"/>
            </w:tcBorders>
            <w:shd w:val="clear" w:color="auto" w:fill="auto"/>
            <w:vAlign w:val="center"/>
          </w:tcPr>
          <w:p>
            <w:pPr>
              <w:pStyle w:val="178"/>
              <w:spacing w:after="120"/>
            </w:pPr>
            <w:r>
              <w:rPr>
                <w:rFonts w:hint="eastAsia"/>
              </w:rPr>
              <w:t>就地</w:t>
            </w:r>
            <w:r>
              <w:t>设备检查</w:t>
            </w:r>
          </w:p>
        </w:tc>
        <w:tc>
          <w:tcPr>
            <w:tcW w:w="1519" w:type="pct"/>
            <w:tcBorders>
              <w:top w:val="single" w:color="auto" w:sz="8" w:space="0"/>
            </w:tcBorders>
            <w:shd w:val="clear" w:color="auto" w:fill="auto"/>
            <w:vAlign w:val="center"/>
          </w:tcPr>
          <w:p>
            <w:pPr>
              <w:pStyle w:val="178"/>
              <w:spacing w:after="120"/>
            </w:pPr>
            <w:r>
              <w:rPr>
                <w:rFonts w:hint="eastAsia"/>
              </w:rPr>
              <w:t>就地</w:t>
            </w:r>
            <w:r>
              <w:t>设备显示正常</w:t>
            </w:r>
          </w:p>
        </w:tc>
        <w:tc>
          <w:tcPr>
            <w:tcW w:w="1360" w:type="pct"/>
            <w:tcBorders>
              <w:top w:val="single" w:color="auto" w:sz="8" w:space="0"/>
            </w:tcBorders>
            <w:shd w:val="clear" w:color="auto" w:fill="auto"/>
            <w:vAlign w:val="center"/>
          </w:tcPr>
          <w:p>
            <w:pPr>
              <w:pStyle w:val="178"/>
              <w:spacing w:after="120"/>
            </w:pPr>
            <w:r>
              <w:t>其他伤害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346" w:type="pct"/>
            <w:shd w:val="clear" w:color="auto" w:fill="auto"/>
            <w:vAlign w:val="center"/>
          </w:tcPr>
          <w:p>
            <w:pPr>
              <w:pStyle w:val="178"/>
              <w:spacing w:after="120"/>
            </w:pPr>
            <w:r>
              <w:t>…</w:t>
            </w:r>
          </w:p>
        </w:tc>
        <w:tc>
          <w:tcPr>
            <w:tcW w:w="385" w:type="pct"/>
            <w:shd w:val="clear" w:color="auto" w:fill="auto"/>
            <w:vAlign w:val="center"/>
          </w:tcPr>
          <w:p>
            <w:pPr>
              <w:pStyle w:val="178"/>
              <w:spacing w:after="120"/>
            </w:pPr>
            <w:r>
              <w:t>…</w:t>
            </w:r>
          </w:p>
        </w:tc>
        <w:tc>
          <w:tcPr>
            <w:tcW w:w="420" w:type="pct"/>
            <w:shd w:val="clear" w:color="auto" w:fill="auto"/>
            <w:vAlign w:val="center"/>
          </w:tcPr>
          <w:p>
            <w:pPr>
              <w:pStyle w:val="178"/>
              <w:spacing w:after="120"/>
            </w:pPr>
            <w:r>
              <w:t>…</w:t>
            </w:r>
          </w:p>
        </w:tc>
        <w:tc>
          <w:tcPr>
            <w:tcW w:w="970" w:type="pct"/>
            <w:shd w:val="clear" w:color="auto" w:fill="auto"/>
            <w:vAlign w:val="center"/>
          </w:tcPr>
          <w:p>
            <w:pPr>
              <w:pStyle w:val="178"/>
              <w:spacing w:after="120"/>
            </w:pPr>
            <w:r>
              <w:t>…</w:t>
            </w:r>
          </w:p>
        </w:tc>
        <w:tc>
          <w:tcPr>
            <w:tcW w:w="1519" w:type="pct"/>
            <w:shd w:val="clear" w:color="auto" w:fill="auto"/>
            <w:vAlign w:val="center"/>
          </w:tcPr>
          <w:p>
            <w:pPr>
              <w:pStyle w:val="178"/>
              <w:spacing w:after="120"/>
            </w:pPr>
            <w:r>
              <w:t>…</w:t>
            </w:r>
          </w:p>
        </w:tc>
        <w:tc>
          <w:tcPr>
            <w:tcW w:w="1360" w:type="pct"/>
            <w:shd w:val="clear" w:color="auto" w:fill="auto"/>
            <w:vAlign w:val="center"/>
          </w:tcPr>
          <w:p>
            <w:pPr>
              <w:pStyle w:val="178"/>
              <w:spacing w:after="120"/>
            </w:pPr>
            <w:r>
              <w:t>…</w:t>
            </w:r>
          </w:p>
        </w:tc>
      </w:tr>
      <w:bookmarkEnd w:id="121"/>
    </w:tbl>
    <w:p>
      <w:pPr>
        <w:pStyle w:val="56"/>
        <w:ind w:firstLine="420"/>
      </w:pPr>
    </w:p>
    <w:p>
      <w:pPr>
        <w:pStyle w:val="77"/>
        <w:spacing w:before="120" w:after="120"/>
        <w:ind w:firstLine="420"/>
      </w:pPr>
      <w:r>
        <w:rPr>
          <w:rFonts w:hint="eastAsia"/>
        </w:rPr>
        <w:t xml:space="preserve"> 作业活动工作危害分析表（JHA）</w:t>
      </w:r>
    </w:p>
    <w:p>
      <w:pPr>
        <w:pStyle w:val="56"/>
        <w:ind w:firstLine="0" w:firstLineChars="0"/>
      </w:pPr>
      <w:r>
        <w:t>辨识单元：</w:t>
      </w:r>
      <w:r>
        <w:rPr>
          <w:rFonts w:hint="eastAsia"/>
        </w:rPr>
        <w:t>火检</w:t>
      </w:r>
      <w:r>
        <w:t>车间</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94"/>
        <w:gridCol w:w="694"/>
        <w:gridCol w:w="694"/>
        <w:gridCol w:w="761"/>
        <w:gridCol w:w="849"/>
        <w:gridCol w:w="1175"/>
        <w:gridCol w:w="1136"/>
        <w:gridCol w:w="1136"/>
        <w:gridCol w:w="1144"/>
        <w:gridCol w:w="1091"/>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93" w:hRule="atLeast"/>
          <w:tblHeader/>
          <w:jc w:val="center"/>
        </w:trPr>
        <w:tc>
          <w:tcPr>
            <w:tcW w:w="2596" w:type="pct"/>
            <w:gridSpan w:val="6"/>
            <w:tcBorders>
              <w:top w:val="single" w:color="auto" w:sz="8" w:space="0"/>
            </w:tcBorders>
            <w:shd w:val="clear" w:color="auto" w:fill="auto"/>
            <w:vAlign w:val="center"/>
          </w:tcPr>
          <w:p>
            <w:pPr>
              <w:pStyle w:val="178"/>
              <w:spacing w:after="120"/>
            </w:pPr>
            <w:r>
              <w:t>作业活动基本信息</w:t>
            </w:r>
          </w:p>
        </w:tc>
        <w:tc>
          <w:tcPr>
            <w:tcW w:w="2404" w:type="pct"/>
            <w:gridSpan w:val="4"/>
            <w:tcBorders>
              <w:top w:val="single" w:color="auto" w:sz="8" w:space="0"/>
            </w:tcBorders>
            <w:shd w:val="clear" w:color="auto" w:fill="auto"/>
            <w:vAlign w:val="center"/>
          </w:tcPr>
          <w:p>
            <w:pPr>
              <w:pStyle w:val="178"/>
              <w:spacing w:after="120"/>
            </w:pPr>
            <w:r>
              <w:t>风险辨识信息</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92" w:hRule="atLeast"/>
          <w:tblHeader/>
          <w:jc w:val="center"/>
        </w:trPr>
        <w:tc>
          <w:tcPr>
            <w:tcW w:w="370" w:type="pct"/>
            <w:tcBorders>
              <w:top w:val="single" w:color="auto" w:sz="8" w:space="0"/>
            </w:tcBorders>
            <w:shd w:val="clear" w:color="auto" w:fill="auto"/>
            <w:vAlign w:val="center"/>
          </w:tcPr>
          <w:p>
            <w:pPr>
              <w:pStyle w:val="178"/>
              <w:spacing w:after="120"/>
            </w:pPr>
            <w:r>
              <w:t>编号</w:t>
            </w:r>
          </w:p>
        </w:tc>
        <w:tc>
          <w:tcPr>
            <w:tcW w:w="370" w:type="pct"/>
            <w:tcBorders>
              <w:top w:val="single" w:color="auto" w:sz="8" w:space="0"/>
            </w:tcBorders>
            <w:shd w:val="clear" w:color="auto" w:fill="auto"/>
            <w:vAlign w:val="center"/>
          </w:tcPr>
          <w:p>
            <w:pPr>
              <w:pStyle w:val="178"/>
              <w:spacing w:after="120"/>
            </w:pPr>
            <w:r>
              <w:t>名称</w:t>
            </w:r>
          </w:p>
        </w:tc>
        <w:tc>
          <w:tcPr>
            <w:tcW w:w="370" w:type="pct"/>
            <w:tcBorders>
              <w:top w:val="single" w:color="auto" w:sz="8" w:space="0"/>
            </w:tcBorders>
            <w:shd w:val="clear" w:color="auto" w:fill="auto"/>
            <w:vAlign w:val="center"/>
          </w:tcPr>
          <w:p>
            <w:pPr>
              <w:pStyle w:val="178"/>
              <w:spacing w:after="120"/>
            </w:pPr>
            <w:r>
              <w:t>类型</w:t>
            </w:r>
          </w:p>
        </w:tc>
        <w:tc>
          <w:tcPr>
            <w:tcW w:w="406" w:type="pct"/>
            <w:tcBorders>
              <w:top w:val="single" w:color="auto" w:sz="8" w:space="0"/>
            </w:tcBorders>
            <w:shd w:val="clear" w:color="auto" w:fill="auto"/>
            <w:vAlign w:val="center"/>
          </w:tcPr>
          <w:p>
            <w:pPr>
              <w:pStyle w:val="178"/>
              <w:spacing w:after="120"/>
            </w:pPr>
            <w:r>
              <w:t>频率</w:t>
            </w:r>
          </w:p>
        </w:tc>
        <w:tc>
          <w:tcPr>
            <w:tcW w:w="453" w:type="pct"/>
            <w:tcBorders>
              <w:top w:val="single" w:color="auto" w:sz="8" w:space="0"/>
            </w:tcBorders>
            <w:shd w:val="clear" w:color="auto" w:fill="auto"/>
            <w:vAlign w:val="center"/>
          </w:tcPr>
          <w:p>
            <w:pPr>
              <w:pStyle w:val="178"/>
              <w:spacing w:after="120"/>
            </w:pPr>
            <w:r>
              <w:t>区域</w:t>
            </w:r>
          </w:p>
        </w:tc>
        <w:tc>
          <w:tcPr>
            <w:tcW w:w="627" w:type="pct"/>
            <w:tcBorders>
              <w:top w:val="single" w:color="auto" w:sz="8" w:space="0"/>
            </w:tcBorders>
            <w:shd w:val="clear" w:color="auto" w:fill="auto"/>
            <w:vAlign w:val="center"/>
          </w:tcPr>
          <w:p>
            <w:pPr>
              <w:pStyle w:val="178"/>
              <w:spacing w:after="120"/>
            </w:pPr>
            <w:r>
              <w:t>管辖部门</w:t>
            </w:r>
          </w:p>
        </w:tc>
        <w:tc>
          <w:tcPr>
            <w:tcW w:w="606" w:type="pct"/>
            <w:shd w:val="clear" w:color="auto" w:fill="auto"/>
            <w:vAlign w:val="center"/>
          </w:tcPr>
          <w:p>
            <w:pPr>
              <w:pStyle w:val="178"/>
              <w:spacing w:after="120"/>
            </w:pPr>
            <w:r>
              <w:t>序号</w:t>
            </w:r>
          </w:p>
        </w:tc>
        <w:tc>
          <w:tcPr>
            <w:tcW w:w="606" w:type="pct"/>
            <w:shd w:val="clear" w:color="auto" w:fill="auto"/>
            <w:vAlign w:val="center"/>
          </w:tcPr>
          <w:p>
            <w:pPr>
              <w:pStyle w:val="178"/>
              <w:spacing w:after="120"/>
            </w:pPr>
            <w:r>
              <w:t>作业步骤</w:t>
            </w:r>
          </w:p>
        </w:tc>
        <w:tc>
          <w:tcPr>
            <w:tcW w:w="610" w:type="pct"/>
            <w:shd w:val="clear" w:color="auto" w:fill="auto"/>
            <w:vAlign w:val="center"/>
          </w:tcPr>
          <w:p>
            <w:pPr>
              <w:pStyle w:val="178"/>
              <w:spacing w:after="120"/>
            </w:pPr>
            <w:r>
              <w:t>危险源或潜在事件</w:t>
            </w:r>
          </w:p>
        </w:tc>
        <w:tc>
          <w:tcPr>
            <w:tcW w:w="582" w:type="pct"/>
            <w:shd w:val="clear" w:color="auto" w:fill="auto"/>
            <w:vAlign w:val="center"/>
          </w:tcPr>
          <w:p>
            <w:pPr>
              <w:pStyle w:val="178"/>
              <w:spacing w:after="120"/>
            </w:pPr>
            <w:r>
              <w:t>主要后果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0" w:hRule="atLeast"/>
          <w:jc w:val="center"/>
        </w:trPr>
        <w:tc>
          <w:tcPr>
            <w:tcW w:w="370" w:type="pct"/>
            <w:vMerge w:val="restart"/>
            <w:tcBorders>
              <w:top w:val="single" w:color="auto" w:sz="8" w:space="0"/>
            </w:tcBorders>
            <w:shd w:val="clear" w:color="auto" w:fill="auto"/>
            <w:vAlign w:val="center"/>
          </w:tcPr>
          <w:p>
            <w:pPr>
              <w:pStyle w:val="178"/>
              <w:spacing w:after="120"/>
            </w:pPr>
            <w:r>
              <w:t>RG-ZY-1</w:t>
            </w:r>
          </w:p>
        </w:tc>
        <w:tc>
          <w:tcPr>
            <w:tcW w:w="370" w:type="pct"/>
            <w:vMerge w:val="restart"/>
            <w:tcBorders>
              <w:top w:val="single" w:color="auto" w:sz="8" w:space="0"/>
            </w:tcBorders>
            <w:shd w:val="clear" w:color="auto" w:fill="auto"/>
            <w:vAlign w:val="center"/>
          </w:tcPr>
          <w:p>
            <w:pPr>
              <w:pStyle w:val="178"/>
            </w:pPr>
            <w:r>
              <w:rPr>
                <w:rFonts w:hint="eastAsia"/>
              </w:rPr>
              <w:t>火</w:t>
            </w:r>
            <w:r>
              <w:t>检系统检修</w:t>
            </w:r>
          </w:p>
        </w:tc>
        <w:tc>
          <w:tcPr>
            <w:tcW w:w="370" w:type="pct"/>
            <w:vMerge w:val="restart"/>
            <w:tcBorders>
              <w:top w:val="single" w:color="auto" w:sz="8" w:space="0"/>
            </w:tcBorders>
            <w:shd w:val="clear" w:color="auto" w:fill="auto"/>
            <w:vAlign w:val="center"/>
          </w:tcPr>
          <w:p>
            <w:pPr>
              <w:pStyle w:val="178"/>
              <w:spacing w:after="120"/>
              <w:jc w:val="both"/>
            </w:pPr>
            <w:r>
              <w:t>作业类</w:t>
            </w:r>
          </w:p>
        </w:tc>
        <w:tc>
          <w:tcPr>
            <w:tcW w:w="406" w:type="pct"/>
            <w:vMerge w:val="restart"/>
            <w:tcBorders>
              <w:top w:val="single" w:color="auto" w:sz="8" w:space="0"/>
            </w:tcBorders>
            <w:shd w:val="clear" w:color="auto" w:fill="auto"/>
            <w:vAlign w:val="center"/>
          </w:tcPr>
          <w:p>
            <w:pPr>
              <w:pStyle w:val="178"/>
              <w:spacing w:after="120"/>
            </w:pPr>
            <w:r>
              <w:t>每天进行</w:t>
            </w:r>
          </w:p>
        </w:tc>
        <w:tc>
          <w:tcPr>
            <w:tcW w:w="453" w:type="pct"/>
            <w:vMerge w:val="restart"/>
            <w:tcBorders>
              <w:top w:val="single" w:color="auto" w:sz="8" w:space="0"/>
            </w:tcBorders>
            <w:shd w:val="clear" w:color="auto" w:fill="auto"/>
            <w:vAlign w:val="center"/>
          </w:tcPr>
          <w:p>
            <w:pPr>
              <w:pStyle w:val="178"/>
              <w:spacing w:after="120"/>
            </w:pPr>
            <w:r>
              <w:rPr>
                <w:rFonts w:hint="eastAsia"/>
              </w:rPr>
              <w:t>火检系统</w:t>
            </w:r>
          </w:p>
        </w:tc>
        <w:tc>
          <w:tcPr>
            <w:tcW w:w="627" w:type="pct"/>
            <w:vMerge w:val="restart"/>
            <w:tcBorders>
              <w:top w:val="single" w:color="auto" w:sz="8" w:space="0"/>
            </w:tcBorders>
            <w:shd w:val="clear" w:color="auto" w:fill="auto"/>
            <w:vAlign w:val="center"/>
          </w:tcPr>
          <w:p>
            <w:pPr>
              <w:pStyle w:val="178"/>
              <w:spacing w:after="120"/>
            </w:pPr>
            <w:r>
              <w:rPr>
                <w:rFonts w:hint="eastAsia"/>
              </w:rPr>
              <w:t>热工</w:t>
            </w:r>
            <w:r>
              <w:t>车间</w:t>
            </w:r>
          </w:p>
        </w:tc>
        <w:tc>
          <w:tcPr>
            <w:tcW w:w="606" w:type="pct"/>
            <w:tcBorders>
              <w:top w:val="single" w:color="auto" w:sz="8" w:space="0"/>
            </w:tcBorders>
            <w:shd w:val="clear" w:color="auto" w:fill="auto"/>
            <w:vAlign w:val="center"/>
          </w:tcPr>
          <w:p>
            <w:pPr>
              <w:pStyle w:val="178"/>
              <w:spacing w:after="120"/>
            </w:pPr>
            <w:r>
              <w:t>1</w:t>
            </w:r>
          </w:p>
        </w:tc>
        <w:tc>
          <w:tcPr>
            <w:tcW w:w="606" w:type="pct"/>
            <w:tcBorders>
              <w:top w:val="single" w:color="auto" w:sz="8" w:space="0"/>
            </w:tcBorders>
            <w:shd w:val="clear" w:color="auto" w:fill="auto"/>
            <w:vAlign w:val="center"/>
          </w:tcPr>
          <w:p>
            <w:pPr>
              <w:pStyle w:val="178"/>
              <w:spacing w:after="120"/>
              <w:jc w:val="left"/>
            </w:pPr>
            <w:r>
              <w:rPr>
                <w:rFonts w:hint="eastAsia"/>
              </w:rPr>
              <w:t>电源检修</w:t>
            </w:r>
          </w:p>
        </w:tc>
        <w:tc>
          <w:tcPr>
            <w:tcW w:w="610" w:type="pct"/>
            <w:tcBorders>
              <w:top w:val="single" w:color="auto" w:sz="8" w:space="0"/>
            </w:tcBorders>
            <w:shd w:val="clear" w:color="auto" w:fill="auto"/>
            <w:vAlign w:val="center"/>
          </w:tcPr>
          <w:p>
            <w:pPr>
              <w:pStyle w:val="178"/>
              <w:spacing w:after="120"/>
              <w:jc w:val="left"/>
            </w:pPr>
            <w:r>
              <w:rPr>
                <w:rFonts w:hint="eastAsia"/>
              </w:rPr>
              <w:t>停</w:t>
            </w:r>
            <w:r>
              <w:t>错电源；带电作业</w:t>
            </w:r>
          </w:p>
        </w:tc>
        <w:tc>
          <w:tcPr>
            <w:tcW w:w="582" w:type="pct"/>
            <w:tcBorders>
              <w:top w:val="single" w:color="auto" w:sz="8" w:space="0"/>
            </w:tcBorders>
            <w:shd w:val="clear" w:color="auto" w:fill="auto"/>
            <w:vAlign w:val="center"/>
          </w:tcPr>
          <w:p>
            <w:pPr>
              <w:pStyle w:val="178"/>
              <w:spacing w:after="120"/>
              <w:jc w:val="left"/>
            </w:pPr>
            <w:r>
              <w:t>触电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60" w:hRule="atLeast"/>
          <w:jc w:val="center"/>
        </w:trPr>
        <w:tc>
          <w:tcPr>
            <w:tcW w:w="370" w:type="pct"/>
            <w:vMerge w:val="continue"/>
            <w:shd w:val="clear" w:color="auto" w:fill="auto"/>
            <w:vAlign w:val="center"/>
          </w:tcPr>
          <w:p>
            <w:pPr>
              <w:pStyle w:val="178"/>
              <w:spacing w:after="120"/>
            </w:pPr>
          </w:p>
        </w:tc>
        <w:tc>
          <w:tcPr>
            <w:tcW w:w="370" w:type="pct"/>
            <w:vMerge w:val="continue"/>
            <w:shd w:val="clear" w:color="auto" w:fill="auto"/>
            <w:vAlign w:val="center"/>
          </w:tcPr>
          <w:p>
            <w:pPr>
              <w:pStyle w:val="178"/>
            </w:pPr>
          </w:p>
        </w:tc>
        <w:tc>
          <w:tcPr>
            <w:tcW w:w="370" w:type="pct"/>
            <w:vMerge w:val="continue"/>
            <w:shd w:val="clear" w:color="auto" w:fill="auto"/>
            <w:vAlign w:val="center"/>
          </w:tcPr>
          <w:p>
            <w:pPr>
              <w:pStyle w:val="178"/>
              <w:spacing w:after="120"/>
              <w:jc w:val="both"/>
            </w:pPr>
          </w:p>
        </w:tc>
        <w:tc>
          <w:tcPr>
            <w:tcW w:w="406" w:type="pct"/>
            <w:vMerge w:val="continue"/>
            <w:shd w:val="clear" w:color="auto" w:fill="auto"/>
            <w:vAlign w:val="center"/>
          </w:tcPr>
          <w:p>
            <w:pPr>
              <w:pStyle w:val="178"/>
              <w:spacing w:after="120"/>
            </w:pPr>
          </w:p>
        </w:tc>
        <w:tc>
          <w:tcPr>
            <w:tcW w:w="453" w:type="pct"/>
            <w:vMerge w:val="continue"/>
            <w:shd w:val="clear" w:color="auto" w:fill="auto"/>
            <w:vAlign w:val="center"/>
          </w:tcPr>
          <w:p>
            <w:pPr>
              <w:pStyle w:val="178"/>
              <w:spacing w:after="120"/>
            </w:pPr>
          </w:p>
        </w:tc>
        <w:tc>
          <w:tcPr>
            <w:tcW w:w="627" w:type="pct"/>
            <w:vMerge w:val="continue"/>
            <w:shd w:val="clear" w:color="auto" w:fill="auto"/>
            <w:vAlign w:val="center"/>
          </w:tcPr>
          <w:p>
            <w:pPr>
              <w:pStyle w:val="178"/>
              <w:spacing w:after="120"/>
            </w:pPr>
          </w:p>
        </w:tc>
        <w:tc>
          <w:tcPr>
            <w:tcW w:w="606" w:type="pct"/>
            <w:tcBorders>
              <w:top w:val="single" w:color="auto" w:sz="8" w:space="0"/>
            </w:tcBorders>
            <w:shd w:val="clear" w:color="auto" w:fill="auto"/>
            <w:vAlign w:val="center"/>
          </w:tcPr>
          <w:p>
            <w:pPr>
              <w:pStyle w:val="178"/>
              <w:spacing w:after="120"/>
            </w:pPr>
            <w:r>
              <w:t>2</w:t>
            </w:r>
          </w:p>
        </w:tc>
        <w:tc>
          <w:tcPr>
            <w:tcW w:w="606" w:type="pct"/>
            <w:tcBorders>
              <w:top w:val="single" w:color="auto" w:sz="8" w:space="0"/>
            </w:tcBorders>
            <w:shd w:val="clear" w:color="auto" w:fill="auto"/>
            <w:vAlign w:val="center"/>
          </w:tcPr>
          <w:p>
            <w:pPr>
              <w:pStyle w:val="178"/>
              <w:spacing w:after="120"/>
              <w:jc w:val="left"/>
            </w:pPr>
            <w:r>
              <w:rPr>
                <w:rFonts w:hint="eastAsia"/>
              </w:rPr>
              <w:t>就地设备</w:t>
            </w:r>
            <w:r>
              <w:t>检修</w:t>
            </w:r>
          </w:p>
        </w:tc>
        <w:tc>
          <w:tcPr>
            <w:tcW w:w="610" w:type="pct"/>
            <w:tcBorders>
              <w:top w:val="single" w:color="auto" w:sz="8" w:space="0"/>
            </w:tcBorders>
            <w:shd w:val="clear" w:color="auto" w:fill="auto"/>
            <w:vAlign w:val="center"/>
          </w:tcPr>
          <w:p>
            <w:pPr>
              <w:pStyle w:val="178"/>
              <w:spacing w:after="120"/>
              <w:jc w:val="left"/>
            </w:pPr>
            <w:r>
              <w:rPr>
                <w:rFonts w:hint="eastAsia"/>
              </w:rPr>
              <w:t>高处作业</w:t>
            </w:r>
            <w:r>
              <w:t>存在高</w:t>
            </w:r>
            <w:r>
              <w:rPr>
                <w:rFonts w:hint="eastAsia"/>
              </w:rPr>
              <w:t>空</w:t>
            </w:r>
            <w:r>
              <w:t>股坠落</w:t>
            </w:r>
            <w:r>
              <w:rPr>
                <w:rFonts w:hint="eastAsia"/>
              </w:rPr>
              <w:t>风险；</w:t>
            </w:r>
            <w:r>
              <w:t>拆卸火</w:t>
            </w:r>
            <w:r>
              <w:rPr>
                <w:rFonts w:hint="eastAsia"/>
              </w:rPr>
              <w:t>检光纤</w:t>
            </w:r>
            <w:r>
              <w:t>时</w:t>
            </w:r>
            <w:r>
              <w:rPr>
                <w:rFonts w:hint="eastAsia"/>
              </w:rPr>
              <w:t>存在烫伤</w:t>
            </w:r>
            <w:r>
              <w:t>的危险</w:t>
            </w:r>
          </w:p>
        </w:tc>
        <w:tc>
          <w:tcPr>
            <w:tcW w:w="582" w:type="pct"/>
            <w:tcBorders>
              <w:top w:val="single" w:color="auto" w:sz="8" w:space="0"/>
            </w:tcBorders>
            <w:shd w:val="clear" w:color="auto" w:fill="auto"/>
            <w:vAlign w:val="center"/>
          </w:tcPr>
          <w:p>
            <w:pPr>
              <w:pStyle w:val="178"/>
              <w:spacing w:after="120"/>
              <w:jc w:val="left"/>
            </w:pPr>
            <w:r>
              <w:rPr>
                <w:rFonts w:hint="eastAsia"/>
              </w:rPr>
              <w:t>高空</w:t>
            </w:r>
            <w:r>
              <w:t>坠落、烫</w:t>
            </w:r>
            <w:r>
              <w:rPr>
                <w:rFonts w:hint="eastAsia"/>
              </w:rPr>
              <w:t>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370" w:type="pct"/>
            <w:shd w:val="clear" w:color="auto" w:fill="auto"/>
            <w:vAlign w:val="center"/>
          </w:tcPr>
          <w:p>
            <w:pPr>
              <w:pStyle w:val="178"/>
              <w:spacing w:after="120"/>
            </w:pPr>
            <w:r>
              <w:t>…</w:t>
            </w:r>
          </w:p>
        </w:tc>
        <w:tc>
          <w:tcPr>
            <w:tcW w:w="370" w:type="pct"/>
            <w:shd w:val="clear" w:color="auto" w:fill="auto"/>
            <w:vAlign w:val="center"/>
          </w:tcPr>
          <w:p>
            <w:pPr>
              <w:pStyle w:val="178"/>
              <w:spacing w:after="120"/>
            </w:pPr>
            <w:r>
              <w:t>…</w:t>
            </w:r>
          </w:p>
        </w:tc>
        <w:tc>
          <w:tcPr>
            <w:tcW w:w="370" w:type="pct"/>
            <w:shd w:val="clear" w:color="auto" w:fill="auto"/>
            <w:vAlign w:val="center"/>
          </w:tcPr>
          <w:p>
            <w:pPr>
              <w:pStyle w:val="178"/>
              <w:spacing w:after="120"/>
            </w:pPr>
            <w:r>
              <w:t>…</w:t>
            </w:r>
          </w:p>
        </w:tc>
        <w:tc>
          <w:tcPr>
            <w:tcW w:w="406" w:type="pct"/>
            <w:shd w:val="clear" w:color="auto" w:fill="auto"/>
            <w:vAlign w:val="center"/>
          </w:tcPr>
          <w:p>
            <w:pPr>
              <w:pStyle w:val="178"/>
              <w:spacing w:after="120"/>
            </w:pPr>
            <w:r>
              <w:t>…</w:t>
            </w:r>
          </w:p>
        </w:tc>
        <w:tc>
          <w:tcPr>
            <w:tcW w:w="453" w:type="pct"/>
            <w:shd w:val="clear" w:color="auto" w:fill="auto"/>
            <w:vAlign w:val="center"/>
          </w:tcPr>
          <w:p>
            <w:pPr>
              <w:pStyle w:val="178"/>
              <w:spacing w:after="120"/>
            </w:pPr>
            <w:r>
              <w:t>…</w:t>
            </w:r>
          </w:p>
        </w:tc>
        <w:tc>
          <w:tcPr>
            <w:tcW w:w="627" w:type="pct"/>
            <w:shd w:val="clear" w:color="auto" w:fill="auto"/>
            <w:vAlign w:val="center"/>
          </w:tcPr>
          <w:p>
            <w:pPr>
              <w:pStyle w:val="178"/>
              <w:spacing w:after="120"/>
            </w:pPr>
            <w:r>
              <w:t>…</w:t>
            </w:r>
          </w:p>
        </w:tc>
        <w:tc>
          <w:tcPr>
            <w:tcW w:w="606" w:type="pct"/>
            <w:shd w:val="clear" w:color="auto" w:fill="auto"/>
            <w:vAlign w:val="center"/>
          </w:tcPr>
          <w:p>
            <w:pPr>
              <w:pStyle w:val="178"/>
              <w:spacing w:after="120"/>
            </w:pPr>
            <w:r>
              <w:t>…</w:t>
            </w:r>
          </w:p>
        </w:tc>
        <w:tc>
          <w:tcPr>
            <w:tcW w:w="606" w:type="pct"/>
            <w:shd w:val="clear" w:color="auto" w:fill="auto"/>
            <w:vAlign w:val="center"/>
          </w:tcPr>
          <w:p>
            <w:pPr>
              <w:pStyle w:val="178"/>
              <w:spacing w:after="120"/>
            </w:pPr>
            <w:r>
              <w:t>…</w:t>
            </w:r>
          </w:p>
        </w:tc>
        <w:tc>
          <w:tcPr>
            <w:tcW w:w="610" w:type="pct"/>
            <w:shd w:val="clear" w:color="auto" w:fill="auto"/>
            <w:vAlign w:val="center"/>
          </w:tcPr>
          <w:p>
            <w:pPr>
              <w:pStyle w:val="178"/>
              <w:spacing w:after="120"/>
            </w:pPr>
            <w:r>
              <w:t>…</w:t>
            </w:r>
          </w:p>
        </w:tc>
        <w:tc>
          <w:tcPr>
            <w:tcW w:w="582" w:type="pct"/>
            <w:shd w:val="clear" w:color="auto" w:fill="auto"/>
            <w:vAlign w:val="center"/>
          </w:tcPr>
          <w:p>
            <w:pPr>
              <w:pStyle w:val="178"/>
              <w:spacing w:after="120"/>
            </w:pPr>
            <w:r>
              <w:t>…</w:t>
            </w:r>
          </w:p>
        </w:tc>
      </w:tr>
    </w:tbl>
    <w:p>
      <w:pPr>
        <w:pStyle w:val="56"/>
        <w:ind w:firstLine="420"/>
      </w:pPr>
    </w:p>
    <w:p>
      <w:pPr>
        <w:pStyle w:val="56"/>
        <w:ind w:firstLine="420"/>
      </w:pPr>
    </w:p>
    <w:p>
      <w:pPr>
        <w:widowControl/>
        <w:adjustRightInd/>
        <w:spacing w:line="240" w:lineRule="auto"/>
        <w:jc w:val="left"/>
        <w:sectPr>
          <w:pgSz w:w="11906" w:h="16838"/>
          <w:pgMar w:top="1928" w:right="1134" w:bottom="1134" w:left="1134" w:header="1418" w:footer="1134" w:gutter="284"/>
          <w:cols w:space="425" w:num="1"/>
          <w:formProt w:val="0"/>
          <w:docGrid w:linePitch="312" w:charSpace="0"/>
        </w:sectPr>
      </w:pPr>
      <w:r>
        <w:br w:type="page"/>
      </w:r>
    </w:p>
    <w:p>
      <w:pPr>
        <w:pStyle w:val="77"/>
        <w:spacing w:before="120" w:after="120"/>
        <w:ind w:firstLine="420"/>
      </w:pPr>
      <w:r>
        <w:rPr>
          <w:rFonts w:hint="eastAsia"/>
        </w:rPr>
        <w:t xml:space="preserve"> 安全检查表分析（SCL+LS）评价记录表</w:t>
      </w:r>
    </w:p>
    <w:p>
      <w:pPr>
        <w:pStyle w:val="56"/>
        <w:ind w:firstLine="0" w:firstLineChars="0"/>
      </w:pPr>
      <w:r>
        <w:t>辨识单元：</w:t>
      </w:r>
      <w:r>
        <w:rPr>
          <w:rFonts w:hint="eastAsia"/>
        </w:rPr>
        <w:t>热工</w:t>
      </w:r>
      <w:r>
        <w:t>车间</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45"/>
        <w:gridCol w:w="329"/>
        <w:gridCol w:w="252"/>
        <w:gridCol w:w="826"/>
        <w:gridCol w:w="2578"/>
        <w:gridCol w:w="514"/>
        <w:gridCol w:w="265"/>
        <w:gridCol w:w="210"/>
        <w:gridCol w:w="190"/>
        <w:gridCol w:w="275"/>
        <w:gridCol w:w="370"/>
        <w:gridCol w:w="528"/>
        <w:gridCol w:w="1496"/>
        <w:gridCol w:w="983"/>
        <w:gridCol w:w="1354"/>
        <w:gridCol w:w="266"/>
        <w:gridCol w:w="266"/>
        <w:gridCol w:w="255"/>
        <w:gridCol w:w="302"/>
        <w:gridCol w:w="490"/>
        <w:gridCol w:w="291"/>
        <w:gridCol w:w="371"/>
        <w:gridCol w:w="371"/>
        <w:gridCol w:w="36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57" w:hRule="atLeast"/>
          <w:tblHeader/>
          <w:jc w:val="center"/>
        </w:trPr>
        <w:tc>
          <w:tcPr>
            <w:tcW w:w="326" w:type="pct"/>
            <w:gridSpan w:val="3"/>
            <w:tcBorders>
              <w:top w:val="single" w:color="auto" w:sz="8" w:space="0"/>
            </w:tcBorders>
            <w:shd w:val="clear" w:color="auto" w:fill="auto"/>
            <w:vAlign w:val="center"/>
          </w:tcPr>
          <w:p>
            <w:pPr>
              <w:pStyle w:val="178"/>
              <w:spacing w:after="120"/>
            </w:pPr>
            <w:r>
              <w:t>风险点基本信息</w:t>
            </w:r>
          </w:p>
        </w:tc>
        <w:tc>
          <w:tcPr>
            <w:tcW w:w="1437" w:type="pct"/>
            <w:gridSpan w:val="3"/>
            <w:tcBorders>
              <w:top w:val="single" w:color="auto" w:sz="8" w:space="0"/>
            </w:tcBorders>
            <w:shd w:val="clear" w:color="auto" w:fill="auto"/>
            <w:vAlign w:val="center"/>
          </w:tcPr>
          <w:p>
            <w:pPr>
              <w:pStyle w:val="178"/>
              <w:spacing w:after="120"/>
            </w:pPr>
            <w:r>
              <w:t>检查项目</w:t>
            </w:r>
          </w:p>
        </w:tc>
        <w:tc>
          <w:tcPr>
            <w:tcW w:w="364" w:type="pct"/>
            <w:gridSpan w:val="4"/>
            <w:tcBorders>
              <w:top w:val="single" w:color="auto" w:sz="8" w:space="0"/>
            </w:tcBorders>
            <w:vAlign w:val="center"/>
          </w:tcPr>
          <w:p>
            <w:pPr>
              <w:pStyle w:val="178"/>
              <w:spacing w:after="120"/>
            </w:pPr>
            <w:r>
              <w:t>固有风险评价</w:t>
            </w:r>
          </w:p>
        </w:tc>
        <w:tc>
          <w:tcPr>
            <w:tcW w:w="1743" w:type="pct"/>
            <w:gridSpan w:val="5"/>
            <w:tcBorders>
              <w:top w:val="single" w:color="auto" w:sz="8" w:space="0"/>
            </w:tcBorders>
            <w:vAlign w:val="center"/>
          </w:tcPr>
          <w:p>
            <w:pPr>
              <w:pStyle w:val="178"/>
              <w:spacing w:after="120"/>
            </w:pPr>
            <w:r>
              <w:t>现有管控措施</w:t>
            </w:r>
          </w:p>
        </w:tc>
        <w:tc>
          <w:tcPr>
            <w:tcW w:w="417" w:type="pct"/>
            <w:gridSpan w:val="4"/>
            <w:tcBorders>
              <w:top w:val="single" w:color="auto" w:sz="8" w:space="0"/>
            </w:tcBorders>
            <w:vAlign w:val="center"/>
          </w:tcPr>
          <w:p>
            <w:pPr>
              <w:pStyle w:val="178"/>
              <w:spacing w:after="120"/>
            </w:pPr>
            <w:r>
              <w:t>现有风险评价</w:t>
            </w:r>
          </w:p>
        </w:tc>
        <w:tc>
          <w:tcPr>
            <w:tcW w:w="712" w:type="pct"/>
            <w:gridSpan w:val="5"/>
            <w:tcBorders>
              <w:top w:val="single" w:color="auto" w:sz="8" w:space="0"/>
            </w:tcBorders>
            <w:vAlign w:val="center"/>
          </w:tcPr>
          <w:p>
            <w:pPr>
              <w:pStyle w:val="178"/>
              <w:spacing w:after="120"/>
            </w:pPr>
            <w:r>
              <w:t>补充管控措施（选填）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57" w:hRule="atLeast"/>
          <w:tblHeader/>
          <w:jc w:val="center"/>
        </w:trPr>
        <w:tc>
          <w:tcPr>
            <w:tcW w:w="104" w:type="pct"/>
            <w:tcBorders>
              <w:bottom w:val="single" w:color="auto" w:sz="8" w:space="0"/>
            </w:tcBorders>
            <w:shd w:val="clear" w:color="auto" w:fill="auto"/>
            <w:vAlign w:val="center"/>
          </w:tcPr>
          <w:p>
            <w:pPr>
              <w:pStyle w:val="178"/>
              <w:spacing w:after="120"/>
            </w:pPr>
            <w:r>
              <w:t>编号</w:t>
            </w:r>
          </w:p>
        </w:tc>
        <w:tc>
          <w:tcPr>
            <w:tcW w:w="125" w:type="pct"/>
            <w:tcBorders>
              <w:top w:val="single" w:color="auto" w:sz="8" w:space="0"/>
              <w:bottom w:val="single" w:color="auto" w:sz="8" w:space="0"/>
            </w:tcBorders>
            <w:shd w:val="clear" w:color="auto" w:fill="auto"/>
            <w:vAlign w:val="center"/>
          </w:tcPr>
          <w:p>
            <w:pPr>
              <w:pStyle w:val="178"/>
              <w:spacing w:after="120"/>
            </w:pPr>
            <w:r>
              <w:t>类型</w:t>
            </w:r>
          </w:p>
        </w:tc>
        <w:tc>
          <w:tcPr>
            <w:tcW w:w="97" w:type="pct"/>
            <w:tcBorders>
              <w:top w:val="single" w:color="auto" w:sz="8" w:space="0"/>
              <w:bottom w:val="single" w:color="auto" w:sz="8" w:space="0"/>
            </w:tcBorders>
            <w:shd w:val="clear" w:color="auto" w:fill="auto"/>
            <w:vAlign w:val="center"/>
          </w:tcPr>
          <w:p>
            <w:pPr>
              <w:pStyle w:val="178"/>
              <w:spacing w:after="120"/>
            </w:pPr>
            <w:r>
              <w:t>名称</w:t>
            </w:r>
          </w:p>
        </w:tc>
        <w:tc>
          <w:tcPr>
            <w:tcW w:w="305" w:type="pct"/>
            <w:tcBorders>
              <w:bottom w:val="single" w:color="auto" w:sz="8" w:space="0"/>
            </w:tcBorders>
            <w:shd w:val="clear" w:color="auto" w:fill="auto"/>
            <w:vAlign w:val="center"/>
          </w:tcPr>
          <w:p>
            <w:pPr>
              <w:pStyle w:val="178"/>
              <w:spacing w:after="120"/>
            </w:pPr>
            <w:r>
              <w:t>检查项目名称</w:t>
            </w:r>
          </w:p>
        </w:tc>
        <w:tc>
          <w:tcPr>
            <w:tcW w:w="940" w:type="pct"/>
            <w:tcBorders>
              <w:bottom w:val="single" w:color="auto" w:sz="8" w:space="0"/>
            </w:tcBorders>
            <w:shd w:val="clear" w:color="auto" w:fill="auto"/>
            <w:vAlign w:val="center"/>
          </w:tcPr>
          <w:p>
            <w:pPr>
              <w:pStyle w:val="178"/>
              <w:spacing w:after="120"/>
            </w:pPr>
            <w:r>
              <w:t>检查标准</w:t>
            </w:r>
          </w:p>
        </w:tc>
        <w:tc>
          <w:tcPr>
            <w:tcW w:w="192" w:type="pct"/>
            <w:tcBorders>
              <w:bottom w:val="single" w:color="auto" w:sz="8" w:space="0"/>
            </w:tcBorders>
            <w:shd w:val="clear" w:color="auto" w:fill="auto"/>
            <w:vAlign w:val="center"/>
          </w:tcPr>
          <w:p>
            <w:pPr>
              <w:pStyle w:val="178"/>
              <w:spacing w:after="120"/>
            </w:pPr>
            <w:r>
              <w:t>主要后果</w:t>
            </w:r>
          </w:p>
        </w:tc>
        <w:tc>
          <w:tcPr>
            <w:tcW w:w="102" w:type="pct"/>
            <w:tcBorders>
              <w:bottom w:val="single" w:color="auto" w:sz="8" w:space="0"/>
            </w:tcBorders>
            <w:vAlign w:val="center"/>
          </w:tcPr>
          <w:p>
            <w:pPr>
              <w:pStyle w:val="178"/>
              <w:spacing w:after="120"/>
            </w:pPr>
            <w:r>
              <w:t>L</w:t>
            </w:r>
          </w:p>
        </w:tc>
        <w:tc>
          <w:tcPr>
            <w:tcW w:w="82" w:type="pct"/>
            <w:tcBorders>
              <w:bottom w:val="single" w:color="auto" w:sz="8" w:space="0"/>
            </w:tcBorders>
            <w:vAlign w:val="center"/>
          </w:tcPr>
          <w:p>
            <w:pPr>
              <w:pStyle w:val="178"/>
              <w:spacing w:after="120"/>
            </w:pPr>
            <w:r>
              <w:t>S</w:t>
            </w:r>
          </w:p>
        </w:tc>
        <w:tc>
          <w:tcPr>
            <w:tcW w:w="71" w:type="pct"/>
            <w:tcBorders>
              <w:bottom w:val="single" w:color="auto" w:sz="8" w:space="0"/>
            </w:tcBorders>
            <w:vAlign w:val="center"/>
          </w:tcPr>
          <w:p>
            <w:pPr>
              <w:pStyle w:val="178"/>
              <w:spacing w:after="120"/>
            </w:pPr>
            <w:r>
              <w:t>R</w:t>
            </w:r>
          </w:p>
        </w:tc>
        <w:tc>
          <w:tcPr>
            <w:tcW w:w="109" w:type="pct"/>
            <w:tcBorders>
              <w:bottom w:val="single" w:color="auto" w:sz="8" w:space="0"/>
            </w:tcBorders>
            <w:vAlign w:val="center"/>
          </w:tcPr>
          <w:p>
            <w:pPr>
              <w:pStyle w:val="178"/>
              <w:spacing w:after="120"/>
            </w:pPr>
            <w:r>
              <w:t>风险等级</w:t>
            </w:r>
          </w:p>
        </w:tc>
        <w:tc>
          <w:tcPr>
            <w:tcW w:w="140" w:type="pct"/>
            <w:tcBorders>
              <w:bottom w:val="single" w:color="auto" w:sz="8" w:space="0"/>
            </w:tcBorders>
            <w:vAlign w:val="center"/>
          </w:tcPr>
          <w:p>
            <w:pPr>
              <w:pStyle w:val="178"/>
              <w:spacing w:after="120"/>
            </w:pPr>
            <w:r>
              <w:rPr>
                <w:rFonts w:hAnsi="宋体"/>
                <w:color w:val="000000"/>
              </w:rPr>
              <w:t>工程技术措施</w:t>
            </w:r>
          </w:p>
        </w:tc>
        <w:tc>
          <w:tcPr>
            <w:tcW w:w="197" w:type="pct"/>
            <w:tcBorders>
              <w:bottom w:val="single" w:color="auto" w:sz="8" w:space="0"/>
            </w:tcBorders>
            <w:vAlign w:val="center"/>
          </w:tcPr>
          <w:p>
            <w:pPr>
              <w:pStyle w:val="178"/>
              <w:spacing w:after="120"/>
            </w:pPr>
            <w:r>
              <w:rPr>
                <w:rFonts w:hAnsi="宋体"/>
                <w:color w:val="000000"/>
              </w:rPr>
              <w:t>管理措施</w:t>
            </w:r>
          </w:p>
        </w:tc>
        <w:tc>
          <w:tcPr>
            <w:tcW w:w="548" w:type="pct"/>
            <w:tcBorders>
              <w:bottom w:val="single" w:color="auto" w:sz="8" w:space="0"/>
            </w:tcBorders>
            <w:vAlign w:val="center"/>
          </w:tcPr>
          <w:p>
            <w:pPr>
              <w:pStyle w:val="178"/>
              <w:spacing w:after="120"/>
            </w:pPr>
            <w:r>
              <w:rPr>
                <w:rFonts w:hAnsi="宋体"/>
                <w:color w:val="000000"/>
              </w:rPr>
              <w:t>培训教育措施</w:t>
            </w:r>
          </w:p>
        </w:tc>
        <w:tc>
          <w:tcPr>
            <w:tcW w:w="362" w:type="pct"/>
            <w:tcBorders>
              <w:bottom w:val="single" w:color="auto" w:sz="8" w:space="0"/>
            </w:tcBorders>
            <w:vAlign w:val="center"/>
          </w:tcPr>
          <w:p>
            <w:pPr>
              <w:pStyle w:val="178"/>
              <w:spacing w:after="120"/>
            </w:pPr>
            <w:r>
              <w:rPr>
                <w:rFonts w:hAnsi="宋体"/>
                <w:color w:val="000000"/>
              </w:rPr>
              <w:t>个体防护措施</w:t>
            </w:r>
          </w:p>
        </w:tc>
        <w:tc>
          <w:tcPr>
            <w:tcW w:w="496" w:type="pct"/>
            <w:tcBorders>
              <w:bottom w:val="single" w:color="auto" w:sz="8" w:space="0"/>
            </w:tcBorders>
            <w:vAlign w:val="center"/>
          </w:tcPr>
          <w:p>
            <w:pPr>
              <w:pStyle w:val="178"/>
              <w:spacing w:after="120"/>
            </w:pPr>
            <w:r>
              <w:rPr>
                <w:rFonts w:hAnsi="宋体"/>
                <w:color w:val="000000"/>
              </w:rPr>
              <w:t>应急处置措施</w:t>
            </w:r>
          </w:p>
        </w:tc>
        <w:tc>
          <w:tcPr>
            <w:tcW w:w="102" w:type="pct"/>
            <w:tcBorders>
              <w:bottom w:val="single" w:color="auto" w:sz="8" w:space="0"/>
            </w:tcBorders>
            <w:vAlign w:val="center"/>
          </w:tcPr>
          <w:p>
            <w:pPr>
              <w:pStyle w:val="178"/>
              <w:spacing w:after="120"/>
            </w:pPr>
            <w:r>
              <w:t>L</w:t>
            </w:r>
          </w:p>
        </w:tc>
        <w:tc>
          <w:tcPr>
            <w:tcW w:w="102" w:type="pct"/>
            <w:tcBorders>
              <w:bottom w:val="single" w:color="auto" w:sz="8" w:space="0"/>
            </w:tcBorders>
            <w:vAlign w:val="center"/>
          </w:tcPr>
          <w:p>
            <w:pPr>
              <w:pStyle w:val="178"/>
              <w:spacing w:after="120"/>
            </w:pPr>
            <w:r>
              <w:t>S</w:t>
            </w:r>
          </w:p>
        </w:tc>
        <w:tc>
          <w:tcPr>
            <w:tcW w:w="98" w:type="pct"/>
            <w:tcBorders>
              <w:bottom w:val="single" w:color="auto" w:sz="8" w:space="0"/>
            </w:tcBorders>
            <w:vAlign w:val="center"/>
          </w:tcPr>
          <w:p>
            <w:pPr>
              <w:pStyle w:val="178"/>
              <w:spacing w:after="120"/>
            </w:pPr>
            <w:r>
              <w:t>R</w:t>
            </w:r>
          </w:p>
        </w:tc>
        <w:tc>
          <w:tcPr>
            <w:tcW w:w="115" w:type="pct"/>
            <w:tcBorders>
              <w:bottom w:val="single" w:color="auto" w:sz="8" w:space="0"/>
            </w:tcBorders>
            <w:vAlign w:val="center"/>
          </w:tcPr>
          <w:p>
            <w:pPr>
              <w:pStyle w:val="178"/>
              <w:spacing w:after="120"/>
            </w:pPr>
            <w:r>
              <w:t>风险等级</w:t>
            </w:r>
          </w:p>
        </w:tc>
        <w:tc>
          <w:tcPr>
            <w:tcW w:w="183" w:type="pct"/>
            <w:tcBorders>
              <w:bottom w:val="single" w:color="auto" w:sz="8" w:space="0"/>
            </w:tcBorders>
            <w:vAlign w:val="center"/>
          </w:tcPr>
          <w:p>
            <w:pPr>
              <w:pStyle w:val="178"/>
              <w:spacing w:after="120"/>
            </w:pPr>
            <w:r>
              <w:rPr>
                <w:rFonts w:hAnsi="宋体"/>
                <w:color w:val="000000"/>
              </w:rPr>
              <w:t>工程技术措施</w:t>
            </w:r>
          </w:p>
        </w:tc>
        <w:tc>
          <w:tcPr>
            <w:tcW w:w="111" w:type="pct"/>
            <w:tcBorders>
              <w:bottom w:val="single" w:color="auto" w:sz="8" w:space="0"/>
            </w:tcBorders>
            <w:vAlign w:val="center"/>
          </w:tcPr>
          <w:p>
            <w:pPr>
              <w:pStyle w:val="178"/>
              <w:spacing w:after="120"/>
            </w:pPr>
            <w:r>
              <w:rPr>
                <w:rFonts w:hAnsi="宋体"/>
                <w:color w:val="000000"/>
              </w:rPr>
              <w:t>管理措施</w:t>
            </w:r>
          </w:p>
        </w:tc>
        <w:tc>
          <w:tcPr>
            <w:tcW w:w="140" w:type="pct"/>
            <w:tcBorders>
              <w:bottom w:val="single" w:color="auto" w:sz="8" w:space="0"/>
            </w:tcBorders>
            <w:vAlign w:val="center"/>
          </w:tcPr>
          <w:p>
            <w:pPr>
              <w:pStyle w:val="178"/>
              <w:spacing w:after="120"/>
            </w:pPr>
            <w:r>
              <w:rPr>
                <w:rFonts w:hAnsi="宋体"/>
                <w:color w:val="000000"/>
              </w:rPr>
              <w:t>培训教育措施</w:t>
            </w:r>
          </w:p>
        </w:tc>
        <w:tc>
          <w:tcPr>
            <w:tcW w:w="140" w:type="pct"/>
            <w:tcBorders>
              <w:bottom w:val="single" w:color="auto" w:sz="8" w:space="0"/>
            </w:tcBorders>
            <w:vAlign w:val="center"/>
          </w:tcPr>
          <w:p>
            <w:pPr>
              <w:pStyle w:val="178"/>
              <w:spacing w:after="120"/>
            </w:pPr>
            <w:r>
              <w:rPr>
                <w:rFonts w:hAnsi="宋体"/>
                <w:color w:val="000000"/>
              </w:rPr>
              <w:t>个体防护措施</w:t>
            </w:r>
          </w:p>
        </w:tc>
        <w:tc>
          <w:tcPr>
            <w:tcW w:w="139" w:type="pct"/>
            <w:tcBorders>
              <w:bottom w:val="single" w:color="auto" w:sz="8" w:space="0"/>
            </w:tcBorders>
            <w:vAlign w:val="center"/>
          </w:tcPr>
          <w:p>
            <w:pPr>
              <w:pStyle w:val="178"/>
              <w:spacing w:after="120"/>
            </w:pPr>
            <w:r>
              <w:rPr>
                <w:rFonts w:hAnsi="宋体"/>
                <w:color w:val="000000"/>
              </w:rPr>
              <w:t>应急处置措施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104" w:type="pct"/>
            <w:vMerge w:val="restart"/>
            <w:tcBorders>
              <w:top w:val="single" w:color="auto" w:sz="8" w:space="0"/>
            </w:tcBorders>
            <w:shd w:val="clear" w:color="auto" w:fill="auto"/>
            <w:vAlign w:val="center"/>
          </w:tcPr>
          <w:p>
            <w:pPr>
              <w:pStyle w:val="178"/>
              <w:spacing w:after="120"/>
            </w:pPr>
            <w:r>
              <w:t>RG-ZY-1</w:t>
            </w:r>
          </w:p>
        </w:tc>
        <w:tc>
          <w:tcPr>
            <w:tcW w:w="125" w:type="pct"/>
            <w:vMerge w:val="restart"/>
            <w:tcBorders>
              <w:top w:val="single" w:color="auto" w:sz="8" w:space="0"/>
            </w:tcBorders>
            <w:shd w:val="clear" w:color="auto" w:fill="auto"/>
            <w:vAlign w:val="center"/>
          </w:tcPr>
          <w:p>
            <w:pPr>
              <w:pStyle w:val="178"/>
              <w:spacing w:after="120"/>
            </w:pPr>
            <w:r>
              <w:rPr>
                <w:rFonts w:hint="eastAsia"/>
              </w:rPr>
              <w:t>作业活动</w:t>
            </w:r>
          </w:p>
        </w:tc>
        <w:tc>
          <w:tcPr>
            <w:tcW w:w="97" w:type="pct"/>
            <w:vMerge w:val="restart"/>
            <w:tcBorders>
              <w:top w:val="single" w:color="auto" w:sz="8" w:space="0"/>
            </w:tcBorders>
            <w:shd w:val="clear" w:color="auto" w:fill="auto"/>
            <w:vAlign w:val="center"/>
          </w:tcPr>
          <w:p>
            <w:pPr>
              <w:pStyle w:val="178"/>
              <w:spacing w:after="120"/>
            </w:pPr>
            <w:r>
              <w:rPr>
                <w:rFonts w:hint="eastAsia"/>
              </w:rPr>
              <w:t>火检系统</w:t>
            </w:r>
            <w:r>
              <w:t>检修</w:t>
            </w:r>
          </w:p>
        </w:tc>
        <w:tc>
          <w:tcPr>
            <w:tcW w:w="305" w:type="pct"/>
            <w:tcBorders>
              <w:top w:val="single" w:color="auto" w:sz="8" w:space="0"/>
            </w:tcBorders>
            <w:shd w:val="clear" w:color="auto" w:fill="auto"/>
            <w:vAlign w:val="center"/>
          </w:tcPr>
          <w:p>
            <w:pPr>
              <w:pStyle w:val="178"/>
              <w:spacing w:after="120"/>
              <w:jc w:val="left"/>
            </w:pPr>
            <w:r>
              <w:rPr>
                <w:rFonts w:hint="eastAsia"/>
              </w:rPr>
              <w:t>电源检修</w:t>
            </w:r>
          </w:p>
        </w:tc>
        <w:tc>
          <w:tcPr>
            <w:tcW w:w="940" w:type="pct"/>
            <w:tcBorders>
              <w:top w:val="single" w:color="auto" w:sz="8" w:space="0"/>
            </w:tcBorders>
            <w:shd w:val="clear" w:color="auto" w:fill="auto"/>
            <w:vAlign w:val="center"/>
          </w:tcPr>
          <w:p>
            <w:pPr>
              <w:pStyle w:val="178"/>
              <w:spacing w:after="120"/>
            </w:pPr>
            <w:r>
              <w:rPr>
                <w:rFonts w:hint="eastAsia"/>
              </w:rPr>
              <w:t>电源指示</w:t>
            </w:r>
            <w:r>
              <w:t>正常</w:t>
            </w:r>
          </w:p>
        </w:tc>
        <w:tc>
          <w:tcPr>
            <w:tcW w:w="192" w:type="pct"/>
            <w:tcBorders>
              <w:top w:val="single" w:color="auto" w:sz="8" w:space="0"/>
            </w:tcBorders>
            <w:shd w:val="clear" w:color="auto" w:fill="auto"/>
            <w:vAlign w:val="center"/>
          </w:tcPr>
          <w:p>
            <w:pPr>
              <w:pStyle w:val="178"/>
              <w:spacing w:after="120"/>
              <w:jc w:val="left"/>
            </w:pPr>
            <w:r>
              <w:t>触电</w:t>
            </w:r>
          </w:p>
        </w:tc>
        <w:tc>
          <w:tcPr>
            <w:tcW w:w="102" w:type="pct"/>
            <w:tcBorders>
              <w:top w:val="single" w:color="auto" w:sz="8" w:space="0"/>
            </w:tcBorders>
            <w:shd w:val="clear" w:color="auto" w:fill="auto"/>
            <w:vAlign w:val="center"/>
          </w:tcPr>
          <w:p>
            <w:pPr>
              <w:pStyle w:val="178"/>
              <w:spacing w:after="120"/>
            </w:pPr>
            <w:r>
              <w:t>2</w:t>
            </w:r>
          </w:p>
        </w:tc>
        <w:tc>
          <w:tcPr>
            <w:tcW w:w="82" w:type="pct"/>
            <w:tcBorders>
              <w:top w:val="single" w:color="auto" w:sz="8" w:space="0"/>
            </w:tcBorders>
            <w:shd w:val="clear" w:color="auto" w:fill="auto"/>
            <w:vAlign w:val="center"/>
          </w:tcPr>
          <w:p>
            <w:pPr>
              <w:pStyle w:val="178"/>
              <w:spacing w:after="120"/>
            </w:pPr>
            <w:r>
              <w:t>5</w:t>
            </w:r>
          </w:p>
        </w:tc>
        <w:tc>
          <w:tcPr>
            <w:tcW w:w="71" w:type="pct"/>
            <w:tcBorders>
              <w:top w:val="single" w:color="auto" w:sz="8" w:space="0"/>
            </w:tcBorders>
            <w:shd w:val="clear" w:color="auto" w:fill="auto"/>
            <w:vAlign w:val="center"/>
          </w:tcPr>
          <w:p>
            <w:pPr>
              <w:pStyle w:val="178"/>
              <w:spacing w:after="120"/>
            </w:pPr>
            <w:r>
              <w:t>10</w:t>
            </w:r>
          </w:p>
        </w:tc>
        <w:tc>
          <w:tcPr>
            <w:tcW w:w="109" w:type="pct"/>
            <w:tcBorders>
              <w:top w:val="single" w:color="auto" w:sz="8" w:space="0"/>
            </w:tcBorders>
            <w:shd w:val="clear" w:color="auto" w:fill="auto"/>
            <w:vAlign w:val="center"/>
          </w:tcPr>
          <w:p>
            <w:pPr>
              <w:pStyle w:val="178"/>
              <w:spacing w:after="120"/>
            </w:pPr>
            <w:r>
              <w:t>一般风险</w:t>
            </w:r>
          </w:p>
        </w:tc>
        <w:tc>
          <w:tcPr>
            <w:tcW w:w="140" w:type="pct"/>
            <w:tcBorders>
              <w:top w:val="single" w:color="auto" w:sz="8" w:space="0"/>
            </w:tcBorders>
            <w:shd w:val="clear" w:color="auto" w:fill="auto"/>
            <w:vAlign w:val="center"/>
          </w:tcPr>
          <w:p>
            <w:pPr>
              <w:pStyle w:val="178"/>
              <w:spacing w:after="120"/>
            </w:pPr>
            <w:r>
              <w:rPr>
                <w:rFonts w:hint="eastAsia"/>
              </w:rPr>
              <w:t>语音</w:t>
            </w:r>
            <w:r>
              <w:t>报警提醒</w:t>
            </w:r>
          </w:p>
        </w:tc>
        <w:tc>
          <w:tcPr>
            <w:tcW w:w="197" w:type="pct"/>
            <w:tcBorders>
              <w:top w:val="single" w:color="auto" w:sz="8" w:space="0"/>
            </w:tcBorders>
            <w:shd w:val="clear" w:color="auto" w:fill="auto"/>
            <w:vAlign w:val="center"/>
          </w:tcPr>
          <w:p>
            <w:pPr>
              <w:pStyle w:val="178"/>
              <w:spacing w:after="120"/>
            </w:pPr>
            <w:r>
              <w:rPr>
                <w:rFonts w:hint="eastAsia"/>
              </w:rPr>
              <w:t>执行工作票</w:t>
            </w:r>
            <w:r>
              <w:t>制度</w:t>
            </w:r>
          </w:p>
        </w:tc>
        <w:tc>
          <w:tcPr>
            <w:tcW w:w="548" w:type="pct"/>
            <w:tcBorders>
              <w:top w:val="single" w:color="auto" w:sz="8" w:space="0"/>
            </w:tcBorders>
            <w:shd w:val="clear" w:color="auto" w:fill="auto"/>
            <w:vAlign w:val="center"/>
          </w:tcPr>
          <w:p>
            <w:pPr>
              <w:pStyle w:val="178"/>
              <w:spacing w:after="120"/>
            </w:pPr>
            <w:r>
              <w:rPr>
                <w:rFonts w:hint="eastAsia"/>
              </w:rPr>
              <w:t>安全规程</w:t>
            </w:r>
            <w:r>
              <w:t>培训考试、</w:t>
            </w:r>
            <w:r>
              <w:rPr>
                <w:rFonts w:hint="eastAsia"/>
              </w:rPr>
              <w:t>月度</w:t>
            </w:r>
            <w:r>
              <w:t>技术培训</w:t>
            </w:r>
          </w:p>
        </w:tc>
        <w:tc>
          <w:tcPr>
            <w:tcW w:w="362" w:type="pct"/>
            <w:tcBorders>
              <w:top w:val="single" w:color="auto" w:sz="8" w:space="0"/>
            </w:tcBorders>
            <w:shd w:val="clear" w:color="auto" w:fill="auto"/>
            <w:vAlign w:val="center"/>
          </w:tcPr>
          <w:p>
            <w:pPr>
              <w:pStyle w:val="178"/>
              <w:spacing w:after="120"/>
            </w:pPr>
            <w:r>
              <w:rPr>
                <w:rFonts w:hint="eastAsia"/>
              </w:rPr>
              <w:t>戴安全</w:t>
            </w:r>
            <w:r>
              <w:t>帽</w:t>
            </w:r>
          </w:p>
        </w:tc>
        <w:tc>
          <w:tcPr>
            <w:tcW w:w="496" w:type="pct"/>
            <w:tcBorders>
              <w:top w:val="single" w:color="auto" w:sz="8" w:space="0"/>
            </w:tcBorders>
            <w:shd w:val="clear" w:color="auto" w:fill="auto"/>
            <w:vAlign w:val="center"/>
          </w:tcPr>
          <w:p>
            <w:pPr>
              <w:pStyle w:val="178"/>
              <w:spacing w:after="120"/>
            </w:pPr>
            <w:r>
              <w:rPr>
                <w:rFonts w:hint="eastAsia"/>
              </w:rPr>
              <w:t>拨打应急</w:t>
            </w:r>
            <w:r>
              <w:t>电话</w:t>
            </w:r>
            <w:r>
              <w:rPr>
                <w:rFonts w:hint="eastAsia"/>
              </w:rPr>
              <w:t>，</w:t>
            </w:r>
            <w:r>
              <w:t>进行触电急救</w:t>
            </w:r>
          </w:p>
        </w:tc>
        <w:tc>
          <w:tcPr>
            <w:tcW w:w="102" w:type="pct"/>
            <w:tcBorders>
              <w:top w:val="single" w:color="auto" w:sz="8" w:space="0"/>
            </w:tcBorders>
            <w:shd w:val="clear" w:color="auto" w:fill="auto"/>
            <w:vAlign w:val="center"/>
          </w:tcPr>
          <w:p>
            <w:pPr>
              <w:pStyle w:val="178"/>
              <w:spacing w:after="120"/>
            </w:pPr>
            <w:r>
              <w:t>2</w:t>
            </w:r>
          </w:p>
        </w:tc>
        <w:tc>
          <w:tcPr>
            <w:tcW w:w="102" w:type="pct"/>
            <w:tcBorders>
              <w:top w:val="single" w:color="auto" w:sz="8" w:space="0"/>
            </w:tcBorders>
            <w:shd w:val="clear" w:color="auto" w:fill="auto"/>
            <w:vAlign w:val="center"/>
          </w:tcPr>
          <w:p>
            <w:pPr>
              <w:pStyle w:val="178"/>
              <w:spacing w:after="120"/>
            </w:pPr>
            <w:r>
              <w:t>2</w:t>
            </w:r>
          </w:p>
        </w:tc>
        <w:tc>
          <w:tcPr>
            <w:tcW w:w="98" w:type="pct"/>
            <w:tcBorders>
              <w:top w:val="single" w:color="auto" w:sz="8" w:space="0"/>
            </w:tcBorders>
            <w:shd w:val="clear" w:color="auto" w:fill="auto"/>
            <w:vAlign w:val="center"/>
          </w:tcPr>
          <w:p>
            <w:pPr>
              <w:pStyle w:val="178"/>
              <w:spacing w:after="120"/>
            </w:pPr>
            <w:r>
              <w:t>4</w:t>
            </w:r>
          </w:p>
        </w:tc>
        <w:tc>
          <w:tcPr>
            <w:tcW w:w="115" w:type="pct"/>
            <w:tcBorders>
              <w:top w:val="single" w:color="auto" w:sz="8" w:space="0"/>
            </w:tcBorders>
            <w:shd w:val="clear" w:color="auto" w:fill="auto"/>
            <w:vAlign w:val="center"/>
          </w:tcPr>
          <w:p>
            <w:pPr>
              <w:pStyle w:val="178"/>
              <w:spacing w:after="120"/>
            </w:pPr>
            <w:r>
              <w:t>低风险</w:t>
            </w:r>
          </w:p>
        </w:tc>
        <w:tc>
          <w:tcPr>
            <w:tcW w:w="183" w:type="pct"/>
            <w:tcBorders>
              <w:top w:val="single" w:color="auto" w:sz="8" w:space="0"/>
            </w:tcBorders>
            <w:shd w:val="clear" w:color="auto" w:fill="auto"/>
            <w:vAlign w:val="center"/>
          </w:tcPr>
          <w:p>
            <w:pPr>
              <w:pStyle w:val="178"/>
              <w:spacing w:after="120"/>
            </w:pPr>
            <w:r>
              <w:t>/</w:t>
            </w:r>
          </w:p>
        </w:tc>
        <w:tc>
          <w:tcPr>
            <w:tcW w:w="111" w:type="pct"/>
            <w:tcBorders>
              <w:top w:val="single" w:color="auto" w:sz="8" w:space="0"/>
            </w:tcBorders>
            <w:shd w:val="clear" w:color="auto" w:fill="auto"/>
            <w:vAlign w:val="center"/>
          </w:tcPr>
          <w:p>
            <w:pPr>
              <w:pStyle w:val="178"/>
              <w:spacing w:after="120"/>
            </w:pPr>
            <w:r>
              <w:t>/</w:t>
            </w:r>
          </w:p>
        </w:tc>
        <w:tc>
          <w:tcPr>
            <w:tcW w:w="140" w:type="pct"/>
            <w:tcBorders>
              <w:top w:val="single" w:color="auto" w:sz="8" w:space="0"/>
            </w:tcBorders>
            <w:shd w:val="clear" w:color="auto" w:fill="auto"/>
            <w:vAlign w:val="center"/>
          </w:tcPr>
          <w:p>
            <w:pPr>
              <w:pStyle w:val="178"/>
              <w:spacing w:after="120"/>
            </w:pPr>
            <w:r>
              <w:t>/</w:t>
            </w:r>
          </w:p>
        </w:tc>
        <w:tc>
          <w:tcPr>
            <w:tcW w:w="140" w:type="pct"/>
            <w:tcBorders>
              <w:top w:val="single" w:color="auto" w:sz="8" w:space="0"/>
            </w:tcBorders>
            <w:shd w:val="clear" w:color="auto" w:fill="auto"/>
            <w:vAlign w:val="center"/>
          </w:tcPr>
          <w:p>
            <w:pPr>
              <w:pStyle w:val="178"/>
              <w:spacing w:after="120"/>
            </w:pPr>
            <w:r>
              <w:t>/</w:t>
            </w:r>
          </w:p>
        </w:tc>
        <w:tc>
          <w:tcPr>
            <w:tcW w:w="139" w:type="pct"/>
            <w:tcBorders>
              <w:top w:val="single" w:color="auto" w:sz="8" w:space="0"/>
            </w:tcBorders>
            <w:vAlign w:val="center"/>
          </w:tcPr>
          <w:p>
            <w:pPr>
              <w:pStyle w:val="178"/>
              <w:spacing w:after="120"/>
            </w:pPr>
            <w: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104" w:type="pct"/>
            <w:vMerge w:val="continue"/>
            <w:shd w:val="clear" w:color="auto" w:fill="auto"/>
            <w:vAlign w:val="center"/>
          </w:tcPr>
          <w:p>
            <w:pPr>
              <w:pStyle w:val="178"/>
              <w:spacing w:after="120"/>
            </w:pPr>
          </w:p>
        </w:tc>
        <w:tc>
          <w:tcPr>
            <w:tcW w:w="125" w:type="pct"/>
            <w:vMerge w:val="continue"/>
            <w:shd w:val="clear" w:color="auto" w:fill="auto"/>
            <w:vAlign w:val="center"/>
          </w:tcPr>
          <w:p>
            <w:pPr>
              <w:pStyle w:val="178"/>
              <w:spacing w:after="120"/>
            </w:pPr>
          </w:p>
        </w:tc>
        <w:tc>
          <w:tcPr>
            <w:tcW w:w="97" w:type="pct"/>
            <w:vMerge w:val="continue"/>
            <w:shd w:val="clear" w:color="auto" w:fill="auto"/>
            <w:vAlign w:val="center"/>
          </w:tcPr>
          <w:p>
            <w:pPr>
              <w:pStyle w:val="178"/>
              <w:spacing w:after="120"/>
            </w:pPr>
          </w:p>
        </w:tc>
        <w:tc>
          <w:tcPr>
            <w:tcW w:w="305" w:type="pct"/>
            <w:tcBorders>
              <w:top w:val="single" w:color="auto" w:sz="8" w:space="0"/>
            </w:tcBorders>
            <w:shd w:val="clear" w:color="auto" w:fill="auto"/>
            <w:vAlign w:val="center"/>
          </w:tcPr>
          <w:p>
            <w:pPr>
              <w:pStyle w:val="178"/>
              <w:spacing w:after="120"/>
              <w:jc w:val="left"/>
            </w:pPr>
            <w:r>
              <w:rPr>
                <w:rFonts w:hint="eastAsia"/>
              </w:rPr>
              <w:t>就地设备</w:t>
            </w:r>
            <w:r>
              <w:t>检修</w:t>
            </w:r>
          </w:p>
        </w:tc>
        <w:tc>
          <w:tcPr>
            <w:tcW w:w="940" w:type="pct"/>
            <w:tcBorders>
              <w:top w:val="single" w:color="auto" w:sz="8" w:space="0"/>
            </w:tcBorders>
            <w:shd w:val="clear" w:color="auto" w:fill="auto"/>
            <w:vAlign w:val="center"/>
          </w:tcPr>
          <w:p>
            <w:pPr>
              <w:pStyle w:val="178"/>
              <w:spacing w:after="120"/>
            </w:pPr>
            <w:r>
              <w:rPr>
                <w:rFonts w:hint="eastAsia"/>
              </w:rPr>
              <w:t>就地</w:t>
            </w:r>
            <w:r>
              <w:t>设备显示正常</w:t>
            </w:r>
          </w:p>
        </w:tc>
        <w:tc>
          <w:tcPr>
            <w:tcW w:w="192" w:type="pct"/>
            <w:tcBorders>
              <w:top w:val="single" w:color="auto" w:sz="8" w:space="0"/>
            </w:tcBorders>
            <w:shd w:val="clear" w:color="auto" w:fill="auto"/>
            <w:vAlign w:val="center"/>
          </w:tcPr>
          <w:p>
            <w:pPr>
              <w:pStyle w:val="178"/>
              <w:spacing w:after="120"/>
              <w:jc w:val="left"/>
            </w:pPr>
            <w:r>
              <w:rPr>
                <w:rFonts w:hint="eastAsia"/>
              </w:rPr>
              <w:t>高空</w:t>
            </w:r>
            <w:r>
              <w:t>坠落、烫</w:t>
            </w:r>
            <w:r>
              <w:rPr>
                <w:rFonts w:hint="eastAsia"/>
              </w:rPr>
              <w:t>伤</w:t>
            </w:r>
          </w:p>
        </w:tc>
        <w:tc>
          <w:tcPr>
            <w:tcW w:w="102" w:type="pct"/>
            <w:tcBorders>
              <w:top w:val="single" w:color="auto" w:sz="8" w:space="0"/>
            </w:tcBorders>
            <w:vAlign w:val="center"/>
          </w:tcPr>
          <w:p>
            <w:pPr>
              <w:pStyle w:val="178"/>
              <w:spacing w:after="120"/>
            </w:pPr>
            <w:r>
              <w:t>2</w:t>
            </w:r>
          </w:p>
        </w:tc>
        <w:tc>
          <w:tcPr>
            <w:tcW w:w="82" w:type="pct"/>
            <w:tcBorders>
              <w:top w:val="single" w:color="auto" w:sz="8" w:space="0"/>
            </w:tcBorders>
            <w:vAlign w:val="center"/>
          </w:tcPr>
          <w:p>
            <w:pPr>
              <w:pStyle w:val="178"/>
              <w:spacing w:after="120"/>
            </w:pPr>
            <w:r>
              <w:t>5</w:t>
            </w:r>
          </w:p>
        </w:tc>
        <w:tc>
          <w:tcPr>
            <w:tcW w:w="71" w:type="pct"/>
            <w:tcBorders>
              <w:top w:val="single" w:color="auto" w:sz="8" w:space="0"/>
            </w:tcBorders>
            <w:vAlign w:val="center"/>
          </w:tcPr>
          <w:p>
            <w:pPr>
              <w:pStyle w:val="178"/>
              <w:spacing w:after="120"/>
            </w:pPr>
            <w:r>
              <w:t>10</w:t>
            </w:r>
          </w:p>
        </w:tc>
        <w:tc>
          <w:tcPr>
            <w:tcW w:w="109" w:type="pct"/>
            <w:tcBorders>
              <w:top w:val="single" w:color="auto" w:sz="8" w:space="0"/>
            </w:tcBorders>
            <w:vAlign w:val="center"/>
          </w:tcPr>
          <w:p>
            <w:pPr>
              <w:pStyle w:val="178"/>
              <w:spacing w:after="120"/>
            </w:pPr>
            <w:r>
              <w:t>一般风险</w:t>
            </w:r>
          </w:p>
        </w:tc>
        <w:tc>
          <w:tcPr>
            <w:tcW w:w="140" w:type="pct"/>
            <w:tcBorders>
              <w:top w:val="single" w:color="auto" w:sz="8" w:space="0"/>
            </w:tcBorders>
            <w:vAlign w:val="center"/>
          </w:tcPr>
          <w:p>
            <w:pPr>
              <w:pStyle w:val="178"/>
              <w:spacing w:after="120"/>
            </w:pPr>
            <w:r>
              <w:rPr>
                <w:rFonts w:hint="eastAsia"/>
              </w:rPr>
              <w:t>检修平台</w:t>
            </w:r>
            <w:r>
              <w:t>齐全完整</w:t>
            </w:r>
          </w:p>
        </w:tc>
        <w:tc>
          <w:tcPr>
            <w:tcW w:w="197" w:type="pct"/>
            <w:tcBorders>
              <w:top w:val="single" w:color="auto" w:sz="8" w:space="0"/>
            </w:tcBorders>
            <w:vAlign w:val="center"/>
          </w:tcPr>
          <w:p>
            <w:pPr>
              <w:pStyle w:val="178"/>
              <w:spacing w:after="120"/>
            </w:pPr>
            <w:r>
              <w:rPr>
                <w:rFonts w:hint="eastAsia"/>
              </w:rPr>
              <w:t>执行工作票</w:t>
            </w:r>
            <w:r>
              <w:t>制度</w:t>
            </w:r>
          </w:p>
        </w:tc>
        <w:tc>
          <w:tcPr>
            <w:tcW w:w="548" w:type="pct"/>
            <w:tcBorders>
              <w:top w:val="single" w:color="auto" w:sz="8" w:space="0"/>
            </w:tcBorders>
            <w:vAlign w:val="center"/>
          </w:tcPr>
          <w:p>
            <w:pPr>
              <w:pStyle w:val="178"/>
              <w:spacing w:after="120"/>
            </w:pPr>
            <w:r>
              <w:rPr>
                <w:rFonts w:hint="eastAsia"/>
              </w:rPr>
              <w:t>安全规程</w:t>
            </w:r>
            <w:r>
              <w:t>培训考试、</w:t>
            </w:r>
            <w:r>
              <w:rPr>
                <w:rFonts w:hint="eastAsia"/>
              </w:rPr>
              <w:t>月度</w:t>
            </w:r>
            <w:r>
              <w:t>技术培训</w:t>
            </w:r>
          </w:p>
        </w:tc>
        <w:tc>
          <w:tcPr>
            <w:tcW w:w="362" w:type="pct"/>
            <w:tcBorders>
              <w:top w:val="single" w:color="auto" w:sz="8" w:space="0"/>
            </w:tcBorders>
            <w:vAlign w:val="center"/>
          </w:tcPr>
          <w:p>
            <w:pPr>
              <w:pStyle w:val="178"/>
              <w:spacing w:after="120"/>
            </w:pPr>
            <w:r>
              <w:rPr>
                <w:rFonts w:hint="eastAsia"/>
              </w:rPr>
              <w:t>戴安全</w:t>
            </w:r>
            <w:r>
              <w:t>帽</w:t>
            </w:r>
          </w:p>
        </w:tc>
        <w:tc>
          <w:tcPr>
            <w:tcW w:w="496" w:type="pct"/>
            <w:tcBorders>
              <w:top w:val="single" w:color="auto" w:sz="8" w:space="0"/>
            </w:tcBorders>
            <w:vAlign w:val="center"/>
          </w:tcPr>
          <w:p>
            <w:pPr>
              <w:pStyle w:val="178"/>
              <w:spacing w:after="120"/>
            </w:pPr>
            <w:r>
              <w:t>/</w:t>
            </w:r>
            <w:r>
              <w:rPr>
                <w:rFonts w:hint="eastAsia"/>
              </w:rPr>
              <w:t>拨打应急</w:t>
            </w:r>
            <w:r>
              <w:t>电话</w:t>
            </w:r>
            <w:r>
              <w:rPr>
                <w:rFonts w:hint="eastAsia"/>
              </w:rPr>
              <w:t>，</w:t>
            </w:r>
            <w:r>
              <w:t>进行</w:t>
            </w:r>
            <w:r>
              <w:rPr>
                <w:rFonts w:hint="eastAsia"/>
              </w:rPr>
              <w:t>高空坠落和</w:t>
            </w:r>
            <w:r>
              <w:t>烫伤急救</w:t>
            </w:r>
          </w:p>
        </w:tc>
        <w:tc>
          <w:tcPr>
            <w:tcW w:w="102" w:type="pct"/>
            <w:tcBorders>
              <w:top w:val="single" w:color="auto" w:sz="8" w:space="0"/>
            </w:tcBorders>
            <w:vAlign w:val="center"/>
          </w:tcPr>
          <w:p>
            <w:pPr>
              <w:pStyle w:val="178"/>
              <w:spacing w:after="120"/>
            </w:pPr>
            <w:r>
              <w:t>2</w:t>
            </w:r>
          </w:p>
        </w:tc>
        <w:tc>
          <w:tcPr>
            <w:tcW w:w="102" w:type="pct"/>
            <w:tcBorders>
              <w:top w:val="single" w:color="auto" w:sz="8" w:space="0"/>
            </w:tcBorders>
            <w:vAlign w:val="center"/>
          </w:tcPr>
          <w:p>
            <w:pPr>
              <w:pStyle w:val="178"/>
              <w:spacing w:after="120"/>
            </w:pPr>
            <w:r>
              <w:t>2</w:t>
            </w:r>
          </w:p>
        </w:tc>
        <w:tc>
          <w:tcPr>
            <w:tcW w:w="98" w:type="pct"/>
            <w:tcBorders>
              <w:top w:val="single" w:color="auto" w:sz="8" w:space="0"/>
            </w:tcBorders>
            <w:vAlign w:val="center"/>
          </w:tcPr>
          <w:p>
            <w:pPr>
              <w:pStyle w:val="178"/>
              <w:spacing w:after="120"/>
            </w:pPr>
            <w:r>
              <w:t>4</w:t>
            </w:r>
          </w:p>
        </w:tc>
        <w:tc>
          <w:tcPr>
            <w:tcW w:w="115" w:type="pct"/>
            <w:tcBorders>
              <w:top w:val="single" w:color="auto" w:sz="8" w:space="0"/>
            </w:tcBorders>
            <w:vAlign w:val="center"/>
          </w:tcPr>
          <w:p>
            <w:pPr>
              <w:pStyle w:val="178"/>
              <w:spacing w:after="120"/>
            </w:pPr>
            <w:r>
              <w:t>低风险</w:t>
            </w:r>
          </w:p>
        </w:tc>
        <w:tc>
          <w:tcPr>
            <w:tcW w:w="183" w:type="pct"/>
            <w:tcBorders>
              <w:top w:val="single" w:color="auto" w:sz="8" w:space="0"/>
            </w:tcBorders>
            <w:vAlign w:val="center"/>
          </w:tcPr>
          <w:p>
            <w:pPr>
              <w:pStyle w:val="178"/>
              <w:spacing w:after="120"/>
            </w:pPr>
            <w:r>
              <w:t>/</w:t>
            </w:r>
          </w:p>
        </w:tc>
        <w:tc>
          <w:tcPr>
            <w:tcW w:w="111" w:type="pct"/>
            <w:tcBorders>
              <w:top w:val="single" w:color="auto" w:sz="8" w:space="0"/>
            </w:tcBorders>
            <w:vAlign w:val="center"/>
          </w:tcPr>
          <w:p>
            <w:pPr>
              <w:pStyle w:val="178"/>
              <w:spacing w:after="120"/>
            </w:pPr>
            <w:r>
              <w:t>/</w:t>
            </w:r>
          </w:p>
        </w:tc>
        <w:tc>
          <w:tcPr>
            <w:tcW w:w="140" w:type="pct"/>
            <w:tcBorders>
              <w:top w:val="single" w:color="auto" w:sz="8" w:space="0"/>
            </w:tcBorders>
            <w:vAlign w:val="center"/>
          </w:tcPr>
          <w:p>
            <w:pPr>
              <w:pStyle w:val="178"/>
              <w:spacing w:after="120"/>
            </w:pPr>
            <w:r>
              <w:t>/</w:t>
            </w:r>
          </w:p>
        </w:tc>
        <w:tc>
          <w:tcPr>
            <w:tcW w:w="140" w:type="pct"/>
            <w:tcBorders>
              <w:top w:val="single" w:color="auto" w:sz="8" w:space="0"/>
            </w:tcBorders>
            <w:vAlign w:val="center"/>
          </w:tcPr>
          <w:p>
            <w:pPr>
              <w:pStyle w:val="178"/>
              <w:spacing w:after="120"/>
            </w:pPr>
            <w:r>
              <w:t>/</w:t>
            </w:r>
          </w:p>
        </w:tc>
        <w:tc>
          <w:tcPr>
            <w:tcW w:w="139" w:type="pct"/>
            <w:tcBorders>
              <w:top w:val="single" w:color="auto" w:sz="8" w:space="0"/>
            </w:tcBorders>
            <w:vAlign w:val="center"/>
          </w:tcPr>
          <w:p>
            <w:pPr>
              <w:pStyle w:val="178"/>
              <w:spacing w:after="12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104" w:type="pct"/>
            <w:shd w:val="clear" w:color="auto" w:fill="auto"/>
            <w:vAlign w:val="center"/>
          </w:tcPr>
          <w:p>
            <w:pPr>
              <w:pStyle w:val="178"/>
              <w:spacing w:after="120"/>
            </w:pPr>
            <w:r>
              <w:t>…</w:t>
            </w:r>
          </w:p>
        </w:tc>
        <w:tc>
          <w:tcPr>
            <w:tcW w:w="125" w:type="pct"/>
            <w:shd w:val="clear" w:color="auto" w:fill="auto"/>
            <w:vAlign w:val="center"/>
          </w:tcPr>
          <w:p>
            <w:pPr>
              <w:pStyle w:val="178"/>
              <w:spacing w:after="120"/>
            </w:pPr>
            <w:r>
              <w:t>…</w:t>
            </w:r>
          </w:p>
        </w:tc>
        <w:tc>
          <w:tcPr>
            <w:tcW w:w="97" w:type="pct"/>
            <w:shd w:val="clear" w:color="auto" w:fill="auto"/>
            <w:vAlign w:val="center"/>
          </w:tcPr>
          <w:p>
            <w:pPr>
              <w:pStyle w:val="178"/>
              <w:spacing w:after="120"/>
            </w:pPr>
            <w:r>
              <w:t>…</w:t>
            </w:r>
          </w:p>
        </w:tc>
        <w:tc>
          <w:tcPr>
            <w:tcW w:w="305" w:type="pct"/>
            <w:shd w:val="clear" w:color="auto" w:fill="auto"/>
            <w:vAlign w:val="center"/>
          </w:tcPr>
          <w:p>
            <w:pPr>
              <w:pStyle w:val="178"/>
              <w:spacing w:after="120"/>
              <w:jc w:val="left"/>
            </w:pPr>
          </w:p>
        </w:tc>
        <w:tc>
          <w:tcPr>
            <w:tcW w:w="940" w:type="pct"/>
            <w:shd w:val="clear" w:color="auto" w:fill="auto"/>
            <w:vAlign w:val="center"/>
          </w:tcPr>
          <w:p>
            <w:pPr>
              <w:pStyle w:val="178"/>
              <w:spacing w:after="120"/>
            </w:pPr>
            <w:r>
              <w:t>…</w:t>
            </w:r>
          </w:p>
        </w:tc>
        <w:tc>
          <w:tcPr>
            <w:tcW w:w="192" w:type="pct"/>
            <w:shd w:val="clear" w:color="auto" w:fill="auto"/>
            <w:vAlign w:val="center"/>
          </w:tcPr>
          <w:p>
            <w:pPr>
              <w:pStyle w:val="178"/>
              <w:spacing w:after="120"/>
            </w:pPr>
            <w:r>
              <w:t>…</w:t>
            </w:r>
          </w:p>
        </w:tc>
        <w:tc>
          <w:tcPr>
            <w:tcW w:w="364" w:type="pct"/>
            <w:gridSpan w:val="4"/>
            <w:vAlign w:val="center"/>
          </w:tcPr>
          <w:p>
            <w:pPr>
              <w:pStyle w:val="178"/>
              <w:spacing w:after="120"/>
            </w:pPr>
            <w:r>
              <w:t>…</w:t>
            </w:r>
          </w:p>
        </w:tc>
        <w:tc>
          <w:tcPr>
            <w:tcW w:w="1743" w:type="pct"/>
            <w:gridSpan w:val="5"/>
            <w:vAlign w:val="center"/>
          </w:tcPr>
          <w:p>
            <w:pPr>
              <w:pStyle w:val="178"/>
              <w:spacing w:after="120"/>
            </w:pPr>
            <w:r>
              <w:t>…</w:t>
            </w:r>
          </w:p>
        </w:tc>
        <w:tc>
          <w:tcPr>
            <w:tcW w:w="417" w:type="pct"/>
            <w:gridSpan w:val="4"/>
            <w:vAlign w:val="center"/>
          </w:tcPr>
          <w:p>
            <w:pPr>
              <w:pStyle w:val="178"/>
              <w:spacing w:after="120"/>
            </w:pPr>
            <w:r>
              <w:t>…</w:t>
            </w:r>
          </w:p>
        </w:tc>
        <w:tc>
          <w:tcPr>
            <w:tcW w:w="712" w:type="pct"/>
            <w:gridSpan w:val="5"/>
            <w:vAlign w:val="center"/>
          </w:tcPr>
          <w:p>
            <w:pPr>
              <w:pStyle w:val="178"/>
              <w:spacing w:after="120"/>
            </w:pPr>
            <w:r>
              <w:t>…</w:t>
            </w:r>
          </w:p>
        </w:tc>
      </w:tr>
    </w:tbl>
    <w:p>
      <w:pPr>
        <w:widowControl/>
        <w:adjustRightInd/>
        <w:jc w:val="left"/>
        <w:rPr>
          <w:kern w:val="0"/>
          <w:szCs w:val="20"/>
        </w:rPr>
      </w:pPr>
      <w:r>
        <w:br w:type="page"/>
      </w:r>
    </w:p>
    <w:p>
      <w:pPr>
        <w:pStyle w:val="77"/>
        <w:spacing w:before="120" w:after="120"/>
        <w:ind w:firstLine="420"/>
      </w:pPr>
      <w:r>
        <w:rPr>
          <w:rFonts w:hint="eastAsia"/>
        </w:rPr>
        <w:t xml:space="preserve"> 工作危害分析（JHA+LEC）评价记录表</w:t>
      </w:r>
    </w:p>
    <w:p>
      <w:pPr>
        <w:pStyle w:val="56"/>
        <w:ind w:firstLine="0" w:firstLineChars="0"/>
      </w:pPr>
      <w:r>
        <w:t>辨识单元：</w:t>
      </w:r>
      <w:r>
        <w:rPr>
          <w:rFonts w:hint="eastAsia"/>
        </w:rPr>
        <w:t>热工</w:t>
      </w:r>
      <w:r>
        <w:t>车间</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45"/>
        <w:gridCol w:w="474"/>
        <w:gridCol w:w="304"/>
        <w:gridCol w:w="361"/>
        <w:gridCol w:w="361"/>
        <w:gridCol w:w="361"/>
        <w:gridCol w:w="247"/>
        <w:gridCol w:w="474"/>
        <w:gridCol w:w="1849"/>
        <w:gridCol w:w="654"/>
        <w:gridCol w:w="100"/>
        <w:gridCol w:w="100"/>
        <w:gridCol w:w="190"/>
        <w:gridCol w:w="190"/>
        <w:gridCol w:w="361"/>
        <w:gridCol w:w="588"/>
        <w:gridCol w:w="531"/>
        <w:gridCol w:w="1109"/>
        <w:gridCol w:w="474"/>
        <w:gridCol w:w="1309"/>
        <w:gridCol w:w="100"/>
        <w:gridCol w:w="100"/>
        <w:gridCol w:w="100"/>
        <w:gridCol w:w="190"/>
        <w:gridCol w:w="361"/>
        <w:gridCol w:w="474"/>
        <w:gridCol w:w="361"/>
        <w:gridCol w:w="474"/>
        <w:gridCol w:w="474"/>
        <w:gridCol w:w="48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93" w:hRule="atLeast"/>
          <w:tblHeader/>
          <w:jc w:val="center"/>
        </w:trPr>
        <w:tc>
          <w:tcPr>
            <w:tcW w:w="0" w:type="auto"/>
            <w:gridSpan w:val="6"/>
            <w:tcBorders>
              <w:top w:val="single" w:color="auto" w:sz="8" w:space="0"/>
            </w:tcBorders>
            <w:shd w:val="clear" w:color="auto" w:fill="auto"/>
            <w:vAlign w:val="center"/>
          </w:tcPr>
          <w:p>
            <w:pPr>
              <w:pStyle w:val="178"/>
              <w:spacing w:after="120"/>
            </w:pPr>
            <w:r>
              <w:t>作业活动基本信息</w:t>
            </w:r>
          </w:p>
        </w:tc>
        <w:tc>
          <w:tcPr>
            <w:tcW w:w="0" w:type="auto"/>
            <w:gridSpan w:val="4"/>
            <w:tcBorders>
              <w:top w:val="single" w:color="auto" w:sz="8" w:space="0"/>
            </w:tcBorders>
            <w:shd w:val="clear" w:color="auto" w:fill="auto"/>
            <w:vAlign w:val="center"/>
          </w:tcPr>
          <w:p>
            <w:pPr>
              <w:pStyle w:val="178"/>
              <w:spacing w:after="120"/>
            </w:pPr>
            <w:r>
              <w:t>风险辨识信息</w:t>
            </w:r>
          </w:p>
        </w:tc>
        <w:tc>
          <w:tcPr>
            <w:tcW w:w="0" w:type="auto"/>
            <w:gridSpan w:val="5"/>
            <w:tcBorders>
              <w:top w:val="single" w:color="auto" w:sz="8" w:space="0"/>
            </w:tcBorders>
            <w:vAlign w:val="center"/>
          </w:tcPr>
          <w:p>
            <w:pPr>
              <w:pStyle w:val="178"/>
              <w:spacing w:after="120"/>
            </w:pPr>
            <w:r>
              <w:t>固有风险评价</w:t>
            </w:r>
          </w:p>
        </w:tc>
        <w:tc>
          <w:tcPr>
            <w:tcW w:w="0" w:type="auto"/>
            <w:gridSpan w:val="5"/>
            <w:tcBorders>
              <w:top w:val="single" w:color="auto" w:sz="8" w:space="0"/>
            </w:tcBorders>
            <w:vAlign w:val="center"/>
          </w:tcPr>
          <w:p>
            <w:pPr>
              <w:pStyle w:val="178"/>
              <w:spacing w:after="120"/>
            </w:pPr>
            <w:r>
              <w:t>现有管控措施</w:t>
            </w:r>
          </w:p>
        </w:tc>
        <w:tc>
          <w:tcPr>
            <w:tcW w:w="0" w:type="auto"/>
            <w:gridSpan w:val="5"/>
            <w:tcBorders>
              <w:top w:val="single" w:color="auto" w:sz="8" w:space="0"/>
            </w:tcBorders>
            <w:vAlign w:val="center"/>
          </w:tcPr>
          <w:p>
            <w:pPr>
              <w:pStyle w:val="178"/>
              <w:spacing w:after="120"/>
            </w:pPr>
            <w:r>
              <w:t>现有风险评价</w:t>
            </w:r>
          </w:p>
        </w:tc>
        <w:tc>
          <w:tcPr>
            <w:tcW w:w="0" w:type="auto"/>
            <w:gridSpan w:val="5"/>
            <w:tcBorders>
              <w:top w:val="single" w:color="auto" w:sz="8" w:space="0"/>
            </w:tcBorders>
            <w:vAlign w:val="center"/>
          </w:tcPr>
          <w:p>
            <w:pPr>
              <w:pStyle w:val="178"/>
              <w:spacing w:after="120"/>
            </w:pPr>
            <w:r>
              <w:t>补充管控措施（选填）</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92" w:hRule="atLeast"/>
          <w:tblHeader/>
          <w:jc w:val="center"/>
        </w:trPr>
        <w:tc>
          <w:tcPr>
            <w:tcW w:w="0" w:type="auto"/>
            <w:tcBorders>
              <w:top w:val="single" w:color="auto" w:sz="8" w:space="0"/>
            </w:tcBorders>
            <w:shd w:val="clear" w:color="auto" w:fill="auto"/>
            <w:vAlign w:val="center"/>
          </w:tcPr>
          <w:p>
            <w:pPr>
              <w:pStyle w:val="178"/>
              <w:spacing w:after="120"/>
            </w:pPr>
            <w:r>
              <w:t>编号</w:t>
            </w:r>
          </w:p>
        </w:tc>
        <w:tc>
          <w:tcPr>
            <w:tcW w:w="0" w:type="auto"/>
            <w:tcBorders>
              <w:top w:val="single" w:color="auto" w:sz="8" w:space="0"/>
            </w:tcBorders>
            <w:shd w:val="clear" w:color="auto" w:fill="auto"/>
            <w:vAlign w:val="center"/>
          </w:tcPr>
          <w:p>
            <w:pPr>
              <w:pStyle w:val="178"/>
              <w:spacing w:after="120"/>
            </w:pPr>
            <w:r>
              <w:t>名称</w:t>
            </w:r>
          </w:p>
        </w:tc>
        <w:tc>
          <w:tcPr>
            <w:tcW w:w="0" w:type="auto"/>
            <w:tcBorders>
              <w:top w:val="single" w:color="auto" w:sz="8" w:space="0"/>
            </w:tcBorders>
            <w:shd w:val="clear" w:color="auto" w:fill="auto"/>
            <w:vAlign w:val="center"/>
          </w:tcPr>
          <w:p>
            <w:pPr>
              <w:pStyle w:val="178"/>
              <w:spacing w:after="120"/>
            </w:pPr>
            <w:r>
              <w:t>类型</w:t>
            </w:r>
          </w:p>
        </w:tc>
        <w:tc>
          <w:tcPr>
            <w:tcW w:w="0" w:type="auto"/>
            <w:tcBorders>
              <w:top w:val="single" w:color="auto" w:sz="8" w:space="0"/>
            </w:tcBorders>
            <w:shd w:val="clear" w:color="auto" w:fill="auto"/>
            <w:vAlign w:val="center"/>
          </w:tcPr>
          <w:p>
            <w:pPr>
              <w:pStyle w:val="178"/>
              <w:spacing w:after="120"/>
            </w:pPr>
            <w:r>
              <w:t>频率</w:t>
            </w:r>
          </w:p>
        </w:tc>
        <w:tc>
          <w:tcPr>
            <w:tcW w:w="0" w:type="auto"/>
            <w:tcBorders>
              <w:top w:val="single" w:color="auto" w:sz="8" w:space="0"/>
            </w:tcBorders>
            <w:shd w:val="clear" w:color="auto" w:fill="auto"/>
            <w:vAlign w:val="center"/>
          </w:tcPr>
          <w:p>
            <w:pPr>
              <w:pStyle w:val="178"/>
              <w:spacing w:after="120"/>
            </w:pPr>
            <w:r>
              <w:t>区域</w:t>
            </w:r>
          </w:p>
        </w:tc>
        <w:tc>
          <w:tcPr>
            <w:tcW w:w="0" w:type="auto"/>
            <w:tcBorders>
              <w:top w:val="single" w:color="auto" w:sz="8" w:space="0"/>
            </w:tcBorders>
            <w:shd w:val="clear" w:color="auto" w:fill="auto"/>
            <w:vAlign w:val="center"/>
          </w:tcPr>
          <w:p>
            <w:pPr>
              <w:pStyle w:val="178"/>
              <w:spacing w:after="120"/>
            </w:pPr>
            <w:r>
              <w:t>管辖部门</w:t>
            </w:r>
          </w:p>
        </w:tc>
        <w:tc>
          <w:tcPr>
            <w:tcW w:w="0" w:type="auto"/>
            <w:shd w:val="clear" w:color="auto" w:fill="auto"/>
            <w:vAlign w:val="center"/>
          </w:tcPr>
          <w:p>
            <w:pPr>
              <w:pStyle w:val="178"/>
              <w:spacing w:after="120"/>
            </w:pPr>
            <w:r>
              <w:t>序号</w:t>
            </w:r>
          </w:p>
        </w:tc>
        <w:tc>
          <w:tcPr>
            <w:tcW w:w="0" w:type="auto"/>
            <w:shd w:val="clear" w:color="auto" w:fill="auto"/>
            <w:vAlign w:val="center"/>
          </w:tcPr>
          <w:p>
            <w:pPr>
              <w:pStyle w:val="178"/>
              <w:spacing w:after="120"/>
            </w:pPr>
            <w:r>
              <w:t>作业步骤</w:t>
            </w:r>
          </w:p>
        </w:tc>
        <w:tc>
          <w:tcPr>
            <w:tcW w:w="0" w:type="auto"/>
            <w:shd w:val="clear" w:color="auto" w:fill="auto"/>
            <w:vAlign w:val="center"/>
          </w:tcPr>
          <w:p>
            <w:pPr>
              <w:pStyle w:val="178"/>
              <w:spacing w:after="120"/>
            </w:pPr>
            <w:r>
              <w:t>危险源或潜在事件</w:t>
            </w:r>
          </w:p>
        </w:tc>
        <w:tc>
          <w:tcPr>
            <w:tcW w:w="0" w:type="auto"/>
            <w:shd w:val="clear" w:color="auto" w:fill="auto"/>
            <w:vAlign w:val="center"/>
          </w:tcPr>
          <w:p>
            <w:pPr>
              <w:pStyle w:val="178"/>
              <w:spacing w:after="120"/>
            </w:pPr>
            <w:r>
              <w:t>主要后果</w:t>
            </w:r>
          </w:p>
        </w:tc>
        <w:tc>
          <w:tcPr>
            <w:tcW w:w="0" w:type="auto"/>
            <w:vAlign w:val="center"/>
          </w:tcPr>
          <w:p>
            <w:pPr>
              <w:pStyle w:val="178"/>
              <w:spacing w:after="120"/>
            </w:pPr>
            <w:r>
              <w:t>L</w:t>
            </w:r>
          </w:p>
        </w:tc>
        <w:tc>
          <w:tcPr>
            <w:tcW w:w="0" w:type="auto"/>
            <w:vAlign w:val="center"/>
          </w:tcPr>
          <w:p>
            <w:pPr>
              <w:pStyle w:val="178"/>
              <w:spacing w:after="120"/>
            </w:pPr>
            <w:r>
              <w:t>E</w:t>
            </w:r>
          </w:p>
        </w:tc>
        <w:tc>
          <w:tcPr>
            <w:tcW w:w="0" w:type="auto"/>
            <w:vAlign w:val="center"/>
          </w:tcPr>
          <w:p>
            <w:pPr>
              <w:pStyle w:val="178"/>
              <w:spacing w:after="120"/>
            </w:pPr>
            <w:r>
              <w:t>C</w:t>
            </w:r>
          </w:p>
        </w:tc>
        <w:tc>
          <w:tcPr>
            <w:tcW w:w="0" w:type="auto"/>
            <w:vAlign w:val="center"/>
          </w:tcPr>
          <w:p>
            <w:pPr>
              <w:pStyle w:val="178"/>
              <w:spacing w:after="120"/>
            </w:pPr>
            <w:r>
              <w:t>D</w:t>
            </w:r>
          </w:p>
        </w:tc>
        <w:tc>
          <w:tcPr>
            <w:tcW w:w="0" w:type="auto"/>
            <w:vAlign w:val="center"/>
          </w:tcPr>
          <w:p>
            <w:pPr>
              <w:pStyle w:val="178"/>
              <w:spacing w:after="120"/>
            </w:pPr>
            <w:r>
              <w:t>风险等级</w:t>
            </w:r>
          </w:p>
        </w:tc>
        <w:tc>
          <w:tcPr>
            <w:tcW w:w="0" w:type="auto"/>
            <w:vAlign w:val="center"/>
          </w:tcPr>
          <w:p>
            <w:pPr>
              <w:pStyle w:val="178"/>
              <w:spacing w:after="120"/>
            </w:pPr>
            <w:r>
              <w:rPr>
                <w:rFonts w:hAnsi="宋体"/>
                <w:color w:val="000000"/>
              </w:rPr>
              <w:t>工程技术措施</w:t>
            </w:r>
          </w:p>
        </w:tc>
        <w:tc>
          <w:tcPr>
            <w:tcW w:w="0" w:type="auto"/>
            <w:vAlign w:val="center"/>
          </w:tcPr>
          <w:p>
            <w:pPr>
              <w:pStyle w:val="178"/>
              <w:spacing w:after="120"/>
            </w:pPr>
            <w:r>
              <w:rPr>
                <w:rFonts w:hAnsi="宋体"/>
                <w:color w:val="000000"/>
              </w:rPr>
              <w:t>管理措施</w:t>
            </w:r>
          </w:p>
        </w:tc>
        <w:tc>
          <w:tcPr>
            <w:tcW w:w="0" w:type="auto"/>
            <w:vAlign w:val="center"/>
          </w:tcPr>
          <w:p>
            <w:pPr>
              <w:pStyle w:val="178"/>
              <w:spacing w:after="120"/>
            </w:pPr>
            <w:r>
              <w:rPr>
                <w:rFonts w:hAnsi="宋体"/>
                <w:color w:val="000000"/>
              </w:rPr>
              <w:t>培训教育措施</w:t>
            </w:r>
          </w:p>
        </w:tc>
        <w:tc>
          <w:tcPr>
            <w:tcW w:w="0" w:type="auto"/>
            <w:vAlign w:val="center"/>
          </w:tcPr>
          <w:p>
            <w:pPr>
              <w:pStyle w:val="178"/>
              <w:spacing w:after="120"/>
            </w:pPr>
            <w:r>
              <w:rPr>
                <w:rFonts w:hAnsi="宋体"/>
                <w:color w:val="000000"/>
              </w:rPr>
              <w:t>个体防护措施</w:t>
            </w:r>
          </w:p>
        </w:tc>
        <w:tc>
          <w:tcPr>
            <w:tcW w:w="0" w:type="auto"/>
            <w:vAlign w:val="center"/>
          </w:tcPr>
          <w:p>
            <w:pPr>
              <w:pStyle w:val="178"/>
              <w:spacing w:after="120"/>
            </w:pPr>
            <w:r>
              <w:rPr>
                <w:rFonts w:hAnsi="宋体"/>
                <w:color w:val="000000"/>
              </w:rPr>
              <w:t>应急处置措施</w:t>
            </w:r>
          </w:p>
        </w:tc>
        <w:tc>
          <w:tcPr>
            <w:tcW w:w="0" w:type="auto"/>
            <w:vAlign w:val="center"/>
          </w:tcPr>
          <w:p>
            <w:pPr>
              <w:pStyle w:val="178"/>
              <w:spacing w:after="120"/>
            </w:pPr>
            <w:r>
              <w:t>L</w:t>
            </w:r>
          </w:p>
        </w:tc>
        <w:tc>
          <w:tcPr>
            <w:tcW w:w="0" w:type="auto"/>
            <w:vAlign w:val="center"/>
          </w:tcPr>
          <w:p>
            <w:pPr>
              <w:pStyle w:val="178"/>
              <w:spacing w:after="120"/>
            </w:pPr>
            <w:r>
              <w:t>E</w:t>
            </w:r>
          </w:p>
        </w:tc>
        <w:tc>
          <w:tcPr>
            <w:tcW w:w="0" w:type="auto"/>
            <w:vAlign w:val="center"/>
          </w:tcPr>
          <w:p>
            <w:pPr>
              <w:pStyle w:val="178"/>
              <w:spacing w:after="120"/>
            </w:pPr>
            <w:r>
              <w:t>C</w:t>
            </w:r>
          </w:p>
        </w:tc>
        <w:tc>
          <w:tcPr>
            <w:tcW w:w="0" w:type="auto"/>
            <w:vAlign w:val="center"/>
          </w:tcPr>
          <w:p>
            <w:pPr>
              <w:pStyle w:val="178"/>
              <w:spacing w:after="120"/>
            </w:pPr>
            <w:r>
              <w:t>D</w:t>
            </w:r>
          </w:p>
        </w:tc>
        <w:tc>
          <w:tcPr>
            <w:tcW w:w="0" w:type="auto"/>
            <w:vAlign w:val="center"/>
          </w:tcPr>
          <w:p>
            <w:pPr>
              <w:pStyle w:val="178"/>
              <w:spacing w:after="120"/>
            </w:pPr>
            <w:r>
              <w:t>风险等级</w:t>
            </w:r>
          </w:p>
        </w:tc>
        <w:tc>
          <w:tcPr>
            <w:tcW w:w="0" w:type="auto"/>
            <w:vAlign w:val="center"/>
          </w:tcPr>
          <w:p>
            <w:pPr>
              <w:pStyle w:val="178"/>
              <w:spacing w:after="120"/>
            </w:pPr>
            <w:r>
              <w:rPr>
                <w:rFonts w:hAnsi="宋体"/>
                <w:color w:val="000000"/>
              </w:rPr>
              <w:t>工程技术措施</w:t>
            </w:r>
          </w:p>
        </w:tc>
        <w:tc>
          <w:tcPr>
            <w:tcW w:w="0" w:type="auto"/>
            <w:vAlign w:val="center"/>
          </w:tcPr>
          <w:p>
            <w:pPr>
              <w:pStyle w:val="178"/>
              <w:spacing w:after="120"/>
            </w:pPr>
            <w:r>
              <w:rPr>
                <w:rFonts w:hAnsi="宋体"/>
                <w:color w:val="000000"/>
              </w:rPr>
              <w:t>管理措施</w:t>
            </w:r>
          </w:p>
        </w:tc>
        <w:tc>
          <w:tcPr>
            <w:tcW w:w="0" w:type="auto"/>
            <w:vAlign w:val="center"/>
          </w:tcPr>
          <w:p>
            <w:pPr>
              <w:pStyle w:val="178"/>
              <w:spacing w:after="120"/>
            </w:pPr>
            <w:r>
              <w:rPr>
                <w:rFonts w:hAnsi="宋体"/>
                <w:color w:val="000000"/>
              </w:rPr>
              <w:t>培训教育措施</w:t>
            </w:r>
          </w:p>
        </w:tc>
        <w:tc>
          <w:tcPr>
            <w:tcW w:w="0" w:type="auto"/>
            <w:vAlign w:val="center"/>
          </w:tcPr>
          <w:p>
            <w:pPr>
              <w:pStyle w:val="178"/>
              <w:spacing w:after="120"/>
            </w:pPr>
            <w:r>
              <w:rPr>
                <w:rFonts w:hAnsi="宋体"/>
                <w:color w:val="000000"/>
              </w:rPr>
              <w:t>个体防护措施</w:t>
            </w:r>
          </w:p>
        </w:tc>
        <w:tc>
          <w:tcPr>
            <w:tcW w:w="0" w:type="auto"/>
            <w:vAlign w:val="center"/>
          </w:tcPr>
          <w:p>
            <w:pPr>
              <w:pStyle w:val="178"/>
              <w:spacing w:after="120"/>
            </w:pPr>
            <w:r>
              <w:rPr>
                <w:rFonts w:hAnsi="宋体"/>
                <w:color w:val="000000"/>
              </w:rPr>
              <w:t>应急处置措施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0" w:type="auto"/>
            <w:vMerge w:val="restart"/>
            <w:tcBorders>
              <w:top w:val="single" w:color="auto" w:sz="8" w:space="0"/>
            </w:tcBorders>
            <w:shd w:val="clear" w:color="auto" w:fill="auto"/>
            <w:vAlign w:val="center"/>
          </w:tcPr>
          <w:p>
            <w:pPr>
              <w:pStyle w:val="178"/>
              <w:spacing w:after="120"/>
            </w:pPr>
            <w:r>
              <w:t>RG-ZY-1</w:t>
            </w:r>
          </w:p>
        </w:tc>
        <w:tc>
          <w:tcPr>
            <w:tcW w:w="0" w:type="auto"/>
            <w:vMerge w:val="restart"/>
            <w:tcBorders>
              <w:top w:val="single" w:color="auto" w:sz="8" w:space="0"/>
            </w:tcBorders>
            <w:shd w:val="clear" w:color="auto" w:fill="auto"/>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火</w:t>
            </w:r>
            <w:r>
              <w:rPr>
                <w:color w:val="000000" w:themeColor="text1"/>
                <w14:textFill>
                  <w14:solidFill>
                    <w14:schemeClr w14:val="tx1"/>
                  </w14:solidFill>
                </w14:textFill>
              </w:rPr>
              <w:t>检系统</w:t>
            </w:r>
            <w:r>
              <w:rPr>
                <w:rFonts w:hint="eastAsia"/>
                <w:color w:val="000000" w:themeColor="text1"/>
                <w14:textFill>
                  <w14:solidFill>
                    <w14:schemeClr w14:val="tx1"/>
                  </w14:solidFill>
                </w14:textFill>
              </w:rPr>
              <w:t>检修</w:t>
            </w:r>
          </w:p>
        </w:tc>
        <w:tc>
          <w:tcPr>
            <w:tcW w:w="0" w:type="auto"/>
            <w:vMerge w:val="restart"/>
            <w:tcBorders>
              <w:top w:val="single" w:color="auto" w:sz="8" w:space="0"/>
            </w:tcBorders>
            <w:shd w:val="clear" w:color="auto" w:fill="auto"/>
            <w:vAlign w:val="center"/>
          </w:tcPr>
          <w:p>
            <w:pPr>
              <w:pStyle w:val="178"/>
              <w:spacing w:after="120"/>
              <w:jc w:val="both"/>
              <w:rPr>
                <w:color w:val="000000" w:themeColor="text1"/>
                <w14:textFill>
                  <w14:solidFill>
                    <w14:schemeClr w14:val="tx1"/>
                  </w14:solidFill>
                </w14:textFill>
              </w:rPr>
            </w:pPr>
            <w:r>
              <w:rPr>
                <w:color w:val="000000" w:themeColor="text1"/>
                <w14:textFill>
                  <w14:solidFill>
                    <w14:schemeClr w14:val="tx1"/>
                  </w14:solidFill>
                </w14:textFill>
              </w:rPr>
              <w:t>作业类</w:t>
            </w:r>
          </w:p>
        </w:tc>
        <w:tc>
          <w:tcPr>
            <w:tcW w:w="0" w:type="auto"/>
            <w:vMerge w:val="restart"/>
            <w:tcBorders>
              <w:top w:val="single" w:color="auto" w:sz="8" w:space="0"/>
            </w:tcBorders>
            <w:shd w:val="clear" w:color="auto" w:fill="auto"/>
            <w:vAlign w:val="center"/>
          </w:tcPr>
          <w:p>
            <w:pPr>
              <w:pStyle w:val="178"/>
              <w:spacing w:after="120"/>
              <w:rPr>
                <w:color w:val="000000" w:themeColor="text1"/>
                <w14:textFill>
                  <w14:solidFill>
                    <w14:schemeClr w14:val="tx1"/>
                  </w14:solidFill>
                </w14:textFill>
              </w:rPr>
            </w:pPr>
            <w:r>
              <w:rPr>
                <w:color w:val="000000" w:themeColor="text1"/>
                <w14:textFill>
                  <w14:solidFill>
                    <w14:schemeClr w14:val="tx1"/>
                  </w14:solidFill>
                </w14:textFill>
              </w:rPr>
              <w:t>每天进行</w:t>
            </w:r>
          </w:p>
        </w:tc>
        <w:tc>
          <w:tcPr>
            <w:tcW w:w="0" w:type="auto"/>
            <w:vMerge w:val="restart"/>
            <w:tcBorders>
              <w:top w:val="single" w:color="auto" w:sz="8" w:space="0"/>
            </w:tcBorders>
            <w:shd w:val="clear" w:color="auto" w:fill="auto"/>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火检系统</w:t>
            </w:r>
          </w:p>
        </w:tc>
        <w:tc>
          <w:tcPr>
            <w:tcW w:w="0" w:type="auto"/>
            <w:vMerge w:val="restart"/>
            <w:tcBorders>
              <w:top w:val="single" w:color="auto" w:sz="8" w:space="0"/>
            </w:tcBorders>
            <w:shd w:val="clear" w:color="auto" w:fill="auto"/>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热工</w:t>
            </w:r>
            <w:r>
              <w:rPr>
                <w:color w:val="000000" w:themeColor="text1"/>
                <w14:textFill>
                  <w14:solidFill>
                    <w14:schemeClr w14:val="tx1"/>
                  </w14:solidFill>
                </w14:textFill>
              </w:rPr>
              <w:t>车间</w:t>
            </w:r>
          </w:p>
        </w:tc>
        <w:tc>
          <w:tcPr>
            <w:tcW w:w="0" w:type="auto"/>
            <w:tcBorders>
              <w:top w:val="single" w:color="auto" w:sz="8" w:space="0"/>
            </w:tcBorders>
            <w:shd w:val="clear" w:color="auto" w:fill="auto"/>
            <w:vAlign w:val="center"/>
          </w:tcPr>
          <w:p>
            <w:pPr>
              <w:pStyle w:val="178"/>
              <w:spacing w:after="120"/>
              <w:rPr>
                <w:color w:val="000000" w:themeColor="text1"/>
                <w14:textFill>
                  <w14:solidFill>
                    <w14:schemeClr w14:val="tx1"/>
                  </w14:solidFill>
                </w14:textFill>
              </w:rPr>
            </w:pPr>
            <w:r>
              <w:rPr>
                <w:color w:val="000000" w:themeColor="text1"/>
                <w14:textFill>
                  <w14:solidFill>
                    <w14:schemeClr w14:val="tx1"/>
                  </w14:solidFill>
                </w14:textFill>
              </w:rPr>
              <w:t>1</w:t>
            </w:r>
          </w:p>
        </w:tc>
        <w:tc>
          <w:tcPr>
            <w:tcW w:w="0" w:type="auto"/>
            <w:tcBorders>
              <w:top w:val="single" w:color="auto" w:sz="8" w:space="0"/>
            </w:tcBorders>
            <w:shd w:val="clear" w:color="auto" w:fill="auto"/>
            <w:vAlign w:val="center"/>
          </w:tcPr>
          <w:p>
            <w:pPr>
              <w:pStyle w:val="178"/>
              <w:spacing w:after="1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电源检修</w:t>
            </w:r>
          </w:p>
        </w:tc>
        <w:tc>
          <w:tcPr>
            <w:tcW w:w="0" w:type="auto"/>
            <w:tcBorders>
              <w:top w:val="single" w:color="auto" w:sz="8" w:space="0"/>
            </w:tcBorders>
            <w:shd w:val="clear" w:color="auto" w:fill="auto"/>
            <w:vAlign w:val="center"/>
          </w:tcPr>
          <w:p>
            <w:pPr>
              <w:pStyle w:val="178"/>
              <w:spacing w:after="1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停错电源</w:t>
            </w:r>
            <w:r>
              <w:rPr>
                <w:color w:val="000000" w:themeColor="text1"/>
                <w14:textFill>
                  <w14:solidFill>
                    <w14:schemeClr w14:val="tx1"/>
                  </w14:solidFill>
                </w14:textFill>
              </w:rPr>
              <w:t>；带</w:t>
            </w:r>
            <w:r>
              <w:rPr>
                <w:rFonts w:hint="eastAsia"/>
                <w:color w:val="000000" w:themeColor="text1"/>
                <w14:textFill>
                  <w14:solidFill>
                    <w14:schemeClr w14:val="tx1"/>
                  </w14:solidFill>
                </w14:textFill>
              </w:rPr>
              <w:t>电</w:t>
            </w:r>
            <w:r>
              <w:rPr>
                <w:color w:val="000000" w:themeColor="text1"/>
                <w14:textFill>
                  <w14:solidFill>
                    <w14:schemeClr w14:val="tx1"/>
                  </w14:solidFill>
                </w14:textFill>
              </w:rPr>
              <w:t>工作</w:t>
            </w:r>
          </w:p>
        </w:tc>
        <w:tc>
          <w:tcPr>
            <w:tcW w:w="0" w:type="auto"/>
            <w:tcBorders>
              <w:top w:val="single" w:color="auto" w:sz="8" w:space="0"/>
            </w:tcBorders>
            <w:shd w:val="clear" w:color="auto" w:fill="auto"/>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触电</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1</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6</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15</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90</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一般风险</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语音</w:t>
            </w:r>
            <w:r>
              <w:rPr>
                <w:color w:val="000000" w:themeColor="text1"/>
                <w14:textFill>
                  <w14:solidFill>
                    <w14:schemeClr w14:val="tx1"/>
                  </w14:solidFill>
                </w14:textFill>
              </w:rPr>
              <w:t>报警提醒</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执行工作票</w:t>
            </w:r>
            <w:r>
              <w:rPr>
                <w:color w:val="000000" w:themeColor="text1"/>
                <w14:textFill>
                  <w14:solidFill>
                    <w14:schemeClr w14:val="tx1"/>
                  </w14:solidFill>
                </w14:textFill>
              </w:rPr>
              <w:t>制度</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安全规程</w:t>
            </w:r>
            <w:r>
              <w:rPr>
                <w:color w:val="000000" w:themeColor="text1"/>
                <w14:textFill>
                  <w14:solidFill>
                    <w14:schemeClr w14:val="tx1"/>
                  </w14:solidFill>
                </w14:textFill>
              </w:rPr>
              <w:t>培训考试、</w:t>
            </w:r>
            <w:r>
              <w:rPr>
                <w:rFonts w:hint="eastAsia"/>
                <w:color w:val="000000" w:themeColor="text1"/>
                <w14:textFill>
                  <w14:solidFill>
                    <w14:schemeClr w14:val="tx1"/>
                  </w14:solidFill>
                </w14:textFill>
              </w:rPr>
              <w:t>月度</w:t>
            </w:r>
            <w:r>
              <w:rPr>
                <w:color w:val="000000" w:themeColor="text1"/>
                <w14:textFill>
                  <w14:solidFill>
                    <w14:schemeClr w14:val="tx1"/>
                  </w14:solidFill>
                </w14:textFill>
              </w:rPr>
              <w:t>技术培训</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佩戴安全</w:t>
            </w:r>
            <w:r>
              <w:rPr>
                <w:color w:val="000000" w:themeColor="text1"/>
                <w14:textFill>
                  <w14:solidFill>
                    <w14:schemeClr w14:val="tx1"/>
                  </w14:solidFill>
                </w14:textFill>
              </w:rPr>
              <w:t>帽</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拨打应急</w:t>
            </w:r>
            <w:r>
              <w:rPr>
                <w:color w:val="000000" w:themeColor="text1"/>
                <w14:textFill>
                  <w14:solidFill>
                    <w14:schemeClr w14:val="tx1"/>
                  </w14:solidFill>
                </w14:textFill>
              </w:rPr>
              <w:t>电话</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进行触电急救</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1</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6</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7</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42</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低风险</w:t>
            </w:r>
          </w:p>
        </w:tc>
        <w:tc>
          <w:tcPr>
            <w:tcW w:w="0" w:type="auto"/>
            <w:tcBorders>
              <w:top w:val="single" w:color="auto" w:sz="8" w:space="0"/>
            </w:tcBorders>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0" w:type="auto"/>
            <w:tcBorders>
              <w:top w:val="single" w:color="auto" w:sz="8" w:space="0"/>
            </w:tcBorders>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0" w:type="auto"/>
            <w:tcBorders>
              <w:top w:val="single" w:color="auto" w:sz="8" w:space="0"/>
            </w:tcBorders>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0" w:type="auto"/>
            <w:tcBorders>
              <w:top w:val="single" w:color="auto" w:sz="8" w:space="0"/>
            </w:tcBorders>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0" w:type="auto"/>
            <w:tcBorders>
              <w:top w:val="single" w:color="auto" w:sz="8" w:space="0"/>
            </w:tcBorders>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0" w:type="auto"/>
            <w:vMerge w:val="continue"/>
            <w:shd w:val="clear" w:color="auto" w:fill="auto"/>
            <w:vAlign w:val="center"/>
          </w:tcPr>
          <w:p>
            <w:pPr>
              <w:pStyle w:val="178"/>
              <w:spacing w:after="120"/>
            </w:pPr>
          </w:p>
        </w:tc>
        <w:tc>
          <w:tcPr>
            <w:tcW w:w="0" w:type="auto"/>
            <w:vMerge w:val="continue"/>
            <w:shd w:val="clear" w:color="auto" w:fill="auto"/>
            <w:vAlign w:val="center"/>
          </w:tcPr>
          <w:p>
            <w:pPr>
              <w:pStyle w:val="178"/>
              <w:spacing w:after="120"/>
              <w:rPr>
                <w:color w:val="000000" w:themeColor="text1"/>
                <w14:textFill>
                  <w14:solidFill>
                    <w14:schemeClr w14:val="tx1"/>
                  </w14:solidFill>
                </w14:textFill>
              </w:rPr>
            </w:pPr>
          </w:p>
        </w:tc>
        <w:tc>
          <w:tcPr>
            <w:tcW w:w="0" w:type="auto"/>
            <w:vMerge w:val="continue"/>
            <w:shd w:val="clear" w:color="auto" w:fill="auto"/>
            <w:vAlign w:val="center"/>
          </w:tcPr>
          <w:p>
            <w:pPr>
              <w:pStyle w:val="178"/>
              <w:spacing w:after="120"/>
              <w:jc w:val="both"/>
              <w:rPr>
                <w:color w:val="000000" w:themeColor="text1"/>
                <w14:textFill>
                  <w14:solidFill>
                    <w14:schemeClr w14:val="tx1"/>
                  </w14:solidFill>
                </w14:textFill>
              </w:rPr>
            </w:pPr>
          </w:p>
        </w:tc>
        <w:tc>
          <w:tcPr>
            <w:tcW w:w="0" w:type="auto"/>
            <w:vMerge w:val="continue"/>
            <w:shd w:val="clear" w:color="auto" w:fill="auto"/>
            <w:vAlign w:val="center"/>
          </w:tcPr>
          <w:p>
            <w:pPr>
              <w:pStyle w:val="178"/>
              <w:spacing w:after="120"/>
              <w:rPr>
                <w:color w:val="000000" w:themeColor="text1"/>
                <w14:textFill>
                  <w14:solidFill>
                    <w14:schemeClr w14:val="tx1"/>
                  </w14:solidFill>
                </w14:textFill>
              </w:rPr>
            </w:pPr>
          </w:p>
        </w:tc>
        <w:tc>
          <w:tcPr>
            <w:tcW w:w="0" w:type="auto"/>
            <w:vMerge w:val="continue"/>
            <w:shd w:val="clear" w:color="auto" w:fill="auto"/>
            <w:vAlign w:val="center"/>
          </w:tcPr>
          <w:p>
            <w:pPr>
              <w:pStyle w:val="178"/>
              <w:spacing w:after="120"/>
              <w:rPr>
                <w:color w:val="000000" w:themeColor="text1"/>
                <w14:textFill>
                  <w14:solidFill>
                    <w14:schemeClr w14:val="tx1"/>
                  </w14:solidFill>
                </w14:textFill>
              </w:rPr>
            </w:pPr>
          </w:p>
        </w:tc>
        <w:tc>
          <w:tcPr>
            <w:tcW w:w="0" w:type="auto"/>
            <w:vMerge w:val="continue"/>
            <w:shd w:val="clear" w:color="auto" w:fill="auto"/>
            <w:vAlign w:val="center"/>
          </w:tcPr>
          <w:p>
            <w:pPr>
              <w:pStyle w:val="178"/>
              <w:spacing w:after="120"/>
              <w:rPr>
                <w:color w:val="000000" w:themeColor="text1"/>
                <w14:textFill>
                  <w14:solidFill>
                    <w14:schemeClr w14:val="tx1"/>
                  </w14:solidFill>
                </w14:textFill>
              </w:rPr>
            </w:pPr>
          </w:p>
        </w:tc>
        <w:tc>
          <w:tcPr>
            <w:tcW w:w="0" w:type="auto"/>
            <w:tcBorders>
              <w:top w:val="single" w:color="auto" w:sz="8" w:space="0"/>
            </w:tcBorders>
            <w:shd w:val="clear" w:color="auto" w:fill="auto"/>
            <w:vAlign w:val="center"/>
          </w:tcPr>
          <w:p>
            <w:pPr>
              <w:pStyle w:val="178"/>
              <w:spacing w:after="120"/>
              <w:rPr>
                <w:color w:val="000000" w:themeColor="text1"/>
                <w14:textFill>
                  <w14:solidFill>
                    <w14:schemeClr w14:val="tx1"/>
                  </w14:solidFill>
                </w14:textFill>
              </w:rPr>
            </w:pPr>
            <w:r>
              <w:rPr>
                <w:color w:val="000000" w:themeColor="text1"/>
                <w14:textFill>
                  <w14:solidFill>
                    <w14:schemeClr w14:val="tx1"/>
                  </w14:solidFill>
                </w14:textFill>
              </w:rPr>
              <w:t>2</w:t>
            </w:r>
          </w:p>
        </w:tc>
        <w:tc>
          <w:tcPr>
            <w:tcW w:w="0" w:type="auto"/>
            <w:tcBorders>
              <w:top w:val="single" w:color="auto" w:sz="8" w:space="0"/>
            </w:tcBorders>
            <w:shd w:val="clear" w:color="auto" w:fill="auto"/>
            <w:vAlign w:val="center"/>
          </w:tcPr>
          <w:p>
            <w:pPr>
              <w:pStyle w:val="178"/>
              <w:spacing w:after="1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就地</w:t>
            </w:r>
            <w:r>
              <w:rPr>
                <w:color w:val="000000" w:themeColor="text1"/>
                <w14:textFill>
                  <w14:solidFill>
                    <w14:schemeClr w14:val="tx1"/>
                  </w14:solidFill>
                </w14:textFill>
              </w:rPr>
              <w:t>设备检修</w:t>
            </w:r>
          </w:p>
        </w:tc>
        <w:tc>
          <w:tcPr>
            <w:tcW w:w="0" w:type="auto"/>
            <w:tcBorders>
              <w:top w:val="single" w:color="auto" w:sz="8" w:space="0"/>
            </w:tcBorders>
            <w:shd w:val="clear" w:color="auto" w:fill="auto"/>
            <w:vAlign w:val="center"/>
          </w:tcPr>
          <w:p>
            <w:pPr>
              <w:pStyle w:val="178"/>
              <w:spacing w:after="1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高处作业</w:t>
            </w:r>
            <w:r>
              <w:rPr>
                <w:color w:val="000000" w:themeColor="text1"/>
                <w14:textFill>
                  <w14:solidFill>
                    <w14:schemeClr w14:val="tx1"/>
                  </w14:solidFill>
                </w14:textFill>
              </w:rPr>
              <w:t>存在高空坠落的危险；拆卸火</w:t>
            </w:r>
            <w:r>
              <w:rPr>
                <w:rFonts w:hint="eastAsia"/>
                <w:color w:val="000000" w:themeColor="text1"/>
                <w14:textFill>
                  <w14:solidFill>
                    <w14:schemeClr w14:val="tx1"/>
                  </w14:solidFill>
                </w14:textFill>
              </w:rPr>
              <w:t>检光纤</w:t>
            </w:r>
            <w:r>
              <w:rPr>
                <w:color w:val="000000" w:themeColor="text1"/>
                <w14:textFill>
                  <w14:solidFill>
                    <w14:schemeClr w14:val="tx1"/>
                  </w14:solidFill>
                </w14:textFill>
              </w:rPr>
              <w:t>时存在烫伤的危险</w:t>
            </w:r>
          </w:p>
        </w:tc>
        <w:tc>
          <w:tcPr>
            <w:tcW w:w="0" w:type="auto"/>
            <w:tcBorders>
              <w:top w:val="single" w:color="auto" w:sz="8" w:space="0"/>
            </w:tcBorders>
            <w:shd w:val="clear" w:color="auto" w:fill="auto"/>
            <w:vAlign w:val="center"/>
          </w:tcPr>
          <w:p>
            <w:pPr>
              <w:pStyle w:val="178"/>
              <w:spacing w:after="1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高处坠落</w:t>
            </w:r>
            <w:r>
              <w:rPr>
                <w:color w:val="000000" w:themeColor="text1"/>
                <w14:textFill>
                  <w14:solidFill>
                    <w14:schemeClr w14:val="tx1"/>
                  </w14:solidFill>
                </w14:textFill>
              </w:rPr>
              <w:t>、烫</w:t>
            </w:r>
            <w:r>
              <w:rPr>
                <w:rFonts w:hint="eastAsia"/>
                <w:color w:val="000000" w:themeColor="text1"/>
                <w14:textFill>
                  <w14:solidFill>
                    <w14:schemeClr w14:val="tx1"/>
                  </w14:solidFill>
                </w14:textFill>
              </w:rPr>
              <w:t>伤</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1</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6</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15</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90</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一般风险</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检修平台</w:t>
            </w:r>
            <w:r>
              <w:rPr>
                <w:color w:val="000000" w:themeColor="text1"/>
                <w14:textFill>
                  <w14:solidFill>
                    <w14:schemeClr w14:val="tx1"/>
                  </w14:solidFill>
                </w14:textFill>
              </w:rPr>
              <w:t>齐全完整</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执行工作票</w:t>
            </w:r>
            <w:r>
              <w:rPr>
                <w:color w:val="000000" w:themeColor="text1"/>
                <w14:textFill>
                  <w14:solidFill>
                    <w14:schemeClr w14:val="tx1"/>
                  </w14:solidFill>
                </w14:textFill>
              </w:rPr>
              <w:t>制度</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安全规程</w:t>
            </w:r>
            <w:r>
              <w:rPr>
                <w:color w:val="000000" w:themeColor="text1"/>
                <w14:textFill>
                  <w14:solidFill>
                    <w14:schemeClr w14:val="tx1"/>
                  </w14:solidFill>
                </w14:textFill>
              </w:rPr>
              <w:t>培训考试、</w:t>
            </w:r>
            <w:r>
              <w:rPr>
                <w:rFonts w:hint="eastAsia"/>
                <w:color w:val="000000" w:themeColor="text1"/>
                <w14:textFill>
                  <w14:solidFill>
                    <w14:schemeClr w14:val="tx1"/>
                  </w14:solidFill>
                </w14:textFill>
              </w:rPr>
              <w:t>月度</w:t>
            </w:r>
            <w:r>
              <w:rPr>
                <w:color w:val="000000" w:themeColor="text1"/>
                <w14:textFill>
                  <w14:solidFill>
                    <w14:schemeClr w14:val="tx1"/>
                  </w14:solidFill>
                </w14:textFill>
              </w:rPr>
              <w:t>技术培训</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佩戴安全</w:t>
            </w:r>
            <w:r>
              <w:rPr>
                <w:color w:val="000000" w:themeColor="text1"/>
                <w14:textFill>
                  <w14:solidFill>
                    <w14:schemeClr w14:val="tx1"/>
                  </w14:solidFill>
                </w14:textFill>
              </w:rPr>
              <w:t>帽</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color w:val="000000" w:themeColor="text1"/>
                <w14:textFill>
                  <w14:solidFill>
                    <w14:schemeClr w14:val="tx1"/>
                  </w14:solidFill>
                </w14:textFill>
              </w:rPr>
              <w:t>/</w:t>
            </w:r>
            <w:r>
              <w:rPr>
                <w:rFonts w:hint="eastAsia"/>
                <w:color w:val="000000" w:themeColor="text1"/>
                <w14:textFill>
                  <w14:solidFill>
                    <w14:schemeClr w14:val="tx1"/>
                  </w14:solidFill>
                </w14:textFill>
              </w:rPr>
              <w:t>拨打应急</w:t>
            </w:r>
            <w:r>
              <w:rPr>
                <w:color w:val="000000" w:themeColor="text1"/>
                <w14:textFill>
                  <w14:solidFill>
                    <w14:schemeClr w14:val="tx1"/>
                  </w14:solidFill>
                </w14:textFill>
              </w:rPr>
              <w:t>电话</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进行</w:t>
            </w:r>
            <w:r>
              <w:rPr>
                <w:rFonts w:hint="eastAsia"/>
                <w:color w:val="000000" w:themeColor="text1"/>
                <w14:textFill>
                  <w14:solidFill>
                    <w14:schemeClr w14:val="tx1"/>
                  </w14:solidFill>
                </w14:textFill>
              </w:rPr>
              <w:t>高空坠落和</w:t>
            </w:r>
            <w:r>
              <w:rPr>
                <w:color w:val="000000" w:themeColor="text1"/>
                <w14:textFill>
                  <w14:solidFill>
                    <w14:schemeClr w14:val="tx1"/>
                  </w14:solidFill>
                </w14:textFill>
              </w:rPr>
              <w:t>烫伤急救</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1</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6</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7</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42</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低风险</w:t>
            </w:r>
          </w:p>
        </w:tc>
        <w:tc>
          <w:tcPr>
            <w:tcW w:w="0" w:type="auto"/>
            <w:tcBorders>
              <w:top w:val="single" w:color="auto" w:sz="8" w:space="0"/>
            </w:tcBorders>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0" w:type="auto"/>
            <w:tcBorders>
              <w:top w:val="single" w:color="auto" w:sz="8" w:space="0"/>
            </w:tcBorders>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0" w:type="auto"/>
            <w:tcBorders>
              <w:top w:val="single" w:color="auto" w:sz="8" w:space="0"/>
            </w:tcBorders>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0" w:type="auto"/>
            <w:tcBorders>
              <w:top w:val="single" w:color="auto" w:sz="8" w:space="0"/>
            </w:tcBorders>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w:t>
            </w:r>
          </w:p>
        </w:tc>
        <w:tc>
          <w:tcPr>
            <w:tcW w:w="0" w:type="auto"/>
            <w:tcBorders>
              <w:top w:val="single" w:color="auto" w:sz="8" w:space="0"/>
            </w:tcBorders>
            <w:vAlign w:val="center"/>
          </w:tcPr>
          <w:p>
            <w:pPr>
              <w:rPr>
                <w:color w:val="000000" w:themeColor="text1"/>
                <w14:textFill>
                  <w14:solidFill>
                    <w14:schemeClr w14:val="tx1"/>
                  </w14:solidFill>
                </w14:textFill>
              </w:rPr>
            </w:pPr>
            <w:r>
              <w:rPr>
                <w:color w:val="000000" w:themeColor="text1"/>
                <w14:textFill>
                  <w14:solidFill>
                    <w14:schemeClr w14:val="tx1"/>
                  </w14:solidFill>
                </w14:textFill>
              </w:rPr>
              <w:t>/</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0" w:type="auto"/>
            <w:shd w:val="clear" w:color="auto" w:fill="auto"/>
            <w:vAlign w:val="center"/>
          </w:tcPr>
          <w:p>
            <w:pPr>
              <w:pStyle w:val="178"/>
              <w:spacing w:after="120"/>
            </w:pPr>
            <w:r>
              <w:t>…</w:t>
            </w:r>
          </w:p>
        </w:tc>
        <w:tc>
          <w:tcPr>
            <w:tcW w:w="0" w:type="auto"/>
            <w:shd w:val="clear" w:color="auto" w:fill="auto"/>
            <w:vAlign w:val="center"/>
          </w:tcPr>
          <w:p>
            <w:pPr>
              <w:pStyle w:val="178"/>
              <w:spacing w:after="120"/>
            </w:pPr>
            <w:r>
              <w:t>…</w:t>
            </w:r>
          </w:p>
        </w:tc>
        <w:tc>
          <w:tcPr>
            <w:tcW w:w="0" w:type="auto"/>
            <w:shd w:val="clear" w:color="auto" w:fill="auto"/>
          </w:tcPr>
          <w:p>
            <w:r>
              <w:t>…</w:t>
            </w:r>
          </w:p>
        </w:tc>
        <w:tc>
          <w:tcPr>
            <w:tcW w:w="0" w:type="auto"/>
            <w:shd w:val="clear" w:color="auto" w:fill="auto"/>
          </w:tcPr>
          <w:p>
            <w:r>
              <w:t>…</w:t>
            </w:r>
          </w:p>
        </w:tc>
        <w:tc>
          <w:tcPr>
            <w:tcW w:w="0" w:type="auto"/>
            <w:shd w:val="clear" w:color="auto" w:fill="auto"/>
          </w:tcPr>
          <w:p>
            <w:r>
              <w:t>…</w:t>
            </w:r>
          </w:p>
        </w:tc>
        <w:tc>
          <w:tcPr>
            <w:tcW w:w="0" w:type="auto"/>
            <w:shd w:val="clear" w:color="auto" w:fill="auto"/>
          </w:tcPr>
          <w:p>
            <w:r>
              <w:t>…</w:t>
            </w:r>
          </w:p>
        </w:tc>
        <w:tc>
          <w:tcPr>
            <w:tcW w:w="0" w:type="auto"/>
            <w:shd w:val="clear" w:color="auto" w:fill="auto"/>
            <w:vAlign w:val="center"/>
          </w:tcPr>
          <w:p>
            <w:pPr>
              <w:pStyle w:val="178"/>
              <w:spacing w:after="120"/>
            </w:pPr>
            <w:r>
              <w:t>…</w:t>
            </w:r>
          </w:p>
        </w:tc>
        <w:tc>
          <w:tcPr>
            <w:tcW w:w="0" w:type="auto"/>
            <w:shd w:val="clear" w:color="auto" w:fill="auto"/>
            <w:vAlign w:val="center"/>
          </w:tcPr>
          <w:p>
            <w:pPr>
              <w:pStyle w:val="178"/>
              <w:spacing w:after="120"/>
            </w:pPr>
            <w:r>
              <w:t>…</w:t>
            </w:r>
          </w:p>
        </w:tc>
        <w:tc>
          <w:tcPr>
            <w:tcW w:w="0" w:type="auto"/>
            <w:shd w:val="clear" w:color="auto" w:fill="auto"/>
            <w:vAlign w:val="center"/>
          </w:tcPr>
          <w:p>
            <w:pPr>
              <w:pStyle w:val="178"/>
              <w:spacing w:after="120"/>
            </w:pPr>
            <w:r>
              <w:t>…</w:t>
            </w:r>
          </w:p>
        </w:tc>
        <w:tc>
          <w:tcPr>
            <w:tcW w:w="0" w:type="auto"/>
            <w:shd w:val="clear" w:color="auto" w:fill="auto"/>
            <w:vAlign w:val="center"/>
          </w:tcPr>
          <w:p>
            <w:pPr>
              <w:pStyle w:val="178"/>
              <w:spacing w:after="120"/>
            </w:pPr>
            <w:r>
              <w:t>…</w:t>
            </w:r>
          </w:p>
        </w:tc>
        <w:tc>
          <w:tcPr>
            <w:tcW w:w="0" w:type="auto"/>
            <w:gridSpan w:val="5"/>
            <w:vAlign w:val="center"/>
          </w:tcPr>
          <w:p>
            <w:pPr>
              <w:pStyle w:val="178"/>
              <w:spacing w:after="120"/>
            </w:pPr>
            <w:r>
              <w:t>…</w:t>
            </w:r>
          </w:p>
        </w:tc>
        <w:tc>
          <w:tcPr>
            <w:tcW w:w="0" w:type="auto"/>
            <w:gridSpan w:val="5"/>
            <w:vAlign w:val="center"/>
          </w:tcPr>
          <w:p>
            <w:pPr>
              <w:pStyle w:val="178"/>
              <w:spacing w:after="120"/>
            </w:pPr>
            <w:r>
              <w:t>…</w:t>
            </w:r>
          </w:p>
        </w:tc>
        <w:tc>
          <w:tcPr>
            <w:tcW w:w="0" w:type="auto"/>
            <w:gridSpan w:val="5"/>
            <w:vAlign w:val="center"/>
          </w:tcPr>
          <w:p>
            <w:pPr>
              <w:pStyle w:val="178"/>
              <w:spacing w:after="120"/>
            </w:pPr>
            <w:r>
              <w:t>…</w:t>
            </w:r>
          </w:p>
        </w:tc>
        <w:tc>
          <w:tcPr>
            <w:tcW w:w="0" w:type="auto"/>
            <w:gridSpan w:val="5"/>
            <w:vAlign w:val="center"/>
          </w:tcPr>
          <w:p>
            <w:pPr>
              <w:pStyle w:val="178"/>
              <w:spacing w:after="120"/>
            </w:pPr>
            <w:r>
              <w:t>…</w:t>
            </w:r>
          </w:p>
        </w:tc>
      </w:tr>
    </w:tbl>
    <w:p>
      <w:pPr>
        <w:pStyle w:val="56"/>
        <w:ind w:firstLine="420"/>
      </w:pPr>
    </w:p>
    <w:p>
      <w:pPr>
        <w:widowControl/>
        <w:adjustRightInd/>
        <w:jc w:val="left"/>
        <w:rPr>
          <w:kern w:val="0"/>
          <w:szCs w:val="20"/>
        </w:rPr>
      </w:pPr>
      <w:r>
        <w:br w:type="page"/>
      </w:r>
    </w:p>
    <w:p>
      <w:pPr>
        <w:pStyle w:val="77"/>
        <w:spacing w:before="120" w:after="120"/>
        <w:ind w:firstLine="420"/>
      </w:pPr>
      <w:r>
        <w:rPr>
          <w:rFonts w:hint="eastAsia"/>
        </w:rPr>
        <w:t xml:space="preserve"> 设备设施风险分级管控清单</w:t>
      </w:r>
    </w:p>
    <w:p>
      <w:pPr>
        <w:pStyle w:val="56"/>
        <w:ind w:firstLine="0" w:firstLineChars="0"/>
      </w:pPr>
      <w:r>
        <w:t>辨识单元：</w:t>
      </w:r>
      <w:r>
        <w:rPr>
          <w:rFonts w:hint="eastAsia"/>
        </w:rPr>
        <w:t>热工</w:t>
      </w:r>
      <w:r>
        <w:t>车间</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45"/>
        <w:gridCol w:w="554"/>
        <w:gridCol w:w="463"/>
        <w:gridCol w:w="645"/>
        <w:gridCol w:w="1190"/>
        <w:gridCol w:w="464"/>
        <w:gridCol w:w="646"/>
        <w:gridCol w:w="1282"/>
        <w:gridCol w:w="1649"/>
        <w:gridCol w:w="646"/>
        <w:gridCol w:w="646"/>
        <w:gridCol w:w="2832"/>
        <w:gridCol w:w="646"/>
        <w:gridCol w:w="464"/>
        <w:gridCol w:w="464"/>
        <w:gridCol w:w="56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57" w:hRule="atLeast"/>
          <w:tblHeader/>
          <w:jc w:val="center"/>
        </w:trPr>
        <w:tc>
          <w:tcPr>
            <w:tcW w:w="0" w:type="auto"/>
            <w:gridSpan w:val="3"/>
            <w:tcBorders>
              <w:top w:val="single" w:color="auto" w:sz="8" w:space="0"/>
            </w:tcBorders>
            <w:shd w:val="clear" w:color="auto" w:fill="auto"/>
            <w:vAlign w:val="center"/>
          </w:tcPr>
          <w:p>
            <w:pPr>
              <w:pStyle w:val="178"/>
              <w:spacing w:after="120"/>
            </w:pPr>
            <w:r>
              <w:t>风险点基本信息</w:t>
            </w:r>
          </w:p>
        </w:tc>
        <w:tc>
          <w:tcPr>
            <w:tcW w:w="0" w:type="auto"/>
            <w:gridSpan w:val="3"/>
            <w:tcBorders>
              <w:top w:val="single" w:color="auto" w:sz="8" w:space="0"/>
            </w:tcBorders>
            <w:shd w:val="clear" w:color="auto" w:fill="auto"/>
            <w:vAlign w:val="center"/>
          </w:tcPr>
          <w:p>
            <w:pPr>
              <w:pStyle w:val="178"/>
              <w:spacing w:after="120"/>
            </w:pPr>
            <w:r>
              <w:t>检查项目</w:t>
            </w:r>
          </w:p>
        </w:tc>
        <w:tc>
          <w:tcPr>
            <w:tcW w:w="0" w:type="auto"/>
            <w:vMerge w:val="restart"/>
            <w:tcBorders>
              <w:top w:val="single" w:color="auto" w:sz="8" w:space="0"/>
            </w:tcBorders>
            <w:vAlign w:val="center"/>
          </w:tcPr>
          <w:p>
            <w:pPr>
              <w:pStyle w:val="178"/>
              <w:spacing w:after="120"/>
            </w:pPr>
            <w:r>
              <w:t>固有风险等级</w:t>
            </w:r>
          </w:p>
        </w:tc>
        <w:tc>
          <w:tcPr>
            <w:tcW w:w="0" w:type="auto"/>
            <w:gridSpan w:val="5"/>
            <w:tcBorders>
              <w:top w:val="single" w:color="auto" w:sz="8" w:space="0"/>
            </w:tcBorders>
            <w:vAlign w:val="center"/>
          </w:tcPr>
          <w:p>
            <w:pPr>
              <w:pStyle w:val="178"/>
              <w:spacing w:after="120"/>
            </w:pPr>
            <w:r>
              <w:t>管控措施</w:t>
            </w:r>
          </w:p>
        </w:tc>
        <w:tc>
          <w:tcPr>
            <w:tcW w:w="0" w:type="auto"/>
            <w:vMerge w:val="restart"/>
            <w:tcBorders>
              <w:top w:val="single" w:color="auto" w:sz="8" w:space="0"/>
            </w:tcBorders>
            <w:vAlign w:val="center"/>
          </w:tcPr>
          <w:p>
            <w:pPr>
              <w:pStyle w:val="178"/>
              <w:spacing w:after="120"/>
            </w:pPr>
            <w:r>
              <w:t>现有风险等级</w:t>
            </w:r>
          </w:p>
        </w:tc>
        <w:tc>
          <w:tcPr>
            <w:tcW w:w="0" w:type="auto"/>
            <w:vMerge w:val="restart"/>
            <w:tcBorders>
              <w:top w:val="single" w:color="auto" w:sz="8" w:space="0"/>
            </w:tcBorders>
            <w:vAlign w:val="center"/>
          </w:tcPr>
          <w:p>
            <w:pPr>
              <w:pStyle w:val="178"/>
              <w:spacing w:after="120"/>
            </w:pPr>
            <w:r>
              <w:t>管控层级</w:t>
            </w:r>
          </w:p>
        </w:tc>
        <w:tc>
          <w:tcPr>
            <w:tcW w:w="0" w:type="auto"/>
            <w:vMerge w:val="restart"/>
            <w:tcBorders>
              <w:top w:val="single" w:color="auto" w:sz="8" w:space="0"/>
            </w:tcBorders>
            <w:vAlign w:val="center"/>
          </w:tcPr>
          <w:p>
            <w:pPr>
              <w:pStyle w:val="178"/>
              <w:spacing w:after="120"/>
            </w:pPr>
            <w:r>
              <w:t>管控部门</w:t>
            </w:r>
          </w:p>
        </w:tc>
        <w:tc>
          <w:tcPr>
            <w:tcW w:w="0" w:type="auto"/>
            <w:vMerge w:val="restart"/>
            <w:tcBorders>
              <w:top w:val="single" w:color="auto" w:sz="8" w:space="0"/>
            </w:tcBorders>
            <w:vAlign w:val="center"/>
          </w:tcPr>
          <w:p>
            <w:pPr>
              <w:pStyle w:val="178"/>
              <w:spacing w:after="120"/>
            </w:pPr>
            <w:r>
              <w:t>管控责任人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57" w:hRule="atLeast"/>
          <w:tblHeader/>
          <w:jc w:val="center"/>
        </w:trPr>
        <w:tc>
          <w:tcPr>
            <w:tcW w:w="0" w:type="auto"/>
            <w:tcBorders>
              <w:bottom w:val="single" w:color="auto" w:sz="8" w:space="0"/>
            </w:tcBorders>
            <w:shd w:val="clear" w:color="auto" w:fill="auto"/>
            <w:vAlign w:val="center"/>
          </w:tcPr>
          <w:p>
            <w:pPr>
              <w:pStyle w:val="178"/>
              <w:spacing w:after="120"/>
            </w:pPr>
            <w:r>
              <w:t>编号</w:t>
            </w:r>
          </w:p>
        </w:tc>
        <w:tc>
          <w:tcPr>
            <w:tcW w:w="0" w:type="auto"/>
            <w:tcBorders>
              <w:top w:val="single" w:color="auto" w:sz="8" w:space="0"/>
              <w:bottom w:val="single" w:color="auto" w:sz="8" w:space="0"/>
            </w:tcBorders>
            <w:shd w:val="clear" w:color="auto" w:fill="auto"/>
            <w:vAlign w:val="center"/>
          </w:tcPr>
          <w:p>
            <w:pPr>
              <w:pStyle w:val="178"/>
              <w:spacing w:after="120"/>
            </w:pPr>
            <w:r>
              <w:t>类型</w:t>
            </w:r>
          </w:p>
        </w:tc>
        <w:tc>
          <w:tcPr>
            <w:tcW w:w="0" w:type="auto"/>
            <w:tcBorders>
              <w:top w:val="single" w:color="auto" w:sz="8" w:space="0"/>
              <w:bottom w:val="single" w:color="auto" w:sz="8" w:space="0"/>
            </w:tcBorders>
            <w:shd w:val="clear" w:color="auto" w:fill="auto"/>
            <w:vAlign w:val="center"/>
          </w:tcPr>
          <w:p>
            <w:pPr>
              <w:pStyle w:val="178"/>
              <w:spacing w:after="120"/>
            </w:pPr>
            <w:r>
              <w:t>名称</w:t>
            </w:r>
          </w:p>
        </w:tc>
        <w:tc>
          <w:tcPr>
            <w:tcW w:w="0" w:type="auto"/>
            <w:tcBorders>
              <w:bottom w:val="single" w:color="auto" w:sz="8" w:space="0"/>
            </w:tcBorders>
            <w:shd w:val="clear" w:color="auto" w:fill="auto"/>
            <w:vAlign w:val="center"/>
          </w:tcPr>
          <w:p>
            <w:pPr>
              <w:pStyle w:val="178"/>
              <w:spacing w:after="120"/>
            </w:pPr>
            <w:r>
              <w:t>检查项目名称</w:t>
            </w:r>
          </w:p>
        </w:tc>
        <w:tc>
          <w:tcPr>
            <w:tcW w:w="0" w:type="auto"/>
            <w:tcBorders>
              <w:bottom w:val="single" w:color="auto" w:sz="8" w:space="0"/>
            </w:tcBorders>
            <w:shd w:val="clear" w:color="auto" w:fill="auto"/>
            <w:vAlign w:val="center"/>
          </w:tcPr>
          <w:p>
            <w:pPr>
              <w:pStyle w:val="178"/>
              <w:spacing w:after="120"/>
            </w:pPr>
            <w:r>
              <w:t>检查标准</w:t>
            </w:r>
          </w:p>
        </w:tc>
        <w:tc>
          <w:tcPr>
            <w:tcW w:w="0" w:type="auto"/>
            <w:tcBorders>
              <w:bottom w:val="single" w:color="auto" w:sz="8" w:space="0"/>
            </w:tcBorders>
            <w:shd w:val="clear" w:color="auto" w:fill="auto"/>
            <w:vAlign w:val="center"/>
          </w:tcPr>
          <w:p>
            <w:pPr>
              <w:pStyle w:val="178"/>
              <w:spacing w:after="120"/>
            </w:pPr>
            <w:r>
              <w:t>主要后果</w:t>
            </w:r>
          </w:p>
        </w:tc>
        <w:tc>
          <w:tcPr>
            <w:tcW w:w="0" w:type="auto"/>
            <w:vMerge w:val="continue"/>
            <w:tcBorders>
              <w:bottom w:val="single" w:color="auto" w:sz="8" w:space="0"/>
            </w:tcBorders>
            <w:vAlign w:val="center"/>
          </w:tcPr>
          <w:p>
            <w:pPr>
              <w:pStyle w:val="178"/>
              <w:spacing w:after="120"/>
              <w:rPr>
                <w:rFonts w:hAnsi="宋体"/>
                <w:color w:val="000000"/>
              </w:rPr>
            </w:pPr>
          </w:p>
        </w:tc>
        <w:tc>
          <w:tcPr>
            <w:tcW w:w="0" w:type="auto"/>
            <w:tcBorders>
              <w:bottom w:val="single" w:color="auto" w:sz="8" w:space="0"/>
            </w:tcBorders>
            <w:vAlign w:val="center"/>
          </w:tcPr>
          <w:p>
            <w:pPr>
              <w:pStyle w:val="178"/>
              <w:spacing w:after="120"/>
            </w:pPr>
            <w:r>
              <w:rPr>
                <w:rFonts w:hAnsi="宋体"/>
                <w:color w:val="000000"/>
              </w:rPr>
              <w:t>工程技术措施</w:t>
            </w:r>
          </w:p>
        </w:tc>
        <w:tc>
          <w:tcPr>
            <w:tcW w:w="0" w:type="auto"/>
            <w:tcBorders>
              <w:bottom w:val="single" w:color="auto" w:sz="8" w:space="0"/>
            </w:tcBorders>
            <w:vAlign w:val="center"/>
          </w:tcPr>
          <w:p>
            <w:pPr>
              <w:pStyle w:val="178"/>
              <w:spacing w:after="120"/>
            </w:pPr>
            <w:r>
              <w:rPr>
                <w:rFonts w:hAnsi="宋体"/>
                <w:color w:val="000000"/>
              </w:rPr>
              <w:t>管理措施</w:t>
            </w:r>
          </w:p>
        </w:tc>
        <w:tc>
          <w:tcPr>
            <w:tcW w:w="0" w:type="auto"/>
            <w:tcBorders>
              <w:bottom w:val="single" w:color="auto" w:sz="8" w:space="0"/>
            </w:tcBorders>
            <w:vAlign w:val="center"/>
          </w:tcPr>
          <w:p>
            <w:pPr>
              <w:pStyle w:val="178"/>
              <w:spacing w:after="120"/>
            </w:pPr>
            <w:r>
              <w:rPr>
                <w:rFonts w:hAnsi="宋体"/>
                <w:color w:val="000000"/>
              </w:rPr>
              <w:t>培训教育措施</w:t>
            </w:r>
          </w:p>
        </w:tc>
        <w:tc>
          <w:tcPr>
            <w:tcW w:w="0" w:type="auto"/>
            <w:tcBorders>
              <w:bottom w:val="single" w:color="auto" w:sz="8" w:space="0"/>
            </w:tcBorders>
            <w:vAlign w:val="center"/>
          </w:tcPr>
          <w:p>
            <w:pPr>
              <w:pStyle w:val="178"/>
              <w:spacing w:after="120"/>
            </w:pPr>
            <w:r>
              <w:rPr>
                <w:rFonts w:hAnsi="宋体"/>
                <w:color w:val="000000"/>
              </w:rPr>
              <w:t>个体防护措施</w:t>
            </w:r>
          </w:p>
        </w:tc>
        <w:tc>
          <w:tcPr>
            <w:tcW w:w="0" w:type="auto"/>
            <w:tcBorders>
              <w:bottom w:val="single" w:color="auto" w:sz="8" w:space="0"/>
            </w:tcBorders>
            <w:vAlign w:val="center"/>
          </w:tcPr>
          <w:p>
            <w:pPr>
              <w:pStyle w:val="178"/>
              <w:spacing w:after="120"/>
            </w:pPr>
            <w:r>
              <w:rPr>
                <w:rFonts w:hAnsi="宋体"/>
                <w:color w:val="000000"/>
              </w:rPr>
              <w:t>应急处置措施</w:t>
            </w:r>
          </w:p>
        </w:tc>
        <w:tc>
          <w:tcPr>
            <w:tcW w:w="0" w:type="auto"/>
            <w:vMerge w:val="continue"/>
            <w:tcBorders>
              <w:bottom w:val="single" w:color="auto" w:sz="8" w:space="0"/>
            </w:tcBorders>
            <w:vAlign w:val="center"/>
          </w:tcPr>
          <w:p>
            <w:pPr>
              <w:pStyle w:val="178"/>
              <w:spacing w:after="120"/>
            </w:pPr>
          </w:p>
        </w:tc>
        <w:tc>
          <w:tcPr>
            <w:tcW w:w="0" w:type="auto"/>
            <w:vMerge w:val="continue"/>
            <w:tcBorders>
              <w:bottom w:val="single" w:color="auto" w:sz="8" w:space="0"/>
            </w:tcBorders>
            <w:vAlign w:val="center"/>
          </w:tcPr>
          <w:p>
            <w:pPr>
              <w:pStyle w:val="178"/>
              <w:spacing w:after="120"/>
            </w:pPr>
          </w:p>
        </w:tc>
        <w:tc>
          <w:tcPr>
            <w:tcW w:w="0" w:type="auto"/>
            <w:vMerge w:val="continue"/>
            <w:tcBorders>
              <w:bottom w:val="single" w:color="auto" w:sz="8" w:space="0"/>
            </w:tcBorders>
            <w:vAlign w:val="center"/>
          </w:tcPr>
          <w:p>
            <w:pPr>
              <w:pStyle w:val="178"/>
              <w:spacing w:after="120"/>
            </w:pPr>
          </w:p>
        </w:tc>
        <w:tc>
          <w:tcPr>
            <w:tcW w:w="0" w:type="auto"/>
            <w:vMerge w:val="continue"/>
            <w:tcBorders>
              <w:bottom w:val="single" w:color="auto" w:sz="8" w:space="0"/>
            </w:tcBorders>
            <w:vAlign w:val="center"/>
          </w:tcPr>
          <w:p>
            <w:pPr>
              <w:pStyle w:val="178"/>
              <w:spacing w:after="120"/>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0" w:type="auto"/>
            <w:vMerge w:val="restart"/>
            <w:tcBorders>
              <w:top w:val="single" w:color="auto" w:sz="8" w:space="0"/>
            </w:tcBorders>
            <w:shd w:val="clear" w:color="auto" w:fill="auto"/>
            <w:vAlign w:val="center"/>
          </w:tcPr>
          <w:p>
            <w:pPr>
              <w:pStyle w:val="178"/>
              <w:spacing w:after="120"/>
            </w:pPr>
            <w:r>
              <w:t>RG-SB-1</w:t>
            </w:r>
          </w:p>
        </w:tc>
        <w:tc>
          <w:tcPr>
            <w:tcW w:w="0" w:type="auto"/>
            <w:vMerge w:val="restart"/>
            <w:tcBorders>
              <w:top w:val="single" w:color="auto" w:sz="8" w:space="0"/>
            </w:tcBorders>
            <w:shd w:val="clear" w:color="auto" w:fill="auto"/>
            <w:vAlign w:val="center"/>
          </w:tcPr>
          <w:p>
            <w:pPr>
              <w:pStyle w:val="178"/>
              <w:spacing w:after="120"/>
            </w:pPr>
            <w:r>
              <w:rPr>
                <w:rFonts w:hint="eastAsia"/>
              </w:rPr>
              <w:t>设备设施</w:t>
            </w:r>
            <w:r>
              <w:t>类</w:t>
            </w:r>
          </w:p>
        </w:tc>
        <w:tc>
          <w:tcPr>
            <w:tcW w:w="0" w:type="auto"/>
            <w:vMerge w:val="restart"/>
            <w:tcBorders>
              <w:top w:val="single" w:color="auto" w:sz="8" w:space="0"/>
            </w:tcBorders>
            <w:shd w:val="clear" w:color="auto" w:fill="auto"/>
            <w:vAlign w:val="center"/>
          </w:tcPr>
          <w:p>
            <w:pPr>
              <w:pStyle w:val="178"/>
              <w:spacing w:after="120"/>
            </w:pPr>
            <w:r>
              <w:rPr>
                <w:rFonts w:hint="eastAsia"/>
              </w:rPr>
              <w:t>火检系统</w:t>
            </w:r>
          </w:p>
        </w:tc>
        <w:tc>
          <w:tcPr>
            <w:tcW w:w="0" w:type="auto"/>
            <w:tcBorders>
              <w:top w:val="single" w:color="auto" w:sz="8" w:space="0"/>
            </w:tcBorders>
            <w:shd w:val="clear" w:color="auto" w:fill="auto"/>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电源</w:t>
            </w:r>
            <w:r>
              <w:rPr>
                <w:color w:val="000000" w:themeColor="text1"/>
                <w14:textFill>
                  <w14:solidFill>
                    <w14:schemeClr w14:val="tx1"/>
                  </w14:solidFill>
                </w14:textFill>
              </w:rPr>
              <w:t>检查</w:t>
            </w:r>
          </w:p>
        </w:tc>
        <w:tc>
          <w:tcPr>
            <w:tcW w:w="0" w:type="auto"/>
            <w:tcBorders>
              <w:top w:val="single" w:color="auto" w:sz="8" w:space="0"/>
            </w:tcBorders>
            <w:shd w:val="clear" w:color="auto" w:fill="auto"/>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电源指示</w:t>
            </w:r>
            <w:r>
              <w:rPr>
                <w:color w:val="000000" w:themeColor="text1"/>
                <w14:textFill>
                  <w14:solidFill>
                    <w14:schemeClr w14:val="tx1"/>
                  </w14:solidFill>
                </w14:textFill>
              </w:rPr>
              <w:t>正常</w:t>
            </w:r>
          </w:p>
        </w:tc>
        <w:tc>
          <w:tcPr>
            <w:tcW w:w="0" w:type="auto"/>
            <w:tcBorders>
              <w:top w:val="single" w:color="auto" w:sz="8" w:space="0"/>
            </w:tcBorders>
            <w:shd w:val="clear" w:color="auto" w:fill="auto"/>
            <w:vAlign w:val="center"/>
          </w:tcPr>
          <w:p>
            <w:pPr>
              <w:pStyle w:val="178"/>
              <w:spacing w:after="120"/>
              <w:rPr>
                <w:color w:val="000000" w:themeColor="text1"/>
                <w14:textFill>
                  <w14:solidFill>
                    <w14:schemeClr w14:val="tx1"/>
                  </w14:solidFill>
                </w14:textFill>
              </w:rPr>
            </w:pPr>
            <w:r>
              <w:rPr>
                <w:color w:val="000000" w:themeColor="text1"/>
                <w14:textFill>
                  <w14:solidFill>
                    <w14:schemeClr w14:val="tx1"/>
                  </w14:solidFill>
                </w14:textFill>
              </w:rPr>
              <w:t>其他伤害</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color w:val="000000" w:themeColor="text1"/>
                <w14:textFill>
                  <w14:solidFill>
                    <w14:schemeClr w14:val="tx1"/>
                  </w14:solidFill>
                </w14:textFill>
              </w:rPr>
              <w:t>一般风险</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设备</w:t>
            </w:r>
            <w:r>
              <w:rPr>
                <w:color w:val="000000" w:themeColor="text1"/>
                <w14:textFill>
                  <w14:solidFill>
                    <w14:schemeClr w14:val="tx1"/>
                  </w14:solidFill>
                </w14:textFill>
              </w:rPr>
              <w:t>双重编号，机组</w:t>
            </w:r>
            <w:r>
              <w:rPr>
                <w:rFonts w:hint="eastAsia"/>
                <w:color w:val="000000" w:themeColor="text1"/>
                <w14:textFill>
                  <w14:solidFill>
                    <w14:schemeClr w14:val="tx1"/>
                  </w14:solidFill>
                </w14:textFill>
              </w:rPr>
              <w:t>号</w:t>
            </w:r>
            <w:r>
              <w:rPr>
                <w:color w:val="000000" w:themeColor="text1"/>
                <w14:textFill>
                  <w14:solidFill>
                    <w14:schemeClr w14:val="tx1"/>
                  </w14:solidFill>
                </w14:textFill>
              </w:rPr>
              <w:t>明确</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遵守热工</w:t>
            </w:r>
            <w:r>
              <w:rPr>
                <w:color w:val="000000" w:themeColor="text1"/>
                <w14:textFill>
                  <w14:solidFill>
                    <w14:schemeClr w14:val="tx1"/>
                  </w14:solidFill>
                </w14:textFill>
              </w:rPr>
              <w:t>车间工程师和电子间管理制度</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月度</w:t>
            </w:r>
            <w:r>
              <w:rPr>
                <w:color w:val="000000" w:themeColor="text1"/>
                <w14:textFill>
                  <w14:solidFill>
                    <w14:schemeClr w14:val="tx1"/>
                  </w14:solidFill>
                </w14:textFill>
              </w:rPr>
              <w:t>技术培训</w:t>
            </w:r>
          </w:p>
        </w:tc>
        <w:tc>
          <w:tcPr>
            <w:tcW w:w="0" w:type="auto"/>
            <w:tcBorders>
              <w:top w:val="single" w:color="auto" w:sz="8" w:space="0"/>
            </w:tcBorders>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佩戴安全</w:t>
            </w:r>
            <w:r>
              <w:rPr>
                <w:color w:val="000000" w:themeColor="text1"/>
                <w14:textFill>
                  <w14:solidFill>
                    <w14:schemeClr w14:val="tx1"/>
                  </w14:solidFill>
                </w14:textFill>
              </w:rPr>
              <w:t>帽</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进入</w:t>
            </w:r>
            <w:r>
              <w:rPr>
                <w:color w:val="000000" w:themeColor="text1"/>
                <w14:textFill>
                  <w14:solidFill>
                    <w14:schemeClr w14:val="tx1"/>
                  </w14:solidFill>
                </w14:textFill>
              </w:rPr>
              <w:t>现场，确认位置正确，核对火检电源名称正确，更换</w:t>
            </w:r>
            <w:r>
              <w:rPr>
                <w:rFonts w:hint="eastAsia"/>
                <w:color w:val="000000" w:themeColor="text1"/>
                <w14:textFill>
                  <w14:solidFill>
                    <w14:schemeClr w14:val="tx1"/>
                  </w14:solidFill>
                </w14:textFill>
              </w:rPr>
              <w:t>损坏</w:t>
            </w:r>
            <w:r>
              <w:rPr>
                <w:color w:val="000000" w:themeColor="text1"/>
                <w14:textFill>
                  <w14:solidFill>
                    <w14:schemeClr w14:val="tx1"/>
                  </w14:solidFill>
                </w14:textFill>
              </w:rPr>
              <w:t>电源</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color w:val="000000" w:themeColor="text1"/>
                <w14:textFill>
                  <w14:solidFill>
                    <w14:schemeClr w14:val="tx1"/>
                  </w14:solidFill>
                </w14:textFill>
              </w:rPr>
              <w:t>低风险</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color w:val="000000" w:themeColor="text1"/>
                <w14:textFill>
                  <w14:solidFill>
                    <w14:schemeClr w14:val="tx1"/>
                  </w14:solidFill>
                </w14:textFill>
              </w:rPr>
              <w:t>岗位级</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热工</w:t>
            </w:r>
            <w:r>
              <w:rPr>
                <w:color w:val="000000" w:themeColor="text1"/>
                <w14:textFill>
                  <w14:solidFill>
                    <w14:schemeClr w14:val="tx1"/>
                  </w14:solidFill>
                </w14:textFill>
              </w:rPr>
              <w:t>车间</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color w:val="000000" w:themeColor="text1"/>
                <w14:textFill>
                  <w14:solidFill>
                    <w14:schemeClr w14:val="tx1"/>
                  </w14:solidFill>
                </w14:textFill>
              </w:rPr>
              <w:t>张三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0" w:type="auto"/>
            <w:vMerge w:val="continue"/>
            <w:shd w:val="clear" w:color="auto" w:fill="auto"/>
            <w:vAlign w:val="center"/>
          </w:tcPr>
          <w:p>
            <w:pPr>
              <w:pStyle w:val="178"/>
              <w:spacing w:after="120"/>
            </w:pPr>
          </w:p>
        </w:tc>
        <w:tc>
          <w:tcPr>
            <w:tcW w:w="0" w:type="auto"/>
            <w:vMerge w:val="continue"/>
            <w:shd w:val="clear" w:color="auto" w:fill="auto"/>
            <w:vAlign w:val="center"/>
          </w:tcPr>
          <w:p>
            <w:pPr>
              <w:pStyle w:val="178"/>
              <w:spacing w:after="120"/>
            </w:pPr>
          </w:p>
        </w:tc>
        <w:tc>
          <w:tcPr>
            <w:tcW w:w="0" w:type="auto"/>
            <w:vMerge w:val="continue"/>
            <w:shd w:val="clear" w:color="auto" w:fill="auto"/>
            <w:vAlign w:val="center"/>
          </w:tcPr>
          <w:p>
            <w:pPr>
              <w:pStyle w:val="178"/>
              <w:spacing w:after="120"/>
            </w:pPr>
          </w:p>
        </w:tc>
        <w:tc>
          <w:tcPr>
            <w:tcW w:w="0" w:type="auto"/>
            <w:tcBorders>
              <w:top w:val="single" w:color="auto" w:sz="8" w:space="0"/>
            </w:tcBorders>
            <w:shd w:val="clear" w:color="auto" w:fill="auto"/>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火检件</w:t>
            </w:r>
            <w:r>
              <w:rPr>
                <w:color w:val="000000" w:themeColor="text1"/>
                <w14:textFill>
                  <w14:solidFill>
                    <w14:schemeClr w14:val="tx1"/>
                  </w14:solidFill>
                </w14:textFill>
              </w:rPr>
              <w:t>检查</w:t>
            </w:r>
          </w:p>
        </w:tc>
        <w:tc>
          <w:tcPr>
            <w:tcW w:w="0" w:type="auto"/>
            <w:tcBorders>
              <w:top w:val="single" w:color="auto" w:sz="8" w:space="0"/>
            </w:tcBorders>
            <w:shd w:val="clear" w:color="auto" w:fill="auto"/>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卡件</w:t>
            </w:r>
            <w:r>
              <w:rPr>
                <w:color w:val="000000" w:themeColor="text1"/>
                <w14:textFill>
                  <w14:solidFill>
                    <w14:schemeClr w14:val="tx1"/>
                  </w14:solidFill>
                </w14:textFill>
              </w:rPr>
              <w:t>状态正常，通讯正常</w:t>
            </w:r>
          </w:p>
        </w:tc>
        <w:tc>
          <w:tcPr>
            <w:tcW w:w="0" w:type="auto"/>
            <w:tcBorders>
              <w:top w:val="single" w:color="auto" w:sz="8" w:space="0"/>
            </w:tcBorders>
            <w:shd w:val="clear" w:color="auto" w:fill="auto"/>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其他</w:t>
            </w:r>
            <w:r>
              <w:rPr>
                <w:color w:val="000000" w:themeColor="text1"/>
                <w14:textFill>
                  <w14:solidFill>
                    <w14:schemeClr w14:val="tx1"/>
                  </w14:solidFill>
                </w14:textFill>
              </w:rPr>
              <w:t>伤害</w:t>
            </w:r>
          </w:p>
        </w:tc>
        <w:tc>
          <w:tcPr>
            <w:tcW w:w="0" w:type="auto"/>
            <w:tcBorders>
              <w:top w:val="single" w:color="auto" w:sz="8" w:space="0"/>
            </w:tcBorders>
          </w:tcPr>
          <w:p>
            <w:pPr>
              <w:rPr>
                <w:color w:val="000000" w:themeColor="text1"/>
                <w:sz w:val="18"/>
                <w14:textFill>
                  <w14:solidFill>
                    <w14:schemeClr w14:val="tx1"/>
                  </w14:solidFill>
                </w14:textFill>
              </w:rPr>
            </w:pPr>
            <w:r>
              <w:rPr>
                <w:color w:val="000000" w:themeColor="text1"/>
                <w:sz w:val="18"/>
                <w14:textFill>
                  <w14:solidFill>
                    <w14:schemeClr w14:val="tx1"/>
                  </w14:solidFill>
                </w14:textFill>
              </w:rPr>
              <w:t>一般风险</w:t>
            </w:r>
          </w:p>
        </w:tc>
        <w:tc>
          <w:tcPr>
            <w:tcW w:w="0" w:type="auto"/>
            <w:tcBorders>
              <w:top w:val="single" w:color="auto" w:sz="8" w:space="0"/>
            </w:tcBorders>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设备</w:t>
            </w:r>
            <w:r>
              <w:rPr>
                <w:color w:val="000000" w:themeColor="text1"/>
                <w14:textFill>
                  <w14:solidFill>
                    <w14:schemeClr w14:val="tx1"/>
                  </w14:solidFill>
                </w14:textFill>
              </w:rPr>
              <w:t>双重编号，机组</w:t>
            </w:r>
            <w:r>
              <w:rPr>
                <w:rFonts w:hint="eastAsia"/>
                <w:color w:val="000000" w:themeColor="text1"/>
                <w14:textFill>
                  <w14:solidFill>
                    <w14:schemeClr w14:val="tx1"/>
                  </w14:solidFill>
                </w14:textFill>
              </w:rPr>
              <w:t>号</w:t>
            </w:r>
            <w:r>
              <w:rPr>
                <w:color w:val="000000" w:themeColor="text1"/>
                <w14:textFill>
                  <w14:solidFill>
                    <w14:schemeClr w14:val="tx1"/>
                  </w14:solidFill>
                </w14:textFill>
              </w:rPr>
              <w:t>明确</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遵守热工</w:t>
            </w:r>
            <w:r>
              <w:rPr>
                <w:color w:val="000000" w:themeColor="text1"/>
                <w14:textFill>
                  <w14:solidFill>
                    <w14:schemeClr w14:val="tx1"/>
                  </w14:solidFill>
                </w14:textFill>
              </w:rPr>
              <w:t>车间工程师和电子间管理制度</w:t>
            </w:r>
          </w:p>
        </w:tc>
        <w:tc>
          <w:tcPr>
            <w:tcW w:w="0" w:type="auto"/>
            <w:tcBorders>
              <w:top w:val="single" w:color="auto" w:sz="8" w:space="0"/>
            </w:tcBorders>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月度技术</w:t>
            </w:r>
            <w:r>
              <w:rPr>
                <w:color w:val="000000" w:themeColor="text1"/>
                <w14:textFill>
                  <w14:solidFill>
                    <w14:schemeClr w14:val="tx1"/>
                  </w14:solidFill>
                </w14:textFill>
              </w:rPr>
              <w:t>培训</w:t>
            </w:r>
          </w:p>
        </w:tc>
        <w:tc>
          <w:tcPr>
            <w:tcW w:w="0" w:type="auto"/>
            <w:tcBorders>
              <w:top w:val="single" w:color="auto" w:sz="8" w:space="0"/>
            </w:tcBorders>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佩戴安全</w:t>
            </w:r>
            <w:r>
              <w:rPr>
                <w:color w:val="000000" w:themeColor="text1"/>
                <w14:textFill>
                  <w14:solidFill>
                    <w14:schemeClr w14:val="tx1"/>
                  </w14:solidFill>
                </w14:textFill>
              </w:rPr>
              <w:t>帽</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进入</w:t>
            </w:r>
            <w:r>
              <w:rPr>
                <w:color w:val="000000" w:themeColor="text1"/>
                <w14:textFill>
                  <w14:solidFill>
                    <w14:schemeClr w14:val="tx1"/>
                  </w14:solidFill>
                </w14:textFill>
              </w:rPr>
              <w:t>现场，确认位置正确，核对</w:t>
            </w:r>
            <w:r>
              <w:rPr>
                <w:rFonts w:hint="eastAsia"/>
                <w:color w:val="000000" w:themeColor="text1"/>
                <w14:textFill>
                  <w14:solidFill>
                    <w14:schemeClr w14:val="tx1"/>
                  </w14:solidFill>
                </w14:textFill>
              </w:rPr>
              <w:t>卡件</w:t>
            </w:r>
            <w:r>
              <w:rPr>
                <w:color w:val="000000" w:themeColor="text1"/>
                <w14:textFill>
                  <w14:solidFill>
                    <w14:schemeClr w14:val="tx1"/>
                  </w14:solidFill>
                </w14:textFill>
              </w:rPr>
              <w:t>名称正确，更换</w:t>
            </w:r>
            <w:r>
              <w:rPr>
                <w:rFonts w:hint="eastAsia"/>
                <w:color w:val="000000" w:themeColor="text1"/>
                <w14:textFill>
                  <w14:solidFill>
                    <w14:schemeClr w14:val="tx1"/>
                  </w14:solidFill>
                </w14:textFill>
              </w:rPr>
              <w:t>损坏卡件</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color w:val="000000" w:themeColor="text1"/>
                <w14:textFill>
                  <w14:solidFill>
                    <w14:schemeClr w14:val="tx1"/>
                  </w14:solidFill>
                </w14:textFill>
              </w:rPr>
              <w:t>低风险</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color w:val="000000" w:themeColor="text1"/>
                <w14:textFill>
                  <w14:solidFill>
                    <w14:schemeClr w14:val="tx1"/>
                  </w14:solidFill>
                </w14:textFill>
              </w:rPr>
              <w:t>岗位级</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热工</w:t>
            </w:r>
            <w:r>
              <w:rPr>
                <w:color w:val="000000" w:themeColor="text1"/>
                <w14:textFill>
                  <w14:solidFill>
                    <w14:schemeClr w14:val="tx1"/>
                  </w14:solidFill>
                </w14:textFill>
              </w:rPr>
              <w:t>车间</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color w:val="000000" w:themeColor="text1"/>
                <w14:textFill>
                  <w14:solidFill>
                    <w14:schemeClr w14:val="tx1"/>
                  </w14:solidFill>
                </w14:textFill>
              </w:rPr>
              <w:t>张三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0" w:type="auto"/>
            <w:vMerge w:val="continue"/>
            <w:shd w:val="clear" w:color="auto" w:fill="auto"/>
            <w:vAlign w:val="center"/>
          </w:tcPr>
          <w:p>
            <w:pPr>
              <w:pStyle w:val="178"/>
              <w:spacing w:after="120"/>
            </w:pPr>
          </w:p>
        </w:tc>
        <w:tc>
          <w:tcPr>
            <w:tcW w:w="0" w:type="auto"/>
            <w:vMerge w:val="continue"/>
            <w:shd w:val="clear" w:color="auto" w:fill="auto"/>
            <w:vAlign w:val="center"/>
          </w:tcPr>
          <w:p>
            <w:pPr>
              <w:pStyle w:val="178"/>
              <w:spacing w:after="120"/>
            </w:pPr>
          </w:p>
        </w:tc>
        <w:tc>
          <w:tcPr>
            <w:tcW w:w="0" w:type="auto"/>
            <w:vMerge w:val="continue"/>
            <w:shd w:val="clear" w:color="auto" w:fill="auto"/>
            <w:vAlign w:val="center"/>
          </w:tcPr>
          <w:p>
            <w:pPr>
              <w:pStyle w:val="178"/>
              <w:spacing w:after="120"/>
            </w:pPr>
          </w:p>
        </w:tc>
        <w:tc>
          <w:tcPr>
            <w:tcW w:w="0" w:type="auto"/>
            <w:tcBorders>
              <w:top w:val="single" w:color="auto" w:sz="8" w:space="0"/>
            </w:tcBorders>
            <w:shd w:val="clear" w:color="auto" w:fill="auto"/>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就地</w:t>
            </w:r>
            <w:r>
              <w:rPr>
                <w:color w:val="000000" w:themeColor="text1"/>
                <w14:textFill>
                  <w14:solidFill>
                    <w14:schemeClr w14:val="tx1"/>
                  </w14:solidFill>
                </w14:textFill>
              </w:rPr>
              <w:t>设备检查</w:t>
            </w:r>
          </w:p>
        </w:tc>
        <w:tc>
          <w:tcPr>
            <w:tcW w:w="0" w:type="auto"/>
            <w:tcBorders>
              <w:top w:val="single" w:color="auto" w:sz="8" w:space="0"/>
            </w:tcBorders>
            <w:shd w:val="clear" w:color="auto" w:fill="auto"/>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就地</w:t>
            </w:r>
            <w:r>
              <w:rPr>
                <w:color w:val="000000" w:themeColor="text1"/>
                <w14:textFill>
                  <w14:solidFill>
                    <w14:schemeClr w14:val="tx1"/>
                  </w14:solidFill>
                </w14:textFill>
              </w:rPr>
              <w:t>设备显示正常</w:t>
            </w:r>
          </w:p>
        </w:tc>
        <w:tc>
          <w:tcPr>
            <w:tcW w:w="0" w:type="auto"/>
            <w:tcBorders>
              <w:top w:val="single" w:color="auto" w:sz="8" w:space="0"/>
            </w:tcBorders>
            <w:shd w:val="clear" w:color="auto" w:fill="auto"/>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其他</w:t>
            </w:r>
            <w:r>
              <w:rPr>
                <w:color w:val="000000" w:themeColor="text1"/>
                <w14:textFill>
                  <w14:solidFill>
                    <w14:schemeClr w14:val="tx1"/>
                  </w14:solidFill>
                </w14:textFill>
              </w:rPr>
              <w:t>伤害</w:t>
            </w:r>
          </w:p>
        </w:tc>
        <w:tc>
          <w:tcPr>
            <w:tcW w:w="0" w:type="auto"/>
            <w:tcBorders>
              <w:top w:val="single" w:color="auto" w:sz="8" w:space="0"/>
            </w:tcBorders>
          </w:tcPr>
          <w:p>
            <w:pPr>
              <w:rPr>
                <w:color w:val="000000" w:themeColor="text1"/>
                <w:sz w:val="18"/>
                <w14:textFill>
                  <w14:solidFill>
                    <w14:schemeClr w14:val="tx1"/>
                  </w14:solidFill>
                </w14:textFill>
              </w:rPr>
            </w:pPr>
            <w:r>
              <w:rPr>
                <w:color w:val="000000" w:themeColor="text1"/>
                <w:sz w:val="18"/>
                <w14:textFill>
                  <w14:solidFill>
                    <w14:schemeClr w14:val="tx1"/>
                  </w14:solidFill>
                </w14:textFill>
              </w:rPr>
              <w:t>一般风险</w:t>
            </w:r>
          </w:p>
        </w:tc>
        <w:tc>
          <w:tcPr>
            <w:tcW w:w="0" w:type="auto"/>
            <w:tcBorders>
              <w:top w:val="single" w:color="auto" w:sz="8" w:space="0"/>
            </w:tcBorders>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设备</w:t>
            </w:r>
            <w:r>
              <w:rPr>
                <w:color w:val="000000" w:themeColor="text1"/>
                <w14:textFill>
                  <w14:solidFill>
                    <w14:schemeClr w14:val="tx1"/>
                  </w14:solidFill>
                </w14:textFill>
              </w:rPr>
              <w:t>双重编号，机组</w:t>
            </w:r>
            <w:r>
              <w:rPr>
                <w:rFonts w:hint="eastAsia"/>
                <w:color w:val="000000" w:themeColor="text1"/>
                <w14:textFill>
                  <w14:solidFill>
                    <w14:schemeClr w14:val="tx1"/>
                  </w14:solidFill>
                </w14:textFill>
              </w:rPr>
              <w:t>号</w:t>
            </w:r>
            <w:r>
              <w:rPr>
                <w:color w:val="000000" w:themeColor="text1"/>
                <w14:textFill>
                  <w14:solidFill>
                    <w14:schemeClr w14:val="tx1"/>
                  </w14:solidFill>
                </w14:textFill>
              </w:rPr>
              <w:t>明确</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遵守</w:t>
            </w:r>
            <w:r>
              <w:rPr>
                <w:color w:val="000000" w:themeColor="text1"/>
                <w14:textFill>
                  <w14:solidFill>
                    <w14:schemeClr w14:val="tx1"/>
                  </w14:solidFill>
                </w14:textFill>
              </w:rPr>
              <w:t>设备缺陷管理标准</w:t>
            </w:r>
          </w:p>
        </w:tc>
        <w:tc>
          <w:tcPr>
            <w:tcW w:w="0" w:type="auto"/>
            <w:tcBorders>
              <w:top w:val="single" w:color="auto" w:sz="8" w:space="0"/>
            </w:tcBorders>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月度技术</w:t>
            </w:r>
            <w:r>
              <w:rPr>
                <w:color w:val="000000" w:themeColor="text1"/>
                <w14:textFill>
                  <w14:solidFill>
                    <w14:schemeClr w14:val="tx1"/>
                  </w14:solidFill>
                </w14:textFill>
              </w:rPr>
              <w:t>培训</w:t>
            </w:r>
          </w:p>
        </w:tc>
        <w:tc>
          <w:tcPr>
            <w:tcW w:w="0" w:type="auto"/>
            <w:tcBorders>
              <w:top w:val="single" w:color="auto" w:sz="8" w:space="0"/>
            </w:tcBorders>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佩戴安全</w:t>
            </w:r>
            <w:r>
              <w:rPr>
                <w:color w:val="000000" w:themeColor="text1"/>
                <w14:textFill>
                  <w14:solidFill>
                    <w14:schemeClr w14:val="tx1"/>
                  </w14:solidFill>
                </w14:textFill>
              </w:rPr>
              <w:t>帽</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进入</w:t>
            </w:r>
            <w:r>
              <w:rPr>
                <w:color w:val="000000" w:themeColor="text1"/>
                <w14:textFill>
                  <w14:solidFill>
                    <w14:schemeClr w14:val="tx1"/>
                  </w14:solidFill>
                </w14:textFill>
              </w:rPr>
              <w:t>现场，确认位置正确，核对</w:t>
            </w:r>
            <w:r>
              <w:rPr>
                <w:rFonts w:hint="eastAsia"/>
                <w:color w:val="000000" w:themeColor="text1"/>
                <w14:textFill>
                  <w14:solidFill>
                    <w14:schemeClr w14:val="tx1"/>
                  </w14:solidFill>
                </w14:textFill>
              </w:rPr>
              <w:t>设备</w:t>
            </w:r>
            <w:r>
              <w:rPr>
                <w:color w:val="000000" w:themeColor="text1"/>
                <w14:textFill>
                  <w14:solidFill>
                    <w14:schemeClr w14:val="tx1"/>
                  </w14:solidFill>
                </w14:textFill>
              </w:rPr>
              <w:t>名称正确，更换</w:t>
            </w:r>
            <w:r>
              <w:rPr>
                <w:rFonts w:hint="eastAsia"/>
                <w:color w:val="000000" w:themeColor="text1"/>
                <w14:textFill>
                  <w14:solidFill>
                    <w14:schemeClr w14:val="tx1"/>
                  </w14:solidFill>
                </w14:textFill>
              </w:rPr>
              <w:t>损设备</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color w:val="000000" w:themeColor="text1"/>
                <w14:textFill>
                  <w14:solidFill>
                    <w14:schemeClr w14:val="tx1"/>
                  </w14:solidFill>
                </w14:textFill>
              </w:rPr>
              <w:t>低风险</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color w:val="000000" w:themeColor="text1"/>
                <w14:textFill>
                  <w14:solidFill>
                    <w14:schemeClr w14:val="tx1"/>
                  </w14:solidFill>
                </w14:textFill>
              </w:rPr>
              <w:t>岗位级</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热工</w:t>
            </w:r>
            <w:r>
              <w:rPr>
                <w:color w:val="000000" w:themeColor="text1"/>
                <w14:textFill>
                  <w14:solidFill>
                    <w14:schemeClr w14:val="tx1"/>
                  </w14:solidFill>
                </w14:textFill>
              </w:rPr>
              <w:t>车间</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color w:val="000000" w:themeColor="text1"/>
                <w14:textFill>
                  <w14:solidFill>
                    <w14:schemeClr w14:val="tx1"/>
                  </w14:solidFill>
                </w14:textFill>
              </w:rPr>
              <w:t>张三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0" w:type="auto"/>
            <w:shd w:val="clear" w:color="auto" w:fill="auto"/>
            <w:vAlign w:val="center"/>
          </w:tcPr>
          <w:p>
            <w:pPr>
              <w:pStyle w:val="178"/>
              <w:spacing w:after="120"/>
            </w:pPr>
            <w:r>
              <w:t>…</w:t>
            </w:r>
          </w:p>
        </w:tc>
        <w:tc>
          <w:tcPr>
            <w:tcW w:w="0" w:type="auto"/>
            <w:shd w:val="clear" w:color="auto" w:fill="auto"/>
            <w:vAlign w:val="center"/>
          </w:tcPr>
          <w:p>
            <w:pPr>
              <w:pStyle w:val="178"/>
              <w:spacing w:after="120"/>
            </w:pPr>
            <w:r>
              <w:t>…</w:t>
            </w:r>
          </w:p>
        </w:tc>
        <w:tc>
          <w:tcPr>
            <w:tcW w:w="0" w:type="auto"/>
            <w:shd w:val="clear" w:color="auto" w:fill="auto"/>
            <w:vAlign w:val="center"/>
          </w:tcPr>
          <w:p>
            <w:pPr>
              <w:pStyle w:val="178"/>
              <w:spacing w:after="120"/>
            </w:pPr>
            <w:r>
              <w:t>…</w:t>
            </w:r>
          </w:p>
        </w:tc>
        <w:tc>
          <w:tcPr>
            <w:tcW w:w="0" w:type="auto"/>
            <w:shd w:val="clear" w:color="auto" w:fill="auto"/>
            <w:vAlign w:val="center"/>
          </w:tcPr>
          <w:p>
            <w:pPr>
              <w:pStyle w:val="178"/>
              <w:spacing w:after="120"/>
            </w:pPr>
            <w:r>
              <w:t>…</w:t>
            </w:r>
          </w:p>
        </w:tc>
        <w:tc>
          <w:tcPr>
            <w:tcW w:w="0" w:type="auto"/>
            <w:shd w:val="clear" w:color="auto" w:fill="auto"/>
            <w:vAlign w:val="center"/>
          </w:tcPr>
          <w:p>
            <w:pPr>
              <w:pStyle w:val="178"/>
              <w:spacing w:after="120"/>
            </w:pPr>
            <w:r>
              <w:t>…</w:t>
            </w:r>
          </w:p>
        </w:tc>
        <w:tc>
          <w:tcPr>
            <w:tcW w:w="0" w:type="auto"/>
            <w:shd w:val="clear" w:color="auto" w:fill="auto"/>
            <w:vAlign w:val="center"/>
          </w:tcPr>
          <w:p>
            <w:pPr>
              <w:pStyle w:val="178"/>
              <w:spacing w:after="120"/>
            </w:pPr>
            <w:r>
              <w:t>…</w:t>
            </w:r>
          </w:p>
        </w:tc>
        <w:tc>
          <w:tcPr>
            <w:tcW w:w="0" w:type="auto"/>
            <w:vAlign w:val="center"/>
          </w:tcPr>
          <w:p>
            <w:pPr>
              <w:pStyle w:val="178"/>
              <w:spacing w:after="120"/>
            </w:pPr>
            <w:r>
              <w:t>…</w:t>
            </w:r>
          </w:p>
        </w:tc>
        <w:tc>
          <w:tcPr>
            <w:tcW w:w="0" w:type="auto"/>
            <w:gridSpan w:val="5"/>
            <w:vAlign w:val="center"/>
          </w:tcPr>
          <w:p>
            <w:pPr>
              <w:pStyle w:val="178"/>
              <w:spacing w:after="120"/>
            </w:pPr>
            <w:r>
              <w:t>…</w:t>
            </w:r>
          </w:p>
        </w:tc>
        <w:tc>
          <w:tcPr>
            <w:tcW w:w="0" w:type="auto"/>
            <w:vAlign w:val="center"/>
          </w:tcPr>
          <w:p>
            <w:pPr>
              <w:pStyle w:val="178"/>
              <w:spacing w:after="120"/>
            </w:pPr>
          </w:p>
        </w:tc>
        <w:tc>
          <w:tcPr>
            <w:tcW w:w="0" w:type="auto"/>
            <w:vAlign w:val="center"/>
          </w:tcPr>
          <w:p>
            <w:pPr>
              <w:pStyle w:val="178"/>
              <w:spacing w:after="120"/>
            </w:pPr>
            <w:r>
              <w:t>…</w:t>
            </w:r>
          </w:p>
        </w:tc>
        <w:tc>
          <w:tcPr>
            <w:tcW w:w="0" w:type="auto"/>
            <w:vAlign w:val="center"/>
          </w:tcPr>
          <w:p>
            <w:pPr>
              <w:pStyle w:val="178"/>
              <w:spacing w:after="120"/>
            </w:pPr>
            <w:r>
              <w:t>…</w:t>
            </w:r>
          </w:p>
        </w:tc>
        <w:tc>
          <w:tcPr>
            <w:tcW w:w="0" w:type="auto"/>
            <w:vAlign w:val="center"/>
          </w:tcPr>
          <w:p>
            <w:pPr>
              <w:pStyle w:val="178"/>
              <w:spacing w:after="120"/>
            </w:pPr>
            <w:r>
              <w:t>…</w:t>
            </w:r>
          </w:p>
        </w:tc>
      </w:tr>
    </w:tbl>
    <w:p>
      <w:pPr>
        <w:pStyle w:val="56"/>
        <w:ind w:firstLine="420"/>
      </w:pPr>
    </w:p>
    <w:p>
      <w:pPr>
        <w:widowControl/>
        <w:adjustRightInd/>
        <w:jc w:val="left"/>
        <w:rPr>
          <w:kern w:val="0"/>
          <w:szCs w:val="20"/>
        </w:rPr>
      </w:pPr>
      <w:r>
        <w:br w:type="page"/>
      </w:r>
    </w:p>
    <w:p>
      <w:pPr>
        <w:pStyle w:val="56"/>
        <w:ind w:firstLine="420"/>
      </w:pPr>
    </w:p>
    <w:p>
      <w:pPr>
        <w:pStyle w:val="77"/>
        <w:spacing w:before="120" w:after="120"/>
        <w:ind w:firstLine="420"/>
      </w:pPr>
      <w:r>
        <w:rPr>
          <w:rFonts w:hint="eastAsia"/>
        </w:rPr>
        <w:t xml:space="preserve"> 作业活动风险分级管控清单</w:t>
      </w:r>
    </w:p>
    <w:p>
      <w:pPr>
        <w:pStyle w:val="56"/>
        <w:ind w:firstLine="0" w:firstLineChars="0"/>
      </w:pPr>
      <w:r>
        <w:t>辨识单元：</w:t>
      </w:r>
      <w:r>
        <w:rPr>
          <w:rFonts w:hint="eastAsia"/>
        </w:rPr>
        <w:t>热工</w:t>
      </w:r>
      <w:r>
        <w:t>车间</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45"/>
        <w:gridCol w:w="556"/>
        <w:gridCol w:w="336"/>
        <w:gridCol w:w="409"/>
        <w:gridCol w:w="409"/>
        <w:gridCol w:w="409"/>
        <w:gridCol w:w="263"/>
        <w:gridCol w:w="556"/>
        <w:gridCol w:w="2272"/>
        <w:gridCol w:w="736"/>
        <w:gridCol w:w="556"/>
        <w:gridCol w:w="702"/>
        <w:gridCol w:w="629"/>
        <w:gridCol w:w="1321"/>
        <w:gridCol w:w="556"/>
        <w:gridCol w:w="1577"/>
        <w:gridCol w:w="556"/>
        <w:gridCol w:w="409"/>
        <w:gridCol w:w="410"/>
        <w:gridCol w:w="489"/>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93" w:hRule="atLeast"/>
          <w:tblHeader/>
          <w:jc w:val="center"/>
        </w:trPr>
        <w:tc>
          <w:tcPr>
            <w:tcW w:w="0" w:type="auto"/>
            <w:gridSpan w:val="6"/>
            <w:tcBorders>
              <w:top w:val="single" w:color="auto" w:sz="8" w:space="0"/>
            </w:tcBorders>
            <w:shd w:val="clear" w:color="auto" w:fill="auto"/>
            <w:vAlign w:val="center"/>
          </w:tcPr>
          <w:p>
            <w:pPr>
              <w:pStyle w:val="178"/>
              <w:spacing w:after="120"/>
            </w:pPr>
            <w:r>
              <w:t>作业活动基本信息</w:t>
            </w:r>
          </w:p>
        </w:tc>
        <w:tc>
          <w:tcPr>
            <w:tcW w:w="0" w:type="auto"/>
            <w:gridSpan w:val="4"/>
            <w:tcBorders>
              <w:top w:val="single" w:color="auto" w:sz="8" w:space="0"/>
            </w:tcBorders>
            <w:shd w:val="clear" w:color="auto" w:fill="auto"/>
            <w:vAlign w:val="center"/>
          </w:tcPr>
          <w:p>
            <w:pPr>
              <w:pStyle w:val="178"/>
              <w:spacing w:after="120"/>
            </w:pPr>
            <w:r>
              <w:t>风险辨识信息</w:t>
            </w:r>
          </w:p>
        </w:tc>
        <w:tc>
          <w:tcPr>
            <w:tcW w:w="0" w:type="auto"/>
            <w:vMerge w:val="restart"/>
            <w:tcBorders>
              <w:top w:val="single" w:color="auto" w:sz="8" w:space="0"/>
            </w:tcBorders>
            <w:vAlign w:val="center"/>
          </w:tcPr>
          <w:p>
            <w:pPr>
              <w:pStyle w:val="178"/>
              <w:spacing w:after="120"/>
            </w:pPr>
            <w:r>
              <w:t>固有风险等级</w:t>
            </w:r>
          </w:p>
        </w:tc>
        <w:tc>
          <w:tcPr>
            <w:tcW w:w="0" w:type="auto"/>
            <w:gridSpan w:val="5"/>
            <w:tcBorders>
              <w:top w:val="single" w:color="auto" w:sz="8" w:space="0"/>
            </w:tcBorders>
            <w:vAlign w:val="center"/>
          </w:tcPr>
          <w:p>
            <w:pPr>
              <w:pStyle w:val="178"/>
              <w:spacing w:after="120"/>
            </w:pPr>
            <w:r>
              <w:t>管控措施</w:t>
            </w:r>
          </w:p>
        </w:tc>
        <w:tc>
          <w:tcPr>
            <w:tcW w:w="0" w:type="auto"/>
            <w:vMerge w:val="restart"/>
            <w:tcBorders>
              <w:top w:val="single" w:color="auto" w:sz="8" w:space="0"/>
            </w:tcBorders>
            <w:vAlign w:val="center"/>
          </w:tcPr>
          <w:p>
            <w:pPr>
              <w:pStyle w:val="178"/>
              <w:spacing w:after="120"/>
            </w:pPr>
            <w:r>
              <w:t>现有风险等级</w:t>
            </w:r>
          </w:p>
        </w:tc>
        <w:tc>
          <w:tcPr>
            <w:tcW w:w="0" w:type="auto"/>
            <w:vMerge w:val="restart"/>
            <w:tcBorders>
              <w:top w:val="single" w:color="auto" w:sz="8" w:space="0"/>
            </w:tcBorders>
            <w:vAlign w:val="center"/>
          </w:tcPr>
          <w:p>
            <w:pPr>
              <w:pStyle w:val="178"/>
              <w:spacing w:after="120"/>
            </w:pPr>
            <w:r>
              <w:t>管控层级</w:t>
            </w:r>
          </w:p>
        </w:tc>
        <w:tc>
          <w:tcPr>
            <w:tcW w:w="0" w:type="auto"/>
            <w:vMerge w:val="restart"/>
            <w:tcBorders>
              <w:top w:val="single" w:color="auto" w:sz="8" w:space="0"/>
            </w:tcBorders>
            <w:vAlign w:val="center"/>
          </w:tcPr>
          <w:p>
            <w:pPr>
              <w:pStyle w:val="178"/>
              <w:spacing w:after="120"/>
            </w:pPr>
            <w:r>
              <w:t>管控部门</w:t>
            </w:r>
          </w:p>
        </w:tc>
        <w:tc>
          <w:tcPr>
            <w:tcW w:w="0" w:type="auto"/>
            <w:vMerge w:val="restart"/>
            <w:tcBorders>
              <w:top w:val="single" w:color="auto" w:sz="8" w:space="0"/>
            </w:tcBorders>
            <w:vAlign w:val="center"/>
          </w:tcPr>
          <w:p>
            <w:pPr>
              <w:pStyle w:val="178"/>
              <w:spacing w:after="120"/>
            </w:pPr>
            <w:r>
              <w:t>管控责任人</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92" w:hRule="atLeast"/>
          <w:tblHeader/>
          <w:jc w:val="center"/>
        </w:trPr>
        <w:tc>
          <w:tcPr>
            <w:tcW w:w="0" w:type="auto"/>
            <w:tcBorders>
              <w:top w:val="single" w:color="auto" w:sz="8" w:space="0"/>
            </w:tcBorders>
            <w:shd w:val="clear" w:color="auto" w:fill="auto"/>
            <w:vAlign w:val="center"/>
          </w:tcPr>
          <w:p>
            <w:pPr>
              <w:pStyle w:val="178"/>
              <w:spacing w:after="120"/>
            </w:pPr>
            <w:r>
              <w:t>编号</w:t>
            </w:r>
          </w:p>
        </w:tc>
        <w:tc>
          <w:tcPr>
            <w:tcW w:w="0" w:type="auto"/>
            <w:tcBorders>
              <w:top w:val="single" w:color="auto" w:sz="8" w:space="0"/>
            </w:tcBorders>
            <w:shd w:val="clear" w:color="auto" w:fill="auto"/>
            <w:vAlign w:val="center"/>
          </w:tcPr>
          <w:p>
            <w:pPr>
              <w:pStyle w:val="178"/>
              <w:spacing w:after="120"/>
            </w:pPr>
            <w:r>
              <w:t>名称</w:t>
            </w:r>
          </w:p>
        </w:tc>
        <w:tc>
          <w:tcPr>
            <w:tcW w:w="0" w:type="auto"/>
            <w:tcBorders>
              <w:top w:val="single" w:color="auto" w:sz="8" w:space="0"/>
            </w:tcBorders>
            <w:shd w:val="clear" w:color="auto" w:fill="auto"/>
            <w:vAlign w:val="center"/>
          </w:tcPr>
          <w:p>
            <w:pPr>
              <w:pStyle w:val="178"/>
              <w:spacing w:after="120"/>
            </w:pPr>
            <w:r>
              <w:t>类型</w:t>
            </w:r>
          </w:p>
        </w:tc>
        <w:tc>
          <w:tcPr>
            <w:tcW w:w="0" w:type="auto"/>
            <w:tcBorders>
              <w:top w:val="single" w:color="auto" w:sz="8" w:space="0"/>
            </w:tcBorders>
            <w:shd w:val="clear" w:color="auto" w:fill="auto"/>
            <w:vAlign w:val="center"/>
          </w:tcPr>
          <w:p>
            <w:pPr>
              <w:pStyle w:val="178"/>
              <w:spacing w:after="120"/>
            </w:pPr>
            <w:r>
              <w:t>频率</w:t>
            </w:r>
          </w:p>
        </w:tc>
        <w:tc>
          <w:tcPr>
            <w:tcW w:w="0" w:type="auto"/>
            <w:tcBorders>
              <w:top w:val="single" w:color="auto" w:sz="8" w:space="0"/>
            </w:tcBorders>
            <w:shd w:val="clear" w:color="auto" w:fill="auto"/>
            <w:vAlign w:val="center"/>
          </w:tcPr>
          <w:p>
            <w:pPr>
              <w:pStyle w:val="178"/>
              <w:spacing w:after="120"/>
            </w:pPr>
            <w:r>
              <w:t>区域</w:t>
            </w:r>
          </w:p>
        </w:tc>
        <w:tc>
          <w:tcPr>
            <w:tcW w:w="0" w:type="auto"/>
            <w:tcBorders>
              <w:top w:val="single" w:color="auto" w:sz="8" w:space="0"/>
            </w:tcBorders>
            <w:shd w:val="clear" w:color="auto" w:fill="auto"/>
            <w:vAlign w:val="center"/>
          </w:tcPr>
          <w:p>
            <w:pPr>
              <w:pStyle w:val="178"/>
              <w:spacing w:after="120"/>
            </w:pPr>
            <w:r>
              <w:t>管辖部门</w:t>
            </w:r>
          </w:p>
        </w:tc>
        <w:tc>
          <w:tcPr>
            <w:tcW w:w="0" w:type="auto"/>
            <w:shd w:val="clear" w:color="auto" w:fill="auto"/>
            <w:vAlign w:val="center"/>
          </w:tcPr>
          <w:p>
            <w:pPr>
              <w:pStyle w:val="178"/>
              <w:spacing w:after="120"/>
            </w:pPr>
            <w:r>
              <w:t>序号</w:t>
            </w:r>
          </w:p>
        </w:tc>
        <w:tc>
          <w:tcPr>
            <w:tcW w:w="0" w:type="auto"/>
            <w:shd w:val="clear" w:color="auto" w:fill="auto"/>
            <w:vAlign w:val="center"/>
          </w:tcPr>
          <w:p>
            <w:pPr>
              <w:pStyle w:val="178"/>
              <w:spacing w:after="120"/>
            </w:pPr>
            <w:r>
              <w:t>作业步骤</w:t>
            </w:r>
          </w:p>
        </w:tc>
        <w:tc>
          <w:tcPr>
            <w:tcW w:w="0" w:type="auto"/>
            <w:shd w:val="clear" w:color="auto" w:fill="auto"/>
            <w:vAlign w:val="center"/>
          </w:tcPr>
          <w:p>
            <w:pPr>
              <w:pStyle w:val="178"/>
              <w:spacing w:after="120"/>
            </w:pPr>
            <w:r>
              <w:t>危险源或潜在事件</w:t>
            </w:r>
          </w:p>
        </w:tc>
        <w:tc>
          <w:tcPr>
            <w:tcW w:w="0" w:type="auto"/>
            <w:shd w:val="clear" w:color="auto" w:fill="auto"/>
            <w:vAlign w:val="center"/>
          </w:tcPr>
          <w:p>
            <w:pPr>
              <w:pStyle w:val="178"/>
              <w:spacing w:after="120"/>
            </w:pPr>
            <w:r>
              <w:t>主要后果</w:t>
            </w:r>
          </w:p>
        </w:tc>
        <w:tc>
          <w:tcPr>
            <w:tcW w:w="0" w:type="auto"/>
            <w:vMerge w:val="continue"/>
            <w:vAlign w:val="center"/>
          </w:tcPr>
          <w:p>
            <w:pPr>
              <w:pStyle w:val="178"/>
              <w:spacing w:after="120"/>
              <w:rPr>
                <w:rFonts w:hAnsi="宋体"/>
                <w:color w:val="000000"/>
              </w:rPr>
            </w:pPr>
          </w:p>
        </w:tc>
        <w:tc>
          <w:tcPr>
            <w:tcW w:w="0" w:type="auto"/>
            <w:vAlign w:val="center"/>
          </w:tcPr>
          <w:p>
            <w:pPr>
              <w:pStyle w:val="178"/>
              <w:spacing w:after="120"/>
            </w:pPr>
            <w:r>
              <w:rPr>
                <w:rFonts w:hAnsi="宋体"/>
                <w:color w:val="000000"/>
              </w:rPr>
              <w:t>工程技术措施</w:t>
            </w:r>
          </w:p>
        </w:tc>
        <w:tc>
          <w:tcPr>
            <w:tcW w:w="0" w:type="auto"/>
            <w:vAlign w:val="center"/>
          </w:tcPr>
          <w:p>
            <w:pPr>
              <w:pStyle w:val="178"/>
              <w:spacing w:after="120"/>
            </w:pPr>
            <w:r>
              <w:rPr>
                <w:rFonts w:hAnsi="宋体"/>
                <w:color w:val="000000"/>
              </w:rPr>
              <w:t>管理措施</w:t>
            </w:r>
          </w:p>
        </w:tc>
        <w:tc>
          <w:tcPr>
            <w:tcW w:w="0" w:type="auto"/>
            <w:vAlign w:val="center"/>
          </w:tcPr>
          <w:p>
            <w:pPr>
              <w:pStyle w:val="178"/>
              <w:spacing w:after="120"/>
            </w:pPr>
            <w:r>
              <w:rPr>
                <w:rFonts w:hAnsi="宋体"/>
                <w:color w:val="000000"/>
              </w:rPr>
              <w:t>培训教育措施</w:t>
            </w:r>
          </w:p>
        </w:tc>
        <w:tc>
          <w:tcPr>
            <w:tcW w:w="0" w:type="auto"/>
            <w:vAlign w:val="center"/>
          </w:tcPr>
          <w:p>
            <w:pPr>
              <w:pStyle w:val="178"/>
              <w:spacing w:after="120"/>
            </w:pPr>
            <w:r>
              <w:rPr>
                <w:rFonts w:hAnsi="宋体"/>
                <w:color w:val="000000"/>
              </w:rPr>
              <w:t>个体防护措施</w:t>
            </w:r>
          </w:p>
        </w:tc>
        <w:tc>
          <w:tcPr>
            <w:tcW w:w="0" w:type="auto"/>
            <w:vAlign w:val="center"/>
          </w:tcPr>
          <w:p>
            <w:pPr>
              <w:pStyle w:val="178"/>
              <w:spacing w:after="120"/>
            </w:pPr>
            <w:r>
              <w:rPr>
                <w:rFonts w:hAnsi="宋体"/>
                <w:color w:val="000000"/>
              </w:rPr>
              <w:t>应急处置措施</w:t>
            </w:r>
          </w:p>
        </w:tc>
        <w:tc>
          <w:tcPr>
            <w:tcW w:w="0" w:type="auto"/>
            <w:vMerge w:val="continue"/>
            <w:vAlign w:val="center"/>
          </w:tcPr>
          <w:p>
            <w:pPr>
              <w:pStyle w:val="178"/>
              <w:spacing w:after="120"/>
              <w:rPr>
                <w:rFonts w:hAnsi="宋体"/>
                <w:color w:val="000000"/>
              </w:rPr>
            </w:pPr>
          </w:p>
        </w:tc>
        <w:tc>
          <w:tcPr>
            <w:tcW w:w="0" w:type="auto"/>
            <w:vMerge w:val="continue"/>
            <w:vAlign w:val="center"/>
          </w:tcPr>
          <w:p>
            <w:pPr>
              <w:pStyle w:val="178"/>
              <w:spacing w:after="120"/>
              <w:rPr>
                <w:rFonts w:hAnsi="宋体"/>
                <w:color w:val="000000"/>
              </w:rPr>
            </w:pPr>
          </w:p>
        </w:tc>
        <w:tc>
          <w:tcPr>
            <w:tcW w:w="0" w:type="auto"/>
            <w:vMerge w:val="continue"/>
            <w:vAlign w:val="center"/>
          </w:tcPr>
          <w:p>
            <w:pPr>
              <w:pStyle w:val="178"/>
              <w:spacing w:after="120"/>
              <w:rPr>
                <w:rFonts w:hAnsi="宋体"/>
                <w:color w:val="000000"/>
              </w:rPr>
            </w:pPr>
          </w:p>
        </w:tc>
        <w:tc>
          <w:tcPr>
            <w:tcW w:w="0" w:type="auto"/>
            <w:vMerge w:val="continue"/>
            <w:vAlign w:val="center"/>
          </w:tcPr>
          <w:p>
            <w:pPr>
              <w:pStyle w:val="178"/>
              <w:spacing w:after="120"/>
              <w:rPr>
                <w:rFonts w:hAnsi="宋体"/>
                <w:color w:val="000000"/>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7" w:hRule="atLeast"/>
          <w:jc w:val="center"/>
        </w:trPr>
        <w:tc>
          <w:tcPr>
            <w:tcW w:w="0" w:type="auto"/>
            <w:vMerge w:val="restart"/>
            <w:tcBorders>
              <w:top w:val="single" w:color="auto" w:sz="8" w:space="0"/>
            </w:tcBorders>
            <w:shd w:val="clear" w:color="auto" w:fill="auto"/>
            <w:vAlign w:val="center"/>
          </w:tcPr>
          <w:p>
            <w:pPr>
              <w:pStyle w:val="178"/>
              <w:spacing w:after="120"/>
            </w:pPr>
            <w:r>
              <w:t>RG-SB-1</w:t>
            </w:r>
          </w:p>
        </w:tc>
        <w:tc>
          <w:tcPr>
            <w:tcW w:w="0" w:type="auto"/>
            <w:vMerge w:val="restart"/>
            <w:tcBorders>
              <w:top w:val="single" w:color="auto" w:sz="8" w:space="0"/>
            </w:tcBorders>
            <w:shd w:val="clear" w:color="auto" w:fill="auto"/>
            <w:vAlign w:val="center"/>
          </w:tcPr>
          <w:p>
            <w:pPr>
              <w:pStyle w:val="178"/>
              <w:spacing w:after="120"/>
            </w:pPr>
            <w:r>
              <w:rPr>
                <w:rFonts w:hint="eastAsia"/>
              </w:rPr>
              <w:t>火检系统检修</w:t>
            </w:r>
          </w:p>
        </w:tc>
        <w:tc>
          <w:tcPr>
            <w:tcW w:w="0" w:type="auto"/>
            <w:vMerge w:val="restart"/>
            <w:tcBorders>
              <w:top w:val="single" w:color="auto" w:sz="8" w:space="0"/>
            </w:tcBorders>
            <w:shd w:val="clear" w:color="auto" w:fill="auto"/>
            <w:vAlign w:val="center"/>
          </w:tcPr>
          <w:p>
            <w:pPr>
              <w:pStyle w:val="178"/>
              <w:spacing w:after="120"/>
              <w:jc w:val="both"/>
            </w:pPr>
            <w:r>
              <w:rPr>
                <w:rFonts w:hint="eastAsia"/>
              </w:rPr>
              <w:t>作业</w:t>
            </w:r>
            <w:r>
              <w:t>类</w:t>
            </w:r>
          </w:p>
        </w:tc>
        <w:tc>
          <w:tcPr>
            <w:tcW w:w="0" w:type="auto"/>
            <w:vMerge w:val="restart"/>
            <w:tcBorders>
              <w:top w:val="single" w:color="auto" w:sz="8" w:space="0"/>
            </w:tcBorders>
            <w:shd w:val="clear" w:color="auto" w:fill="auto"/>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每月一次</w:t>
            </w:r>
          </w:p>
        </w:tc>
        <w:tc>
          <w:tcPr>
            <w:tcW w:w="0" w:type="auto"/>
            <w:vMerge w:val="restart"/>
            <w:tcBorders>
              <w:top w:val="single" w:color="auto" w:sz="8" w:space="0"/>
            </w:tcBorders>
            <w:shd w:val="clear" w:color="auto" w:fill="auto"/>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火检系统</w:t>
            </w:r>
          </w:p>
        </w:tc>
        <w:tc>
          <w:tcPr>
            <w:tcW w:w="0" w:type="auto"/>
            <w:vMerge w:val="restart"/>
            <w:tcBorders>
              <w:top w:val="single" w:color="auto" w:sz="8" w:space="0"/>
            </w:tcBorders>
            <w:shd w:val="clear" w:color="auto" w:fill="auto"/>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热工</w:t>
            </w:r>
            <w:r>
              <w:rPr>
                <w:color w:val="000000" w:themeColor="text1"/>
                <w14:textFill>
                  <w14:solidFill>
                    <w14:schemeClr w14:val="tx1"/>
                  </w14:solidFill>
                </w14:textFill>
              </w:rPr>
              <w:t>车间</w:t>
            </w:r>
          </w:p>
        </w:tc>
        <w:tc>
          <w:tcPr>
            <w:tcW w:w="0" w:type="auto"/>
            <w:tcBorders>
              <w:top w:val="single" w:color="auto" w:sz="8" w:space="0"/>
            </w:tcBorders>
            <w:shd w:val="clear" w:color="auto" w:fill="auto"/>
            <w:vAlign w:val="center"/>
          </w:tcPr>
          <w:p>
            <w:pPr>
              <w:pStyle w:val="178"/>
              <w:spacing w:after="120"/>
              <w:rPr>
                <w:color w:val="000000" w:themeColor="text1"/>
                <w14:textFill>
                  <w14:solidFill>
                    <w14:schemeClr w14:val="tx1"/>
                  </w14:solidFill>
                </w14:textFill>
              </w:rPr>
            </w:pPr>
            <w:r>
              <w:rPr>
                <w:color w:val="000000" w:themeColor="text1"/>
                <w14:textFill>
                  <w14:solidFill>
                    <w14:schemeClr w14:val="tx1"/>
                  </w14:solidFill>
                </w14:textFill>
              </w:rPr>
              <w:t>1</w:t>
            </w:r>
          </w:p>
        </w:tc>
        <w:tc>
          <w:tcPr>
            <w:tcW w:w="0" w:type="auto"/>
            <w:tcBorders>
              <w:top w:val="single" w:color="auto" w:sz="8" w:space="0"/>
            </w:tcBorders>
            <w:shd w:val="clear" w:color="auto" w:fill="auto"/>
            <w:vAlign w:val="center"/>
          </w:tcPr>
          <w:p>
            <w:pPr>
              <w:pStyle w:val="178"/>
              <w:spacing w:after="1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电源检修</w:t>
            </w:r>
          </w:p>
        </w:tc>
        <w:tc>
          <w:tcPr>
            <w:tcW w:w="0" w:type="auto"/>
            <w:tcBorders>
              <w:top w:val="single" w:color="auto" w:sz="8" w:space="0"/>
            </w:tcBorders>
            <w:shd w:val="clear" w:color="auto" w:fill="auto"/>
            <w:vAlign w:val="center"/>
          </w:tcPr>
          <w:p>
            <w:pPr>
              <w:pStyle w:val="178"/>
              <w:spacing w:after="1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停错电源</w:t>
            </w:r>
            <w:r>
              <w:rPr>
                <w:color w:val="000000" w:themeColor="text1"/>
                <w14:textFill>
                  <w14:solidFill>
                    <w14:schemeClr w14:val="tx1"/>
                  </w14:solidFill>
                </w14:textFill>
              </w:rPr>
              <w:t>；带</w:t>
            </w:r>
            <w:r>
              <w:rPr>
                <w:rFonts w:hint="eastAsia"/>
                <w:color w:val="000000" w:themeColor="text1"/>
                <w14:textFill>
                  <w14:solidFill>
                    <w14:schemeClr w14:val="tx1"/>
                  </w14:solidFill>
                </w14:textFill>
              </w:rPr>
              <w:t>电</w:t>
            </w:r>
            <w:r>
              <w:rPr>
                <w:color w:val="000000" w:themeColor="text1"/>
                <w14:textFill>
                  <w14:solidFill>
                    <w14:schemeClr w14:val="tx1"/>
                  </w14:solidFill>
                </w14:textFill>
              </w:rPr>
              <w:t>工作</w:t>
            </w:r>
          </w:p>
        </w:tc>
        <w:tc>
          <w:tcPr>
            <w:tcW w:w="0" w:type="auto"/>
            <w:tcBorders>
              <w:top w:val="single" w:color="auto" w:sz="8" w:space="0"/>
            </w:tcBorders>
            <w:shd w:val="clear" w:color="auto" w:fill="auto"/>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触电</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一般风险</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语音</w:t>
            </w:r>
            <w:r>
              <w:rPr>
                <w:color w:val="000000" w:themeColor="text1"/>
                <w14:textFill>
                  <w14:solidFill>
                    <w14:schemeClr w14:val="tx1"/>
                  </w14:solidFill>
                </w14:textFill>
              </w:rPr>
              <w:t>报警提醒</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执行工作票</w:t>
            </w:r>
            <w:r>
              <w:rPr>
                <w:color w:val="000000" w:themeColor="text1"/>
                <w14:textFill>
                  <w14:solidFill>
                    <w14:schemeClr w14:val="tx1"/>
                  </w14:solidFill>
                </w14:textFill>
              </w:rPr>
              <w:t>制度</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安全规程</w:t>
            </w:r>
            <w:r>
              <w:rPr>
                <w:color w:val="000000" w:themeColor="text1"/>
                <w14:textFill>
                  <w14:solidFill>
                    <w14:schemeClr w14:val="tx1"/>
                  </w14:solidFill>
                </w14:textFill>
              </w:rPr>
              <w:t>培训考试、</w:t>
            </w:r>
            <w:r>
              <w:rPr>
                <w:rFonts w:hint="eastAsia"/>
                <w:color w:val="000000" w:themeColor="text1"/>
                <w14:textFill>
                  <w14:solidFill>
                    <w14:schemeClr w14:val="tx1"/>
                  </w14:solidFill>
                </w14:textFill>
              </w:rPr>
              <w:t>月度</w:t>
            </w:r>
            <w:r>
              <w:rPr>
                <w:color w:val="000000" w:themeColor="text1"/>
                <w14:textFill>
                  <w14:solidFill>
                    <w14:schemeClr w14:val="tx1"/>
                  </w14:solidFill>
                </w14:textFill>
              </w:rPr>
              <w:t>技术培训</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佩戴安全</w:t>
            </w:r>
            <w:r>
              <w:rPr>
                <w:color w:val="000000" w:themeColor="text1"/>
                <w14:textFill>
                  <w14:solidFill>
                    <w14:schemeClr w14:val="tx1"/>
                  </w14:solidFill>
                </w14:textFill>
              </w:rPr>
              <w:t>帽</w:t>
            </w:r>
          </w:p>
        </w:tc>
        <w:tc>
          <w:tcPr>
            <w:tcW w:w="0" w:type="auto"/>
            <w:tcBorders>
              <w:top w:val="single" w:color="auto" w:sz="8"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拨打应急</w:t>
            </w:r>
            <w:r>
              <w:rPr>
                <w:color w:val="000000" w:themeColor="text1"/>
                <w14:textFill>
                  <w14:solidFill>
                    <w14:schemeClr w14:val="tx1"/>
                  </w14:solidFill>
                </w14:textFill>
              </w:rPr>
              <w:t>电话</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进行触电急救</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低风险</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班组级</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热工</w:t>
            </w:r>
            <w:r>
              <w:rPr>
                <w:color w:val="000000" w:themeColor="text1"/>
                <w14:textFill>
                  <w14:solidFill>
                    <w14:schemeClr w14:val="tx1"/>
                  </w14:solidFill>
                </w14:textFill>
              </w:rPr>
              <w:t>车间</w:t>
            </w:r>
          </w:p>
        </w:tc>
        <w:tc>
          <w:tcPr>
            <w:tcW w:w="0" w:type="auto"/>
            <w:tcBorders>
              <w:top w:val="single" w:color="auto" w:sz="8" w:space="0"/>
            </w:tcBorders>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张三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7" w:hRule="atLeast"/>
          <w:jc w:val="center"/>
        </w:trPr>
        <w:tc>
          <w:tcPr>
            <w:tcW w:w="0" w:type="auto"/>
            <w:vMerge w:val="continue"/>
            <w:shd w:val="clear" w:color="auto" w:fill="auto"/>
            <w:vAlign w:val="center"/>
          </w:tcPr>
          <w:p>
            <w:pPr>
              <w:pStyle w:val="178"/>
              <w:spacing w:after="120"/>
            </w:pPr>
          </w:p>
        </w:tc>
        <w:tc>
          <w:tcPr>
            <w:tcW w:w="0" w:type="auto"/>
            <w:vMerge w:val="continue"/>
            <w:shd w:val="clear" w:color="auto" w:fill="auto"/>
            <w:vAlign w:val="center"/>
          </w:tcPr>
          <w:p>
            <w:pPr>
              <w:pStyle w:val="178"/>
              <w:spacing w:after="120"/>
            </w:pPr>
          </w:p>
        </w:tc>
        <w:tc>
          <w:tcPr>
            <w:tcW w:w="0" w:type="auto"/>
            <w:vMerge w:val="continue"/>
            <w:shd w:val="clear" w:color="auto" w:fill="auto"/>
            <w:vAlign w:val="center"/>
          </w:tcPr>
          <w:p>
            <w:pPr>
              <w:pStyle w:val="178"/>
              <w:spacing w:after="120"/>
              <w:jc w:val="both"/>
              <w:rPr>
                <w:highlight w:val="yellow"/>
              </w:rPr>
            </w:pPr>
          </w:p>
        </w:tc>
        <w:tc>
          <w:tcPr>
            <w:tcW w:w="0" w:type="auto"/>
            <w:vMerge w:val="continue"/>
            <w:shd w:val="clear" w:color="auto" w:fill="auto"/>
            <w:vAlign w:val="center"/>
          </w:tcPr>
          <w:p>
            <w:pPr>
              <w:pStyle w:val="178"/>
              <w:spacing w:after="120"/>
              <w:rPr>
                <w:color w:val="000000" w:themeColor="text1"/>
                <w14:textFill>
                  <w14:solidFill>
                    <w14:schemeClr w14:val="tx1"/>
                  </w14:solidFill>
                </w14:textFill>
              </w:rPr>
            </w:pPr>
          </w:p>
        </w:tc>
        <w:tc>
          <w:tcPr>
            <w:tcW w:w="0" w:type="auto"/>
            <w:vMerge w:val="continue"/>
            <w:shd w:val="clear" w:color="auto" w:fill="auto"/>
            <w:vAlign w:val="center"/>
          </w:tcPr>
          <w:p>
            <w:pPr>
              <w:pStyle w:val="178"/>
              <w:spacing w:after="120"/>
              <w:rPr>
                <w:color w:val="000000" w:themeColor="text1"/>
                <w14:textFill>
                  <w14:solidFill>
                    <w14:schemeClr w14:val="tx1"/>
                  </w14:solidFill>
                </w14:textFill>
              </w:rPr>
            </w:pPr>
          </w:p>
        </w:tc>
        <w:tc>
          <w:tcPr>
            <w:tcW w:w="0" w:type="auto"/>
            <w:vMerge w:val="continue"/>
            <w:shd w:val="clear" w:color="auto" w:fill="auto"/>
            <w:vAlign w:val="center"/>
          </w:tcPr>
          <w:p>
            <w:pPr>
              <w:pStyle w:val="178"/>
              <w:spacing w:after="120"/>
              <w:rPr>
                <w:color w:val="000000" w:themeColor="text1"/>
                <w14:textFill>
                  <w14:solidFill>
                    <w14:schemeClr w14:val="tx1"/>
                  </w14:solidFill>
                </w14:textFill>
              </w:rPr>
            </w:pPr>
          </w:p>
        </w:tc>
        <w:tc>
          <w:tcPr>
            <w:tcW w:w="0" w:type="auto"/>
            <w:tcBorders>
              <w:top w:val="single" w:color="auto" w:sz="8" w:space="0"/>
            </w:tcBorders>
            <w:shd w:val="clear" w:color="auto" w:fill="auto"/>
            <w:vAlign w:val="center"/>
          </w:tcPr>
          <w:p>
            <w:pPr>
              <w:pStyle w:val="178"/>
              <w:spacing w:after="120"/>
              <w:rPr>
                <w:color w:val="000000" w:themeColor="text1"/>
                <w14:textFill>
                  <w14:solidFill>
                    <w14:schemeClr w14:val="tx1"/>
                  </w14:solidFill>
                </w14:textFill>
              </w:rPr>
            </w:pPr>
            <w:r>
              <w:rPr>
                <w:color w:val="000000" w:themeColor="text1"/>
                <w14:textFill>
                  <w14:solidFill>
                    <w14:schemeClr w14:val="tx1"/>
                  </w14:solidFill>
                </w14:textFill>
              </w:rPr>
              <w:t>2</w:t>
            </w:r>
          </w:p>
        </w:tc>
        <w:tc>
          <w:tcPr>
            <w:tcW w:w="0" w:type="auto"/>
            <w:shd w:val="clear" w:color="auto" w:fill="auto"/>
            <w:vAlign w:val="center"/>
          </w:tcPr>
          <w:p>
            <w:pPr>
              <w:pStyle w:val="178"/>
              <w:spacing w:after="1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就地</w:t>
            </w:r>
            <w:r>
              <w:rPr>
                <w:color w:val="000000" w:themeColor="text1"/>
                <w14:textFill>
                  <w14:solidFill>
                    <w14:schemeClr w14:val="tx1"/>
                  </w14:solidFill>
                </w14:textFill>
              </w:rPr>
              <w:t>设备检修</w:t>
            </w:r>
          </w:p>
        </w:tc>
        <w:tc>
          <w:tcPr>
            <w:tcW w:w="0" w:type="auto"/>
            <w:shd w:val="clear" w:color="auto" w:fill="auto"/>
            <w:vAlign w:val="center"/>
          </w:tcPr>
          <w:p>
            <w:pPr>
              <w:pStyle w:val="178"/>
              <w:spacing w:after="1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高处作业</w:t>
            </w:r>
            <w:r>
              <w:rPr>
                <w:color w:val="000000" w:themeColor="text1"/>
                <w14:textFill>
                  <w14:solidFill>
                    <w14:schemeClr w14:val="tx1"/>
                  </w14:solidFill>
                </w14:textFill>
              </w:rPr>
              <w:t>存在高空坠落的危险；拆卸火</w:t>
            </w:r>
            <w:r>
              <w:rPr>
                <w:rFonts w:hint="eastAsia"/>
                <w:color w:val="000000" w:themeColor="text1"/>
                <w14:textFill>
                  <w14:solidFill>
                    <w14:schemeClr w14:val="tx1"/>
                  </w14:solidFill>
                </w14:textFill>
              </w:rPr>
              <w:t>检光纤</w:t>
            </w:r>
            <w:r>
              <w:rPr>
                <w:color w:val="000000" w:themeColor="text1"/>
                <w14:textFill>
                  <w14:solidFill>
                    <w14:schemeClr w14:val="tx1"/>
                  </w14:solidFill>
                </w14:textFill>
              </w:rPr>
              <w:t>时存在烫伤的危险</w:t>
            </w:r>
          </w:p>
        </w:tc>
        <w:tc>
          <w:tcPr>
            <w:tcW w:w="0" w:type="auto"/>
            <w:shd w:val="clear" w:color="auto" w:fill="auto"/>
            <w:vAlign w:val="center"/>
          </w:tcPr>
          <w:p>
            <w:pPr>
              <w:pStyle w:val="178"/>
              <w:spacing w:after="1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高处坠落</w:t>
            </w:r>
            <w:r>
              <w:rPr>
                <w:color w:val="000000" w:themeColor="text1"/>
                <w14:textFill>
                  <w14:solidFill>
                    <w14:schemeClr w14:val="tx1"/>
                  </w14:solidFill>
                </w14:textFill>
              </w:rPr>
              <w:t>、烫</w:t>
            </w:r>
            <w:r>
              <w:rPr>
                <w:rFonts w:hint="eastAsia"/>
                <w:color w:val="000000" w:themeColor="text1"/>
                <w14:textFill>
                  <w14:solidFill>
                    <w14:schemeClr w14:val="tx1"/>
                  </w14:solidFill>
                </w14:textFill>
              </w:rPr>
              <w:t>伤</w:t>
            </w:r>
          </w:p>
        </w:tc>
        <w:tc>
          <w:tcPr>
            <w:tcW w:w="0" w:type="auto"/>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一般风险</w:t>
            </w:r>
          </w:p>
        </w:tc>
        <w:tc>
          <w:tcPr>
            <w:tcW w:w="0" w:type="auto"/>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检修平台</w:t>
            </w:r>
            <w:r>
              <w:rPr>
                <w:color w:val="000000" w:themeColor="text1"/>
                <w14:textFill>
                  <w14:solidFill>
                    <w14:schemeClr w14:val="tx1"/>
                  </w14:solidFill>
                </w14:textFill>
              </w:rPr>
              <w:t>齐全完整</w:t>
            </w:r>
          </w:p>
        </w:tc>
        <w:tc>
          <w:tcPr>
            <w:tcW w:w="0" w:type="auto"/>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执行工作票</w:t>
            </w:r>
            <w:r>
              <w:rPr>
                <w:color w:val="000000" w:themeColor="text1"/>
                <w14:textFill>
                  <w14:solidFill>
                    <w14:schemeClr w14:val="tx1"/>
                  </w14:solidFill>
                </w14:textFill>
              </w:rPr>
              <w:t>制度</w:t>
            </w:r>
          </w:p>
        </w:tc>
        <w:tc>
          <w:tcPr>
            <w:tcW w:w="0" w:type="auto"/>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安全规程</w:t>
            </w:r>
            <w:r>
              <w:rPr>
                <w:color w:val="000000" w:themeColor="text1"/>
                <w14:textFill>
                  <w14:solidFill>
                    <w14:schemeClr w14:val="tx1"/>
                  </w14:solidFill>
                </w14:textFill>
              </w:rPr>
              <w:t>培训考试、</w:t>
            </w:r>
            <w:r>
              <w:rPr>
                <w:rFonts w:hint="eastAsia"/>
                <w:color w:val="000000" w:themeColor="text1"/>
                <w14:textFill>
                  <w14:solidFill>
                    <w14:schemeClr w14:val="tx1"/>
                  </w14:solidFill>
                </w14:textFill>
              </w:rPr>
              <w:t>月度</w:t>
            </w:r>
            <w:r>
              <w:rPr>
                <w:color w:val="000000" w:themeColor="text1"/>
                <w14:textFill>
                  <w14:solidFill>
                    <w14:schemeClr w14:val="tx1"/>
                  </w14:solidFill>
                </w14:textFill>
              </w:rPr>
              <w:t>技术培训</w:t>
            </w:r>
          </w:p>
        </w:tc>
        <w:tc>
          <w:tcPr>
            <w:tcW w:w="0" w:type="auto"/>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佩戴安全</w:t>
            </w:r>
            <w:r>
              <w:rPr>
                <w:color w:val="000000" w:themeColor="text1"/>
                <w14:textFill>
                  <w14:solidFill>
                    <w14:schemeClr w14:val="tx1"/>
                  </w14:solidFill>
                </w14:textFill>
              </w:rPr>
              <w:t>帽</w:t>
            </w:r>
          </w:p>
        </w:tc>
        <w:tc>
          <w:tcPr>
            <w:tcW w:w="0" w:type="auto"/>
            <w:vAlign w:val="center"/>
          </w:tcPr>
          <w:p>
            <w:pPr>
              <w:pStyle w:val="178"/>
              <w:spacing w:after="120"/>
              <w:rPr>
                <w:color w:val="000000" w:themeColor="text1"/>
                <w14:textFill>
                  <w14:solidFill>
                    <w14:schemeClr w14:val="tx1"/>
                  </w14:solidFill>
                </w14:textFill>
              </w:rPr>
            </w:pPr>
            <w:r>
              <w:rPr>
                <w:color w:val="000000" w:themeColor="text1"/>
                <w14:textFill>
                  <w14:solidFill>
                    <w14:schemeClr w14:val="tx1"/>
                  </w14:solidFill>
                </w14:textFill>
              </w:rPr>
              <w:t>/</w:t>
            </w:r>
            <w:r>
              <w:rPr>
                <w:rFonts w:hint="eastAsia"/>
                <w:color w:val="000000" w:themeColor="text1"/>
                <w14:textFill>
                  <w14:solidFill>
                    <w14:schemeClr w14:val="tx1"/>
                  </w14:solidFill>
                </w14:textFill>
              </w:rPr>
              <w:t>拨打应急</w:t>
            </w:r>
            <w:r>
              <w:rPr>
                <w:color w:val="000000" w:themeColor="text1"/>
                <w14:textFill>
                  <w14:solidFill>
                    <w14:schemeClr w14:val="tx1"/>
                  </w14:solidFill>
                </w14:textFill>
              </w:rPr>
              <w:t>电话</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进行</w:t>
            </w:r>
            <w:r>
              <w:rPr>
                <w:rFonts w:hint="eastAsia"/>
                <w:color w:val="000000" w:themeColor="text1"/>
                <w14:textFill>
                  <w14:solidFill>
                    <w14:schemeClr w14:val="tx1"/>
                  </w14:solidFill>
                </w14:textFill>
              </w:rPr>
              <w:t>高空坠落和</w:t>
            </w:r>
            <w:r>
              <w:rPr>
                <w:color w:val="000000" w:themeColor="text1"/>
                <w14:textFill>
                  <w14:solidFill>
                    <w14:schemeClr w14:val="tx1"/>
                  </w14:solidFill>
                </w14:textFill>
              </w:rPr>
              <w:t>烫伤急救</w:t>
            </w:r>
          </w:p>
        </w:tc>
        <w:tc>
          <w:tcPr>
            <w:tcW w:w="0" w:type="auto"/>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低风险</w:t>
            </w:r>
          </w:p>
        </w:tc>
        <w:tc>
          <w:tcPr>
            <w:tcW w:w="0" w:type="auto"/>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班组级</w:t>
            </w:r>
          </w:p>
        </w:tc>
        <w:tc>
          <w:tcPr>
            <w:tcW w:w="0" w:type="auto"/>
            <w:vAlign w:val="center"/>
          </w:tcPr>
          <w:p>
            <w:pPr>
              <w:pStyle w:val="178"/>
              <w:spacing w:after="12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热工</w:t>
            </w:r>
            <w:r>
              <w:rPr>
                <w:color w:val="000000" w:themeColor="text1"/>
                <w14:textFill>
                  <w14:solidFill>
                    <w14:schemeClr w14:val="tx1"/>
                  </w14:solidFill>
                </w14:textFill>
              </w:rPr>
              <w:t>车间</w:t>
            </w:r>
          </w:p>
        </w:tc>
        <w:tc>
          <w:tcPr>
            <w:tcW w:w="0" w:type="auto"/>
            <w:vAlign w:val="center"/>
          </w:tcPr>
          <w:p>
            <w:pPr>
              <w:pStyle w:val="178"/>
              <w:spacing w:after="120"/>
              <w:jc w:val="left"/>
              <w:rPr>
                <w:color w:val="000000" w:themeColor="text1"/>
                <w14:textFill>
                  <w14:solidFill>
                    <w14:schemeClr w14:val="tx1"/>
                  </w14:solidFill>
                </w14:textFill>
              </w:rPr>
            </w:pPr>
            <w:r>
              <w:rPr>
                <w:color w:val="000000" w:themeColor="text1"/>
                <w14:textFill>
                  <w14:solidFill>
                    <w14:schemeClr w14:val="tx1"/>
                  </w14:solidFill>
                </w14:textFill>
              </w:rPr>
              <w:t>张三</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0" w:type="auto"/>
            <w:shd w:val="clear" w:color="auto" w:fill="auto"/>
            <w:vAlign w:val="center"/>
          </w:tcPr>
          <w:p>
            <w:pPr>
              <w:pStyle w:val="178"/>
              <w:spacing w:after="120"/>
            </w:pPr>
            <w:r>
              <w:t>…</w:t>
            </w:r>
          </w:p>
        </w:tc>
        <w:tc>
          <w:tcPr>
            <w:tcW w:w="0" w:type="auto"/>
            <w:shd w:val="clear" w:color="auto" w:fill="auto"/>
            <w:vAlign w:val="center"/>
          </w:tcPr>
          <w:p>
            <w:pPr>
              <w:pStyle w:val="178"/>
              <w:spacing w:after="120"/>
            </w:pPr>
            <w:r>
              <w:t>…</w:t>
            </w:r>
          </w:p>
        </w:tc>
        <w:tc>
          <w:tcPr>
            <w:tcW w:w="0" w:type="auto"/>
            <w:shd w:val="clear" w:color="auto" w:fill="auto"/>
            <w:vAlign w:val="center"/>
          </w:tcPr>
          <w:p>
            <w:pPr>
              <w:pStyle w:val="178"/>
              <w:spacing w:after="120"/>
            </w:pPr>
            <w:r>
              <w:t>…</w:t>
            </w:r>
          </w:p>
        </w:tc>
        <w:tc>
          <w:tcPr>
            <w:tcW w:w="0" w:type="auto"/>
            <w:shd w:val="clear" w:color="auto" w:fill="auto"/>
            <w:vAlign w:val="center"/>
          </w:tcPr>
          <w:p>
            <w:pPr>
              <w:pStyle w:val="178"/>
              <w:spacing w:after="120"/>
            </w:pPr>
            <w:r>
              <w:t>…</w:t>
            </w:r>
          </w:p>
        </w:tc>
        <w:tc>
          <w:tcPr>
            <w:tcW w:w="0" w:type="auto"/>
            <w:shd w:val="clear" w:color="auto" w:fill="auto"/>
            <w:vAlign w:val="center"/>
          </w:tcPr>
          <w:p>
            <w:pPr>
              <w:pStyle w:val="178"/>
              <w:spacing w:after="120"/>
            </w:pPr>
            <w:r>
              <w:t>…</w:t>
            </w:r>
          </w:p>
        </w:tc>
        <w:tc>
          <w:tcPr>
            <w:tcW w:w="0" w:type="auto"/>
            <w:shd w:val="clear" w:color="auto" w:fill="auto"/>
            <w:vAlign w:val="center"/>
          </w:tcPr>
          <w:p>
            <w:pPr>
              <w:pStyle w:val="178"/>
              <w:spacing w:after="120"/>
            </w:pPr>
            <w:r>
              <w:t>…</w:t>
            </w:r>
          </w:p>
        </w:tc>
        <w:tc>
          <w:tcPr>
            <w:tcW w:w="0" w:type="auto"/>
            <w:shd w:val="clear" w:color="auto" w:fill="auto"/>
            <w:vAlign w:val="center"/>
          </w:tcPr>
          <w:p>
            <w:pPr>
              <w:pStyle w:val="178"/>
              <w:spacing w:after="120"/>
            </w:pPr>
            <w:r>
              <w:t>…</w:t>
            </w:r>
          </w:p>
        </w:tc>
        <w:tc>
          <w:tcPr>
            <w:tcW w:w="0" w:type="auto"/>
            <w:shd w:val="clear" w:color="auto" w:fill="auto"/>
            <w:vAlign w:val="center"/>
          </w:tcPr>
          <w:p>
            <w:pPr>
              <w:pStyle w:val="178"/>
              <w:spacing w:after="120"/>
            </w:pPr>
            <w:r>
              <w:t>…</w:t>
            </w:r>
          </w:p>
        </w:tc>
        <w:tc>
          <w:tcPr>
            <w:tcW w:w="0" w:type="auto"/>
            <w:shd w:val="clear" w:color="auto" w:fill="auto"/>
            <w:vAlign w:val="center"/>
          </w:tcPr>
          <w:p>
            <w:pPr>
              <w:pStyle w:val="178"/>
              <w:spacing w:after="120"/>
            </w:pPr>
            <w:r>
              <w:t>…</w:t>
            </w:r>
          </w:p>
        </w:tc>
        <w:tc>
          <w:tcPr>
            <w:tcW w:w="0" w:type="auto"/>
            <w:shd w:val="clear" w:color="auto" w:fill="auto"/>
            <w:vAlign w:val="center"/>
          </w:tcPr>
          <w:p>
            <w:pPr>
              <w:pStyle w:val="178"/>
              <w:spacing w:after="120"/>
            </w:pPr>
            <w:r>
              <w:t>…</w:t>
            </w:r>
          </w:p>
        </w:tc>
        <w:tc>
          <w:tcPr>
            <w:tcW w:w="0" w:type="auto"/>
            <w:vAlign w:val="center"/>
          </w:tcPr>
          <w:p>
            <w:pPr>
              <w:pStyle w:val="178"/>
              <w:spacing w:after="120"/>
            </w:pPr>
            <w:r>
              <w:t>…</w:t>
            </w:r>
          </w:p>
        </w:tc>
        <w:tc>
          <w:tcPr>
            <w:tcW w:w="0" w:type="auto"/>
            <w:gridSpan w:val="5"/>
            <w:vAlign w:val="center"/>
          </w:tcPr>
          <w:p>
            <w:pPr>
              <w:pStyle w:val="178"/>
              <w:spacing w:after="120"/>
            </w:pPr>
            <w:r>
              <w:t>…</w:t>
            </w:r>
          </w:p>
        </w:tc>
        <w:tc>
          <w:tcPr>
            <w:tcW w:w="0" w:type="auto"/>
            <w:vAlign w:val="center"/>
          </w:tcPr>
          <w:p>
            <w:pPr>
              <w:pStyle w:val="178"/>
              <w:spacing w:after="120"/>
            </w:pPr>
            <w:r>
              <w:t>…</w:t>
            </w:r>
          </w:p>
        </w:tc>
        <w:tc>
          <w:tcPr>
            <w:tcW w:w="0" w:type="auto"/>
            <w:vAlign w:val="center"/>
          </w:tcPr>
          <w:p>
            <w:pPr>
              <w:pStyle w:val="178"/>
              <w:spacing w:after="120"/>
            </w:pPr>
            <w:r>
              <w:t>…</w:t>
            </w:r>
          </w:p>
        </w:tc>
        <w:tc>
          <w:tcPr>
            <w:tcW w:w="0" w:type="auto"/>
            <w:vAlign w:val="center"/>
          </w:tcPr>
          <w:p>
            <w:pPr>
              <w:pStyle w:val="178"/>
              <w:spacing w:after="120"/>
            </w:pPr>
            <w:r>
              <w:t>…</w:t>
            </w:r>
          </w:p>
        </w:tc>
        <w:tc>
          <w:tcPr>
            <w:tcW w:w="0" w:type="auto"/>
            <w:vAlign w:val="center"/>
          </w:tcPr>
          <w:p>
            <w:pPr>
              <w:pStyle w:val="178"/>
              <w:spacing w:after="120"/>
            </w:pPr>
            <w:r>
              <w:t>…</w:t>
            </w:r>
          </w:p>
        </w:tc>
      </w:tr>
    </w:tbl>
    <w:p>
      <w:pPr>
        <w:pStyle w:val="56"/>
        <w:ind w:firstLine="420"/>
      </w:pPr>
    </w:p>
    <w:p>
      <w:pPr>
        <w:pStyle w:val="56"/>
        <w:ind w:firstLine="420"/>
      </w:pPr>
    </w:p>
    <w:p>
      <w:pPr>
        <w:pStyle w:val="56"/>
        <w:ind w:firstLine="420"/>
      </w:pPr>
    </w:p>
    <w:p>
      <w:pPr>
        <w:pStyle w:val="56"/>
        <w:ind w:firstLine="420"/>
        <w:sectPr>
          <w:pgSz w:w="16838" w:h="11906" w:orient="landscape"/>
          <w:pgMar w:top="1134" w:right="1928" w:bottom="1134" w:left="1134" w:header="1418" w:footer="1134" w:gutter="284"/>
          <w:cols w:space="425" w:num="1"/>
          <w:formProt w:val="0"/>
          <w:docGrid w:linePitch="312" w:charSpace="0"/>
        </w:sectPr>
      </w:pPr>
    </w:p>
    <w:p>
      <w:pPr>
        <w:pStyle w:val="198"/>
        <w:rPr>
          <w:vanish w:val="0"/>
        </w:rPr>
      </w:pPr>
    </w:p>
    <w:p>
      <w:pPr>
        <w:pStyle w:val="199"/>
        <w:rPr>
          <w:vanish w:val="0"/>
        </w:rPr>
      </w:pPr>
    </w:p>
    <w:p>
      <w:pPr>
        <w:pStyle w:val="76"/>
        <w:spacing w:after="120"/>
      </w:pPr>
      <w:r>
        <w:br w:type="textWrapping"/>
      </w:r>
      <w:r>
        <w:rPr>
          <w:rFonts w:hint="eastAsia"/>
        </w:rPr>
        <w:t>（资料性）</w:t>
      </w:r>
      <w:r>
        <w:br w:type="textWrapping"/>
      </w:r>
      <w:r>
        <w:rPr>
          <w:rFonts w:hint="eastAsia"/>
        </w:rPr>
        <w:t>风险评价方法</w:t>
      </w:r>
    </w:p>
    <w:p>
      <w:pPr>
        <w:pStyle w:val="78"/>
        <w:spacing w:before="120" w:after="120"/>
      </w:pPr>
      <w:bookmarkStart w:id="122" w:name="_Toc132785890"/>
      <w:bookmarkStart w:id="123" w:name="_Toc2254"/>
      <w:bookmarkStart w:id="124" w:name="_Toc134717522"/>
      <w:bookmarkStart w:id="125" w:name="_Toc132876667"/>
      <w:bookmarkStart w:id="126" w:name="_Toc134697659"/>
      <w:bookmarkStart w:id="127" w:name="_Toc132806711"/>
      <w:r>
        <w:t>风险矩阵法</w:t>
      </w:r>
      <w:bookmarkEnd w:id="122"/>
      <w:bookmarkEnd w:id="123"/>
      <w:bookmarkEnd w:id="124"/>
      <w:bookmarkEnd w:id="125"/>
      <w:bookmarkEnd w:id="126"/>
      <w:bookmarkEnd w:id="127"/>
    </w:p>
    <w:p>
      <w:pPr>
        <w:pStyle w:val="56"/>
        <w:ind w:firstLine="420"/>
      </w:pPr>
      <w:r>
        <w:rPr>
          <w:rFonts w:hint="eastAsia"/>
        </w:rPr>
        <w:t>风险矩阵方法（LS）是一种简单易行的评价作业条件危险性的方法，它给出了两个变量，分别表示该危险源潜在后果的可能性（L）和后果（S），见表</w:t>
      </w:r>
      <w:r>
        <w:t>C</w:t>
      </w:r>
      <w:r>
        <w:rPr>
          <w:rFonts w:hint="eastAsia"/>
        </w:rPr>
        <w:t>.</w:t>
      </w:r>
      <w:r>
        <w:t>1</w:t>
      </w:r>
      <w:r>
        <w:rPr>
          <w:rFonts w:hint="eastAsia"/>
        </w:rPr>
        <w:t>、表</w:t>
      </w:r>
      <w:r>
        <w:t>C</w:t>
      </w:r>
      <w:r>
        <w:rPr>
          <w:rFonts w:hint="eastAsia"/>
        </w:rPr>
        <w:t>.</w:t>
      </w:r>
      <w:r>
        <w:t>2</w:t>
      </w:r>
      <w:r>
        <w:rPr>
          <w:rFonts w:hint="eastAsia"/>
        </w:rPr>
        <w:t>，辨识、评估者者需识别出每个作业活动可能存在的危害，并判定这种危害可能产生的后果及产生这种后果的可能性，二者相乘，得出所确定危害的风险。然后进行风险分级，根据不同级别的风险，采取相应的风险控制措施，见表</w:t>
      </w:r>
      <w:r>
        <w:t>C</w:t>
      </w:r>
      <w:r>
        <w:rPr>
          <w:rFonts w:hint="eastAsia"/>
        </w:rPr>
        <w:t>.</w:t>
      </w:r>
      <w:r>
        <w:t>3</w:t>
      </w:r>
      <w:r>
        <w:rPr>
          <w:rFonts w:hint="eastAsia"/>
        </w:rPr>
        <w:t>，计算</w:t>
      </w:r>
      <w:r>
        <w:t>方法</w:t>
      </w:r>
      <w:r>
        <w:rPr>
          <w:rFonts w:hint="eastAsia"/>
        </w:rPr>
        <w:t>见式</w:t>
      </w:r>
      <w:r>
        <w:t>C</w:t>
      </w:r>
      <w:r>
        <w:rPr>
          <w:rFonts w:hint="eastAsia"/>
        </w:rPr>
        <w:t>.1</w:t>
      </w:r>
      <w:r>
        <w:t>。</w:t>
      </w:r>
    </w:p>
    <w:p>
      <w:pPr>
        <w:pStyle w:val="113"/>
      </w:pPr>
      <w:r>
        <w:tab/>
      </w:r>
      <m:oMath>
        <m:r>
          <m:rPr>
            <m:sty m:val="p"/>
          </m:rPr>
          <w:rPr>
            <w:rFonts w:ascii="Cambria Math" w:hAnsi="Cambria Math"/>
          </w:rPr>
          <m:t>R=L×S</m:t>
        </m:r>
      </m:oMath>
      <w:r>
        <w:rPr>
          <w:rFonts w:ascii="微软雅黑" w:eastAsia="微软雅黑"/>
        </w:rPr>
        <w:tab/>
      </w:r>
      <w:r>
        <w:t>(C.</w:t>
      </w:r>
      <w:r>
        <w:fldChar w:fldCharType="begin"/>
      </w:r>
      <w:r>
        <w:instrText xml:space="preserve"> seq fulu_equation_133437319403904609 </w:instrText>
      </w:r>
      <w:r>
        <w:fldChar w:fldCharType="separate"/>
      </w:r>
      <w:r>
        <w:t>1</w:t>
      </w:r>
      <w:r>
        <w:fldChar w:fldCharType="end"/>
      </w:r>
      <w:r>
        <w:t>)</w:t>
      </w:r>
    </w:p>
    <w:p>
      <w:pPr>
        <w:pStyle w:val="55"/>
        <w:ind w:firstLine="420"/>
      </w:pPr>
      <w:r>
        <w:rPr>
          <w:rFonts w:hint="eastAsia"/>
        </w:rPr>
        <w:t>式中：</w:t>
      </w:r>
    </w:p>
    <w:p>
      <w:pPr>
        <w:pStyle w:val="56"/>
        <w:ind w:firstLine="420"/>
      </w:pPr>
      <w:r>
        <w:t>R——风险值；</w:t>
      </w:r>
    </w:p>
    <w:p>
      <w:pPr>
        <w:pStyle w:val="56"/>
        <w:ind w:firstLine="420"/>
      </w:pPr>
      <w:r>
        <w:t>L——发生伤害的可能性；</w:t>
      </w:r>
    </w:p>
    <w:p>
      <w:pPr>
        <w:pStyle w:val="56"/>
        <w:ind w:firstLine="420"/>
      </w:pPr>
      <w:r>
        <w:t>S——发生伤害后果的严重程度。</w:t>
      </w:r>
    </w:p>
    <w:p>
      <w:pPr>
        <w:pStyle w:val="77"/>
        <w:spacing w:before="120" w:after="120"/>
        <w:ind w:firstLine="420"/>
      </w:pPr>
      <w:r>
        <w:rPr>
          <w:rFonts w:hint="eastAsia"/>
        </w:rPr>
        <w:t xml:space="preserve"> 事件发生可能性L判定准则</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57"/>
        <w:gridCol w:w="877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 w:hRule="atLeast"/>
          <w:tblHeader/>
          <w:jc w:val="center"/>
        </w:trPr>
        <w:tc>
          <w:tcPr>
            <w:tcW w:w="557" w:type="dxa"/>
            <w:tcBorders>
              <w:top w:val="single" w:color="auto" w:sz="8" w:space="0"/>
              <w:bottom w:val="single" w:color="auto" w:sz="8" w:space="0"/>
            </w:tcBorders>
            <w:shd w:val="clear" w:color="auto" w:fill="auto"/>
            <w:vAlign w:val="center"/>
          </w:tcPr>
          <w:p>
            <w:pPr>
              <w:pStyle w:val="178"/>
              <w:spacing w:line="240" w:lineRule="exact"/>
              <w:rPr>
                <w:bCs/>
              </w:rPr>
            </w:pPr>
            <w:r>
              <w:rPr>
                <w:bCs/>
              </w:rPr>
              <w:t>等级</w:t>
            </w:r>
          </w:p>
        </w:tc>
        <w:tc>
          <w:tcPr>
            <w:tcW w:w="8777" w:type="dxa"/>
            <w:tcBorders>
              <w:top w:val="single" w:color="auto" w:sz="8" w:space="0"/>
              <w:bottom w:val="single" w:color="auto" w:sz="8" w:space="0"/>
            </w:tcBorders>
            <w:shd w:val="clear" w:color="auto" w:fill="auto"/>
            <w:vAlign w:val="center"/>
          </w:tcPr>
          <w:p>
            <w:pPr>
              <w:pStyle w:val="178"/>
              <w:rPr>
                <w:bCs/>
              </w:rPr>
            </w:pPr>
            <w:r>
              <w:rPr>
                <w:bCs/>
              </w:rPr>
              <w:t>判定标准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 w:hRule="atLeast"/>
          <w:jc w:val="center"/>
        </w:trPr>
        <w:tc>
          <w:tcPr>
            <w:tcW w:w="557" w:type="dxa"/>
            <w:tcBorders>
              <w:top w:val="single" w:color="auto" w:sz="8" w:space="0"/>
            </w:tcBorders>
            <w:shd w:val="clear" w:color="auto" w:fill="auto"/>
            <w:vAlign w:val="center"/>
          </w:tcPr>
          <w:p>
            <w:pPr>
              <w:pStyle w:val="178"/>
              <w:rPr>
                <w:rFonts w:hAnsi="宋体"/>
              </w:rPr>
            </w:pPr>
            <w:r>
              <w:rPr>
                <w:rFonts w:hAnsi="宋体"/>
              </w:rPr>
              <w:t>5</w:t>
            </w:r>
          </w:p>
        </w:tc>
        <w:tc>
          <w:tcPr>
            <w:tcW w:w="8777" w:type="dxa"/>
            <w:tcBorders>
              <w:top w:val="single" w:color="auto" w:sz="8" w:space="0"/>
            </w:tcBorders>
            <w:shd w:val="clear" w:color="auto" w:fill="auto"/>
            <w:vAlign w:val="center"/>
          </w:tcPr>
          <w:p>
            <w:pPr>
              <w:pStyle w:val="178"/>
              <w:rPr>
                <w:rFonts w:hAnsi="宋体"/>
              </w:rPr>
            </w:pPr>
            <w:r>
              <w:rPr>
                <w:rFonts w:hAnsi="宋体" w:cs="仿宋"/>
              </w:rPr>
              <w:t>在现场没有采取防范、监测、保护、控制措施，或危险有害因素的发生不能被发现（没有监测系统），或在正常情况下经常发生此类事故或事件。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557" w:type="dxa"/>
            <w:shd w:val="clear" w:color="auto" w:fill="auto"/>
            <w:vAlign w:val="center"/>
          </w:tcPr>
          <w:p>
            <w:pPr>
              <w:pStyle w:val="178"/>
              <w:rPr>
                <w:rFonts w:hAnsi="宋体"/>
              </w:rPr>
            </w:pPr>
            <w:r>
              <w:rPr>
                <w:rFonts w:hAnsi="宋体"/>
              </w:rPr>
              <w:t>4</w:t>
            </w:r>
          </w:p>
        </w:tc>
        <w:tc>
          <w:tcPr>
            <w:tcW w:w="8777" w:type="dxa"/>
            <w:shd w:val="clear" w:color="auto" w:fill="auto"/>
            <w:vAlign w:val="center"/>
          </w:tcPr>
          <w:p>
            <w:pPr>
              <w:pStyle w:val="178"/>
              <w:rPr>
                <w:rFonts w:hAnsi="宋体"/>
              </w:rPr>
            </w:pPr>
            <w:r>
              <w:rPr>
                <w:rFonts w:hAnsi="宋体" w:cs="仿宋"/>
              </w:rPr>
              <w:t>危险有害因素的发生不能被发现，现场没有检测系统，也未作过任何监测，或在现场有控制措施，但未有效执行或控制措施不当，或危险有害因素常发生或在预期情况下发生。</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557" w:type="dxa"/>
            <w:shd w:val="clear" w:color="auto" w:fill="auto"/>
            <w:vAlign w:val="center"/>
          </w:tcPr>
          <w:p>
            <w:pPr>
              <w:pStyle w:val="178"/>
              <w:rPr>
                <w:rFonts w:hAnsi="宋体"/>
              </w:rPr>
            </w:pPr>
            <w:r>
              <w:rPr>
                <w:rFonts w:hAnsi="宋体"/>
              </w:rPr>
              <w:t>3</w:t>
            </w:r>
          </w:p>
        </w:tc>
        <w:tc>
          <w:tcPr>
            <w:tcW w:w="8777" w:type="dxa"/>
            <w:shd w:val="clear" w:color="auto" w:fill="auto"/>
            <w:vAlign w:val="center"/>
          </w:tcPr>
          <w:p>
            <w:pPr>
              <w:pStyle w:val="178"/>
              <w:rPr>
                <w:rFonts w:hAnsi="宋体"/>
              </w:rPr>
            </w:pPr>
            <w:r>
              <w:rPr>
                <w:rFonts w:hAnsi="宋体" w:cs="仿宋"/>
              </w:rPr>
              <w:t>没有保护措施（如没有防护装置、没有个人防护用品等），或未严格按操作程序执行，或危险、有害因素的发生容易被发现（现场有监测系统），或曾经作过监测，或过去曾经发生类似事故或事件，或在异常情况下发生过类似事故或事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557" w:type="dxa"/>
            <w:shd w:val="clear" w:color="auto" w:fill="auto"/>
            <w:vAlign w:val="center"/>
          </w:tcPr>
          <w:p>
            <w:pPr>
              <w:pStyle w:val="178"/>
              <w:rPr>
                <w:rFonts w:hAnsi="宋体"/>
              </w:rPr>
            </w:pPr>
            <w:r>
              <w:rPr>
                <w:rFonts w:hAnsi="宋体"/>
              </w:rPr>
              <w:t>2</w:t>
            </w:r>
          </w:p>
        </w:tc>
        <w:tc>
          <w:tcPr>
            <w:tcW w:w="8777" w:type="dxa"/>
            <w:shd w:val="clear" w:color="auto" w:fill="auto"/>
            <w:vAlign w:val="center"/>
          </w:tcPr>
          <w:p>
            <w:pPr>
              <w:pStyle w:val="178"/>
              <w:rPr>
                <w:rFonts w:hAnsi="宋体"/>
              </w:rPr>
            </w:pPr>
            <w:r>
              <w:rPr>
                <w:rFonts w:hAnsi="宋体" w:cs="仿宋"/>
              </w:rPr>
              <w:t>危险有害因素一旦发生能及时发现，并定期进行监测，或现场有防范控制措施，并有有效执行或过去偶尔发生危险事故或事件。</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557" w:type="dxa"/>
            <w:shd w:val="clear" w:color="auto" w:fill="auto"/>
            <w:vAlign w:val="center"/>
          </w:tcPr>
          <w:p>
            <w:pPr>
              <w:pStyle w:val="178"/>
              <w:rPr>
                <w:rFonts w:hAnsi="宋体"/>
              </w:rPr>
            </w:pPr>
            <w:r>
              <w:rPr>
                <w:rFonts w:hAnsi="宋体"/>
              </w:rPr>
              <w:t>1</w:t>
            </w:r>
          </w:p>
        </w:tc>
        <w:tc>
          <w:tcPr>
            <w:tcW w:w="8777" w:type="dxa"/>
            <w:shd w:val="clear" w:color="auto" w:fill="auto"/>
            <w:vAlign w:val="center"/>
          </w:tcPr>
          <w:p>
            <w:pPr>
              <w:pStyle w:val="178"/>
              <w:rPr>
                <w:rFonts w:hAnsi="宋体"/>
              </w:rPr>
            </w:pPr>
            <w:r>
              <w:rPr>
                <w:rFonts w:hAnsi="宋体" w:cs="仿宋"/>
              </w:rPr>
              <w:t>有充分、有效的防范、控制、监测、保护措施，或员工安全卫生意识相当高，严格执行操作规程，极不可能发生事故或事件。</w:t>
            </w:r>
          </w:p>
        </w:tc>
      </w:tr>
    </w:tbl>
    <w:p>
      <w:pPr>
        <w:pStyle w:val="77"/>
        <w:spacing w:before="240" w:beforeLines="100" w:after="120"/>
        <w:ind w:firstLine="420"/>
      </w:pPr>
      <w:r>
        <w:rPr>
          <w:rFonts w:hint="eastAsia"/>
        </w:rPr>
        <w:t xml:space="preserve"> 事件后果严重性S判定准则</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57"/>
        <w:gridCol w:w="1843"/>
        <w:gridCol w:w="1701"/>
        <w:gridCol w:w="1843"/>
        <w:gridCol w:w="1843"/>
        <w:gridCol w:w="154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35" w:hRule="atLeast"/>
          <w:tblHeader/>
          <w:jc w:val="center"/>
        </w:trPr>
        <w:tc>
          <w:tcPr>
            <w:tcW w:w="557" w:type="dxa"/>
            <w:tcBorders>
              <w:top w:val="single" w:color="auto" w:sz="8" w:space="0"/>
              <w:bottom w:val="single" w:color="auto" w:sz="8" w:space="0"/>
            </w:tcBorders>
            <w:shd w:val="clear" w:color="auto" w:fill="auto"/>
            <w:vAlign w:val="center"/>
          </w:tcPr>
          <w:p>
            <w:pPr>
              <w:pStyle w:val="178"/>
              <w:rPr>
                <w:rFonts w:hAnsi="宋体"/>
                <w:bCs/>
              </w:rPr>
            </w:pPr>
            <w:r>
              <w:rPr>
                <w:rFonts w:hAnsi="宋体"/>
                <w:bCs/>
              </w:rPr>
              <w:t>等级</w:t>
            </w:r>
          </w:p>
        </w:tc>
        <w:tc>
          <w:tcPr>
            <w:tcW w:w="1843" w:type="dxa"/>
            <w:tcBorders>
              <w:top w:val="single" w:color="auto" w:sz="8" w:space="0"/>
              <w:bottom w:val="single" w:color="auto" w:sz="8" w:space="0"/>
            </w:tcBorders>
            <w:shd w:val="clear" w:color="auto" w:fill="auto"/>
            <w:vAlign w:val="center"/>
          </w:tcPr>
          <w:p>
            <w:pPr>
              <w:pStyle w:val="178"/>
              <w:rPr>
                <w:rFonts w:hAnsi="宋体"/>
                <w:bCs/>
              </w:rPr>
            </w:pPr>
            <w:r>
              <w:rPr>
                <w:rFonts w:hAnsi="宋体"/>
                <w:bCs/>
              </w:rPr>
              <w:t>法律、法规及其他要求</w:t>
            </w:r>
          </w:p>
        </w:tc>
        <w:tc>
          <w:tcPr>
            <w:tcW w:w="1701" w:type="dxa"/>
            <w:tcBorders>
              <w:top w:val="single" w:color="auto" w:sz="8" w:space="0"/>
              <w:bottom w:val="single" w:color="auto" w:sz="8" w:space="0"/>
            </w:tcBorders>
            <w:shd w:val="clear" w:color="auto" w:fill="auto"/>
            <w:vAlign w:val="center"/>
          </w:tcPr>
          <w:p>
            <w:pPr>
              <w:pStyle w:val="178"/>
              <w:rPr>
                <w:rFonts w:hAnsi="宋体"/>
                <w:bCs/>
              </w:rPr>
            </w:pPr>
            <w:r>
              <w:rPr>
                <w:rFonts w:hAnsi="宋体"/>
                <w:bCs/>
              </w:rPr>
              <w:t>人员</w:t>
            </w:r>
          </w:p>
        </w:tc>
        <w:tc>
          <w:tcPr>
            <w:tcW w:w="1843" w:type="dxa"/>
            <w:tcBorders>
              <w:top w:val="single" w:color="auto" w:sz="8" w:space="0"/>
              <w:bottom w:val="single" w:color="auto" w:sz="8" w:space="0"/>
            </w:tcBorders>
            <w:shd w:val="clear" w:color="auto" w:fill="auto"/>
            <w:vAlign w:val="center"/>
          </w:tcPr>
          <w:p>
            <w:pPr>
              <w:pStyle w:val="178"/>
              <w:rPr>
                <w:rFonts w:hAnsi="宋体"/>
                <w:bCs/>
              </w:rPr>
            </w:pPr>
            <w:r>
              <w:rPr>
                <w:rFonts w:hAnsi="宋体"/>
                <w:bCs/>
              </w:rPr>
              <w:t>直接经济损失（万元）</w:t>
            </w:r>
          </w:p>
        </w:tc>
        <w:tc>
          <w:tcPr>
            <w:tcW w:w="1843" w:type="dxa"/>
            <w:tcBorders>
              <w:top w:val="single" w:color="auto" w:sz="8" w:space="0"/>
              <w:bottom w:val="single" w:color="auto" w:sz="8" w:space="0"/>
            </w:tcBorders>
            <w:shd w:val="clear" w:color="auto" w:fill="auto"/>
            <w:vAlign w:val="center"/>
          </w:tcPr>
          <w:p>
            <w:pPr>
              <w:pStyle w:val="178"/>
              <w:rPr>
                <w:rFonts w:hAnsi="宋体"/>
                <w:bCs/>
              </w:rPr>
            </w:pPr>
            <w:r>
              <w:rPr>
                <w:rFonts w:hAnsi="宋体"/>
                <w:bCs/>
              </w:rPr>
              <w:t>停工</w:t>
            </w:r>
          </w:p>
        </w:tc>
        <w:tc>
          <w:tcPr>
            <w:tcW w:w="1547" w:type="dxa"/>
            <w:tcBorders>
              <w:top w:val="single" w:color="auto" w:sz="8" w:space="0"/>
              <w:bottom w:val="single" w:color="auto" w:sz="8" w:space="0"/>
            </w:tcBorders>
            <w:shd w:val="clear" w:color="auto" w:fill="auto"/>
            <w:vAlign w:val="center"/>
          </w:tcPr>
          <w:p>
            <w:pPr>
              <w:pStyle w:val="178"/>
              <w:rPr>
                <w:rFonts w:hAnsi="宋体"/>
                <w:bCs/>
              </w:rPr>
            </w:pPr>
            <w:r>
              <w:rPr>
                <w:rFonts w:hAnsi="宋体"/>
                <w:bCs/>
              </w:rPr>
              <w:t>企业形象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0" w:hRule="atLeast"/>
          <w:jc w:val="center"/>
        </w:trPr>
        <w:tc>
          <w:tcPr>
            <w:tcW w:w="557" w:type="dxa"/>
            <w:tcBorders>
              <w:top w:val="single" w:color="auto" w:sz="8" w:space="0"/>
            </w:tcBorders>
            <w:shd w:val="clear" w:color="auto" w:fill="auto"/>
            <w:vAlign w:val="center"/>
          </w:tcPr>
          <w:p>
            <w:pPr>
              <w:pStyle w:val="178"/>
              <w:rPr>
                <w:rFonts w:hAnsi="宋体" w:cs="仿宋"/>
              </w:rPr>
            </w:pPr>
            <w:r>
              <w:rPr>
                <w:rFonts w:hAnsi="宋体" w:cs="仿宋"/>
              </w:rPr>
              <w:t>5</w:t>
            </w:r>
          </w:p>
        </w:tc>
        <w:tc>
          <w:tcPr>
            <w:tcW w:w="1843" w:type="dxa"/>
            <w:tcBorders>
              <w:top w:val="single" w:color="auto" w:sz="8" w:space="0"/>
            </w:tcBorders>
            <w:shd w:val="clear" w:color="auto" w:fill="auto"/>
            <w:vAlign w:val="center"/>
          </w:tcPr>
          <w:p>
            <w:pPr>
              <w:pStyle w:val="178"/>
              <w:rPr>
                <w:rFonts w:hAnsi="宋体" w:cs="仿宋"/>
              </w:rPr>
            </w:pPr>
            <w:r>
              <w:rPr>
                <w:rFonts w:hAnsi="宋体" w:cs="仿宋"/>
              </w:rPr>
              <w:t>违反法律、法规、标准</w:t>
            </w:r>
          </w:p>
        </w:tc>
        <w:tc>
          <w:tcPr>
            <w:tcW w:w="1701" w:type="dxa"/>
            <w:tcBorders>
              <w:top w:val="single" w:color="auto" w:sz="8" w:space="0"/>
            </w:tcBorders>
            <w:shd w:val="clear" w:color="auto" w:fill="auto"/>
            <w:vAlign w:val="center"/>
          </w:tcPr>
          <w:p>
            <w:pPr>
              <w:adjustRightInd/>
              <w:jc w:val="center"/>
              <w:rPr>
                <w:rFonts w:hAnsi="宋体" w:cs="仿宋"/>
                <w:kern w:val="0"/>
                <w:sz w:val="18"/>
                <w:szCs w:val="20"/>
              </w:rPr>
            </w:pPr>
            <w:r>
              <w:rPr>
                <w:rFonts w:hAnsi="宋体" w:cs="仿宋"/>
                <w:kern w:val="0"/>
                <w:sz w:val="18"/>
                <w:szCs w:val="20"/>
              </w:rPr>
              <w:t>死亡</w:t>
            </w:r>
          </w:p>
        </w:tc>
        <w:tc>
          <w:tcPr>
            <w:tcW w:w="1843" w:type="dxa"/>
            <w:tcBorders>
              <w:top w:val="single" w:color="auto" w:sz="8" w:space="0"/>
            </w:tcBorders>
            <w:shd w:val="clear" w:color="auto" w:fill="auto"/>
            <w:vAlign w:val="center"/>
          </w:tcPr>
          <w:p>
            <w:pPr>
              <w:adjustRightInd/>
              <w:jc w:val="center"/>
              <w:rPr>
                <w:rFonts w:hAnsi="宋体" w:cs="仿宋"/>
                <w:kern w:val="0"/>
                <w:sz w:val="18"/>
                <w:szCs w:val="20"/>
              </w:rPr>
            </w:pPr>
            <w:r>
              <w:rPr>
                <w:rFonts w:hAnsi="宋体" w:cs="仿宋"/>
                <w:kern w:val="0"/>
                <w:sz w:val="18"/>
                <w:szCs w:val="20"/>
              </w:rPr>
              <w:t>＞50</w:t>
            </w:r>
          </w:p>
        </w:tc>
        <w:tc>
          <w:tcPr>
            <w:tcW w:w="1843" w:type="dxa"/>
            <w:tcBorders>
              <w:top w:val="single" w:color="auto" w:sz="8" w:space="0"/>
            </w:tcBorders>
            <w:shd w:val="clear" w:color="auto" w:fill="auto"/>
            <w:vAlign w:val="center"/>
          </w:tcPr>
          <w:p>
            <w:pPr>
              <w:adjustRightInd/>
              <w:jc w:val="center"/>
              <w:rPr>
                <w:rFonts w:hAnsi="宋体" w:cs="仿宋"/>
                <w:kern w:val="0"/>
                <w:sz w:val="18"/>
                <w:szCs w:val="20"/>
              </w:rPr>
            </w:pPr>
            <w:r>
              <w:rPr>
                <w:rFonts w:hAnsi="宋体" w:cs="仿宋"/>
                <w:kern w:val="0"/>
                <w:sz w:val="18"/>
                <w:szCs w:val="20"/>
              </w:rPr>
              <w:t>部分装置（大于2套）或设备停工</w:t>
            </w:r>
          </w:p>
        </w:tc>
        <w:tc>
          <w:tcPr>
            <w:tcW w:w="1547" w:type="dxa"/>
            <w:tcBorders>
              <w:top w:val="single" w:color="auto" w:sz="8" w:space="0"/>
            </w:tcBorders>
            <w:shd w:val="clear" w:color="auto" w:fill="auto"/>
            <w:vAlign w:val="center"/>
          </w:tcPr>
          <w:p>
            <w:pPr>
              <w:adjustRightInd/>
              <w:jc w:val="center"/>
              <w:rPr>
                <w:rFonts w:hAnsi="宋体" w:cs="仿宋"/>
                <w:kern w:val="0"/>
                <w:sz w:val="18"/>
                <w:szCs w:val="20"/>
              </w:rPr>
            </w:pPr>
            <w:r>
              <w:rPr>
                <w:rFonts w:hAnsi="宋体" w:cs="仿宋"/>
                <w:kern w:val="0"/>
                <w:sz w:val="18"/>
                <w:szCs w:val="20"/>
              </w:rPr>
              <w:t>重大国际国内影响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0" w:hRule="atLeast"/>
          <w:jc w:val="center"/>
        </w:trPr>
        <w:tc>
          <w:tcPr>
            <w:tcW w:w="557" w:type="dxa"/>
            <w:shd w:val="clear" w:color="auto" w:fill="auto"/>
            <w:vAlign w:val="center"/>
          </w:tcPr>
          <w:p>
            <w:pPr>
              <w:pStyle w:val="178"/>
              <w:rPr>
                <w:rFonts w:hAnsi="宋体" w:cs="仿宋"/>
              </w:rPr>
            </w:pPr>
            <w:r>
              <w:rPr>
                <w:rFonts w:hAnsi="宋体" w:cs="仿宋"/>
              </w:rPr>
              <w:t>4</w:t>
            </w:r>
          </w:p>
        </w:tc>
        <w:tc>
          <w:tcPr>
            <w:tcW w:w="1843" w:type="dxa"/>
            <w:shd w:val="clear" w:color="auto" w:fill="auto"/>
            <w:vAlign w:val="center"/>
          </w:tcPr>
          <w:p>
            <w:pPr>
              <w:adjustRightInd/>
              <w:jc w:val="center"/>
              <w:rPr>
                <w:rFonts w:hAnsi="宋体" w:cs="仿宋"/>
                <w:kern w:val="0"/>
                <w:sz w:val="18"/>
                <w:szCs w:val="20"/>
              </w:rPr>
            </w:pPr>
            <w:r>
              <w:rPr>
                <w:rFonts w:hAnsi="宋体" w:cs="仿宋"/>
                <w:kern w:val="0"/>
                <w:sz w:val="18"/>
                <w:szCs w:val="20"/>
              </w:rPr>
              <w:t>潜在违反法规、标准</w:t>
            </w:r>
          </w:p>
        </w:tc>
        <w:tc>
          <w:tcPr>
            <w:tcW w:w="1701" w:type="dxa"/>
            <w:shd w:val="clear" w:color="auto" w:fill="auto"/>
            <w:vAlign w:val="center"/>
          </w:tcPr>
          <w:p>
            <w:pPr>
              <w:adjustRightInd/>
              <w:jc w:val="center"/>
              <w:rPr>
                <w:rFonts w:hAnsi="宋体" w:cs="仿宋"/>
                <w:kern w:val="0"/>
                <w:sz w:val="18"/>
                <w:szCs w:val="20"/>
              </w:rPr>
            </w:pPr>
            <w:r>
              <w:rPr>
                <w:rFonts w:hAnsi="宋体" w:cs="仿宋"/>
                <w:kern w:val="0"/>
                <w:sz w:val="18"/>
                <w:szCs w:val="20"/>
              </w:rPr>
              <w:t>丧失劳动能力</w:t>
            </w:r>
          </w:p>
        </w:tc>
        <w:tc>
          <w:tcPr>
            <w:tcW w:w="1843" w:type="dxa"/>
            <w:shd w:val="clear" w:color="auto" w:fill="auto"/>
            <w:vAlign w:val="center"/>
          </w:tcPr>
          <w:p>
            <w:pPr>
              <w:adjustRightInd/>
              <w:jc w:val="center"/>
              <w:rPr>
                <w:rFonts w:hAnsi="宋体" w:cs="仿宋"/>
                <w:kern w:val="0"/>
                <w:sz w:val="18"/>
                <w:szCs w:val="20"/>
              </w:rPr>
            </w:pPr>
            <w:r>
              <w:rPr>
                <w:rFonts w:hAnsi="宋体" w:cs="仿宋"/>
                <w:kern w:val="0"/>
                <w:sz w:val="18"/>
                <w:szCs w:val="20"/>
              </w:rPr>
              <w:t>＞25</w:t>
            </w:r>
          </w:p>
        </w:tc>
        <w:tc>
          <w:tcPr>
            <w:tcW w:w="1843" w:type="dxa"/>
            <w:shd w:val="clear" w:color="auto" w:fill="auto"/>
            <w:vAlign w:val="center"/>
          </w:tcPr>
          <w:p>
            <w:pPr>
              <w:adjustRightInd/>
              <w:jc w:val="center"/>
              <w:rPr>
                <w:rFonts w:hAnsi="宋体" w:cs="仿宋"/>
                <w:kern w:val="0"/>
                <w:sz w:val="18"/>
                <w:szCs w:val="20"/>
              </w:rPr>
            </w:pPr>
            <w:r>
              <w:rPr>
                <w:rFonts w:hAnsi="宋体" w:cs="仿宋"/>
                <w:kern w:val="0"/>
                <w:sz w:val="18"/>
                <w:szCs w:val="20"/>
              </w:rPr>
              <w:t>2套装置停工或设备停工</w:t>
            </w:r>
          </w:p>
        </w:tc>
        <w:tc>
          <w:tcPr>
            <w:tcW w:w="1547" w:type="dxa"/>
            <w:shd w:val="clear" w:color="auto" w:fill="auto"/>
            <w:vAlign w:val="center"/>
          </w:tcPr>
          <w:p>
            <w:pPr>
              <w:adjustRightInd/>
              <w:jc w:val="center"/>
              <w:rPr>
                <w:rFonts w:hAnsi="宋体" w:cs="仿宋"/>
                <w:kern w:val="0"/>
                <w:sz w:val="18"/>
                <w:szCs w:val="20"/>
              </w:rPr>
            </w:pPr>
            <w:r>
              <w:rPr>
                <w:rFonts w:hAnsi="宋体" w:cs="仿宋"/>
                <w:kern w:val="0"/>
                <w:sz w:val="18"/>
                <w:szCs w:val="20"/>
              </w:rPr>
              <w:t>行业内、省内影响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0" w:hRule="atLeast"/>
          <w:jc w:val="center"/>
        </w:trPr>
        <w:tc>
          <w:tcPr>
            <w:tcW w:w="557" w:type="dxa"/>
            <w:shd w:val="clear" w:color="auto" w:fill="auto"/>
            <w:vAlign w:val="center"/>
          </w:tcPr>
          <w:p>
            <w:pPr>
              <w:pStyle w:val="178"/>
              <w:rPr>
                <w:rFonts w:hAnsi="宋体" w:cs="仿宋"/>
              </w:rPr>
            </w:pPr>
            <w:r>
              <w:rPr>
                <w:rFonts w:hAnsi="宋体" w:cs="仿宋"/>
              </w:rPr>
              <w:t>3</w:t>
            </w:r>
          </w:p>
        </w:tc>
        <w:tc>
          <w:tcPr>
            <w:tcW w:w="1843" w:type="dxa"/>
            <w:shd w:val="clear" w:color="auto" w:fill="auto"/>
            <w:vAlign w:val="center"/>
          </w:tcPr>
          <w:p>
            <w:pPr>
              <w:adjustRightInd/>
              <w:jc w:val="center"/>
              <w:rPr>
                <w:rFonts w:hAnsi="宋体" w:cs="仿宋"/>
                <w:kern w:val="0"/>
                <w:sz w:val="18"/>
                <w:szCs w:val="20"/>
              </w:rPr>
            </w:pPr>
            <w:r>
              <w:rPr>
                <w:rFonts w:hAnsi="宋体" w:cs="仿宋"/>
                <w:kern w:val="0"/>
                <w:sz w:val="18"/>
                <w:szCs w:val="20"/>
              </w:rPr>
              <w:t>不符合上级公司或行业的安全方针、制度、规定等</w:t>
            </w:r>
          </w:p>
        </w:tc>
        <w:tc>
          <w:tcPr>
            <w:tcW w:w="1701" w:type="dxa"/>
            <w:shd w:val="clear" w:color="auto" w:fill="auto"/>
            <w:vAlign w:val="center"/>
          </w:tcPr>
          <w:p>
            <w:pPr>
              <w:adjustRightInd/>
              <w:jc w:val="center"/>
              <w:rPr>
                <w:rFonts w:hAnsi="宋体" w:cs="仿宋"/>
                <w:kern w:val="0"/>
                <w:sz w:val="18"/>
                <w:szCs w:val="20"/>
              </w:rPr>
            </w:pPr>
            <w:r>
              <w:rPr>
                <w:rFonts w:hAnsi="宋体" w:cs="仿宋"/>
                <w:kern w:val="0"/>
                <w:sz w:val="18"/>
                <w:szCs w:val="20"/>
              </w:rPr>
              <w:t>截肢、骨折、听力丧失、慢性病</w:t>
            </w:r>
          </w:p>
        </w:tc>
        <w:tc>
          <w:tcPr>
            <w:tcW w:w="1843" w:type="dxa"/>
            <w:shd w:val="clear" w:color="auto" w:fill="auto"/>
            <w:vAlign w:val="center"/>
          </w:tcPr>
          <w:p>
            <w:pPr>
              <w:adjustRightInd/>
              <w:jc w:val="center"/>
              <w:rPr>
                <w:rFonts w:hAnsi="宋体" w:cs="仿宋"/>
                <w:kern w:val="0"/>
                <w:sz w:val="18"/>
                <w:szCs w:val="20"/>
              </w:rPr>
            </w:pPr>
            <w:r>
              <w:rPr>
                <w:rFonts w:hAnsi="宋体" w:cs="仿宋"/>
                <w:kern w:val="0"/>
                <w:sz w:val="18"/>
                <w:szCs w:val="20"/>
              </w:rPr>
              <w:t>＞10</w:t>
            </w:r>
          </w:p>
        </w:tc>
        <w:tc>
          <w:tcPr>
            <w:tcW w:w="1843" w:type="dxa"/>
            <w:shd w:val="clear" w:color="auto" w:fill="auto"/>
            <w:vAlign w:val="center"/>
          </w:tcPr>
          <w:p>
            <w:pPr>
              <w:adjustRightInd/>
              <w:jc w:val="center"/>
              <w:rPr>
                <w:rFonts w:hAnsi="宋体" w:cs="仿宋"/>
                <w:kern w:val="0"/>
                <w:sz w:val="18"/>
                <w:szCs w:val="20"/>
              </w:rPr>
            </w:pPr>
            <w:r>
              <w:rPr>
                <w:rFonts w:hAnsi="宋体" w:cs="仿宋"/>
                <w:kern w:val="0"/>
                <w:sz w:val="18"/>
                <w:szCs w:val="20"/>
              </w:rPr>
              <w:t>一套装置或设备停工</w:t>
            </w:r>
          </w:p>
        </w:tc>
        <w:tc>
          <w:tcPr>
            <w:tcW w:w="1547" w:type="dxa"/>
            <w:shd w:val="clear" w:color="auto" w:fill="auto"/>
            <w:vAlign w:val="center"/>
          </w:tcPr>
          <w:p>
            <w:pPr>
              <w:adjustRightInd/>
              <w:jc w:val="center"/>
              <w:rPr>
                <w:rFonts w:hAnsi="宋体" w:cs="仿宋"/>
                <w:kern w:val="0"/>
                <w:sz w:val="18"/>
                <w:szCs w:val="20"/>
              </w:rPr>
            </w:pPr>
            <w:r>
              <w:rPr>
                <w:rFonts w:hAnsi="宋体" w:cs="仿宋"/>
                <w:kern w:val="0"/>
                <w:sz w:val="18"/>
                <w:szCs w:val="20"/>
              </w:rPr>
              <w:t>地区影响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0" w:hRule="atLeast"/>
          <w:jc w:val="center"/>
        </w:trPr>
        <w:tc>
          <w:tcPr>
            <w:tcW w:w="557" w:type="dxa"/>
            <w:shd w:val="clear" w:color="auto" w:fill="auto"/>
            <w:vAlign w:val="center"/>
          </w:tcPr>
          <w:p>
            <w:pPr>
              <w:pStyle w:val="178"/>
              <w:rPr>
                <w:rFonts w:hAnsi="宋体" w:cs="仿宋"/>
              </w:rPr>
            </w:pPr>
            <w:r>
              <w:rPr>
                <w:rFonts w:hAnsi="宋体" w:cs="仿宋"/>
              </w:rPr>
              <w:t>2</w:t>
            </w:r>
          </w:p>
        </w:tc>
        <w:tc>
          <w:tcPr>
            <w:tcW w:w="1843" w:type="dxa"/>
            <w:shd w:val="clear" w:color="auto" w:fill="auto"/>
            <w:vAlign w:val="center"/>
          </w:tcPr>
          <w:p>
            <w:pPr>
              <w:adjustRightInd/>
              <w:jc w:val="center"/>
              <w:rPr>
                <w:rFonts w:hAnsi="宋体" w:cs="仿宋"/>
                <w:kern w:val="0"/>
                <w:sz w:val="18"/>
                <w:szCs w:val="20"/>
              </w:rPr>
            </w:pPr>
            <w:r>
              <w:rPr>
                <w:rFonts w:hAnsi="宋体" w:cs="仿宋"/>
                <w:kern w:val="0"/>
                <w:sz w:val="18"/>
                <w:szCs w:val="20"/>
              </w:rPr>
              <w:t>不符合公司的安全操作规程</w:t>
            </w:r>
          </w:p>
        </w:tc>
        <w:tc>
          <w:tcPr>
            <w:tcW w:w="1701" w:type="dxa"/>
            <w:shd w:val="clear" w:color="auto" w:fill="auto"/>
            <w:vAlign w:val="center"/>
          </w:tcPr>
          <w:p>
            <w:pPr>
              <w:adjustRightInd/>
              <w:jc w:val="center"/>
              <w:rPr>
                <w:rFonts w:hAnsi="宋体" w:cs="仿宋"/>
                <w:kern w:val="0"/>
                <w:sz w:val="18"/>
                <w:szCs w:val="20"/>
              </w:rPr>
            </w:pPr>
            <w:r>
              <w:rPr>
                <w:rFonts w:hAnsi="宋体" w:cs="仿宋"/>
                <w:kern w:val="0"/>
                <w:sz w:val="18"/>
                <w:szCs w:val="20"/>
              </w:rPr>
              <w:t>轻微受伤、间歇不舒服</w:t>
            </w:r>
          </w:p>
        </w:tc>
        <w:tc>
          <w:tcPr>
            <w:tcW w:w="1843" w:type="dxa"/>
            <w:shd w:val="clear" w:color="auto" w:fill="auto"/>
            <w:vAlign w:val="center"/>
          </w:tcPr>
          <w:p>
            <w:pPr>
              <w:adjustRightInd/>
              <w:jc w:val="center"/>
              <w:rPr>
                <w:rFonts w:hAnsi="宋体" w:cs="仿宋"/>
                <w:kern w:val="0"/>
                <w:sz w:val="18"/>
                <w:szCs w:val="20"/>
              </w:rPr>
            </w:pPr>
            <w:r>
              <w:rPr>
                <w:rFonts w:hAnsi="宋体" w:cs="仿宋"/>
                <w:kern w:val="0"/>
                <w:sz w:val="18"/>
                <w:szCs w:val="20"/>
              </w:rPr>
              <w:t>＜10</w:t>
            </w:r>
          </w:p>
        </w:tc>
        <w:tc>
          <w:tcPr>
            <w:tcW w:w="1843" w:type="dxa"/>
            <w:shd w:val="clear" w:color="auto" w:fill="auto"/>
            <w:vAlign w:val="center"/>
          </w:tcPr>
          <w:p>
            <w:pPr>
              <w:adjustRightInd/>
              <w:jc w:val="center"/>
              <w:rPr>
                <w:rFonts w:hAnsi="宋体" w:cs="仿宋"/>
                <w:kern w:val="0"/>
                <w:sz w:val="18"/>
                <w:szCs w:val="20"/>
              </w:rPr>
            </w:pPr>
            <w:r>
              <w:rPr>
                <w:rFonts w:hAnsi="宋体" w:cs="仿宋"/>
                <w:kern w:val="0"/>
                <w:sz w:val="18"/>
                <w:szCs w:val="20"/>
              </w:rPr>
              <w:t>受影响不大，几乎不停工</w:t>
            </w:r>
          </w:p>
        </w:tc>
        <w:tc>
          <w:tcPr>
            <w:tcW w:w="1547" w:type="dxa"/>
            <w:shd w:val="clear" w:color="auto" w:fill="auto"/>
            <w:vAlign w:val="center"/>
          </w:tcPr>
          <w:p>
            <w:pPr>
              <w:adjustRightInd/>
              <w:jc w:val="center"/>
              <w:rPr>
                <w:rFonts w:hAnsi="宋体" w:cs="仿宋"/>
                <w:kern w:val="0"/>
                <w:sz w:val="18"/>
                <w:szCs w:val="20"/>
              </w:rPr>
            </w:pPr>
            <w:r>
              <w:rPr>
                <w:rFonts w:hAnsi="宋体" w:cs="仿宋"/>
                <w:kern w:val="0"/>
                <w:sz w:val="18"/>
                <w:szCs w:val="20"/>
              </w:rPr>
              <w:t>公司及周边范围</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700" w:hRule="atLeast"/>
          <w:jc w:val="center"/>
        </w:trPr>
        <w:tc>
          <w:tcPr>
            <w:tcW w:w="557" w:type="dxa"/>
            <w:shd w:val="clear" w:color="auto" w:fill="auto"/>
            <w:vAlign w:val="center"/>
          </w:tcPr>
          <w:p>
            <w:pPr>
              <w:pStyle w:val="178"/>
              <w:rPr>
                <w:rFonts w:hAnsi="宋体" w:cs="仿宋"/>
              </w:rPr>
            </w:pPr>
            <w:r>
              <w:rPr>
                <w:rFonts w:hAnsi="宋体" w:cs="仿宋"/>
              </w:rPr>
              <w:t>1</w:t>
            </w:r>
          </w:p>
        </w:tc>
        <w:tc>
          <w:tcPr>
            <w:tcW w:w="1843" w:type="dxa"/>
            <w:shd w:val="clear" w:color="auto" w:fill="auto"/>
            <w:vAlign w:val="center"/>
          </w:tcPr>
          <w:p>
            <w:pPr>
              <w:adjustRightInd/>
              <w:jc w:val="center"/>
              <w:rPr>
                <w:rFonts w:hAnsi="宋体" w:cs="仿宋"/>
                <w:kern w:val="0"/>
                <w:sz w:val="18"/>
                <w:szCs w:val="20"/>
              </w:rPr>
            </w:pPr>
            <w:r>
              <w:rPr>
                <w:rFonts w:hAnsi="宋体" w:cs="仿宋"/>
                <w:kern w:val="0"/>
                <w:sz w:val="18"/>
                <w:szCs w:val="20"/>
              </w:rPr>
              <w:t>完全符合</w:t>
            </w:r>
          </w:p>
        </w:tc>
        <w:tc>
          <w:tcPr>
            <w:tcW w:w="1701" w:type="dxa"/>
            <w:shd w:val="clear" w:color="auto" w:fill="auto"/>
            <w:vAlign w:val="center"/>
          </w:tcPr>
          <w:p>
            <w:pPr>
              <w:adjustRightInd/>
              <w:jc w:val="center"/>
              <w:rPr>
                <w:rFonts w:hAnsi="宋体" w:cs="仿宋"/>
                <w:kern w:val="0"/>
                <w:sz w:val="18"/>
                <w:szCs w:val="20"/>
              </w:rPr>
            </w:pPr>
            <w:r>
              <w:rPr>
                <w:rFonts w:hAnsi="宋体" w:cs="仿宋"/>
                <w:kern w:val="0"/>
                <w:sz w:val="18"/>
                <w:szCs w:val="20"/>
              </w:rPr>
              <w:t>无伤亡</w:t>
            </w:r>
          </w:p>
        </w:tc>
        <w:tc>
          <w:tcPr>
            <w:tcW w:w="1843" w:type="dxa"/>
            <w:shd w:val="clear" w:color="auto" w:fill="auto"/>
            <w:vAlign w:val="center"/>
          </w:tcPr>
          <w:p>
            <w:pPr>
              <w:adjustRightInd/>
              <w:jc w:val="center"/>
              <w:rPr>
                <w:rFonts w:hAnsi="宋体" w:cs="仿宋"/>
                <w:kern w:val="0"/>
                <w:sz w:val="18"/>
                <w:szCs w:val="20"/>
              </w:rPr>
            </w:pPr>
            <w:r>
              <w:rPr>
                <w:rFonts w:hAnsi="宋体" w:cs="仿宋"/>
                <w:kern w:val="0"/>
                <w:sz w:val="18"/>
                <w:szCs w:val="20"/>
              </w:rPr>
              <w:t>无损失</w:t>
            </w:r>
          </w:p>
        </w:tc>
        <w:tc>
          <w:tcPr>
            <w:tcW w:w="1843" w:type="dxa"/>
            <w:shd w:val="clear" w:color="auto" w:fill="auto"/>
            <w:vAlign w:val="center"/>
          </w:tcPr>
          <w:p>
            <w:pPr>
              <w:adjustRightInd/>
              <w:jc w:val="center"/>
              <w:rPr>
                <w:rFonts w:hAnsi="宋体" w:cs="仿宋"/>
                <w:kern w:val="0"/>
                <w:sz w:val="18"/>
                <w:szCs w:val="20"/>
              </w:rPr>
            </w:pPr>
            <w:r>
              <w:rPr>
                <w:rFonts w:hAnsi="宋体" w:cs="仿宋"/>
                <w:kern w:val="0"/>
                <w:sz w:val="18"/>
                <w:szCs w:val="20"/>
              </w:rPr>
              <w:t>没有停工</w:t>
            </w:r>
          </w:p>
        </w:tc>
        <w:tc>
          <w:tcPr>
            <w:tcW w:w="1547" w:type="dxa"/>
            <w:shd w:val="clear" w:color="auto" w:fill="auto"/>
            <w:vAlign w:val="center"/>
          </w:tcPr>
          <w:p>
            <w:pPr>
              <w:adjustRightInd/>
              <w:jc w:val="center"/>
              <w:rPr>
                <w:rFonts w:hAnsi="宋体" w:cs="仿宋"/>
                <w:kern w:val="0"/>
                <w:sz w:val="18"/>
                <w:szCs w:val="20"/>
              </w:rPr>
            </w:pPr>
            <w:r>
              <w:rPr>
                <w:rFonts w:hAnsi="宋体" w:cs="仿宋"/>
                <w:kern w:val="0"/>
                <w:sz w:val="18"/>
                <w:szCs w:val="20"/>
              </w:rPr>
              <w:t>没有受损</w:t>
            </w:r>
          </w:p>
        </w:tc>
      </w:tr>
    </w:tbl>
    <w:p>
      <w:pPr>
        <w:pStyle w:val="56"/>
        <w:ind w:firstLine="420"/>
      </w:pPr>
    </w:p>
    <w:p>
      <w:pPr>
        <w:pStyle w:val="77"/>
        <w:spacing w:before="120" w:after="120"/>
        <w:ind w:firstLine="420"/>
      </w:pPr>
      <w:r>
        <w:rPr>
          <w:rFonts w:hint="eastAsia"/>
        </w:rPr>
        <w:t xml:space="preserve"> 风险等级判定准则及色标标准</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516"/>
        <w:gridCol w:w="669"/>
        <w:gridCol w:w="435"/>
        <w:gridCol w:w="506"/>
        <w:gridCol w:w="426"/>
        <w:gridCol w:w="855"/>
        <w:gridCol w:w="4280"/>
        <w:gridCol w:w="168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7" w:hRule="atLeast"/>
          <w:tblHeader/>
          <w:jc w:val="center"/>
        </w:trPr>
        <w:tc>
          <w:tcPr>
            <w:tcW w:w="275" w:type="pct"/>
            <w:vMerge w:val="restart"/>
            <w:tcBorders>
              <w:top w:val="single" w:color="auto" w:sz="8" w:space="0"/>
            </w:tcBorders>
            <w:shd w:val="clear" w:color="auto" w:fill="auto"/>
            <w:vAlign w:val="center"/>
          </w:tcPr>
          <w:p>
            <w:pPr>
              <w:pStyle w:val="178"/>
              <w:rPr>
                <w:rFonts w:hAnsi="宋体"/>
                <w:b/>
                <w:bCs/>
              </w:rPr>
            </w:pPr>
            <w:r>
              <w:rPr>
                <w:rFonts w:hAnsi="宋体"/>
                <w:b/>
                <w:bCs/>
              </w:rPr>
              <w:t>分数值</w:t>
            </w:r>
          </w:p>
        </w:tc>
        <w:tc>
          <w:tcPr>
            <w:tcW w:w="357" w:type="pct"/>
            <w:vMerge w:val="restart"/>
            <w:tcBorders>
              <w:top w:val="single" w:color="auto" w:sz="8" w:space="0"/>
            </w:tcBorders>
            <w:vAlign w:val="center"/>
          </w:tcPr>
          <w:p>
            <w:pPr>
              <w:pStyle w:val="178"/>
              <w:rPr>
                <w:rFonts w:hAnsi="宋体"/>
                <w:b/>
                <w:bCs/>
              </w:rPr>
            </w:pPr>
            <w:r>
              <w:rPr>
                <w:rFonts w:hAnsi="宋体"/>
                <w:b/>
                <w:bCs/>
              </w:rPr>
              <w:t>风险色标</w:t>
            </w:r>
          </w:p>
        </w:tc>
        <w:tc>
          <w:tcPr>
            <w:tcW w:w="729" w:type="pct"/>
            <w:gridSpan w:val="3"/>
            <w:tcBorders>
              <w:top w:val="single" w:color="auto" w:sz="8" w:space="0"/>
              <w:bottom w:val="single" w:color="auto" w:sz="8" w:space="0"/>
            </w:tcBorders>
            <w:vAlign w:val="center"/>
          </w:tcPr>
          <w:p>
            <w:pPr>
              <w:pStyle w:val="178"/>
              <w:rPr>
                <w:rFonts w:hAnsi="宋体"/>
                <w:b/>
                <w:bCs/>
              </w:rPr>
            </w:pPr>
            <w:r>
              <w:rPr>
                <w:rFonts w:hAnsi="宋体"/>
                <w:b/>
                <w:bCs/>
              </w:rPr>
              <w:t>色谱标准</w:t>
            </w:r>
          </w:p>
        </w:tc>
        <w:tc>
          <w:tcPr>
            <w:tcW w:w="456" w:type="pct"/>
            <w:vMerge w:val="restart"/>
            <w:tcBorders>
              <w:top w:val="single" w:color="auto" w:sz="8" w:space="0"/>
            </w:tcBorders>
            <w:shd w:val="clear" w:color="auto" w:fill="auto"/>
            <w:vAlign w:val="center"/>
          </w:tcPr>
          <w:p>
            <w:pPr>
              <w:pStyle w:val="178"/>
              <w:rPr>
                <w:rFonts w:hAnsi="宋体"/>
                <w:b/>
                <w:bCs/>
              </w:rPr>
            </w:pPr>
            <w:r>
              <w:rPr>
                <w:rFonts w:hAnsi="宋体"/>
                <w:b/>
                <w:bCs/>
              </w:rPr>
              <w:t>等级</w:t>
            </w:r>
          </w:p>
        </w:tc>
        <w:tc>
          <w:tcPr>
            <w:tcW w:w="2283" w:type="pct"/>
            <w:vMerge w:val="restart"/>
            <w:tcBorders>
              <w:top w:val="single" w:color="auto" w:sz="8" w:space="0"/>
            </w:tcBorders>
            <w:shd w:val="clear" w:color="auto" w:fill="auto"/>
            <w:vAlign w:val="center"/>
          </w:tcPr>
          <w:p>
            <w:pPr>
              <w:pStyle w:val="178"/>
              <w:rPr>
                <w:rFonts w:hAnsi="宋体"/>
                <w:b/>
                <w:bCs/>
              </w:rPr>
            </w:pPr>
            <w:r>
              <w:rPr>
                <w:rFonts w:hAnsi="宋体"/>
                <w:b/>
                <w:bCs/>
              </w:rPr>
              <w:t>应采取的行动或控制措施</w:t>
            </w:r>
          </w:p>
        </w:tc>
        <w:tc>
          <w:tcPr>
            <w:tcW w:w="900" w:type="pct"/>
            <w:vMerge w:val="restart"/>
            <w:tcBorders>
              <w:top w:val="single" w:color="auto" w:sz="8" w:space="0"/>
            </w:tcBorders>
            <w:shd w:val="clear" w:color="auto" w:fill="auto"/>
            <w:vAlign w:val="center"/>
          </w:tcPr>
          <w:p>
            <w:pPr>
              <w:pStyle w:val="178"/>
              <w:rPr>
                <w:rFonts w:hAnsi="宋体"/>
                <w:b/>
                <w:bCs/>
              </w:rPr>
            </w:pPr>
            <w:r>
              <w:rPr>
                <w:rFonts w:hAnsi="宋体"/>
                <w:b/>
                <w:bCs/>
              </w:rPr>
              <w:t>实施期限</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7" w:hRule="atLeast"/>
          <w:tblHeader/>
          <w:jc w:val="center"/>
        </w:trPr>
        <w:tc>
          <w:tcPr>
            <w:tcW w:w="275" w:type="pct"/>
            <w:vMerge w:val="continue"/>
            <w:tcBorders>
              <w:bottom w:val="single" w:color="auto" w:sz="8" w:space="0"/>
            </w:tcBorders>
            <w:shd w:val="clear" w:color="auto" w:fill="auto"/>
            <w:vAlign w:val="center"/>
          </w:tcPr>
          <w:p>
            <w:pPr>
              <w:pStyle w:val="178"/>
              <w:rPr>
                <w:rFonts w:hAnsi="宋体"/>
                <w:b/>
                <w:bCs/>
              </w:rPr>
            </w:pPr>
          </w:p>
        </w:tc>
        <w:tc>
          <w:tcPr>
            <w:tcW w:w="357" w:type="pct"/>
            <w:vMerge w:val="continue"/>
            <w:tcBorders>
              <w:bottom w:val="single" w:color="auto" w:sz="8" w:space="0"/>
            </w:tcBorders>
            <w:vAlign w:val="center"/>
          </w:tcPr>
          <w:p>
            <w:pPr>
              <w:pStyle w:val="178"/>
              <w:rPr>
                <w:rFonts w:hAnsi="宋体"/>
                <w:b/>
                <w:bCs/>
              </w:rPr>
            </w:pPr>
          </w:p>
        </w:tc>
        <w:tc>
          <w:tcPr>
            <w:tcW w:w="232" w:type="pct"/>
            <w:tcBorders>
              <w:top w:val="single" w:color="auto" w:sz="8" w:space="0"/>
              <w:bottom w:val="single" w:color="auto" w:sz="8" w:space="0"/>
            </w:tcBorders>
            <w:vAlign w:val="center"/>
          </w:tcPr>
          <w:p>
            <w:pPr>
              <w:pStyle w:val="178"/>
              <w:rPr>
                <w:rFonts w:hAnsi="宋体"/>
                <w:b/>
                <w:bCs/>
              </w:rPr>
            </w:pPr>
            <w:r>
              <w:rPr>
                <w:rFonts w:hAnsi="宋体"/>
                <w:b/>
                <w:bCs/>
              </w:rPr>
              <w:t>R</w:t>
            </w:r>
          </w:p>
        </w:tc>
        <w:tc>
          <w:tcPr>
            <w:tcW w:w="270" w:type="pct"/>
            <w:tcBorders>
              <w:top w:val="single" w:color="auto" w:sz="8" w:space="0"/>
              <w:bottom w:val="single" w:color="auto" w:sz="8" w:space="0"/>
            </w:tcBorders>
            <w:vAlign w:val="center"/>
          </w:tcPr>
          <w:p>
            <w:pPr>
              <w:pStyle w:val="178"/>
              <w:rPr>
                <w:rFonts w:hAnsi="宋体"/>
                <w:b/>
                <w:bCs/>
              </w:rPr>
            </w:pPr>
            <w:r>
              <w:rPr>
                <w:rFonts w:hAnsi="宋体"/>
                <w:b/>
                <w:bCs/>
              </w:rPr>
              <w:t>G</w:t>
            </w:r>
          </w:p>
        </w:tc>
        <w:tc>
          <w:tcPr>
            <w:tcW w:w="227" w:type="pct"/>
            <w:tcBorders>
              <w:top w:val="single" w:color="auto" w:sz="8" w:space="0"/>
              <w:bottom w:val="single" w:color="auto" w:sz="8" w:space="0"/>
            </w:tcBorders>
            <w:vAlign w:val="center"/>
          </w:tcPr>
          <w:p>
            <w:pPr>
              <w:pStyle w:val="178"/>
              <w:rPr>
                <w:rFonts w:hAnsi="宋体"/>
                <w:b/>
                <w:bCs/>
              </w:rPr>
            </w:pPr>
            <w:r>
              <w:rPr>
                <w:rFonts w:hAnsi="宋体"/>
                <w:b/>
                <w:bCs/>
              </w:rPr>
              <w:t>B</w:t>
            </w:r>
          </w:p>
        </w:tc>
        <w:tc>
          <w:tcPr>
            <w:tcW w:w="456" w:type="pct"/>
            <w:vMerge w:val="continue"/>
            <w:tcBorders>
              <w:bottom w:val="single" w:color="auto" w:sz="8" w:space="0"/>
            </w:tcBorders>
            <w:shd w:val="clear" w:color="auto" w:fill="auto"/>
            <w:vAlign w:val="center"/>
          </w:tcPr>
          <w:p>
            <w:pPr>
              <w:pStyle w:val="178"/>
              <w:rPr>
                <w:rFonts w:hAnsi="宋体"/>
                <w:b/>
                <w:bCs/>
              </w:rPr>
            </w:pPr>
          </w:p>
        </w:tc>
        <w:tc>
          <w:tcPr>
            <w:tcW w:w="2283" w:type="pct"/>
            <w:vMerge w:val="continue"/>
            <w:tcBorders>
              <w:bottom w:val="single" w:color="auto" w:sz="8" w:space="0"/>
            </w:tcBorders>
            <w:shd w:val="clear" w:color="auto" w:fill="auto"/>
            <w:vAlign w:val="center"/>
          </w:tcPr>
          <w:p>
            <w:pPr>
              <w:pStyle w:val="178"/>
              <w:rPr>
                <w:rFonts w:hAnsi="宋体"/>
                <w:b/>
                <w:bCs/>
              </w:rPr>
            </w:pPr>
          </w:p>
        </w:tc>
        <w:tc>
          <w:tcPr>
            <w:tcW w:w="900" w:type="pct"/>
            <w:vMerge w:val="continue"/>
            <w:tcBorders>
              <w:bottom w:val="single" w:color="auto" w:sz="8" w:space="0"/>
            </w:tcBorders>
            <w:shd w:val="clear" w:color="auto" w:fill="auto"/>
            <w:vAlign w:val="center"/>
          </w:tcPr>
          <w:p>
            <w:pPr>
              <w:pStyle w:val="178"/>
              <w:rPr>
                <w:rFonts w:hAnsi="宋体"/>
                <w:b/>
                <w:bCs/>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275" w:type="pct"/>
            <w:tcBorders>
              <w:top w:val="single" w:color="auto" w:sz="8" w:space="0"/>
            </w:tcBorders>
            <w:shd w:val="clear" w:color="auto" w:fill="auto"/>
            <w:vAlign w:val="center"/>
          </w:tcPr>
          <w:p>
            <w:pPr>
              <w:pStyle w:val="178"/>
              <w:rPr>
                <w:rFonts w:hAnsi="宋体" w:cs="仿宋"/>
              </w:rPr>
            </w:pPr>
            <w:r>
              <w:rPr>
                <w:rFonts w:hAnsi="宋体" w:cs="仿宋"/>
              </w:rPr>
              <w:t>20-25</w:t>
            </w:r>
          </w:p>
        </w:tc>
        <w:tc>
          <w:tcPr>
            <w:tcW w:w="357" w:type="pct"/>
            <w:tcBorders>
              <w:top w:val="single" w:color="auto" w:sz="8" w:space="0"/>
            </w:tcBorders>
            <w:vAlign w:val="center"/>
          </w:tcPr>
          <w:p>
            <w:pPr>
              <w:pStyle w:val="178"/>
              <w:rPr>
                <w:rFonts w:hAnsi="宋体" w:cs="仿宋"/>
              </w:rPr>
            </w:pPr>
            <w:r>
              <w:rPr>
                <w:rFonts w:hAnsi="宋体" w:cs="仿宋"/>
              </w:rPr>
              <w:t>红色</w:t>
            </w:r>
          </w:p>
        </w:tc>
        <w:tc>
          <w:tcPr>
            <w:tcW w:w="232" w:type="pct"/>
            <w:tcBorders>
              <w:top w:val="single" w:color="auto" w:sz="8" w:space="0"/>
            </w:tcBorders>
            <w:vAlign w:val="center"/>
          </w:tcPr>
          <w:p>
            <w:pPr>
              <w:pStyle w:val="178"/>
              <w:rPr>
                <w:rFonts w:hAnsi="宋体" w:cs="仿宋"/>
              </w:rPr>
            </w:pPr>
            <w:r>
              <w:rPr>
                <w:rFonts w:hAnsi="宋体" w:cs="仿宋"/>
              </w:rPr>
              <w:t>255</w:t>
            </w:r>
          </w:p>
        </w:tc>
        <w:tc>
          <w:tcPr>
            <w:tcW w:w="270" w:type="pct"/>
            <w:tcBorders>
              <w:top w:val="single" w:color="auto" w:sz="8" w:space="0"/>
            </w:tcBorders>
            <w:vAlign w:val="center"/>
          </w:tcPr>
          <w:p>
            <w:pPr>
              <w:pStyle w:val="178"/>
              <w:rPr>
                <w:rFonts w:hAnsi="宋体" w:cs="仿宋"/>
              </w:rPr>
            </w:pPr>
            <w:r>
              <w:rPr>
                <w:rFonts w:hAnsi="宋体" w:cs="仿宋"/>
              </w:rPr>
              <w:t>0</w:t>
            </w:r>
          </w:p>
        </w:tc>
        <w:tc>
          <w:tcPr>
            <w:tcW w:w="227" w:type="pct"/>
            <w:tcBorders>
              <w:top w:val="single" w:color="auto" w:sz="8" w:space="0"/>
            </w:tcBorders>
            <w:vAlign w:val="center"/>
          </w:tcPr>
          <w:p>
            <w:pPr>
              <w:pStyle w:val="178"/>
              <w:rPr>
                <w:rFonts w:hAnsi="宋体" w:cs="仿宋"/>
              </w:rPr>
            </w:pPr>
            <w:r>
              <w:rPr>
                <w:rFonts w:hAnsi="宋体" w:cs="仿宋"/>
              </w:rPr>
              <w:t>0</w:t>
            </w:r>
          </w:p>
        </w:tc>
        <w:tc>
          <w:tcPr>
            <w:tcW w:w="456" w:type="pct"/>
            <w:tcBorders>
              <w:top w:val="single" w:color="auto" w:sz="8" w:space="0"/>
            </w:tcBorders>
            <w:shd w:val="clear" w:color="auto" w:fill="auto"/>
            <w:vAlign w:val="center"/>
          </w:tcPr>
          <w:p>
            <w:pPr>
              <w:pStyle w:val="178"/>
              <w:rPr>
                <w:rFonts w:hAnsi="宋体" w:cs="仿宋"/>
              </w:rPr>
            </w:pPr>
            <w:r>
              <w:rPr>
                <w:rFonts w:hAnsi="宋体" w:cs="仿宋"/>
              </w:rPr>
              <w:t>重大</w:t>
            </w:r>
          </w:p>
        </w:tc>
        <w:tc>
          <w:tcPr>
            <w:tcW w:w="2283" w:type="pct"/>
            <w:tcBorders>
              <w:top w:val="single" w:color="auto" w:sz="8" w:space="0"/>
            </w:tcBorders>
            <w:shd w:val="clear" w:color="auto" w:fill="auto"/>
            <w:vAlign w:val="center"/>
          </w:tcPr>
          <w:p>
            <w:pPr>
              <w:pStyle w:val="178"/>
              <w:rPr>
                <w:rFonts w:hAnsi="宋体" w:cs="仿宋"/>
              </w:rPr>
            </w:pPr>
            <w:r>
              <w:rPr>
                <w:rFonts w:hAnsi="宋体" w:cs="仿宋"/>
              </w:rPr>
              <w:t>在采取措施降低危害前，不能继续作业，对改进措施进行评估</w:t>
            </w:r>
          </w:p>
        </w:tc>
        <w:tc>
          <w:tcPr>
            <w:tcW w:w="900" w:type="pct"/>
            <w:tcBorders>
              <w:top w:val="single" w:color="auto" w:sz="8" w:space="0"/>
            </w:tcBorders>
            <w:shd w:val="clear" w:color="auto" w:fill="auto"/>
            <w:vAlign w:val="center"/>
          </w:tcPr>
          <w:p>
            <w:pPr>
              <w:pStyle w:val="178"/>
              <w:rPr>
                <w:rFonts w:hAnsi="宋体" w:cs="仿宋"/>
              </w:rPr>
            </w:pPr>
            <w:r>
              <w:rPr>
                <w:rFonts w:hAnsi="宋体" w:cs="仿宋"/>
              </w:rPr>
              <w:t>立刻</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275" w:type="pct"/>
            <w:shd w:val="clear" w:color="auto" w:fill="auto"/>
            <w:vAlign w:val="center"/>
          </w:tcPr>
          <w:p>
            <w:pPr>
              <w:pStyle w:val="178"/>
              <w:rPr>
                <w:rFonts w:hAnsi="宋体" w:cs="仿宋"/>
              </w:rPr>
            </w:pPr>
            <w:r>
              <w:rPr>
                <w:rFonts w:hAnsi="宋体" w:cs="仿宋"/>
              </w:rPr>
              <w:t>15-16</w:t>
            </w:r>
          </w:p>
        </w:tc>
        <w:tc>
          <w:tcPr>
            <w:tcW w:w="357" w:type="pct"/>
            <w:vAlign w:val="center"/>
          </w:tcPr>
          <w:p>
            <w:pPr>
              <w:pStyle w:val="178"/>
              <w:rPr>
                <w:rFonts w:hAnsi="宋体" w:cs="仿宋"/>
              </w:rPr>
            </w:pPr>
            <w:r>
              <w:rPr>
                <w:rFonts w:hAnsi="宋体" w:cs="仿宋"/>
              </w:rPr>
              <w:t>橙色</w:t>
            </w:r>
          </w:p>
        </w:tc>
        <w:tc>
          <w:tcPr>
            <w:tcW w:w="232" w:type="pct"/>
            <w:vAlign w:val="center"/>
          </w:tcPr>
          <w:p>
            <w:pPr>
              <w:pStyle w:val="178"/>
              <w:rPr>
                <w:rFonts w:hAnsi="宋体" w:cs="仿宋"/>
              </w:rPr>
            </w:pPr>
            <w:r>
              <w:rPr>
                <w:rFonts w:hAnsi="宋体" w:cs="仿宋"/>
              </w:rPr>
              <w:t>255</w:t>
            </w:r>
          </w:p>
        </w:tc>
        <w:tc>
          <w:tcPr>
            <w:tcW w:w="270" w:type="pct"/>
            <w:vAlign w:val="center"/>
          </w:tcPr>
          <w:p>
            <w:pPr>
              <w:pStyle w:val="178"/>
              <w:rPr>
                <w:rFonts w:hAnsi="宋体" w:cs="仿宋"/>
              </w:rPr>
            </w:pPr>
            <w:r>
              <w:rPr>
                <w:rFonts w:hAnsi="宋体" w:cs="仿宋"/>
              </w:rPr>
              <w:t>130</w:t>
            </w:r>
          </w:p>
        </w:tc>
        <w:tc>
          <w:tcPr>
            <w:tcW w:w="227" w:type="pct"/>
            <w:vAlign w:val="center"/>
          </w:tcPr>
          <w:p>
            <w:pPr>
              <w:pStyle w:val="178"/>
              <w:rPr>
                <w:rFonts w:hAnsi="宋体" w:cs="仿宋"/>
              </w:rPr>
            </w:pPr>
            <w:r>
              <w:rPr>
                <w:rFonts w:hAnsi="宋体" w:cs="仿宋"/>
              </w:rPr>
              <w:t>0</w:t>
            </w:r>
          </w:p>
        </w:tc>
        <w:tc>
          <w:tcPr>
            <w:tcW w:w="456" w:type="pct"/>
            <w:shd w:val="clear" w:color="auto" w:fill="auto"/>
            <w:vAlign w:val="center"/>
          </w:tcPr>
          <w:p>
            <w:pPr>
              <w:pStyle w:val="178"/>
              <w:rPr>
                <w:rFonts w:hAnsi="宋体" w:cs="仿宋"/>
              </w:rPr>
            </w:pPr>
            <w:r>
              <w:rPr>
                <w:rFonts w:hAnsi="宋体" w:cs="仿宋"/>
              </w:rPr>
              <w:t>较大</w:t>
            </w:r>
          </w:p>
        </w:tc>
        <w:tc>
          <w:tcPr>
            <w:tcW w:w="2283" w:type="pct"/>
            <w:shd w:val="clear" w:color="auto" w:fill="auto"/>
            <w:vAlign w:val="center"/>
          </w:tcPr>
          <w:p>
            <w:pPr>
              <w:pStyle w:val="178"/>
              <w:rPr>
                <w:rFonts w:hAnsi="宋体" w:cs="仿宋"/>
              </w:rPr>
            </w:pPr>
            <w:r>
              <w:rPr>
                <w:rFonts w:hAnsi="宋体" w:cs="仿宋"/>
              </w:rPr>
              <w:t>采取紧急措施降低风险，建立运行控制程序，定期检查、测量及评估</w:t>
            </w:r>
          </w:p>
        </w:tc>
        <w:tc>
          <w:tcPr>
            <w:tcW w:w="900" w:type="pct"/>
            <w:shd w:val="clear" w:color="auto" w:fill="auto"/>
            <w:vAlign w:val="center"/>
          </w:tcPr>
          <w:p>
            <w:pPr>
              <w:pStyle w:val="178"/>
              <w:rPr>
                <w:rFonts w:hAnsi="宋体" w:cs="仿宋"/>
              </w:rPr>
            </w:pPr>
            <w:r>
              <w:rPr>
                <w:rFonts w:hAnsi="宋体" w:cs="仿宋"/>
              </w:rPr>
              <w:t>立即或近期整改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275" w:type="pct"/>
            <w:shd w:val="clear" w:color="auto" w:fill="auto"/>
            <w:vAlign w:val="center"/>
          </w:tcPr>
          <w:p>
            <w:pPr>
              <w:pStyle w:val="178"/>
              <w:rPr>
                <w:rFonts w:hAnsi="宋体" w:cs="仿宋"/>
              </w:rPr>
            </w:pPr>
            <w:r>
              <w:rPr>
                <w:rFonts w:hAnsi="宋体" w:cs="仿宋"/>
              </w:rPr>
              <w:t>9-12</w:t>
            </w:r>
          </w:p>
        </w:tc>
        <w:tc>
          <w:tcPr>
            <w:tcW w:w="357" w:type="pct"/>
            <w:vAlign w:val="center"/>
          </w:tcPr>
          <w:p>
            <w:pPr>
              <w:pStyle w:val="178"/>
              <w:rPr>
                <w:rFonts w:hAnsi="宋体" w:cs="仿宋"/>
              </w:rPr>
            </w:pPr>
            <w:r>
              <w:rPr>
                <w:rFonts w:hAnsi="宋体" w:cs="仿宋"/>
              </w:rPr>
              <w:t>黄色</w:t>
            </w:r>
          </w:p>
        </w:tc>
        <w:tc>
          <w:tcPr>
            <w:tcW w:w="232" w:type="pct"/>
            <w:vAlign w:val="center"/>
          </w:tcPr>
          <w:p>
            <w:pPr>
              <w:pStyle w:val="178"/>
              <w:rPr>
                <w:rFonts w:hAnsi="宋体" w:cs="仿宋"/>
              </w:rPr>
            </w:pPr>
            <w:r>
              <w:rPr>
                <w:rFonts w:hAnsi="宋体" w:cs="仿宋"/>
              </w:rPr>
              <w:t>255</w:t>
            </w:r>
          </w:p>
        </w:tc>
        <w:tc>
          <w:tcPr>
            <w:tcW w:w="270" w:type="pct"/>
            <w:vAlign w:val="center"/>
          </w:tcPr>
          <w:p>
            <w:pPr>
              <w:pStyle w:val="178"/>
              <w:rPr>
                <w:rFonts w:hAnsi="宋体" w:cs="仿宋"/>
              </w:rPr>
            </w:pPr>
            <w:r>
              <w:rPr>
                <w:rFonts w:hAnsi="宋体" w:cs="仿宋"/>
              </w:rPr>
              <w:t>255</w:t>
            </w:r>
          </w:p>
        </w:tc>
        <w:tc>
          <w:tcPr>
            <w:tcW w:w="227" w:type="pct"/>
            <w:vAlign w:val="center"/>
          </w:tcPr>
          <w:p>
            <w:pPr>
              <w:pStyle w:val="178"/>
              <w:rPr>
                <w:rFonts w:hAnsi="宋体" w:cs="仿宋"/>
              </w:rPr>
            </w:pPr>
            <w:r>
              <w:rPr>
                <w:rFonts w:hAnsi="宋体" w:cs="仿宋"/>
              </w:rPr>
              <w:t>0</w:t>
            </w:r>
          </w:p>
        </w:tc>
        <w:tc>
          <w:tcPr>
            <w:tcW w:w="456" w:type="pct"/>
            <w:shd w:val="clear" w:color="auto" w:fill="auto"/>
            <w:vAlign w:val="center"/>
          </w:tcPr>
          <w:p>
            <w:pPr>
              <w:pStyle w:val="178"/>
              <w:rPr>
                <w:rFonts w:hAnsi="宋体" w:cs="仿宋"/>
              </w:rPr>
            </w:pPr>
            <w:r>
              <w:rPr>
                <w:rFonts w:hAnsi="宋体" w:cs="仿宋"/>
              </w:rPr>
              <w:t>一般</w:t>
            </w:r>
          </w:p>
        </w:tc>
        <w:tc>
          <w:tcPr>
            <w:tcW w:w="2283" w:type="pct"/>
            <w:shd w:val="clear" w:color="auto" w:fill="auto"/>
            <w:vAlign w:val="center"/>
          </w:tcPr>
          <w:p>
            <w:pPr>
              <w:pStyle w:val="178"/>
              <w:rPr>
                <w:rFonts w:hAnsi="宋体" w:cs="仿宋"/>
              </w:rPr>
            </w:pPr>
            <w:r>
              <w:rPr>
                <w:rFonts w:hAnsi="宋体" w:cs="仿宋"/>
              </w:rPr>
              <w:t>可考虑建立目标、建立操作规程，加强培训及沟通</w:t>
            </w:r>
          </w:p>
        </w:tc>
        <w:tc>
          <w:tcPr>
            <w:tcW w:w="900" w:type="pct"/>
            <w:shd w:val="clear" w:color="auto" w:fill="auto"/>
            <w:vAlign w:val="center"/>
          </w:tcPr>
          <w:p>
            <w:pPr>
              <w:pStyle w:val="178"/>
              <w:rPr>
                <w:rFonts w:hAnsi="宋体" w:cs="仿宋"/>
              </w:rPr>
            </w:pPr>
            <w:r>
              <w:rPr>
                <w:rFonts w:hAnsi="宋体" w:cs="仿宋"/>
              </w:rPr>
              <w:t>2年内整改</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67" w:hRule="atLeast"/>
          <w:jc w:val="center"/>
        </w:trPr>
        <w:tc>
          <w:tcPr>
            <w:tcW w:w="275" w:type="pct"/>
            <w:shd w:val="clear" w:color="auto" w:fill="auto"/>
            <w:vAlign w:val="center"/>
          </w:tcPr>
          <w:p>
            <w:pPr>
              <w:pStyle w:val="178"/>
              <w:rPr>
                <w:rFonts w:hAnsi="宋体" w:cs="仿宋"/>
              </w:rPr>
            </w:pPr>
            <w:r>
              <w:rPr>
                <w:rFonts w:hAnsi="宋体" w:cs="仿宋"/>
              </w:rPr>
              <w:t>＜8</w:t>
            </w:r>
          </w:p>
        </w:tc>
        <w:tc>
          <w:tcPr>
            <w:tcW w:w="357" w:type="pct"/>
            <w:vAlign w:val="center"/>
          </w:tcPr>
          <w:p>
            <w:pPr>
              <w:pStyle w:val="178"/>
              <w:rPr>
                <w:rFonts w:hAnsi="宋体" w:cs="仿宋"/>
              </w:rPr>
            </w:pPr>
            <w:r>
              <w:rPr>
                <w:rFonts w:hAnsi="宋体" w:cs="仿宋"/>
              </w:rPr>
              <w:t>蓝色</w:t>
            </w:r>
          </w:p>
        </w:tc>
        <w:tc>
          <w:tcPr>
            <w:tcW w:w="232" w:type="pct"/>
            <w:vAlign w:val="center"/>
          </w:tcPr>
          <w:p>
            <w:pPr>
              <w:pStyle w:val="178"/>
              <w:rPr>
                <w:rFonts w:hAnsi="宋体" w:cs="仿宋"/>
              </w:rPr>
            </w:pPr>
            <w:r>
              <w:rPr>
                <w:rFonts w:hAnsi="宋体" w:cs="仿宋"/>
              </w:rPr>
              <w:t>0</w:t>
            </w:r>
          </w:p>
        </w:tc>
        <w:tc>
          <w:tcPr>
            <w:tcW w:w="270" w:type="pct"/>
            <w:vAlign w:val="center"/>
          </w:tcPr>
          <w:p>
            <w:pPr>
              <w:pStyle w:val="178"/>
              <w:rPr>
                <w:rFonts w:hAnsi="宋体" w:cs="仿宋"/>
              </w:rPr>
            </w:pPr>
            <w:r>
              <w:rPr>
                <w:rFonts w:hAnsi="宋体" w:cs="仿宋"/>
              </w:rPr>
              <w:t>0</w:t>
            </w:r>
          </w:p>
        </w:tc>
        <w:tc>
          <w:tcPr>
            <w:tcW w:w="227" w:type="pct"/>
            <w:vAlign w:val="center"/>
          </w:tcPr>
          <w:p>
            <w:pPr>
              <w:pStyle w:val="178"/>
              <w:rPr>
                <w:rFonts w:hAnsi="宋体" w:cs="仿宋"/>
              </w:rPr>
            </w:pPr>
            <w:r>
              <w:rPr>
                <w:rFonts w:hAnsi="宋体" w:cs="仿宋"/>
              </w:rPr>
              <w:t>255</w:t>
            </w:r>
          </w:p>
        </w:tc>
        <w:tc>
          <w:tcPr>
            <w:tcW w:w="456" w:type="pct"/>
            <w:shd w:val="clear" w:color="auto" w:fill="auto"/>
            <w:vAlign w:val="center"/>
          </w:tcPr>
          <w:p>
            <w:pPr>
              <w:pStyle w:val="178"/>
              <w:rPr>
                <w:rFonts w:hAnsi="宋体" w:cs="仿宋"/>
              </w:rPr>
            </w:pPr>
            <w:r>
              <w:rPr>
                <w:rFonts w:hAnsi="宋体" w:cs="仿宋"/>
              </w:rPr>
              <w:t>低风险</w:t>
            </w:r>
          </w:p>
        </w:tc>
        <w:tc>
          <w:tcPr>
            <w:tcW w:w="2283" w:type="pct"/>
            <w:shd w:val="clear" w:color="auto" w:fill="auto"/>
            <w:vAlign w:val="center"/>
          </w:tcPr>
          <w:p>
            <w:pPr>
              <w:pStyle w:val="178"/>
              <w:rPr>
                <w:rFonts w:hAnsi="宋体" w:cs="仿宋"/>
              </w:rPr>
            </w:pPr>
            <w:r>
              <w:rPr>
                <w:rFonts w:hAnsi="宋体" w:cs="仿宋"/>
              </w:rPr>
              <w:t>无需采取控制措施，但需要保存记录</w:t>
            </w:r>
          </w:p>
        </w:tc>
        <w:tc>
          <w:tcPr>
            <w:tcW w:w="900" w:type="pct"/>
            <w:shd w:val="clear" w:color="auto" w:fill="auto"/>
            <w:vAlign w:val="center"/>
          </w:tcPr>
          <w:p>
            <w:pPr>
              <w:pStyle w:val="178"/>
              <w:rPr>
                <w:rFonts w:hAnsi="宋体" w:cs="仿宋"/>
              </w:rPr>
            </w:pPr>
            <w:r>
              <w:rPr>
                <w:rFonts w:hAnsi="宋体" w:cs="仿宋"/>
              </w:rPr>
              <w:t>有条件、有经费时治理</w:t>
            </w:r>
          </w:p>
        </w:tc>
      </w:tr>
    </w:tbl>
    <w:p>
      <w:pPr>
        <w:pStyle w:val="78"/>
        <w:spacing w:before="240" w:beforeLines="100" w:after="120"/>
      </w:pPr>
      <w:bookmarkStart w:id="128" w:name="_Toc134697660"/>
      <w:bookmarkStart w:id="129" w:name="_Toc132806712"/>
      <w:bookmarkStart w:id="130" w:name="_Toc132785891"/>
      <w:bookmarkStart w:id="131" w:name="_Toc134717523"/>
      <w:bookmarkStart w:id="132" w:name="_Toc9765"/>
      <w:bookmarkStart w:id="133" w:name="_Toc132876668"/>
      <w:r>
        <w:t>作业条件危险性分析法</w:t>
      </w:r>
      <w:bookmarkEnd w:id="128"/>
      <w:bookmarkEnd w:id="129"/>
      <w:bookmarkEnd w:id="130"/>
      <w:bookmarkEnd w:id="131"/>
      <w:bookmarkEnd w:id="132"/>
      <w:bookmarkEnd w:id="133"/>
    </w:p>
    <w:p>
      <w:pPr>
        <w:pStyle w:val="212"/>
      </w:pPr>
      <w:r>
        <w:t>作业条件危险性分析法（LEC）是一种半定量的风险评价方法，它用与系统风险有关的三种因素指标值的乘积来评价操作人员伤亡风险大小。</w:t>
      </w:r>
    </w:p>
    <w:p>
      <w:pPr>
        <w:pStyle w:val="113"/>
      </w:pPr>
      <w:r>
        <w:tab/>
      </w:r>
      <m:oMath>
        <m:r>
          <m:rPr>
            <m:sty m:val="p"/>
          </m:rPr>
          <w:rPr>
            <w:rFonts w:ascii="Cambria Math" w:hAnsi="Cambria Math"/>
          </w:rPr>
          <m:t>D=L×E×C</m:t>
        </m:r>
      </m:oMath>
      <w:r>
        <w:rPr>
          <w:rFonts w:ascii="微软雅黑" w:hAnsi="微软雅黑" w:eastAsia="微软雅黑"/>
        </w:rPr>
        <w:tab/>
      </w:r>
      <w:r>
        <w:t>(C.</w:t>
      </w:r>
      <w:r>
        <w:fldChar w:fldCharType="begin"/>
      </w:r>
      <w:r>
        <w:instrText xml:space="preserve">  seq fulu_equation_133437319403904609  </w:instrText>
      </w:r>
      <w:r>
        <w:fldChar w:fldCharType="separate"/>
      </w:r>
      <w:r>
        <w:t>2</w:t>
      </w:r>
      <w:r>
        <w:fldChar w:fldCharType="end"/>
      </w:r>
      <w:r>
        <w:t>)</w:t>
      </w:r>
    </w:p>
    <w:p>
      <w:pPr>
        <w:pStyle w:val="55"/>
        <w:ind w:firstLine="420"/>
      </w:pPr>
      <w:r>
        <w:rPr>
          <w:rFonts w:hint="eastAsia"/>
        </w:rPr>
        <w:t>式中：</w:t>
      </w:r>
    </w:p>
    <w:p>
      <w:pPr>
        <w:pStyle w:val="56"/>
        <w:ind w:firstLine="420"/>
      </w:pPr>
      <w:r>
        <w:t>L——事故发生的可能性</w:t>
      </w:r>
      <w:r>
        <w:rPr>
          <w:rFonts w:hint="eastAsia"/>
        </w:rPr>
        <w:t>；</w:t>
      </w:r>
    </w:p>
    <w:p>
      <w:pPr>
        <w:pStyle w:val="56"/>
        <w:ind w:firstLine="420"/>
      </w:pPr>
      <w:r>
        <w:t>E——人员暴露于危险环境中的频繁程度</w:t>
      </w:r>
      <w:r>
        <w:rPr>
          <w:rFonts w:hint="eastAsia"/>
        </w:rPr>
        <w:t>；</w:t>
      </w:r>
    </w:p>
    <w:p>
      <w:pPr>
        <w:pStyle w:val="56"/>
        <w:ind w:firstLine="420"/>
      </w:pPr>
      <w:r>
        <w:t>C——一旦发生事故可能造成的后果</w:t>
      </w:r>
      <w:r>
        <w:rPr>
          <w:rFonts w:hint="eastAsia"/>
        </w:rPr>
        <w:t>。</w:t>
      </w:r>
    </w:p>
    <w:p>
      <w:pPr>
        <w:pStyle w:val="212"/>
      </w:pPr>
      <w:r>
        <w:rPr>
          <w:rFonts w:hint="eastAsia"/>
        </w:rPr>
        <w:t>给三种因素的不同等级分别确定不同的分值，见表</w:t>
      </w:r>
      <w:r>
        <w:t>C</w:t>
      </w:r>
      <w:r>
        <w:rPr>
          <w:rFonts w:hint="eastAsia"/>
        </w:rPr>
        <w:t>.</w:t>
      </w:r>
      <w:r>
        <w:t>4</w:t>
      </w:r>
      <w:r>
        <w:rPr>
          <w:rFonts w:hint="eastAsia"/>
        </w:rPr>
        <w:t>～表</w:t>
      </w:r>
      <w:r>
        <w:t>C</w:t>
      </w:r>
      <w:r>
        <w:rPr>
          <w:rFonts w:hint="eastAsia"/>
        </w:rPr>
        <w:t>.</w:t>
      </w:r>
      <w:r>
        <w:t>6</w:t>
      </w:r>
      <w:r>
        <w:rPr>
          <w:rFonts w:hint="eastAsia"/>
        </w:rPr>
        <w:t>，再以三个分值的乘积D（危险性）来评价作业条件危险性的大小，</w:t>
      </w:r>
      <w:r>
        <w:t>见表C</w:t>
      </w:r>
      <w:r>
        <w:rPr>
          <w:rFonts w:hint="eastAsia"/>
        </w:rPr>
        <w:t>.</w:t>
      </w:r>
      <w:r>
        <w:t>7</w:t>
      </w:r>
      <w:r>
        <w:rPr>
          <w:rFonts w:hint="eastAsia"/>
        </w:rPr>
        <w:t>。D值越大，说明该系统危险性越大</w:t>
      </w:r>
      <w:r>
        <w:t>。</w:t>
      </w:r>
    </w:p>
    <w:p>
      <w:pPr>
        <w:pStyle w:val="77"/>
        <w:spacing w:before="120" w:after="120"/>
        <w:ind w:firstLine="420"/>
      </w:pPr>
      <w:r>
        <w:rPr>
          <w:rFonts w:hint="eastAsia"/>
        </w:rPr>
        <w:t xml:space="preserve"> 事件发生可能性L判定准则</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72"/>
        <w:gridCol w:w="4672"/>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72" w:type="dxa"/>
            <w:tcBorders>
              <w:top w:val="single" w:color="auto" w:sz="8" w:space="0"/>
              <w:bottom w:val="single" w:color="auto" w:sz="8" w:space="0"/>
            </w:tcBorders>
            <w:shd w:val="clear" w:color="auto" w:fill="auto"/>
            <w:vAlign w:val="center"/>
          </w:tcPr>
          <w:p>
            <w:pPr>
              <w:pStyle w:val="178"/>
              <w:rPr>
                <w:b/>
                <w:bCs/>
              </w:rPr>
            </w:pPr>
            <w:r>
              <w:rPr>
                <w:b/>
                <w:bCs/>
              </w:rPr>
              <w:t>分数值</w:t>
            </w:r>
          </w:p>
        </w:tc>
        <w:tc>
          <w:tcPr>
            <w:tcW w:w="4672" w:type="dxa"/>
            <w:tcBorders>
              <w:top w:val="single" w:color="auto" w:sz="8" w:space="0"/>
              <w:bottom w:val="single" w:color="auto" w:sz="8" w:space="0"/>
            </w:tcBorders>
            <w:shd w:val="clear" w:color="auto" w:fill="auto"/>
            <w:vAlign w:val="center"/>
          </w:tcPr>
          <w:p>
            <w:pPr>
              <w:pStyle w:val="178"/>
              <w:rPr>
                <w:b/>
                <w:bCs/>
              </w:rPr>
            </w:pPr>
            <w:r>
              <w:rPr>
                <w:b/>
                <w:bCs/>
              </w:rPr>
              <w:t>事故发生的可能性</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tcBorders>
              <w:top w:val="single" w:color="auto" w:sz="8" w:space="0"/>
            </w:tcBorders>
            <w:shd w:val="clear" w:color="auto" w:fill="auto"/>
            <w:vAlign w:val="center"/>
          </w:tcPr>
          <w:p>
            <w:pPr>
              <w:pStyle w:val="178"/>
            </w:pPr>
            <w:r>
              <w:t>10</w:t>
            </w:r>
          </w:p>
        </w:tc>
        <w:tc>
          <w:tcPr>
            <w:tcW w:w="4672" w:type="dxa"/>
            <w:tcBorders>
              <w:top w:val="single" w:color="auto" w:sz="8" w:space="0"/>
            </w:tcBorders>
            <w:shd w:val="clear" w:color="auto" w:fill="auto"/>
            <w:vAlign w:val="center"/>
          </w:tcPr>
          <w:p>
            <w:pPr>
              <w:pStyle w:val="178"/>
            </w:pPr>
            <w:r>
              <w:t>完全可能预料</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shd w:val="clear" w:color="auto" w:fill="auto"/>
            <w:vAlign w:val="center"/>
          </w:tcPr>
          <w:p>
            <w:pPr>
              <w:pStyle w:val="178"/>
            </w:pPr>
            <w:r>
              <w:t>6</w:t>
            </w:r>
          </w:p>
        </w:tc>
        <w:tc>
          <w:tcPr>
            <w:tcW w:w="4672" w:type="dxa"/>
            <w:shd w:val="clear" w:color="auto" w:fill="auto"/>
            <w:vAlign w:val="center"/>
          </w:tcPr>
          <w:p>
            <w:pPr>
              <w:pStyle w:val="178"/>
            </w:pPr>
            <w:r>
              <w:t>相当可能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shd w:val="clear" w:color="auto" w:fill="auto"/>
            <w:vAlign w:val="center"/>
          </w:tcPr>
          <w:p>
            <w:pPr>
              <w:pStyle w:val="178"/>
            </w:pPr>
            <w:r>
              <w:t>3</w:t>
            </w:r>
          </w:p>
        </w:tc>
        <w:tc>
          <w:tcPr>
            <w:tcW w:w="4672" w:type="dxa"/>
            <w:shd w:val="clear" w:color="auto" w:fill="auto"/>
            <w:vAlign w:val="center"/>
          </w:tcPr>
          <w:p>
            <w:pPr>
              <w:pStyle w:val="178"/>
            </w:pPr>
            <w:r>
              <w:t>可能，但不经常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shd w:val="clear" w:color="auto" w:fill="auto"/>
            <w:vAlign w:val="center"/>
          </w:tcPr>
          <w:p>
            <w:pPr>
              <w:pStyle w:val="178"/>
            </w:pPr>
            <w:r>
              <w:t>1</w:t>
            </w:r>
          </w:p>
        </w:tc>
        <w:tc>
          <w:tcPr>
            <w:tcW w:w="4672" w:type="dxa"/>
            <w:shd w:val="clear" w:color="auto" w:fill="auto"/>
            <w:vAlign w:val="center"/>
          </w:tcPr>
          <w:p>
            <w:pPr>
              <w:pStyle w:val="178"/>
            </w:pPr>
            <w:r>
              <w:t>可能性小，完全意外</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shd w:val="clear" w:color="auto" w:fill="auto"/>
            <w:vAlign w:val="center"/>
          </w:tcPr>
          <w:p>
            <w:pPr>
              <w:pStyle w:val="178"/>
            </w:pPr>
            <w:r>
              <w:t>0.5</w:t>
            </w:r>
          </w:p>
        </w:tc>
        <w:tc>
          <w:tcPr>
            <w:tcW w:w="4672" w:type="dxa"/>
            <w:shd w:val="clear" w:color="auto" w:fill="auto"/>
            <w:vAlign w:val="center"/>
          </w:tcPr>
          <w:p>
            <w:pPr>
              <w:pStyle w:val="178"/>
            </w:pPr>
            <w:r>
              <w:t>很不可能，但可以设想</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shd w:val="clear" w:color="auto" w:fill="auto"/>
            <w:vAlign w:val="center"/>
          </w:tcPr>
          <w:p>
            <w:pPr>
              <w:pStyle w:val="178"/>
            </w:pPr>
            <w:r>
              <w:t>0.2</w:t>
            </w:r>
          </w:p>
        </w:tc>
        <w:tc>
          <w:tcPr>
            <w:tcW w:w="4672" w:type="dxa"/>
            <w:shd w:val="clear" w:color="auto" w:fill="auto"/>
            <w:vAlign w:val="center"/>
          </w:tcPr>
          <w:p>
            <w:pPr>
              <w:pStyle w:val="178"/>
            </w:pPr>
            <w:r>
              <w:t>极不可能</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72" w:type="dxa"/>
            <w:shd w:val="clear" w:color="auto" w:fill="auto"/>
            <w:vAlign w:val="center"/>
          </w:tcPr>
          <w:p>
            <w:pPr>
              <w:pStyle w:val="178"/>
            </w:pPr>
            <w:r>
              <w:t>0.1</w:t>
            </w:r>
          </w:p>
        </w:tc>
        <w:tc>
          <w:tcPr>
            <w:tcW w:w="4672" w:type="dxa"/>
            <w:shd w:val="clear" w:color="auto" w:fill="auto"/>
            <w:vAlign w:val="center"/>
          </w:tcPr>
          <w:p>
            <w:pPr>
              <w:pStyle w:val="178"/>
            </w:pPr>
            <w:r>
              <w:t>实际不可能</w:t>
            </w:r>
          </w:p>
        </w:tc>
      </w:tr>
    </w:tbl>
    <w:p>
      <w:pPr>
        <w:pStyle w:val="77"/>
        <w:spacing w:before="240" w:beforeLines="100" w:after="120"/>
        <w:ind w:firstLine="420"/>
      </w:pPr>
      <w:r>
        <w:rPr>
          <w:rFonts w:hint="eastAsia"/>
        </w:rPr>
        <w:t xml:space="preserve"> 人体暴露在这种危险环境中的频繁程度E判定准则</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pPr>
              <w:pStyle w:val="178"/>
              <w:rPr>
                <w:b/>
                <w:bCs/>
              </w:rPr>
            </w:pPr>
            <w:r>
              <w:rPr>
                <w:b/>
                <w:bCs/>
              </w:rPr>
              <w:t>分数值</w:t>
            </w:r>
          </w:p>
        </w:tc>
        <w:tc>
          <w:tcPr>
            <w:tcW w:w="4667" w:type="dxa"/>
            <w:tcBorders>
              <w:top w:val="single" w:color="auto" w:sz="8" w:space="0"/>
              <w:bottom w:val="single" w:color="auto" w:sz="8" w:space="0"/>
            </w:tcBorders>
            <w:shd w:val="clear" w:color="auto" w:fill="auto"/>
            <w:vAlign w:val="center"/>
          </w:tcPr>
          <w:p>
            <w:pPr>
              <w:pStyle w:val="178"/>
              <w:rPr>
                <w:b/>
                <w:bCs/>
              </w:rPr>
            </w:pPr>
            <w:r>
              <w:rPr>
                <w:b/>
                <w:bCs/>
              </w:rPr>
              <w:t>暴露于危险环境的频繁程度</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pPr>
              <w:pStyle w:val="178"/>
            </w:pPr>
            <w:r>
              <w:t>10</w:t>
            </w:r>
          </w:p>
        </w:tc>
        <w:tc>
          <w:tcPr>
            <w:tcW w:w="4667" w:type="dxa"/>
            <w:tcBorders>
              <w:top w:val="single" w:color="auto" w:sz="8" w:space="0"/>
            </w:tcBorders>
            <w:shd w:val="clear" w:color="auto" w:fill="auto"/>
            <w:vAlign w:val="center"/>
          </w:tcPr>
          <w:p>
            <w:pPr>
              <w:pStyle w:val="178"/>
            </w:pPr>
            <w:r>
              <w:t>连续暴露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8"/>
            </w:pPr>
            <w:r>
              <w:t>6</w:t>
            </w:r>
          </w:p>
        </w:tc>
        <w:tc>
          <w:tcPr>
            <w:tcW w:w="4667" w:type="dxa"/>
            <w:shd w:val="clear" w:color="auto" w:fill="auto"/>
            <w:vAlign w:val="center"/>
          </w:tcPr>
          <w:p>
            <w:pPr>
              <w:pStyle w:val="178"/>
            </w:pPr>
            <w:r>
              <w:t>每天工作时间暴露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8"/>
            </w:pPr>
            <w:r>
              <w:t>3</w:t>
            </w:r>
          </w:p>
        </w:tc>
        <w:tc>
          <w:tcPr>
            <w:tcW w:w="4667" w:type="dxa"/>
            <w:shd w:val="clear" w:color="auto" w:fill="auto"/>
            <w:vAlign w:val="center"/>
          </w:tcPr>
          <w:p>
            <w:pPr>
              <w:pStyle w:val="178"/>
            </w:pPr>
            <w:r>
              <w:t>每周一次，或偶然暴露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8"/>
            </w:pPr>
            <w:r>
              <w:t>2</w:t>
            </w:r>
          </w:p>
        </w:tc>
        <w:tc>
          <w:tcPr>
            <w:tcW w:w="4667" w:type="dxa"/>
            <w:shd w:val="clear" w:color="auto" w:fill="auto"/>
            <w:vAlign w:val="center"/>
          </w:tcPr>
          <w:p>
            <w:pPr>
              <w:pStyle w:val="178"/>
            </w:pPr>
            <w:r>
              <w:t>每月一次暴露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50" w:hRule="atLeast"/>
          <w:jc w:val="center"/>
        </w:trPr>
        <w:tc>
          <w:tcPr>
            <w:tcW w:w="4667" w:type="dxa"/>
            <w:shd w:val="clear" w:color="auto" w:fill="auto"/>
            <w:vAlign w:val="center"/>
          </w:tcPr>
          <w:p>
            <w:pPr>
              <w:pStyle w:val="178"/>
            </w:pPr>
            <w:r>
              <w:t>1</w:t>
            </w:r>
          </w:p>
        </w:tc>
        <w:tc>
          <w:tcPr>
            <w:tcW w:w="4667" w:type="dxa"/>
            <w:shd w:val="clear" w:color="auto" w:fill="auto"/>
            <w:vAlign w:val="center"/>
          </w:tcPr>
          <w:p>
            <w:pPr>
              <w:pStyle w:val="178"/>
            </w:pPr>
            <w:r>
              <w:t>每年几次暴露</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8"/>
            </w:pPr>
            <w:r>
              <w:t>0.5</w:t>
            </w:r>
          </w:p>
        </w:tc>
        <w:tc>
          <w:tcPr>
            <w:tcW w:w="4667" w:type="dxa"/>
            <w:shd w:val="clear" w:color="auto" w:fill="auto"/>
            <w:vAlign w:val="center"/>
          </w:tcPr>
          <w:p>
            <w:pPr>
              <w:pStyle w:val="178"/>
            </w:pPr>
            <w:r>
              <w:t>非常罕见的暴露</w:t>
            </w:r>
          </w:p>
        </w:tc>
      </w:tr>
    </w:tbl>
    <w:p>
      <w:pPr>
        <w:pStyle w:val="77"/>
        <w:numPr>
          <w:ilvl w:val="0"/>
          <w:numId w:val="0"/>
        </w:numPr>
        <w:spacing w:before="120" w:after="120"/>
        <w:ind w:left="420"/>
        <w:jc w:val="both"/>
        <w:rPr>
          <w:rFonts w:hint="eastAsia"/>
        </w:rPr>
      </w:pPr>
    </w:p>
    <w:p>
      <w:pPr>
        <w:pStyle w:val="77"/>
        <w:numPr>
          <w:ilvl w:val="0"/>
          <w:numId w:val="0"/>
        </w:numPr>
        <w:spacing w:before="120" w:after="120"/>
        <w:ind w:left="420"/>
        <w:jc w:val="both"/>
        <w:rPr>
          <w:rFonts w:hint="eastAsia"/>
        </w:rPr>
      </w:pPr>
    </w:p>
    <w:p>
      <w:pPr>
        <w:pStyle w:val="77"/>
        <w:numPr>
          <w:ilvl w:val="0"/>
          <w:numId w:val="0"/>
        </w:numPr>
        <w:spacing w:before="120" w:after="120"/>
        <w:ind w:left="420"/>
        <w:jc w:val="both"/>
        <w:rPr>
          <w:rFonts w:hint="eastAsia"/>
        </w:rPr>
      </w:pPr>
    </w:p>
    <w:p>
      <w:pPr>
        <w:pStyle w:val="77"/>
        <w:numPr>
          <w:ilvl w:val="0"/>
          <w:numId w:val="0"/>
        </w:numPr>
        <w:spacing w:before="120" w:after="120"/>
        <w:ind w:left="420"/>
        <w:jc w:val="both"/>
        <w:rPr>
          <w:rFonts w:hint="eastAsia"/>
        </w:rPr>
      </w:pPr>
    </w:p>
    <w:p>
      <w:pPr>
        <w:pStyle w:val="77"/>
        <w:spacing w:before="120" w:after="120"/>
        <w:ind w:firstLine="420"/>
      </w:pPr>
      <w:r>
        <w:rPr>
          <w:rFonts w:hint="eastAsia"/>
        </w:rPr>
        <w:t xml:space="preserve"> 发生事故产生的后果C判定准则</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4667"/>
        <w:gridCol w:w="466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4667" w:type="dxa"/>
            <w:tcBorders>
              <w:top w:val="single" w:color="auto" w:sz="8" w:space="0"/>
              <w:bottom w:val="single" w:color="auto" w:sz="8" w:space="0"/>
            </w:tcBorders>
            <w:shd w:val="clear" w:color="auto" w:fill="auto"/>
            <w:vAlign w:val="center"/>
          </w:tcPr>
          <w:p>
            <w:pPr>
              <w:pStyle w:val="178"/>
              <w:rPr>
                <w:b/>
                <w:bCs/>
              </w:rPr>
            </w:pPr>
            <w:r>
              <w:rPr>
                <w:b/>
                <w:bCs/>
              </w:rPr>
              <w:t>分数值</w:t>
            </w:r>
          </w:p>
        </w:tc>
        <w:tc>
          <w:tcPr>
            <w:tcW w:w="4667" w:type="dxa"/>
            <w:tcBorders>
              <w:top w:val="single" w:color="auto" w:sz="8" w:space="0"/>
              <w:bottom w:val="single" w:color="auto" w:sz="8" w:space="0"/>
            </w:tcBorders>
            <w:shd w:val="clear" w:color="auto" w:fill="auto"/>
            <w:vAlign w:val="center"/>
          </w:tcPr>
          <w:p>
            <w:pPr>
              <w:pStyle w:val="178"/>
              <w:rPr>
                <w:b/>
                <w:bCs/>
              </w:rPr>
            </w:pPr>
            <w:r>
              <w:rPr>
                <w:b/>
                <w:bCs/>
              </w:rPr>
              <w:t>发生事故产生的后果</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tcBorders>
              <w:top w:val="single" w:color="auto" w:sz="8" w:space="0"/>
            </w:tcBorders>
            <w:shd w:val="clear" w:color="auto" w:fill="auto"/>
            <w:vAlign w:val="center"/>
          </w:tcPr>
          <w:p>
            <w:pPr>
              <w:pStyle w:val="178"/>
            </w:pPr>
            <w:r>
              <w:t>100</w:t>
            </w:r>
          </w:p>
        </w:tc>
        <w:tc>
          <w:tcPr>
            <w:tcW w:w="4667" w:type="dxa"/>
            <w:tcBorders>
              <w:top w:val="single" w:color="auto" w:sz="8" w:space="0"/>
            </w:tcBorders>
            <w:shd w:val="clear" w:color="auto" w:fill="auto"/>
            <w:vAlign w:val="center"/>
          </w:tcPr>
          <w:p>
            <w:pPr>
              <w:pStyle w:val="178"/>
            </w:pPr>
            <w:r>
              <w:t>大灾难，许多人死亡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8"/>
            </w:pPr>
            <w:r>
              <w:t>40</w:t>
            </w:r>
          </w:p>
        </w:tc>
        <w:tc>
          <w:tcPr>
            <w:tcW w:w="4667" w:type="dxa"/>
            <w:shd w:val="clear" w:color="auto" w:fill="auto"/>
            <w:vAlign w:val="center"/>
          </w:tcPr>
          <w:p>
            <w:pPr>
              <w:pStyle w:val="178"/>
            </w:pPr>
            <w:r>
              <w:t>灾难，数人死亡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8"/>
            </w:pPr>
            <w:r>
              <w:t>15</w:t>
            </w:r>
          </w:p>
        </w:tc>
        <w:tc>
          <w:tcPr>
            <w:tcW w:w="4667" w:type="dxa"/>
            <w:shd w:val="clear" w:color="auto" w:fill="auto"/>
            <w:vAlign w:val="center"/>
          </w:tcPr>
          <w:p>
            <w:pPr>
              <w:pStyle w:val="178"/>
            </w:pPr>
            <w:r>
              <w:t>非常严重，一人死亡</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8"/>
            </w:pPr>
            <w:r>
              <w:t>7</w:t>
            </w:r>
          </w:p>
        </w:tc>
        <w:tc>
          <w:tcPr>
            <w:tcW w:w="4667" w:type="dxa"/>
            <w:shd w:val="clear" w:color="auto" w:fill="auto"/>
            <w:vAlign w:val="center"/>
          </w:tcPr>
          <w:p>
            <w:pPr>
              <w:pStyle w:val="178"/>
            </w:pPr>
            <w:r>
              <w:t>严重，重伤</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8"/>
            </w:pPr>
            <w:r>
              <w:t>3</w:t>
            </w:r>
          </w:p>
        </w:tc>
        <w:tc>
          <w:tcPr>
            <w:tcW w:w="4667" w:type="dxa"/>
            <w:shd w:val="clear" w:color="auto" w:fill="auto"/>
            <w:vAlign w:val="center"/>
          </w:tcPr>
          <w:p>
            <w:pPr>
              <w:pStyle w:val="178"/>
            </w:pPr>
            <w:r>
              <w:t>重大，致残</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4667" w:type="dxa"/>
            <w:shd w:val="clear" w:color="auto" w:fill="auto"/>
            <w:vAlign w:val="center"/>
          </w:tcPr>
          <w:p>
            <w:pPr>
              <w:pStyle w:val="178"/>
            </w:pPr>
            <w:r>
              <w:t>1</w:t>
            </w:r>
          </w:p>
        </w:tc>
        <w:tc>
          <w:tcPr>
            <w:tcW w:w="4667" w:type="dxa"/>
            <w:shd w:val="clear" w:color="auto" w:fill="auto"/>
            <w:vAlign w:val="center"/>
          </w:tcPr>
          <w:p>
            <w:pPr>
              <w:pStyle w:val="178"/>
            </w:pPr>
            <w:r>
              <w:t>引人注目，不利于基本的安全卫生要求</w:t>
            </w:r>
          </w:p>
        </w:tc>
      </w:tr>
    </w:tbl>
    <w:p>
      <w:pPr>
        <w:pStyle w:val="77"/>
        <w:spacing w:before="120" w:after="120"/>
        <w:ind w:firstLine="420"/>
      </w:pPr>
      <w:r>
        <w:rPr>
          <w:rFonts w:hint="eastAsia"/>
        </w:rPr>
        <w:t xml:space="preserve"> 风险等级D判定准则及色标标准</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222"/>
        <w:gridCol w:w="3772"/>
        <w:gridCol w:w="1389"/>
        <w:gridCol w:w="1389"/>
        <w:gridCol w:w="531"/>
        <w:gridCol w:w="531"/>
        <w:gridCol w:w="54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652" w:type="pct"/>
            <w:vMerge w:val="restart"/>
            <w:tcBorders>
              <w:top w:val="single" w:color="auto" w:sz="8" w:space="0"/>
            </w:tcBorders>
            <w:shd w:val="clear" w:color="auto" w:fill="auto"/>
            <w:vAlign w:val="center"/>
          </w:tcPr>
          <w:p>
            <w:pPr>
              <w:pStyle w:val="178"/>
              <w:rPr>
                <w:b/>
                <w:bCs/>
              </w:rPr>
            </w:pPr>
            <w:r>
              <w:rPr>
                <w:b/>
                <w:bCs/>
              </w:rPr>
              <w:t>分数值</w:t>
            </w:r>
          </w:p>
        </w:tc>
        <w:tc>
          <w:tcPr>
            <w:tcW w:w="2012" w:type="pct"/>
            <w:vMerge w:val="restart"/>
            <w:tcBorders>
              <w:top w:val="single" w:color="auto" w:sz="8" w:space="0"/>
            </w:tcBorders>
            <w:shd w:val="clear" w:color="auto" w:fill="auto"/>
            <w:vAlign w:val="center"/>
          </w:tcPr>
          <w:p>
            <w:pPr>
              <w:pStyle w:val="178"/>
              <w:rPr>
                <w:b/>
                <w:bCs/>
              </w:rPr>
            </w:pPr>
            <w:r>
              <w:rPr>
                <w:b/>
                <w:bCs/>
              </w:rPr>
              <w:t>危险程度</w:t>
            </w:r>
          </w:p>
        </w:tc>
        <w:tc>
          <w:tcPr>
            <w:tcW w:w="741" w:type="pct"/>
            <w:vMerge w:val="restart"/>
            <w:tcBorders>
              <w:top w:val="single" w:color="auto" w:sz="8" w:space="0"/>
            </w:tcBorders>
            <w:shd w:val="clear" w:color="auto" w:fill="auto"/>
            <w:vAlign w:val="center"/>
          </w:tcPr>
          <w:p>
            <w:pPr>
              <w:pStyle w:val="178"/>
              <w:rPr>
                <w:b/>
                <w:bCs/>
              </w:rPr>
            </w:pPr>
            <w:r>
              <w:rPr>
                <w:b/>
                <w:bCs/>
              </w:rPr>
              <w:t>风险等级</w:t>
            </w:r>
          </w:p>
        </w:tc>
        <w:tc>
          <w:tcPr>
            <w:tcW w:w="741" w:type="pct"/>
            <w:vMerge w:val="restart"/>
            <w:tcBorders>
              <w:top w:val="single" w:color="auto" w:sz="8" w:space="0"/>
            </w:tcBorders>
          </w:tcPr>
          <w:p>
            <w:pPr>
              <w:pStyle w:val="178"/>
              <w:rPr>
                <w:b/>
                <w:bCs/>
              </w:rPr>
            </w:pPr>
            <w:r>
              <w:rPr>
                <w:rFonts w:hAnsi="宋体"/>
                <w:b/>
                <w:bCs/>
              </w:rPr>
              <w:t>风险色标</w:t>
            </w:r>
          </w:p>
        </w:tc>
        <w:tc>
          <w:tcPr>
            <w:tcW w:w="854" w:type="pct"/>
            <w:gridSpan w:val="3"/>
            <w:tcBorders>
              <w:top w:val="single" w:color="auto" w:sz="8" w:space="0"/>
              <w:bottom w:val="single" w:color="auto" w:sz="8" w:space="0"/>
            </w:tcBorders>
          </w:tcPr>
          <w:p>
            <w:pPr>
              <w:pStyle w:val="178"/>
              <w:rPr>
                <w:rFonts w:hAnsi="宋体"/>
                <w:b/>
                <w:bCs/>
              </w:rPr>
            </w:pPr>
            <w:r>
              <w:rPr>
                <w:rFonts w:hAnsi="宋体"/>
                <w:b/>
                <w:bCs/>
              </w:rPr>
              <w:t>色谱标准</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tblHeader/>
          <w:jc w:val="center"/>
        </w:trPr>
        <w:tc>
          <w:tcPr>
            <w:tcW w:w="652" w:type="pct"/>
            <w:vMerge w:val="continue"/>
            <w:tcBorders>
              <w:bottom w:val="single" w:color="auto" w:sz="8" w:space="0"/>
            </w:tcBorders>
            <w:shd w:val="clear" w:color="auto" w:fill="auto"/>
            <w:vAlign w:val="center"/>
          </w:tcPr>
          <w:p>
            <w:pPr>
              <w:pStyle w:val="178"/>
              <w:rPr>
                <w:b/>
                <w:bCs/>
              </w:rPr>
            </w:pPr>
          </w:p>
        </w:tc>
        <w:tc>
          <w:tcPr>
            <w:tcW w:w="2012" w:type="pct"/>
            <w:vMerge w:val="continue"/>
            <w:tcBorders>
              <w:bottom w:val="single" w:color="auto" w:sz="8" w:space="0"/>
            </w:tcBorders>
            <w:shd w:val="clear" w:color="auto" w:fill="auto"/>
            <w:vAlign w:val="center"/>
          </w:tcPr>
          <w:p>
            <w:pPr>
              <w:pStyle w:val="178"/>
              <w:rPr>
                <w:b/>
                <w:bCs/>
              </w:rPr>
            </w:pPr>
          </w:p>
        </w:tc>
        <w:tc>
          <w:tcPr>
            <w:tcW w:w="741" w:type="pct"/>
            <w:vMerge w:val="continue"/>
            <w:tcBorders>
              <w:bottom w:val="single" w:color="auto" w:sz="8" w:space="0"/>
            </w:tcBorders>
            <w:shd w:val="clear" w:color="auto" w:fill="auto"/>
            <w:vAlign w:val="center"/>
          </w:tcPr>
          <w:p>
            <w:pPr>
              <w:pStyle w:val="178"/>
              <w:rPr>
                <w:b/>
                <w:bCs/>
              </w:rPr>
            </w:pPr>
          </w:p>
        </w:tc>
        <w:tc>
          <w:tcPr>
            <w:tcW w:w="741" w:type="pct"/>
            <w:vMerge w:val="continue"/>
            <w:tcBorders>
              <w:bottom w:val="single" w:color="auto" w:sz="8" w:space="0"/>
            </w:tcBorders>
          </w:tcPr>
          <w:p>
            <w:pPr>
              <w:pStyle w:val="178"/>
              <w:rPr>
                <w:rFonts w:hAnsi="宋体"/>
                <w:b/>
                <w:bCs/>
              </w:rPr>
            </w:pPr>
          </w:p>
        </w:tc>
        <w:tc>
          <w:tcPr>
            <w:tcW w:w="283" w:type="pct"/>
            <w:tcBorders>
              <w:top w:val="single" w:color="auto" w:sz="8" w:space="0"/>
              <w:bottom w:val="single" w:color="auto" w:sz="8" w:space="0"/>
            </w:tcBorders>
          </w:tcPr>
          <w:p>
            <w:pPr>
              <w:pStyle w:val="178"/>
              <w:rPr>
                <w:rFonts w:hAnsi="宋体"/>
                <w:b/>
                <w:bCs/>
              </w:rPr>
            </w:pPr>
            <w:r>
              <w:rPr>
                <w:rFonts w:hAnsi="宋体"/>
                <w:b/>
                <w:bCs/>
              </w:rPr>
              <w:t>R</w:t>
            </w:r>
          </w:p>
        </w:tc>
        <w:tc>
          <w:tcPr>
            <w:tcW w:w="283" w:type="pct"/>
            <w:tcBorders>
              <w:top w:val="single" w:color="auto" w:sz="8" w:space="0"/>
              <w:bottom w:val="single" w:color="auto" w:sz="8" w:space="0"/>
            </w:tcBorders>
          </w:tcPr>
          <w:p>
            <w:pPr>
              <w:pStyle w:val="178"/>
              <w:rPr>
                <w:rFonts w:hAnsi="宋体"/>
                <w:b/>
                <w:bCs/>
              </w:rPr>
            </w:pPr>
            <w:r>
              <w:rPr>
                <w:rFonts w:hAnsi="宋体"/>
                <w:b/>
                <w:bCs/>
              </w:rPr>
              <w:t>G</w:t>
            </w:r>
          </w:p>
        </w:tc>
        <w:tc>
          <w:tcPr>
            <w:tcW w:w="288" w:type="pct"/>
            <w:tcBorders>
              <w:top w:val="single" w:color="auto" w:sz="8" w:space="0"/>
              <w:bottom w:val="single" w:color="auto" w:sz="8" w:space="0"/>
            </w:tcBorders>
          </w:tcPr>
          <w:p>
            <w:pPr>
              <w:pStyle w:val="178"/>
              <w:rPr>
                <w:rFonts w:hAnsi="宋体"/>
                <w:b/>
                <w:bCs/>
              </w:rPr>
            </w:pPr>
            <w:r>
              <w:rPr>
                <w:rFonts w:hAnsi="宋体"/>
                <w:b/>
                <w:bCs/>
              </w:rPr>
              <w:t>B</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52" w:type="pct"/>
            <w:tcBorders>
              <w:top w:val="single" w:color="auto" w:sz="8" w:space="0"/>
            </w:tcBorders>
            <w:shd w:val="clear" w:color="auto" w:fill="auto"/>
            <w:vAlign w:val="center"/>
          </w:tcPr>
          <w:p>
            <w:pPr>
              <w:pStyle w:val="178"/>
            </w:pPr>
            <w:r>
              <w:rPr>
                <w:rFonts w:hint="eastAsia"/>
              </w:rPr>
              <w:t>＞</w:t>
            </w:r>
            <w:r>
              <w:t>320</w:t>
            </w:r>
          </w:p>
        </w:tc>
        <w:tc>
          <w:tcPr>
            <w:tcW w:w="2012" w:type="pct"/>
            <w:tcBorders>
              <w:top w:val="single" w:color="auto" w:sz="8" w:space="0"/>
            </w:tcBorders>
            <w:shd w:val="clear" w:color="auto" w:fill="auto"/>
            <w:vAlign w:val="center"/>
          </w:tcPr>
          <w:p>
            <w:pPr>
              <w:pStyle w:val="178"/>
            </w:pPr>
            <w:r>
              <w:t>极其危险，不能继续作业</w:t>
            </w:r>
          </w:p>
        </w:tc>
        <w:tc>
          <w:tcPr>
            <w:tcW w:w="741" w:type="pct"/>
            <w:tcBorders>
              <w:top w:val="single" w:color="auto" w:sz="8" w:space="0"/>
            </w:tcBorders>
            <w:shd w:val="clear" w:color="auto" w:fill="auto"/>
            <w:vAlign w:val="center"/>
          </w:tcPr>
          <w:p>
            <w:pPr>
              <w:pStyle w:val="178"/>
            </w:pPr>
            <w:r>
              <w:t>重大风险</w:t>
            </w:r>
          </w:p>
        </w:tc>
        <w:tc>
          <w:tcPr>
            <w:tcW w:w="741" w:type="pct"/>
            <w:tcBorders>
              <w:top w:val="single" w:color="auto" w:sz="8" w:space="0"/>
            </w:tcBorders>
            <w:vAlign w:val="center"/>
          </w:tcPr>
          <w:p>
            <w:pPr>
              <w:pStyle w:val="178"/>
              <w:rPr>
                <w:rFonts w:hAnsi="宋体" w:cs="仿宋"/>
              </w:rPr>
            </w:pPr>
            <w:r>
              <w:rPr>
                <w:rFonts w:hAnsi="宋体" w:cs="仿宋"/>
              </w:rPr>
              <w:t>红色</w:t>
            </w:r>
          </w:p>
        </w:tc>
        <w:tc>
          <w:tcPr>
            <w:tcW w:w="283" w:type="pct"/>
            <w:tcBorders>
              <w:top w:val="single" w:color="auto" w:sz="8" w:space="0"/>
            </w:tcBorders>
            <w:vAlign w:val="center"/>
          </w:tcPr>
          <w:p>
            <w:pPr>
              <w:pStyle w:val="178"/>
              <w:rPr>
                <w:rFonts w:hAnsi="宋体" w:cs="仿宋"/>
              </w:rPr>
            </w:pPr>
            <w:r>
              <w:rPr>
                <w:rFonts w:hAnsi="宋体" w:cs="仿宋"/>
              </w:rPr>
              <w:t>255</w:t>
            </w:r>
          </w:p>
        </w:tc>
        <w:tc>
          <w:tcPr>
            <w:tcW w:w="283" w:type="pct"/>
            <w:tcBorders>
              <w:top w:val="single" w:color="auto" w:sz="8" w:space="0"/>
            </w:tcBorders>
            <w:vAlign w:val="center"/>
          </w:tcPr>
          <w:p>
            <w:pPr>
              <w:pStyle w:val="178"/>
              <w:rPr>
                <w:rFonts w:hAnsi="宋体" w:cs="仿宋"/>
              </w:rPr>
            </w:pPr>
            <w:r>
              <w:rPr>
                <w:rFonts w:hAnsi="宋体" w:cs="仿宋"/>
              </w:rPr>
              <w:t>0</w:t>
            </w:r>
          </w:p>
        </w:tc>
        <w:tc>
          <w:tcPr>
            <w:tcW w:w="288" w:type="pct"/>
            <w:tcBorders>
              <w:top w:val="single" w:color="auto" w:sz="8" w:space="0"/>
            </w:tcBorders>
            <w:vAlign w:val="center"/>
          </w:tcPr>
          <w:p>
            <w:pPr>
              <w:pStyle w:val="178"/>
              <w:rPr>
                <w:rFonts w:hAnsi="宋体" w:cs="仿宋"/>
              </w:rPr>
            </w:pPr>
            <w:r>
              <w:rPr>
                <w:rFonts w:hAnsi="宋体" w:cs="仿宋"/>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52" w:type="pct"/>
            <w:shd w:val="clear" w:color="auto" w:fill="auto"/>
            <w:vAlign w:val="center"/>
          </w:tcPr>
          <w:p>
            <w:pPr>
              <w:pStyle w:val="178"/>
            </w:pPr>
            <w:r>
              <w:t>160</w:t>
            </w:r>
            <w:r>
              <w:rPr>
                <w:rFonts w:hint="eastAsia"/>
              </w:rPr>
              <w:t>～</w:t>
            </w:r>
            <w:r>
              <w:t>320</w:t>
            </w:r>
          </w:p>
        </w:tc>
        <w:tc>
          <w:tcPr>
            <w:tcW w:w="2012" w:type="pct"/>
            <w:shd w:val="clear" w:color="auto" w:fill="auto"/>
            <w:vAlign w:val="center"/>
          </w:tcPr>
          <w:p>
            <w:pPr>
              <w:pStyle w:val="178"/>
            </w:pPr>
            <w:r>
              <w:t>高度危险，要立即整改</w:t>
            </w:r>
          </w:p>
        </w:tc>
        <w:tc>
          <w:tcPr>
            <w:tcW w:w="741" w:type="pct"/>
            <w:shd w:val="clear" w:color="auto" w:fill="auto"/>
            <w:vAlign w:val="center"/>
          </w:tcPr>
          <w:p>
            <w:pPr>
              <w:pStyle w:val="178"/>
            </w:pPr>
            <w:r>
              <w:t>较大风险</w:t>
            </w:r>
          </w:p>
        </w:tc>
        <w:tc>
          <w:tcPr>
            <w:tcW w:w="741" w:type="pct"/>
            <w:vAlign w:val="center"/>
          </w:tcPr>
          <w:p>
            <w:pPr>
              <w:pStyle w:val="178"/>
              <w:rPr>
                <w:rFonts w:hAnsi="宋体" w:cs="仿宋"/>
              </w:rPr>
            </w:pPr>
            <w:r>
              <w:rPr>
                <w:rFonts w:hAnsi="宋体" w:cs="仿宋"/>
              </w:rPr>
              <w:t>橙色</w:t>
            </w:r>
          </w:p>
        </w:tc>
        <w:tc>
          <w:tcPr>
            <w:tcW w:w="283" w:type="pct"/>
            <w:vAlign w:val="center"/>
          </w:tcPr>
          <w:p>
            <w:pPr>
              <w:pStyle w:val="178"/>
              <w:rPr>
                <w:rFonts w:hAnsi="宋体" w:cs="仿宋"/>
              </w:rPr>
            </w:pPr>
            <w:r>
              <w:rPr>
                <w:rFonts w:hAnsi="宋体" w:cs="仿宋"/>
              </w:rPr>
              <w:t>255</w:t>
            </w:r>
          </w:p>
        </w:tc>
        <w:tc>
          <w:tcPr>
            <w:tcW w:w="283" w:type="pct"/>
            <w:vAlign w:val="center"/>
          </w:tcPr>
          <w:p>
            <w:pPr>
              <w:pStyle w:val="178"/>
              <w:rPr>
                <w:rFonts w:hAnsi="宋体" w:cs="仿宋"/>
              </w:rPr>
            </w:pPr>
            <w:r>
              <w:rPr>
                <w:rFonts w:hAnsi="宋体" w:cs="仿宋"/>
              </w:rPr>
              <w:t>130</w:t>
            </w:r>
          </w:p>
        </w:tc>
        <w:tc>
          <w:tcPr>
            <w:tcW w:w="288" w:type="pct"/>
            <w:vAlign w:val="center"/>
          </w:tcPr>
          <w:p>
            <w:pPr>
              <w:pStyle w:val="178"/>
              <w:rPr>
                <w:rFonts w:hAnsi="宋体" w:cs="仿宋"/>
              </w:rPr>
            </w:pPr>
            <w:r>
              <w:rPr>
                <w:rFonts w:hAnsi="宋体" w:cs="仿宋"/>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52" w:type="pct"/>
            <w:shd w:val="clear" w:color="auto" w:fill="auto"/>
            <w:vAlign w:val="center"/>
          </w:tcPr>
          <w:p>
            <w:pPr>
              <w:pStyle w:val="178"/>
            </w:pPr>
            <w:r>
              <w:t>70</w:t>
            </w:r>
            <w:r>
              <w:rPr>
                <w:rFonts w:hint="eastAsia"/>
              </w:rPr>
              <w:t>～</w:t>
            </w:r>
            <w:r>
              <w:t>160</w:t>
            </w:r>
          </w:p>
        </w:tc>
        <w:tc>
          <w:tcPr>
            <w:tcW w:w="2012" w:type="pct"/>
            <w:shd w:val="clear" w:color="auto" w:fill="auto"/>
            <w:vAlign w:val="center"/>
          </w:tcPr>
          <w:p>
            <w:pPr>
              <w:pStyle w:val="178"/>
            </w:pPr>
            <w:r>
              <w:t>显著危险，需要整改</w:t>
            </w:r>
          </w:p>
        </w:tc>
        <w:tc>
          <w:tcPr>
            <w:tcW w:w="741" w:type="pct"/>
            <w:shd w:val="clear" w:color="auto" w:fill="auto"/>
            <w:vAlign w:val="center"/>
          </w:tcPr>
          <w:p>
            <w:pPr>
              <w:pStyle w:val="178"/>
            </w:pPr>
            <w:r>
              <w:t>一般风险</w:t>
            </w:r>
          </w:p>
        </w:tc>
        <w:tc>
          <w:tcPr>
            <w:tcW w:w="741" w:type="pct"/>
            <w:vAlign w:val="center"/>
          </w:tcPr>
          <w:p>
            <w:pPr>
              <w:pStyle w:val="178"/>
              <w:rPr>
                <w:rFonts w:hAnsi="宋体" w:cs="仿宋"/>
              </w:rPr>
            </w:pPr>
            <w:r>
              <w:rPr>
                <w:rFonts w:hAnsi="宋体" w:cs="仿宋"/>
              </w:rPr>
              <w:t>黄色</w:t>
            </w:r>
          </w:p>
        </w:tc>
        <w:tc>
          <w:tcPr>
            <w:tcW w:w="283" w:type="pct"/>
            <w:vAlign w:val="center"/>
          </w:tcPr>
          <w:p>
            <w:pPr>
              <w:pStyle w:val="178"/>
              <w:rPr>
                <w:rFonts w:hAnsi="宋体" w:cs="仿宋"/>
              </w:rPr>
            </w:pPr>
            <w:r>
              <w:rPr>
                <w:rFonts w:hAnsi="宋体" w:cs="仿宋"/>
              </w:rPr>
              <w:t>255</w:t>
            </w:r>
          </w:p>
        </w:tc>
        <w:tc>
          <w:tcPr>
            <w:tcW w:w="283" w:type="pct"/>
            <w:vAlign w:val="center"/>
          </w:tcPr>
          <w:p>
            <w:pPr>
              <w:pStyle w:val="178"/>
              <w:rPr>
                <w:rFonts w:hAnsi="宋体" w:cs="仿宋"/>
              </w:rPr>
            </w:pPr>
            <w:r>
              <w:rPr>
                <w:rFonts w:hAnsi="宋体" w:cs="仿宋"/>
              </w:rPr>
              <w:t>255</w:t>
            </w:r>
          </w:p>
        </w:tc>
        <w:tc>
          <w:tcPr>
            <w:tcW w:w="288" w:type="pct"/>
            <w:vAlign w:val="center"/>
          </w:tcPr>
          <w:p>
            <w:pPr>
              <w:pStyle w:val="178"/>
              <w:rPr>
                <w:rFonts w:hAnsi="宋体" w:cs="仿宋"/>
              </w:rPr>
            </w:pPr>
            <w:r>
              <w:rPr>
                <w:rFonts w:hAnsi="宋体" w:cs="仿宋"/>
              </w:rPr>
              <w:t>0</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52" w:type="pct"/>
            <w:shd w:val="clear" w:color="auto" w:fill="auto"/>
            <w:vAlign w:val="center"/>
          </w:tcPr>
          <w:p>
            <w:pPr>
              <w:pStyle w:val="178"/>
            </w:pPr>
            <w:r>
              <w:t>20</w:t>
            </w:r>
            <w:r>
              <w:rPr>
                <w:rFonts w:hint="eastAsia"/>
              </w:rPr>
              <w:t>～</w:t>
            </w:r>
            <w:r>
              <w:t>70</w:t>
            </w:r>
          </w:p>
        </w:tc>
        <w:tc>
          <w:tcPr>
            <w:tcW w:w="2012" w:type="pct"/>
            <w:shd w:val="clear" w:color="auto" w:fill="auto"/>
            <w:vAlign w:val="center"/>
          </w:tcPr>
          <w:p>
            <w:pPr>
              <w:pStyle w:val="178"/>
            </w:pPr>
            <w:r>
              <w:t>一般危险，需要注意</w:t>
            </w:r>
          </w:p>
        </w:tc>
        <w:tc>
          <w:tcPr>
            <w:tcW w:w="741" w:type="pct"/>
            <w:vMerge w:val="restart"/>
            <w:shd w:val="clear" w:color="auto" w:fill="auto"/>
            <w:vAlign w:val="center"/>
          </w:tcPr>
          <w:p>
            <w:pPr>
              <w:pStyle w:val="178"/>
            </w:pPr>
            <w:r>
              <w:t>低风险</w:t>
            </w:r>
          </w:p>
        </w:tc>
        <w:tc>
          <w:tcPr>
            <w:tcW w:w="741" w:type="pct"/>
            <w:vMerge w:val="restart"/>
            <w:vAlign w:val="center"/>
          </w:tcPr>
          <w:p>
            <w:pPr>
              <w:pStyle w:val="178"/>
              <w:rPr>
                <w:rFonts w:hAnsi="宋体" w:cs="仿宋"/>
              </w:rPr>
            </w:pPr>
            <w:r>
              <w:rPr>
                <w:rFonts w:hAnsi="宋体" w:cs="仿宋"/>
              </w:rPr>
              <w:t>蓝色</w:t>
            </w:r>
          </w:p>
        </w:tc>
        <w:tc>
          <w:tcPr>
            <w:tcW w:w="283" w:type="pct"/>
            <w:vMerge w:val="restart"/>
            <w:vAlign w:val="center"/>
          </w:tcPr>
          <w:p>
            <w:pPr>
              <w:pStyle w:val="178"/>
              <w:rPr>
                <w:rFonts w:hAnsi="宋体" w:cs="仿宋"/>
              </w:rPr>
            </w:pPr>
            <w:r>
              <w:rPr>
                <w:rFonts w:hAnsi="宋体" w:cs="仿宋"/>
              </w:rPr>
              <w:t>0</w:t>
            </w:r>
          </w:p>
        </w:tc>
        <w:tc>
          <w:tcPr>
            <w:tcW w:w="283" w:type="pct"/>
            <w:vMerge w:val="restart"/>
            <w:vAlign w:val="center"/>
          </w:tcPr>
          <w:p>
            <w:pPr>
              <w:pStyle w:val="178"/>
              <w:rPr>
                <w:rFonts w:hAnsi="宋体" w:cs="仿宋"/>
              </w:rPr>
            </w:pPr>
            <w:r>
              <w:rPr>
                <w:rFonts w:hAnsi="宋体" w:cs="仿宋"/>
              </w:rPr>
              <w:t>0</w:t>
            </w:r>
          </w:p>
        </w:tc>
        <w:tc>
          <w:tcPr>
            <w:tcW w:w="288" w:type="pct"/>
            <w:vMerge w:val="restart"/>
            <w:vAlign w:val="center"/>
          </w:tcPr>
          <w:p>
            <w:pPr>
              <w:pStyle w:val="178"/>
              <w:rPr>
                <w:rFonts w:hAnsi="宋体" w:cs="仿宋"/>
              </w:rPr>
            </w:pPr>
            <w:r>
              <w:rPr>
                <w:rFonts w:hAnsi="宋体" w:cs="仿宋"/>
              </w:rPr>
              <w:t>255</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454" w:hRule="atLeast"/>
          <w:jc w:val="center"/>
        </w:trPr>
        <w:tc>
          <w:tcPr>
            <w:tcW w:w="652" w:type="pct"/>
            <w:shd w:val="clear" w:color="auto" w:fill="auto"/>
            <w:vAlign w:val="center"/>
          </w:tcPr>
          <w:p>
            <w:pPr>
              <w:pStyle w:val="178"/>
            </w:pPr>
            <w:r>
              <w:rPr>
                <w:rFonts w:hint="eastAsia"/>
              </w:rPr>
              <w:t>＜</w:t>
            </w:r>
            <w:r>
              <w:t>20</w:t>
            </w:r>
          </w:p>
        </w:tc>
        <w:tc>
          <w:tcPr>
            <w:tcW w:w="2012" w:type="pct"/>
            <w:shd w:val="clear" w:color="auto" w:fill="auto"/>
            <w:vAlign w:val="center"/>
          </w:tcPr>
          <w:p>
            <w:pPr>
              <w:pStyle w:val="178"/>
            </w:pPr>
            <w:r>
              <w:t>稍有危险，可以接受</w:t>
            </w:r>
          </w:p>
        </w:tc>
        <w:tc>
          <w:tcPr>
            <w:tcW w:w="741" w:type="pct"/>
            <w:vMerge w:val="continue"/>
            <w:shd w:val="clear" w:color="auto" w:fill="auto"/>
            <w:vAlign w:val="center"/>
          </w:tcPr>
          <w:p>
            <w:pPr>
              <w:pStyle w:val="178"/>
            </w:pPr>
          </w:p>
        </w:tc>
        <w:tc>
          <w:tcPr>
            <w:tcW w:w="741" w:type="pct"/>
            <w:vMerge w:val="continue"/>
          </w:tcPr>
          <w:p>
            <w:pPr>
              <w:pStyle w:val="178"/>
            </w:pPr>
          </w:p>
        </w:tc>
        <w:tc>
          <w:tcPr>
            <w:tcW w:w="283" w:type="pct"/>
            <w:vMerge w:val="continue"/>
          </w:tcPr>
          <w:p>
            <w:pPr>
              <w:pStyle w:val="178"/>
            </w:pPr>
          </w:p>
        </w:tc>
        <w:tc>
          <w:tcPr>
            <w:tcW w:w="283" w:type="pct"/>
            <w:vMerge w:val="continue"/>
          </w:tcPr>
          <w:p>
            <w:pPr>
              <w:pStyle w:val="178"/>
            </w:pPr>
          </w:p>
        </w:tc>
        <w:tc>
          <w:tcPr>
            <w:tcW w:w="288" w:type="pct"/>
            <w:vMerge w:val="continue"/>
          </w:tcPr>
          <w:p>
            <w:pPr>
              <w:pStyle w:val="178"/>
            </w:pPr>
          </w:p>
        </w:tc>
      </w:tr>
    </w:tbl>
    <w:p>
      <w:pPr>
        <w:pStyle w:val="56"/>
        <w:ind w:firstLine="420"/>
      </w:pPr>
    </w:p>
    <w:p>
      <w:pPr>
        <w:pStyle w:val="56"/>
        <w:ind w:firstLine="420"/>
        <w:sectPr>
          <w:pgSz w:w="11906" w:h="16838"/>
          <w:pgMar w:top="1928" w:right="1134" w:bottom="1134" w:left="1134" w:header="1418" w:footer="1134" w:gutter="284"/>
          <w:cols w:space="425" w:num="1"/>
          <w:formProt w:val="0"/>
          <w:docGrid w:linePitch="312" w:charSpace="0"/>
        </w:sectPr>
      </w:pPr>
    </w:p>
    <w:p>
      <w:pPr>
        <w:pStyle w:val="198"/>
        <w:rPr>
          <w:vanish w:val="0"/>
        </w:rPr>
      </w:pPr>
    </w:p>
    <w:p>
      <w:pPr>
        <w:pStyle w:val="199"/>
        <w:rPr>
          <w:vanish w:val="0"/>
        </w:rPr>
      </w:pPr>
    </w:p>
    <w:p>
      <w:pPr>
        <w:pStyle w:val="76"/>
        <w:spacing w:after="120"/>
      </w:pPr>
      <w:r>
        <w:br w:type="textWrapping"/>
      </w:r>
      <w:r>
        <w:rPr>
          <w:rFonts w:hint="eastAsia"/>
        </w:rPr>
        <w:t>（资料性）</w:t>
      </w:r>
      <w:r>
        <w:br w:type="textWrapping"/>
      </w:r>
      <w:r>
        <w:rPr>
          <w:rFonts w:hint="eastAsia"/>
        </w:rPr>
        <w:t>风险告知样例</w:t>
      </w:r>
    </w:p>
    <w:p>
      <w:pPr>
        <w:pStyle w:val="56"/>
        <w:ind w:firstLine="420"/>
      </w:pPr>
      <w:r>
        <w:rPr>
          <w:rFonts w:hint="eastAsia"/>
        </w:rPr>
        <w:t>图D.1～图D.3给出了风险告知样例信息。</w:t>
      </w:r>
    </w:p>
    <w:p>
      <w:pPr>
        <w:pStyle w:val="83"/>
        <w:numPr>
          <w:ilvl w:val="0"/>
          <w:numId w:val="0"/>
        </w:numPr>
        <w:spacing w:before="120" w:after="120"/>
        <w:jc w:val="both"/>
      </w:pPr>
      <w:r>
        <mc:AlternateContent>
          <mc:Choice Requires="wpc">
            <w:drawing>
              <wp:inline distT="0" distB="0" distL="0" distR="0">
                <wp:extent cx="5939790" cy="3159760"/>
                <wp:effectExtent l="0" t="0" r="0" b="0"/>
                <wp:docPr id="109" name="画布 109"/>
                <wp:cNvGraphicFramePr>
                  <a:graphicFrameLocks xmlns:a="http://schemas.openxmlformats.org/drawingml/2006/main" noMove="1" noResize="1"/>
                </wp:cNvGraphicFramePr>
                <a:graphic xmlns:a="http://schemas.openxmlformats.org/drawingml/2006/main">
                  <a:graphicData uri="http://schemas.microsoft.com/office/word/2010/wordprocessingCanvas">
                    <wpc:wpc>
                      <wpc:bg>
                        <a:noFill/>
                      </wpc:bg>
                      <wpc:whole/>
                      <wps:wsp>
                        <wps:cNvPr id="105" name="AutoShape 68"/>
                        <wps:cNvSpPr>
                          <a:spLocks noChangeArrowheads="1"/>
                        </wps:cNvSpPr>
                        <wps:spPr bwMode="auto">
                          <a:xfrm>
                            <a:off x="3375945" y="104776"/>
                            <a:ext cx="1648372" cy="1495108"/>
                          </a:xfrm>
                          <a:prstGeom prst="flowChartProcess">
                            <a:avLst/>
                          </a:prstGeom>
                          <a:solidFill>
                            <a:srgbClr val="FF8200"/>
                          </a:solidFill>
                          <a:ln w="9525">
                            <a:solidFill>
                              <a:srgbClr val="000000"/>
                            </a:solidFill>
                            <a:miter lim="800000"/>
                          </a:ln>
                        </wps:spPr>
                        <wps:txbx>
                          <w:txbxContent>
                            <w:p>
                              <w:pPr>
                                <w:jc w:val="center"/>
                                <w:rPr>
                                  <w:sz w:val="18"/>
                                  <w:szCs w:val="18"/>
                                </w:rPr>
                              </w:pPr>
                              <w:r>
                                <w:rPr>
                                  <w:rFonts w:hint="eastAsia"/>
                                  <w:sz w:val="18"/>
                                  <w:szCs w:val="18"/>
                                </w:rPr>
                                <w:t>烟气处理</w:t>
                              </w:r>
                              <w:r>
                                <w:rPr>
                                  <w:sz w:val="18"/>
                                  <w:szCs w:val="18"/>
                                </w:rPr>
                                <w:t>系统</w:t>
                              </w:r>
                            </w:p>
                            <w:p>
                              <w:pPr>
                                <w:jc w:val="center"/>
                                <w:rPr>
                                  <w:sz w:val="18"/>
                                  <w:szCs w:val="18"/>
                                </w:rPr>
                              </w:pPr>
                              <w:r>
                                <w:rPr>
                                  <w:rFonts w:hint="eastAsia"/>
                                  <w:sz w:val="18"/>
                                  <w:szCs w:val="18"/>
                                </w:rPr>
                                <w:t>沼气</w:t>
                              </w:r>
                              <w:r>
                                <w:rPr>
                                  <w:sz w:val="18"/>
                                  <w:szCs w:val="18"/>
                                </w:rPr>
                                <w:t>利用系统</w:t>
                              </w:r>
                            </w:p>
                            <w:p>
                              <w:pPr>
                                <w:jc w:val="center"/>
                                <w:rPr>
                                  <w:sz w:val="18"/>
                                  <w:szCs w:val="18"/>
                                </w:rPr>
                              </w:pPr>
                              <w:r>
                                <w:rPr>
                                  <w:rFonts w:hint="eastAsia"/>
                                  <w:sz w:val="18"/>
                                  <w:szCs w:val="18"/>
                                </w:rPr>
                                <w:t>汽轮机</w:t>
                              </w:r>
                              <w:r>
                                <w:rPr>
                                  <w:sz w:val="18"/>
                                  <w:szCs w:val="18"/>
                                </w:rPr>
                                <w:t>及汽水系统</w:t>
                              </w:r>
                            </w:p>
                            <w:p>
                              <w:pPr>
                                <w:jc w:val="center"/>
                                <w:rPr>
                                  <w:sz w:val="18"/>
                                  <w:szCs w:val="18"/>
                                </w:rPr>
                              </w:pPr>
                              <w:r>
                                <w:rPr>
                                  <w:rFonts w:hint="eastAsia"/>
                                  <w:sz w:val="18"/>
                                  <w:szCs w:val="18"/>
                                </w:rPr>
                                <w:t>灰渣</w:t>
                              </w:r>
                              <w:r>
                                <w:rPr>
                                  <w:sz w:val="18"/>
                                  <w:szCs w:val="18"/>
                                </w:rPr>
                                <w:t>及渗滤液处理系统</w:t>
                              </w:r>
                            </w:p>
                            <w:p>
                              <w:pPr>
                                <w:jc w:val="center"/>
                                <w:rPr>
                                  <w:sz w:val="18"/>
                                  <w:szCs w:val="18"/>
                                </w:rPr>
                              </w:pPr>
                              <w:r>
                                <w:rPr>
                                  <w:rFonts w:hint="eastAsia"/>
                                  <w:sz w:val="18"/>
                                  <w:szCs w:val="18"/>
                                </w:rPr>
                                <w:t>烟气</w:t>
                              </w:r>
                              <w:r>
                                <w:rPr>
                                  <w:sz w:val="18"/>
                                  <w:szCs w:val="18"/>
                                </w:rPr>
                                <w:t>处理系统</w:t>
                              </w:r>
                            </w:p>
                          </w:txbxContent>
                        </wps:txbx>
                        <wps:bodyPr rot="0" vert="horz" wrap="square" lIns="91440" tIns="45720" rIns="91440" bIns="45720" anchor="ctr" anchorCtr="0" upright="1">
                          <a:noAutofit/>
                        </wps:bodyPr>
                      </wps:wsp>
                      <wps:wsp>
                        <wps:cNvPr id="106" name="AutoShape 69"/>
                        <wps:cNvSpPr>
                          <a:spLocks noChangeArrowheads="1"/>
                        </wps:cNvSpPr>
                        <wps:spPr bwMode="auto">
                          <a:xfrm>
                            <a:off x="856361" y="480884"/>
                            <a:ext cx="1645897" cy="829793"/>
                          </a:xfrm>
                          <a:prstGeom prst="flowChartProcess">
                            <a:avLst/>
                          </a:prstGeom>
                          <a:solidFill>
                            <a:srgbClr val="FF0000"/>
                          </a:solidFill>
                          <a:ln w="9525">
                            <a:solidFill>
                              <a:srgbClr val="000000"/>
                            </a:solidFill>
                            <a:miter lim="800000"/>
                          </a:ln>
                        </wps:spPr>
                        <wps:txbx>
                          <w:txbxContent>
                            <w:p>
                              <w:pPr>
                                <w:jc w:val="center"/>
                                <w:rPr>
                                  <w:color w:val="FFFFFF" w:themeColor="background1"/>
                                  <w:sz w:val="18"/>
                                  <w:szCs w:val="18"/>
                                  <w14:textFill>
                                    <w14:solidFill>
                                      <w14:schemeClr w14:val="bg1"/>
                                    </w14:solidFill>
                                  </w14:textFill>
                                </w:rPr>
                              </w:pPr>
                              <w:r>
                                <w:rPr>
                                  <w:rFonts w:hint="eastAsia"/>
                                  <w:color w:val="FFFFFF" w:themeColor="background1"/>
                                  <w:sz w:val="18"/>
                                  <w:szCs w:val="18"/>
                                  <w14:textFill>
                                    <w14:solidFill>
                                      <w14:schemeClr w14:val="bg1"/>
                                    </w14:solidFill>
                                  </w14:textFill>
                                </w:rPr>
                                <w:t>危险</w:t>
                              </w:r>
                              <w:r>
                                <w:rPr>
                                  <w:color w:val="FFFFFF" w:themeColor="background1"/>
                                  <w:sz w:val="18"/>
                                  <w:szCs w:val="18"/>
                                  <w14:textFill>
                                    <w14:solidFill>
                                      <w14:schemeClr w14:val="bg1"/>
                                    </w14:solidFill>
                                  </w14:textFill>
                                </w:rPr>
                                <w:t>物质储存系统</w:t>
                              </w:r>
                            </w:p>
                            <w:p>
                              <w:pPr>
                                <w:jc w:val="center"/>
                                <w:rPr>
                                  <w:color w:val="FFFFFF" w:themeColor="background1"/>
                                  <w:sz w:val="18"/>
                                  <w:szCs w:val="18"/>
                                  <w14:textFill>
                                    <w14:solidFill>
                                      <w14:schemeClr w14:val="bg1"/>
                                    </w14:solidFill>
                                  </w14:textFill>
                                </w:rPr>
                              </w:pPr>
                              <w:r>
                                <w:rPr>
                                  <w:rFonts w:hint="eastAsia"/>
                                  <w:color w:val="FFFFFF" w:themeColor="background1"/>
                                  <w:sz w:val="18"/>
                                  <w:szCs w:val="18"/>
                                  <w14:textFill>
                                    <w14:solidFill>
                                      <w14:schemeClr w14:val="bg1"/>
                                    </w14:solidFill>
                                  </w14:textFill>
                                </w:rPr>
                                <w:t>垃圾</w:t>
                              </w:r>
                              <w:r>
                                <w:rPr>
                                  <w:color w:val="FFFFFF" w:themeColor="background1"/>
                                  <w:sz w:val="18"/>
                                  <w:szCs w:val="18"/>
                                  <w14:textFill>
                                    <w14:solidFill>
                                      <w14:schemeClr w14:val="bg1"/>
                                    </w14:solidFill>
                                  </w14:textFill>
                                </w:rPr>
                                <w:t>焚烧炉系统</w:t>
                              </w:r>
                            </w:p>
                          </w:txbxContent>
                        </wps:txbx>
                        <wps:bodyPr rot="0" vert="horz" wrap="square" lIns="91440" tIns="45720" rIns="91440" bIns="45720" anchor="ctr" anchorCtr="0" upright="1">
                          <a:noAutofit/>
                        </wps:bodyPr>
                      </wps:wsp>
                      <wps:wsp>
                        <wps:cNvPr id="107" name="AutoShape 70"/>
                        <wps:cNvSpPr>
                          <a:spLocks noChangeArrowheads="1"/>
                        </wps:cNvSpPr>
                        <wps:spPr bwMode="auto">
                          <a:xfrm>
                            <a:off x="856361" y="1628451"/>
                            <a:ext cx="1648372" cy="1429073"/>
                          </a:xfrm>
                          <a:prstGeom prst="flowChartProcess">
                            <a:avLst/>
                          </a:prstGeom>
                          <a:solidFill>
                            <a:srgbClr val="FFFF00"/>
                          </a:solidFill>
                          <a:ln w="9525">
                            <a:solidFill>
                              <a:srgbClr val="000000"/>
                            </a:solidFill>
                            <a:miter lim="800000"/>
                          </a:ln>
                        </wps:spPr>
                        <wps:txbx>
                          <w:txbxContent>
                            <w:p>
                              <w:pPr>
                                <w:jc w:val="center"/>
                                <w:rPr>
                                  <w:sz w:val="18"/>
                                  <w:szCs w:val="18"/>
                                </w:rPr>
                              </w:pPr>
                              <w:r>
                                <w:rPr>
                                  <w:rFonts w:hint="eastAsia"/>
                                  <w:sz w:val="18"/>
                                  <w:szCs w:val="18"/>
                                </w:rPr>
                                <w:t>化工设备</w:t>
                              </w:r>
                              <w:r>
                                <w:rPr>
                                  <w:sz w:val="18"/>
                                  <w:szCs w:val="18"/>
                                </w:rPr>
                                <w:t>系统</w:t>
                              </w:r>
                            </w:p>
                            <w:p>
                              <w:pPr>
                                <w:jc w:val="center"/>
                                <w:rPr>
                                  <w:sz w:val="18"/>
                                  <w:szCs w:val="18"/>
                                </w:rPr>
                              </w:pPr>
                              <w:r>
                                <w:rPr>
                                  <w:rFonts w:hint="eastAsia"/>
                                  <w:sz w:val="18"/>
                                  <w:szCs w:val="18"/>
                                </w:rPr>
                                <w:t>热工</w:t>
                              </w:r>
                              <w:r>
                                <w:rPr>
                                  <w:sz w:val="18"/>
                                  <w:szCs w:val="18"/>
                                </w:rPr>
                                <w:t>设备系统</w:t>
                              </w:r>
                            </w:p>
                            <w:p>
                              <w:pPr>
                                <w:jc w:val="center"/>
                                <w:rPr>
                                  <w:sz w:val="18"/>
                                  <w:szCs w:val="18"/>
                                </w:rPr>
                              </w:pPr>
                              <w:r>
                                <w:rPr>
                                  <w:rFonts w:hint="eastAsia"/>
                                  <w:sz w:val="18"/>
                                  <w:szCs w:val="18"/>
                                </w:rPr>
                                <w:t>电气</w:t>
                              </w:r>
                              <w:r>
                                <w:rPr>
                                  <w:sz w:val="18"/>
                                  <w:szCs w:val="18"/>
                                </w:rPr>
                                <w:t>设备系统</w:t>
                              </w:r>
                            </w:p>
                            <w:p>
                              <w:pPr>
                                <w:jc w:val="center"/>
                                <w:rPr>
                                  <w:sz w:val="18"/>
                                  <w:szCs w:val="18"/>
                                </w:rPr>
                              </w:pPr>
                              <w:r>
                                <w:rPr>
                                  <w:rFonts w:hint="eastAsia"/>
                                  <w:sz w:val="18"/>
                                  <w:szCs w:val="18"/>
                                </w:rPr>
                                <w:t>检修和</w:t>
                              </w:r>
                              <w:r>
                                <w:rPr>
                                  <w:sz w:val="18"/>
                                  <w:szCs w:val="18"/>
                                </w:rPr>
                                <w:t>改造</w:t>
                              </w:r>
                            </w:p>
                          </w:txbxContent>
                        </wps:txbx>
                        <wps:bodyPr rot="0" vert="horz" wrap="square" lIns="91440" tIns="45720" rIns="91440" bIns="45720" anchor="ctr" anchorCtr="0" upright="1">
                          <a:noAutofit/>
                        </wps:bodyPr>
                      </wps:wsp>
                      <wps:wsp>
                        <wps:cNvPr id="108" name="AutoShape 71"/>
                        <wps:cNvSpPr>
                          <a:spLocks noChangeArrowheads="1"/>
                        </wps:cNvSpPr>
                        <wps:spPr bwMode="auto">
                          <a:xfrm>
                            <a:off x="3375945" y="1777538"/>
                            <a:ext cx="1646722" cy="829793"/>
                          </a:xfrm>
                          <a:prstGeom prst="flowChartProcess">
                            <a:avLst/>
                          </a:prstGeom>
                          <a:solidFill>
                            <a:srgbClr val="0000FF"/>
                          </a:solidFill>
                          <a:ln w="9525">
                            <a:solidFill>
                              <a:srgbClr val="000000"/>
                            </a:solidFill>
                            <a:miter lim="800000"/>
                          </a:ln>
                        </wps:spPr>
                        <wps:txbx>
                          <w:txbxContent>
                            <w:p>
                              <w:pPr>
                                <w:jc w:val="center"/>
                                <w:rPr>
                                  <w:sz w:val="18"/>
                                  <w:szCs w:val="18"/>
                                </w:rPr>
                              </w:pPr>
                              <w:r>
                                <w:rPr>
                                  <w:rFonts w:hint="eastAsia"/>
                                  <w:sz w:val="18"/>
                                  <w:szCs w:val="18"/>
                                </w:rPr>
                                <w:t>公用</w:t>
                              </w:r>
                              <w:r>
                                <w:rPr>
                                  <w:sz w:val="18"/>
                                  <w:szCs w:val="18"/>
                                </w:rPr>
                                <w:t>设备系统</w:t>
                              </w:r>
                            </w:p>
                          </w:txbxContent>
                        </wps:txbx>
                        <wps:bodyPr rot="0" vert="horz" wrap="square" lIns="91440" tIns="45720" rIns="91440" bIns="45720" anchor="ctr" anchorCtr="0" upright="1">
                          <a:noAutofit/>
                        </wps:bodyPr>
                      </wps:wsp>
                    </wpc:wpc>
                  </a:graphicData>
                </a:graphic>
              </wp:inline>
            </w:drawing>
          </mc:Choice>
          <mc:Fallback>
            <w:pict>
              <v:group id="_x0000_s1026" o:spid="_x0000_s1026" o:spt="203" style="height:248.8pt;width:467.7pt;" coordsize="5939790,3159760" editas="canvas" o:gfxdata="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">
                <o:lock v:ext="edit" aspectratio="f"/>
                <v:shape id="_x0000_s1026" o:spid="_x0000_s1026" style="position:absolute;left:0;top:0;height:3159760;width:5939790;" filled="f" stroked="f" coordsize="21600,21600" o:gfxdata="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">
                  <v:fill on="f" focussize="0,0"/>
                  <v:stroke on="f"/>
                  <v:imagedata o:title=""/>
                  <o:lock v:ext="edit" position="t" aspectratio="f"/>
                </v:shape>
                <v:shape id="AutoShape 68" o:spid="_x0000_s1026" o:spt="109" type="#_x0000_t109" style="position:absolute;left:3375945;top:104776;height:1495108;width:1648372;v-text-anchor:middle;" fillcolor="#FF8200" filled="t" stroked="t" coordsize="21600,21600" o:gfxdata="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Agot/o2AAAAAUBAAAPAAAAAAAAAAEAIAAA&#10;ACIAAABkcnMvZG93bnJldi54bWxQSwECFAAUAAAACACHTuJAIWD8xkUCAACaBAAADgAAAAAAAAAB&#10;ACAAAAAnAQAAZHJzL2Uyb0RvYy54bWxQSwUGAAAAAAYABgBZAQAA3gUAAAAA&#10;">
                  <v:fill on="t" focussize="0,0"/>
                  <v:stroke color="#000000" miterlimit="8" joinstyle="miter"/>
                  <v:imagedata o:title=""/>
                  <o:lock v:ext="edit" aspectratio="f"/>
                  <v:textbox>
                    <w:txbxContent>
                      <w:p>
                        <w:pPr>
                          <w:jc w:val="center"/>
                          <w:rPr>
                            <w:sz w:val="18"/>
                            <w:szCs w:val="18"/>
                          </w:rPr>
                        </w:pPr>
                        <w:r>
                          <w:rPr>
                            <w:rFonts w:hint="eastAsia"/>
                            <w:sz w:val="18"/>
                            <w:szCs w:val="18"/>
                          </w:rPr>
                          <w:t>烟气处理</w:t>
                        </w:r>
                        <w:r>
                          <w:rPr>
                            <w:sz w:val="18"/>
                            <w:szCs w:val="18"/>
                          </w:rPr>
                          <w:t>系统</w:t>
                        </w:r>
                      </w:p>
                      <w:p>
                        <w:pPr>
                          <w:jc w:val="center"/>
                          <w:rPr>
                            <w:sz w:val="18"/>
                            <w:szCs w:val="18"/>
                          </w:rPr>
                        </w:pPr>
                        <w:r>
                          <w:rPr>
                            <w:rFonts w:hint="eastAsia"/>
                            <w:sz w:val="18"/>
                            <w:szCs w:val="18"/>
                          </w:rPr>
                          <w:t>沼气</w:t>
                        </w:r>
                        <w:r>
                          <w:rPr>
                            <w:sz w:val="18"/>
                            <w:szCs w:val="18"/>
                          </w:rPr>
                          <w:t>利用系统</w:t>
                        </w:r>
                      </w:p>
                      <w:p>
                        <w:pPr>
                          <w:jc w:val="center"/>
                          <w:rPr>
                            <w:sz w:val="18"/>
                            <w:szCs w:val="18"/>
                          </w:rPr>
                        </w:pPr>
                        <w:r>
                          <w:rPr>
                            <w:rFonts w:hint="eastAsia"/>
                            <w:sz w:val="18"/>
                            <w:szCs w:val="18"/>
                          </w:rPr>
                          <w:t>汽轮机</w:t>
                        </w:r>
                        <w:r>
                          <w:rPr>
                            <w:sz w:val="18"/>
                            <w:szCs w:val="18"/>
                          </w:rPr>
                          <w:t>及汽水系统</w:t>
                        </w:r>
                      </w:p>
                      <w:p>
                        <w:pPr>
                          <w:jc w:val="center"/>
                          <w:rPr>
                            <w:sz w:val="18"/>
                            <w:szCs w:val="18"/>
                          </w:rPr>
                        </w:pPr>
                        <w:r>
                          <w:rPr>
                            <w:rFonts w:hint="eastAsia"/>
                            <w:sz w:val="18"/>
                            <w:szCs w:val="18"/>
                          </w:rPr>
                          <w:t>灰渣</w:t>
                        </w:r>
                        <w:r>
                          <w:rPr>
                            <w:sz w:val="18"/>
                            <w:szCs w:val="18"/>
                          </w:rPr>
                          <w:t>及渗滤液处理系统</w:t>
                        </w:r>
                      </w:p>
                      <w:p>
                        <w:pPr>
                          <w:jc w:val="center"/>
                          <w:rPr>
                            <w:sz w:val="18"/>
                            <w:szCs w:val="18"/>
                          </w:rPr>
                        </w:pPr>
                        <w:r>
                          <w:rPr>
                            <w:rFonts w:hint="eastAsia"/>
                            <w:sz w:val="18"/>
                            <w:szCs w:val="18"/>
                          </w:rPr>
                          <w:t>烟气</w:t>
                        </w:r>
                        <w:r>
                          <w:rPr>
                            <w:sz w:val="18"/>
                            <w:szCs w:val="18"/>
                          </w:rPr>
                          <w:t>处理系统</w:t>
                        </w:r>
                      </w:p>
                    </w:txbxContent>
                  </v:textbox>
                </v:shape>
                <v:shape id="AutoShape 69" o:spid="_x0000_s1026" o:spt="109" type="#_x0000_t109" style="position:absolute;left:856361;top:480884;height:829793;width:1645897;v-text-anchor:middle;" fillcolor="#FF0000" filled="t" stroked="t" coordsize="21600,21600" o:gfxdata="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JhbhT/WAAAABQEAAA8AAAAAAAAAAQAgAAAAIgAA&#10;AGRycy9kb3ducmV2LnhtbFBLAQIUABQAAAAIAIdO4kC3wDs+QwIAAJgEAAAOAAAAAAAAAAEAIAAA&#10;ACUBAABkcnMvZTJvRG9jLnhtbFBLBQYAAAAABgAGAFkBAADaBQAAAAA=&#10;">
                  <v:fill on="t" focussize="0,0"/>
                  <v:stroke color="#000000" miterlimit="8" joinstyle="miter"/>
                  <v:imagedata o:title=""/>
                  <o:lock v:ext="edit" aspectratio="f"/>
                  <v:textbox>
                    <w:txbxContent>
                      <w:p>
                        <w:pPr>
                          <w:jc w:val="center"/>
                          <w:rPr>
                            <w:color w:val="FFFFFF" w:themeColor="background1"/>
                            <w:sz w:val="18"/>
                            <w:szCs w:val="18"/>
                            <w14:textFill>
                              <w14:solidFill>
                                <w14:schemeClr w14:val="bg1"/>
                              </w14:solidFill>
                            </w14:textFill>
                          </w:rPr>
                        </w:pPr>
                        <w:r>
                          <w:rPr>
                            <w:rFonts w:hint="eastAsia"/>
                            <w:color w:val="FFFFFF" w:themeColor="background1"/>
                            <w:sz w:val="18"/>
                            <w:szCs w:val="18"/>
                            <w14:textFill>
                              <w14:solidFill>
                                <w14:schemeClr w14:val="bg1"/>
                              </w14:solidFill>
                            </w14:textFill>
                          </w:rPr>
                          <w:t>危险</w:t>
                        </w:r>
                        <w:r>
                          <w:rPr>
                            <w:color w:val="FFFFFF" w:themeColor="background1"/>
                            <w:sz w:val="18"/>
                            <w:szCs w:val="18"/>
                            <w14:textFill>
                              <w14:solidFill>
                                <w14:schemeClr w14:val="bg1"/>
                              </w14:solidFill>
                            </w14:textFill>
                          </w:rPr>
                          <w:t>物质储存系统</w:t>
                        </w:r>
                      </w:p>
                      <w:p>
                        <w:pPr>
                          <w:jc w:val="center"/>
                          <w:rPr>
                            <w:color w:val="FFFFFF" w:themeColor="background1"/>
                            <w:sz w:val="18"/>
                            <w:szCs w:val="18"/>
                            <w14:textFill>
                              <w14:solidFill>
                                <w14:schemeClr w14:val="bg1"/>
                              </w14:solidFill>
                            </w14:textFill>
                          </w:rPr>
                        </w:pPr>
                        <w:r>
                          <w:rPr>
                            <w:rFonts w:hint="eastAsia"/>
                            <w:color w:val="FFFFFF" w:themeColor="background1"/>
                            <w:sz w:val="18"/>
                            <w:szCs w:val="18"/>
                            <w14:textFill>
                              <w14:solidFill>
                                <w14:schemeClr w14:val="bg1"/>
                              </w14:solidFill>
                            </w14:textFill>
                          </w:rPr>
                          <w:t>垃圾</w:t>
                        </w:r>
                        <w:r>
                          <w:rPr>
                            <w:color w:val="FFFFFF" w:themeColor="background1"/>
                            <w:sz w:val="18"/>
                            <w:szCs w:val="18"/>
                            <w14:textFill>
                              <w14:solidFill>
                                <w14:schemeClr w14:val="bg1"/>
                              </w14:solidFill>
                            </w14:textFill>
                          </w:rPr>
                          <w:t>焚烧炉系统</w:t>
                        </w:r>
                      </w:p>
                    </w:txbxContent>
                  </v:textbox>
                </v:shape>
                <v:shape id="AutoShape 70" o:spid="_x0000_s1026" o:spt="109" type="#_x0000_t109" style="position:absolute;left:856361;top:1628451;height:1429073;width:1648372;v-text-anchor:middle;" fillcolor="#FFFF00" filled="t" stroked="t" coordsize="21600,21600" o:gfxdata="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MWF40bXAAAABQEAAA8AAAAAAAAAAQAgAAAA&#10;IgAAAGRycy9kb3ducmV2LnhtbFBLAQIUABQAAAAIAIdO4kBJJmByRQIAAJoEAAAOAAAAAAAAAAEA&#10;IAAAACYBAABkcnMvZTJvRG9jLnhtbFBLBQYAAAAABgAGAFkBAADdBQAAAAA=&#10;">
                  <v:fill on="t" focussize="0,0"/>
                  <v:stroke color="#000000" miterlimit="8" joinstyle="miter"/>
                  <v:imagedata o:title=""/>
                  <o:lock v:ext="edit" aspectratio="f"/>
                  <v:textbox>
                    <w:txbxContent>
                      <w:p>
                        <w:pPr>
                          <w:jc w:val="center"/>
                          <w:rPr>
                            <w:sz w:val="18"/>
                            <w:szCs w:val="18"/>
                          </w:rPr>
                        </w:pPr>
                        <w:r>
                          <w:rPr>
                            <w:rFonts w:hint="eastAsia"/>
                            <w:sz w:val="18"/>
                            <w:szCs w:val="18"/>
                          </w:rPr>
                          <w:t>化工设备</w:t>
                        </w:r>
                        <w:r>
                          <w:rPr>
                            <w:sz w:val="18"/>
                            <w:szCs w:val="18"/>
                          </w:rPr>
                          <w:t>系统</w:t>
                        </w:r>
                      </w:p>
                      <w:p>
                        <w:pPr>
                          <w:jc w:val="center"/>
                          <w:rPr>
                            <w:sz w:val="18"/>
                            <w:szCs w:val="18"/>
                          </w:rPr>
                        </w:pPr>
                        <w:r>
                          <w:rPr>
                            <w:rFonts w:hint="eastAsia"/>
                            <w:sz w:val="18"/>
                            <w:szCs w:val="18"/>
                          </w:rPr>
                          <w:t>热工</w:t>
                        </w:r>
                        <w:r>
                          <w:rPr>
                            <w:sz w:val="18"/>
                            <w:szCs w:val="18"/>
                          </w:rPr>
                          <w:t>设备系统</w:t>
                        </w:r>
                      </w:p>
                      <w:p>
                        <w:pPr>
                          <w:jc w:val="center"/>
                          <w:rPr>
                            <w:sz w:val="18"/>
                            <w:szCs w:val="18"/>
                          </w:rPr>
                        </w:pPr>
                        <w:r>
                          <w:rPr>
                            <w:rFonts w:hint="eastAsia"/>
                            <w:sz w:val="18"/>
                            <w:szCs w:val="18"/>
                          </w:rPr>
                          <w:t>电气</w:t>
                        </w:r>
                        <w:r>
                          <w:rPr>
                            <w:sz w:val="18"/>
                            <w:szCs w:val="18"/>
                          </w:rPr>
                          <w:t>设备系统</w:t>
                        </w:r>
                      </w:p>
                      <w:p>
                        <w:pPr>
                          <w:jc w:val="center"/>
                          <w:rPr>
                            <w:sz w:val="18"/>
                            <w:szCs w:val="18"/>
                          </w:rPr>
                        </w:pPr>
                        <w:r>
                          <w:rPr>
                            <w:rFonts w:hint="eastAsia"/>
                            <w:sz w:val="18"/>
                            <w:szCs w:val="18"/>
                          </w:rPr>
                          <w:t>检修和</w:t>
                        </w:r>
                        <w:r>
                          <w:rPr>
                            <w:sz w:val="18"/>
                            <w:szCs w:val="18"/>
                          </w:rPr>
                          <w:t>改造</w:t>
                        </w:r>
                      </w:p>
                    </w:txbxContent>
                  </v:textbox>
                </v:shape>
                <v:shape id="AutoShape 71" o:spid="_x0000_s1026" o:spt="109" type="#_x0000_t109" style="position:absolute;left:3375945;top:1777538;height:829793;width:1646722;v-text-anchor:middle;" fillcolor="#0000FF" filled="t" stroked="t" coordsize="21600,21600" o:gfxdata="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JLk8TLWAAAABQEAAA8AAAAAAAAAAQAgAAAA&#10;IgAAAGRycy9kb3ducmV2LnhtbFBLAQIUABQAAAAIAIdO4kAIjgZoRgIAAJoEAAAOAAAAAAAAAAEA&#10;IAAAACUBAABkcnMvZTJvRG9jLnhtbFBLBQYAAAAABgAGAFkBAADdBQAAAAA=&#10;">
                  <v:fill on="t" focussize="0,0"/>
                  <v:stroke color="#000000" miterlimit="8" joinstyle="miter"/>
                  <v:imagedata o:title=""/>
                  <o:lock v:ext="edit" aspectratio="f"/>
                  <v:textbox>
                    <w:txbxContent>
                      <w:p>
                        <w:pPr>
                          <w:jc w:val="center"/>
                          <w:rPr>
                            <w:sz w:val="18"/>
                            <w:szCs w:val="18"/>
                          </w:rPr>
                        </w:pPr>
                        <w:r>
                          <w:rPr>
                            <w:rFonts w:hint="eastAsia"/>
                            <w:sz w:val="18"/>
                            <w:szCs w:val="18"/>
                          </w:rPr>
                          <w:t>公用</w:t>
                        </w:r>
                        <w:r>
                          <w:rPr>
                            <w:sz w:val="18"/>
                            <w:szCs w:val="18"/>
                          </w:rPr>
                          <w:t>设备系统</w:t>
                        </w:r>
                      </w:p>
                    </w:txbxContent>
                  </v:textbox>
                </v:shape>
                <w10:wrap type="none"/>
                <w10:anchorlock/>
              </v:group>
            </w:pict>
          </mc:Fallback>
        </mc:AlternateContent>
      </w:r>
    </w:p>
    <w:p>
      <w:pPr>
        <w:pStyle w:val="83"/>
        <w:spacing w:before="120" w:after="120"/>
      </w:pPr>
      <w:r>
        <w:rPr>
          <w:rFonts w:hint="eastAsia"/>
        </w:rPr>
        <w:t xml:space="preserve"> 风险四色图</w:t>
      </w:r>
    </w:p>
    <w:tbl>
      <w:tblPr>
        <w:tblStyle w:val="26"/>
        <w:tblW w:w="8630" w:type="dxa"/>
        <w:jc w:val="center"/>
        <w:tblLayout w:type="autofit"/>
        <w:tblCellMar>
          <w:top w:w="0" w:type="dxa"/>
          <w:left w:w="108" w:type="dxa"/>
          <w:bottom w:w="0" w:type="dxa"/>
          <w:right w:w="108" w:type="dxa"/>
        </w:tblCellMar>
      </w:tblPr>
      <w:tblGrid>
        <w:gridCol w:w="457"/>
        <w:gridCol w:w="457"/>
        <w:gridCol w:w="755"/>
        <w:gridCol w:w="727"/>
        <w:gridCol w:w="457"/>
        <w:gridCol w:w="457"/>
        <w:gridCol w:w="1998"/>
        <w:gridCol w:w="851"/>
        <w:gridCol w:w="709"/>
        <w:gridCol w:w="567"/>
        <w:gridCol w:w="1195"/>
      </w:tblGrid>
      <w:tr>
        <w:tblPrEx>
          <w:tblCellMar>
            <w:top w:w="0" w:type="dxa"/>
            <w:left w:w="108" w:type="dxa"/>
            <w:bottom w:w="0" w:type="dxa"/>
            <w:right w:w="108" w:type="dxa"/>
          </w:tblCellMar>
        </w:tblPrEx>
        <w:trPr>
          <w:trHeight w:val="699" w:hRule="atLeast"/>
          <w:jc w:val="center"/>
        </w:trPr>
        <w:tc>
          <w:tcPr>
            <w:tcW w:w="8630" w:type="dxa"/>
            <w:gridSpan w:val="11"/>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b/>
                <w:bCs/>
                <w:color w:val="000000"/>
                <w:kern w:val="0"/>
                <w:sz w:val="15"/>
                <w:szCs w:val="15"/>
              </w:rPr>
            </w:pPr>
            <w:bookmarkStart w:id="134" w:name="_Hlk142406124"/>
            <w:r>
              <w:rPr>
                <w:rFonts w:hint="eastAsia" w:ascii="宋体" w:hAnsi="宋体"/>
                <w:b/>
                <w:bCs/>
                <w:color w:val="000000"/>
                <w:kern w:val="0"/>
                <w:sz w:val="15"/>
                <w:szCs w:val="15"/>
              </w:rPr>
              <w:t>X</w:t>
            </w:r>
            <w:bookmarkEnd w:id="134"/>
            <w:r>
              <w:rPr>
                <w:rFonts w:hint="eastAsia" w:ascii="宋体" w:hAnsi="宋体"/>
                <w:b/>
                <w:bCs/>
                <w:color w:val="000000"/>
                <w:kern w:val="0"/>
                <w:sz w:val="15"/>
                <w:szCs w:val="15"/>
              </w:rPr>
              <w:t>X城镇污水</w:t>
            </w:r>
            <w:r>
              <w:rPr>
                <w:rFonts w:ascii="宋体" w:hAnsi="宋体"/>
                <w:b/>
                <w:bCs/>
                <w:color w:val="000000"/>
                <w:kern w:val="0"/>
                <w:sz w:val="15"/>
                <w:szCs w:val="15"/>
              </w:rPr>
              <w:t>处理</w:t>
            </w:r>
            <w:r>
              <w:rPr>
                <w:rFonts w:hint="eastAsia" w:ascii="宋体" w:hAnsi="宋体"/>
                <w:b/>
                <w:bCs/>
                <w:color w:val="000000"/>
                <w:kern w:val="0"/>
                <w:sz w:val="15"/>
                <w:szCs w:val="15"/>
              </w:rPr>
              <w:t>公司</w:t>
            </w:r>
            <w:r>
              <w:rPr>
                <w:rFonts w:hint="eastAsia" w:ascii="宋体" w:hAnsi="宋体"/>
                <w:b/>
                <w:bCs/>
                <w:color w:val="000000"/>
                <w:kern w:val="0"/>
                <w:sz w:val="15"/>
                <w:szCs w:val="15"/>
              </w:rPr>
              <w:br w:type="textWrapping"/>
            </w:r>
            <w:r>
              <w:rPr>
                <w:rFonts w:hint="eastAsia" w:ascii="宋体" w:hAnsi="宋体"/>
                <w:b/>
                <w:bCs/>
                <w:color w:val="000000"/>
                <w:kern w:val="0"/>
                <w:sz w:val="15"/>
                <w:szCs w:val="15"/>
              </w:rPr>
              <w:t>安全风险公告栏</w:t>
            </w:r>
          </w:p>
        </w:tc>
      </w:tr>
      <w:tr>
        <w:tblPrEx>
          <w:tblCellMar>
            <w:top w:w="0" w:type="dxa"/>
            <w:left w:w="108" w:type="dxa"/>
            <w:bottom w:w="0" w:type="dxa"/>
            <w:right w:w="108" w:type="dxa"/>
          </w:tblCellMar>
        </w:tblPrEx>
        <w:trPr>
          <w:trHeight w:val="1020" w:hRule="atLeast"/>
          <w:jc w:val="center"/>
        </w:trPr>
        <w:tc>
          <w:tcPr>
            <w:tcW w:w="457" w:type="dxa"/>
            <w:tcBorders>
              <w:top w:val="nil"/>
              <w:left w:val="single" w:color="auto" w:sz="4" w:space="0"/>
              <w:bottom w:val="single" w:color="auto" w:sz="4" w:space="0"/>
              <w:right w:val="single" w:color="auto" w:sz="4" w:space="0"/>
            </w:tcBorders>
            <w:vAlign w:val="center"/>
          </w:tcPr>
          <w:p>
            <w:pPr>
              <w:widowControl/>
              <w:jc w:val="center"/>
              <w:rPr>
                <w:rFonts w:ascii="宋体" w:hAnsi="宋体"/>
                <w:b/>
                <w:bCs/>
                <w:color w:val="000000"/>
                <w:kern w:val="0"/>
                <w:sz w:val="15"/>
                <w:szCs w:val="15"/>
              </w:rPr>
            </w:pPr>
            <w:r>
              <w:rPr>
                <w:rFonts w:hint="eastAsia" w:ascii="宋体" w:hAnsi="宋体"/>
                <w:b/>
                <w:bCs/>
                <w:color w:val="000000"/>
                <w:kern w:val="0"/>
                <w:sz w:val="15"/>
                <w:szCs w:val="15"/>
              </w:rPr>
              <w:t>序号</w:t>
            </w:r>
          </w:p>
        </w:tc>
        <w:tc>
          <w:tcPr>
            <w:tcW w:w="457" w:type="dxa"/>
            <w:tcBorders>
              <w:top w:val="nil"/>
              <w:left w:val="nil"/>
              <w:bottom w:val="single" w:color="auto" w:sz="4" w:space="0"/>
              <w:right w:val="single" w:color="auto" w:sz="4" w:space="0"/>
            </w:tcBorders>
            <w:vAlign w:val="center"/>
          </w:tcPr>
          <w:p>
            <w:pPr>
              <w:widowControl/>
              <w:jc w:val="center"/>
              <w:rPr>
                <w:rFonts w:ascii="宋体" w:hAnsi="宋体"/>
                <w:b/>
                <w:bCs/>
                <w:color w:val="000000"/>
                <w:kern w:val="0"/>
                <w:sz w:val="15"/>
                <w:szCs w:val="15"/>
              </w:rPr>
            </w:pPr>
            <w:r>
              <w:rPr>
                <w:rFonts w:hint="eastAsia" w:ascii="宋体" w:hAnsi="宋体"/>
                <w:b/>
                <w:bCs/>
                <w:color w:val="000000"/>
                <w:kern w:val="0"/>
                <w:sz w:val="15"/>
                <w:szCs w:val="15"/>
              </w:rPr>
              <w:t>风险点</w:t>
            </w:r>
          </w:p>
        </w:tc>
        <w:tc>
          <w:tcPr>
            <w:tcW w:w="755" w:type="dxa"/>
            <w:tcBorders>
              <w:top w:val="nil"/>
              <w:left w:val="nil"/>
              <w:bottom w:val="single" w:color="auto" w:sz="4" w:space="0"/>
              <w:right w:val="single" w:color="auto" w:sz="4" w:space="0"/>
            </w:tcBorders>
            <w:vAlign w:val="center"/>
          </w:tcPr>
          <w:p>
            <w:pPr>
              <w:widowControl/>
              <w:jc w:val="center"/>
              <w:rPr>
                <w:rFonts w:ascii="宋体" w:hAnsi="宋体"/>
                <w:b/>
                <w:bCs/>
                <w:color w:val="000000"/>
                <w:kern w:val="0"/>
                <w:sz w:val="15"/>
                <w:szCs w:val="15"/>
              </w:rPr>
            </w:pPr>
            <w:r>
              <w:rPr>
                <w:rFonts w:hint="eastAsia" w:ascii="宋体" w:hAnsi="宋体"/>
                <w:b/>
                <w:bCs/>
                <w:color w:val="000000"/>
                <w:kern w:val="0"/>
                <w:sz w:val="15"/>
                <w:szCs w:val="15"/>
              </w:rPr>
              <w:t>危险有害因素</w:t>
            </w:r>
          </w:p>
        </w:tc>
        <w:tc>
          <w:tcPr>
            <w:tcW w:w="727" w:type="dxa"/>
            <w:tcBorders>
              <w:top w:val="nil"/>
              <w:left w:val="nil"/>
              <w:bottom w:val="single" w:color="auto" w:sz="4" w:space="0"/>
              <w:right w:val="single" w:color="auto" w:sz="4" w:space="0"/>
            </w:tcBorders>
            <w:vAlign w:val="center"/>
          </w:tcPr>
          <w:p>
            <w:pPr>
              <w:widowControl/>
              <w:jc w:val="center"/>
              <w:rPr>
                <w:rFonts w:ascii="宋体" w:hAnsi="宋体"/>
                <w:b/>
                <w:bCs/>
                <w:color w:val="000000"/>
                <w:kern w:val="0"/>
                <w:sz w:val="15"/>
                <w:szCs w:val="15"/>
              </w:rPr>
            </w:pPr>
            <w:r>
              <w:rPr>
                <w:rFonts w:hint="eastAsia" w:ascii="宋体" w:hAnsi="宋体"/>
                <w:b/>
                <w:bCs/>
                <w:color w:val="000000"/>
                <w:kern w:val="0"/>
                <w:sz w:val="15"/>
                <w:szCs w:val="15"/>
              </w:rPr>
              <w:t>事故类型</w:t>
            </w:r>
          </w:p>
        </w:tc>
        <w:tc>
          <w:tcPr>
            <w:tcW w:w="457" w:type="dxa"/>
            <w:tcBorders>
              <w:top w:val="nil"/>
              <w:left w:val="nil"/>
              <w:bottom w:val="single" w:color="auto" w:sz="4" w:space="0"/>
              <w:right w:val="single" w:color="auto" w:sz="4" w:space="0"/>
            </w:tcBorders>
            <w:vAlign w:val="center"/>
          </w:tcPr>
          <w:p>
            <w:pPr>
              <w:widowControl/>
              <w:jc w:val="center"/>
              <w:rPr>
                <w:rFonts w:ascii="宋体" w:hAnsi="宋体"/>
                <w:b/>
                <w:bCs/>
                <w:color w:val="000000"/>
                <w:kern w:val="0"/>
                <w:sz w:val="15"/>
                <w:szCs w:val="15"/>
              </w:rPr>
            </w:pPr>
            <w:r>
              <w:rPr>
                <w:rFonts w:hint="eastAsia" w:ascii="宋体" w:hAnsi="宋体"/>
                <w:b/>
                <w:bCs/>
                <w:color w:val="000000"/>
                <w:kern w:val="0"/>
                <w:sz w:val="15"/>
                <w:szCs w:val="15"/>
              </w:rPr>
              <w:t>后果</w:t>
            </w:r>
          </w:p>
        </w:tc>
        <w:tc>
          <w:tcPr>
            <w:tcW w:w="457" w:type="dxa"/>
            <w:tcBorders>
              <w:top w:val="nil"/>
              <w:left w:val="nil"/>
              <w:bottom w:val="single" w:color="auto" w:sz="4" w:space="0"/>
              <w:right w:val="single" w:color="auto" w:sz="4" w:space="0"/>
            </w:tcBorders>
            <w:vAlign w:val="center"/>
          </w:tcPr>
          <w:p>
            <w:pPr>
              <w:widowControl/>
              <w:jc w:val="center"/>
              <w:rPr>
                <w:rFonts w:ascii="宋体" w:hAnsi="宋体"/>
                <w:b/>
                <w:bCs/>
                <w:color w:val="000000"/>
                <w:kern w:val="0"/>
                <w:sz w:val="15"/>
                <w:szCs w:val="15"/>
              </w:rPr>
            </w:pPr>
            <w:r>
              <w:rPr>
                <w:rFonts w:hint="eastAsia" w:ascii="宋体" w:hAnsi="宋体"/>
                <w:b/>
                <w:bCs/>
                <w:color w:val="000000"/>
                <w:kern w:val="0"/>
                <w:sz w:val="15"/>
                <w:szCs w:val="15"/>
              </w:rPr>
              <w:t>影响范围</w:t>
            </w:r>
          </w:p>
        </w:tc>
        <w:tc>
          <w:tcPr>
            <w:tcW w:w="1998" w:type="dxa"/>
            <w:tcBorders>
              <w:top w:val="nil"/>
              <w:left w:val="nil"/>
              <w:bottom w:val="single" w:color="auto" w:sz="4" w:space="0"/>
              <w:right w:val="single" w:color="auto" w:sz="4" w:space="0"/>
            </w:tcBorders>
            <w:vAlign w:val="center"/>
          </w:tcPr>
          <w:p>
            <w:pPr>
              <w:widowControl/>
              <w:jc w:val="center"/>
              <w:rPr>
                <w:rFonts w:ascii="宋体" w:hAnsi="宋体"/>
                <w:b/>
                <w:bCs/>
                <w:color w:val="000000"/>
                <w:kern w:val="0"/>
                <w:sz w:val="15"/>
                <w:szCs w:val="15"/>
              </w:rPr>
            </w:pPr>
            <w:r>
              <w:rPr>
                <w:rFonts w:hint="eastAsia" w:ascii="宋体" w:hAnsi="宋体"/>
                <w:b/>
                <w:bCs/>
                <w:color w:val="000000"/>
                <w:kern w:val="0"/>
                <w:sz w:val="15"/>
                <w:szCs w:val="15"/>
              </w:rPr>
              <w:t>风险等级</w:t>
            </w:r>
          </w:p>
        </w:tc>
        <w:tc>
          <w:tcPr>
            <w:tcW w:w="851" w:type="dxa"/>
            <w:tcBorders>
              <w:top w:val="nil"/>
              <w:left w:val="nil"/>
              <w:bottom w:val="single" w:color="auto" w:sz="4" w:space="0"/>
              <w:right w:val="single" w:color="auto" w:sz="4" w:space="0"/>
            </w:tcBorders>
            <w:vAlign w:val="center"/>
          </w:tcPr>
          <w:p>
            <w:pPr>
              <w:widowControl/>
              <w:jc w:val="center"/>
              <w:rPr>
                <w:rFonts w:ascii="宋体" w:hAnsi="宋体"/>
                <w:b/>
                <w:bCs/>
                <w:color w:val="000000"/>
                <w:kern w:val="0"/>
                <w:sz w:val="15"/>
                <w:szCs w:val="15"/>
              </w:rPr>
            </w:pPr>
            <w:r>
              <w:rPr>
                <w:rFonts w:hint="eastAsia" w:ascii="宋体" w:hAnsi="宋体"/>
                <w:b/>
                <w:bCs/>
                <w:color w:val="000000"/>
                <w:kern w:val="0"/>
                <w:sz w:val="15"/>
                <w:szCs w:val="15"/>
              </w:rPr>
              <w:t>管控措施</w:t>
            </w:r>
          </w:p>
        </w:tc>
        <w:tc>
          <w:tcPr>
            <w:tcW w:w="709" w:type="dxa"/>
            <w:tcBorders>
              <w:top w:val="nil"/>
              <w:left w:val="nil"/>
              <w:bottom w:val="single" w:color="auto" w:sz="4" w:space="0"/>
              <w:right w:val="single" w:color="auto" w:sz="4" w:space="0"/>
            </w:tcBorders>
            <w:vAlign w:val="center"/>
          </w:tcPr>
          <w:p>
            <w:pPr>
              <w:widowControl/>
              <w:jc w:val="center"/>
              <w:rPr>
                <w:rFonts w:ascii="宋体" w:hAnsi="宋体"/>
                <w:b/>
                <w:bCs/>
                <w:color w:val="000000"/>
                <w:kern w:val="0"/>
                <w:sz w:val="15"/>
                <w:szCs w:val="15"/>
              </w:rPr>
            </w:pPr>
            <w:r>
              <w:rPr>
                <w:rFonts w:hint="eastAsia" w:ascii="宋体" w:hAnsi="宋体"/>
                <w:b/>
                <w:bCs/>
                <w:color w:val="000000"/>
                <w:kern w:val="0"/>
                <w:sz w:val="15"/>
                <w:szCs w:val="15"/>
              </w:rPr>
              <w:t>应急措施</w:t>
            </w:r>
          </w:p>
        </w:tc>
        <w:tc>
          <w:tcPr>
            <w:tcW w:w="567" w:type="dxa"/>
            <w:tcBorders>
              <w:top w:val="nil"/>
              <w:left w:val="nil"/>
              <w:bottom w:val="single" w:color="auto" w:sz="4" w:space="0"/>
              <w:right w:val="single" w:color="auto" w:sz="4" w:space="0"/>
            </w:tcBorders>
            <w:vAlign w:val="center"/>
          </w:tcPr>
          <w:p>
            <w:pPr>
              <w:widowControl/>
              <w:jc w:val="center"/>
              <w:rPr>
                <w:rFonts w:ascii="宋体" w:hAnsi="宋体"/>
                <w:b/>
                <w:bCs/>
                <w:color w:val="000000"/>
                <w:kern w:val="0"/>
                <w:sz w:val="15"/>
                <w:szCs w:val="15"/>
              </w:rPr>
            </w:pPr>
            <w:r>
              <w:rPr>
                <w:rFonts w:hint="eastAsia" w:ascii="宋体" w:hAnsi="宋体"/>
                <w:b/>
                <w:bCs/>
                <w:color w:val="000000"/>
                <w:kern w:val="0"/>
                <w:sz w:val="15"/>
                <w:szCs w:val="15"/>
              </w:rPr>
              <w:t>责任人</w:t>
            </w:r>
          </w:p>
        </w:tc>
        <w:tc>
          <w:tcPr>
            <w:tcW w:w="1195" w:type="dxa"/>
            <w:tcBorders>
              <w:top w:val="nil"/>
              <w:left w:val="nil"/>
              <w:bottom w:val="single" w:color="auto" w:sz="4" w:space="0"/>
              <w:right w:val="single" w:color="auto" w:sz="4" w:space="0"/>
            </w:tcBorders>
            <w:vAlign w:val="center"/>
          </w:tcPr>
          <w:p>
            <w:pPr>
              <w:widowControl/>
              <w:jc w:val="center"/>
              <w:rPr>
                <w:rFonts w:ascii="宋体" w:hAnsi="宋体"/>
                <w:b/>
                <w:bCs/>
                <w:color w:val="000000"/>
                <w:kern w:val="0"/>
                <w:sz w:val="15"/>
                <w:szCs w:val="15"/>
              </w:rPr>
            </w:pPr>
            <w:r>
              <w:rPr>
                <w:rFonts w:hint="eastAsia" w:ascii="宋体" w:hAnsi="宋体"/>
                <w:b/>
                <w:bCs/>
                <w:color w:val="000000"/>
                <w:kern w:val="0"/>
                <w:sz w:val="15"/>
                <w:szCs w:val="15"/>
              </w:rPr>
              <w:t>联系电话</w:t>
            </w:r>
          </w:p>
        </w:tc>
      </w:tr>
      <w:tr>
        <w:tblPrEx>
          <w:tblCellMar>
            <w:top w:w="0" w:type="dxa"/>
            <w:left w:w="108" w:type="dxa"/>
            <w:bottom w:w="0" w:type="dxa"/>
            <w:right w:w="108" w:type="dxa"/>
          </w:tblCellMar>
        </w:tblPrEx>
        <w:trPr>
          <w:trHeight w:val="805" w:hRule="atLeast"/>
          <w:jc w:val="center"/>
        </w:trPr>
        <w:tc>
          <w:tcPr>
            <w:tcW w:w="457" w:type="dxa"/>
            <w:tcBorders>
              <w:top w:val="nil"/>
              <w:left w:val="single" w:color="auto" w:sz="4" w:space="0"/>
              <w:bottom w:val="single" w:color="auto" w:sz="4" w:space="0"/>
              <w:right w:val="single" w:color="auto" w:sz="4" w:space="0"/>
            </w:tcBorders>
            <w:vAlign w:val="center"/>
          </w:tcPr>
          <w:p>
            <w:pPr>
              <w:widowControl/>
              <w:jc w:val="center"/>
              <w:rPr>
                <w:rFonts w:ascii="宋体" w:hAnsi="宋体"/>
                <w:color w:val="000000"/>
                <w:kern w:val="0"/>
                <w:sz w:val="15"/>
                <w:szCs w:val="15"/>
              </w:rPr>
            </w:pPr>
            <w:r>
              <w:rPr>
                <w:rFonts w:hint="eastAsia" w:ascii="宋体" w:hAnsi="宋体"/>
                <w:color w:val="000000"/>
                <w:kern w:val="0"/>
                <w:sz w:val="15"/>
                <w:szCs w:val="15"/>
              </w:rPr>
              <w:t>1</w:t>
            </w:r>
          </w:p>
        </w:tc>
        <w:tc>
          <w:tcPr>
            <w:tcW w:w="45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755"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72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45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45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1998" w:type="dxa"/>
            <w:tcBorders>
              <w:top w:val="nil"/>
              <w:left w:val="nil"/>
              <w:bottom w:val="single" w:color="auto" w:sz="4" w:space="0"/>
              <w:right w:val="single" w:color="auto" w:sz="4" w:space="0"/>
            </w:tcBorders>
            <w:shd w:val="clear" w:color="auto" w:fill="FC0000"/>
            <w:vAlign w:val="center"/>
          </w:tcPr>
          <w:p>
            <w:pPr>
              <w:widowControl/>
              <w:jc w:val="center"/>
              <w:rPr>
                <w:rFonts w:ascii="宋体" w:hAnsi="宋体"/>
                <w:b/>
                <w:bCs/>
                <w:color w:val="000000"/>
                <w:kern w:val="0"/>
                <w:sz w:val="15"/>
                <w:szCs w:val="15"/>
              </w:rPr>
            </w:pPr>
            <w:r>
              <w:rPr>
                <w:rFonts w:hint="eastAsia" w:ascii="宋体" w:hAnsi="宋体"/>
                <w:b/>
                <w:bCs/>
                <w:color w:val="000000"/>
                <w:kern w:val="0"/>
                <w:sz w:val="15"/>
                <w:szCs w:val="15"/>
              </w:rPr>
              <w:t>重大风险</w:t>
            </w:r>
          </w:p>
        </w:tc>
        <w:tc>
          <w:tcPr>
            <w:tcW w:w="851"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709"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56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1195"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r>
      <w:tr>
        <w:tblPrEx>
          <w:tblCellMar>
            <w:top w:w="0" w:type="dxa"/>
            <w:left w:w="108" w:type="dxa"/>
            <w:bottom w:w="0" w:type="dxa"/>
            <w:right w:w="108" w:type="dxa"/>
          </w:tblCellMar>
        </w:tblPrEx>
        <w:trPr>
          <w:trHeight w:val="689" w:hRule="atLeast"/>
          <w:jc w:val="center"/>
        </w:trPr>
        <w:tc>
          <w:tcPr>
            <w:tcW w:w="457" w:type="dxa"/>
            <w:tcBorders>
              <w:top w:val="nil"/>
              <w:left w:val="single" w:color="auto" w:sz="4" w:space="0"/>
              <w:bottom w:val="single" w:color="auto" w:sz="4" w:space="0"/>
              <w:right w:val="single" w:color="auto" w:sz="4" w:space="0"/>
            </w:tcBorders>
            <w:vAlign w:val="center"/>
          </w:tcPr>
          <w:p>
            <w:pPr>
              <w:widowControl/>
              <w:jc w:val="center"/>
              <w:rPr>
                <w:rFonts w:ascii="宋体" w:hAnsi="宋体"/>
                <w:color w:val="000000"/>
                <w:kern w:val="0"/>
                <w:sz w:val="15"/>
                <w:szCs w:val="15"/>
              </w:rPr>
            </w:pPr>
            <w:r>
              <w:rPr>
                <w:rFonts w:hint="eastAsia" w:ascii="宋体" w:hAnsi="宋体"/>
                <w:color w:val="000000"/>
                <w:kern w:val="0"/>
                <w:sz w:val="15"/>
                <w:szCs w:val="15"/>
              </w:rPr>
              <w:t>2</w:t>
            </w:r>
          </w:p>
        </w:tc>
        <w:tc>
          <w:tcPr>
            <w:tcW w:w="45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755"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72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45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45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1998" w:type="dxa"/>
            <w:tcBorders>
              <w:top w:val="nil"/>
              <w:left w:val="nil"/>
              <w:bottom w:val="single" w:color="auto" w:sz="4" w:space="0"/>
              <w:right w:val="single" w:color="auto" w:sz="4" w:space="0"/>
            </w:tcBorders>
            <w:shd w:val="clear" w:color="auto" w:fill="FFC000"/>
            <w:vAlign w:val="center"/>
          </w:tcPr>
          <w:p>
            <w:pPr>
              <w:widowControl/>
              <w:jc w:val="center"/>
              <w:rPr>
                <w:rFonts w:ascii="宋体" w:hAnsi="宋体"/>
                <w:b/>
                <w:bCs/>
                <w:color w:val="000000"/>
                <w:kern w:val="0"/>
                <w:sz w:val="15"/>
                <w:szCs w:val="15"/>
              </w:rPr>
            </w:pPr>
            <w:r>
              <w:rPr>
                <w:rFonts w:hint="eastAsia" w:ascii="宋体" w:hAnsi="宋体"/>
                <w:b/>
                <w:bCs/>
                <w:color w:val="000000"/>
                <w:kern w:val="0"/>
                <w:sz w:val="15"/>
                <w:szCs w:val="15"/>
              </w:rPr>
              <w:t>较大风险</w:t>
            </w:r>
          </w:p>
        </w:tc>
        <w:tc>
          <w:tcPr>
            <w:tcW w:w="851"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709"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567"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1195" w:type="dxa"/>
            <w:tcBorders>
              <w:top w:val="nil"/>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r>
      <w:tr>
        <w:tblPrEx>
          <w:tblCellMar>
            <w:top w:w="0" w:type="dxa"/>
            <w:left w:w="108" w:type="dxa"/>
            <w:bottom w:w="0" w:type="dxa"/>
            <w:right w:w="108" w:type="dxa"/>
          </w:tblCellMar>
        </w:tblPrEx>
        <w:trPr>
          <w:trHeight w:val="569" w:hRule="atLeast"/>
          <w:jc w:val="center"/>
        </w:trPr>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kern w:val="0"/>
                <w:sz w:val="15"/>
                <w:szCs w:val="15"/>
              </w:rPr>
            </w:pPr>
            <w:r>
              <w:rPr>
                <w:rFonts w:hint="eastAsia" w:ascii="宋体" w:hAnsi="宋体"/>
                <w:color w:val="000000"/>
                <w:kern w:val="0"/>
                <w:sz w:val="15"/>
                <w:szCs w:val="15"/>
              </w:rPr>
              <w:t>3</w:t>
            </w:r>
          </w:p>
        </w:tc>
        <w:tc>
          <w:tcPr>
            <w:tcW w:w="457"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755"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727"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457"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457"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1998" w:type="dxa"/>
            <w:tcBorders>
              <w:top w:val="single" w:color="auto" w:sz="4" w:space="0"/>
              <w:left w:val="nil"/>
              <w:bottom w:val="single" w:color="auto" w:sz="4" w:space="0"/>
              <w:right w:val="single" w:color="auto" w:sz="4" w:space="0"/>
            </w:tcBorders>
            <w:shd w:val="clear" w:color="auto" w:fill="FFFF00"/>
            <w:vAlign w:val="center"/>
          </w:tcPr>
          <w:p>
            <w:pPr>
              <w:widowControl/>
              <w:jc w:val="center"/>
              <w:rPr>
                <w:rFonts w:ascii="宋体" w:hAnsi="宋体"/>
                <w:b/>
                <w:bCs/>
                <w:color w:val="000000"/>
                <w:kern w:val="0"/>
                <w:sz w:val="15"/>
                <w:szCs w:val="15"/>
              </w:rPr>
            </w:pPr>
            <w:r>
              <w:rPr>
                <w:rFonts w:hint="eastAsia" w:ascii="宋体" w:hAnsi="宋体"/>
                <w:b/>
                <w:bCs/>
                <w:color w:val="000000"/>
                <w:kern w:val="0"/>
                <w:sz w:val="15"/>
                <w:szCs w:val="15"/>
              </w:rPr>
              <w:t>一般风险</w:t>
            </w:r>
          </w:p>
        </w:tc>
        <w:tc>
          <w:tcPr>
            <w:tcW w:w="851"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709"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567"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1195"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r>
      <w:tr>
        <w:tblPrEx>
          <w:tblCellMar>
            <w:top w:w="0" w:type="dxa"/>
            <w:left w:w="108" w:type="dxa"/>
            <w:bottom w:w="0" w:type="dxa"/>
            <w:right w:w="108" w:type="dxa"/>
          </w:tblCellMar>
        </w:tblPrEx>
        <w:trPr>
          <w:trHeight w:val="563" w:hRule="atLeast"/>
          <w:jc w:val="center"/>
        </w:trPr>
        <w:tc>
          <w:tcPr>
            <w:tcW w:w="457"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olor w:val="000000"/>
                <w:kern w:val="0"/>
                <w:sz w:val="15"/>
                <w:szCs w:val="15"/>
              </w:rPr>
            </w:pPr>
            <w:r>
              <w:rPr>
                <w:rFonts w:hint="eastAsia" w:ascii="宋体" w:hAnsi="宋体"/>
                <w:color w:val="000000"/>
                <w:kern w:val="0"/>
                <w:sz w:val="15"/>
                <w:szCs w:val="15"/>
              </w:rPr>
              <w:t>4</w:t>
            </w:r>
          </w:p>
        </w:tc>
        <w:tc>
          <w:tcPr>
            <w:tcW w:w="457"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755"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727"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457"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457"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1998" w:type="dxa"/>
            <w:tcBorders>
              <w:top w:val="single" w:color="auto" w:sz="4" w:space="0"/>
              <w:left w:val="nil"/>
              <w:bottom w:val="single" w:color="auto" w:sz="4" w:space="0"/>
              <w:right w:val="single" w:color="auto" w:sz="4" w:space="0"/>
            </w:tcBorders>
            <w:shd w:val="clear" w:color="auto" w:fill="0000FF"/>
            <w:vAlign w:val="center"/>
          </w:tcPr>
          <w:p>
            <w:pPr>
              <w:widowControl/>
              <w:jc w:val="center"/>
              <w:rPr>
                <w:rFonts w:ascii="宋体" w:hAnsi="宋体"/>
                <w:b/>
                <w:bCs/>
                <w:color w:val="000000"/>
                <w:kern w:val="0"/>
                <w:sz w:val="15"/>
                <w:szCs w:val="15"/>
              </w:rPr>
            </w:pPr>
            <w:r>
              <w:rPr>
                <w:rFonts w:hint="eastAsia" w:ascii="宋体" w:hAnsi="宋体"/>
                <w:b/>
                <w:bCs/>
                <w:color w:val="E7E6E6"/>
                <w:kern w:val="0"/>
                <w:sz w:val="15"/>
                <w:szCs w:val="15"/>
              </w:rPr>
              <w:t>低风险</w:t>
            </w:r>
          </w:p>
        </w:tc>
        <w:tc>
          <w:tcPr>
            <w:tcW w:w="851"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709"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567"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c>
          <w:tcPr>
            <w:tcW w:w="1195" w:type="dxa"/>
            <w:tcBorders>
              <w:top w:val="single" w:color="auto" w:sz="4" w:space="0"/>
              <w:left w:val="nil"/>
              <w:bottom w:val="single" w:color="auto" w:sz="4" w:space="0"/>
              <w:right w:val="single" w:color="auto" w:sz="4" w:space="0"/>
            </w:tcBorders>
            <w:vAlign w:val="center"/>
          </w:tcPr>
          <w:p>
            <w:pPr>
              <w:widowControl/>
              <w:jc w:val="left"/>
              <w:rPr>
                <w:rFonts w:ascii="宋体" w:hAnsi="宋体"/>
                <w:color w:val="000000"/>
                <w:kern w:val="0"/>
                <w:sz w:val="15"/>
                <w:szCs w:val="15"/>
              </w:rPr>
            </w:pPr>
          </w:p>
        </w:tc>
      </w:tr>
    </w:tbl>
    <w:p>
      <w:pPr>
        <w:pStyle w:val="83"/>
        <w:spacing w:before="120" w:after="120"/>
        <w:rPr>
          <w:szCs w:val="21"/>
        </w:rPr>
      </w:pPr>
      <w:r>
        <w:rPr>
          <w:rFonts w:hint="eastAsia" w:hAnsi="黑体"/>
        </w:rPr>
        <w:t xml:space="preserve"> 安全风险公告栏</w:t>
      </w:r>
    </w:p>
    <w:p>
      <w:pPr>
        <w:pStyle w:val="83"/>
        <w:numPr>
          <w:ilvl w:val="0"/>
          <w:numId w:val="0"/>
        </w:numPr>
        <w:spacing w:before="120" w:after="120"/>
        <w:jc w:val="both"/>
      </w:pP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3"/>
        <w:gridCol w:w="1623"/>
        <w:gridCol w:w="1824"/>
        <w:gridCol w:w="1417"/>
        <w:gridCol w:w="1276"/>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8" w:hRule="atLeast"/>
        </w:trPr>
        <w:tc>
          <w:tcPr>
            <w:tcW w:w="162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 w:eastAsia="仿宋_GB2312"/>
                <w:b/>
                <w:sz w:val="15"/>
                <w:szCs w:val="15"/>
              </w:rPr>
            </w:pPr>
            <w:bookmarkStart w:id="135" w:name="_Hlk142406224"/>
            <w:r>
              <w:rPr>
                <w:rFonts w:hint="eastAsia" w:ascii="仿宋_GB2312" w:hAnsi="仿宋" w:eastAsia="仿宋_GB2312"/>
                <w:b/>
                <w:sz w:val="15"/>
                <w:szCs w:val="15"/>
              </w:rPr>
              <w:t>风险点名称</w:t>
            </w:r>
            <w:bookmarkEnd w:id="135"/>
          </w:p>
        </w:tc>
        <w:tc>
          <w:tcPr>
            <w:tcW w:w="162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15"/>
                <w:szCs w:val="15"/>
              </w:rPr>
            </w:pPr>
          </w:p>
        </w:tc>
        <w:tc>
          <w:tcPr>
            <w:tcW w:w="4517"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 w:eastAsia="仿宋_GB2312"/>
                <w:b/>
                <w:sz w:val="15"/>
                <w:szCs w:val="15"/>
              </w:rPr>
            </w:pPr>
            <w:r>
              <w:rPr>
                <w:rFonts w:hint="eastAsia" w:ascii="仿宋_GB2312" w:hAnsi="仿宋" w:eastAsia="仿宋_GB2312"/>
                <w:b/>
                <w:sz w:val="15"/>
                <w:szCs w:val="15"/>
              </w:rPr>
              <w:t>安全警示标识</w:t>
            </w:r>
          </w:p>
        </w:tc>
        <w:tc>
          <w:tcPr>
            <w:tcW w:w="1807"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15"/>
                <w:szCs w:val="15"/>
              </w:rPr>
            </w:pPr>
            <w:r>
              <w:rPr>
                <w:rFonts w:hint="eastAsia" w:ascii="仿宋_GB2312" w:hAnsi="仿宋" w:eastAsia="仿宋_GB2312"/>
                <w:b/>
                <w:sz w:val="15"/>
                <w:szCs w:val="15"/>
              </w:rPr>
              <w:t>巡检点二维码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2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 w:eastAsia="仿宋_GB2312"/>
                <w:b/>
                <w:sz w:val="15"/>
                <w:szCs w:val="15"/>
              </w:rPr>
            </w:pPr>
            <w:r>
              <w:rPr>
                <w:rFonts w:hint="eastAsia" w:ascii="仿宋_GB2312" w:hAnsi="仿宋" w:eastAsia="仿宋_GB2312"/>
                <w:b/>
                <w:sz w:val="15"/>
                <w:szCs w:val="15"/>
              </w:rPr>
              <w:t>危险源或潜在事件</w:t>
            </w:r>
          </w:p>
        </w:tc>
        <w:tc>
          <w:tcPr>
            <w:tcW w:w="162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15"/>
                <w:szCs w:val="15"/>
              </w:rPr>
            </w:pPr>
          </w:p>
        </w:tc>
        <w:tc>
          <w:tcPr>
            <w:tcW w:w="1824" w:type="dxa"/>
            <w:vMerge w:val="restart"/>
            <w:tcBorders>
              <w:top w:val="nil"/>
              <w:left w:val="nil"/>
              <w:bottom w:val="single" w:color="auto" w:sz="4" w:space="0"/>
              <w:right w:val="single" w:color="auto" w:sz="4" w:space="0"/>
            </w:tcBorders>
            <w:vAlign w:val="center"/>
          </w:tcPr>
          <w:p>
            <w:pPr>
              <w:jc w:val="center"/>
              <w:rPr>
                <w:rFonts w:ascii="仿宋_GB2312" w:hAnsi="仿宋" w:eastAsia="仿宋_GB2312"/>
                <w:sz w:val="15"/>
                <w:szCs w:val="15"/>
              </w:rPr>
            </w:pPr>
          </w:p>
        </w:tc>
        <w:tc>
          <w:tcPr>
            <w:tcW w:w="1417" w:type="dxa"/>
            <w:vMerge w:val="restart"/>
            <w:tcBorders>
              <w:top w:val="nil"/>
              <w:left w:val="nil"/>
              <w:bottom w:val="single" w:color="auto" w:sz="4" w:space="0"/>
              <w:right w:val="single" w:color="auto" w:sz="4" w:space="0"/>
            </w:tcBorders>
            <w:vAlign w:val="center"/>
          </w:tcPr>
          <w:p>
            <w:pPr>
              <w:jc w:val="center"/>
              <w:rPr>
                <w:rFonts w:ascii="仿宋_GB2312" w:hAnsi="仿宋" w:eastAsia="仿宋_GB2312"/>
                <w:sz w:val="15"/>
                <w:szCs w:val="15"/>
              </w:rPr>
            </w:pPr>
          </w:p>
        </w:tc>
        <w:tc>
          <w:tcPr>
            <w:tcW w:w="1276" w:type="dxa"/>
            <w:vMerge w:val="restart"/>
            <w:tcBorders>
              <w:top w:val="single" w:color="auto" w:sz="4" w:space="0"/>
              <w:left w:val="nil"/>
              <w:bottom w:val="single" w:color="auto" w:sz="4" w:space="0"/>
              <w:right w:val="single" w:color="auto" w:sz="4" w:space="0"/>
            </w:tcBorders>
            <w:vAlign w:val="center"/>
          </w:tcPr>
          <w:p>
            <w:pPr>
              <w:jc w:val="center"/>
              <w:rPr>
                <w:rFonts w:ascii="仿宋_GB2312" w:hAnsi="仿宋" w:eastAsia="仿宋_GB2312"/>
                <w:sz w:val="15"/>
                <w:szCs w:val="15"/>
              </w:rPr>
            </w:pPr>
          </w:p>
        </w:tc>
        <w:tc>
          <w:tcPr>
            <w:tcW w:w="1807" w:type="dxa"/>
            <w:vMerge w:val="restart"/>
            <w:tcBorders>
              <w:top w:val="single" w:color="auto" w:sz="4" w:space="0"/>
              <w:left w:val="nil"/>
              <w:bottom w:val="single" w:color="auto" w:sz="4" w:space="0"/>
              <w:right w:val="single" w:color="auto" w:sz="4" w:space="0"/>
            </w:tcBorders>
            <w:vAlign w:val="center"/>
          </w:tcPr>
          <w:p>
            <w:pPr>
              <w:jc w:val="center"/>
              <w:rPr>
                <w:rFonts w:ascii="仿宋_GB2312" w:hAnsi="仿宋" w:eastAsia="仿宋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2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 w:eastAsia="仿宋_GB2312"/>
                <w:b/>
                <w:sz w:val="15"/>
                <w:szCs w:val="15"/>
              </w:rPr>
            </w:pPr>
            <w:r>
              <w:rPr>
                <w:rFonts w:hint="eastAsia" w:ascii="仿宋_GB2312" w:hAnsi="仿宋" w:eastAsia="仿宋_GB2312"/>
                <w:b/>
                <w:sz w:val="15"/>
                <w:szCs w:val="15"/>
              </w:rPr>
              <w:t>可能导致的事故后果</w:t>
            </w:r>
          </w:p>
        </w:tc>
        <w:tc>
          <w:tcPr>
            <w:tcW w:w="162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15"/>
                <w:szCs w:val="15"/>
              </w:rPr>
            </w:pPr>
          </w:p>
        </w:tc>
        <w:tc>
          <w:tcPr>
            <w:tcW w:w="0" w:type="auto"/>
            <w:vMerge w:val="continue"/>
            <w:tcBorders>
              <w:top w:val="nil"/>
              <w:left w:val="nil"/>
              <w:bottom w:val="single" w:color="auto" w:sz="4" w:space="0"/>
              <w:right w:val="single" w:color="auto" w:sz="4" w:space="0"/>
            </w:tcBorders>
            <w:vAlign w:val="center"/>
          </w:tcPr>
          <w:p>
            <w:pPr>
              <w:widowControl/>
              <w:adjustRightInd/>
              <w:spacing w:line="240" w:lineRule="auto"/>
              <w:jc w:val="left"/>
              <w:rPr>
                <w:rFonts w:ascii="仿宋_GB2312" w:hAnsi="仿宋" w:eastAsia="仿宋_GB2312"/>
                <w:sz w:val="15"/>
                <w:szCs w:val="15"/>
              </w:rPr>
            </w:pPr>
          </w:p>
        </w:tc>
        <w:tc>
          <w:tcPr>
            <w:tcW w:w="0" w:type="auto"/>
            <w:vMerge w:val="continue"/>
            <w:tcBorders>
              <w:top w:val="nil"/>
              <w:left w:val="nil"/>
              <w:bottom w:val="single" w:color="auto" w:sz="4" w:space="0"/>
              <w:right w:val="single" w:color="auto" w:sz="4" w:space="0"/>
            </w:tcBorders>
            <w:vAlign w:val="center"/>
          </w:tcPr>
          <w:p>
            <w:pPr>
              <w:widowControl/>
              <w:adjustRightInd/>
              <w:spacing w:line="240" w:lineRule="auto"/>
              <w:jc w:val="left"/>
              <w:rPr>
                <w:rFonts w:ascii="仿宋_GB2312" w:hAnsi="仿宋" w:eastAsia="仿宋_GB2312"/>
                <w:sz w:val="15"/>
                <w:szCs w:val="15"/>
              </w:rPr>
            </w:pPr>
          </w:p>
        </w:tc>
        <w:tc>
          <w:tcPr>
            <w:tcW w:w="0" w:type="auto"/>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left"/>
              <w:rPr>
                <w:rFonts w:ascii="仿宋_GB2312" w:hAnsi="仿宋" w:eastAsia="仿宋_GB2312"/>
                <w:sz w:val="15"/>
                <w:szCs w:val="15"/>
              </w:rPr>
            </w:pPr>
          </w:p>
        </w:tc>
        <w:tc>
          <w:tcPr>
            <w:tcW w:w="0" w:type="auto"/>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left"/>
              <w:rPr>
                <w:rFonts w:ascii="仿宋_GB2312" w:hAnsi="仿宋" w:eastAsia="仿宋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2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 w:eastAsia="仿宋_GB2312"/>
                <w:b/>
                <w:color w:val="E7E6E6"/>
                <w:sz w:val="15"/>
                <w:szCs w:val="15"/>
              </w:rPr>
            </w:pPr>
            <w:r>
              <w:rPr>
                <w:rFonts w:hint="eastAsia" w:ascii="仿宋_GB2312" w:hAnsi="仿宋" w:eastAsia="仿宋_GB2312"/>
                <w:b/>
                <w:sz w:val="15"/>
                <w:szCs w:val="15"/>
              </w:rPr>
              <w:t>风险点等级</w:t>
            </w:r>
          </w:p>
        </w:tc>
        <w:tc>
          <w:tcPr>
            <w:tcW w:w="1623" w:type="dxa"/>
            <w:tcBorders>
              <w:top w:val="single" w:color="auto" w:sz="4" w:space="0"/>
              <w:left w:val="single" w:color="auto" w:sz="4" w:space="0"/>
              <w:bottom w:val="single" w:color="auto" w:sz="4" w:space="0"/>
              <w:right w:val="single" w:color="auto" w:sz="4" w:space="0"/>
            </w:tcBorders>
            <w:shd w:val="clear" w:color="auto" w:fill="0000FF"/>
            <w:vAlign w:val="center"/>
          </w:tcPr>
          <w:p>
            <w:pPr>
              <w:jc w:val="center"/>
              <w:rPr>
                <w:rFonts w:ascii="仿宋_GB2312" w:hAnsi="仿宋" w:eastAsia="仿宋_GB2312"/>
                <w:color w:val="E7E6E6"/>
                <w:sz w:val="15"/>
                <w:szCs w:val="15"/>
              </w:rPr>
            </w:pPr>
            <w:r>
              <w:rPr>
                <w:rFonts w:hint="eastAsia" w:ascii="仿宋_GB2312" w:hAnsi="仿宋" w:eastAsia="仿宋_GB2312"/>
                <w:b/>
                <w:color w:val="E7E6E6"/>
                <w:sz w:val="15"/>
                <w:szCs w:val="15"/>
              </w:rPr>
              <w:t>低风险</w:t>
            </w:r>
          </w:p>
        </w:tc>
        <w:tc>
          <w:tcPr>
            <w:tcW w:w="1824" w:type="dxa"/>
            <w:vMerge w:val="restart"/>
            <w:tcBorders>
              <w:top w:val="nil"/>
              <w:left w:val="nil"/>
              <w:bottom w:val="single" w:color="auto" w:sz="4" w:space="0"/>
              <w:right w:val="single" w:color="auto" w:sz="4" w:space="0"/>
            </w:tcBorders>
            <w:vAlign w:val="center"/>
          </w:tcPr>
          <w:p>
            <w:pPr>
              <w:jc w:val="center"/>
              <w:rPr>
                <w:rFonts w:ascii="仿宋_GB2312" w:hAnsi="仿宋" w:eastAsia="仿宋_GB2312"/>
                <w:sz w:val="15"/>
                <w:szCs w:val="15"/>
              </w:rPr>
            </w:pPr>
          </w:p>
        </w:tc>
        <w:tc>
          <w:tcPr>
            <w:tcW w:w="1417" w:type="dxa"/>
            <w:vMerge w:val="restart"/>
            <w:tcBorders>
              <w:top w:val="nil"/>
              <w:left w:val="nil"/>
              <w:bottom w:val="single" w:color="auto" w:sz="4" w:space="0"/>
              <w:right w:val="single" w:color="auto" w:sz="4" w:space="0"/>
            </w:tcBorders>
            <w:vAlign w:val="center"/>
          </w:tcPr>
          <w:p>
            <w:pPr>
              <w:jc w:val="center"/>
              <w:rPr>
                <w:rFonts w:ascii="仿宋_GB2312" w:hAnsi="仿宋" w:eastAsia="仿宋_GB2312"/>
                <w:sz w:val="15"/>
                <w:szCs w:val="15"/>
              </w:rPr>
            </w:pPr>
          </w:p>
        </w:tc>
        <w:tc>
          <w:tcPr>
            <w:tcW w:w="1276" w:type="dxa"/>
            <w:vMerge w:val="restart"/>
            <w:tcBorders>
              <w:top w:val="nil"/>
              <w:left w:val="nil"/>
              <w:bottom w:val="single" w:color="auto" w:sz="4" w:space="0"/>
              <w:right w:val="single" w:color="auto" w:sz="4" w:space="0"/>
            </w:tcBorders>
            <w:vAlign w:val="center"/>
          </w:tcPr>
          <w:p>
            <w:pPr>
              <w:jc w:val="center"/>
              <w:rPr>
                <w:rFonts w:ascii="仿宋_GB2312" w:hAnsi="仿宋" w:eastAsia="仿宋_GB2312"/>
                <w:sz w:val="15"/>
                <w:szCs w:val="15"/>
              </w:rPr>
            </w:pPr>
          </w:p>
        </w:tc>
        <w:tc>
          <w:tcPr>
            <w:tcW w:w="0" w:type="auto"/>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left"/>
              <w:rPr>
                <w:rFonts w:ascii="仿宋_GB2312" w:hAnsi="仿宋" w:eastAsia="仿宋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1" w:hRule="atLeast"/>
        </w:trPr>
        <w:tc>
          <w:tcPr>
            <w:tcW w:w="162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 w:eastAsia="仿宋_GB2312"/>
                <w:b/>
                <w:sz w:val="15"/>
                <w:szCs w:val="15"/>
              </w:rPr>
            </w:pPr>
            <w:r>
              <w:rPr>
                <w:rFonts w:hint="eastAsia" w:ascii="仿宋_GB2312" w:hAnsi="仿宋" w:eastAsia="仿宋_GB2312"/>
                <w:b/>
                <w:sz w:val="15"/>
                <w:szCs w:val="15"/>
              </w:rPr>
              <w:t>管控责任人</w:t>
            </w:r>
          </w:p>
          <w:p>
            <w:pPr>
              <w:spacing w:line="240" w:lineRule="exact"/>
              <w:jc w:val="center"/>
              <w:rPr>
                <w:rFonts w:ascii="仿宋_GB2312" w:hAnsi="仿宋" w:eastAsia="仿宋_GB2312"/>
                <w:b/>
                <w:sz w:val="15"/>
                <w:szCs w:val="15"/>
              </w:rPr>
            </w:pPr>
            <w:r>
              <w:rPr>
                <w:rFonts w:hint="eastAsia" w:ascii="仿宋_GB2312" w:hAnsi="仿宋" w:eastAsia="仿宋_GB2312"/>
                <w:b/>
                <w:sz w:val="15"/>
                <w:szCs w:val="15"/>
              </w:rPr>
              <w:t>及管控层级</w:t>
            </w:r>
          </w:p>
        </w:tc>
        <w:tc>
          <w:tcPr>
            <w:tcW w:w="1623" w:type="dxa"/>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15"/>
                <w:szCs w:val="15"/>
              </w:rPr>
            </w:pPr>
          </w:p>
        </w:tc>
        <w:tc>
          <w:tcPr>
            <w:tcW w:w="0" w:type="auto"/>
            <w:vMerge w:val="continue"/>
            <w:tcBorders>
              <w:top w:val="nil"/>
              <w:left w:val="nil"/>
              <w:bottom w:val="single" w:color="auto" w:sz="4" w:space="0"/>
              <w:right w:val="single" w:color="auto" w:sz="4" w:space="0"/>
            </w:tcBorders>
            <w:vAlign w:val="center"/>
          </w:tcPr>
          <w:p>
            <w:pPr>
              <w:widowControl/>
              <w:adjustRightInd/>
              <w:spacing w:line="240" w:lineRule="auto"/>
              <w:jc w:val="left"/>
              <w:rPr>
                <w:rFonts w:ascii="仿宋_GB2312" w:hAnsi="仿宋" w:eastAsia="仿宋_GB2312"/>
                <w:sz w:val="15"/>
                <w:szCs w:val="15"/>
              </w:rPr>
            </w:pPr>
          </w:p>
        </w:tc>
        <w:tc>
          <w:tcPr>
            <w:tcW w:w="0" w:type="auto"/>
            <w:vMerge w:val="continue"/>
            <w:tcBorders>
              <w:top w:val="nil"/>
              <w:left w:val="nil"/>
              <w:bottom w:val="single" w:color="auto" w:sz="4" w:space="0"/>
              <w:right w:val="single" w:color="auto" w:sz="4" w:space="0"/>
            </w:tcBorders>
            <w:vAlign w:val="center"/>
          </w:tcPr>
          <w:p>
            <w:pPr>
              <w:widowControl/>
              <w:adjustRightInd/>
              <w:spacing w:line="240" w:lineRule="auto"/>
              <w:jc w:val="left"/>
              <w:rPr>
                <w:rFonts w:ascii="仿宋_GB2312" w:hAnsi="仿宋" w:eastAsia="仿宋_GB2312"/>
                <w:sz w:val="15"/>
                <w:szCs w:val="15"/>
              </w:rPr>
            </w:pPr>
          </w:p>
        </w:tc>
        <w:tc>
          <w:tcPr>
            <w:tcW w:w="0" w:type="auto"/>
            <w:vMerge w:val="continue"/>
            <w:tcBorders>
              <w:top w:val="nil"/>
              <w:left w:val="nil"/>
              <w:bottom w:val="single" w:color="auto" w:sz="4" w:space="0"/>
              <w:right w:val="single" w:color="auto" w:sz="4" w:space="0"/>
            </w:tcBorders>
            <w:vAlign w:val="center"/>
          </w:tcPr>
          <w:p>
            <w:pPr>
              <w:widowControl/>
              <w:adjustRightInd/>
              <w:spacing w:line="240" w:lineRule="auto"/>
              <w:jc w:val="left"/>
              <w:rPr>
                <w:rFonts w:ascii="仿宋_GB2312" w:hAnsi="仿宋" w:eastAsia="仿宋_GB2312"/>
                <w:sz w:val="15"/>
                <w:szCs w:val="15"/>
              </w:rPr>
            </w:pPr>
          </w:p>
        </w:tc>
        <w:tc>
          <w:tcPr>
            <w:tcW w:w="0" w:type="auto"/>
            <w:vMerge w:val="continue"/>
            <w:tcBorders>
              <w:top w:val="single" w:color="auto" w:sz="4" w:space="0"/>
              <w:left w:val="nil"/>
              <w:bottom w:val="single" w:color="auto" w:sz="4" w:space="0"/>
              <w:right w:val="single" w:color="auto" w:sz="4" w:space="0"/>
            </w:tcBorders>
            <w:vAlign w:val="center"/>
          </w:tcPr>
          <w:p>
            <w:pPr>
              <w:widowControl/>
              <w:adjustRightInd/>
              <w:spacing w:line="240" w:lineRule="auto"/>
              <w:jc w:val="left"/>
              <w:rPr>
                <w:rFonts w:ascii="仿宋_GB2312" w:hAnsi="仿宋" w:eastAsia="仿宋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2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 w:eastAsia="仿宋_GB2312"/>
                <w:b/>
                <w:sz w:val="15"/>
                <w:szCs w:val="15"/>
              </w:rPr>
            </w:pPr>
            <w:r>
              <w:rPr>
                <w:rFonts w:hint="eastAsia" w:ascii="仿宋_GB2312" w:hAnsi="仿宋" w:eastAsia="仿宋_GB2312"/>
                <w:b/>
                <w:sz w:val="15"/>
                <w:szCs w:val="15"/>
              </w:rPr>
              <w:t>岗位主要设备设施</w:t>
            </w:r>
          </w:p>
        </w:tc>
        <w:tc>
          <w:tcPr>
            <w:tcW w:w="7947"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62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 w:eastAsia="仿宋_GB2312"/>
                <w:b/>
                <w:sz w:val="15"/>
                <w:szCs w:val="15"/>
              </w:rPr>
            </w:pPr>
            <w:r>
              <w:rPr>
                <w:rFonts w:hint="eastAsia" w:ascii="仿宋_GB2312" w:hAnsi="仿宋" w:eastAsia="仿宋_GB2312"/>
                <w:b/>
                <w:sz w:val="15"/>
                <w:szCs w:val="15"/>
              </w:rPr>
              <w:t>岗位主要作业活动</w:t>
            </w:r>
          </w:p>
        </w:tc>
        <w:tc>
          <w:tcPr>
            <w:tcW w:w="7947" w:type="dxa"/>
            <w:gridSpan w:val="5"/>
            <w:tcBorders>
              <w:top w:val="single" w:color="auto" w:sz="4" w:space="0"/>
              <w:left w:val="single" w:color="auto" w:sz="4" w:space="0"/>
              <w:bottom w:val="single" w:color="auto" w:sz="4" w:space="0"/>
              <w:right w:val="single" w:color="auto" w:sz="4" w:space="0"/>
            </w:tcBorders>
            <w:vAlign w:val="center"/>
          </w:tcPr>
          <w:p>
            <w:pPr>
              <w:jc w:val="center"/>
              <w:rPr>
                <w:rFonts w:ascii="仿宋_GB2312" w:hAnsi="仿宋" w:eastAsia="仿宋_GB2312"/>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trPr>
        <w:tc>
          <w:tcPr>
            <w:tcW w:w="9570" w:type="dxa"/>
            <w:gridSpan w:val="6"/>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 w:eastAsia="仿宋_GB2312"/>
                <w:b/>
                <w:sz w:val="15"/>
                <w:szCs w:val="15"/>
              </w:rPr>
            </w:pPr>
            <w:r>
              <w:rPr>
                <w:rFonts w:hint="eastAsia" w:ascii="仿宋_GB2312" w:hAnsi="仿宋" w:eastAsia="仿宋_GB2312"/>
                <w:b/>
                <w:sz w:val="15"/>
                <w:szCs w:val="15"/>
              </w:rPr>
              <w:t>风险管控措施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162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 w:eastAsia="仿宋_GB2312"/>
                <w:b/>
                <w:sz w:val="15"/>
                <w:szCs w:val="15"/>
              </w:rPr>
            </w:pPr>
            <w:r>
              <w:rPr>
                <w:rFonts w:hint="eastAsia" w:ascii="仿宋_GB2312" w:hAnsi="仿宋" w:eastAsia="仿宋_GB2312"/>
                <w:b/>
                <w:sz w:val="15"/>
                <w:szCs w:val="15"/>
              </w:rPr>
              <w:t>工程技术措施</w:t>
            </w:r>
          </w:p>
        </w:tc>
        <w:tc>
          <w:tcPr>
            <w:tcW w:w="1623"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 w:eastAsia="仿宋_GB2312"/>
                <w:b/>
                <w:sz w:val="15"/>
                <w:szCs w:val="15"/>
              </w:rPr>
            </w:pPr>
            <w:r>
              <w:rPr>
                <w:rFonts w:hint="eastAsia" w:ascii="仿宋_GB2312" w:hAnsi="仿宋" w:eastAsia="仿宋_GB2312"/>
                <w:b/>
                <w:sz w:val="15"/>
                <w:szCs w:val="15"/>
              </w:rPr>
              <w:t>管理措施</w:t>
            </w:r>
          </w:p>
        </w:tc>
        <w:tc>
          <w:tcPr>
            <w:tcW w:w="1824"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 w:eastAsia="仿宋_GB2312"/>
                <w:b/>
                <w:sz w:val="15"/>
                <w:szCs w:val="15"/>
              </w:rPr>
            </w:pPr>
            <w:r>
              <w:rPr>
                <w:rFonts w:hint="eastAsia" w:ascii="仿宋_GB2312" w:hAnsi="仿宋" w:eastAsia="仿宋_GB2312"/>
                <w:b/>
                <w:sz w:val="15"/>
                <w:szCs w:val="15"/>
              </w:rPr>
              <w:t>培训教育措施</w:t>
            </w:r>
          </w:p>
        </w:tc>
        <w:tc>
          <w:tcPr>
            <w:tcW w:w="2693"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 w:eastAsia="仿宋_GB2312"/>
                <w:b/>
                <w:sz w:val="15"/>
                <w:szCs w:val="15"/>
              </w:rPr>
            </w:pPr>
            <w:r>
              <w:rPr>
                <w:rFonts w:hint="eastAsia" w:ascii="仿宋_GB2312" w:hAnsi="仿宋" w:eastAsia="仿宋_GB2312"/>
                <w:b/>
                <w:sz w:val="15"/>
                <w:szCs w:val="15"/>
              </w:rPr>
              <w:t>个体防护措施</w:t>
            </w:r>
          </w:p>
        </w:tc>
        <w:tc>
          <w:tcPr>
            <w:tcW w:w="1807"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 w:eastAsia="仿宋_GB2312"/>
                <w:sz w:val="15"/>
                <w:szCs w:val="15"/>
              </w:rPr>
            </w:pPr>
            <w:r>
              <w:rPr>
                <w:rFonts w:hint="eastAsia" w:ascii="仿宋_GB2312" w:hAnsi="仿宋" w:eastAsia="仿宋_GB2312"/>
                <w:b/>
                <w:sz w:val="15"/>
                <w:szCs w:val="15"/>
              </w:rPr>
              <w:t>应急处置措施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7" w:hRule="atLeast"/>
        </w:trPr>
        <w:tc>
          <w:tcPr>
            <w:tcW w:w="1623" w:type="dxa"/>
            <w:tcBorders>
              <w:top w:val="single" w:color="auto" w:sz="4" w:space="0"/>
              <w:left w:val="single" w:color="auto" w:sz="4" w:space="0"/>
              <w:bottom w:val="single" w:color="auto" w:sz="4" w:space="0"/>
              <w:right w:val="single" w:color="auto" w:sz="4" w:space="0"/>
            </w:tcBorders>
            <w:vAlign w:val="center"/>
          </w:tcPr>
          <w:p>
            <w:pPr>
              <w:rPr>
                <w:rFonts w:ascii="仿宋_GB2312" w:hAnsi="仿宋" w:eastAsia="仿宋_GB2312" w:cs="黑体"/>
                <w:sz w:val="15"/>
                <w:szCs w:val="15"/>
              </w:rPr>
            </w:pPr>
          </w:p>
        </w:tc>
        <w:tc>
          <w:tcPr>
            <w:tcW w:w="1623" w:type="dxa"/>
            <w:tcBorders>
              <w:top w:val="single" w:color="auto" w:sz="4" w:space="0"/>
              <w:left w:val="single" w:color="auto" w:sz="4" w:space="0"/>
              <w:bottom w:val="single" w:color="auto" w:sz="4" w:space="0"/>
              <w:right w:val="single" w:color="auto" w:sz="4" w:space="0"/>
            </w:tcBorders>
            <w:vAlign w:val="center"/>
          </w:tcPr>
          <w:p>
            <w:pPr>
              <w:rPr>
                <w:rFonts w:ascii="仿宋_GB2312" w:hAnsi="仿宋" w:eastAsia="仿宋_GB2312" w:cs="黑体"/>
                <w:sz w:val="15"/>
                <w:szCs w:val="15"/>
              </w:rPr>
            </w:pPr>
          </w:p>
        </w:tc>
        <w:tc>
          <w:tcPr>
            <w:tcW w:w="1824" w:type="dxa"/>
            <w:tcBorders>
              <w:top w:val="single" w:color="auto" w:sz="4" w:space="0"/>
              <w:left w:val="single" w:color="auto" w:sz="4" w:space="0"/>
              <w:bottom w:val="single" w:color="auto" w:sz="4" w:space="0"/>
              <w:right w:val="single" w:color="auto" w:sz="4" w:space="0"/>
            </w:tcBorders>
            <w:vAlign w:val="center"/>
          </w:tcPr>
          <w:p>
            <w:pPr>
              <w:rPr>
                <w:rFonts w:ascii="仿宋_GB2312" w:hAnsi="仿宋" w:eastAsia="仿宋_GB2312" w:cs="黑体"/>
                <w:sz w:val="15"/>
                <w:szCs w:val="15"/>
              </w:rPr>
            </w:pPr>
          </w:p>
        </w:tc>
        <w:tc>
          <w:tcPr>
            <w:tcW w:w="2693" w:type="dxa"/>
            <w:gridSpan w:val="2"/>
            <w:tcBorders>
              <w:top w:val="single" w:color="auto" w:sz="4" w:space="0"/>
              <w:left w:val="single" w:color="auto" w:sz="4" w:space="0"/>
              <w:bottom w:val="single" w:color="auto" w:sz="4" w:space="0"/>
              <w:right w:val="single" w:color="auto" w:sz="4" w:space="0"/>
            </w:tcBorders>
            <w:vAlign w:val="center"/>
          </w:tcPr>
          <w:p>
            <w:pPr>
              <w:rPr>
                <w:rFonts w:ascii="仿宋_GB2312" w:hAnsi="仿宋" w:eastAsia="仿宋_GB2312" w:cs="黑体"/>
                <w:sz w:val="15"/>
                <w:szCs w:val="15"/>
              </w:rPr>
            </w:pPr>
          </w:p>
        </w:tc>
        <w:tc>
          <w:tcPr>
            <w:tcW w:w="1807" w:type="dxa"/>
            <w:tcBorders>
              <w:top w:val="single" w:color="auto" w:sz="4" w:space="0"/>
              <w:left w:val="single" w:color="auto" w:sz="4" w:space="0"/>
              <w:bottom w:val="single" w:color="auto" w:sz="4" w:space="0"/>
              <w:right w:val="single" w:color="auto" w:sz="4" w:space="0"/>
            </w:tcBorders>
            <w:vAlign w:val="center"/>
          </w:tcPr>
          <w:p>
            <w:pPr>
              <w:rPr>
                <w:rFonts w:ascii="仿宋_GB2312" w:hAnsi="仿宋" w:eastAsia="仿宋_GB2312" w:cs="黑体"/>
                <w:sz w:val="15"/>
                <w:szCs w:val="15"/>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570" w:type="dxa"/>
            <w:gridSpan w:val="6"/>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仿宋_GB2312" w:hAnsi="仿宋" w:eastAsia="仿宋_GB2312"/>
                <w:b/>
                <w:sz w:val="15"/>
                <w:szCs w:val="15"/>
              </w:rPr>
            </w:pPr>
            <w:r>
              <w:rPr>
                <w:rFonts w:hint="eastAsia" w:ascii="仿宋_GB2312" w:hAnsi="仿宋" w:eastAsia="仿宋_GB2312"/>
                <w:b/>
                <w:sz w:val="15"/>
                <w:szCs w:val="15"/>
              </w:rPr>
              <w:t>现场责任人：                电话：                      火警电话： 119              急救电话：120</w:t>
            </w:r>
          </w:p>
        </w:tc>
      </w:tr>
    </w:tbl>
    <w:p>
      <w:pPr>
        <w:pStyle w:val="83"/>
        <w:spacing w:before="120" w:after="120"/>
        <w:rPr>
          <w:szCs w:val="21"/>
        </w:rPr>
      </w:pPr>
      <w:r>
        <w:rPr>
          <w:rFonts w:hint="eastAsia" w:hAnsi="黑体"/>
        </w:rPr>
        <w:t xml:space="preserve"> 安全风险告知卡</w:t>
      </w:r>
    </w:p>
    <w:p>
      <w:pPr>
        <w:pStyle w:val="56"/>
        <w:ind w:firstLine="420"/>
        <w:sectPr>
          <w:pgSz w:w="11906" w:h="16838"/>
          <w:pgMar w:top="1928" w:right="1134" w:bottom="1134" w:left="1134" w:header="1418" w:footer="1134" w:gutter="284"/>
          <w:pgNumType w:start="1"/>
          <w:cols w:space="425" w:num="1"/>
          <w:formProt w:val="0"/>
          <w:docGrid w:linePitch="312" w:charSpace="0"/>
        </w:sectPr>
      </w:pPr>
    </w:p>
    <w:p>
      <w:pPr>
        <w:pStyle w:val="198"/>
        <w:rPr>
          <w:vanish w:val="0"/>
        </w:rPr>
      </w:pPr>
    </w:p>
    <w:p>
      <w:pPr>
        <w:pStyle w:val="199"/>
        <w:rPr>
          <w:vanish w:val="0"/>
        </w:rPr>
      </w:pPr>
    </w:p>
    <w:p>
      <w:pPr>
        <w:pStyle w:val="76"/>
        <w:spacing w:after="120"/>
      </w:pPr>
      <w:r>
        <w:br w:type="textWrapping"/>
      </w:r>
      <w:r>
        <w:rPr>
          <w:rFonts w:hint="eastAsia"/>
        </w:rPr>
        <w:t>（资料性）</w:t>
      </w:r>
      <w:r>
        <w:br w:type="textWrapping"/>
      </w:r>
      <w:r>
        <w:rPr>
          <w:rFonts w:hint="eastAsia"/>
        </w:rPr>
        <w:t>隐患排查样表</w:t>
      </w:r>
    </w:p>
    <w:p>
      <w:pPr>
        <w:pStyle w:val="56"/>
        <w:ind w:firstLine="420"/>
        <w:rPr>
          <w:szCs w:val="21"/>
        </w:rPr>
      </w:pPr>
      <w:r>
        <w:rPr>
          <w:rFonts w:hint="eastAsia" w:hAnsi="宋体"/>
        </w:rPr>
        <w:t>表E.1、表E.2、</w:t>
      </w:r>
      <w:r>
        <w:rPr>
          <w:rFonts w:hint="eastAsia"/>
        </w:rPr>
        <w:t>E.3</w:t>
      </w:r>
      <w:r>
        <w:rPr>
          <w:rFonts w:hint="eastAsia" w:hAnsi="宋体"/>
        </w:rPr>
        <w:t>给出了隐患排查样表。</w:t>
      </w:r>
    </w:p>
    <w:p>
      <w:pPr>
        <w:pStyle w:val="77"/>
        <w:spacing w:before="120" w:after="120"/>
        <w:ind w:firstLine="420"/>
      </w:pPr>
      <w:r>
        <w:rPr>
          <w:rFonts w:hint="eastAsia"/>
        </w:rPr>
        <w:t xml:space="preserve"> 基础管理类隐患排查清单</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31"/>
        <w:gridCol w:w="546"/>
        <w:gridCol w:w="2721"/>
        <w:gridCol w:w="3883"/>
        <w:gridCol w:w="851"/>
        <w:gridCol w:w="425"/>
        <w:gridCol w:w="284"/>
        <w:gridCol w:w="4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tcBorders>
              <w:top w:val="single" w:color="auto" w:sz="8" w:space="0"/>
              <w:left w:val="single" w:color="auto" w:sz="8" w:space="0"/>
              <w:bottom w:val="single" w:color="auto" w:sz="8" w:space="0"/>
              <w:right w:val="single" w:color="auto" w:sz="4" w:space="0"/>
            </w:tcBorders>
            <w:vAlign w:val="center"/>
          </w:tcPr>
          <w:p>
            <w:pPr>
              <w:pStyle w:val="178"/>
              <w:rPr>
                <w:bCs/>
              </w:rPr>
            </w:pPr>
            <w:r>
              <w:rPr>
                <w:rFonts w:hint="eastAsia" w:hAnsi="宋体"/>
                <w:bCs/>
              </w:rPr>
              <w:t>序号</w:t>
            </w:r>
          </w:p>
        </w:tc>
        <w:tc>
          <w:tcPr>
            <w:tcW w:w="0" w:type="auto"/>
            <w:tcBorders>
              <w:top w:val="single" w:color="auto" w:sz="8" w:space="0"/>
              <w:left w:val="single" w:color="auto" w:sz="4" w:space="0"/>
              <w:bottom w:val="single" w:color="auto" w:sz="8" w:space="0"/>
              <w:right w:val="single" w:color="auto" w:sz="4" w:space="0"/>
            </w:tcBorders>
            <w:vAlign w:val="center"/>
          </w:tcPr>
          <w:p>
            <w:pPr>
              <w:pStyle w:val="178"/>
              <w:rPr>
                <w:bCs/>
              </w:rPr>
            </w:pPr>
            <w:r>
              <w:rPr>
                <w:rFonts w:hint="eastAsia" w:hAnsi="宋体"/>
                <w:bCs/>
              </w:rPr>
              <w:t>类别</w:t>
            </w:r>
          </w:p>
        </w:tc>
        <w:tc>
          <w:tcPr>
            <w:tcW w:w="0" w:type="auto"/>
            <w:tcBorders>
              <w:top w:val="single" w:color="auto" w:sz="8" w:space="0"/>
              <w:left w:val="single" w:color="auto" w:sz="4" w:space="0"/>
              <w:bottom w:val="single" w:color="auto" w:sz="8" w:space="0"/>
              <w:right w:val="single" w:color="auto" w:sz="4" w:space="0"/>
            </w:tcBorders>
            <w:vAlign w:val="center"/>
          </w:tcPr>
          <w:p>
            <w:pPr>
              <w:pStyle w:val="178"/>
              <w:rPr>
                <w:bCs/>
              </w:rPr>
            </w:pPr>
            <w:r>
              <w:rPr>
                <w:rFonts w:hint="eastAsia" w:hAnsi="宋体"/>
                <w:bCs/>
              </w:rPr>
              <w:t>排查项目</w:t>
            </w:r>
          </w:p>
        </w:tc>
        <w:tc>
          <w:tcPr>
            <w:tcW w:w="3883" w:type="dxa"/>
            <w:tcBorders>
              <w:top w:val="single" w:color="auto" w:sz="8" w:space="0"/>
              <w:left w:val="single" w:color="auto" w:sz="4" w:space="0"/>
              <w:bottom w:val="single" w:color="auto" w:sz="8" w:space="0"/>
              <w:right w:val="single" w:color="auto" w:sz="4" w:space="0"/>
            </w:tcBorders>
            <w:vAlign w:val="center"/>
          </w:tcPr>
          <w:p>
            <w:pPr>
              <w:pStyle w:val="178"/>
              <w:rPr>
                <w:bCs/>
              </w:rPr>
            </w:pPr>
            <w:r>
              <w:rPr>
                <w:rFonts w:hint="eastAsia" w:hAnsi="宋体"/>
                <w:bCs/>
              </w:rPr>
              <w:t>排查标准</w:t>
            </w:r>
          </w:p>
        </w:tc>
        <w:tc>
          <w:tcPr>
            <w:tcW w:w="851" w:type="dxa"/>
            <w:tcBorders>
              <w:top w:val="single" w:color="auto" w:sz="8" w:space="0"/>
              <w:left w:val="single" w:color="auto" w:sz="4" w:space="0"/>
              <w:bottom w:val="single" w:color="auto" w:sz="8" w:space="0"/>
              <w:right w:val="single" w:color="auto" w:sz="4" w:space="0"/>
            </w:tcBorders>
            <w:vAlign w:val="center"/>
          </w:tcPr>
          <w:p>
            <w:pPr>
              <w:pStyle w:val="178"/>
              <w:rPr>
                <w:bCs/>
              </w:rPr>
            </w:pPr>
            <w:r>
              <w:rPr>
                <w:rFonts w:hint="eastAsia" w:hAnsi="宋体"/>
                <w:bCs/>
              </w:rPr>
              <w:t>检查类型</w:t>
            </w:r>
          </w:p>
        </w:tc>
        <w:tc>
          <w:tcPr>
            <w:tcW w:w="425" w:type="dxa"/>
            <w:tcBorders>
              <w:top w:val="single" w:color="auto" w:sz="8" w:space="0"/>
              <w:left w:val="single" w:color="auto" w:sz="4" w:space="0"/>
              <w:bottom w:val="single" w:color="auto" w:sz="8" w:space="0"/>
              <w:right w:val="single" w:color="auto" w:sz="4" w:space="0"/>
            </w:tcBorders>
            <w:vAlign w:val="center"/>
          </w:tcPr>
          <w:p>
            <w:pPr>
              <w:pStyle w:val="178"/>
              <w:rPr>
                <w:bCs/>
              </w:rPr>
            </w:pPr>
            <w:r>
              <w:rPr>
                <w:rFonts w:hint="eastAsia" w:hAnsi="宋体"/>
                <w:bCs/>
              </w:rPr>
              <w:t>检查频次</w:t>
            </w:r>
          </w:p>
        </w:tc>
        <w:tc>
          <w:tcPr>
            <w:tcW w:w="284" w:type="dxa"/>
            <w:tcBorders>
              <w:top w:val="single" w:color="auto" w:sz="8" w:space="0"/>
              <w:left w:val="single" w:color="auto" w:sz="4" w:space="0"/>
              <w:bottom w:val="single" w:color="auto" w:sz="8" w:space="0"/>
              <w:right w:val="single" w:color="auto" w:sz="4" w:space="0"/>
            </w:tcBorders>
            <w:vAlign w:val="center"/>
          </w:tcPr>
          <w:p>
            <w:pPr>
              <w:pStyle w:val="178"/>
              <w:rPr>
                <w:bCs/>
              </w:rPr>
            </w:pPr>
            <w:r>
              <w:rPr>
                <w:rFonts w:hint="eastAsia" w:hAnsi="宋体"/>
                <w:bCs/>
              </w:rPr>
              <w:t>责任人</w:t>
            </w:r>
          </w:p>
        </w:tc>
        <w:tc>
          <w:tcPr>
            <w:tcW w:w="433" w:type="dxa"/>
            <w:tcBorders>
              <w:top w:val="single" w:color="auto" w:sz="8" w:space="0"/>
              <w:left w:val="single" w:color="auto" w:sz="4" w:space="0"/>
              <w:bottom w:val="single" w:color="auto" w:sz="8" w:space="0"/>
              <w:right w:val="single" w:color="auto" w:sz="8" w:space="0"/>
            </w:tcBorders>
            <w:vAlign w:val="center"/>
          </w:tcPr>
          <w:p>
            <w:pPr>
              <w:pStyle w:val="178"/>
              <w:rPr>
                <w:bCs/>
              </w:rPr>
            </w:pPr>
            <w:r>
              <w:rPr>
                <w:rFonts w:hint="eastAsia" w:hAnsi="宋体"/>
                <w:bCs/>
              </w:rPr>
              <w:t>检查情况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tcBorders>
              <w:top w:val="single" w:color="auto" w:sz="8" w:space="0"/>
              <w:left w:val="single" w:color="auto" w:sz="8" w:space="0"/>
              <w:bottom w:val="single" w:color="auto" w:sz="4" w:space="0"/>
              <w:right w:val="single" w:color="auto" w:sz="4" w:space="0"/>
            </w:tcBorders>
            <w:vAlign w:val="center"/>
          </w:tcPr>
          <w:p>
            <w:pPr>
              <w:pStyle w:val="178"/>
            </w:pPr>
            <w:r>
              <w:rPr>
                <w:rFonts w:hint="eastAsia" w:hAnsi="宋体"/>
              </w:rPr>
              <w:t>1</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pPr>
            <w:r>
              <w:rPr>
                <w:rFonts w:hint="eastAsia" w:hAnsi="宋体"/>
              </w:rPr>
              <w:t>生产经营单位资质证照</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pPr>
            <w:r>
              <w:rPr>
                <w:rFonts w:hint="eastAsia" w:hAnsi="宋体"/>
              </w:rPr>
              <w:t>营业执照</w:t>
            </w:r>
          </w:p>
        </w:tc>
        <w:tc>
          <w:tcPr>
            <w:tcW w:w="3883" w:type="dxa"/>
            <w:tcBorders>
              <w:top w:val="single" w:color="auto" w:sz="8" w:space="0"/>
              <w:left w:val="single" w:color="auto" w:sz="4" w:space="0"/>
              <w:bottom w:val="single" w:color="auto" w:sz="4" w:space="0"/>
              <w:right w:val="single" w:color="auto" w:sz="4" w:space="0"/>
            </w:tcBorders>
            <w:vAlign w:val="center"/>
          </w:tcPr>
          <w:p>
            <w:pPr>
              <w:pStyle w:val="178"/>
              <w:ind w:firstLine="180" w:firstLineChars="100"/>
              <w:jc w:val="left"/>
            </w:pPr>
            <w:r>
              <w:rPr>
                <w:rFonts w:hint="eastAsia" w:hAnsi="宋体"/>
              </w:rPr>
              <w:t>1.资质证照齐全，且按时年检审验；</w:t>
            </w:r>
          </w:p>
          <w:p>
            <w:pPr>
              <w:pStyle w:val="178"/>
              <w:ind w:firstLine="180" w:firstLineChars="100"/>
              <w:jc w:val="left"/>
            </w:pPr>
            <w:r>
              <w:rPr>
                <w:rFonts w:hint="eastAsia" w:hAnsi="宋体"/>
              </w:rPr>
              <w:t>2.在合法有效期内；</w:t>
            </w:r>
          </w:p>
          <w:p>
            <w:pPr>
              <w:pStyle w:val="178"/>
              <w:ind w:firstLine="180" w:firstLineChars="100"/>
              <w:jc w:val="left"/>
            </w:pPr>
            <w:r>
              <w:rPr>
                <w:rFonts w:hint="eastAsia" w:hAnsi="宋体"/>
              </w:rPr>
              <w:t>3.是否需要变更事项。</w:t>
            </w:r>
          </w:p>
        </w:tc>
        <w:tc>
          <w:tcPr>
            <w:tcW w:w="851" w:type="dxa"/>
            <w:tcBorders>
              <w:top w:val="single" w:color="auto" w:sz="8" w:space="0"/>
              <w:left w:val="single" w:color="auto" w:sz="4" w:space="0"/>
              <w:bottom w:val="single" w:color="auto" w:sz="4" w:space="0"/>
              <w:right w:val="single" w:color="auto" w:sz="4" w:space="0"/>
            </w:tcBorders>
            <w:vAlign w:val="center"/>
          </w:tcPr>
          <w:p>
            <w:pPr>
              <w:pStyle w:val="178"/>
            </w:pPr>
            <w:r>
              <w:rPr>
                <w:rFonts w:hint="eastAsia" w:hAnsi="宋体"/>
              </w:rPr>
              <w:t>综合性隐患排查、专业或专项性隐患排查</w:t>
            </w:r>
          </w:p>
        </w:tc>
        <w:tc>
          <w:tcPr>
            <w:tcW w:w="425" w:type="dxa"/>
            <w:tcBorders>
              <w:top w:val="single" w:color="auto" w:sz="8" w:space="0"/>
              <w:left w:val="single" w:color="auto" w:sz="4" w:space="0"/>
              <w:bottom w:val="single" w:color="auto" w:sz="4" w:space="0"/>
              <w:right w:val="single" w:color="auto" w:sz="4" w:space="0"/>
            </w:tcBorders>
            <w:vAlign w:val="center"/>
          </w:tcPr>
          <w:p>
            <w:pPr>
              <w:pStyle w:val="178"/>
            </w:pPr>
            <w:r>
              <w:rPr>
                <w:rFonts w:hint="eastAsia" w:hAnsi="宋体"/>
              </w:rPr>
              <w:t>每月</w:t>
            </w:r>
          </w:p>
        </w:tc>
        <w:tc>
          <w:tcPr>
            <w:tcW w:w="284" w:type="dxa"/>
            <w:tcBorders>
              <w:top w:val="single" w:color="auto" w:sz="8" w:space="0"/>
              <w:left w:val="single" w:color="auto" w:sz="4" w:space="0"/>
              <w:bottom w:val="single" w:color="auto" w:sz="4" w:space="0"/>
              <w:right w:val="single" w:color="auto" w:sz="4" w:space="0"/>
            </w:tcBorders>
            <w:vAlign w:val="center"/>
          </w:tcPr>
          <w:p>
            <w:pPr>
              <w:pStyle w:val="178"/>
            </w:pPr>
            <w:r>
              <w:rPr>
                <w:rFonts w:hint="eastAsia" w:hAnsi="宋体"/>
              </w:rPr>
              <w:t>张三</w:t>
            </w:r>
          </w:p>
        </w:tc>
        <w:tc>
          <w:tcPr>
            <w:tcW w:w="433" w:type="dxa"/>
            <w:tcBorders>
              <w:top w:val="single" w:color="auto" w:sz="8" w:space="0"/>
              <w:left w:val="single" w:color="auto" w:sz="4" w:space="0"/>
              <w:bottom w:val="single" w:color="auto" w:sz="4" w:space="0"/>
              <w:right w:val="single" w:color="auto" w:sz="8" w:space="0"/>
            </w:tcBorders>
            <w:vAlign w:val="center"/>
          </w:tcPr>
          <w:p>
            <w:pPr>
              <w:pStyle w:val="178"/>
            </w:pPr>
            <w:r>
              <w:rPr>
                <w:rFonts w:hint="eastAsia" w:hAnsi="宋体"/>
              </w:rPr>
              <w:t>正常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tcBorders>
              <w:top w:val="single" w:color="auto" w:sz="4" w:space="0"/>
              <w:left w:val="single" w:color="auto" w:sz="8" w:space="0"/>
              <w:bottom w:val="single" w:color="auto" w:sz="4" w:space="0"/>
              <w:right w:val="single" w:color="auto" w:sz="4" w:space="0"/>
            </w:tcBorders>
            <w:vAlign w:val="center"/>
          </w:tcPr>
          <w:p>
            <w:pPr>
              <w:pStyle w:val="178"/>
            </w:pPr>
            <w:r>
              <w:rPr>
                <w:rFonts w:hint="eastAsia" w:hAnsi="宋体"/>
              </w:rPr>
              <w:t>2</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安全生产管理机构及人员</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取得安全生产管理资格证书</w:t>
            </w:r>
          </w:p>
        </w:tc>
        <w:tc>
          <w:tcPr>
            <w:tcW w:w="3883" w:type="dxa"/>
            <w:tcBorders>
              <w:top w:val="single" w:color="auto" w:sz="4" w:space="0"/>
              <w:left w:val="single" w:color="auto" w:sz="4" w:space="0"/>
              <w:bottom w:val="single" w:color="auto" w:sz="4" w:space="0"/>
              <w:right w:val="single" w:color="auto" w:sz="4" w:space="0"/>
            </w:tcBorders>
            <w:vAlign w:val="center"/>
          </w:tcPr>
          <w:p>
            <w:pPr>
              <w:pStyle w:val="178"/>
              <w:ind w:firstLine="180" w:firstLineChars="100"/>
              <w:jc w:val="left"/>
            </w:pPr>
            <w:r>
              <w:rPr>
                <w:rFonts w:hint="eastAsia" w:hAnsi="宋体"/>
              </w:rPr>
              <w:t>1.应设置安全生产管理机构或配备安全生产管理人员；</w:t>
            </w:r>
          </w:p>
          <w:p>
            <w:pPr>
              <w:pStyle w:val="178"/>
              <w:ind w:firstLine="180" w:firstLineChars="100"/>
              <w:jc w:val="left"/>
            </w:pPr>
            <w:r>
              <w:rPr>
                <w:rFonts w:hint="eastAsia" w:hAnsi="宋体"/>
              </w:rPr>
              <w:t>2.主要负责人和安全管理人员取得安全管理资格证书；</w:t>
            </w:r>
          </w:p>
          <w:p>
            <w:pPr>
              <w:pStyle w:val="178"/>
              <w:ind w:firstLine="180" w:firstLineChars="100"/>
              <w:jc w:val="left"/>
            </w:pPr>
            <w:r>
              <w:rPr>
                <w:rFonts w:hint="eastAsia" w:hAnsi="宋体"/>
              </w:rPr>
              <w:t>3.资格证书在档，按时复审，保存完好。</w:t>
            </w:r>
          </w:p>
        </w:tc>
        <w:tc>
          <w:tcPr>
            <w:tcW w:w="851"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综合性隐患排查、专业或专项性隐患排查</w:t>
            </w:r>
          </w:p>
        </w:tc>
        <w:tc>
          <w:tcPr>
            <w:tcW w:w="425"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每月</w:t>
            </w:r>
          </w:p>
        </w:tc>
        <w:tc>
          <w:tcPr>
            <w:tcW w:w="284"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张三</w:t>
            </w:r>
          </w:p>
        </w:tc>
        <w:tc>
          <w:tcPr>
            <w:tcW w:w="433"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正常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tcBorders>
              <w:top w:val="single" w:color="auto" w:sz="4" w:space="0"/>
              <w:left w:val="single" w:color="auto" w:sz="8" w:space="0"/>
              <w:bottom w:val="single" w:color="auto" w:sz="4" w:space="0"/>
              <w:right w:val="single" w:color="auto" w:sz="4" w:space="0"/>
            </w:tcBorders>
            <w:vAlign w:val="center"/>
          </w:tcPr>
          <w:p>
            <w:pPr>
              <w:pStyle w:val="178"/>
            </w:pPr>
            <w:r>
              <w:rPr>
                <w:rFonts w:hint="eastAsia" w:hAnsi="宋体"/>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安全管理规章制度</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安全生产责任制、规章制度、岗位安全操作规程</w:t>
            </w:r>
          </w:p>
        </w:tc>
        <w:tc>
          <w:tcPr>
            <w:tcW w:w="3883" w:type="dxa"/>
            <w:tcBorders>
              <w:top w:val="single" w:color="auto" w:sz="4" w:space="0"/>
              <w:left w:val="single" w:color="auto" w:sz="4" w:space="0"/>
              <w:bottom w:val="single" w:color="auto" w:sz="4" w:space="0"/>
              <w:right w:val="single" w:color="auto" w:sz="4" w:space="0"/>
            </w:tcBorders>
            <w:vAlign w:val="center"/>
          </w:tcPr>
          <w:p>
            <w:pPr>
              <w:pStyle w:val="178"/>
              <w:ind w:firstLine="180" w:firstLineChars="100"/>
              <w:jc w:val="left"/>
            </w:pPr>
            <w:r>
              <w:rPr>
                <w:rFonts w:hint="eastAsia" w:hAnsi="宋体"/>
              </w:rPr>
              <w:t>1.与各部门负责人签订安全生产责任状，明确责任内容；</w:t>
            </w:r>
          </w:p>
          <w:p>
            <w:pPr>
              <w:pStyle w:val="178"/>
              <w:ind w:firstLine="180" w:firstLineChars="100"/>
              <w:jc w:val="left"/>
            </w:pPr>
            <w:r>
              <w:rPr>
                <w:rFonts w:hint="eastAsia" w:hAnsi="宋体"/>
              </w:rPr>
              <w:t>2.安全生产责任得到有效落实；</w:t>
            </w:r>
          </w:p>
          <w:p>
            <w:pPr>
              <w:pStyle w:val="178"/>
              <w:ind w:firstLine="180" w:firstLineChars="100"/>
              <w:jc w:val="left"/>
            </w:pPr>
            <w:r>
              <w:rPr>
                <w:rFonts w:hint="eastAsia" w:hAnsi="宋体"/>
              </w:rPr>
              <w:t>3.定期评审修订。</w:t>
            </w:r>
          </w:p>
        </w:tc>
        <w:tc>
          <w:tcPr>
            <w:tcW w:w="851"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综合性隐患排查、专业或专项性隐患排查</w:t>
            </w:r>
          </w:p>
        </w:tc>
        <w:tc>
          <w:tcPr>
            <w:tcW w:w="425"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每月</w:t>
            </w:r>
          </w:p>
        </w:tc>
        <w:tc>
          <w:tcPr>
            <w:tcW w:w="284"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张三</w:t>
            </w:r>
          </w:p>
        </w:tc>
        <w:tc>
          <w:tcPr>
            <w:tcW w:w="433"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正常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tcBorders>
              <w:top w:val="single" w:color="auto" w:sz="4" w:space="0"/>
              <w:left w:val="single" w:color="auto" w:sz="8" w:space="0"/>
              <w:bottom w:val="single" w:color="auto" w:sz="4" w:space="0"/>
              <w:right w:val="single" w:color="auto" w:sz="4" w:space="0"/>
            </w:tcBorders>
            <w:vAlign w:val="center"/>
          </w:tcPr>
          <w:p>
            <w:pPr>
              <w:pStyle w:val="178"/>
            </w:pPr>
            <w:r>
              <w:rPr>
                <w:rFonts w:hint="eastAsia" w:hAnsi="宋体"/>
              </w:rPr>
              <w:t>4</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安全生产教育培训</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安全管理人员培训、三级教育、转岗培训等安全培训教育、特种作业人员培训</w:t>
            </w:r>
          </w:p>
        </w:tc>
        <w:tc>
          <w:tcPr>
            <w:tcW w:w="3883" w:type="dxa"/>
            <w:tcBorders>
              <w:top w:val="single" w:color="auto" w:sz="4" w:space="0"/>
              <w:left w:val="single" w:color="auto" w:sz="4" w:space="0"/>
              <w:bottom w:val="single" w:color="auto" w:sz="4" w:space="0"/>
              <w:right w:val="single" w:color="auto" w:sz="4" w:space="0"/>
            </w:tcBorders>
            <w:vAlign w:val="center"/>
          </w:tcPr>
          <w:p>
            <w:pPr>
              <w:pStyle w:val="178"/>
              <w:ind w:firstLine="180" w:firstLineChars="100"/>
              <w:jc w:val="left"/>
            </w:pPr>
            <w:r>
              <w:rPr>
                <w:rFonts w:hint="eastAsia" w:hAnsi="宋体"/>
              </w:rPr>
              <w:t>1.安全生产管理人员每年应参加继续教育；</w:t>
            </w:r>
          </w:p>
          <w:p>
            <w:pPr>
              <w:pStyle w:val="178"/>
              <w:ind w:firstLine="180" w:firstLineChars="100"/>
              <w:jc w:val="left"/>
            </w:pPr>
            <w:r>
              <w:rPr>
                <w:rFonts w:hint="eastAsia" w:hAnsi="宋体"/>
              </w:rPr>
              <w:t>2.生产单位主要负责人和安全管理人员必须具备与所从事的生产经营活动相适应的安全生产知识和管理能力；</w:t>
            </w:r>
          </w:p>
          <w:p>
            <w:pPr>
              <w:pStyle w:val="178"/>
              <w:ind w:firstLine="180" w:firstLineChars="100"/>
              <w:jc w:val="left"/>
            </w:pPr>
            <w:r>
              <w:rPr>
                <w:rFonts w:hint="eastAsia" w:hAnsi="宋体"/>
              </w:rPr>
              <w:t>3.按规定取证，证件有效，证件与实际岗位相符、证件符合国家有关规定和要求；</w:t>
            </w:r>
          </w:p>
          <w:p>
            <w:pPr>
              <w:pStyle w:val="178"/>
              <w:ind w:firstLine="180" w:firstLineChars="100"/>
              <w:jc w:val="left"/>
            </w:pPr>
            <w:r>
              <w:rPr>
                <w:rFonts w:hint="eastAsia" w:hAnsi="宋体"/>
              </w:rPr>
              <w:t>4.开展日常教育、“三级”教育、转岗培训等安全培训教育，安全培训教育时间或内容符合要求，建立员工培训教育个人档案。；</w:t>
            </w:r>
          </w:p>
          <w:p>
            <w:pPr>
              <w:pStyle w:val="178"/>
              <w:ind w:firstLine="180" w:firstLineChars="100"/>
              <w:jc w:val="left"/>
            </w:pPr>
            <w:r>
              <w:rPr>
                <w:rFonts w:hint="eastAsia"/>
              </w:rPr>
              <w:t>5.</w:t>
            </w:r>
            <w:r>
              <w:rPr>
                <w:rFonts w:hint="eastAsia" w:hAnsi="宋体"/>
              </w:rPr>
              <w:t>从事特种作业的人员应取得特种作业操作资格证书，方可上岗作业；</w:t>
            </w:r>
          </w:p>
          <w:p>
            <w:pPr>
              <w:pStyle w:val="178"/>
              <w:ind w:firstLine="180" w:firstLineChars="100"/>
              <w:jc w:val="left"/>
            </w:pPr>
            <w:r>
              <w:rPr>
                <w:rFonts w:hint="eastAsia"/>
              </w:rPr>
              <w:t>6.</w:t>
            </w:r>
            <w:r>
              <w:rPr>
                <w:rFonts w:hint="eastAsia" w:hAnsi="宋体"/>
              </w:rPr>
              <w:t>每日召开班前会，对从业人员进行班前教育。</w:t>
            </w:r>
          </w:p>
        </w:tc>
        <w:tc>
          <w:tcPr>
            <w:tcW w:w="851"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综合性隐患排查、专业或专项性隐患排查</w:t>
            </w:r>
          </w:p>
        </w:tc>
        <w:tc>
          <w:tcPr>
            <w:tcW w:w="425"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每月</w:t>
            </w:r>
          </w:p>
        </w:tc>
        <w:tc>
          <w:tcPr>
            <w:tcW w:w="284"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张三</w:t>
            </w:r>
          </w:p>
        </w:tc>
        <w:tc>
          <w:tcPr>
            <w:tcW w:w="433"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正常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tcBorders>
              <w:top w:val="single" w:color="auto" w:sz="4" w:space="0"/>
              <w:left w:val="single" w:color="auto" w:sz="8" w:space="0"/>
              <w:bottom w:val="single" w:color="auto" w:sz="4" w:space="0"/>
              <w:right w:val="single" w:color="auto" w:sz="4" w:space="0"/>
            </w:tcBorders>
            <w:vAlign w:val="center"/>
          </w:tcPr>
          <w:p>
            <w:pPr>
              <w:pStyle w:val="178"/>
            </w:pPr>
            <w:r>
              <w:rPr>
                <w:rFonts w:hint="eastAsia" w:hAnsi="宋体"/>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安全生产管理档案</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安全生产检查和隐患排查记录、安全培训档案、工伤保险缴费记录、劳动防护用品配备和管理记录档案、安全生产奖罚记录、安全生产会议记录、安全协议</w:t>
            </w:r>
          </w:p>
        </w:tc>
        <w:tc>
          <w:tcPr>
            <w:tcW w:w="3883" w:type="dxa"/>
            <w:tcBorders>
              <w:top w:val="single" w:color="auto" w:sz="4" w:space="0"/>
              <w:left w:val="single" w:color="auto" w:sz="4" w:space="0"/>
              <w:bottom w:val="single" w:color="auto" w:sz="4" w:space="0"/>
              <w:right w:val="single" w:color="auto" w:sz="4" w:space="0"/>
            </w:tcBorders>
            <w:vAlign w:val="center"/>
          </w:tcPr>
          <w:p>
            <w:pPr>
              <w:pStyle w:val="178"/>
              <w:ind w:firstLine="180" w:firstLineChars="100"/>
              <w:jc w:val="left"/>
            </w:pPr>
            <w:r>
              <w:rPr>
                <w:rFonts w:hint="eastAsia" w:hAnsi="宋体"/>
              </w:rPr>
              <w:t>1.安全管理部门必须设立安全生产管理档案，纸质文档完好无缺失、隐患排查治理台账等，档案及时更新；</w:t>
            </w:r>
          </w:p>
          <w:p>
            <w:pPr>
              <w:pStyle w:val="178"/>
              <w:ind w:firstLine="180" w:firstLineChars="100"/>
              <w:jc w:val="left"/>
            </w:pPr>
            <w:r>
              <w:rPr>
                <w:rFonts w:hint="eastAsia" w:hAnsi="宋体"/>
              </w:rPr>
              <w:t>2.为员工定期缴纳工伤保险。建立劳保用品发放标准，台账；</w:t>
            </w:r>
          </w:p>
          <w:p>
            <w:pPr>
              <w:pStyle w:val="178"/>
              <w:ind w:firstLine="180" w:firstLineChars="100"/>
              <w:jc w:val="left"/>
            </w:pPr>
            <w:r>
              <w:rPr>
                <w:rFonts w:hint="eastAsia" w:hAnsi="宋体"/>
              </w:rPr>
              <w:t>3.主要负责人定期参加安全检查活动，安全会议记录完善；</w:t>
            </w:r>
          </w:p>
          <w:p>
            <w:pPr>
              <w:pStyle w:val="178"/>
              <w:ind w:firstLine="180" w:firstLineChars="100"/>
              <w:jc w:val="left"/>
            </w:pPr>
            <w:r>
              <w:rPr>
                <w:rFonts w:hint="eastAsia" w:hAnsi="宋体"/>
              </w:rPr>
              <w:t>4.安全协议资料定期存档并保存完好无破损；</w:t>
            </w:r>
          </w:p>
          <w:p>
            <w:pPr>
              <w:pStyle w:val="178"/>
              <w:ind w:firstLine="180" w:firstLineChars="100"/>
              <w:jc w:val="left"/>
            </w:pPr>
            <w:r>
              <w:rPr>
                <w:rFonts w:hint="eastAsia" w:hAnsi="宋体"/>
              </w:rPr>
              <w:t>5.与承包商建立相关安全协议。</w:t>
            </w:r>
          </w:p>
        </w:tc>
        <w:tc>
          <w:tcPr>
            <w:tcW w:w="851"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综合性隐患排查、专业或专项性隐患排查</w:t>
            </w:r>
          </w:p>
        </w:tc>
        <w:tc>
          <w:tcPr>
            <w:tcW w:w="425"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每月</w:t>
            </w:r>
          </w:p>
        </w:tc>
        <w:tc>
          <w:tcPr>
            <w:tcW w:w="284"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张三</w:t>
            </w:r>
          </w:p>
        </w:tc>
        <w:tc>
          <w:tcPr>
            <w:tcW w:w="433"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正常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tcBorders>
              <w:top w:val="single" w:color="auto" w:sz="4" w:space="0"/>
              <w:left w:val="single" w:color="auto" w:sz="8" w:space="0"/>
              <w:bottom w:val="single" w:color="auto" w:sz="8" w:space="0"/>
              <w:right w:val="single" w:color="auto" w:sz="4" w:space="0"/>
            </w:tcBorders>
            <w:vAlign w:val="center"/>
          </w:tcPr>
          <w:p>
            <w:pPr>
              <w:pStyle w:val="178"/>
            </w:pPr>
            <w:r>
              <w:rPr>
                <w:rFonts w:hint="eastAsia" w:hAnsi="宋体"/>
              </w:rPr>
              <w:t>6</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pPr>
            <w:r>
              <w:rPr>
                <w:rFonts w:hint="eastAsia" w:hAnsi="宋体"/>
              </w:rPr>
              <w:t>安全设备设施管理</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pPr>
            <w:r>
              <w:rPr>
                <w:rFonts w:hint="eastAsia" w:hAnsi="宋体"/>
              </w:rPr>
              <w:t>安全设备设施及附件</w:t>
            </w:r>
          </w:p>
        </w:tc>
        <w:tc>
          <w:tcPr>
            <w:tcW w:w="3883" w:type="dxa"/>
            <w:tcBorders>
              <w:top w:val="single" w:color="auto" w:sz="4" w:space="0"/>
              <w:left w:val="single" w:color="auto" w:sz="4" w:space="0"/>
              <w:bottom w:val="single" w:color="auto" w:sz="8" w:space="0"/>
              <w:right w:val="single" w:color="auto" w:sz="4" w:space="0"/>
            </w:tcBorders>
            <w:vAlign w:val="center"/>
          </w:tcPr>
          <w:p>
            <w:pPr>
              <w:pStyle w:val="178"/>
              <w:ind w:firstLine="180" w:firstLineChars="100"/>
              <w:jc w:val="left"/>
            </w:pPr>
            <w:r>
              <w:rPr>
                <w:rFonts w:hint="eastAsia" w:hAnsi="宋体"/>
              </w:rPr>
              <w:t>1.灭火器设置配备必须合理，应在有效使用期内，压力符合要求；</w:t>
            </w:r>
          </w:p>
          <w:p>
            <w:pPr>
              <w:pStyle w:val="178"/>
              <w:ind w:firstLine="180" w:firstLineChars="100"/>
              <w:jc w:val="left"/>
            </w:pPr>
            <w:r>
              <w:rPr>
                <w:rFonts w:hint="eastAsia" w:hAnsi="宋体"/>
              </w:rPr>
              <w:t>2.静电跨接、避雷针完好无损坏；</w:t>
            </w:r>
          </w:p>
          <w:p>
            <w:pPr>
              <w:pStyle w:val="178"/>
              <w:ind w:firstLine="180" w:firstLineChars="100"/>
              <w:jc w:val="left"/>
            </w:pPr>
            <w:r>
              <w:rPr>
                <w:rFonts w:hint="eastAsia" w:hAnsi="宋体"/>
              </w:rPr>
              <w:t>3.生产场所应当设有符合紧急疏散要求的应急门、疏散通道、应急照明，标志标牌明显。</w:t>
            </w:r>
          </w:p>
        </w:tc>
        <w:tc>
          <w:tcPr>
            <w:tcW w:w="851" w:type="dxa"/>
            <w:tcBorders>
              <w:top w:val="single" w:color="auto" w:sz="4" w:space="0"/>
              <w:left w:val="single" w:color="auto" w:sz="4" w:space="0"/>
              <w:bottom w:val="single" w:color="auto" w:sz="8" w:space="0"/>
              <w:right w:val="single" w:color="auto" w:sz="4" w:space="0"/>
            </w:tcBorders>
            <w:vAlign w:val="center"/>
          </w:tcPr>
          <w:p>
            <w:pPr>
              <w:pStyle w:val="178"/>
            </w:pPr>
            <w:r>
              <w:rPr>
                <w:rFonts w:hint="eastAsia" w:hAnsi="宋体"/>
              </w:rPr>
              <w:t>综合性隐患排查、专业或专项性隐患排查</w:t>
            </w:r>
          </w:p>
        </w:tc>
        <w:tc>
          <w:tcPr>
            <w:tcW w:w="425" w:type="dxa"/>
            <w:tcBorders>
              <w:top w:val="single" w:color="auto" w:sz="4" w:space="0"/>
              <w:left w:val="single" w:color="auto" w:sz="4" w:space="0"/>
              <w:bottom w:val="single" w:color="auto" w:sz="8" w:space="0"/>
              <w:right w:val="single" w:color="auto" w:sz="4" w:space="0"/>
            </w:tcBorders>
            <w:vAlign w:val="center"/>
          </w:tcPr>
          <w:p>
            <w:pPr>
              <w:pStyle w:val="178"/>
            </w:pPr>
            <w:r>
              <w:rPr>
                <w:rFonts w:hint="eastAsia" w:hAnsi="宋体"/>
              </w:rPr>
              <w:t>每月</w:t>
            </w:r>
          </w:p>
        </w:tc>
        <w:tc>
          <w:tcPr>
            <w:tcW w:w="284" w:type="dxa"/>
            <w:tcBorders>
              <w:top w:val="single" w:color="auto" w:sz="4" w:space="0"/>
              <w:left w:val="single" w:color="auto" w:sz="4" w:space="0"/>
              <w:bottom w:val="single" w:color="auto" w:sz="8" w:space="0"/>
              <w:right w:val="single" w:color="auto" w:sz="4" w:space="0"/>
            </w:tcBorders>
            <w:vAlign w:val="center"/>
          </w:tcPr>
          <w:p>
            <w:pPr>
              <w:pStyle w:val="178"/>
            </w:pPr>
            <w:r>
              <w:rPr>
                <w:rFonts w:hint="eastAsia" w:hAnsi="宋体"/>
              </w:rPr>
              <w:t>张三</w:t>
            </w:r>
          </w:p>
        </w:tc>
        <w:tc>
          <w:tcPr>
            <w:tcW w:w="433" w:type="dxa"/>
            <w:tcBorders>
              <w:top w:val="single" w:color="auto" w:sz="4" w:space="0"/>
              <w:left w:val="single" w:color="auto" w:sz="4" w:space="0"/>
              <w:bottom w:val="single" w:color="auto" w:sz="8" w:space="0"/>
              <w:right w:val="single" w:color="auto" w:sz="8" w:space="0"/>
            </w:tcBorders>
            <w:vAlign w:val="center"/>
          </w:tcPr>
          <w:p>
            <w:pPr>
              <w:pStyle w:val="178"/>
            </w:pPr>
            <w:r>
              <w:rPr>
                <w:rFonts w:hint="eastAsia" w:hAnsi="宋体"/>
              </w:rPr>
              <w:t>正常</w:t>
            </w:r>
          </w:p>
        </w:tc>
      </w:tr>
    </w:tbl>
    <w:p>
      <w:pPr>
        <w:pStyle w:val="77"/>
        <w:numPr>
          <w:ilvl w:val="0"/>
          <w:numId w:val="0"/>
        </w:numPr>
        <w:spacing w:before="120" w:after="120"/>
        <w:rPr>
          <w:szCs w:val="21"/>
        </w:rPr>
      </w:pPr>
      <w:r>
        <w:rPr>
          <w:rFonts w:ascii="Calibri" w:hAnsi="Calibri"/>
          <w:kern w:val="2"/>
        </w:rPr>
        <w:br w:type="page"/>
      </w:r>
      <w:r>
        <w:rPr>
          <w:rFonts w:hint="eastAsia" w:ascii="Calibri" w:hAnsi="Calibri"/>
          <w:kern w:val="2"/>
        </w:rPr>
        <w:t>表</w:t>
      </w:r>
      <w:r>
        <w:rPr>
          <w:rFonts w:hint="eastAsia" w:hAnsi="黑体"/>
          <w:kern w:val="2"/>
        </w:rPr>
        <w:t>E.</w:t>
      </w:r>
      <w:r>
        <w:rPr>
          <w:rFonts w:hAnsi="黑体"/>
          <w:kern w:val="2"/>
        </w:rPr>
        <w:t xml:space="preserve">1 </w:t>
      </w:r>
      <w:r>
        <w:rPr>
          <w:rFonts w:hint="eastAsia" w:hAnsi="黑体"/>
          <w:kern w:val="2"/>
        </w:rPr>
        <w:t xml:space="preserve"> </w:t>
      </w:r>
      <w:r>
        <w:rPr>
          <w:rFonts w:hint="eastAsia" w:hAnsi="黑体"/>
        </w:rPr>
        <w:t>基础管理类隐患排查清单</w:t>
      </w:r>
      <w:r>
        <w:rPr>
          <w:rFonts w:hint="eastAsia" w:ascii="宋体" w:hAnsi="宋体" w:eastAsia="宋体"/>
        </w:rPr>
        <w:t>（续）</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257"/>
        <w:gridCol w:w="813"/>
        <w:gridCol w:w="2427"/>
        <w:gridCol w:w="3884"/>
        <w:gridCol w:w="851"/>
        <w:gridCol w:w="425"/>
        <w:gridCol w:w="284"/>
        <w:gridCol w:w="433"/>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tcBorders>
              <w:top w:val="single" w:color="auto" w:sz="8" w:space="0"/>
              <w:left w:val="single" w:color="auto" w:sz="8" w:space="0"/>
              <w:bottom w:val="single" w:color="auto" w:sz="4" w:space="0"/>
              <w:right w:val="single" w:color="auto" w:sz="4" w:space="0"/>
            </w:tcBorders>
            <w:vAlign w:val="center"/>
          </w:tcPr>
          <w:p>
            <w:pPr>
              <w:pStyle w:val="178"/>
              <w:rPr>
                <w:bCs/>
              </w:rPr>
            </w:pPr>
            <w:r>
              <w:rPr>
                <w:rFonts w:hint="eastAsia" w:hAnsi="宋体"/>
                <w:bCs/>
              </w:rPr>
              <w:t>序号</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rPr>
                <w:bCs/>
              </w:rPr>
            </w:pPr>
            <w:r>
              <w:rPr>
                <w:rFonts w:hint="eastAsia" w:hAnsi="宋体"/>
                <w:bCs/>
              </w:rPr>
              <w:t>类别</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rPr>
                <w:bCs/>
              </w:rPr>
            </w:pPr>
            <w:r>
              <w:rPr>
                <w:rFonts w:hint="eastAsia" w:hAnsi="宋体"/>
                <w:bCs/>
              </w:rPr>
              <w:t>排查项目</w:t>
            </w:r>
          </w:p>
        </w:tc>
        <w:tc>
          <w:tcPr>
            <w:tcW w:w="3883" w:type="dxa"/>
            <w:tcBorders>
              <w:top w:val="single" w:color="auto" w:sz="8" w:space="0"/>
              <w:left w:val="single" w:color="auto" w:sz="4" w:space="0"/>
              <w:bottom w:val="single" w:color="auto" w:sz="4" w:space="0"/>
              <w:right w:val="single" w:color="auto" w:sz="4" w:space="0"/>
            </w:tcBorders>
            <w:vAlign w:val="center"/>
          </w:tcPr>
          <w:p>
            <w:pPr>
              <w:pStyle w:val="178"/>
              <w:rPr>
                <w:bCs/>
              </w:rPr>
            </w:pPr>
            <w:r>
              <w:rPr>
                <w:rFonts w:hint="eastAsia" w:hAnsi="宋体"/>
                <w:bCs/>
              </w:rPr>
              <w:t>排查标准</w:t>
            </w:r>
          </w:p>
        </w:tc>
        <w:tc>
          <w:tcPr>
            <w:tcW w:w="851" w:type="dxa"/>
            <w:tcBorders>
              <w:top w:val="single" w:color="auto" w:sz="8" w:space="0"/>
              <w:left w:val="single" w:color="auto" w:sz="4" w:space="0"/>
              <w:bottom w:val="single" w:color="auto" w:sz="4" w:space="0"/>
              <w:right w:val="single" w:color="auto" w:sz="4" w:space="0"/>
            </w:tcBorders>
            <w:vAlign w:val="center"/>
          </w:tcPr>
          <w:p>
            <w:pPr>
              <w:pStyle w:val="178"/>
              <w:rPr>
                <w:bCs/>
              </w:rPr>
            </w:pPr>
            <w:r>
              <w:rPr>
                <w:rFonts w:hint="eastAsia" w:hAnsi="宋体"/>
                <w:bCs/>
              </w:rPr>
              <w:t>检查类型</w:t>
            </w:r>
          </w:p>
        </w:tc>
        <w:tc>
          <w:tcPr>
            <w:tcW w:w="425" w:type="dxa"/>
            <w:tcBorders>
              <w:top w:val="single" w:color="auto" w:sz="8" w:space="0"/>
              <w:left w:val="single" w:color="auto" w:sz="4" w:space="0"/>
              <w:bottom w:val="single" w:color="auto" w:sz="4" w:space="0"/>
              <w:right w:val="single" w:color="auto" w:sz="4" w:space="0"/>
            </w:tcBorders>
            <w:vAlign w:val="center"/>
          </w:tcPr>
          <w:p>
            <w:pPr>
              <w:pStyle w:val="178"/>
              <w:rPr>
                <w:bCs/>
              </w:rPr>
            </w:pPr>
            <w:r>
              <w:rPr>
                <w:rFonts w:hint="eastAsia" w:hAnsi="宋体"/>
                <w:bCs/>
              </w:rPr>
              <w:t>检查频次</w:t>
            </w:r>
          </w:p>
        </w:tc>
        <w:tc>
          <w:tcPr>
            <w:tcW w:w="284" w:type="dxa"/>
            <w:tcBorders>
              <w:top w:val="single" w:color="auto" w:sz="8" w:space="0"/>
              <w:left w:val="single" w:color="auto" w:sz="4" w:space="0"/>
              <w:bottom w:val="single" w:color="auto" w:sz="4" w:space="0"/>
              <w:right w:val="single" w:color="auto" w:sz="4" w:space="0"/>
            </w:tcBorders>
            <w:vAlign w:val="center"/>
          </w:tcPr>
          <w:p>
            <w:pPr>
              <w:pStyle w:val="178"/>
              <w:rPr>
                <w:bCs/>
              </w:rPr>
            </w:pPr>
            <w:r>
              <w:rPr>
                <w:rFonts w:hint="eastAsia" w:hAnsi="宋体"/>
                <w:bCs/>
              </w:rPr>
              <w:t>责任人</w:t>
            </w:r>
          </w:p>
        </w:tc>
        <w:tc>
          <w:tcPr>
            <w:tcW w:w="433" w:type="dxa"/>
            <w:tcBorders>
              <w:top w:val="single" w:color="auto" w:sz="8" w:space="0"/>
              <w:left w:val="single" w:color="auto" w:sz="4" w:space="0"/>
              <w:bottom w:val="single" w:color="auto" w:sz="4" w:space="0"/>
              <w:right w:val="single" w:color="auto" w:sz="8" w:space="0"/>
            </w:tcBorders>
            <w:vAlign w:val="center"/>
          </w:tcPr>
          <w:p>
            <w:pPr>
              <w:pStyle w:val="178"/>
              <w:rPr>
                <w:bCs/>
              </w:rPr>
            </w:pPr>
            <w:r>
              <w:rPr>
                <w:rFonts w:hint="eastAsia" w:hAnsi="宋体"/>
                <w:bCs/>
              </w:rPr>
              <w:t>检查情况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tcBorders>
              <w:top w:val="single" w:color="auto" w:sz="4" w:space="0"/>
              <w:left w:val="single" w:color="auto" w:sz="8" w:space="0"/>
              <w:bottom w:val="single" w:color="auto" w:sz="4" w:space="0"/>
              <w:right w:val="single" w:color="auto" w:sz="4" w:space="0"/>
            </w:tcBorders>
            <w:vAlign w:val="center"/>
          </w:tcPr>
          <w:p>
            <w:pPr>
              <w:pStyle w:val="178"/>
            </w:pPr>
            <w:r>
              <w:rPr>
                <w:rFonts w:hint="eastAsia" w:hAnsi="宋体"/>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安全生产投入</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安全费用提取和使用</w:t>
            </w:r>
          </w:p>
        </w:tc>
        <w:tc>
          <w:tcPr>
            <w:tcW w:w="3883" w:type="dxa"/>
            <w:tcBorders>
              <w:top w:val="single" w:color="auto" w:sz="4" w:space="0"/>
              <w:left w:val="single" w:color="auto" w:sz="4" w:space="0"/>
              <w:bottom w:val="single" w:color="auto" w:sz="4" w:space="0"/>
              <w:right w:val="single" w:color="auto" w:sz="4" w:space="0"/>
            </w:tcBorders>
            <w:vAlign w:val="center"/>
          </w:tcPr>
          <w:p>
            <w:pPr>
              <w:pStyle w:val="178"/>
              <w:ind w:firstLine="180" w:firstLineChars="100"/>
              <w:jc w:val="left"/>
            </w:pPr>
            <w:r>
              <w:rPr>
                <w:rFonts w:hint="eastAsia" w:hAnsi="宋体"/>
              </w:rPr>
              <w:t>1.保证安全生产费用投入，专款专用，并建立安全生产费用使用台账；</w:t>
            </w:r>
          </w:p>
          <w:p>
            <w:pPr>
              <w:pStyle w:val="178"/>
              <w:ind w:firstLine="180" w:firstLineChars="100"/>
              <w:jc w:val="left"/>
            </w:pPr>
            <w:r>
              <w:rPr>
                <w:rFonts w:hint="eastAsia" w:hAnsi="宋体"/>
              </w:rPr>
              <w:t>2、明确费用用途、时间、金额。</w:t>
            </w:r>
          </w:p>
        </w:tc>
        <w:tc>
          <w:tcPr>
            <w:tcW w:w="851"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综合性隐患排查、专业或专项性隐患排查</w:t>
            </w:r>
          </w:p>
        </w:tc>
        <w:tc>
          <w:tcPr>
            <w:tcW w:w="425"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每月</w:t>
            </w:r>
          </w:p>
        </w:tc>
        <w:tc>
          <w:tcPr>
            <w:tcW w:w="284"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张三</w:t>
            </w:r>
          </w:p>
        </w:tc>
        <w:tc>
          <w:tcPr>
            <w:tcW w:w="433"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正常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tcBorders>
              <w:top w:val="single" w:color="auto" w:sz="4" w:space="0"/>
              <w:left w:val="single" w:color="auto" w:sz="8" w:space="0"/>
              <w:bottom w:val="single" w:color="auto" w:sz="4" w:space="0"/>
              <w:right w:val="single" w:color="auto" w:sz="4" w:space="0"/>
            </w:tcBorders>
            <w:vAlign w:val="center"/>
          </w:tcPr>
          <w:p>
            <w:pPr>
              <w:pStyle w:val="178"/>
            </w:pPr>
            <w:r>
              <w:rPr>
                <w:rFonts w:hint="eastAsia" w:hAnsi="宋体"/>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应急管理</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应急预案制定、评审、备案、应急预案的演练和评估、应急救援组织、救援物资</w:t>
            </w:r>
          </w:p>
        </w:tc>
        <w:tc>
          <w:tcPr>
            <w:tcW w:w="3883" w:type="dxa"/>
            <w:tcBorders>
              <w:top w:val="single" w:color="auto" w:sz="4" w:space="0"/>
              <w:left w:val="single" w:color="auto" w:sz="4" w:space="0"/>
              <w:bottom w:val="single" w:color="auto" w:sz="4" w:space="0"/>
              <w:right w:val="single" w:color="auto" w:sz="4" w:space="0"/>
            </w:tcBorders>
            <w:vAlign w:val="center"/>
          </w:tcPr>
          <w:p>
            <w:pPr>
              <w:pStyle w:val="178"/>
              <w:ind w:firstLine="180" w:firstLineChars="100"/>
              <w:jc w:val="left"/>
            </w:pPr>
            <w:r>
              <w:rPr>
                <w:rFonts w:hint="eastAsia" w:hAnsi="宋体"/>
              </w:rPr>
              <w:t>1.企业应当制定本单位生产安全事故应急预案，预案分为综合应急预案、专项应急预案和现场处置方案；</w:t>
            </w:r>
          </w:p>
          <w:p>
            <w:pPr>
              <w:pStyle w:val="178"/>
              <w:ind w:firstLine="180" w:firstLineChars="100"/>
              <w:jc w:val="left"/>
            </w:pPr>
            <w:r>
              <w:rPr>
                <w:rFonts w:hint="eastAsia" w:hAnsi="宋体"/>
              </w:rPr>
              <w:t>2.应当定期组织演练，每年至少组织一次综合应急预案演练或者专项应急预案演练，每半年至少组织一次现场处置方案演练，并根据演练效果进行评估、修订和完善；</w:t>
            </w:r>
            <w:r>
              <w:rPr>
                <w:rFonts w:hint="eastAsia"/>
              </w:rPr>
              <w:t>3.</w:t>
            </w:r>
            <w:r>
              <w:rPr>
                <w:rFonts w:hint="eastAsia" w:hAnsi="宋体"/>
              </w:rPr>
              <w:t>根据有关规定将应急预案报当地主管部门备案，并通报有关应急协作单位。</w:t>
            </w:r>
          </w:p>
        </w:tc>
        <w:tc>
          <w:tcPr>
            <w:tcW w:w="851"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综合性隐患排查、专业或专项性隐患排查</w:t>
            </w:r>
          </w:p>
        </w:tc>
        <w:tc>
          <w:tcPr>
            <w:tcW w:w="425"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每月</w:t>
            </w:r>
          </w:p>
        </w:tc>
        <w:tc>
          <w:tcPr>
            <w:tcW w:w="284"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张三</w:t>
            </w:r>
          </w:p>
        </w:tc>
        <w:tc>
          <w:tcPr>
            <w:tcW w:w="433"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正常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tcBorders>
              <w:top w:val="single" w:color="auto" w:sz="4" w:space="0"/>
              <w:left w:val="single" w:color="auto" w:sz="8" w:space="0"/>
              <w:bottom w:val="single" w:color="auto" w:sz="4" w:space="0"/>
              <w:right w:val="single" w:color="auto" w:sz="4" w:space="0"/>
            </w:tcBorders>
            <w:vAlign w:val="center"/>
          </w:tcPr>
          <w:p>
            <w:pPr>
              <w:pStyle w:val="178"/>
            </w:pPr>
            <w:r>
              <w:rPr>
                <w:rFonts w:hint="eastAsia" w:hAnsi="宋体"/>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职业卫生基础管理</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职业危害告知、职业健康监护，档案建立</w:t>
            </w:r>
          </w:p>
        </w:tc>
        <w:tc>
          <w:tcPr>
            <w:tcW w:w="3883" w:type="dxa"/>
            <w:tcBorders>
              <w:top w:val="single" w:color="auto" w:sz="4" w:space="0"/>
              <w:left w:val="single" w:color="auto" w:sz="4" w:space="0"/>
              <w:bottom w:val="single" w:color="auto" w:sz="4" w:space="0"/>
              <w:right w:val="single" w:color="auto" w:sz="4" w:space="0"/>
            </w:tcBorders>
            <w:vAlign w:val="center"/>
          </w:tcPr>
          <w:p>
            <w:pPr>
              <w:pStyle w:val="178"/>
              <w:ind w:firstLine="180" w:firstLineChars="100"/>
              <w:jc w:val="left"/>
            </w:pPr>
            <w:r>
              <w:rPr>
                <w:rFonts w:hint="eastAsia" w:hAnsi="宋体"/>
              </w:rPr>
              <w:t>1.制定劳保用品发放使用制度，按标准配发并正确佩戴劳保用品；</w:t>
            </w:r>
          </w:p>
          <w:p>
            <w:pPr>
              <w:pStyle w:val="178"/>
              <w:ind w:firstLine="180" w:firstLineChars="100"/>
              <w:jc w:val="left"/>
            </w:pPr>
            <w:r>
              <w:rPr>
                <w:rFonts w:hint="eastAsia" w:hAnsi="宋体"/>
              </w:rPr>
              <w:t>2.委托取得相应资质的卫生机构对作业人员进行在岗期间的职业健康检查；</w:t>
            </w:r>
          </w:p>
          <w:p>
            <w:pPr>
              <w:pStyle w:val="178"/>
              <w:ind w:firstLine="180" w:firstLineChars="100"/>
              <w:jc w:val="left"/>
            </w:pPr>
            <w:r>
              <w:rPr>
                <w:rFonts w:hint="eastAsia" w:hAnsi="宋体"/>
              </w:rPr>
              <w:t>3</w:t>
            </w:r>
            <w:r>
              <w:rPr>
                <w:rFonts w:hint="eastAsia"/>
              </w:rPr>
              <w:t>.</w:t>
            </w:r>
            <w:r>
              <w:rPr>
                <w:rFonts w:hint="eastAsia" w:hAnsi="宋体"/>
              </w:rPr>
              <w:t>每年至少委托具有相应资质机构对职业危害场所进行一次全面检测，并公布检测结果。</w:t>
            </w:r>
          </w:p>
        </w:tc>
        <w:tc>
          <w:tcPr>
            <w:tcW w:w="851"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综合性隐患排查、专业或专项性隐患排查</w:t>
            </w:r>
          </w:p>
        </w:tc>
        <w:tc>
          <w:tcPr>
            <w:tcW w:w="425"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每月</w:t>
            </w:r>
          </w:p>
        </w:tc>
        <w:tc>
          <w:tcPr>
            <w:tcW w:w="284" w:type="dxa"/>
            <w:tcBorders>
              <w:top w:val="single" w:color="auto" w:sz="4" w:space="0"/>
              <w:left w:val="single" w:color="auto" w:sz="4" w:space="0"/>
              <w:bottom w:val="single" w:color="auto" w:sz="4" w:space="0"/>
              <w:right w:val="single" w:color="auto" w:sz="4" w:space="0"/>
            </w:tcBorders>
            <w:vAlign w:val="center"/>
          </w:tcPr>
          <w:p>
            <w:pPr>
              <w:pStyle w:val="178"/>
            </w:pPr>
            <w:r>
              <w:rPr>
                <w:rFonts w:hint="eastAsia" w:hAnsi="宋体"/>
              </w:rPr>
              <w:t>张三</w:t>
            </w:r>
          </w:p>
        </w:tc>
        <w:tc>
          <w:tcPr>
            <w:tcW w:w="433" w:type="dxa"/>
            <w:tcBorders>
              <w:top w:val="single" w:color="auto" w:sz="4" w:space="0"/>
              <w:left w:val="single" w:color="auto" w:sz="4" w:space="0"/>
              <w:bottom w:val="single" w:color="auto" w:sz="4" w:space="0"/>
              <w:right w:val="single" w:color="auto" w:sz="8" w:space="0"/>
            </w:tcBorders>
            <w:vAlign w:val="center"/>
          </w:tcPr>
          <w:p>
            <w:pPr>
              <w:pStyle w:val="178"/>
            </w:pPr>
            <w:r>
              <w:rPr>
                <w:rFonts w:hint="eastAsia" w:hAnsi="宋体"/>
              </w:rPr>
              <w:t>正常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0" w:type="auto"/>
            <w:tcBorders>
              <w:top w:val="single" w:color="auto" w:sz="4" w:space="0"/>
              <w:left w:val="single" w:color="auto" w:sz="8" w:space="0"/>
              <w:bottom w:val="single" w:color="auto" w:sz="8" w:space="0"/>
              <w:right w:val="single" w:color="auto" w:sz="4" w:space="0"/>
            </w:tcBorders>
            <w:vAlign w:val="center"/>
          </w:tcPr>
          <w:p>
            <w:pPr>
              <w:pStyle w:val="178"/>
            </w:pPr>
            <w:r>
              <w:rPr>
                <w:rFonts w:hint="eastAsia" w:hAnsi="宋体"/>
              </w:rPr>
              <w:t>1</w:t>
            </w:r>
            <w:r>
              <w:rPr>
                <w:rFonts w:hint="eastAsia"/>
              </w:rPr>
              <w:t>0</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pPr>
            <w:r>
              <w:rPr>
                <w:rFonts w:hint="eastAsia" w:hAnsi="宋体"/>
              </w:rPr>
              <w:t>特种设备设施和特种作业</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pPr>
            <w:r>
              <w:rPr>
                <w:rFonts w:hint="eastAsia" w:hAnsi="宋体"/>
              </w:rPr>
              <w:t>特种设备登记、检验、台账、档案、制度建设、过程管理</w:t>
            </w:r>
          </w:p>
        </w:tc>
        <w:tc>
          <w:tcPr>
            <w:tcW w:w="3883" w:type="dxa"/>
            <w:tcBorders>
              <w:top w:val="single" w:color="auto" w:sz="4" w:space="0"/>
              <w:left w:val="single" w:color="auto" w:sz="4" w:space="0"/>
              <w:bottom w:val="single" w:color="auto" w:sz="8" w:space="0"/>
              <w:right w:val="single" w:color="auto" w:sz="4" w:space="0"/>
            </w:tcBorders>
            <w:vAlign w:val="center"/>
          </w:tcPr>
          <w:p>
            <w:pPr>
              <w:pStyle w:val="178"/>
              <w:ind w:firstLine="180" w:firstLineChars="100"/>
              <w:jc w:val="left"/>
            </w:pPr>
            <w:r>
              <w:rPr>
                <w:rFonts w:hint="eastAsia" w:hAnsi="宋体"/>
              </w:rPr>
              <w:t>1.特种设备及时登记注册，定期对设备和附件进行检验，建立档案和台账；</w:t>
            </w:r>
          </w:p>
          <w:p>
            <w:pPr>
              <w:pStyle w:val="178"/>
              <w:ind w:firstLine="180" w:firstLineChars="100"/>
              <w:jc w:val="left"/>
            </w:pPr>
            <w:r>
              <w:rPr>
                <w:rFonts w:hint="eastAsia" w:hAnsi="宋体"/>
              </w:rPr>
              <w:t>2.制定特种设备管理制度；</w:t>
            </w:r>
          </w:p>
          <w:p>
            <w:pPr>
              <w:pStyle w:val="178"/>
              <w:ind w:firstLine="180" w:firstLineChars="100"/>
              <w:jc w:val="left"/>
            </w:pPr>
            <w:r>
              <w:rPr>
                <w:rFonts w:hint="eastAsia" w:hAnsi="宋体"/>
              </w:rPr>
              <w:t>3.作业票制度。</w:t>
            </w:r>
          </w:p>
        </w:tc>
        <w:tc>
          <w:tcPr>
            <w:tcW w:w="851" w:type="dxa"/>
            <w:tcBorders>
              <w:top w:val="single" w:color="auto" w:sz="4" w:space="0"/>
              <w:left w:val="single" w:color="auto" w:sz="4" w:space="0"/>
              <w:bottom w:val="single" w:color="auto" w:sz="8" w:space="0"/>
              <w:right w:val="single" w:color="auto" w:sz="4" w:space="0"/>
            </w:tcBorders>
            <w:vAlign w:val="center"/>
          </w:tcPr>
          <w:p>
            <w:pPr>
              <w:pStyle w:val="178"/>
            </w:pPr>
            <w:r>
              <w:rPr>
                <w:rFonts w:hint="eastAsia" w:hAnsi="宋体"/>
              </w:rPr>
              <w:t>综合性隐患排查、专业或专项性隐患排查</w:t>
            </w:r>
          </w:p>
        </w:tc>
        <w:tc>
          <w:tcPr>
            <w:tcW w:w="425" w:type="dxa"/>
            <w:tcBorders>
              <w:top w:val="single" w:color="auto" w:sz="4" w:space="0"/>
              <w:left w:val="single" w:color="auto" w:sz="4" w:space="0"/>
              <w:bottom w:val="single" w:color="auto" w:sz="8" w:space="0"/>
              <w:right w:val="single" w:color="auto" w:sz="4" w:space="0"/>
            </w:tcBorders>
            <w:vAlign w:val="center"/>
          </w:tcPr>
          <w:p>
            <w:pPr>
              <w:pStyle w:val="178"/>
            </w:pPr>
            <w:r>
              <w:rPr>
                <w:rFonts w:hint="eastAsia" w:hAnsi="宋体"/>
              </w:rPr>
              <w:t>每月</w:t>
            </w:r>
          </w:p>
        </w:tc>
        <w:tc>
          <w:tcPr>
            <w:tcW w:w="284" w:type="dxa"/>
            <w:tcBorders>
              <w:top w:val="single" w:color="auto" w:sz="4" w:space="0"/>
              <w:left w:val="single" w:color="auto" w:sz="4" w:space="0"/>
              <w:bottom w:val="single" w:color="auto" w:sz="8" w:space="0"/>
              <w:right w:val="single" w:color="auto" w:sz="4" w:space="0"/>
            </w:tcBorders>
            <w:vAlign w:val="center"/>
          </w:tcPr>
          <w:p>
            <w:pPr>
              <w:pStyle w:val="178"/>
            </w:pPr>
            <w:r>
              <w:rPr>
                <w:rFonts w:hint="eastAsia" w:hAnsi="宋体"/>
              </w:rPr>
              <w:t>张三</w:t>
            </w:r>
          </w:p>
        </w:tc>
        <w:tc>
          <w:tcPr>
            <w:tcW w:w="433" w:type="dxa"/>
            <w:tcBorders>
              <w:top w:val="single" w:color="auto" w:sz="4" w:space="0"/>
              <w:left w:val="single" w:color="auto" w:sz="4" w:space="0"/>
              <w:bottom w:val="single" w:color="auto" w:sz="8" w:space="0"/>
              <w:right w:val="single" w:color="auto" w:sz="8" w:space="0"/>
            </w:tcBorders>
            <w:vAlign w:val="center"/>
          </w:tcPr>
          <w:p>
            <w:pPr>
              <w:pStyle w:val="178"/>
            </w:pPr>
            <w:r>
              <w:rPr>
                <w:rFonts w:hint="eastAsia" w:hAnsi="宋体"/>
              </w:rPr>
              <w:t>正常</w:t>
            </w:r>
          </w:p>
        </w:tc>
      </w:tr>
    </w:tbl>
    <w:p>
      <w:pPr>
        <w:pStyle w:val="77"/>
        <w:spacing w:before="240" w:beforeLines="100" w:after="120"/>
        <w:ind w:firstLine="420"/>
        <w:rPr>
          <w:szCs w:val="21"/>
        </w:rPr>
      </w:pPr>
      <w:r>
        <w:rPr>
          <w:rFonts w:hint="eastAsia"/>
        </w:rPr>
        <w:t xml:space="preserve"> 生产现场类隐患排查清单（设备设施）</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45"/>
        <w:gridCol w:w="445"/>
        <w:gridCol w:w="381"/>
        <w:gridCol w:w="509"/>
        <w:gridCol w:w="509"/>
        <w:gridCol w:w="381"/>
        <w:gridCol w:w="1007"/>
        <w:gridCol w:w="1209"/>
        <w:gridCol w:w="509"/>
        <w:gridCol w:w="509"/>
        <w:gridCol w:w="2090"/>
        <w:gridCol w:w="381"/>
        <w:gridCol w:w="381"/>
        <w:gridCol w:w="223"/>
        <w:gridCol w:w="195"/>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0" w:type="auto"/>
            <w:gridSpan w:val="3"/>
            <w:tcBorders>
              <w:top w:val="single" w:color="auto" w:sz="8" w:space="0"/>
              <w:left w:val="single" w:color="auto" w:sz="8" w:space="0"/>
              <w:bottom w:val="single" w:color="auto" w:sz="4" w:space="0"/>
              <w:right w:val="single" w:color="auto" w:sz="4" w:space="0"/>
            </w:tcBorders>
            <w:vAlign w:val="center"/>
          </w:tcPr>
          <w:p>
            <w:pPr>
              <w:pStyle w:val="178"/>
              <w:spacing w:after="120"/>
            </w:pPr>
            <w:r>
              <w:rPr>
                <w:rFonts w:hint="eastAsia" w:hAnsi="宋体"/>
              </w:rPr>
              <w:t>风险点基本信息</w:t>
            </w:r>
          </w:p>
        </w:tc>
        <w:tc>
          <w:tcPr>
            <w:tcW w:w="0" w:type="auto"/>
            <w:gridSpan w:val="3"/>
            <w:tcBorders>
              <w:top w:val="single" w:color="auto" w:sz="8" w:space="0"/>
              <w:left w:val="single" w:color="auto" w:sz="4" w:space="0"/>
              <w:bottom w:val="single" w:color="auto" w:sz="4" w:space="0"/>
              <w:right w:val="single" w:color="auto" w:sz="4" w:space="0"/>
            </w:tcBorders>
            <w:vAlign w:val="center"/>
          </w:tcPr>
          <w:p>
            <w:pPr>
              <w:pStyle w:val="178"/>
              <w:spacing w:after="120"/>
            </w:pPr>
            <w:r>
              <w:rPr>
                <w:rFonts w:hint="eastAsia" w:hAnsi="宋体"/>
              </w:rPr>
              <w:t>检查项目</w:t>
            </w:r>
          </w:p>
        </w:tc>
        <w:tc>
          <w:tcPr>
            <w:tcW w:w="0" w:type="auto"/>
            <w:gridSpan w:val="5"/>
            <w:tcBorders>
              <w:top w:val="single" w:color="auto" w:sz="8" w:space="0"/>
              <w:left w:val="single" w:color="auto" w:sz="4" w:space="0"/>
              <w:bottom w:val="single" w:color="auto" w:sz="4" w:space="0"/>
              <w:right w:val="single" w:color="auto" w:sz="4" w:space="0"/>
            </w:tcBorders>
            <w:vAlign w:val="center"/>
          </w:tcPr>
          <w:p>
            <w:pPr>
              <w:pStyle w:val="178"/>
              <w:spacing w:after="120"/>
            </w:pPr>
            <w:r>
              <w:rPr>
                <w:rFonts w:hint="eastAsia" w:hAnsi="宋体"/>
              </w:rPr>
              <w:t>管控措施</w:t>
            </w:r>
          </w:p>
        </w:tc>
        <w:tc>
          <w:tcPr>
            <w:tcW w:w="0" w:type="auto"/>
            <w:vMerge w:val="restart"/>
            <w:tcBorders>
              <w:top w:val="single" w:color="auto" w:sz="8" w:space="0"/>
              <w:left w:val="single" w:color="auto" w:sz="4" w:space="0"/>
              <w:bottom w:val="single" w:color="auto" w:sz="4" w:space="0"/>
              <w:right w:val="single" w:color="auto" w:sz="4" w:space="0"/>
            </w:tcBorders>
            <w:vAlign w:val="center"/>
          </w:tcPr>
          <w:p>
            <w:pPr>
              <w:pStyle w:val="178"/>
              <w:spacing w:after="120"/>
            </w:pPr>
            <w:r>
              <w:rPr>
                <w:rFonts w:hint="eastAsia" w:hAnsi="宋体"/>
              </w:rPr>
              <w:t>检查类型</w:t>
            </w:r>
          </w:p>
        </w:tc>
        <w:tc>
          <w:tcPr>
            <w:tcW w:w="0" w:type="auto"/>
            <w:vMerge w:val="restart"/>
            <w:tcBorders>
              <w:top w:val="single" w:color="auto" w:sz="8" w:space="0"/>
              <w:left w:val="single" w:color="auto" w:sz="4" w:space="0"/>
              <w:bottom w:val="single" w:color="auto" w:sz="4" w:space="0"/>
              <w:right w:val="single" w:color="auto" w:sz="4" w:space="0"/>
            </w:tcBorders>
            <w:vAlign w:val="center"/>
          </w:tcPr>
          <w:p>
            <w:pPr>
              <w:pStyle w:val="178"/>
              <w:spacing w:after="120"/>
            </w:pPr>
            <w:r>
              <w:rPr>
                <w:rFonts w:hint="eastAsia" w:hAnsi="宋体"/>
              </w:rPr>
              <w:t>检查频次</w:t>
            </w:r>
          </w:p>
        </w:tc>
        <w:tc>
          <w:tcPr>
            <w:tcW w:w="224" w:type="dxa"/>
            <w:vMerge w:val="restart"/>
            <w:tcBorders>
              <w:top w:val="single" w:color="auto" w:sz="8" w:space="0"/>
              <w:left w:val="single" w:color="auto" w:sz="4" w:space="0"/>
              <w:bottom w:val="single" w:color="auto" w:sz="4" w:space="0"/>
              <w:right w:val="single" w:color="auto" w:sz="4" w:space="0"/>
            </w:tcBorders>
            <w:vAlign w:val="center"/>
          </w:tcPr>
          <w:p>
            <w:pPr>
              <w:pStyle w:val="178"/>
              <w:spacing w:after="120"/>
            </w:pPr>
            <w:r>
              <w:rPr>
                <w:rFonts w:hint="eastAsia" w:hAnsi="宋体"/>
              </w:rPr>
              <w:t>责任人</w:t>
            </w:r>
          </w:p>
        </w:tc>
        <w:tc>
          <w:tcPr>
            <w:tcW w:w="195" w:type="dxa"/>
            <w:vMerge w:val="restart"/>
            <w:tcBorders>
              <w:top w:val="single" w:color="auto" w:sz="8" w:space="0"/>
              <w:left w:val="single" w:color="auto" w:sz="4" w:space="0"/>
              <w:bottom w:val="single" w:color="auto" w:sz="4" w:space="0"/>
              <w:right w:val="single" w:color="auto" w:sz="8" w:space="0"/>
            </w:tcBorders>
            <w:vAlign w:val="center"/>
          </w:tcPr>
          <w:p>
            <w:pPr>
              <w:pStyle w:val="178"/>
              <w:spacing w:after="120"/>
            </w:pPr>
            <w:r>
              <w:rPr>
                <w:rFonts w:hint="eastAsia" w:hAnsi="宋体"/>
              </w:rPr>
              <w:t>检查情况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57" w:hRule="atLeast"/>
          <w:jc w:val="center"/>
        </w:trPr>
        <w:tc>
          <w:tcPr>
            <w:tcW w:w="0" w:type="auto"/>
            <w:tcBorders>
              <w:top w:val="single" w:color="auto" w:sz="4" w:space="0"/>
              <w:left w:val="single" w:color="auto" w:sz="8" w:space="0"/>
              <w:bottom w:val="single" w:color="auto" w:sz="8" w:space="0"/>
              <w:right w:val="single" w:color="auto" w:sz="4" w:space="0"/>
            </w:tcBorders>
            <w:vAlign w:val="center"/>
          </w:tcPr>
          <w:p>
            <w:pPr>
              <w:pStyle w:val="178"/>
              <w:spacing w:after="120"/>
            </w:pPr>
            <w:r>
              <w:rPr>
                <w:rFonts w:hint="eastAsia" w:hAnsi="宋体"/>
              </w:rPr>
              <w:t>编号</w:t>
            </w:r>
          </w:p>
        </w:tc>
        <w:tc>
          <w:tcPr>
            <w:tcW w:w="0" w:type="auto"/>
            <w:tcBorders>
              <w:top w:val="single" w:color="auto" w:sz="8" w:space="0"/>
              <w:left w:val="single" w:color="auto" w:sz="4" w:space="0"/>
              <w:bottom w:val="single" w:color="auto" w:sz="8" w:space="0"/>
              <w:right w:val="single" w:color="auto" w:sz="4" w:space="0"/>
            </w:tcBorders>
            <w:vAlign w:val="center"/>
          </w:tcPr>
          <w:p>
            <w:pPr>
              <w:pStyle w:val="178"/>
              <w:spacing w:after="120"/>
            </w:pPr>
            <w:r>
              <w:rPr>
                <w:rFonts w:hint="eastAsia" w:hAnsi="宋体"/>
              </w:rPr>
              <w:t>类型</w:t>
            </w:r>
          </w:p>
        </w:tc>
        <w:tc>
          <w:tcPr>
            <w:tcW w:w="0" w:type="auto"/>
            <w:tcBorders>
              <w:top w:val="single" w:color="auto" w:sz="8" w:space="0"/>
              <w:left w:val="single" w:color="auto" w:sz="4" w:space="0"/>
              <w:bottom w:val="single" w:color="auto" w:sz="8" w:space="0"/>
              <w:right w:val="single" w:color="auto" w:sz="4" w:space="0"/>
            </w:tcBorders>
            <w:vAlign w:val="center"/>
          </w:tcPr>
          <w:p>
            <w:pPr>
              <w:pStyle w:val="178"/>
              <w:spacing w:after="120"/>
            </w:pPr>
            <w:r>
              <w:rPr>
                <w:rFonts w:hint="eastAsia" w:hAnsi="宋体"/>
              </w:rPr>
              <w:t>名称</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hAnsi="宋体"/>
              </w:rPr>
              <w:t>检查项目名称</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hAnsi="宋体"/>
              </w:rPr>
              <w:t>检查标准</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hAnsi="宋体"/>
              </w:rPr>
              <w:t>主要后果</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hAnsi="宋体"/>
                <w:color w:val="000000"/>
              </w:rPr>
              <w:t>工程技术措施</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hAnsi="宋体"/>
                <w:color w:val="000000"/>
              </w:rPr>
              <w:t>管理措施</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hAnsi="宋体"/>
                <w:color w:val="000000"/>
              </w:rPr>
              <w:t>培训教育措施</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hAnsi="宋体"/>
                <w:color w:val="000000"/>
              </w:rPr>
              <w:t>个体防护措施</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hAnsi="宋体"/>
                <w:color w:val="000000"/>
              </w:rPr>
              <w:t>应急处置措施</w:t>
            </w:r>
          </w:p>
        </w:tc>
        <w:tc>
          <w:tcPr>
            <w:tcW w:w="0" w:type="auto"/>
            <w:vMerge w:val="continue"/>
            <w:tcBorders>
              <w:top w:val="single" w:color="auto" w:sz="8"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kern w:val="0"/>
                <w:sz w:val="18"/>
                <w:szCs w:val="18"/>
              </w:rPr>
            </w:pPr>
          </w:p>
        </w:tc>
        <w:tc>
          <w:tcPr>
            <w:tcW w:w="0" w:type="auto"/>
            <w:vMerge w:val="continue"/>
            <w:tcBorders>
              <w:top w:val="single" w:color="auto" w:sz="8"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kern w:val="0"/>
                <w:sz w:val="18"/>
                <w:szCs w:val="18"/>
              </w:rPr>
            </w:pPr>
          </w:p>
        </w:tc>
        <w:tc>
          <w:tcPr>
            <w:tcW w:w="0" w:type="auto"/>
            <w:vMerge w:val="continue"/>
            <w:tcBorders>
              <w:top w:val="single" w:color="auto" w:sz="8"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kern w:val="0"/>
                <w:sz w:val="18"/>
                <w:szCs w:val="18"/>
              </w:rPr>
            </w:pPr>
          </w:p>
        </w:tc>
        <w:tc>
          <w:tcPr>
            <w:tcW w:w="0" w:type="auto"/>
            <w:vMerge w:val="continue"/>
            <w:tcBorders>
              <w:top w:val="single" w:color="auto" w:sz="8" w:space="0"/>
              <w:left w:val="single" w:color="auto" w:sz="4" w:space="0"/>
              <w:bottom w:val="single" w:color="auto" w:sz="4" w:space="0"/>
              <w:right w:val="single" w:color="auto" w:sz="8" w:space="0"/>
            </w:tcBorders>
            <w:vAlign w:val="center"/>
          </w:tcPr>
          <w:p>
            <w:pPr>
              <w:widowControl/>
              <w:adjustRightInd/>
              <w:spacing w:line="240" w:lineRule="auto"/>
              <w:jc w:val="left"/>
              <w:rPr>
                <w:rFonts w:ascii="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0" w:type="auto"/>
            <w:tcBorders>
              <w:top w:val="single" w:color="auto" w:sz="8" w:space="0"/>
              <w:left w:val="single" w:color="auto" w:sz="8" w:space="0"/>
              <w:bottom w:val="single" w:color="auto" w:sz="4" w:space="0"/>
              <w:right w:val="single" w:color="auto" w:sz="4" w:space="0"/>
            </w:tcBorders>
            <w:vAlign w:val="center"/>
          </w:tcPr>
          <w:p>
            <w:pPr>
              <w:pStyle w:val="178"/>
              <w:spacing w:after="120"/>
            </w:pPr>
            <w:r>
              <w:t>RG-SB-1</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pPr>
            <w:r>
              <w:rPr>
                <w:rFonts w:hint="eastAsia"/>
              </w:rPr>
              <w:t>设备设施</w:t>
            </w:r>
            <w:r>
              <w:t>类</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pPr>
            <w:r>
              <w:rPr>
                <w:rFonts w:hint="eastAsia"/>
              </w:rPr>
              <w:t>火检系统</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电源</w:t>
            </w:r>
            <w:r>
              <w:rPr>
                <w:color w:val="000000" w:themeColor="text1"/>
                <w14:textFill>
                  <w14:solidFill>
                    <w14:schemeClr w14:val="tx1"/>
                  </w14:solidFill>
                </w14:textFill>
              </w:rPr>
              <w:t>检查</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电源指示</w:t>
            </w:r>
            <w:r>
              <w:rPr>
                <w:color w:val="000000" w:themeColor="text1"/>
                <w14:textFill>
                  <w14:solidFill>
                    <w14:schemeClr w14:val="tx1"/>
                  </w14:solidFill>
                </w14:textFill>
              </w:rPr>
              <w:t>正常</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pPr>
            <w:r>
              <w:rPr>
                <w:rFonts w:hint="eastAsia"/>
                <w:color w:val="000000" w:themeColor="text1"/>
                <w14:textFill>
                  <w14:solidFill>
                    <w14:schemeClr w14:val="tx1"/>
                  </w14:solidFill>
                </w14:textFill>
              </w:rPr>
              <w:t>其他</w:t>
            </w:r>
            <w:r>
              <w:rPr>
                <w:color w:val="000000" w:themeColor="text1"/>
                <w14:textFill>
                  <w14:solidFill>
                    <w14:schemeClr w14:val="tx1"/>
                  </w14:solidFill>
                </w14:textFill>
              </w:rPr>
              <w:t>伤害</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设备</w:t>
            </w:r>
            <w:r>
              <w:rPr>
                <w:color w:val="000000" w:themeColor="text1"/>
                <w14:textFill>
                  <w14:solidFill>
                    <w14:schemeClr w14:val="tx1"/>
                  </w14:solidFill>
                </w14:textFill>
              </w:rPr>
              <w:t>双重编号，机组</w:t>
            </w:r>
            <w:r>
              <w:rPr>
                <w:rFonts w:hint="eastAsia"/>
                <w:color w:val="000000" w:themeColor="text1"/>
                <w14:textFill>
                  <w14:solidFill>
                    <w14:schemeClr w14:val="tx1"/>
                  </w14:solidFill>
                </w14:textFill>
              </w:rPr>
              <w:t>号</w:t>
            </w:r>
            <w:r>
              <w:rPr>
                <w:color w:val="000000" w:themeColor="text1"/>
                <w14:textFill>
                  <w14:solidFill>
                    <w14:schemeClr w14:val="tx1"/>
                  </w14:solidFill>
                </w14:textFill>
              </w:rPr>
              <w:t>明确</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遵守热工</w:t>
            </w:r>
            <w:r>
              <w:rPr>
                <w:color w:val="000000" w:themeColor="text1"/>
                <w14:textFill>
                  <w14:solidFill>
                    <w14:schemeClr w14:val="tx1"/>
                  </w14:solidFill>
                </w14:textFill>
              </w:rPr>
              <w:t>车间工程师和电子间管理制度</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月度</w:t>
            </w:r>
            <w:r>
              <w:rPr>
                <w:color w:val="000000" w:themeColor="text1"/>
                <w14:textFill>
                  <w14:solidFill>
                    <w14:schemeClr w14:val="tx1"/>
                  </w14:solidFill>
                </w14:textFill>
              </w:rPr>
              <w:t>技术培训</w:t>
            </w:r>
          </w:p>
        </w:tc>
        <w:tc>
          <w:tcPr>
            <w:tcW w:w="0" w:type="auto"/>
            <w:tcBorders>
              <w:top w:val="single" w:color="auto" w:sz="8" w:space="0"/>
              <w:left w:val="single" w:color="auto" w:sz="4" w:space="0"/>
              <w:bottom w:val="single" w:color="auto" w:sz="4" w:space="0"/>
              <w:right w:val="single" w:color="auto" w:sz="4" w:space="0"/>
            </w:tcBorders>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佩戴安全</w:t>
            </w:r>
            <w:r>
              <w:rPr>
                <w:color w:val="000000" w:themeColor="text1"/>
                <w14:textFill>
                  <w14:solidFill>
                    <w14:schemeClr w14:val="tx1"/>
                  </w14:solidFill>
                </w14:textFill>
              </w:rPr>
              <w:t>帽</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rPr>
                <w:color w:val="000000" w:themeColor="text1"/>
                <w14:textFill>
                  <w14:solidFill>
                    <w14:schemeClr w14:val="tx1"/>
                  </w14:solidFill>
                </w14:textFill>
              </w:rPr>
            </w:pPr>
            <w:r>
              <w:rPr>
                <w:rFonts w:hint="eastAsia"/>
                <w:color w:val="000000" w:themeColor="text1"/>
                <w14:textFill>
                  <w14:solidFill>
                    <w14:schemeClr w14:val="tx1"/>
                  </w14:solidFill>
                </w14:textFill>
              </w:rPr>
              <w:t>进入</w:t>
            </w:r>
            <w:r>
              <w:rPr>
                <w:color w:val="000000" w:themeColor="text1"/>
                <w14:textFill>
                  <w14:solidFill>
                    <w14:schemeClr w14:val="tx1"/>
                  </w14:solidFill>
                </w14:textFill>
              </w:rPr>
              <w:t>现场，确认位置正确，核对火检电源名称正确，更换</w:t>
            </w:r>
            <w:r>
              <w:rPr>
                <w:rFonts w:hint="eastAsia"/>
                <w:color w:val="000000" w:themeColor="text1"/>
                <w14:textFill>
                  <w14:solidFill>
                    <w14:schemeClr w14:val="tx1"/>
                  </w14:solidFill>
                </w14:textFill>
              </w:rPr>
              <w:t>损坏</w:t>
            </w:r>
            <w:r>
              <w:rPr>
                <w:color w:val="000000" w:themeColor="text1"/>
                <w14:textFill>
                  <w14:solidFill>
                    <w14:schemeClr w14:val="tx1"/>
                  </w14:solidFill>
                </w14:textFill>
              </w:rPr>
              <w:t>电源</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pPr>
            <w:r>
              <w:rPr>
                <w:rFonts w:hint="eastAsia" w:hAnsi="宋体"/>
              </w:rPr>
              <w:t>岗位级</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pPr>
            <w:r>
              <w:rPr>
                <w:rFonts w:hint="eastAsia" w:hAnsi="宋体"/>
              </w:rPr>
              <w:t>每月</w:t>
            </w:r>
          </w:p>
        </w:tc>
        <w:tc>
          <w:tcPr>
            <w:tcW w:w="224" w:type="dxa"/>
            <w:tcBorders>
              <w:top w:val="single" w:color="auto" w:sz="8" w:space="0"/>
              <w:left w:val="single" w:color="auto" w:sz="4" w:space="0"/>
              <w:bottom w:val="single" w:color="auto" w:sz="4" w:space="0"/>
              <w:right w:val="single" w:color="auto" w:sz="4" w:space="0"/>
            </w:tcBorders>
            <w:vAlign w:val="center"/>
          </w:tcPr>
          <w:p>
            <w:pPr>
              <w:pStyle w:val="178"/>
              <w:spacing w:after="120"/>
            </w:pPr>
            <w:r>
              <w:rPr>
                <w:rFonts w:hint="eastAsia" w:hAnsi="宋体"/>
              </w:rPr>
              <w:t>张三</w:t>
            </w:r>
          </w:p>
        </w:tc>
        <w:tc>
          <w:tcPr>
            <w:tcW w:w="195" w:type="dxa"/>
            <w:tcBorders>
              <w:top w:val="single" w:color="auto" w:sz="8" w:space="0"/>
              <w:left w:val="single" w:color="auto" w:sz="4" w:space="0"/>
              <w:bottom w:val="single" w:color="auto" w:sz="4" w:space="0"/>
              <w:right w:val="single" w:color="auto" w:sz="8" w:space="0"/>
            </w:tcBorders>
            <w:vAlign w:val="center"/>
          </w:tcPr>
          <w:p>
            <w:pPr>
              <w:pStyle w:val="178"/>
              <w:spacing w:after="120"/>
            </w:pPr>
            <w:r>
              <w:rPr>
                <w:rFonts w:hint="eastAsia" w:hAnsi="宋体"/>
              </w:rPr>
              <w:t>正常</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0" w:type="auto"/>
            <w:tcBorders>
              <w:top w:val="single" w:color="auto" w:sz="4" w:space="0"/>
              <w:left w:val="single" w:color="auto" w:sz="8" w:space="0"/>
              <w:bottom w:val="single" w:color="auto" w:sz="8" w:space="0"/>
              <w:right w:val="single" w:color="auto" w:sz="4" w:space="0"/>
            </w:tcBorders>
            <w:vAlign w:val="center"/>
          </w:tcPr>
          <w:p>
            <w:pPr>
              <w:pStyle w:val="178"/>
              <w:spacing w:after="120"/>
            </w:pPr>
            <w:r>
              <w:rPr>
                <w:rFonts w:hint="eastAsia" w:ascii="Times New Roman"/>
              </w:rPr>
              <w:t>…</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ascii="Times New Roman"/>
              </w:rPr>
              <w:t>…</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ascii="Times New Roman"/>
              </w:rPr>
              <w:t>…</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ascii="Times New Roman"/>
              </w:rPr>
              <w:t>…</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ascii="Times New Roman"/>
              </w:rPr>
              <w:t>…</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ascii="Times New Roman"/>
              </w:rPr>
              <w:t>…</w:t>
            </w:r>
          </w:p>
        </w:tc>
        <w:tc>
          <w:tcPr>
            <w:tcW w:w="0" w:type="auto"/>
            <w:gridSpan w:val="5"/>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ascii="Times New Roman"/>
              </w:rPr>
              <w:t>…</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ascii="Times New Roman"/>
              </w:rPr>
              <w:t>…</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ascii="Times New Roman"/>
              </w:rPr>
              <w:t>…</w:t>
            </w:r>
          </w:p>
        </w:tc>
        <w:tc>
          <w:tcPr>
            <w:tcW w:w="224" w:type="dxa"/>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ascii="Times New Roman"/>
              </w:rPr>
              <w:t>…</w:t>
            </w:r>
          </w:p>
        </w:tc>
        <w:tc>
          <w:tcPr>
            <w:tcW w:w="195" w:type="dxa"/>
            <w:tcBorders>
              <w:top w:val="single" w:color="auto" w:sz="4" w:space="0"/>
              <w:left w:val="single" w:color="auto" w:sz="4" w:space="0"/>
              <w:bottom w:val="single" w:color="auto" w:sz="8" w:space="0"/>
              <w:right w:val="single" w:color="auto" w:sz="8" w:space="0"/>
            </w:tcBorders>
            <w:vAlign w:val="center"/>
          </w:tcPr>
          <w:p>
            <w:pPr>
              <w:pStyle w:val="178"/>
              <w:spacing w:after="120"/>
            </w:pPr>
          </w:p>
        </w:tc>
      </w:tr>
    </w:tbl>
    <w:p>
      <w:pPr>
        <w:pStyle w:val="56"/>
        <w:ind w:firstLine="420"/>
      </w:pPr>
    </w:p>
    <w:p>
      <w:pPr>
        <w:pStyle w:val="56"/>
        <w:ind w:firstLine="420"/>
      </w:pPr>
      <w:r>
        <w:rPr>
          <w:rFonts w:hint="eastAsia"/>
        </w:rPr>
        <w:t xml:space="preserve"> </w:t>
      </w:r>
    </w:p>
    <w:p>
      <w:pPr>
        <w:pStyle w:val="56"/>
        <w:ind w:firstLine="420"/>
      </w:pPr>
      <w:r>
        <w:rPr>
          <w:rFonts w:hint="eastAsia"/>
        </w:rPr>
        <w:t xml:space="preserve"> </w:t>
      </w:r>
    </w:p>
    <w:p>
      <w:pPr>
        <w:pStyle w:val="56"/>
        <w:ind w:firstLine="420"/>
      </w:pPr>
    </w:p>
    <w:p>
      <w:pPr>
        <w:pStyle w:val="56"/>
        <w:ind w:firstLine="420"/>
      </w:pPr>
    </w:p>
    <w:p>
      <w:pPr>
        <w:pStyle w:val="56"/>
        <w:ind w:firstLine="420"/>
      </w:pPr>
      <w:r>
        <w:rPr>
          <w:rFonts w:hint="eastAsia"/>
        </w:rPr>
        <w:t xml:space="preserve"> </w:t>
      </w:r>
    </w:p>
    <w:p>
      <w:pPr>
        <w:pStyle w:val="56"/>
        <w:ind w:firstLine="420"/>
      </w:pPr>
      <w:r>
        <w:rPr>
          <w:rFonts w:hint="eastAsia"/>
        </w:rPr>
        <w:t xml:space="preserve"> </w:t>
      </w:r>
    </w:p>
    <w:p>
      <w:pPr>
        <w:pStyle w:val="56"/>
        <w:ind w:firstLine="420"/>
      </w:pPr>
    </w:p>
    <w:p>
      <w:pPr>
        <w:pStyle w:val="56"/>
        <w:ind w:firstLine="420"/>
      </w:pPr>
      <w:r>
        <w:rPr>
          <w:rFonts w:hint="eastAsia"/>
        </w:rPr>
        <w:t xml:space="preserve"> </w:t>
      </w:r>
    </w:p>
    <w:p>
      <w:pPr>
        <w:pStyle w:val="56"/>
        <w:ind w:firstLine="420"/>
      </w:pPr>
      <w:r>
        <w:rPr>
          <w:rFonts w:hint="eastAsia"/>
        </w:rPr>
        <w:t xml:space="preserve"> </w:t>
      </w:r>
    </w:p>
    <w:p>
      <w:pPr>
        <w:pStyle w:val="77"/>
        <w:spacing w:before="120" w:after="120"/>
        <w:ind w:firstLine="420"/>
      </w:pPr>
      <w:r>
        <w:rPr>
          <w:rFonts w:hint="eastAsia"/>
        </w:rPr>
        <w:t xml:space="preserve"> 生产现场类隐患排查清单（作业活动）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645"/>
        <w:gridCol w:w="422"/>
        <w:gridCol w:w="306"/>
        <w:gridCol w:w="365"/>
        <w:gridCol w:w="307"/>
        <w:gridCol w:w="365"/>
        <w:gridCol w:w="248"/>
        <w:gridCol w:w="798"/>
        <w:gridCol w:w="740"/>
        <w:gridCol w:w="1478"/>
        <w:gridCol w:w="482"/>
        <w:gridCol w:w="365"/>
        <w:gridCol w:w="482"/>
        <w:gridCol w:w="482"/>
        <w:gridCol w:w="482"/>
        <w:gridCol w:w="365"/>
        <w:gridCol w:w="365"/>
        <w:gridCol w:w="307"/>
        <w:gridCol w:w="37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93" w:hRule="atLeast"/>
          <w:jc w:val="center"/>
        </w:trPr>
        <w:tc>
          <w:tcPr>
            <w:tcW w:w="0" w:type="auto"/>
            <w:gridSpan w:val="6"/>
            <w:tcBorders>
              <w:top w:val="single" w:color="auto" w:sz="8" w:space="0"/>
              <w:left w:val="single" w:color="auto" w:sz="8" w:space="0"/>
              <w:bottom w:val="single" w:color="auto" w:sz="4" w:space="0"/>
              <w:right w:val="single" w:color="auto" w:sz="4" w:space="0"/>
            </w:tcBorders>
            <w:vAlign w:val="center"/>
          </w:tcPr>
          <w:p>
            <w:pPr>
              <w:pStyle w:val="178"/>
              <w:spacing w:after="120"/>
            </w:pPr>
            <w:r>
              <w:rPr>
                <w:rFonts w:hint="eastAsia" w:hAnsi="宋体"/>
              </w:rPr>
              <w:t>作业活动基本信息</w:t>
            </w:r>
          </w:p>
        </w:tc>
        <w:tc>
          <w:tcPr>
            <w:tcW w:w="0" w:type="auto"/>
            <w:gridSpan w:val="4"/>
            <w:tcBorders>
              <w:top w:val="single" w:color="auto" w:sz="8" w:space="0"/>
              <w:left w:val="single" w:color="auto" w:sz="4" w:space="0"/>
              <w:bottom w:val="single" w:color="auto" w:sz="4" w:space="0"/>
              <w:right w:val="single" w:color="auto" w:sz="4" w:space="0"/>
            </w:tcBorders>
            <w:vAlign w:val="center"/>
          </w:tcPr>
          <w:p>
            <w:pPr>
              <w:pStyle w:val="178"/>
              <w:spacing w:after="120"/>
            </w:pPr>
            <w:r>
              <w:rPr>
                <w:rFonts w:hint="eastAsia" w:hAnsi="宋体"/>
              </w:rPr>
              <w:t>风险辨识信息</w:t>
            </w:r>
          </w:p>
        </w:tc>
        <w:tc>
          <w:tcPr>
            <w:tcW w:w="0" w:type="auto"/>
            <w:gridSpan w:val="5"/>
            <w:tcBorders>
              <w:top w:val="single" w:color="auto" w:sz="8" w:space="0"/>
              <w:left w:val="single" w:color="auto" w:sz="4" w:space="0"/>
              <w:bottom w:val="single" w:color="auto" w:sz="4" w:space="0"/>
              <w:right w:val="single" w:color="auto" w:sz="4" w:space="0"/>
            </w:tcBorders>
            <w:vAlign w:val="center"/>
          </w:tcPr>
          <w:p>
            <w:pPr>
              <w:pStyle w:val="178"/>
              <w:spacing w:after="120"/>
            </w:pPr>
            <w:r>
              <w:rPr>
                <w:rFonts w:hint="eastAsia" w:hAnsi="宋体"/>
              </w:rPr>
              <w:t>管控措施</w:t>
            </w:r>
          </w:p>
        </w:tc>
        <w:tc>
          <w:tcPr>
            <w:tcW w:w="0" w:type="auto"/>
            <w:vMerge w:val="restart"/>
            <w:tcBorders>
              <w:top w:val="single" w:color="auto" w:sz="8" w:space="0"/>
              <w:left w:val="single" w:color="auto" w:sz="4" w:space="0"/>
              <w:bottom w:val="single" w:color="auto" w:sz="4" w:space="0"/>
              <w:right w:val="single" w:color="auto" w:sz="4" w:space="0"/>
            </w:tcBorders>
            <w:vAlign w:val="center"/>
          </w:tcPr>
          <w:p>
            <w:pPr>
              <w:pStyle w:val="178"/>
              <w:spacing w:after="120"/>
            </w:pPr>
            <w:r>
              <w:rPr>
                <w:rFonts w:hint="eastAsia" w:hAnsi="宋体"/>
              </w:rPr>
              <w:t>检查类型</w:t>
            </w:r>
          </w:p>
        </w:tc>
        <w:tc>
          <w:tcPr>
            <w:tcW w:w="0" w:type="auto"/>
            <w:vMerge w:val="restart"/>
            <w:tcBorders>
              <w:top w:val="single" w:color="auto" w:sz="8" w:space="0"/>
              <w:left w:val="single" w:color="auto" w:sz="4" w:space="0"/>
              <w:bottom w:val="single" w:color="auto" w:sz="4" w:space="0"/>
              <w:right w:val="single" w:color="auto" w:sz="4" w:space="0"/>
            </w:tcBorders>
            <w:vAlign w:val="center"/>
          </w:tcPr>
          <w:p>
            <w:pPr>
              <w:pStyle w:val="178"/>
              <w:spacing w:after="120"/>
            </w:pPr>
            <w:r>
              <w:rPr>
                <w:rFonts w:hint="eastAsia" w:hAnsi="宋体"/>
              </w:rPr>
              <w:t>检查频次</w:t>
            </w:r>
          </w:p>
        </w:tc>
        <w:tc>
          <w:tcPr>
            <w:tcW w:w="0" w:type="auto"/>
            <w:vMerge w:val="restart"/>
            <w:tcBorders>
              <w:top w:val="single" w:color="auto" w:sz="8" w:space="0"/>
              <w:left w:val="single" w:color="auto" w:sz="4" w:space="0"/>
              <w:bottom w:val="single" w:color="auto" w:sz="4" w:space="0"/>
              <w:right w:val="single" w:color="auto" w:sz="4" w:space="0"/>
            </w:tcBorders>
            <w:vAlign w:val="center"/>
          </w:tcPr>
          <w:p>
            <w:pPr>
              <w:pStyle w:val="178"/>
              <w:spacing w:after="120"/>
            </w:pPr>
            <w:r>
              <w:rPr>
                <w:rFonts w:hint="eastAsia" w:hAnsi="宋体"/>
              </w:rPr>
              <w:t>责任人</w:t>
            </w:r>
          </w:p>
        </w:tc>
        <w:tc>
          <w:tcPr>
            <w:tcW w:w="0" w:type="auto"/>
            <w:vMerge w:val="restart"/>
            <w:tcBorders>
              <w:top w:val="single" w:color="auto" w:sz="8" w:space="0"/>
              <w:left w:val="single" w:color="auto" w:sz="4" w:space="0"/>
              <w:bottom w:val="single" w:color="auto" w:sz="4" w:space="0"/>
              <w:right w:val="single" w:color="auto" w:sz="8" w:space="0"/>
            </w:tcBorders>
            <w:vAlign w:val="center"/>
          </w:tcPr>
          <w:p>
            <w:pPr>
              <w:pStyle w:val="178"/>
              <w:spacing w:after="120"/>
            </w:pPr>
            <w:r>
              <w:rPr>
                <w:rFonts w:hint="eastAsia" w:hAnsi="宋体"/>
              </w:rPr>
              <w:t>检查情况</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92" w:hRule="atLeast"/>
          <w:jc w:val="center"/>
        </w:trPr>
        <w:tc>
          <w:tcPr>
            <w:tcW w:w="0" w:type="auto"/>
            <w:tcBorders>
              <w:top w:val="single" w:color="auto" w:sz="8" w:space="0"/>
              <w:left w:val="single" w:color="auto" w:sz="8" w:space="0"/>
              <w:bottom w:val="single" w:color="auto" w:sz="4" w:space="0"/>
              <w:right w:val="single" w:color="auto" w:sz="4" w:space="0"/>
            </w:tcBorders>
            <w:vAlign w:val="center"/>
          </w:tcPr>
          <w:p>
            <w:pPr>
              <w:pStyle w:val="178"/>
              <w:spacing w:after="120"/>
            </w:pPr>
            <w:r>
              <w:rPr>
                <w:rFonts w:hint="eastAsia" w:hAnsi="宋体"/>
              </w:rPr>
              <w:t>编号</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pPr>
            <w:r>
              <w:rPr>
                <w:rFonts w:hint="eastAsia" w:hAnsi="宋体"/>
              </w:rPr>
              <w:t>名称</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pPr>
            <w:r>
              <w:rPr>
                <w:rFonts w:hint="eastAsia" w:hAnsi="宋体"/>
              </w:rPr>
              <w:t>类型</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pPr>
            <w:r>
              <w:rPr>
                <w:rFonts w:hint="eastAsia" w:hAnsi="宋体"/>
              </w:rPr>
              <w:t>频率</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pPr>
            <w:r>
              <w:rPr>
                <w:rFonts w:hint="eastAsia" w:hAnsi="宋体"/>
              </w:rPr>
              <w:t>区域</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pPr>
            <w:r>
              <w:rPr>
                <w:rFonts w:hint="eastAsia" w:hAnsi="宋体"/>
              </w:rPr>
              <w:t>管辖部门</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spacing w:after="120"/>
            </w:pPr>
            <w:r>
              <w:rPr>
                <w:rFonts w:hint="eastAsia" w:hAnsi="宋体"/>
              </w:rPr>
              <w:t>序号</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spacing w:after="120"/>
            </w:pPr>
            <w:r>
              <w:rPr>
                <w:rFonts w:hint="eastAsia" w:hAnsi="宋体"/>
              </w:rPr>
              <w:t>作业步骤</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spacing w:after="120"/>
            </w:pPr>
            <w:r>
              <w:rPr>
                <w:rFonts w:hint="eastAsia" w:hAnsi="宋体"/>
              </w:rPr>
              <w:t>危险源或潜在事件</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spacing w:after="120"/>
            </w:pPr>
            <w:r>
              <w:rPr>
                <w:rFonts w:hint="eastAsia" w:hAnsi="宋体"/>
              </w:rPr>
              <w:t>主要后果</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spacing w:after="120"/>
            </w:pPr>
            <w:r>
              <w:rPr>
                <w:rFonts w:hint="eastAsia" w:hAnsi="宋体"/>
                <w:color w:val="000000"/>
              </w:rPr>
              <w:t>工程技术措施</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spacing w:after="120"/>
            </w:pPr>
            <w:r>
              <w:rPr>
                <w:rFonts w:hint="eastAsia" w:hAnsi="宋体"/>
                <w:color w:val="000000"/>
              </w:rPr>
              <w:t>管理措施</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spacing w:after="120"/>
            </w:pPr>
            <w:r>
              <w:rPr>
                <w:rFonts w:hint="eastAsia" w:hAnsi="宋体"/>
                <w:color w:val="000000"/>
              </w:rPr>
              <w:t>培训教育措施</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spacing w:after="120"/>
            </w:pPr>
            <w:r>
              <w:rPr>
                <w:rFonts w:hint="eastAsia" w:hAnsi="宋体"/>
                <w:color w:val="000000"/>
              </w:rPr>
              <w:t>个体防护措施</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spacing w:after="120"/>
            </w:pPr>
            <w:r>
              <w:rPr>
                <w:rFonts w:hint="eastAsia" w:hAnsi="宋体"/>
                <w:color w:val="000000"/>
              </w:rPr>
              <w:t>应急处置措施</w:t>
            </w:r>
          </w:p>
        </w:tc>
        <w:tc>
          <w:tcPr>
            <w:tcW w:w="0" w:type="auto"/>
            <w:vMerge w:val="continue"/>
            <w:tcBorders>
              <w:top w:val="single" w:color="auto" w:sz="8"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kern w:val="0"/>
                <w:sz w:val="18"/>
                <w:szCs w:val="18"/>
              </w:rPr>
            </w:pPr>
          </w:p>
        </w:tc>
        <w:tc>
          <w:tcPr>
            <w:tcW w:w="0" w:type="auto"/>
            <w:vMerge w:val="continue"/>
            <w:tcBorders>
              <w:top w:val="single" w:color="auto" w:sz="8"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kern w:val="0"/>
                <w:sz w:val="18"/>
                <w:szCs w:val="18"/>
              </w:rPr>
            </w:pPr>
          </w:p>
        </w:tc>
        <w:tc>
          <w:tcPr>
            <w:tcW w:w="0" w:type="auto"/>
            <w:vMerge w:val="continue"/>
            <w:tcBorders>
              <w:top w:val="single" w:color="auto" w:sz="8" w:space="0"/>
              <w:left w:val="single" w:color="auto" w:sz="4" w:space="0"/>
              <w:bottom w:val="single" w:color="auto" w:sz="4" w:space="0"/>
              <w:right w:val="single" w:color="auto" w:sz="4" w:space="0"/>
            </w:tcBorders>
            <w:vAlign w:val="center"/>
          </w:tcPr>
          <w:p>
            <w:pPr>
              <w:widowControl/>
              <w:adjustRightInd/>
              <w:spacing w:line="240" w:lineRule="auto"/>
              <w:jc w:val="left"/>
              <w:rPr>
                <w:rFonts w:ascii="宋体"/>
                <w:kern w:val="0"/>
                <w:sz w:val="18"/>
                <w:szCs w:val="18"/>
              </w:rPr>
            </w:pPr>
          </w:p>
        </w:tc>
        <w:tc>
          <w:tcPr>
            <w:tcW w:w="0" w:type="auto"/>
            <w:vMerge w:val="continue"/>
            <w:tcBorders>
              <w:top w:val="single" w:color="auto" w:sz="8" w:space="0"/>
              <w:left w:val="single" w:color="auto" w:sz="4" w:space="0"/>
              <w:bottom w:val="single" w:color="auto" w:sz="4" w:space="0"/>
              <w:right w:val="single" w:color="auto" w:sz="8" w:space="0"/>
            </w:tcBorders>
            <w:vAlign w:val="center"/>
          </w:tcPr>
          <w:p>
            <w:pPr>
              <w:widowControl/>
              <w:adjustRightInd/>
              <w:spacing w:line="240" w:lineRule="auto"/>
              <w:jc w:val="left"/>
              <w:rPr>
                <w:rFonts w:ascii="宋体"/>
                <w:kern w:val="0"/>
                <w:sz w:val="18"/>
                <w:szCs w:val="18"/>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7" w:hRule="atLeast"/>
          <w:jc w:val="center"/>
        </w:trPr>
        <w:tc>
          <w:tcPr>
            <w:tcW w:w="0" w:type="auto"/>
            <w:vMerge w:val="restart"/>
            <w:tcBorders>
              <w:top w:val="nil"/>
              <w:left w:val="single" w:color="auto" w:sz="8" w:space="0"/>
              <w:bottom w:val="single" w:color="auto" w:sz="4" w:space="0"/>
              <w:right w:val="single" w:color="auto" w:sz="4" w:space="0"/>
            </w:tcBorders>
            <w:vAlign w:val="center"/>
          </w:tcPr>
          <w:p>
            <w:pPr>
              <w:pStyle w:val="178"/>
              <w:spacing w:after="120"/>
            </w:pPr>
            <w:r>
              <w:t>GS-ZY-1</w:t>
            </w:r>
          </w:p>
        </w:tc>
        <w:tc>
          <w:tcPr>
            <w:tcW w:w="0" w:type="auto"/>
            <w:vMerge w:val="restart"/>
            <w:tcBorders>
              <w:top w:val="nil"/>
              <w:left w:val="single" w:color="auto" w:sz="4" w:space="0"/>
              <w:bottom w:val="single" w:color="auto" w:sz="4" w:space="0"/>
              <w:right w:val="single" w:color="auto" w:sz="4" w:space="0"/>
            </w:tcBorders>
            <w:vAlign w:val="center"/>
          </w:tcPr>
          <w:p>
            <w:pPr>
              <w:pStyle w:val="178"/>
              <w:spacing w:after="120"/>
            </w:pPr>
            <w:r>
              <w:rPr>
                <w:rFonts w:hint="eastAsia"/>
              </w:rPr>
              <w:t>沉砂池</w:t>
            </w:r>
            <w:r>
              <w:t>作业</w:t>
            </w:r>
          </w:p>
        </w:tc>
        <w:tc>
          <w:tcPr>
            <w:tcW w:w="0" w:type="auto"/>
            <w:vMerge w:val="restart"/>
            <w:tcBorders>
              <w:top w:val="nil"/>
              <w:left w:val="single" w:color="auto" w:sz="4" w:space="0"/>
              <w:bottom w:val="single" w:color="auto" w:sz="4" w:space="0"/>
              <w:right w:val="single" w:color="auto" w:sz="4" w:space="0"/>
            </w:tcBorders>
            <w:vAlign w:val="center"/>
          </w:tcPr>
          <w:p>
            <w:pPr>
              <w:pStyle w:val="178"/>
              <w:spacing w:after="120"/>
              <w:jc w:val="both"/>
            </w:pPr>
            <w:r>
              <w:t>作业类</w:t>
            </w:r>
          </w:p>
        </w:tc>
        <w:tc>
          <w:tcPr>
            <w:tcW w:w="0" w:type="auto"/>
            <w:vMerge w:val="restart"/>
            <w:tcBorders>
              <w:top w:val="nil"/>
              <w:left w:val="single" w:color="auto" w:sz="4" w:space="0"/>
              <w:bottom w:val="single" w:color="auto" w:sz="4" w:space="0"/>
              <w:right w:val="single" w:color="auto" w:sz="4" w:space="0"/>
            </w:tcBorders>
            <w:vAlign w:val="center"/>
          </w:tcPr>
          <w:p>
            <w:pPr>
              <w:pStyle w:val="178"/>
              <w:spacing w:after="120"/>
            </w:pPr>
            <w:r>
              <w:t>每天进行</w:t>
            </w:r>
          </w:p>
        </w:tc>
        <w:tc>
          <w:tcPr>
            <w:tcW w:w="0" w:type="auto"/>
            <w:vMerge w:val="restart"/>
            <w:tcBorders>
              <w:top w:val="nil"/>
              <w:left w:val="single" w:color="auto" w:sz="4" w:space="0"/>
              <w:bottom w:val="single" w:color="auto" w:sz="4" w:space="0"/>
              <w:right w:val="single" w:color="auto" w:sz="4" w:space="0"/>
            </w:tcBorders>
            <w:vAlign w:val="center"/>
          </w:tcPr>
          <w:p>
            <w:pPr>
              <w:pStyle w:val="178"/>
              <w:spacing w:after="120"/>
            </w:pPr>
            <w:r>
              <w:rPr>
                <w:rFonts w:hint="eastAsia"/>
              </w:rPr>
              <w:t>沉砂池</w:t>
            </w:r>
          </w:p>
        </w:tc>
        <w:tc>
          <w:tcPr>
            <w:tcW w:w="0" w:type="auto"/>
            <w:vMerge w:val="restart"/>
            <w:tcBorders>
              <w:top w:val="nil"/>
              <w:left w:val="single" w:color="auto" w:sz="4" w:space="0"/>
              <w:bottom w:val="single" w:color="auto" w:sz="4" w:space="0"/>
              <w:right w:val="single" w:color="auto" w:sz="4" w:space="0"/>
            </w:tcBorders>
            <w:vAlign w:val="center"/>
          </w:tcPr>
          <w:p>
            <w:pPr>
              <w:pStyle w:val="178"/>
              <w:spacing w:after="120"/>
            </w:pPr>
            <w:r>
              <w:rPr>
                <w:rFonts w:hint="eastAsia"/>
              </w:rPr>
              <w:t>细格栅</w:t>
            </w:r>
            <w:r>
              <w:t>间</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pPr>
            <w:r>
              <w:t>1</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jc w:val="left"/>
            </w:pPr>
            <w:r>
              <w:t>作业前检查、交接班</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jc w:val="left"/>
            </w:pPr>
            <w:r>
              <w:rPr>
                <w:rFonts w:hint="eastAsia"/>
              </w:rPr>
              <w:t>作业</w:t>
            </w:r>
            <w:r>
              <w:t>前未检查</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jc w:val="left"/>
            </w:pPr>
            <w:r>
              <w:t>触电、</w:t>
            </w:r>
            <w:r>
              <w:rPr>
                <w:rFonts w:hint="eastAsia"/>
              </w:rPr>
              <w:t>淹溺</w:t>
            </w:r>
            <w:r>
              <w:t>、高处坠落、中毒和窒息、机械</w:t>
            </w:r>
            <w:r>
              <w:rPr>
                <w:rFonts w:hint="eastAsia"/>
              </w:rPr>
              <w:t>伤害</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jc w:val="left"/>
            </w:pPr>
            <w:r>
              <w:rPr>
                <w:rFonts w:hint="eastAsia" w:hAnsi="宋体"/>
              </w:rPr>
              <w:t>/</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jc w:val="left"/>
            </w:pPr>
            <w:r>
              <w:rPr>
                <w:rFonts w:hint="eastAsia" w:hAnsi="宋体"/>
              </w:rPr>
              <w:t>/</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jc w:val="left"/>
            </w:pPr>
            <w:r>
              <w:rPr>
                <w:rFonts w:hint="eastAsia" w:hAnsi="宋体"/>
              </w:rPr>
              <w:t>/</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jc w:val="left"/>
            </w:pPr>
            <w:r>
              <w:rPr>
                <w:rFonts w:hint="eastAsia" w:hAnsi="宋体"/>
              </w:rPr>
              <w:t>/</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jc w:val="left"/>
            </w:pPr>
            <w:r>
              <w:rPr>
                <w:rFonts w:hint="eastAsia" w:hAnsi="宋体"/>
              </w:rPr>
              <w:t>/</w:t>
            </w: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jc w:val="left"/>
            </w:pP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jc w:val="left"/>
            </w:pP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jc w:val="left"/>
            </w:pPr>
          </w:p>
        </w:tc>
        <w:tc>
          <w:tcPr>
            <w:tcW w:w="0" w:type="auto"/>
            <w:tcBorders>
              <w:top w:val="single" w:color="auto" w:sz="8" w:space="0"/>
              <w:left w:val="single" w:color="auto" w:sz="4" w:space="0"/>
              <w:bottom w:val="single" w:color="auto" w:sz="4" w:space="0"/>
              <w:right w:val="single" w:color="auto" w:sz="8" w:space="0"/>
            </w:tcBorders>
            <w:vAlign w:val="center"/>
          </w:tcPr>
          <w:p>
            <w:pPr>
              <w:pStyle w:val="178"/>
              <w:spacing w:after="120"/>
              <w:jc w:val="lef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87" w:hRule="atLeast"/>
          <w:jc w:val="center"/>
        </w:trPr>
        <w:tc>
          <w:tcPr>
            <w:tcW w:w="0" w:type="auto"/>
            <w:vMerge w:val="continue"/>
            <w:tcBorders>
              <w:top w:val="nil"/>
              <w:left w:val="single" w:color="auto" w:sz="8" w:space="0"/>
              <w:bottom w:val="single" w:color="auto" w:sz="4" w:space="0"/>
              <w:right w:val="single" w:color="auto" w:sz="4" w:space="0"/>
            </w:tcBorders>
            <w:vAlign w:val="center"/>
          </w:tcPr>
          <w:p>
            <w:pPr>
              <w:widowControl/>
              <w:adjustRightInd/>
              <w:spacing w:line="240" w:lineRule="auto"/>
              <w:jc w:val="left"/>
              <w:rPr>
                <w:rFonts w:ascii="宋体"/>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rPr>
                <w:rFonts w:ascii="宋体"/>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rPr>
                <w:rFonts w:ascii="宋体"/>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rPr>
                <w:rFonts w:ascii="宋体"/>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rPr>
                <w:rFonts w:ascii="宋体"/>
                <w:kern w:val="0"/>
                <w:sz w:val="18"/>
                <w:szCs w:val="18"/>
              </w:rPr>
            </w:pPr>
          </w:p>
        </w:tc>
        <w:tc>
          <w:tcPr>
            <w:tcW w:w="0" w:type="auto"/>
            <w:vMerge w:val="continue"/>
            <w:tcBorders>
              <w:top w:val="nil"/>
              <w:left w:val="single" w:color="auto" w:sz="4" w:space="0"/>
              <w:bottom w:val="single" w:color="auto" w:sz="4" w:space="0"/>
              <w:right w:val="single" w:color="auto" w:sz="4" w:space="0"/>
            </w:tcBorders>
            <w:vAlign w:val="center"/>
          </w:tcPr>
          <w:p>
            <w:pPr>
              <w:widowControl/>
              <w:adjustRightInd/>
              <w:spacing w:line="240" w:lineRule="auto"/>
              <w:jc w:val="left"/>
              <w:rPr>
                <w:rFonts w:ascii="宋体"/>
                <w:kern w:val="0"/>
                <w:sz w:val="18"/>
                <w:szCs w:val="18"/>
              </w:rPr>
            </w:pPr>
          </w:p>
        </w:tc>
        <w:tc>
          <w:tcPr>
            <w:tcW w:w="0" w:type="auto"/>
            <w:tcBorders>
              <w:top w:val="single" w:color="auto" w:sz="8" w:space="0"/>
              <w:left w:val="single" w:color="auto" w:sz="4" w:space="0"/>
              <w:bottom w:val="single" w:color="auto" w:sz="4" w:space="0"/>
              <w:right w:val="single" w:color="auto" w:sz="4" w:space="0"/>
            </w:tcBorders>
            <w:vAlign w:val="center"/>
          </w:tcPr>
          <w:p>
            <w:pPr>
              <w:pStyle w:val="178"/>
              <w:spacing w:after="120"/>
            </w:pPr>
            <w:r>
              <w:t>2</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spacing w:after="120"/>
              <w:ind w:firstLine="180" w:firstLineChars="100"/>
              <w:jc w:val="left"/>
            </w:pPr>
            <w:r>
              <w:t>作业操作</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spacing w:after="120"/>
              <w:ind w:firstLine="180" w:firstLineChars="100"/>
              <w:jc w:val="left"/>
            </w:pPr>
            <w:r>
              <w:t>人员违章作业</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spacing w:after="120"/>
              <w:jc w:val="left"/>
            </w:pPr>
            <w:r>
              <w:t>触电、</w:t>
            </w:r>
            <w:r>
              <w:rPr>
                <w:rFonts w:hint="eastAsia"/>
              </w:rPr>
              <w:t>淹溺</w:t>
            </w:r>
            <w:r>
              <w:t>、高处坠落、中毒和窒息、机械</w:t>
            </w:r>
            <w:r>
              <w:rPr>
                <w:rFonts w:hint="eastAsia"/>
              </w:rPr>
              <w:t>伤害</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spacing w:after="120"/>
              <w:jc w:val="left"/>
            </w:pPr>
            <w:r>
              <w:rPr>
                <w:rFonts w:hint="eastAsia" w:hAnsi="宋体"/>
              </w:rPr>
              <w:t>/</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spacing w:after="120"/>
              <w:jc w:val="left"/>
            </w:pPr>
            <w:r>
              <w:rPr>
                <w:rFonts w:hint="eastAsia" w:hAnsi="宋体"/>
              </w:rPr>
              <w:t>/</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spacing w:after="120"/>
              <w:jc w:val="left"/>
            </w:pPr>
            <w:r>
              <w:rPr>
                <w:rFonts w:hint="eastAsia" w:hAnsi="宋体"/>
              </w:rPr>
              <w:t>/</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spacing w:after="120"/>
              <w:jc w:val="left"/>
            </w:pPr>
            <w:r>
              <w:rPr>
                <w:rFonts w:hint="eastAsia" w:hAnsi="宋体"/>
              </w:rPr>
              <w:t>/</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spacing w:after="120"/>
              <w:jc w:val="left"/>
            </w:pPr>
            <w:r>
              <w:rPr>
                <w:rFonts w:hint="eastAsia" w:hAnsi="宋体"/>
              </w:rPr>
              <w:t>/</w:t>
            </w:r>
          </w:p>
        </w:tc>
        <w:tc>
          <w:tcPr>
            <w:tcW w:w="0" w:type="auto"/>
            <w:tcBorders>
              <w:top w:val="single" w:color="auto" w:sz="4" w:space="0"/>
              <w:left w:val="single" w:color="auto" w:sz="4" w:space="0"/>
              <w:bottom w:val="single" w:color="auto" w:sz="4" w:space="0"/>
              <w:right w:val="single" w:color="auto" w:sz="4" w:space="0"/>
            </w:tcBorders>
            <w:vAlign w:val="center"/>
          </w:tcPr>
          <w:p>
            <w:pPr>
              <w:pStyle w:val="178"/>
              <w:spacing w:after="120"/>
              <w:jc w:val="left"/>
            </w:pPr>
          </w:p>
        </w:tc>
        <w:tc>
          <w:tcPr>
            <w:tcW w:w="0" w:type="auto"/>
            <w:tcBorders>
              <w:top w:val="single" w:color="auto" w:sz="4" w:space="0"/>
              <w:left w:val="single" w:color="auto" w:sz="4" w:space="0"/>
              <w:bottom w:val="single" w:color="auto" w:sz="4" w:space="0"/>
              <w:right w:val="single" w:color="auto" w:sz="4" w:space="0"/>
            </w:tcBorders>
            <w:vAlign w:val="center"/>
          </w:tcPr>
          <w:p>
            <w:pPr>
              <w:pStyle w:val="178"/>
              <w:spacing w:after="120"/>
              <w:jc w:val="left"/>
            </w:pPr>
          </w:p>
        </w:tc>
        <w:tc>
          <w:tcPr>
            <w:tcW w:w="0" w:type="auto"/>
            <w:tcBorders>
              <w:top w:val="single" w:color="auto" w:sz="4" w:space="0"/>
              <w:left w:val="single" w:color="auto" w:sz="4" w:space="0"/>
              <w:bottom w:val="single" w:color="auto" w:sz="4" w:space="0"/>
              <w:right w:val="single" w:color="auto" w:sz="4" w:space="0"/>
            </w:tcBorders>
            <w:vAlign w:val="center"/>
          </w:tcPr>
          <w:p>
            <w:pPr>
              <w:pStyle w:val="178"/>
              <w:spacing w:after="120"/>
              <w:jc w:val="left"/>
            </w:pPr>
          </w:p>
        </w:tc>
        <w:tc>
          <w:tcPr>
            <w:tcW w:w="0" w:type="auto"/>
            <w:tcBorders>
              <w:top w:val="single" w:color="auto" w:sz="4" w:space="0"/>
              <w:left w:val="single" w:color="auto" w:sz="4" w:space="0"/>
              <w:bottom w:val="single" w:color="auto" w:sz="4" w:space="0"/>
              <w:right w:val="single" w:color="auto" w:sz="8" w:space="0"/>
            </w:tcBorders>
            <w:vAlign w:val="center"/>
          </w:tcPr>
          <w:p>
            <w:pPr>
              <w:pStyle w:val="178"/>
              <w:spacing w:after="120"/>
              <w:jc w:val="left"/>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51" w:hRule="atLeast"/>
          <w:jc w:val="center"/>
        </w:trPr>
        <w:tc>
          <w:tcPr>
            <w:tcW w:w="0" w:type="auto"/>
            <w:tcBorders>
              <w:top w:val="single" w:color="auto" w:sz="4" w:space="0"/>
              <w:left w:val="single" w:color="auto" w:sz="8" w:space="0"/>
              <w:bottom w:val="single" w:color="auto" w:sz="8" w:space="0"/>
              <w:right w:val="single" w:color="auto" w:sz="4" w:space="0"/>
            </w:tcBorders>
            <w:vAlign w:val="center"/>
          </w:tcPr>
          <w:p>
            <w:pPr>
              <w:pStyle w:val="178"/>
              <w:spacing w:after="120"/>
            </w:pPr>
            <w:r>
              <w:rPr>
                <w:rFonts w:hint="eastAsia" w:ascii="Times New Roman"/>
              </w:rPr>
              <w:t>…</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ascii="Times New Roman"/>
              </w:rPr>
              <w:t>…</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ascii="Times New Roman"/>
              </w:rPr>
              <w:t>…</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ascii="Times New Roman"/>
              </w:rPr>
              <w:t>…</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ascii="Times New Roman"/>
              </w:rPr>
              <w:t>…</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ascii="Times New Roman"/>
              </w:rPr>
              <w:t>…</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ascii="Times New Roman"/>
              </w:rPr>
              <w:t>…</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ascii="Times New Roman"/>
              </w:rPr>
              <w:t>…</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ascii="Times New Roman"/>
              </w:rPr>
              <w:t>…</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ascii="Times New Roman"/>
              </w:rPr>
              <w:t>…</w:t>
            </w:r>
          </w:p>
        </w:tc>
        <w:tc>
          <w:tcPr>
            <w:tcW w:w="0" w:type="auto"/>
            <w:gridSpan w:val="5"/>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ascii="Times New Roman"/>
              </w:rPr>
              <w:t>…</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ascii="Times New Roman"/>
              </w:rPr>
              <w:t>…</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ascii="Times New Roman"/>
              </w:rPr>
              <w:t>…</w:t>
            </w:r>
          </w:p>
        </w:tc>
        <w:tc>
          <w:tcPr>
            <w:tcW w:w="0" w:type="auto"/>
            <w:tcBorders>
              <w:top w:val="single" w:color="auto" w:sz="4" w:space="0"/>
              <w:left w:val="single" w:color="auto" w:sz="4" w:space="0"/>
              <w:bottom w:val="single" w:color="auto" w:sz="8" w:space="0"/>
              <w:right w:val="single" w:color="auto" w:sz="4" w:space="0"/>
            </w:tcBorders>
            <w:vAlign w:val="center"/>
          </w:tcPr>
          <w:p>
            <w:pPr>
              <w:pStyle w:val="178"/>
              <w:spacing w:after="120"/>
            </w:pPr>
            <w:r>
              <w:rPr>
                <w:rFonts w:hint="eastAsia" w:ascii="Times New Roman"/>
              </w:rPr>
              <w:t>…</w:t>
            </w:r>
          </w:p>
        </w:tc>
        <w:tc>
          <w:tcPr>
            <w:tcW w:w="0" w:type="auto"/>
            <w:tcBorders>
              <w:top w:val="single" w:color="auto" w:sz="4" w:space="0"/>
              <w:left w:val="single" w:color="auto" w:sz="4" w:space="0"/>
              <w:bottom w:val="single" w:color="auto" w:sz="8" w:space="0"/>
              <w:right w:val="single" w:color="auto" w:sz="8" w:space="0"/>
            </w:tcBorders>
            <w:vAlign w:val="center"/>
          </w:tcPr>
          <w:p>
            <w:pPr>
              <w:pStyle w:val="178"/>
              <w:spacing w:after="120"/>
            </w:pPr>
            <w:r>
              <w:rPr>
                <w:rFonts w:hint="eastAsia" w:ascii="Times New Roman"/>
              </w:rPr>
              <w:t>…</w:t>
            </w:r>
          </w:p>
        </w:tc>
      </w:tr>
    </w:tbl>
    <w:p>
      <w:pPr>
        <w:pStyle w:val="56"/>
        <w:ind w:firstLine="420"/>
      </w:pPr>
    </w:p>
    <w:p>
      <w:pPr>
        <w:pStyle w:val="56"/>
        <w:ind w:firstLine="420"/>
      </w:pPr>
    </w:p>
    <w:p>
      <w:pPr>
        <w:pStyle w:val="56"/>
        <w:ind w:firstLine="420"/>
      </w:pPr>
    </w:p>
    <w:p>
      <w:pPr>
        <w:pStyle w:val="56"/>
        <w:ind w:firstLine="420"/>
      </w:pPr>
    </w:p>
    <w:p>
      <w:pPr>
        <w:pStyle w:val="56"/>
        <w:ind w:firstLine="420"/>
      </w:pPr>
    </w:p>
    <w:p>
      <w:pPr>
        <w:pStyle w:val="56"/>
        <w:ind w:firstLine="420"/>
        <w:sectPr>
          <w:pgSz w:w="11906" w:h="16838"/>
          <w:pgMar w:top="1928" w:right="1134" w:bottom="1134" w:left="1134" w:header="1418" w:footer="1134" w:gutter="284"/>
          <w:cols w:space="425" w:num="1"/>
          <w:formProt w:val="0"/>
          <w:docGrid w:linePitch="312" w:charSpace="0"/>
        </w:sectPr>
      </w:pPr>
    </w:p>
    <w:p>
      <w:pPr>
        <w:pStyle w:val="198"/>
        <w:rPr>
          <w:vanish w:val="0"/>
        </w:rPr>
      </w:pPr>
    </w:p>
    <w:p>
      <w:pPr>
        <w:pStyle w:val="199"/>
        <w:rPr>
          <w:vanish w:val="0"/>
        </w:rPr>
      </w:pPr>
    </w:p>
    <w:p>
      <w:pPr>
        <w:pStyle w:val="76"/>
        <w:spacing w:after="120"/>
      </w:pPr>
      <w:r>
        <w:br w:type="textWrapping"/>
      </w:r>
      <w:r>
        <w:rPr>
          <w:rFonts w:hint="eastAsia"/>
        </w:rPr>
        <w:t>（资料性）</w:t>
      </w:r>
      <w:r>
        <w:br w:type="textWrapping"/>
      </w:r>
      <w:r>
        <w:rPr>
          <w:rFonts w:hint="eastAsia"/>
        </w:rPr>
        <w:t>风险报告样式</w:t>
      </w:r>
    </w:p>
    <w:p>
      <w:pPr>
        <w:pStyle w:val="78"/>
        <w:spacing w:before="120" w:after="120"/>
        <w:rPr>
          <w:szCs w:val="21"/>
        </w:rPr>
      </w:pPr>
      <w:r>
        <w:rPr>
          <w:rFonts w:hint="eastAsia"/>
        </w:rPr>
        <w:t>基本格式</w:t>
      </w:r>
    </w:p>
    <w:p>
      <w:pPr>
        <w:pStyle w:val="56"/>
        <w:ind w:firstLine="420"/>
      </w:pPr>
      <w:r>
        <w:rPr>
          <w:rFonts w:hint="eastAsia" w:hAnsi="宋体"/>
        </w:rPr>
        <w:t>双重预防机制建设评估报告格式基本要求：</w:t>
      </w:r>
    </w:p>
    <w:p>
      <w:pPr>
        <w:pStyle w:val="132"/>
      </w:pPr>
      <w:r>
        <w:rPr>
          <w:rFonts w:hint="eastAsia"/>
        </w:rPr>
        <w:t>封面；</w:t>
      </w:r>
    </w:p>
    <w:p>
      <w:pPr>
        <w:pStyle w:val="132"/>
      </w:pPr>
      <w:r>
        <w:rPr>
          <w:rFonts w:hint="eastAsia"/>
        </w:rPr>
        <w:t>著录项；</w:t>
      </w:r>
    </w:p>
    <w:p>
      <w:pPr>
        <w:pStyle w:val="132"/>
      </w:pPr>
      <w:r>
        <w:rPr>
          <w:rFonts w:hint="eastAsia"/>
        </w:rPr>
        <w:t>前言；</w:t>
      </w:r>
    </w:p>
    <w:p>
      <w:pPr>
        <w:pStyle w:val="132"/>
      </w:pPr>
      <w:r>
        <w:rPr>
          <w:rFonts w:hint="eastAsia"/>
        </w:rPr>
        <w:t>目录；</w:t>
      </w:r>
    </w:p>
    <w:p>
      <w:pPr>
        <w:pStyle w:val="132"/>
      </w:pPr>
      <w:r>
        <w:rPr>
          <w:rFonts w:hint="eastAsia"/>
        </w:rPr>
        <w:t>正文；</w:t>
      </w:r>
    </w:p>
    <w:p>
      <w:pPr>
        <w:pStyle w:val="132"/>
      </w:pPr>
      <w:r>
        <w:rPr>
          <w:rFonts w:hint="eastAsia"/>
        </w:rPr>
        <w:t>附件；</w:t>
      </w:r>
    </w:p>
    <w:p>
      <w:pPr>
        <w:pStyle w:val="132"/>
      </w:pPr>
      <w:r>
        <w:rPr>
          <w:rFonts w:hint="eastAsia"/>
        </w:rPr>
        <w:t>附录。</w:t>
      </w:r>
    </w:p>
    <w:p>
      <w:pPr>
        <w:pStyle w:val="78"/>
        <w:spacing w:before="120" w:after="120"/>
      </w:pPr>
      <w:r>
        <w:rPr>
          <w:rFonts w:hint="eastAsia"/>
        </w:rPr>
        <w:t>规格</w:t>
      </w:r>
    </w:p>
    <w:p>
      <w:pPr>
        <w:pStyle w:val="212"/>
      </w:pPr>
      <w:r>
        <w:rPr>
          <w:rFonts w:hint="eastAsia"/>
        </w:rPr>
        <w:t>双重预防机制建设评估报告宜采用A4幅面，左侧装订。</w:t>
      </w:r>
    </w:p>
    <w:p>
      <w:pPr>
        <w:pStyle w:val="212"/>
      </w:pPr>
      <w:r>
        <w:rPr>
          <w:rFonts w:hint="eastAsia"/>
        </w:rPr>
        <w:t>风险评估报告封面主要包括项目名称、编写负责人、审核负责人、单位主要负责人、单位名称、报告完成日期。</w:t>
      </w:r>
    </w:p>
    <w:p>
      <w:pPr>
        <w:pStyle w:val="212"/>
      </w:pPr>
      <w:r>
        <w:rPr>
          <w:rFonts w:hint="eastAsia"/>
        </w:rPr>
        <w:t>字体和字号见表F.1。</w:t>
      </w:r>
    </w:p>
    <w:p>
      <w:pPr>
        <w:pStyle w:val="77"/>
        <w:spacing w:before="120" w:after="120"/>
      </w:pPr>
      <w:r>
        <w:rPr>
          <w:rFonts w:hint="eastAsia"/>
        </w:rPr>
        <w:t xml:space="preserve"> 著录项字体字号</w:t>
      </w:r>
    </w:p>
    <w:tbl>
      <w:tblPr>
        <w:tblStyle w:val="27"/>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1310"/>
        <w:gridCol w:w="2018"/>
        <w:gridCol w:w="4627"/>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65" w:type="dxa"/>
            <w:tcBorders>
              <w:top w:val="single" w:color="auto" w:sz="8" w:space="0"/>
              <w:left w:val="single" w:color="auto" w:sz="8" w:space="0"/>
              <w:bottom w:val="single" w:color="auto" w:sz="8" w:space="0"/>
              <w:right w:val="single" w:color="auto" w:sz="4" w:space="0"/>
            </w:tcBorders>
            <w:vAlign w:val="center"/>
          </w:tcPr>
          <w:p>
            <w:pPr>
              <w:pStyle w:val="56"/>
              <w:ind w:firstLine="0" w:firstLineChars="0"/>
              <w:jc w:val="center"/>
              <w:rPr>
                <w:sz w:val="18"/>
                <w:szCs w:val="18"/>
              </w:rPr>
            </w:pPr>
            <w:r>
              <w:rPr>
                <w:rFonts w:hint="eastAsia" w:hAnsi="宋体"/>
                <w:sz w:val="18"/>
                <w:szCs w:val="18"/>
              </w:rPr>
              <w:t>序号</w:t>
            </w:r>
          </w:p>
        </w:tc>
        <w:tc>
          <w:tcPr>
            <w:tcW w:w="1310" w:type="dxa"/>
            <w:tcBorders>
              <w:top w:val="single" w:color="auto" w:sz="8" w:space="0"/>
              <w:left w:val="nil"/>
              <w:bottom w:val="single" w:color="auto" w:sz="8" w:space="0"/>
              <w:right w:val="single" w:color="auto" w:sz="4" w:space="0"/>
            </w:tcBorders>
            <w:vAlign w:val="center"/>
          </w:tcPr>
          <w:p>
            <w:pPr>
              <w:pStyle w:val="56"/>
              <w:ind w:firstLine="0" w:firstLineChars="0"/>
              <w:jc w:val="center"/>
              <w:rPr>
                <w:sz w:val="18"/>
                <w:szCs w:val="18"/>
              </w:rPr>
            </w:pPr>
            <w:r>
              <w:rPr>
                <w:rFonts w:hint="eastAsia" w:hAnsi="宋体"/>
                <w:sz w:val="18"/>
                <w:szCs w:val="18"/>
              </w:rPr>
              <w:t>层次</w:t>
            </w:r>
          </w:p>
        </w:tc>
        <w:tc>
          <w:tcPr>
            <w:tcW w:w="2018" w:type="dxa"/>
            <w:tcBorders>
              <w:top w:val="single" w:color="auto" w:sz="8" w:space="0"/>
              <w:left w:val="nil"/>
              <w:bottom w:val="single" w:color="auto" w:sz="8" w:space="0"/>
              <w:right w:val="single" w:color="auto" w:sz="4" w:space="0"/>
            </w:tcBorders>
            <w:vAlign w:val="center"/>
          </w:tcPr>
          <w:p>
            <w:pPr>
              <w:pStyle w:val="56"/>
              <w:ind w:firstLine="0" w:firstLineChars="0"/>
              <w:jc w:val="center"/>
              <w:rPr>
                <w:sz w:val="18"/>
                <w:szCs w:val="18"/>
              </w:rPr>
            </w:pPr>
            <w:r>
              <w:rPr>
                <w:rFonts w:hint="eastAsia" w:hAnsi="宋体"/>
                <w:sz w:val="18"/>
                <w:szCs w:val="18"/>
              </w:rPr>
              <w:t>文字内容</w:t>
            </w:r>
          </w:p>
        </w:tc>
        <w:tc>
          <w:tcPr>
            <w:tcW w:w="4627" w:type="dxa"/>
            <w:tcBorders>
              <w:top w:val="single" w:color="auto" w:sz="8" w:space="0"/>
              <w:left w:val="nil"/>
              <w:bottom w:val="single" w:color="auto" w:sz="8" w:space="0"/>
              <w:right w:val="single" w:color="auto" w:sz="8" w:space="0"/>
            </w:tcBorders>
            <w:vAlign w:val="center"/>
          </w:tcPr>
          <w:p>
            <w:pPr>
              <w:pStyle w:val="56"/>
              <w:ind w:firstLine="0" w:firstLineChars="0"/>
              <w:jc w:val="center"/>
              <w:rPr>
                <w:sz w:val="18"/>
                <w:szCs w:val="18"/>
              </w:rPr>
            </w:pPr>
            <w:r>
              <w:rPr>
                <w:rFonts w:hint="eastAsia" w:hAnsi="宋体"/>
                <w:sz w:val="18"/>
                <w:szCs w:val="18"/>
              </w:rPr>
              <w:t>字体和字号</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65" w:type="dxa"/>
            <w:tcBorders>
              <w:top w:val="single" w:color="auto" w:sz="8" w:space="0"/>
              <w:left w:val="single" w:color="auto" w:sz="8" w:space="0"/>
              <w:bottom w:val="single" w:color="auto" w:sz="4" w:space="0"/>
              <w:right w:val="single" w:color="auto" w:sz="4" w:space="0"/>
            </w:tcBorders>
            <w:vAlign w:val="center"/>
          </w:tcPr>
          <w:p>
            <w:pPr>
              <w:pStyle w:val="56"/>
              <w:ind w:firstLine="0" w:firstLineChars="0"/>
              <w:jc w:val="center"/>
              <w:rPr>
                <w:sz w:val="18"/>
                <w:szCs w:val="18"/>
              </w:rPr>
            </w:pPr>
            <w:r>
              <w:rPr>
                <w:rFonts w:hint="eastAsia" w:hAnsi="宋体"/>
                <w:sz w:val="18"/>
                <w:szCs w:val="18"/>
              </w:rPr>
              <w:t>1</w:t>
            </w:r>
          </w:p>
        </w:tc>
        <w:tc>
          <w:tcPr>
            <w:tcW w:w="1310" w:type="dxa"/>
            <w:vMerge w:val="restart"/>
            <w:tcBorders>
              <w:top w:val="nil"/>
              <w:left w:val="nil"/>
              <w:bottom w:val="single" w:color="auto" w:sz="4" w:space="0"/>
              <w:right w:val="single" w:color="auto" w:sz="4" w:space="0"/>
            </w:tcBorders>
            <w:vAlign w:val="center"/>
          </w:tcPr>
          <w:p>
            <w:pPr>
              <w:pStyle w:val="56"/>
              <w:ind w:firstLine="0" w:firstLineChars="0"/>
              <w:jc w:val="center"/>
              <w:rPr>
                <w:sz w:val="18"/>
                <w:szCs w:val="18"/>
              </w:rPr>
            </w:pPr>
            <w:r>
              <w:rPr>
                <w:rFonts w:hint="eastAsia" w:hAnsi="宋体"/>
                <w:sz w:val="18"/>
                <w:szCs w:val="18"/>
              </w:rPr>
              <w:t>封面</w:t>
            </w:r>
          </w:p>
        </w:tc>
        <w:tc>
          <w:tcPr>
            <w:tcW w:w="2018" w:type="dxa"/>
            <w:tcBorders>
              <w:top w:val="single" w:color="auto" w:sz="8" w:space="0"/>
              <w:left w:val="nil"/>
              <w:bottom w:val="single" w:color="auto" w:sz="4" w:space="0"/>
              <w:right w:val="single" w:color="auto" w:sz="4" w:space="0"/>
            </w:tcBorders>
            <w:vAlign w:val="center"/>
          </w:tcPr>
          <w:p>
            <w:pPr>
              <w:pStyle w:val="56"/>
              <w:ind w:firstLine="0" w:firstLineChars="0"/>
              <w:jc w:val="center"/>
              <w:rPr>
                <w:sz w:val="18"/>
                <w:szCs w:val="18"/>
              </w:rPr>
            </w:pPr>
            <w:r>
              <w:rPr>
                <w:rFonts w:hint="eastAsia" w:hAnsi="宋体"/>
                <w:sz w:val="18"/>
                <w:szCs w:val="18"/>
              </w:rPr>
              <w:t>单位名称</w:t>
            </w:r>
          </w:p>
        </w:tc>
        <w:tc>
          <w:tcPr>
            <w:tcW w:w="4627" w:type="dxa"/>
            <w:tcBorders>
              <w:top w:val="single" w:color="auto" w:sz="8" w:space="0"/>
              <w:left w:val="nil"/>
              <w:bottom w:val="single" w:color="auto" w:sz="4" w:space="0"/>
              <w:right w:val="single" w:color="auto" w:sz="8" w:space="0"/>
            </w:tcBorders>
            <w:vAlign w:val="center"/>
          </w:tcPr>
          <w:p>
            <w:pPr>
              <w:pStyle w:val="56"/>
              <w:ind w:firstLine="0" w:firstLineChars="0"/>
              <w:jc w:val="center"/>
              <w:rPr>
                <w:sz w:val="18"/>
                <w:szCs w:val="18"/>
              </w:rPr>
            </w:pPr>
            <w:r>
              <w:rPr>
                <w:rFonts w:hint="eastAsia" w:hAnsi="宋体"/>
                <w:sz w:val="18"/>
                <w:szCs w:val="18"/>
              </w:rPr>
              <w:t>二号宋体加粗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65" w:type="dxa"/>
            <w:tcBorders>
              <w:top w:val="single" w:color="auto" w:sz="4" w:space="0"/>
              <w:left w:val="single" w:color="auto" w:sz="8" w:space="0"/>
              <w:bottom w:val="single" w:color="auto" w:sz="4" w:space="0"/>
              <w:right w:val="single" w:color="auto" w:sz="4" w:space="0"/>
            </w:tcBorders>
            <w:vAlign w:val="center"/>
          </w:tcPr>
          <w:p>
            <w:pPr>
              <w:pStyle w:val="56"/>
              <w:ind w:firstLine="0" w:firstLineChars="0"/>
              <w:jc w:val="center"/>
              <w:rPr>
                <w:sz w:val="18"/>
                <w:szCs w:val="18"/>
              </w:rPr>
            </w:pPr>
            <w:r>
              <w:rPr>
                <w:rFonts w:hint="eastAsia" w:hAnsi="宋体"/>
                <w:sz w:val="18"/>
                <w:szCs w:val="18"/>
              </w:rPr>
              <w:t>2</w:t>
            </w:r>
          </w:p>
        </w:tc>
        <w:tc>
          <w:tcPr>
            <w:tcW w:w="0" w:type="auto"/>
            <w:vMerge w:val="continue"/>
            <w:tcBorders>
              <w:top w:val="nil"/>
              <w:left w:val="nil"/>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2018" w:type="dxa"/>
            <w:tcBorders>
              <w:top w:val="single" w:color="auto" w:sz="4" w:space="0"/>
              <w:left w:val="nil"/>
              <w:bottom w:val="single" w:color="auto" w:sz="4" w:space="0"/>
              <w:right w:val="single" w:color="auto" w:sz="4" w:space="0"/>
            </w:tcBorders>
            <w:vAlign w:val="center"/>
          </w:tcPr>
          <w:p>
            <w:pPr>
              <w:pStyle w:val="56"/>
              <w:ind w:firstLine="0" w:firstLineChars="0"/>
              <w:jc w:val="center"/>
              <w:rPr>
                <w:sz w:val="18"/>
                <w:szCs w:val="18"/>
              </w:rPr>
            </w:pPr>
            <w:r>
              <w:rPr>
                <w:rFonts w:hint="eastAsia" w:hAnsi="宋体"/>
                <w:sz w:val="18"/>
                <w:szCs w:val="18"/>
              </w:rPr>
              <w:t>报告名称</w:t>
            </w:r>
          </w:p>
        </w:tc>
        <w:tc>
          <w:tcPr>
            <w:tcW w:w="4627" w:type="dxa"/>
            <w:tcBorders>
              <w:top w:val="single" w:color="auto" w:sz="4" w:space="0"/>
              <w:left w:val="nil"/>
              <w:bottom w:val="single" w:color="auto" w:sz="4" w:space="0"/>
              <w:right w:val="single" w:color="auto" w:sz="8" w:space="0"/>
            </w:tcBorders>
            <w:vAlign w:val="center"/>
          </w:tcPr>
          <w:p>
            <w:pPr>
              <w:pStyle w:val="56"/>
              <w:ind w:firstLine="0" w:firstLineChars="0"/>
              <w:jc w:val="center"/>
              <w:rPr>
                <w:sz w:val="18"/>
                <w:szCs w:val="18"/>
              </w:rPr>
            </w:pPr>
            <w:r>
              <w:rPr>
                <w:rFonts w:hint="eastAsia" w:hAnsi="宋体"/>
                <w:sz w:val="18"/>
                <w:szCs w:val="18"/>
              </w:rPr>
              <w:t>小一号黑体加粗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65" w:type="dxa"/>
            <w:tcBorders>
              <w:top w:val="single" w:color="auto" w:sz="4" w:space="0"/>
              <w:left w:val="single" w:color="auto" w:sz="8" w:space="0"/>
              <w:bottom w:val="single" w:color="auto" w:sz="4" w:space="0"/>
              <w:right w:val="single" w:color="auto" w:sz="4" w:space="0"/>
            </w:tcBorders>
            <w:vAlign w:val="center"/>
          </w:tcPr>
          <w:p>
            <w:pPr>
              <w:pStyle w:val="56"/>
              <w:ind w:firstLine="0" w:firstLineChars="0"/>
              <w:jc w:val="center"/>
              <w:rPr>
                <w:sz w:val="18"/>
                <w:szCs w:val="18"/>
              </w:rPr>
            </w:pPr>
            <w:r>
              <w:rPr>
                <w:rFonts w:hint="eastAsia" w:hAnsi="宋体"/>
                <w:sz w:val="18"/>
                <w:szCs w:val="18"/>
              </w:rPr>
              <w:t>3</w:t>
            </w:r>
          </w:p>
        </w:tc>
        <w:tc>
          <w:tcPr>
            <w:tcW w:w="0" w:type="auto"/>
            <w:vMerge w:val="continue"/>
            <w:tcBorders>
              <w:top w:val="nil"/>
              <w:left w:val="nil"/>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2018" w:type="dxa"/>
            <w:tcBorders>
              <w:top w:val="single" w:color="auto" w:sz="4" w:space="0"/>
              <w:left w:val="nil"/>
              <w:bottom w:val="single" w:color="auto" w:sz="4" w:space="0"/>
              <w:right w:val="single" w:color="auto" w:sz="4" w:space="0"/>
            </w:tcBorders>
            <w:vAlign w:val="center"/>
          </w:tcPr>
          <w:p>
            <w:pPr>
              <w:pStyle w:val="56"/>
              <w:ind w:firstLine="0" w:firstLineChars="0"/>
              <w:jc w:val="center"/>
              <w:rPr>
                <w:sz w:val="18"/>
                <w:szCs w:val="18"/>
              </w:rPr>
            </w:pPr>
            <w:r>
              <w:rPr>
                <w:rFonts w:hint="eastAsia" w:hAnsi="宋体"/>
                <w:sz w:val="18"/>
                <w:szCs w:val="18"/>
              </w:rPr>
              <w:t>评估报告完成日期</w:t>
            </w:r>
          </w:p>
        </w:tc>
        <w:tc>
          <w:tcPr>
            <w:tcW w:w="4627" w:type="dxa"/>
            <w:tcBorders>
              <w:top w:val="single" w:color="auto" w:sz="4" w:space="0"/>
              <w:left w:val="nil"/>
              <w:bottom w:val="single" w:color="auto" w:sz="4" w:space="0"/>
              <w:right w:val="single" w:color="auto" w:sz="8" w:space="0"/>
            </w:tcBorders>
            <w:vAlign w:val="center"/>
          </w:tcPr>
          <w:p>
            <w:pPr>
              <w:pStyle w:val="56"/>
              <w:ind w:firstLine="0" w:firstLineChars="0"/>
              <w:jc w:val="center"/>
              <w:rPr>
                <w:sz w:val="18"/>
                <w:szCs w:val="18"/>
              </w:rPr>
            </w:pPr>
            <w:r>
              <w:rPr>
                <w:rFonts w:hint="eastAsia" w:hAnsi="宋体"/>
                <w:sz w:val="18"/>
                <w:szCs w:val="18"/>
              </w:rPr>
              <w:t>三号宋体加粗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65" w:type="dxa"/>
            <w:tcBorders>
              <w:top w:val="single" w:color="auto" w:sz="4" w:space="0"/>
              <w:left w:val="single" w:color="auto" w:sz="8" w:space="0"/>
              <w:bottom w:val="single" w:color="auto" w:sz="4" w:space="0"/>
              <w:right w:val="single" w:color="auto" w:sz="4" w:space="0"/>
            </w:tcBorders>
            <w:vAlign w:val="center"/>
          </w:tcPr>
          <w:p>
            <w:pPr>
              <w:pStyle w:val="56"/>
              <w:ind w:firstLine="0" w:firstLineChars="0"/>
              <w:jc w:val="center"/>
              <w:rPr>
                <w:sz w:val="18"/>
                <w:szCs w:val="18"/>
              </w:rPr>
            </w:pPr>
            <w:r>
              <w:rPr>
                <w:rFonts w:hint="eastAsia" w:hAnsi="宋体"/>
                <w:sz w:val="18"/>
                <w:szCs w:val="18"/>
              </w:rPr>
              <w:t>4</w:t>
            </w:r>
          </w:p>
        </w:tc>
        <w:tc>
          <w:tcPr>
            <w:tcW w:w="1310" w:type="dxa"/>
            <w:vMerge w:val="restart"/>
            <w:tcBorders>
              <w:top w:val="nil"/>
              <w:left w:val="nil"/>
              <w:bottom w:val="single" w:color="auto" w:sz="4" w:space="0"/>
              <w:right w:val="single" w:color="auto" w:sz="4" w:space="0"/>
            </w:tcBorders>
            <w:vAlign w:val="center"/>
          </w:tcPr>
          <w:p>
            <w:pPr>
              <w:pStyle w:val="56"/>
              <w:ind w:firstLine="0" w:firstLineChars="0"/>
              <w:jc w:val="center"/>
              <w:rPr>
                <w:sz w:val="18"/>
                <w:szCs w:val="18"/>
              </w:rPr>
            </w:pPr>
            <w:r>
              <w:rPr>
                <w:rFonts w:hint="eastAsia" w:hAnsi="宋体"/>
                <w:sz w:val="18"/>
                <w:szCs w:val="18"/>
              </w:rPr>
              <w:t>著录项首页</w:t>
            </w:r>
          </w:p>
        </w:tc>
        <w:tc>
          <w:tcPr>
            <w:tcW w:w="2018" w:type="dxa"/>
            <w:tcBorders>
              <w:top w:val="single" w:color="auto" w:sz="4" w:space="0"/>
              <w:left w:val="nil"/>
              <w:bottom w:val="single" w:color="auto" w:sz="4" w:space="0"/>
              <w:right w:val="single" w:color="auto" w:sz="4" w:space="0"/>
            </w:tcBorders>
            <w:vAlign w:val="center"/>
          </w:tcPr>
          <w:p>
            <w:pPr>
              <w:pStyle w:val="56"/>
              <w:ind w:firstLine="0" w:firstLineChars="0"/>
              <w:jc w:val="center"/>
              <w:rPr>
                <w:sz w:val="18"/>
                <w:szCs w:val="18"/>
              </w:rPr>
            </w:pPr>
            <w:r>
              <w:rPr>
                <w:rFonts w:hint="eastAsia" w:hAnsi="宋体"/>
                <w:sz w:val="18"/>
                <w:szCs w:val="18"/>
              </w:rPr>
              <w:t>报告名称</w:t>
            </w:r>
          </w:p>
        </w:tc>
        <w:tc>
          <w:tcPr>
            <w:tcW w:w="4627" w:type="dxa"/>
            <w:tcBorders>
              <w:top w:val="single" w:color="auto" w:sz="4" w:space="0"/>
              <w:left w:val="nil"/>
              <w:bottom w:val="single" w:color="auto" w:sz="4" w:space="0"/>
              <w:right w:val="single" w:color="auto" w:sz="8" w:space="0"/>
            </w:tcBorders>
            <w:vAlign w:val="center"/>
          </w:tcPr>
          <w:p>
            <w:pPr>
              <w:pStyle w:val="56"/>
              <w:ind w:firstLine="0" w:firstLineChars="0"/>
              <w:jc w:val="center"/>
              <w:rPr>
                <w:sz w:val="18"/>
                <w:szCs w:val="18"/>
              </w:rPr>
            </w:pPr>
            <w:r>
              <w:rPr>
                <w:rFonts w:hint="eastAsia" w:hAnsi="宋体"/>
                <w:sz w:val="18"/>
                <w:szCs w:val="18"/>
              </w:rPr>
              <w:t>二号宋体加粗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65" w:type="dxa"/>
            <w:tcBorders>
              <w:top w:val="single" w:color="auto" w:sz="4" w:space="0"/>
              <w:left w:val="single" w:color="auto" w:sz="8" w:space="0"/>
              <w:bottom w:val="single" w:color="auto" w:sz="4" w:space="0"/>
              <w:right w:val="single" w:color="auto" w:sz="4" w:space="0"/>
            </w:tcBorders>
            <w:vAlign w:val="center"/>
          </w:tcPr>
          <w:p>
            <w:pPr>
              <w:pStyle w:val="56"/>
              <w:ind w:firstLine="0" w:firstLineChars="0"/>
              <w:jc w:val="center"/>
              <w:rPr>
                <w:rFonts w:hAnsi="宋体"/>
                <w:sz w:val="18"/>
                <w:szCs w:val="18"/>
              </w:rPr>
            </w:pPr>
            <w:r>
              <w:rPr>
                <w:rFonts w:hint="eastAsia" w:hAnsi="宋体"/>
                <w:sz w:val="18"/>
                <w:szCs w:val="18"/>
              </w:rPr>
              <w:t>5</w:t>
            </w:r>
          </w:p>
        </w:tc>
        <w:tc>
          <w:tcPr>
            <w:tcW w:w="0" w:type="auto"/>
            <w:vMerge w:val="continue"/>
            <w:tcBorders>
              <w:top w:val="nil"/>
              <w:left w:val="nil"/>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2018" w:type="dxa"/>
            <w:tcBorders>
              <w:top w:val="single" w:color="auto" w:sz="4" w:space="0"/>
              <w:left w:val="nil"/>
              <w:bottom w:val="single" w:color="auto" w:sz="4" w:space="0"/>
              <w:right w:val="single" w:color="auto" w:sz="4" w:space="0"/>
            </w:tcBorders>
            <w:vAlign w:val="center"/>
          </w:tcPr>
          <w:p>
            <w:pPr>
              <w:pStyle w:val="56"/>
              <w:ind w:firstLine="0" w:firstLineChars="0"/>
              <w:jc w:val="center"/>
              <w:rPr>
                <w:sz w:val="18"/>
                <w:szCs w:val="18"/>
              </w:rPr>
            </w:pPr>
            <w:r>
              <w:rPr>
                <w:rFonts w:hint="eastAsia" w:hAnsi="宋体"/>
                <w:sz w:val="18"/>
                <w:szCs w:val="18"/>
              </w:rPr>
              <w:t>单位负责人</w:t>
            </w:r>
          </w:p>
        </w:tc>
        <w:tc>
          <w:tcPr>
            <w:tcW w:w="4627" w:type="dxa"/>
            <w:tcBorders>
              <w:top w:val="single" w:color="auto" w:sz="4" w:space="0"/>
              <w:left w:val="nil"/>
              <w:bottom w:val="single" w:color="auto" w:sz="4" w:space="0"/>
              <w:right w:val="single" w:color="auto" w:sz="8" w:space="0"/>
            </w:tcBorders>
            <w:vAlign w:val="center"/>
          </w:tcPr>
          <w:p>
            <w:pPr>
              <w:pStyle w:val="56"/>
              <w:ind w:firstLine="0" w:firstLineChars="0"/>
              <w:jc w:val="center"/>
              <w:rPr>
                <w:sz w:val="18"/>
                <w:szCs w:val="18"/>
              </w:rPr>
            </w:pPr>
            <w:r>
              <w:rPr>
                <w:rFonts w:hint="eastAsia" w:hAnsi="宋体"/>
                <w:sz w:val="18"/>
                <w:szCs w:val="18"/>
              </w:rPr>
              <w:t>四号宋体</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65" w:type="dxa"/>
            <w:tcBorders>
              <w:top w:val="single" w:color="auto" w:sz="4" w:space="0"/>
              <w:left w:val="single" w:color="auto" w:sz="8" w:space="0"/>
              <w:bottom w:val="single" w:color="auto" w:sz="4" w:space="0"/>
              <w:right w:val="single" w:color="auto" w:sz="4" w:space="0"/>
            </w:tcBorders>
            <w:vAlign w:val="center"/>
          </w:tcPr>
          <w:p>
            <w:pPr>
              <w:pStyle w:val="56"/>
              <w:ind w:firstLine="0" w:firstLineChars="0"/>
              <w:jc w:val="center"/>
              <w:rPr>
                <w:sz w:val="18"/>
                <w:szCs w:val="18"/>
              </w:rPr>
            </w:pPr>
            <w:r>
              <w:rPr>
                <w:rFonts w:hint="eastAsia" w:hAnsi="宋体"/>
                <w:sz w:val="18"/>
                <w:szCs w:val="18"/>
              </w:rPr>
              <w:t>6</w:t>
            </w:r>
          </w:p>
        </w:tc>
        <w:tc>
          <w:tcPr>
            <w:tcW w:w="0" w:type="auto"/>
            <w:vMerge w:val="continue"/>
            <w:tcBorders>
              <w:top w:val="nil"/>
              <w:left w:val="nil"/>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2018" w:type="dxa"/>
            <w:tcBorders>
              <w:top w:val="single" w:color="auto" w:sz="4" w:space="0"/>
              <w:left w:val="nil"/>
              <w:bottom w:val="single" w:color="auto" w:sz="4" w:space="0"/>
              <w:right w:val="single" w:color="auto" w:sz="4" w:space="0"/>
            </w:tcBorders>
            <w:vAlign w:val="center"/>
          </w:tcPr>
          <w:p>
            <w:pPr>
              <w:pStyle w:val="56"/>
              <w:ind w:firstLine="0" w:firstLineChars="0"/>
              <w:jc w:val="center"/>
              <w:rPr>
                <w:sz w:val="18"/>
                <w:szCs w:val="18"/>
              </w:rPr>
            </w:pPr>
            <w:r>
              <w:rPr>
                <w:rFonts w:hint="eastAsia" w:hAnsi="宋体"/>
                <w:sz w:val="18"/>
                <w:szCs w:val="18"/>
              </w:rPr>
              <w:t>技术负责人</w:t>
            </w:r>
          </w:p>
        </w:tc>
        <w:tc>
          <w:tcPr>
            <w:tcW w:w="4627" w:type="dxa"/>
            <w:tcBorders>
              <w:top w:val="single" w:color="auto" w:sz="4" w:space="0"/>
              <w:left w:val="nil"/>
              <w:bottom w:val="single" w:color="auto" w:sz="4" w:space="0"/>
              <w:right w:val="single" w:color="auto" w:sz="8" w:space="0"/>
            </w:tcBorders>
            <w:vAlign w:val="center"/>
          </w:tcPr>
          <w:p>
            <w:pPr>
              <w:pStyle w:val="56"/>
              <w:ind w:firstLine="0" w:firstLineChars="0"/>
              <w:jc w:val="center"/>
              <w:rPr>
                <w:sz w:val="18"/>
                <w:szCs w:val="18"/>
              </w:rPr>
            </w:pPr>
            <w:r>
              <w:rPr>
                <w:rFonts w:hint="eastAsia" w:hAnsi="宋体"/>
                <w:sz w:val="18"/>
                <w:szCs w:val="18"/>
              </w:rPr>
              <w:t>四号宋体</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65" w:type="dxa"/>
            <w:tcBorders>
              <w:top w:val="single" w:color="auto" w:sz="4" w:space="0"/>
              <w:left w:val="single" w:color="auto" w:sz="8" w:space="0"/>
              <w:bottom w:val="single" w:color="auto" w:sz="4" w:space="0"/>
              <w:right w:val="single" w:color="auto" w:sz="4" w:space="0"/>
            </w:tcBorders>
            <w:vAlign w:val="center"/>
          </w:tcPr>
          <w:p>
            <w:pPr>
              <w:pStyle w:val="56"/>
              <w:ind w:firstLine="0" w:firstLineChars="0"/>
              <w:jc w:val="center"/>
              <w:rPr>
                <w:sz w:val="18"/>
                <w:szCs w:val="18"/>
              </w:rPr>
            </w:pPr>
            <w:r>
              <w:rPr>
                <w:rFonts w:hint="eastAsia" w:hAnsi="宋体"/>
                <w:sz w:val="18"/>
                <w:szCs w:val="18"/>
              </w:rPr>
              <w:t>7</w:t>
            </w:r>
          </w:p>
        </w:tc>
        <w:tc>
          <w:tcPr>
            <w:tcW w:w="0" w:type="auto"/>
            <w:vMerge w:val="continue"/>
            <w:tcBorders>
              <w:top w:val="nil"/>
              <w:left w:val="nil"/>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2018" w:type="dxa"/>
            <w:tcBorders>
              <w:top w:val="single" w:color="auto" w:sz="4" w:space="0"/>
              <w:left w:val="nil"/>
              <w:bottom w:val="single" w:color="auto" w:sz="4" w:space="0"/>
              <w:right w:val="single" w:color="auto" w:sz="4" w:space="0"/>
            </w:tcBorders>
            <w:vAlign w:val="center"/>
          </w:tcPr>
          <w:p>
            <w:pPr>
              <w:pStyle w:val="56"/>
              <w:ind w:firstLine="0" w:firstLineChars="0"/>
              <w:jc w:val="center"/>
              <w:rPr>
                <w:sz w:val="18"/>
                <w:szCs w:val="18"/>
              </w:rPr>
            </w:pPr>
            <w:r>
              <w:rPr>
                <w:rFonts w:hint="eastAsia" w:hAnsi="宋体"/>
                <w:sz w:val="18"/>
                <w:szCs w:val="18"/>
              </w:rPr>
              <w:t>评估项目负责人</w:t>
            </w:r>
          </w:p>
        </w:tc>
        <w:tc>
          <w:tcPr>
            <w:tcW w:w="4627" w:type="dxa"/>
            <w:tcBorders>
              <w:top w:val="single" w:color="auto" w:sz="4" w:space="0"/>
              <w:left w:val="nil"/>
              <w:bottom w:val="single" w:color="auto" w:sz="4" w:space="0"/>
              <w:right w:val="single" w:color="auto" w:sz="8" w:space="0"/>
            </w:tcBorders>
            <w:vAlign w:val="center"/>
          </w:tcPr>
          <w:p>
            <w:pPr>
              <w:pStyle w:val="56"/>
              <w:ind w:firstLine="0" w:firstLineChars="0"/>
              <w:jc w:val="center"/>
              <w:rPr>
                <w:sz w:val="18"/>
                <w:szCs w:val="18"/>
              </w:rPr>
            </w:pPr>
            <w:r>
              <w:rPr>
                <w:rFonts w:hint="eastAsia" w:hAnsi="宋体"/>
                <w:sz w:val="18"/>
                <w:szCs w:val="18"/>
              </w:rPr>
              <w:t>四号宋体</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65" w:type="dxa"/>
            <w:tcBorders>
              <w:top w:val="single" w:color="auto" w:sz="4" w:space="0"/>
              <w:left w:val="single" w:color="auto" w:sz="8" w:space="0"/>
              <w:bottom w:val="single" w:color="auto" w:sz="4" w:space="0"/>
              <w:right w:val="single" w:color="auto" w:sz="4" w:space="0"/>
            </w:tcBorders>
            <w:vAlign w:val="center"/>
          </w:tcPr>
          <w:p>
            <w:pPr>
              <w:pStyle w:val="56"/>
              <w:ind w:firstLine="0" w:firstLineChars="0"/>
              <w:jc w:val="center"/>
              <w:rPr>
                <w:sz w:val="18"/>
                <w:szCs w:val="18"/>
              </w:rPr>
            </w:pPr>
            <w:r>
              <w:rPr>
                <w:rFonts w:hint="eastAsia" w:hAnsi="宋体"/>
                <w:sz w:val="18"/>
                <w:szCs w:val="18"/>
              </w:rPr>
              <w:t>8</w:t>
            </w:r>
          </w:p>
        </w:tc>
        <w:tc>
          <w:tcPr>
            <w:tcW w:w="0" w:type="auto"/>
            <w:vMerge w:val="continue"/>
            <w:tcBorders>
              <w:top w:val="nil"/>
              <w:left w:val="nil"/>
              <w:bottom w:val="single" w:color="auto" w:sz="4"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2018" w:type="dxa"/>
            <w:tcBorders>
              <w:top w:val="single" w:color="auto" w:sz="4" w:space="0"/>
              <w:left w:val="nil"/>
              <w:bottom w:val="single" w:color="auto" w:sz="4" w:space="0"/>
              <w:right w:val="single" w:color="auto" w:sz="4" w:space="0"/>
            </w:tcBorders>
            <w:vAlign w:val="center"/>
          </w:tcPr>
          <w:p>
            <w:pPr>
              <w:pStyle w:val="56"/>
              <w:ind w:firstLine="0" w:firstLineChars="0"/>
              <w:jc w:val="center"/>
              <w:rPr>
                <w:sz w:val="18"/>
                <w:szCs w:val="18"/>
              </w:rPr>
            </w:pPr>
            <w:r>
              <w:rPr>
                <w:rFonts w:hint="eastAsia" w:hAnsi="宋体"/>
                <w:sz w:val="18"/>
                <w:szCs w:val="18"/>
              </w:rPr>
              <w:t>评估报告完成日期</w:t>
            </w:r>
          </w:p>
        </w:tc>
        <w:tc>
          <w:tcPr>
            <w:tcW w:w="4627" w:type="dxa"/>
            <w:tcBorders>
              <w:top w:val="single" w:color="auto" w:sz="4" w:space="0"/>
              <w:left w:val="nil"/>
              <w:bottom w:val="single" w:color="auto" w:sz="4" w:space="0"/>
              <w:right w:val="single" w:color="auto" w:sz="8" w:space="0"/>
            </w:tcBorders>
            <w:vAlign w:val="center"/>
          </w:tcPr>
          <w:p>
            <w:pPr>
              <w:pStyle w:val="56"/>
              <w:ind w:firstLine="0" w:firstLineChars="0"/>
              <w:jc w:val="center"/>
              <w:rPr>
                <w:sz w:val="18"/>
                <w:szCs w:val="18"/>
              </w:rPr>
            </w:pPr>
            <w:r>
              <w:rPr>
                <w:rFonts w:hint="eastAsia" w:hAnsi="宋体"/>
                <w:sz w:val="18"/>
                <w:szCs w:val="18"/>
              </w:rPr>
              <w:t>小四号宋体加粗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65" w:type="dxa"/>
            <w:tcBorders>
              <w:top w:val="single" w:color="auto" w:sz="4" w:space="0"/>
              <w:left w:val="single" w:color="auto" w:sz="8" w:space="0"/>
              <w:bottom w:val="single" w:color="auto" w:sz="4" w:space="0"/>
              <w:right w:val="single" w:color="auto" w:sz="4" w:space="0"/>
            </w:tcBorders>
            <w:vAlign w:val="center"/>
          </w:tcPr>
          <w:p>
            <w:pPr>
              <w:pStyle w:val="56"/>
              <w:ind w:firstLine="0" w:firstLineChars="0"/>
              <w:jc w:val="center"/>
              <w:rPr>
                <w:rFonts w:hAnsi="宋体"/>
                <w:sz w:val="18"/>
                <w:szCs w:val="18"/>
              </w:rPr>
            </w:pPr>
            <w:r>
              <w:rPr>
                <w:rFonts w:hint="eastAsia" w:hAnsi="宋体"/>
                <w:sz w:val="18"/>
                <w:szCs w:val="18"/>
              </w:rPr>
              <w:t>9</w:t>
            </w:r>
          </w:p>
        </w:tc>
        <w:tc>
          <w:tcPr>
            <w:tcW w:w="1310" w:type="dxa"/>
            <w:vMerge w:val="restart"/>
            <w:tcBorders>
              <w:top w:val="nil"/>
              <w:left w:val="nil"/>
              <w:bottom w:val="single" w:color="auto" w:sz="8" w:space="0"/>
              <w:right w:val="single" w:color="auto" w:sz="4" w:space="0"/>
            </w:tcBorders>
            <w:vAlign w:val="center"/>
          </w:tcPr>
          <w:p>
            <w:pPr>
              <w:jc w:val="center"/>
              <w:rPr>
                <w:rFonts w:ascii="宋体" w:hAnsi="Times New Roman"/>
                <w:kern w:val="0"/>
                <w:sz w:val="18"/>
                <w:szCs w:val="18"/>
              </w:rPr>
            </w:pPr>
            <w:r>
              <w:rPr>
                <w:rFonts w:hint="eastAsia" w:ascii="宋体" w:hAnsi="宋体"/>
                <w:sz w:val="18"/>
                <w:szCs w:val="18"/>
              </w:rPr>
              <w:t>著录项次页</w:t>
            </w:r>
          </w:p>
        </w:tc>
        <w:tc>
          <w:tcPr>
            <w:tcW w:w="2018" w:type="dxa"/>
            <w:tcBorders>
              <w:top w:val="single" w:color="auto" w:sz="4" w:space="0"/>
              <w:left w:val="nil"/>
              <w:bottom w:val="single" w:color="auto" w:sz="4" w:space="0"/>
              <w:right w:val="single" w:color="auto" w:sz="4" w:space="0"/>
            </w:tcBorders>
            <w:vAlign w:val="center"/>
          </w:tcPr>
          <w:p>
            <w:pPr>
              <w:pStyle w:val="56"/>
              <w:ind w:firstLine="0" w:firstLineChars="0"/>
              <w:jc w:val="center"/>
              <w:rPr>
                <w:sz w:val="18"/>
                <w:szCs w:val="18"/>
              </w:rPr>
            </w:pPr>
            <w:r>
              <w:rPr>
                <w:rFonts w:hint="eastAsia" w:hAnsi="宋体"/>
                <w:sz w:val="18"/>
                <w:szCs w:val="18"/>
              </w:rPr>
              <w:t>表头评估人员</w:t>
            </w:r>
          </w:p>
        </w:tc>
        <w:tc>
          <w:tcPr>
            <w:tcW w:w="4627" w:type="dxa"/>
            <w:tcBorders>
              <w:top w:val="single" w:color="auto" w:sz="4" w:space="0"/>
              <w:left w:val="nil"/>
              <w:bottom w:val="single" w:color="auto" w:sz="4" w:space="0"/>
              <w:right w:val="single" w:color="auto" w:sz="8" w:space="0"/>
            </w:tcBorders>
            <w:vAlign w:val="center"/>
          </w:tcPr>
          <w:p>
            <w:pPr>
              <w:pStyle w:val="56"/>
              <w:ind w:firstLine="0" w:firstLineChars="0"/>
              <w:jc w:val="center"/>
              <w:rPr>
                <w:sz w:val="18"/>
                <w:szCs w:val="18"/>
              </w:rPr>
            </w:pPr>
            <w:r>
              <w:rPr>
                <w:rFonts w:hint="eastAsia" w:hAnsi="宋体"/>
                <w:sz w:val="18"/>
                <w:szCs w:val="18"/>
              </w:rPr>
              <w:t>三号宋体加粗</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665" w:type="dxa"/>
            <w:tcBorders>
              <w:top w:val="single" w:color="auto" w:sz="4" w:space="0"/>
              <w:left w:val="single" w:color="auto" w:sz="8" w:space="0"/>
              <w:bottom w:val="single" w:color="auto" w:sz="8" w:space="0"/>
              <w:right w:val="single" w:color="auto" w:sz="4" w:space="0"/>
            </w:tcBorders>
            <w:vAlign w:val="center"/>
          </w:tcPr>
          <w:p>
            <w:pPr>
              <w:pStyle w:val="56"/>
              <w:ind w:firstLine="0" w:firstLineChars="0"/>
              <w:jc w:val="center"/>
              <w:rPr>
                <w:rFonts w:hAnsi="宋体"/>
                <w:sz w:val="18"/>
                <w:szCs w:val="18"/>
              </w:rPr>
            </w:pPr>
            <w:r>
              <w:rPr>
                <w:rFonts w:hint="eastAsia" w:hAnsi="宋体"/>
                <w:sz w:val="18"/>
                <w:szCs w:val="18"/>
              </w:rPr>
              <w:t>10</w:t>
            </w:r>
          </w:p>
        </w:tc>
        <w:tc>
          <w:tcPr>
            <w:tcW w:w="0" w:type="auto"/>
            <w:vMerge w:val="continue"/>
            <w:tcBorders>
              <w:top w:val="single" w:color="auto" w:sz="8" w:space="0"/>
              <w:left w:val="nil"/>
              <w:bottom w:val="single" w:color="auto" w:sz="8" w:space="0"/>
              <w:right w:val="single" w:color="auto" w:sz="4" w:space="0"/>
            </w:tcBorders>
            <w:vAlign w:val="center"/>
          </w:tcPr>
          <w:p>
            <w:pPr>
              <w:widowControl/>
              <w:adjustRightInd/>
              <w:spacing w:line="240" w:lineRule="auto"/>
              <w:jc w:val="left"/>
              <w:rPr>
                <w:rFonts w:ascii="宋体" w:hAnsi="Times New Roman"/>
                <w:kern w:val="0"/>
                <w:sz w:val="18"/>
                <w:szCs w:val="18"/>
              </w:rPr>
            </w:pPr>
          </w:p>
        </w:tc>
        <w:tc>
          <w:tcPr>
            <w:tcW w:w="2018" w:type="dxa"/>
            <w:tcBorders>
              <w:top w:val="single" w:color="auto" w:sz="4" w:space="0"/>
              <w:left w:val="nil"/>
              <w:bottom w:val="single" w:color="auto" w:sz="8" w:space="0"/>
              <w:right w:val="single" w:color="auto" w:sz="4" w:space="0"/>
            </w:tcBorders>
            <w:vAlign w:val="center"/>
          </w:tcPr>
          <w:p>
            <w:pPr>
              <w:pStyle w:val="56"/>
              <w:ind w:firstLine="0" w:firstLineChars="0"/>
              <w:jc w:val="center"/>
              <w:rPr>
                <w:rFonts w:hAnsi="宋体"/>
                <w:sz w:val="18"/>
                <w:szCs w:val="18"/>
              </w:rPr>
            </w:pPr>
            <w:r>
              <w:rPr>
                <w:rFonts w:hint="eastAsia" w:hAnsi="宋体"/>
                <w:sz w:val="18"/>
                <w:szCs w:val="18"/>
              </w:rPr>
              <w:t>其他</w:t>
            </w:r>
          </w:p>
        </w:tc>
        <w:tc>
          <w:tcPr>
            <w:tcW w:w="4627" w:type="dxa"/>
            <w:tcBorders>
              <w:top w:val="single" w:color="auto" w:sz="4" w:space="0"/>
              <w:left w:val="nil"/>
              <w:bottom w:val="single" w:color="auto" w:sz="8" w:space="0"/>
              <w:right w:val="single" w:color="auto" w:sz="8" w:space="0"/>
            </w:tcBorders>
            <w:vAlign w:val="center"/>
          </w:tcPr>
          <w:p>
            <w:pPr>
              <w:pStyle w:val="56"/>
              <w:ind w:firstLine="0" w:firstLineChars="0"/>
              <w:jc w:val="center"/>
              <w:rPr>
                <w:rFonts w:hAnsi="宋体"/>
                <w:sz w:val="18"/>
                <w:szCs w:val="18"/>
              </w:rPr>
            </w:pPr>
            <w:r>
              <w:rPr>
                <w:rFonts w:hint="eastAsia" w:hAnsi="宋体"/>
                <w:sz w:val="18"/>
                <w:szCs w:val="18"/>
              </w:rPr>
              <w:t>小四号宋体</w:t>
            </w:r>
          </w:p>
        </w:tc>
      </w:tr>
    </w:tbl>
    <w:p>
      <w:pPr>
        <w:pStyle w:val="78"/>
        <w:spacing w:before="120" w:after="120"/>
        <w:rPr>
          <w:szCs w:val="21"/>
        </w:rPr>
      </w:pPr>
      <w:r>
        <w:rPr>
          <w:rFonts w:hint="eastAsia"/>
        </w:rPr>
        <w:t>封面格式</w:t>
      </w:r>
    </w:p>
    <w:p>
      <w:pPr>
        <w:pStyle w:val="212"/>
      </w:pPr>
      <w:r>
        <w:rPr>
          <w:rFonts w:hint="eastAsia"/>
        </w:rPr>
        <w:t>封面的内容应包括：</w:t>
      </w:r>
    </w:p>
    <w:p>
      <w:pPr>
        <w:pStyle w:val="132"/>
      </w:pPr>
      <w:r>
        <w:rPr>
          <w:rFonts w:hint="eastAsia"/>
        </w:rPr>
        <w:t>项目名称；</w:t>
      </w:r>
    </w:p>
    <w:p>
      <w:pPr>
        <w:pStyle w:val="132"/>
      </w:pPr>
      <w:r>
        <w:rPr>
          <w:rFonts w:hint="eastAsia"/>
        </w:rPr>
        <w:t>标题；</w:t>
      </w:r>
    </w:p>
    <w:p>
      <w:pPr>
        <w:pStyle w:val="132"/>
      </w:pPr>
      <w:r>
        <w:rPr>
          <w:rFonts w:hint="eastAsia"/>
        </w:rPr>
        <w:t>企业名称；</w:t>
      </w:r>
    </w:p>
    <w:p>
      <w:pPr>
        <w:pStyle w:val="132"/>
      </w:pPr>
      <w:r>
        <w:rPr>
          <w:rFonts w:hint="eastAsia"/>
        </w:rPr>
        <w:t>报告完成时间。</w:t>
      </w:r>
    </w:p>
    <w:p>
      <w:pPr>
        <w:pStyle w:val="212"/>
      </w:pPr>
      <w:r>
        <w:rPr>
          <w:rFonts w:hint="eastAsia"/>
        </w:rPr>
        <w:t>标题宜统一写为《××公司双重预防机制建设评估报告》。</w:t>
      </w:r>
    </w:p>
    <w:p>
      <w:pPr>
        <w:pStyle w:val="212"/>
      </w:pPr>
      <w:r>
        <w:rPr>
          <w:rFonts w:hint="eastAsia"/>
        </w:rPr>
        <w:t>封面式样如图F.1所示。</w:t>
      </w:r>
    </w:p>
    <w:p>
      <w:pPr>
        <w:pStyle w:val="78"/>
        <w:spacing w:before="120" w:after="120"/>
      </w:pPr>
      <w:r>
        <w:rPr>
          <w:rFonts w:hint="eastAsia"/>
        </w:rPr>
        <w:t>正文</w:t>
      </w:r>
    </w:p>
    <w:p>
      <w:pPr>
        <w:pStyle w:val="56"/>
        <w:ind w:firstLine="420"/>
      </w:pPr>
      <w:r>
        <w:rPr>
          <w:rFonts w:hint="eastAsia" w:hAnsi="宋体"/>
        </w:rPr>
        <w:t>双重预防机制建设评估报告正文应至少包括：</w:t>
      </w:r>
    </w:p>
    <w:p>
      <w:pPr>
        <w:pStyle w:val="132"/>
      </w:pPr>
      <w:r>
        <w:rPr>
          <w:rFonts w:hint="eastAsia"/>
        </w:rPr>
        <w:t>企业基本情况：企业地理位置及平面布置、生产工艺、主要生产设备设施、原、辅材料使用及储存、企业内运输情况、劳动定员及工作制度等；</w:t>
      </w:r>
    </w:p>
    <w:p>
      <w:pPr>
        <w:pStyle w:val="132"/>
      </w:pPr>
      <w:r>
        <w:rPr>
          <w:rFonts w:hint="eastAsia"/>
        </w:rPr>
        <w:t>企业双重预防机制建设准备工作情况（包括工作机构、工作方案、人员培训、制度完善、资料收集等）；</w:t>
      </w:r>
    </w:p>
    <w:p>
      <w:pPr>
        <w:pStyle w:val="132"/>
      </w:pPr>
      <w:r>
        <w:rPr>
          <w:rFonts w:hint="eastAsia"/>
        </w:rPr>
        <w:t>安全风险分级管控情况（包括风险点划分、风险分析评价、风险分级管控、风险告知等）；</w:t>
      </w:r>
    </w:p>
    <w:p>
      <w:pPr>
        <w:pStyle w:val="132"/>
      </w:pPr>
      <w:r>
        <w:rPr>
          <w:rFonts w:hint="eastAsia"/>
        </w:rPr>
        <w:t>隐患排查治理情况（包括隐患排查治理清单、隐患排查治理、隐患统计分析等）；</w:t>
      </w:r>
    </w:p>
    <w:p>
      <w:pPr>
        <w:pStyle w:val="132"/>
      </w:pPr>
      <w:r>
        <w:rPr>
          <w:rFonts w:hint="eastAsia"/>
        </w:rPr>
        <w:t>其他应说明的情况。</w:t>
      </w:r>
    </w:p>
    <w:p>
      <w:pPr>
        <w:pStyle w:val="78"/>
        <w:spacing w:before="120" w:after="120"/>
      </w:pPr>
      <w:r>
        <w:rPr>
          <w:rFonts w:hint="eastAsia"/>
        </w:rPr>
        <w:t>附件</w:t>
      </w:r>
    </w:p>
    <w:p>
      <w:pPr>
        <w:pStyle w:val="56"/>
        <w:ind w:firstLine="420"/>
      </w:pPr>
      <w:r>
        <w:rPr>
          <w:rFonts w:hint="eastAsia" w:hAnsi="宋体"/>
        </w:rPr>
        <w:t>双重预防机制建设评估报告附件应至少包括：</w:t>
      </w:r>
    </w:p>
    <w:p>
      <w:pPr>
        <w:pStyle w:val="132"/>
      </w:pPr>
      <w:r>
        <w:rPr>
          <w:rFonts w:hint="eastAsia"/>
        </w:rPr>
        <w:t>安全风险点登记台账；</w:t>
      </w:r>
    </w:p>
    <w:p>
      <w:pPr>
        <w:pStyle w:val="132"/>
      </w:pPr>
      <w:r>
        <w:rPr>
          <w:rFonts w:hint="eastAsia"/>
        </w:rPr>
        <w:t>作业活动、设备设施清单；</w:t>
      </w:r>
    </w:p>
    <w:p>
      <w:pPr>
        <w:pStyle w:val="132"/>
      </w:pPr>
      <w:r>
        <w:rPr>
          <w:rFonts w:hint="eastAsia"/>
        </w:rPr>
        <w:t>风险分析评价记录；</w:t>
      </w:r>
    </w:p>
    <w:p>
      <w:pPr>
        <w:pStyle w:val="132"/>
      </w:pPr>
      <w:r>
        <w:rPr>
          <w:rFonts w:hint="eastAsia"/>
        </w:rPr>
        <w:t>安全风险公告栏；</w:t>
      </w:r>
    </w:p>
    <w:p>
      <w:pPr>
        <w:pStyle w:val="132"/>
      </w:pPr>
      <w:r>
        <w:rPr>
          <w:rFonts w:hint="eastAsia"/>
        </w:rPr>
        <w:t>岗位安全风险告知卡；</w:t>
      </w:r>
    </w:p>
    <w:p>
      <w:pPr>
        <w:pStyle w:val="132"/>
      </w:pPr>
      <w:r>
        <w:rPr>
          <w:rFonts w:hint="eastAsia"/>
        </w:rPr>
        <w:t>安全风险比较图、安全风险四色图；</w:t>
      </w:r>
    </w:p>
    <w:p>
      <w:pPr>
        <w:pStyle w:val="132"/>
      </w:pPr>
      <w:r>
        <w:rPr>
          <w:rFonts w:hint="eastAsia"/>
        </w:rPr>
        <w:t>安全风险分级管控清单</w:t>
      </w:r>
    </w:p>
    <w:p>
      <w:pPr>
        <w:pStyle w:val="132"/>
      </w:pPr>
      <w:r>
        <w:rPr>
          <w:rFonts w:hint="eastAsia"/>
        </w:rPr>
        <w:t>隐患排查治理清单；</w:t>
      </w:r>
    </w:p>
    <w:p>
      <w:pPr>
        <w:pStyle w:val="132"/>
      </w:pPr>
      <w:r>
        <w:rPr>
          <w:rFonts w:hint="eastAsia"/>
        </w:rPr>
        <w:t>重大风险专项管控方案；</w:t>
      </w:r>
    </w:p>
    <w:p>
      <w:pPr>
        <w:pStyle w:val="132"/>
      </w:pPr>
      <w:r>
        <w:rPr>
          <w:rFonts w:hint="eastAsia"/>
        </w:rPr>
        <w:t>有关制度汇集；</w:t>
      </w:r>
    </w:p>
    <w:p>
      <w:pPr>
        <w:pStyle w:val="132"/>
      </w:pPr>
      <w:r>
        <w:rPr>
          <w:rFonts w:hint="eastAsia"/>
        </w:rPr>
        <w:t>其他有关资料。</w:t>
      </w:r>
    </w:p>
    <w:p>
      <w:pPr>
        <w:pStyle w:val="56"/>
        <w:ind w:firstLine="420"/>
      </w:pPr>
    </w:p>
    <w:p>
      <w:pPr>
        <w:widowControl/>
        <w:adjustRightInd/>
        <w:jc w:val="left"/>
        <w:rPr>
          <w:kern w:val="0"/>
          <w:szCs w:val="20"/>
        </w:rPr>
      </w:pPr>
      <w:r>
        <w:br w:type="page"/>
      </w:r>
    </w:p>
    <w:tbl>
      <w:tblPr>
        <w:tblStyle w:val="27"/>
        <w:tblW w:w="9346" w:type="dxa"/>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346"/>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346" w:type="dxa"/>
            <w:tcBorders>
              <w:top w:val="single" w:color="auto" w:sz="8" w:space="0"/>
              <w:bottom w:val="single" w:color="auto" w:sz="8" w:space="0"/>
            </w:tcBorders>
            <w:shd w:val="clear" w:color="auto" w:fill="auto"/>
            <w:vAlign w:val="center"/>
          </w:tcPr>
          <w:p>
            <w:pPr>
              <w:widowControl/>
              <w:adjustRightInd/>
              <w:jc w:val="center"/>
              <w:rPr>
                <w:rFonts w:hAnsi="宋体"/>
                <w:b/>
                <w:bCs/>
                <w:kern w:val="0"/>
                <w:sz w:val="44"/>
                <w:szCs w:val="44"/>
              </w:rPr>
            </w:pPr>
            <w:bookmarkStart w:id="136" w:name="_Hlk132643853"/>
          </w:p>
          <w:p>
            <w:pPr>
              <w:widowControl/>
              <w:adjustRightInd/>
              <w:jc w:val="center"/>
              <w:rPr>
                <w:rFonts w:hAnsi="宋体"/>
                <w:b/>
                <w:bCs/>
                <w:kern w:val="0"/>
                <w:sz w:val="44"/>
                <w:szCs w:val="44"/>
              </w:rPr>
            </w:pPr>
          </w:p>
          <w:p>
            <w:pPr>
              <w:widowControl/>
              <w:adjustRightInd/>
              <w:spacing w:line="360" w:lineRule="auto"/>
              <w:jc w:val="center"/>
              <w:rPr>
                <w:rFonts w:hAnsi="宋体"/>
                <w:kern w:val="0"/>
              </w:rPr>
            </w:pPr>
            <w:r>
              <w:rPr>
                <w:rFonts w:hAnsi="宋体"/>
                <w:b/>
                <w:bCs/>
                <w:kern w:val="0"/>
                <w:sz w:val="44"/>
                <w:szCs w:val="44"/>
              </w:rPr>
              <w:t>单位名称</w:t>
            </w:r>
          </w:p>
          <w:p>
            <w:pPr>
              <w:widowControl/>
              <w:adjustRightInd/>
              <w:jc w:val="center"/>
              <w:rPr>
                <w:rFonts w:hAnsi="宋体"/>
                <w:kern w:val="0"/>
              </w:rPr>
            </w:pPr>
          </w:p>
          <w:p>
            <w:pPr>
              <w:widowControl/>
              <w:adjustRightInd/>
              <w:jc w:val="center"/>
              <w:rPr>
                <w:rFonts w:hAnsi="宋体"/>
                <w:kern w:val="0"/>
              </w:rPr>
            </w:pPr>
          </w:p>
          <w:p>
            <w:pPr>
              <w:widowControl/>
              <w:adjustRightInd/>
              <w:jc w:val="center"/>
              <w:rPr>
                <w:rFonts w:hAnsi="宋体"/>
                <w:kern w:val="0"/>
              </w:rPr>
            </w:pPr>
          </w:p>
          <w:p>
            <w:pPr>
              <w:widowControl/>
              <w:adjustRightInd/>
              <w:spacing w:line="360" w:lineRule="auto"/>
              <w:jc w:val="center"/>
              <w:rPr>
                <w:rFonts w:ascii="黑体" w:hAnsi="黑体" w:eastAsia="黑体" w:cs="黑体"/>
                <w:b/>
                <w:bCs/>
                <w:kern w:val="0"/>
                <w:sz w:val="52"/>
                <w:szCs w:val="52"/>
              </w:rPr>
            </w:pPr>
            <w:r>
              <w:rPr>
                <w:rFonts w:ascii="黑体" w:hAnsi="黑体" w:eastAsia="黑体" w:cs="黑体"/>
                <w:b/>
                <w:bCs/>
                <w:kern w:val="0"/>
                <w:sz w:val="52"/>
                <w:szCs w:val="52"/>
              </w:rPr>
              <w:t>安全风险分级管控与隐患排查治理</w:t>
            </w:r>
          </w:p>
          <w:p>
            <w:pPr>
              <w:widowControl/>
              <w:adjustRightInd/>
              <w:spacing w:line="360" w:lineRule="auto"/>
              <w:jc w:val="center"/>
              <w:rPr>
                <w:rFonts w:ascii="黑体" w:hAnsi="黑体" w:eastAsia="黑体" w:cs="黑体"/>
                <w:b/>
                <w:bCs/>
                <w:kern w:val="0"/>
                <w:sz w:val="52"/>
                <w:szCs w:val="52"/>
              </w:rPr>
            </w:pPr>
            <w:r>
              <w:rPr>
                <w:rFonts w:ascii="黑体" w:hAnsi="黑体" w:eastAsia="黑体" w:cs="黑体"/>
                <w:b/>
                <w:bCs/>
                <w:kern w:val="0"/>
                <w:sz w:val="52"/>
                <w:szCs w:val="52"/>
              </w:rPr>
              <w:t>双重预防机制建设评估报告</w:t>
            </w:r>
          </w:p>
          <w:p>
            <w:pPr>
              <w:widowControl/>
              <w:adjustRightInd/>
              <w:jc w:val="center"/>
              <w:rPr>
                <w:kern w:val="0"/>
                <w:szCs w:val="20"/>
              </w:rPr>
            </w:pPr>
          </w:p>
          <w:p>
            <w:pPr>
              <w:widowControl/>
              <w:adjustRightInd/>
              <w:jc w:val="center"/>
              <w:rPr>
                <w:kern w:val="0"/>
                <w:szCs w:val="20"/>
              </w:rPr>
            </w:pPr>
          </w:p>
          <w:p>
            <w:pPr>
              <w:widowControl/>
              <w:adjustRightInd/>
              <w:jc w:val="center"/>
              <w:rPr>
                <w:kern w:val="0"/>
                <w:szCs w:val="20"/>
              </w:rPr>
            </w:pPr>
          </w:p>
          <w:p>
            <w:pPr>
              <w:widowControl/>
              <w:adjustRightInd/>
              <w:jc w:val="center"/>
              <w:rPr>
                <w:kern w:val="0"/>
                <w:szCs w:val="20"/>
              </w:rPr>
            </w:pPr>
          </w:p>
          <w:p>
            <w:pPr>
              <w:widowControl/>
              <w:adjustRightInd/>
              <w:jc w:val="center"/>
              <w:rPr>
                <w:kern w:val="0"/>
                <w:szCs w:val="20"/>
              </w:rPr>
            </w:pPr>
          </w:p>
          <w:p>
            <w:pPr>
              <w:widowControl/>
              <w:adjustRightInd/>
              <w:jc w:val="center"/>
              <w:rPr>
                <w:kern w:val="0"/>
                <w:szCs w:val="20"/>
              </w:rPr>
            </w:pPr>
          </w:p>
          <w:p>
            <w:pPr>
              <w:widowControl/>
              <w:adjustRightInd/>
              <w:jc w:val="center"/>
              <w:rPr>
                <w:kern w:val="0"/>
                <w:szCs w:val="20"/>
              </w:rPr>
            </w:pPr>
          </w:p>
          <w:p>
            <w:pPr>
              <w:widowControl/>
              <w:adjustRightInd/>
              <w:jc w:val="center"/>
              <w:rPr>
                <w:kern w:val="0"/>
                <w:szCs w:val="20"/>
              </w:rPr>
            </w:pPr>
          </w:p>
          <w:p>
            <w:pPr>
              <w:widowControl/>
              <w:adjustRightInd/>
              <w:jc w:val="center"/>
              <w:rPr>
                <w:kern w:val="0"/>
                <w:szCs w:val="20"/>
              </w:rPr>
            </w:pPr>
          </w:p>
          <w:p>
            <w:pPr>
              <w:widowControl/>
              <w:adjustRightInd/>
              <w:jc w:val="center"/>
              <w:rPr>
                <w:kern w:val="0"/>
                <w:szCs w:val="20"/>
              </w:rPr>
            </w:pPr>
          </w:p>
          <w:p>
            <w:pPr>
              <w:widowControl/>
              <w:adjustRightInd/>
              <w:jc w:val="center"/>
              <w:rPr>
                <w:kern w:val="0"/>
                <w:szCs w:val="20"/>
              </w:rPr>
            </w:pPr>
          </w:p>
          <w:p>
            <w:pPr>
              <w:widowControl/>
              <w:adjustRightInd/>
              <w:jc w:val="center"/>
              <w:rPr>
                <w:kern w:val="0"/>
                <w:szCs w:val="20"/>
              </w:rPr>
            </w:pPr>
          </w:p>
          <w:p>
            <w:pPr>
              <w:widowControl/>
              <w:adjustRightInd/>
              <w:jc w:val="center"/>
              <w:rPr>
                <w:kern w:val="0"/>
                <w:szCs w:val="20"/>
              </w:rPr>
            </w:pPr>
          </w:p>
          <w:p>
            <w:pPr>
              <w:widowControl/>
              <w:adjustRightInd/>
              <w:spacing w:line="276" w:lineRule="auto"/>
              <w:jc w:val="center"/>
              <w:rPr>
                <w:rFonts w:hAnsi="宋体"/>
                <w:b/>
                <w:bCs/>
                <w:kern w:val="0"/>
                <w:sz w:val="44"/>
                <w:szCs w:val="44"/>
              </w:rPr>
            </w:pPr>
            <w:r>
              <w:rPr>
                <w:rFonts w:hAnsi="宋体"/>
                <w:b/>
                <w:bCs/>
                <w:kern w:val="0"/>
                <w:sz w:val="44"/>
                <w:szCs w:val="44"/>
              </w:rPr>
              <w:t>单位名称</w:t>
            </w:r>
            <w:r>
              <w:rPr>
                <w:kern w:val="0"/>
                <w:szCs w:val="20"/>
              </w:rPr>
              <w:t>（盖章）</w:t>
            </w:r>
          </w:p>
          <w:p>
            <w:pPr>
              <w:widowControl/>
              <w:adjustRightInd/>
              <w:jc w:val="center"/>
              <w:rPr>
                <w:kern w:val="0"/>
                <w:szCs w:val="20"/>
              </w:rPr>
            </w:pPr>
          </w:p>
          <w:p>
            <w:pPr>
              <w:widowControl/>
              <w:adjustRightInd/>
              <w:jc w:val="center"/>
              <w:rPr>
                <w:kern w:val="0"/>
                <w:szCs w:val="20"/>
              </w:rPr>
            </w:pPr>
          </w:p>
          <w:p>
            <w:pPr>
              <w:widowControl/>
              <w:adjustRightInd/>
              <w:jc w:val="center"/>
              <w:rPr>
                <w:kern w:val="0"/>
                <w:szCs w:val="20"/>
              </w:rPr>
            </w:pPr>
          </w:p>
          <w:p>
            <w:pPr>
              <w:widowControl/>
              <w:adjustRightInd/>
              <w:jc w:val="center"/>
              <w:rPr>
                <w:kern w:val="0"/>
                <w:szCs w:val="20"/>
              </w:rPr>
            </w:pPr>
            <w:r>
              <w:rPr>
                <w:b/>
                <w:bCs/>
                <w:kern w:val="0"/>
                <w:sz w:val="32"/>
                <w:szCs w:val="32"/>
              </w:rPr>
              <w:t>报告完成日期</w:t>
            </w:r>
          </w:p>
          <w:p>
            <w:pPr>
              <w:widowControl/>
              <w:adjustRightInd/>
              <w:jc w:val="center"/>
              <w:rPr>
                <w:kern w:val="0"/>
                <w:szCs w:val="20"/>
              </w:rPr>
            </w:pPr>
          </w:p>
          <w:p>
            <w:pPr>
              <w:pStyle w:val="178"/>
              <w:rPr>
                <w:b/>
                <w:bCs/>
              </w:rPr>
            </w:pPr>
          </w:p>
        </w:tc>
      </w:tr>
      <w:bookmarkEnd w:id="136"/>
    </w:tbl>
    <w:p>
      <w:pPr>
        <w:pStyle w:val="78"/>
        <w:spacing w:before="120" w:after="120"/>
        <w:rPr>
          <w:szCs w:val="21"/>
        </w:rPr>
      </w:pPr>
      <w:r>
        <w:rPr>
          <w:rFonts w:hint="eastAsia"/>
        </w:rPr>
        <w:t>著录项格式</w:t>
      </w:r>
    </w:p>
    <w:p>
      <w:pPr>
        <w:pStyle w:val="212"/>
      </w:pPr>
      <w:r>
        <w:rPr>
          <w:rFonts w:hint="eastAsia"/>
        </w:rPr>
        <w:t>著录项一般分两页布置。第一页署明企业负责人、技术负责人、评估项目负责人等主要责任者姓名，下方为报告编制完成的日期及企业公章用章区：第二页则为评估人员以及其他有关责任者名单，评估人员应亲笔签名。</w:t>
      </w:r>
    </w:p>
    <w:p>
      <w:pPr>
        <w:pStyle w:val="212"/>
      </w:pPr>
      <w:r>
        <w:rPr>
          <w:rFonts w:hint="eastAsia"/>
        </w:rPr>
        <w:t>著录项样张见图F.2、图F.3。</w:t>
      </w:r>
    </w:p>
    <w:tbl>
      <w:tblPr>
        <w:tblStyle w:val="2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6" w:hRule="atLeast"/>
          <w:jc w:val="center"/>
        </w:trPr>
        <w:tc>
          <w:tcPr>
            <w:tcW w:w="9283" w:type="dxa"/>
          </w:tcPr>
          <w:p>
            <w:pPr>
              <w:widowControl/>
              <w:adjustRightInd/>
              <w:rPr>
                <w:rFonts w:hAnsi="宋体"/>
                <w:b/>
                <w:bCs/>
                <w:kern w:val="0"/>
                <w:sz w:val="44"/>
                <w:szCs w:val="44"/>
              </w:rPr>
            </w:pPr>
            <w:bookmarkStart w:id="137" w:name="_Hlk132806546"/>
          </w:p>
          <w:p>
            <w:pPr>
              <w:widowControl/>
              <w:adjustRightInd/>
              <w:rPr>
                <w:rFonts w:hAnsi="宋体"/>
                <w:b/>
                <w:bCs/>
                <w:kern w:val="0"/>
                <w:sz w:val="44"/>
                <w:szCs w:val="44"/>
              </w:rPr>
            </w:pPr>
          </w:p>
          <w:p>
            <w:pPr>
              <w:widowControl/>
              <w:adjustRightInd/>
              <w:rPr>
                <w:rFonts w:hAnsi="宋体"/>
                <w:kern w:val="0"/>
              </w:rPr>
            </w:pPr>
          </w:p>
          <w:p>
            <w:pPr>
              <w:widowControl/>
              <w:adjustRightInd/>
              <w:rPr>
                <w:rFonts w:hAnsi="宋体"/>
                <w:kern w:val="0"/>
              </w:rPr>
            </w:pPr>
          </w:p>
          <w:p>
            <w:pPr>
              <w:widowControl/>
              <w:adjustRightInd/>
              <w:rPr>
                <w:rFonts w:hAnsi="宋体"/>
                <w:kern w:val="0"/>
              </w:rPr>
            </w:pPr>
          </w:p>
          <w:p>
            <w:pPr>
              <w:widowControl/>
              <w:adjustRightInd/>
              <w:rPr>
                <w:rFonts w:hAnsi="宋体"/>
                <w:kern w:val="0"/>
              </w:rPr>
            </w:pPr>
          </w:p>
          <w:p>
            <w:pPr>
              <w:widowControl/>
              <w:adjustRightInd/>
              <w:rPr>
                <w:rFonts w:hAnsi="宋体"/>
                <w:kern w:val="0"/>
              </w:rPr>
            </w:pPr>
          </w:p>
          <w:p>
            <w:pPr>
              <w:widowControl/>
              <w:adjustRightInd/>
              <w:jc w:val="center"/>
              <w:rPr>
                <w:rFonts w:hAnsi="宋体" w:cs="黑体"/>
                <w:b/>
                <w:bCs/>
                <w:kern w:val="0"/>
                <w:sz w:val="44"/>
                <w:szCs w:val="44"/>
              </w:rPr>
            </w:pPr>
            <w:r>
              <w:rPr>
                <w:rFonts w:hAnsi="宋体" w:cs="黑体"/>
                <w:b/>
                <w:bCs/>
                <w:kern w:val="0"/>
                <w:sz w:val="44"/>
                <w:szCs w:val="44"/>
              </w:rPr>
              <w:t>安全风险分级管控与隐患排查治理</w:t>
            </w:r>
            <w:r>
              <w:rPr>
                <w:rFonts w:hAnsi="宋体" w:cs="黑体"/>
                <w:b/>
                <w:bCs/>
                <w:kern w:val="0"/>
                <w:sz w:val="44"/>
                <w:szCs w:val="44"/>
              </w:rPr>
              <w:cr/>
            </w:r>
            <w:r>
              <w:rPr>
                <w:rFonts w:hAnsi="宋体" w:cs="黑体"/>
                <w:b/>
                <w:bCs/>
                <w:kern w:val="0"/>
                <w:sz w:val="44"/>
                <w:szCs w:val="44"/>
              </w:rPr>
              <w:t>双重预防机制建设评估报告</w:t>
            </w:r>
          </w:p>
          <w:p>
            <w:pPr>
              <w:widowControl/>
              <w:adjustRightInd/>
              <w:rPr>
                <w:kern w:val="0"/>
                <w:szCs w:val="20"/>
              </w:rPr>
            </w:pPr>
          </w:p>
          <w:p>
            <w:pPr>
              <w:widowControl/>
              <w:adjustRightInd/>
              <w:rPr>
                <w:kern w:val="0"/>
                <w:szCs w:val="20"/>
              </w:rPr>
            </w:pPr>
          </w:p>
          <w:p>
            <w:pPr>
              <w:widowControl/>
              <w:adjustRightInd/>
              <w:rPr>
                <w:kern w:val="0"/>
                <w:szCs w:val="20"/>
              </w:rPr>
            </w:pPr>
          </w:p>
          <w:p>
            <w:pPr>
              <w:widowControl/>
              <w:adjustRightInd/>
              <w:rPr>
                <w:kern w:val="0"/>
                <w:szCs w:val="20"/>
              </w:rPr>
            </w:pPr>
          </w:p>
          <w:p>
            <w:pPr>
              <w:widowControl/>
              <w:adjustRightInd/>
              <w:rPr>
                <w:kern w:val="0"/>
                <w:szCs w:val="20"/>
              </w:rPr>
            </w:pPr>
          </w:p>
          <w:p>
            <w:pPr>
              <w:widowControl/>
              <w:adjustRightInd/>
              <w:rPr>
                <w:kern w:val="0"/>
                <w:szCs w:val="20"/>
              </w:rPr>
            </w:pPr>
          </w:p>
          <w:p>
            <w:pPr>
              <w:widowControl/>
              <w:adjustRightInd/>
              <w:spacing w:line="360" w:lineRule="auto"/>
              <w:jc w:val="center"/>
              <w:rPr>
                <w:kern w:val="0"/>
                <w:szCs w:val="20"/>
              </w:rPr>
            </w:pPr>
            <w:r>
              <w:rPr>
                <w:kern w:val="0"/>
                <w:sz w:val="28"/>
                <w:szCs w:val="28"/>
              </w:rPr>
              <w:t>单位负责人：</w:t>
            </w:r>
            <w:r>
              <w:rPr>
                <w:kern w:val="0"/>
                <w:szCs w:val="20"/>
              </w:rPr>
              <w:t xml:space="preserve"> </w:t>
            </w:r>
          </w:p>
          <w:p>
            <w:pPr>
              <w:widowControl/>
              <w:adjustRightInd/>
              <w:spacing w:line="360" w:lineRule="auto"/>
              <w:jc w:val="center"/>
              <w:rPr>
                <w:kern w:val="0"/>
                <w:szCs w:val="20"/>
              </w:rPr>
            </w:pPr>
            <w:r>
              <w:rPr>
                <w:kern w:val="0"/>
                <w:sz w:val="28"/>
                <w:szCs w:val="28"/>
              </w:rPr>
              <w:t>技术负责人：</w:t>
            </w:r>
            <w:r>
              <w:rPr>
                <w:kern w:val="0"/>
                <w:szCs w:val="20"/>
              </w:rPr>
              <w:t xml:space="preserve"> </w:t>
            </w:r>
          </w:p>
          <w:p>
            <w:pPr>
              <w:widowControl/>
              <w:adjustRightInd/>
              <w:spacing w:line="360" w:lineRule="auto"/>
              <w:jc w:val="center"/>
              <w:rPr>
                <w:kern w:val="0"/>
                <w:szCs w:val="20"/>
              </w:rPr>
            </w:pPr>
            <w:r>
              <w:rPr>
                <w:kern w:val="0"/>
                <w:sz w:val="28"/>
                <w:szCs w:val="28"/>
              </w:rPr>
              <w:t>评估项目负责人：</w:t>
            </w:r>
            <w:r>
              <w:rPr>
                <w:kern w:val="0"/>
                <w:szCs w:val="20"/>
              </w:rPr>
              <w:t xml:space="preserve"> </w:t>
            </w:r>
          </w:p>
          <w:p>
            <w:pPr>
              <w:widowControl/>
              <w:adjustRightInd/>
              <w:jc w:val="center"/>
              <w:rPr>
                <w:kern w:val="0"/>
                <w:szCs w:val="20"/>
              </w:rPr>
            </w:pPr>
          </w:p>
          <w:p>
            <w:pPr>
              <w:widowControl/>
              <w:adjustRightInd/>
              <w:jc w:val="center"/>
              <w:rPr>
                <w:kern w:val="0"/>
                <w:szCs w:val="20"/>
              </w:rPr>
            </w:pPr>
          </w:p>
          <w:p>
            <w:pPr>
              <w:widowControl/>
              <w:adjustRightInd/>
              <w:jc w:val="center"/>
              <w:rPr>
                <w:kern w:val="0"/>
                <w:szCs w:val="20"/>
              </w:rPr>
            </w:pPr>
          </w:p>
          <w:p>
            <w:pPr>
              <w:widowControl/>
              <w:adjustRightInd/>
              <w:jc w:val="center"/>
              <w:rPr>
                <w:kern w:val="0"/>
                <w:szCs w:val="20"/>
              </w:rPr>
            </w:pPr>
            <w:r>
              <w:rPr>
                <w:b/>
                <w:bCs/>
                <w:kern w:val="0"/>
                <w:sz w:val="24"/>
                <w:szCs w:val="24"/>
              </w:rPr>
              <w:t>评估报告完成日期</w:t>
            </w:r>
          </w:p>
          <w:p>
            <w:pPr>
              <w:widowControl/>
              <w:adjustRightInd/>
              <w:jc w:val="center"/>
              <w:rPr>
                <w:kern w:val="0"/>
                <w:szCs w:val="20"/>
              </w:rPr>
            </w:pPr>
          </w:p>
          <w:p>
            <w:pPr>
              <w:widowControl/>
              <w:adjustRightInd/>
              <w:jc w:val="center"/>
              <w:rPr>
                <w:kern w:val="0"/>
                <w:szCs w:val="20"/>
              </w:rPr>
            </w:pPr>
            <w:r>
              <w:rPr>
                <w:kern w:val="0"/>
                <w:szCs w:val="20"/>
              </w:rPr>
              <w:t>（单位公章）</w:t>
            </w:r>
          </w:p>
          <w:p>
            <w:pPr>
              <w:widowControl/>
              <w:adjustRightInd/>
              <w:jc w:val="center"/>
              <w:rPr>
                <w:kern w:val="0"/>
                <w:szCs w:val="20"/>
              </w:rPr>
            </w:pPr>
          </w:p>
          <w:p>
            <w:pPr>
              <w:pStyle w:val="56"/>
              <w:ind w:firstLine="0" w:firstLineChars="0"/>
            </w:pPr>
          </w:p>
        </w:tc>
      </w:tr>
      <w:bookmarkEnd w:id="137"/>
    </w:tbl>
    <w:p>
      <w:pPr>
        <w:pStyle w:val="83"/>
        <w:spacing w:before="120" w:after="120"/>
      </w:pPr>
      <w:r>
        <w:rPr>
          <w:rFonts w:hint="eastAsia"/>
        </w:rPr>
        <w:t>著录项首页样张</w:t>
      </w:r>
    </w:p>
    <w:bookmarkEnd w:id="119"/>
    <w:p>
      <w:pPr>
        <w:pStyle w:val="56"/>
        <w:ind w:firstLine="0" w:firstLineChars="0"/>
        <w:sectPr>
          <w:pgSz w:w="11906" w:h="16838"/>
          <w:pgMar w:top="1928" w:right="1134" w:bottom="1134" w:left="1134" w:header="1418" w:footer="1134" w:gutter="284"/>
          <w:cols w:space="425" w:num="1"/>
          <w:formProt w:val="0"/>
          <w:docGrid w:linePitch="312" w:charSpace="0"/>
        </w:sectPr>
      </w:pPr>
      <w:bookmarkStart w:id="138" w:name="BookMark6"/>
    </w:p>
    <w:p>
      <w:pPr>
        <w:pStyle w:val="63"/>
        <w:spacing w:after="120"/>
      </w:pPr>
      <w:r>
        <w:rPr>
          <w:rFonts w:hint="eastAsia"/>
          <w:spacing w:val="105"/>
        </w:rPr>
        <w:t>参考文</w:t>
      </w:r>
      <w:r>
        <w:rPr>
          <w:rFonts w:hint="eastAsia"/>
        </w:rPr>
        <w:t>献</w:t>
      </w:r>
    </w:p>
    <w:bookmarkEnd w:id="138"/>
    <w:p>
      <w:pPr>
        <w:pStyle w:val="56"/>
        <w:ind w:firstLine="420"/>
        <w:rPr>
          <w:szCs w:val="21"/>
        </w:rPr>
      </w:pPr>
      <w:bookmarkStart w:id="139" w:name="BookMark8"/>
      <w:r>
        <w:rPr>
          <w:rFonts w:hint="eastAsia" w:hAnsi="宋体"/>
        </w:rPr>
        <w:t>[1]</w:t>
      </w:r>
      <w:r>
        <w:rPr>
          <w:rFonts w:hint="eastAsia"/>
        </w:rPr>
        <w:t xml:space="preserve">  </w:t>
      </w:r>
      <w:r>
        <w:rPr>
          <w:rFonts w:hint="eastAsia" w:hAnsi="宋体"/>
        </w:rPr>
        <w:t xml:space="preserve">GB/T 24353 </w:t>
      </w:r>
      <w:r>
        <w:rPr>
          <w:rFonts w:hint="eastAsia"/>
        </w:rPr>
        <w:t xml:space="preserve"> </w:t>
      </w:r>
      <w:r>
        <w:rPr>
          <w:rFonts w:hint="eastAsia" w:hAnsi="宋体"/>
        </w:rPr>
        <w:t>风险管理</w:t>
      </w:r>
      <w:r>
        <w:rPr>
          <w:rFonts w:hint="eastAsia"/>
        </w:rPr>
        <w:t xml:space="preserve">  </w:t>
      </w:r>
      <w:r>
        <w:rPr>
          <w:rFonts w:hint="eastAsia" w:hAnsi="宋体"/>
        </w:rPr>
        <w:t>原则与实施指南</w:t>
      </w:r>
    </w:p>
    <w:p>
      <w:pPr>
        <w:pStyle w:val="56"/>
        <w:ind w:firstLine="420"/>
      </w:pPr>
      <w:r>
        <w:rPr>
          <w:rFonts w:hint="eastAsia" w:hAnsi="宋体"/>
        </w:rPr>
        <w:t>[</w:t>
      </w:r>
      <w:r>
        <w:rPr>
          <w:rFonts w:hint="eastAsia"/>
        </w:rPr>
        <w:t>2</w:t>
      </w:r>
      <w:r>
        <w:rPr>
          <w:rFonts w:hint="eastAsia" w:hAnsi="宋体"/>
        </w:rPr>
        <w:t xml:space="preserve">] </w:t>
      </w:r>
      <w:r>
        <w:rPr>
          <w:rFonts w:hint="eastAsia"/>
        </w:rPr>
        <w:t xml:space="preserve"> </w:t>
      </w:r>
      <w:r>
        <w:rPr>
          <w:rFonts w:hint="eastAsia" w:hAnsi="宋体"/>
        </w:rPr>
        <w:t>国务院安委会办公室关于实施遏制重特大事故工作指南构建双重预防机制的意见</w:t>
      </w:r>
      <w:r>
        <w:rPr>
          <w:rFonts w:hint="eastAsia"/>
        </w:rPr>
        <w:t xml:space="preserve">  </w:t>
      </w:r>
      <w:r>
        <w:rPr>
          <w:rFonts w:hint="eastAsia" w:hAnsi="宋体"/>
        </w:rPr>
        <w:t>国务院安委会办公室第11号〔2016〕</w:t>
      </w:r>
    </w:p>
    <w:p>
      <w:pPr>
        <w:pStyle w:val="56"/>
        <w:ind w:firstLine="420"/>
      </w:pPr>
      <w:r>
        <w:rPr>
          <w:rFonts w:hint="eastAsia" w:hAnsi="宋体"/>
        </w:rPr>
        <w:t>[</w:t>
      </w:r>
      <w:r>
        <w:rPr>
          <w:rFonts w:hint="eastAsia"/>
        </w:rPr>
        <w:t>3</w:t>
      </w:r>
      <w:r>
        <w:rPr>
          <w:rFonts w:hint="eastAsia" w:hAnsi="宋体"/>
        </w:rPr>
        <w:t xml:space="preserve">] </w:t>
      </w:r>
      <w:r>
        <w:rPr>
          <w:rFonts w:hint="eastAsia"/>
        </w:rPr>
        <w:t xml:space="preserve"> </w:t>
      </w:r>
      <w:r>
        <w:rPr>
          <w:rFonts w:hint="eastAsia" w:hAnsi="宋体"/>
        </w:rPr>
        <w:t xml:space="preserve">工贸行业较大危险因素辨识与防范指导手册（2016版） </w:t>
      </w:r>
      <w:r>
        <w:rPr>
          <w:rFonts w:hint="eastAsia"/>
        </w:rPr>
        <w:t xml:space="preserve"> </w:t>
      </w:r>
      <w:r>
        <w:rPr>
          <w:rFonts w:hint="eastAsia" w:hAnsi="宋体"/>
        </w:rPr>
        <w:t>国家安全监管总局关于印发开展工贸企业较大危险因素辨识管控提升防范事故能力行动计划的通知</w:t>
      </w:r>
      <w:r>
        <w:rPr>
          <w:rFonts w:hint="eastAsia"/>
        </w:rPr>
        <w:t xml:space="preserve">  </w:t>
      </w:r>
      <w:r>
        <w:rPr>
          <w:rFonts w:hint="eastAsia" w:hAnsi="宋体"/>
        </w:rPr>
        <w:t>安监总管</w:t>
      </w:r>
      <w:r>
        <w:rPr>
          <w:rFonts w:hint="eastAsia" w:hAnsi="宋体"/>
          <w:lang w:eastAsia="zh-CN"/>
        </w:rPr>
        <w:t>司</w:t>
      </w:r>
      <w:r>
        <w:rPr>
          <w:rFonts w:hint="eastAsia" w:hAnsi="宋体"/>
        </w:rPr>
        <w:t>〔2016〕31号</w:t>
      </w:r>
    </w:p>
    <w:p>
      <w:pPr>
        <w:pStyle w:val="56"/>
        <w:ind w:firstLine="420"/>
      </w:pPr>
      <w:r>
        <w:rPr>
          <w:rFonts w:hint="eastAsia" w:hAnsi="宋体"/>
        </w:rPr>
        <w:t>[</w:t>
      </w:r>
      <w:r>
        <w:rPr>
          <w:rFonts w:hint="eastAsia"/>
        </w:rPr>
        <w:t>4</w:t>
      </w:r>
      <w:r>
        <w:rPr>
          <w:rFonts w:hint="eastAsia" w:hAnsi="宋体"/>
        </w:rPr>
        <w:t>]</w:t>
      </w:r>
      <w:r>
        <w:rPr>
          <w:rFonts w:hint="eastAsia"/>
        </w:rPr>
        <w:t xml:space="preserve">  </w:t>
      </w:r>
      <w:r>
        <w:rPr>
          <w:rFonts w:hint="eastAsia" w:hAnsi="宋体"/>
        </w:rPr>
        <w:t>工贸企业重大事故隐患判定标准</w:t>
      </w:r>
      <w:r>
        <w:rPr>
          <w:rFonts w:hint="eastAsia"/>
        </w:rPr>
        <w:t xml:space="preserve">  </w:t>
      </w:r>
      <w:r>
        <w:rPr>
          <w:rFonts w:hint="eastAsia" w:hAnsi="宋体"/>
        </w:rPr>
        <w:t>中华人民共和国应急管理部令</w:t>
      </w:r>
      <w:r>
        <w:t xml:space="preserve">  </w:t>
      </w:r>
      <w:r>
        <w:rPr>
          <w:rFonts w:hint="eastAsia" w:hAnsi="宋体"/>
        </w:rPr>
        <w:t>第10号</w:t>
      </w:r>
    </w:p>
    <w:p>
      <w:pPr>
        <w:pStyle w:val="56"/>
        <w:ind w:firstLine="0" w:firstLineChars="0"/>
        <w:jc w:val="center"/>
      </w:pPr>
      <w:r>
        <w:rPr>
          <w:rFonts w:hint="eastAsia"/>
        </w:rPr>
        <w:t xml:space="preserve"> </w:t>
      </w:r>
      <w:r>
        <w:rPr>
          <w:rFonts w:hint="eastAsia"/>
        </w:rPr>
        <w:drawing>
          <wp:inline distT="0" distB="0" distL="0" distR="0">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39"/>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5</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1"/>
    </w:pPr>
    <w:r>
      <w:fldChar w:fldCharType="begin"/>
    </w:r>
    <w:r>
      <w:instrText xml:space="preserve"> PAGE   \* MERGEFORMAT \* MERGEFORMAT </w:instrText>
    </w:r>
    <w:r>
      <w:fldChar w:fldCharType="separate"/>
    </w:r>
    <w: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T/GXAS XXXX—XXXX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1136"/>
        </w:tabs>
        <w:ind w:left="1136"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黑体"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hAns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attachedTemplate r:id="rId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3NDJiNjllOGFlYTk4OTJjZTM4MmRlNzI0NzNiNzcifQ=="/>
  </w:docVars>
  <w:rsids>
    <w:rsidRoot w:val="007E5096"/>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27319"/>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B78"/>
    <w:rsid w:val="00077B64"/>
    <w:rsid w:val="00080A1C"/>
    <w:rsid w:val="00082317"/>
    <w:rsid w:val="00083D2C"/>
    <w:rsid w:val="00086279"/>
    <w:rsid w:val="00086AA1"/>
    <w:rsid w:val="00087A77"/>
    <w:rsid w:val="00090CA6"/>
    <w:rsid w:val="00092B8A"/>
    <w:rsid w:val="00092FB0"/>
    <w:rsid w:val="000934C5"/>
    <w:rsid w:val="00093D25"/>
    <w:rsid w:val="00093DAB"/>
    <w:rsid w:val="00094D73"/>
    <w:rsid w:val="00096D63"/>
    <w:rsid w:val="00097D88"/>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638"/>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A4D"/>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5D0"/>
    <w:rsid w:val="001F77C7"/>
    <w:rsid w:val="00200183"/>
    <w:rsid w:val="00200333"/>
    <w:rsid w:val="0020107D"/>
    <w:rsid w:val="00202AA4"/>
    <w:rsid w:val="002031F7"/>
    <w:rsid w:val="002040E6"/>
    <w:rsid w:val="0020527B"/>
    <w:rsid w:val="00205F2C"/>
    <w:rsid w:val="002104B8"/>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65C"/>
    <w:rsid w:val="002C7EBB"/>
    <w:rsid w:val="002D06C1"/>
    <w:rsid w:val="002D1B3D"/>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2B2C"/>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4197"/>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0F30"/>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819"/>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9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4B2A"/>
    <w:rsid w:val="004659BD"/>
    <w:rsid w:val="00470775"/>
    <w:rsid w:val="00473911"/>
    <w:rsid w:val="004746B1"/>
    <w:rsid w:val="0047583F"/>
    <w:rsid w:val="00475DE8"/>
    <w:rsid w:val="00481C44"/>
    <w:rsid w:val="00482D9C"/>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54C"/>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93A"/>
    <w:rsid w:val="00561475"/>
    <w:rsid w:val="00562308"/>
    <w:rsid w:val="0056487B"/>
    <w:rsid w:val="00564FB9"/>
    <w:rsid w:val="00573D9E"/>
    <w:rsid w:val="005801E3"/>
    <w:rsid w:val="00580F27"/>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679A6"/>
    <w:rsid w:val="00667FEA"/>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65C"/>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62E"/>
    <w:rsid w:val="00765C43"/>
    <w:rsid w:val="00765EFB"/>
    <w:rsid w:val="007671CA"/>
    <w:rsid w:val="007679C9"/>
    <w:rsid w:val="00767C61"/>
    <w:rsid w:val="0077008A"/>
    <w:rsid w:val="00771F62"/>
    <w:rsid w:val="00773C1F"/>
    <w:rsid w:val="00774DA4"/>
    <w:rsid w:val="00776599"/>
    <w:rsid w:val="0078114B"/>
    <w:rsid w:val="00781DD2"/>
    <w:rsid w:val="00783ECF"/>
    <w:rsid w:val="0078413A"/>
    <w:rsid w:val="0078570F"/>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5096"/>
    <w:rsid w:val="007F0ED8"/>
    <w:rsid w:val="007F0F63"/>
    <w:rsid w:val="007F2459"/>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47895"/>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18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297A"/>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D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142A"/>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0E3D"/>
    <w:rsid w:val="00A129D0"/>
    <w:rsid w:val="00A12C33"/>
    <w:rsid w:val="00A12F40"/>
    <w:rsid w:val="00A138BA"/>
    <w:rsid w:val="00A14C8E"/>
    <w:rsid w:val="00A153D9"/>
    <w:rsid w:val="00A1597B"/>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0CCE"/>
    <w:rsid w:val="00A83D8D"/>
    <w:rsid w:val="00A8446B"/>
    <w:rsid w:val="00A8473F"/>
    <w:rsid w:val="00A862D6"/>
    <w:rsid w:val="00A8715E"/>
    <w:rsid w:val="00A9295B"/>
    <w:rsid w:val="00A93414"/>
    <w:rsid w:val="00A93B09"/>
    <w:rsid w:val="00A952D7"/>
    <w:rsid w:val="00A963F7"/>
    <w:rsid w:val="00A96AD8"/>
    <w:rsid w:val="00AA052C"/>
    <w:rsid w:val="00AA1E45"/>
    <w:rsid w:val="00AA4286"/>
    <w:rsid w:val="00AA456B"/>
    <w:rsid w:val="00AA4AF5"/>
    <w:rsid w:val="00AA57F5"/>
    <w:rsid w:val="00AA672E"/>
    <w:rsid w:val="00AA6EC9"/>
    <w:rsid w:val="00AB6309"/>
    <w:rsid w:val="00AB6C5F"/>
    <w:rsid w:val="00AB7129"/>
    <w:rsid w:val="00AB7E6D"/>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3CFA"/>
    <w:rsid w:val="00B147DD"/>
    <w:rsid w:val="00B156FD"/>
    <w:rsid w:val="00B21F61"/>
    <w:rsid w:val="00B261F1"/>
    <w:rsid w:val="00B265BC"/>
    <w:rsid w:val="00B30303"/>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217C"/>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5A9"/>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66D87"/>
    <w:rsid w:val="00C71372"/>
    <w:rsid w:val="00C72410"/>
    <w:rsid w:val="00C7287F"/>
    <w:rsid w:val="00C80CB8"/>
    <w:rsid w:val="00C819F8"/>
    <w:rsid w:val="00C8248C"/>
    <w:rsid w:val="00C84E33"/>
    <w:rsid w:val="00C85814"/>
    <w:rsid w:val="00C86D6F"/>
    <w:rsid w:val="00C874CB"/>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1D7B"/>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0C27"/>
    <w:rsid w:val="00D32719"/>
    <w:rsid w:val="00D33333"/>
    <w:rsid w:val="00D33A0B"/>
    <w:rsid w:val="00D352A2"/>
    <w:rsid w:val="00D4162B"/>
    <w:rsid w:val="00D4514F"/>
    <w:rsid w:val="00D451E2"/>
    <w:rsid w:val="00D45AF6"/>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0E0B"/>
    <w:rsid w:val="00E01138"/>
    <w:rsid w:val="00E01E7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39D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33E6E"/>
    <w:rsid w:val="00F420D5"/>
    <w:rsid w:val="00F451EA"/>
    <w:rsid w:val="00F45447"/>
    <w:rsid w:val="00F456C6"/>
    <w:rsid w:val="00F4577B"/>
    <w:rsid w:val="00F46496"/>
    <w:rsid w:val="00F474D0"/>
    <w:rsid w:val="00F475ED"/>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976"/>
    <w:rsid w:val="00FB0CB9"/>
    <w:rsid w:val="00FB231D"/>
    <w:rsid w:val="00FB45F1"/>
    <w:rsid w:val="00FB4A72"/>
    <w:rsid w:val="00FB54E8"/>
    <w:rsid w:val="00FB7054"/>
    <w:rsid w:val="00FC17B7"/>
    <w:rsid w:val="00FC2CB7"/>
    <w:rsid w:val="00FC4090"/>
    <w:rsid w:val="00FC55B4"/>
    <w:rsid w:val="00FC79A1"/>
    <w:rsid w:val="00FD00E6"/>
    <w:rsid w:val="00FD09A1"/>
    <w:rsid w:val="00FD2A7C"/>
    <w:rsid w:val="00FD59EB"/>
    <w:rsid w:val="00FD7299"/>
    <w:rsid w:val="00FE1FBE"/>
    <w:rsid w:val="00FE3901"/>
    <w:rsid w:val="00FE39D3"/>
    <w:rsid w:val="00FE4BCE"/>
    <w:rsid w:val="00FE54AE"/>
    <w:rsid w:val="00FE576A"/>
    <w:rsid w:val="00FE7E79"/>
    <w:rsid w:val="00FF0ED0"/>
    <w:rsid w:val="00FF3E7D"/>
    <w:rsid w:val="00FF5B99"/>
    <w:rsid w:val="00FF730C"/>
    <w:rsid w:val="00FF73F4"/>
    <w:rsid w:val="00FF7CE4"/>
    <w:rsid w:val="00FF7E39"/>
    <w:rsid w:val="1F840345"/>
    <w:rsid w:val="28DE46E7"/>
    <w:rsid w:val="376C09C3"/>
    <w:rsid w:val="41C05A31"/>
    <w:rsid w:val="5A7D11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b/>
      <w:bCs/>
      <w:kern w:val="44"/>
      <w:sz w:val="44"/>
      <w:szCs w:val="44"/>
    </w:rPr>
  </w:style>
  <w:style w:type="character" w:customStyle="1" w:styleId="35">
    <w:name w:val="标题 2 字符"/>
    <w:link w:val="3"/>
    <w:qFormat/>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qFormat/>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qFormat/>
    <w:uiPriority w:val="0"/>
    <w:rPr>
      <w:rFonts w:ascii="Arial" w:hAnsi="Arial" w:eastAsia="黑体"/>
      <w:b/>
      <w:bCs/>
      <w:kern w:val="2"/>
      <w:sz w:val="24"/>
      <w:szCs w:val="24"/>
    </w:rPr>
  </w:style>
  <w:style w:type="character" w:customStyle="1" w:styleId="40">
    <w:name w:val="标题 7 字符"/>
    <w:link w:val="8"/>
    <w:qFormat/>
    <w:uiPriority w:val="0"/>
    <w:rPr>
      <w:b/>
      <w:bCs/>
      <w:kern w:val="2"/>
      <w:sz w:val="24"/>
      <w:szCs w:val="24"/>
    </w:rPr>
  </w:style>
  <w:style w:type="character" w:customStyle="1" w:styleId="41">
    <w:name w:val="标题 8 字符"/>
    <w:link w:val="9"/>
    <w:qFormat/>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qFormat/>
    <w:uiPriority w:val="0"/>
    <w:pPr>
      <w:adjustRightInd/>
      <w:spacing w:line="240" w:lineRule="auto"/>
      <w:jc w:val="left"/>
    </w:pPr>
    <w:rPr>
      <w:bCs/>
      <w:iCs/>
    </w:rPr>
  </w:style>
  <w:style w:type="paragraph" w:customStyle="1" w:styleId="143">
    <w:name w:val="目录 31"/>
    <w:basedOn w:val="1"/>
    <w:next w:val="1"/>
    <w:semiHidden/>
    <w:qFormat/>
    <w:uiPriority w:val="0"/>
    <w:pPr>
      <w:spacing w:line="240" w:lineRule="auto"/>
    </w:pPr>
    <w:rPr>
      <w:rFonts w:ascii="宋体" w:hAnsi="宋体"/>
      <w:iCs/>
    </w:rPr>
  </w:style>
  <w:style w:type="paragraph" w:customStyle="1" w:styleId="144">
    <w:name w:val="目录 41"/>
    <w:basedOn w:val="1"/>
    <w:next w:val="1"/>
    <w:semiHidden/>
    <w:qFormat/>
    <w:uiPriority w:val="0"/>
    <w:pPr>
      <w:adjustRightInd/>
      <w:spacing w:line="240" w:lineRule="auto"/>
      <w:jc w:val="left"/>
    </w:pPr>
  </w:style>
  <w:style w:type="paragraph" w:customStyle="1" w:styleId="145">
    <w:name w:val="目录 51"/>
    <w:basedOn w:val="1"/>
    <w:next w:val="1"/>
    <w:semiHidden/>
    <w:qFormat/>
    <w:uiPriority w:val="0"/>
    <w:pPr>
      <w:spacing w:line="240" w:lineRule="auto"/>
    </w:pPr>
    <w:rPr>
      <w:rFonts w:ascii="宋体" w:hAnsi="宋体"/>
    </w:rPr>
  </w:style>
  <w:style w:type="paragraph" w:customStyle="1" w:styleId="146">
    <w:name w:val="目录 61"/>
    <w:basedOn w:val="1"/>
    <w:next w:val="1"/>
    <w:semiHidden/>
    <w:qFormat/>
    <w:uiPriority w:val="0"/>
    <w:pPr>
      <w:adjustRightInd/>
      <w:spacing w:line="240" w:lineRule="auto"/>
      <w:jc w:val="left"/>
    </w:pPr>
  </w:style>
  <w:style w:type="paragraph" w:customStyle="1" w:styleId="147">
    <w:name w:val="目录 71"/>
    <w:basedOn w:val="146"/>
    <w:semiHidden/>
    <w:qFormat/>
    <w:uiPriority w:val="0"/>
    <w:pPr>
      <w:ind w:left="1260"/>
    </w:pPr>
  </w:style>
  <w:style w:type="paragraph" w:customStyle="1" w:styleId="148">
    <w:name w:val="目录 81"/>
    <w:basedOn w:val="147"/>
    <w:semiHidden/>
    <w:qFormat/>
    <w:uiPriority w:val="0"/>
    <w:pPr>
      <w:ind w:left="1470"/>
    </w:pPr>
  </w:style>
  <w:style w:type="paragraph" w:customStyle="1" w:styleId="149">
    <w:name w:val="目录 91"/>
    <w:basedOn w:val="148"/>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 w:type="paragraph" w:customStyle="1" w:styleId="230">
    <w:name w:val="正文1"/>
    <w:qFormat/>
    <w:uiPriority w:val="0"/>
    <w:pPr>
      <w:jc w:val="both"/>
    </w:pPr>
    <w:rPr>
      <w:rFonts w:ascii="Calibri" w:hAnsi="Calibri" w:eastAsia="宋体" w:cs="宋体"/>
      <w:kern w:val="2"/>
      <w:sz w:val="21"/>
      <w:szCs w:val="21"/>
      <w:lang w:val="en-US" w:eastAsia="zh-CN" w:bidi="ar-SA"/>
    </w:rPr>
  </w:style>
  <w:style w:type="paragraph" w:customStyle="1" w:styleId="231">
    <w:name w:val="Normal"/>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glossaryDocument" Target="glossary/document.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3.jpeg"/><Relationship Id="rId21" Type="http://schemas.openxmlformats.org/officeDocument/2006/relationships/image" Target="media/image2.png"/><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7257A6B785C45D49893DCC163C0B63D"/>
        <w:style w:val=""/>
        <w:category>
          <w:name w:val="常规"/>
          <w:gallery w:val="placeholder"/>
        </w:category>
        <w:types>
          <w:type w:val="bbPlcHdr"/>
        </w:types>
        <w:behaviors>
          <w:behavior w:val="content"/>
        </w:behaviors>
        <w:description w:val=""/>
        <w:guid w:val="{A1D5CF61-5B1C-482E-8F4A-B7AEC9098866}"/>
      </w:docPartPr>
      <w:docPartBody>
        <w:p>
          <w:pPr>
            <w:pStyle w:val="5"/>
          </w:pPr>
          <w:r>
            <w:rPr>
              <w:rStyle w:val="4"/>
              <w:rFonts w:hint="eastAsia"/>
            </w:rPr>
            <w:t>单击或点击此处输入文字。</w:t>
          </w:r>
        </w:p>
      </w:docPartBody>
    </w:docPart>
    <w:docPart>
      <w:docPartPr>
        <w:name w:val="BC7E5BB051914270942D325239902288"/>
        <w:style w:val=""/>
        <w:category>
          <w:name w:val="常规"/>
          <w:gallery w:val="placeholder"/>
        </w:category>
        <w:types>
          <w:type w:val="bbPlcHdr"/>
        </w:types>
        <w:behaviors>
          <w:behavior w:val="content"/>
        </w:behaviors>
        <w:description w:val=""/>
        <w:guid w:val="{1DE5B538-E7A9-4271-B4D9-7DEEA78CCD65}"/>
      </w:docPartPr>
      <w:docPartBody>
        <w:p>
          <w:pPr>
            <w:pStyle w:val="6"/>
          </w:pPr>
          <w:r>
            <w:rPr>
              <w:rStyle w:val="4"/>
              <w:rFonts w:hint="eastAsia"/>
            </w:rPr>
            <w:t>选择一项。</w:t>
          </w:r>
        </w:p>
      </w:docPartBody>
    </w:docPart>
    <w:docPart>
      <w:docPartPr>
        <w:name w:val="A4F0EF2E4B3A4B2F99D9D340859D97AF"/>
        <w:style w:val=""/>
        <w:category>
          <w:name w:val="常规"/>
          <w:gallery w:val="placeholder"/>
        </w:category>
        <w:types>
          <w:type w:val="bbPlcHdr"/>
        </w:types>
        <w:behaviors>
          <w:behavior w:val="content"/>
        </w:behaviors>
        <w:description w:val=""/>
        <w:guid w:val="{BA453A28-D8EB-438F-9803-CE9A75EB3826}"/>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72A4"/>
    <w:rsid w:val="003609F6"/>
    <w:rsid w:val="004170BE"/>
    <w:rsid w:val="00637B6F"/>
    <w:rsid w:val="00734A9A"/>
    <w:rsid w:val="007424C7"/>
    <w:rsid w:val="00D513E8"/>
    <w:rsid w:val="00E672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A7257A6B785C45D49893DCC163C0B63D"/>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C7E5BB051914270942D32523990228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A4F0EF2E4B3A4B2F99D9D340859D97AF"/>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7B6EAB-637E-4C85-88C8-C1DF2FBE8B23}">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36</Pages>
  <Words>3161</Words>
  <Characters>18019</Characters>
  <Lines>150</Lines>
  <Paragraphs>42</Paragraphs>
  <TotalTime>46</TotalTime>
  <ScaleCrop>false</ScaleCrop>
  <LinksUpToDate>false</LinksUpToDate>
  <CharactersWithSpaces>21138</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2023-07-26T00:45:00Z</dcterms:created>
  <dc:creator>微软用户</dc:creator>
  <dc:description>&lt;config cover="true" show_menu="true" version="1.0.0" doctype="SDKXY"&gt;_x000d_
&lt;/config&gt;</dc:description>
  <cp:lastModifiedBy>Crazy——林仔</cp:lastModifiedBy>
  <cp:lastPrinted>2021-02-02T08:22:00Z</cp:lastPrinted>
  <dcterms:modified xsi:type="dcterms:W3CDTF">2023-12-28T09:28:10Z</dcterms:modified>
  <dc:title>团体标准</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2052-12.1.0.15990</vt:lpwstr>
  </property>
  <property fmtid="{D5CDD505-2E9C-101B-9397-08002B2CF9AE}" pid="16" name="ICV">
    <vt:lpwstr>51C2A76E8568404395DB7076E97821D5_12</vt:lpwstr>
  </property>
</Properties>
</file>