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126" w:rsidRDefault="00DE626B">
      <w:pPr>
        <w:spacing w:line="560" w:lineRule="exact"/>
        <w:jc w:val="center"/>
        <w:rPr>
          <w:rFonts w:ascii="黑体" w:eastAsia="黑体" w:hAnsi="黑体" w:cs="黑体"/>
          <w:color w:val="000000"/>
          <w:sz w:val="44"/>
          <w:szCs w:val="44"/>
        </w:rPr>
      </w:pPr>
      <w:r>
        <w:rPr>
          <w:rFonts w:ascii="黑体" w:eastAsia="黑体" w:hAnsi="黑体" w:cs="黑体" w:hint="eastAsia"/>
          <w:color w:val="000000"/>
          <w:sz w:val="44"/>
          <w:szCs w:val="44"/>
        </w:rPr>
        <w:t>团体标准《缺血性中风诊疗规范》（征求意见稿）编制说明</w:t>
      </w:r>
    </w:p>
    <w:p w:rsidR="00572126" w:rsidRDefault="00DE626B">
      <w:pPr>
        <w:pStyle w:val="af2"/>
        <w:ind w:firstLineChars="200" w:firstLine="640"/>
        <w:jc w:val="left"/>
        <w:rPr>
          <w:rFonts w:ascii="黑体" w:eastAsia="黑体" w:hAnsi="黑体"/>
          <w:b w:val="0"/>
        </w:rPr>
      </w:pPr>
      <w:r>
        <w:rPr>
          <w:rFonts w:ascii="黑体" w:eastAsia="黑体" w:hAnsi="黑体" w:hint="eastAsia"/>
          <w:b w:val="0"/>
        </w:rPr>
        <w:t>一、项目来源</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根据《广西标准化协会关于下达2024年第一批团体标准制</w:t>
      </w:r>
      <w:proofErr w:type="gramStart"/>
      <w:r>
        <w:rPr>
          <w:rFonts w:ascii="仿宋" w:eastAsia="仿宋" w:hAnsi="仿宋" w:hint="eastAsia"/>
          <w:sz w:val="32"/>
          <w:szCs w:val="32"/>
        </w:rPr>
        <w:t>修定</w:t>
      </w:r>
      <w:proofErr w:type="gramEnd"/>
      <w:r>
        <w:rPr>
          <w:rFonts w:ascii="仿宋" w:eastAsia="仿宋" w:hAnsi="仿宋" w:hint="eastAsia"/>
          <w:sz w:val="32"/>
          <w:szCs w:val="32"/>
        </w:rPr>
        <w:t>项目计划的通知》（</w:t>
      </w:r>
      <w:proofErr w:type="gramStart"/>
      <w:r>
        <w:rPr>
          <w:rFonts w:ascii="仿宋" w:eastAsia="仿宋" w:hAnsi="仿宋" w:hint="eastAsia"/>
          <w:sz w:val="32"/>
          <w:szCs w:val="32"/>
        </w:rPr>
        <w:t>桂标协〔2024〕</w:t>
      </w:r>
      <w:proofErr w:type="gramEnd"/>
      <w:r>
        <w:rPr>
          <w:rFonts w:ascii="仿宋" w:eastAsia="仿宋" w:hAnsi="仿宋" w:hint="eastAsia"/>
          <w:sz w:val="32"/>
          <w:szCs w:val="32"/>
        </w:rPr>
        <w:t>8号）文件精神，，由广西中医药大学第一附属医院提出，广西中医药大学第一附属医院、广西中医药大学附属瑞康医院、广西中医药大学附属国际壮</w:t>
      </w:r>
      <w:proofErr w:type="gramStart"/>
      <w:r>
        <w:rPr>
          <w:rFonts w:ascii="仿宋" w:eastAsia="仿宋" w:hAnsi="仿宋" w:hint="eastAsia"/>
          <w:sz w:val="32"/>
          <w:szCs w:val="32"/>
        </w:rPr>
        <w:t>医</w:t>
      </w:r>
      <w:proofErr w:type="gramEnd"/>
      <w:r>
        <w:rPr>
          <w:rFonts w:ascii="仿宋" w:eastAsia="仿宋" w:hAnsi="仿宋" w:hint="eastAsia"/>
          <w:sz w:val="32"/>
          <w:szCs w:val="32"/>
        </w:rPr>
        <w:t>医院等单位共同起草的团体标准《缺血性中风诊疗规范》（2024-0113）获批立项。</w:t>
      </w:r>
    </w:p>
    <w:p w:rsidR="00572126" w:rsidRDefault="00DE626B">
      <w:pPr>
        <w:pStyle w:val="af2"/>
        <w:ind w:firstLineChars="200" w:firstLine="640"/>
        <w:jc w:val="left"/>
        <w:rPr>
          <w:rFonts w:ascii="黑体" w:eastAsia="黑体" w:hAnsi="黑体"/>
          <w:b w:val="0"/>
        </w:rPr>
      </w:pPr>
      <w:r>
        <w:rPr>
          <w:rFonts w:ascii="黑体" w:eastAsia="黑体" w:hAnsi="黑体" w:hint="eastAsia"/>
          <w:b w:val="0"/>
        </w:rPr>
        <w:t>二、项目背景及目的意义</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健康是促进人的全面发展的必然要求，是经济社会发展的基础条件，党和国家历来高度重视人民健康。2016年，中共中央、国务院印发《“健康中国2030”规划纲要》强调要强化慢性病筛查和早期发现，针对高发地区重点癌症开展早诊早治工作，推动癌症、脑卒中、冠心病等慢性病的机会性筛查。要基本实现高血压、糖尿病患者管理</w:t>
      </w:r>
      <w:proofErr w:type="gramStart"/>
      <w:r>
        <w:rPr>
          <w:rFonts w:ascii="仿宋" w:eastAsia="仿宋" w:hAnsi="仿宋" w:hint="eastAsia"/>
          <w:sz w:val="32"/>
          <w:szCs w:val="32"/>
        </w:rPr>
        <w:t>干预全</w:t>
      </w:r>
      <w:proofErr w:type="gramEnd"/>
      <w:r>
        <w:rPr>
          <w:rFonts w:ascii="仿宋" w:eastAsia="仿宋" w:hAnsi="仿宋" w:hint="eastAsia"/>
          <w:sz w:val="32"/>
          <w:szCs w:val="32"/>
        </w:rPr>
        <w:t>覆盖，逐步将符合条件的癌症、脑卒中等重大慢性病早诊早治适宜技术纳入诊疗常规。</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脑卒中是一种急性脑血管疾病，包括缺血性和出血性卒中，是我国居民致死、致残的第一大原因，有效防控脑卒中对实现健康中国及减少我国贫困人群的战略目标意义重大。2021年，为进一步指导脑卒中防治工作，提高防治工作规范化水平，国家卫健</w:t>
      </w:r>
      <w:proofErr w:type="gramStart"/>
      <w:r>
        <w:rPr>
          <w:rFonts w:ascii="仿宋" w:eastAsia="仿宋" w:hAnsi="仿宋" w:hint="eastAsia"/>
          <w:sz w:val="32"/>
          <w:szCs w:val="32"/>
        </w:rPr>
        <w:t>委</w:t>
      </w:r>
      <w:proofErr w:type="gramEnd"/>
      <w:r>
        <w:rPr>
          <w:rFonts w:ascii="仿宋" w:eastAsia="仿宋" w:hAnsi="仿宋" w:hint="eastAsia"/>
          <w:sz w:val="32"/>
          <w:szCs w:val="32"/>
        </w:rPr>
        <w:t>委托脑卒中防治工程委员会组织专家编</w:t>
      </w:r>
      <w:r>
        <w:rPr>
          <w:rFonts w:ascii="仿宋" w:eastAsia="仿宋" w:hAnsi="仿宋" w:hint="eastAsia"/>
          <w:sz w:val="32"/>
          <w:szCs w:val="32"/>
        </w:rPr>
        <w:lastRenderedPageBreak/>
        <w:t>制《中国脑卒中防治指导规范（2021年版）》，全面系统地阐述了脑卒中筛查干预、神经内科、神经外科、介入诊疗、患者康复与护理等脑卒中防控各方面的内容。2023年，国家卫生健康委、国家中医药管理局联合印发了《全面提升医疗质量行动计划（2023-2025年）》规范医疗技术管理。医疗机构全面梳理本机构医疗技术临床应用情况，以限制类技术、内镜和介入技术等为重点加强质量安全管理，强化新技术、新项目机构内准入管理，完善技术授权和动态管理等相应的管理制度及工作流程，在保障医疗质量安全的基础上，加强新技术临床应用和适宜技术推广。</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为进一步加强自治区脑卒中综合防治工作，降低脑卒中危害，保障人民群众健康权益，《自治区卫生计生委办公室关于印发广西脑卒中综合防治工作方案的通知》（</w:t>
      </w:r>
      <w:proofErr w:type="gramStart"/>
      <w:r>
        <w:rPr>
          <w:rFonts w:ascii="仿宋" w:eastAsia="仿宋" w:hAnsi="仿宋" w:hint="eastAsia"/>
          <w:sz w:val="32"/>
          <w:szCs w:val="32"/>
        </w:rPr>
        <w:t>桂卫办</w:t>
      </w:r>
      <w:proofErr w:type="gramEnd"/>
      <w:r>
        <w:rPr>
          <w:rFonts w:ascii="仿宋" w:eastAsia="仿宋" w:hAnsi="仿宋" w:hint="eastAsia"/>
          <w:sz w:val="32"/>
          <w:szCs w:val="32"/>
        </w:rPr>
        <w:t>发〔2017〕97号）提出将脑卒中防治作为健康广西建设的重点内容，逐步完善防治政策；加强体系建设，构建脑卒中全程管理服务模式等要求。2022年，《广西壮族自治区人民政府关于印发广西卫生健康发展“十四五”规划的通知》（桂政发〔2022〕15号）强调要深入实施健康广西行动，深入实施《“健康广西2030”规划》，提出要强化慢性病综合防控和伤害预防干预，做到重大疾病危害得到有效控制，重大慢性病发病率上升趋势得到遏制等。</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脑卒中（stroke）亦称脑血管意外（cerebrovascular accident，CVA）是指突然发生的、由脑血管病变引起的局限性或全脑功能障碍，持续超过24小时或引起的临床综合征。</w:t>
      </w:r>
      <w:r>
        <w:rPr>
          <w:rFonts w:ascii="仿宋" w:eastAsia="仿宋" w:hAnsi="仿宋" w:hint="eastAsia"/>
          <w:sz w:val="32"/>
          <w:szCs w:val="32"/>
        </w:rPr>
        <w:lastRenderedPageBreak/>
        <w:t>它包括脑梗死（cerebral infarction）、脑出血（intracerebral hemorrhage）和蛛网膜下腔出血（subarachnoid hemorrhage）。目前脑卒中已成为我国第一大死因，其中缺血性脑卒中，又称脑梗死，传统医学称为缺血性中风。</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根据最新公布的全球疾病负担研究数据显示，全球脑卒中患病人数估计超过1亿，我国超过八成患者的脑卒中类型是脑梗死，带病生存的脑卒中患者在我国多达1700多万。数据显示，我国40—74岁人群脑卒中发病率平均每年增长超过了8%，值得警惕的是，在我国，脑卒中不仅死亡率逐年上升，发病也在趋于年轻化，45岁以下人群的发病率已经超过总发病率的10%。我国脑卒中患病总人数已超过2800万，每5位死亡者中就至少有1人死于脑卒中，其中，缺血性中风占我国脑卒中的60％～70%。具有发病率高、致残率高、死亡率高和复发率高的特点。</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目前认为缺血性中风早期有效的治疗方法是血管再通治疗，包括静脉溶栓和血管内介入治疗，但血管再通治疗时间窗较短，血管内介入治疗需要医院具备数字减影血管造影机 (Digital subtraction angiography DSA)等相关设备，同时医生具备相关操作技术和手术经验，限制了此类治疗方法的广泛应用；急性</w:t>
      </w:r>
      <w:proofErr w:type="gramStart"/>
      <w:r>
        <w:rPr>
          <w:rFonts w:ascii="仿宋" w:eastAsia="仿宋" w:hAnsi="仿宋" w:hint="eastAsia"/>
          <w:sz w:val="32"/>
          <w:szCs w:val="32"/>
        </w:rPr>
        <w:t>期药物</w:t>
      </w:r>
      <w:proofErr w:type="gramEnd"/>
      <w:r>
        <w:rPr>
          <w:rFonts w:ascii="仿宋" w:eastAsia="仿宋" w:hAnsi="仿宋" w:hint="eastAsia"/>
          <w:sz w:val="32"/>
          <w:szCs w:val="32"/>
        </w:rPr>
        <w:t>治疗以抗血小板或抗凝、调脂、降压、降糖等药物治疗为主。目前缺血性中风治疗技术已有了长足进步，但仍未能解决缺血性中风复发率高和致残率高的难点。中医药通过辨证论治，个体化治疗针对性改善患者</w:t>
      </w:r>
      <w:r>
        <w:rPr>
          <w:rFonts w:ascii="仿宋" w:eastAsia="仿宋" w:hAnsi="仿宋" w:hint="eastAsia"/>
          <w:sz w:val="32"/>
          <w:szCs w:val="32"/>
        </w:rPr>
        <w:lastRenderedPageBreak/>
        <w:t>证候或症状，达到促进神经功能恢复，提高患者日常生活能力和生存质量的目的，临床应用具有较好的依从性。中西医结合治疗在脑梗死不同时期可发挥协同作用，大量临床研究和基础实验证实了其有效性和安全性。</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经编制组前期调研调查显示，广西地处中国地势第二阶梯中的云贵高原东南边缘，两广丘陵西部，气候温暖，雨水丰沛，天多炎热。有公开资料显示，脑血管病一直稳居广西人群死因顺位的第一位。对南宁市、钦州、贺州、河池4个市和天等、靖西、巴马、忻城4个县的8388名18岁及以上居民进行调查研究，发现广西18岁以上居民脑卒中粗患病率715/10万，标化患病率380/10万。在柳州市，缺血性中风发病率为68.9/10万，死亡率为42.80/10万，患病率约为91.20/10万。以广西北海市海城区、玉林</w:t>
      </w:r>
      <w:proofErr w:type="gramStart"/>
      <w:r>
        <w:rPr>
          <w:rFonts w:ascii="仿宋" w:eastAsia="仿宋" w:hAnsi="仿宋" w:hint="eastAsia"/>
          <w:sz w:val="32"/>
          <w:szCs w:val="32"/>
        </w:rPr>
        <w:t>市容县</w:t>
      </w:r>
      <w:proofErr w:type="gramEnd"/>
      <w:r>
        <w:rPr>
          <w:rFonts w:ascii="仿宋" w:eastAsia="仿宋" w:hAnsi="仿宋" w:hint="eastAsia"/>
          <w:sz w:val="32"/>
          <w:szCs w:val="32"/>
        </w:rPr>
        <w:t>为例，脑卒中3年平均发病率为472.56 /10万，平均标化发病率为457.70 /10 万。据统计，约有1/4-3/4的脑中风患者在2-5年内复发，1次复发者占74%，2次复发者占25%，3次复发者约占4%，4次复发者约占1%。在1年内复发者约占30%，1-3年内复发者约占25%，3-5年复发者约占16%，5年以上复发者约占29%。约75%的中风患者会留下不同程度的后遗症</w:t>
      </w:r>
      <w:proofErr w:type="gramStart"/>
      <w:r>
        <w:rPr>
          <w:rFonts w:ascii="仿宋" w:eastAsia="仿宋" w:hAnsi="仿宋" w:hint="eastAsia"/>
          <w:sz w:val="32"/>
          <w:szCs w:val="32"/>
        </w:rPr>
        <w:t>致生活</w:t>
      </w:r>
      <w:proofErr w:type="gramEnd"/>
      <w:r>
        <w:rPr>
          <w:rFonts w:ascii="仿宋" w:eastAsia="仿宋" w:hAnsi="仿宋" w:hint="eastAsia"/>
          <w:sz w:val="32"/>
          <w:szCs w:val="32"/>
        </w:rPr>
        <w:t>和工作能力障碍，其中40%以上为重度致残。除首次发作外，脑卒中后续还可能出现数次的复发。不同横断面调查研究显示，目前卒中年复发率在8%-17%左右。就临床表现而言，复发卒中与首发卒中之间差异不大，主要表现为神经功能的局灶性缺损。而在预后方面，首发卒中是</w:t>
      </w:r>
      <w:proofErr w:type="gramStart"/>
      <w:r>
        <w:rPr>
          <w:rFonts w:ascii="仿宋" w:eastAsia="仿宋" w:hAnsi="仿宋" w:hint="eastAsia"/>
          <w:sz w:val="32"/>
          <w:szCs w:val="32"/>
        </w:rPr>
        <w:t>由危险</w:t>
      </w:r>
      <w:proofErr w:type="gramEnd"/>
      <w:r>
        <w:rPr>
          <w:rFonts w:ascii="仿宋" w:eastAsia="仿宋" w:hAnsi="仿宋" w:hint="eastAsia"/>
          <w:sz w:val="32"/>
          <w:szCs w:val="32"/>
        </w:rPr>
        <w:t>因素累积而暴发，而未经</w:t>
      </w:r>
      <w:r>
        <w:rPr>
          <w:rFonts w:ascii="仿宋" w:eastAsia="仿宋" w:hAnsi="仿宋" w:hint="eastAsia"/>
          <w:sz w:val="32"/>
          <w:szCs w:val="32"/>
        </w:rPr>
        <w:lastRenderedPageBreak/>
        <w:t>规范二级预防的复发卒中则更易出现多处血管损害，同时损害更为严重。中西医结合治疗作为我国独特的医疗体系，在防治脑卒中方面发挥着积极和重要作用。有效的缺血性卒中救治方案，可以尽早开通闭塞血管，挽救缺血半暗带，降低致残率和致死率。</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截止2022年，广西壮族自治区医疗卫生机构共有34500家，其中：综合医院444家，中医类医院145家（包含中医医院119家，中西医结合医院21家，民族医院5家）。在145家中医类医院中，三级医院25家，二级医院81家，一级医院34家；中医类门诊部37家，中医类诊所2307个，中医类研究机构3家。虽然近年来，国家积极推进卒中中心、卒中单元的发展，规范脑卒中诊疗，为更多的脑梗死患者赢得了时间，一定程度上提高了全民健康水平。随着医学理论与科学技术的不断发展，中西医结合对缺血性卒中急性期的基础和临床将进行更为广泛而深入的研究。大量研究表明，采用中西医结合诊疗模式治疗缺血性卒中具有独特的优势，优于传统的中医治疗和西医治疗。但目前广西区内存在缺血性中风诊疗体系不健全和康复治疗方法的不规范和普及程度差等方面的问题，尚无统一的缺血性中风诊疗要求，按照规范的康复治疗指南进行康复，能明显提高脑卒中的康复水平和康复质量。</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脑卒中具有发病率高、致残率高、死亡率高、复发率高和经济</w:t>
      </w:r>
      <w:proofErr w:type="gramStart"/>
      <w:r>
        <w:rPr>
          <w:rFonts w:ascii="仿宋" w:eastAsia="仿宋" w:hAnsi="仿宋" w:hint="eastAsia"/>
          <w:sz w:val="32"/>
          <w:szCs w:val="32"/>
        </w:rPr>
        <w:t>负担高</w:t>
      </w:r>
      <w:proofErr w:type="gramEnd"/>
      <w:r>
        <w:rPr>
          <w:rFonts w:ascii="仿宋" w:eastAsia="仿宋" w:hAnsi="仿宋" w:hint="eastAsia"/>
          <w:sz w:val="32"/>
          <w:szCs w:val="32"/>
        </w:rPr>
        <w:t>的“五高”特点，严重影响着患者的生命安全及生活质量，给其家庭和社会也将带来巨大压力。对具有良好疗效的脑卒中吞咽障碍康复治疗技术方案进行科学地指</w:t>
      </w:r>
      <w:r>
        <w:rPr>
          <w:rFonts w:ascii="仿宋" w:eastAsia="仿宋" w:hAnsi="仿宋" w:hint="eastAsia"/>
          <w:sz w:val="32"/>
          <w:szCs w:val="32"/>
        </w:rPr>
        <w:lastRenderedPageBreak/>
        <w:t>导和宣传，能够有力满足脑卒中患者需要，保障人民群众健康权益，进而利于经济社会平稳发展。</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然而当前缺血性中风诊疗技术尚处于单纯临床应用及经验积累状态，没有从理论层面上进行全面梳理、总结、凝练及提升，更没有从临床循</w:t>
      </w:r>
      <w:proofErr w:type="gramStart"/>
      <w:r>
        <w:rPr>
          <w:rFonts w:ascii="仿宋" w:eastAsia="仿宋" w:hAnsi="仿宋" w:hint="eastAsia"/>
          <w:sz w:val="32"/>
          <w:szCs w:val="32"/>
        </w:rPr>
        <w:t>证角度</w:t>
      </w:r>
      <w:proofErr w:type="gramEnd"/>
      <w:r>
        <w:rPr>
          <w:rFonts w:ascii="仿宋" w:eastAsia="仿宋" w:hAnsi="仿宋" w:hint="eastAsia"/>
          <w:sz w:val="32"/>
          <w:szCs w:val="32"/>
        </w:rPr>
        <w:t>和现代机制学角度进行规范的科学研究，尤其因为缺乏系统、明确的诊疗规范而严重阻碍了该疗法的推广应用。目前针对缺血性中风诊疗技术还存在一下问题：</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一是缺血性中风诊疗相关标准的缺失，缺血性中风占我国脑卒中的60％～70%，目前并未对缺血性中风诊疗形成规范。相应医务人员、患者不能充分了解缺血性中风诊疗技术要点以及提高术后好转率等的相关优势。</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二是缺血性中风诊疗的方法大多停留在经验层面，技术内涵挖掘不充分，技术指标的量化研究不足，如指标的有效控制，管理的标准统一，操作频率以及辅助用具的开发创新等造成缺血性中风诊疗技术实施欠缺规范性。</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三是缺血性中风诊疗在各临床研究中并不一致，在关键技术点等的观察缺乏规范化标准的指引，缺血性中风诊疗操作在临床难以进一步推广应用。</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以上问题的存在严重影响着先进、科学</w:t>
      </w:r>
      <w:proofErr w:type="gramStart"/>
      <w:r>
        <w:rPr>
          <w:rFonts w:ascii="仿宋" w:eastAsia="仿宋" w:hAnsi="仿宋" w:hint="eastAsia"/>
          <w:sz w:val="32"/>
          <w:szCs w:val="32"/>
        </w:rPr>
        <w:t>且规范</w:t>
      </w:r>
      <w:proofErr w:type="gramEnd"/>
      <w:r>
        <w:rPr>
          <w:rFonts w:ascii="仿宋" w:eastAsia="仿宋" w:hAnsi="仿宋" w:hint="eastAsia"/>
          <w:sz w:val="32"/>
          <w:szCs w:val="32"/>
        </w:rPr>
        <w:t>的缺血性中风诊疗技术推广和发展，当前也未有相关的国家、行业、地方、团体标准对缺血性中风诊疗技术进行系统、科学地指导。为弥补该领域标准空白，统一规范缺血性中风诊疗技术，进一步提升脑卒中治疗效果，保障人民群众健康权益。</w:t>
      </w:r>
    </w:p>
    <w:p w:rsidR="00572126" w:rsidRDefault="00DE626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通过制定团体标准《缺血性中风诊疗规范》，以标准为抓手，统一规范缺血性中风诊疗涉及的术语和定义、临床诊疗、并发症管理、康复治疗和二级预防等要求，用标准化和规范化将更好的指导缺血性中风诊疗工作，对促进医疗机构工作职能社会化、精细化、效益化发展，有助于完善医疗机构缺血性中风诊疗标准化体系，尽快建立统一完善的缺血性中风诊疗操作体系，对促进缺血性中风诊疗操作专业化具有重要意义。</w:t>
      </w:r>
    </w:p>
    <w:p w:rsidR="00572126" w:rsidRDefault="00DE626B">
      <w:pPr>
        <w:pStyle w:val="af2"/>
        <w:ind w:firstLineChars="200" w:firstLine="640"/>
        <w:jc w:val="left"/>
        <w:rPr>
          <w:rFonts w:ascii="黑体" w:eastAsia="黑体" w:hAnsi="黑体"/>
          <w:b w:val="0"/>
        </w:rPr>
      </w:pPr>
      <w:r>
        <w:rPr>
          <w:rFonts w:ascii="黑体" w:eastAsia="黑体" w:hAnsi="黑体" w:hint="eastAsia"/>
          <w:b w:val="0"/>
        </w:rPr>
        <w:t>三、项目编制过程</w:t>
      </w:r>
    </w:p>
    <w:p w:rsidR="00572126" w:rsidRDefault="00DE626B">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（一）成立标准编制工作组</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团体标准《缺血性中风诊疗规范》项目任务下达后，广西中医药大学第一附属医院成立了标准编制工作组，制定了标准编写方案，明确任务职责，确定工作技术路线，开展标准研制工作。</w:t>
      </w:r>
    </w:p>
    <w:p w:rsidR="00572126" w:rsidRDefault="00DE626B">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标准编制工作组收集了国内有关缺血性中风诊疗的相关技术文献资料。主要有：</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DB22/T 3026-2019  出血性中风中医诊疗技术规范</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DB22/T 3562-2023  中风后肢体痉挛中药塌</w:t>
      </w:r>
      <w:proofErr w:type="gramStart"/>
      <w:r>
        <w:rPr>
          <w:rFonts w:ascii="仿宋" w:eastAsia="仿宋" w:hAnsi="仿宋" w:hint="eastAsia"/>
          <w:sz w:val="32"/>
          <w:szCs w:val="32"/>
        </w:rPr>
        <w:t>渍操作</w:t>
      </w:r>
      <w:proofErr w:type="gramEnd"/>
      <w:r>
        <w:rPr>
          <w:rFonts w:ascii="仿宋" w:eastAsia="仿宋" w:hAnsi="仿宋" w:hint="eastAsia"/>
          <w:sz w:val="32"/>
          <w:szCs w:val="32"/>
        </w:rPr>
        <w:t>技术规范</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DB14/T 2732—2023  特色针法操作规程  中风解</w:t>
      </w:r>
      <w:proofErr w:type="gramStart"/>
      <w:r>
        <w:rPr>
          <w:rFonts w:ascii="仿宋" w:eastAsia="仿宋" w:hAnsi="仿宋" w:hint="eastAsia"/>
          <w:sz w:val="32"/>
          <w:szCs w:val="32"/>
        </w:rPr>
        <w:t>痉</w:t>
      </w:r>
      <w:proofErr w:type="gramEnd"/>
      <w:r>
        <w:rPr>
          <w:rFonts w:ascii="仿宋" w:eastAsia="仿宋" w:hAnsi="仿宋" w:hint="eastAsia"/>
          <w:sz w:val="32"/>
          <w:szCs w:val="32"/>
        </w:rPr>
        <w:t>纠偏针</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DB22/T 3379-2022  中风后肢体痉挛的头针治疗规范DB45/T 2236-2020  </w:t>
      </w:r>
      <w:proofErr w:type="gramStart"/>
      <w:r>
        <w:rPr>
          <w:rFonts w:ascii="仿宋" w:eastAsia="仿宋" w:hAnsi="仿宋" w:hint="eastAsia"/>
          <w:sz w:val="32"/>
          <w:szCs w:val="32"/>
        </w:rPr>
        <w:t>扁免崩</w:t>
      </w:r>
      <w:proofErr w:type="gramEnd"/>
      <w:r>
        <w:rPr>
          <w:rFonts w:ascii="仿宋" w:eastAsia="仿宋" w:hAnsi="仿宋" w:hint="eastAsia"/>
          <w:sz w:val="32"/>
          <w:szCs w:val="32"/>
        </w:rPr>
        <w:t>（中风偏瘫）</w:t>
      </w:r>
      <w:proofErr w:type="gramStart"/>
      <w:r>
        <w:rPr>
          <w:rFonts w:ascii="仿宋" w:eastAsia="仿宋" w:hAnsi="仿宋" w:hint="eastAsia"/>
          <w:sz w:val="32"/>
          <w:szCs w:val="32"/>
        </w:rPr>
        <w:t>瑶浴技术</w:t>
      </w:r>
      <w:proofErr w:type="gramEnd"/>
      <w:r>
        <w:rPr>
          <w:rFonts w:ascii="仿宋" w:eastAsia="仿宋" w:hAnsi="仿宋" w:hint="eastAsia"/>
          <w:sz w:val="32"/>
          <w:szCs w:val="32"/>
        </w:rPr>
        <w:t>操作规范</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DB22/T 3216-2020  中风后肩痛的中药塌</w:t>
      </w:r>
      <w:proofErr w:type="gramStart"/>
      <w:r>
        <w:rPr>
          <w:rFonts w:ascii="仿宋" w:eastAsia="仿宋" w:hAnsi="仿宋" w:hint="eastAsia"/>
          <w:sz w:val="32"/>
          <w:szCs w:val="32"/>
        </w:rPr>
        <w:t>渍治疗</w:t>
      </w:r>
      <w:proofErr w:type="gramEnd"/>
      <w:r>
        <w:rPr>
          <w:rFonts w:ascii="仿宋" w:eastAsia="仿宋" w:hAnsi="仿宋" w:hint="eastAsia"/>
          <w:sz w:val="32"/>
          <w:szCs w:val="32"/>
        </w:rPr>
        <w:t>技术规范</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T/GXAS 557—2023  中风偏瘫痉挛状态壮</w:t>
      </w:r>
      <w:proofErr w:type="gramStart"/>
      <w:r>
        <w:rPr>
          <w:rFonts w:ascii="仿宋" w:eastAsia="仿宋" w:hAnsi="仿宋" w:hint="eastAsia"/>
          <w:sz w:val="32"/>
          <w:szCs w:val="32"/>
        </w:rPr>
        <w:t>医</w:t>
      </w:r>
      <w:proofErr w:type="gramEnd"/>
      <w:r>
        <w:rPr>
          <w:rFonts w:ascii="仿宋" w:eastAsia="仿宋" w:hAnsi="仿宋" w:hint="eastAsia"/>
          <w:sz w:val="32"/>
          <w:szCs w:val="32"/>
        </w:rPr>
        <w:t>经筋挑刺疗法临床操作技术规范</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T /CAAM 004—2014</w:t>
      </w:r>
      <w:r>
        <w:rPr>
          <w:rFonts w:ascii="仿宋" w:eastAsia="仿宋" w:hAnsi="仿宋" w:hint="eastAsia"/>
          <w:sz w:val="32"/>
          <w:szCs w:val="32"/>
        </w:rPr>
        <w:tab/>
        <w:t xml:space="preserve">  循证针灸临床实践指南：中风后假性球麻痹</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T/CACM 1316—2019  中医内科临床诊疗指南 中风后吞咽困难</w:t>
      </w:r>
    </w:p>
    <w:p w:rsidR="00572126" w:rsidRDefault="00DE626B">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572126" w:rsidRDefault="00DE626B">
      <w:pPr>
        <w:spacing w:line="560" w:lineRule="exact"/>
        <w:ind w:firstLineChars="200" w:firstLine="640"/>
        <w:rPr>
          <w:rFonts w:ascii="仿宋" w:eastAsia="仿宋" w:hAnsi="仿宋"/>
          <w:color w:val="000000" w:themeColor="text1"/>
          <w:sz w:val="32"/>
          <w:szCs w:val="32"/>
        </w:rPr>
      </w:pPr>
      <w:r>
        <w:rPr>
          <w:rFonts w:ascii="仿宋" w:eastAsia="仿宋" w:hAnsi="仿宋" w:hint="eastAsia"/>
          <w:sz w:val="32"/>
          <w:szCs w:val="32"/>
        </w:rPr>
        <w:t>标准编制工作组在对收集的资料进行整理研究之后，标准编制工作组召开了标准编制会议，对标准的整体框架结构进行了研究，并对标准的关键性内容进行了初步探讨。经过研究，标准的主体内容为界定了缺血性中风诊疗涉及的术语和定义，规定了缺血性中风诊疗的诊断、治疗等要求</w:t>
      </w:r>
      <w:r>
        <w:rPr>
          <w:rFonts w:ascii="仿宋" w:eastAsia="仿宋" w:hAnsi="仿宋" w:hint="eastAsia"/>
          <w:color w:val="000000" w:themeColor="text1"/>
          <w:sz w:val="32"/>
          <w:szCs w:val="32"/>
        </w:rPr>
        <w:t>。</w:t>
      </w:r>
    </w:p>
    <w:p w:rsidR="00572126" w:rsidRDefault="00DE626B">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（四）调研及形成草案、征求意见稿</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2024年1月～2月</w:t>
      </w:r>
      <w:r>
        <w:rPr>
          <w:rFonts w:ascii="仿宋" w:eastAsia="仿宋" w:hAnsi="仿宋"/>
          <w:sz w:val="32"/>
          <w:szCs w:val="32"/>
        </w:rPr>
        <w:t>，</w:t>
      </w:r>
      <w:r>
        <w:rPr>
          <w:rFonts w:ascii="仿宋" w:eastAsia="仿宋" w:hAnsi="仿宋" w:hint="eastAsia"/>
          <w:sz w:val="32"/>
          <w:szCs w:val="32"/>
        </w:rPr>
        <w:t>标准编制工作组进行了标准编制准备工作，查阅了大量的国内外有关缺血性中风诊疗的文献资料，并针对目前</w:t>
      </w:r>
      <w:r>
        <w:rPr>
          <w:rFonts w:ascii="仿宋" w:eastAsia="仿宋" w:hAnsi="仿宋" w:hint="eastAsia"/>
          <w:color w:val="000000" w:themeColor="text1"/>
          <w:sz w:val="32"/>
          <w:szCs w:val="32"/>
        </w:rPr>
        <w:t>缺血性中风诊疗</w:t>
      </w:r>
      <w:r>
        <w:rPr>
          <w:rFonts w:ascii="仿宋" w:eastAsia="仿宋" w:hAnsi="仿宋" w:hint="eastAsia"/>
          <w:sz w:val="32"/>
          <w:szCs w:val="32"/>
        </w:rPr>
        <w:t>到区内相关医疗机构进行实地考察调研。调研的同时召集多家有关单位开展了标准研讨会，对</w:t>
      </w:r>
      <w:r>
        <w:rPr>
          <w:rFonts w:ascii="仿宋" w:eastAsia="仿宋" w:hAnsi="仿宋" w:hint="eastAsia"/>
          <w:color w:val="000000" w:themeColor="text1"/>
          <w:sz w:val="32"/>
          <w:szCs w:val="32"/>
        </w:rPr>
        <w:t>缺血性中风诊疗</w:t>
      </w:r>
      <w:r>
        <w:rPr>
          <w:rFonts w:ascii="仿宋" w:eastAsia="仿宋" w:hAnsi="仿宋" w:hint="eastAsia"/>
          <w:sz w:val="32"/>
          <w:szCs w:val="32"/>
        </w:rPr>
        <w:t>相关资料进行系统总结。形成了标准的基本构架，对主要内容进行了讨论并对项目的工作进行了部署和安排。</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2024年2月-3月，在前期工作的基础之上，通过理清逻辑脉络，整合已有的参考资料中有关</w:t>
      </w:r>
      <w:bookmarkStart w:id="0" w:name="_Toc526940083"/>
      <w:r>
        <w:rPr>
          <w:rFonts w:ascii="仿宋" w:eastAsia="仿宋" w:hAnsi="仿宋" w:hint="eastAsia"/>
          <w:sz w:val="32"/>
          <w:szCs w:val="32"/>
        </w:rPr>
        <w:t>缺血性中风诊疗的要</w:t>
      </w:r>
      <w:r>
        <w:rPr>
          <w:rFonts w:ascii="仿宋" w:eastAsia="仿宋" w:hAnsi="仿宋" w:hint="eastAsia"/>
          <w:sz w:val="32"/>
          <w:szCs w:val="32"/>
        </w:rPr>
        <w:lastRenderedPageBreak/>
        <w:t>求，并结合</w:t>
      </w:r>
      <w:proofErr w:type="gramStart"/>
      <w:r>
        <w:rPr>
          <w:rFonts w:ascii="仿宋" w:eastAsia="仿宋" w:hAnsi="仿宋" w:hint="eastAsia"/>
          <w:sz w:val="32"/>
          <w:szCs w:val="32"/>
        </w:rPr>
        <w:t>赴相关</w:t>
      </w:r>
      <w:proofErr w:type="gramEnd"/>
      <w:r>
        <w:rPr>
          <w:rFonts w:ascii="仿宋" w:eastAsia="仿宋" w:hAnsi="仿宋" w:hint="eastAsia"/>
          <w:sz w:val="32"/>
          <w:szCs w:val="32"/>
        </w:rPr>
        <w:t>医院实地考察调研以及标准研讨会上意见整合的基础上，按照简化、统一等原则编制完成团体标准《缺血性中风诊疗规范》（草案）。</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2024年3月</w:t>
      </w:r>
      <w:r w:rsidR="00D77A1D">
        <w:rPr>
          <w:rFonts w:ascii="仿宋" w:eastAsia="仿宋" w:hAnsi="仿宋" w:hint="eastAsia"/>
          <w:sz w:val="32"/>
          <w:szCs w:val="32"/>
        </w:rPr>
        <w:t>-4月</w:t>
      </w:r>
      <w:r>
        <w:rPr>
          <w:rFonts w:ascii="仿宋" w:eastAsia="仿宋" w:hAnsi="仿宋" w:hint="eastAsia"/>
          <w:sz w:val="32"/>
          <w:szCs w:val="32"/>
        </w:rPr>
        <w:t>，标准编制工作组再次召开标准研讨会，收集反馈了大量意见和建议，明确了缺血性中风诊疗多方面的要求。通过再次前往缺血性中风诊疗有关的医院实地座谈调研、多次召开讨论会议，对标准草案进行了反复修改和研究讨论。最终形成了团体标准《缺血性中风诊疗规范》（征求意见稿）和（征求意见稿）编制说明。</w:t>
      </w:r>
    </w:p>
    <w:bookmarkEnd w:id="0"/>
    <w:p w:rsidR="00572126" w:rsidRDefault="00DE626B">
      <w:pPr>
        <w:spacing w:line="560" w:lineRule="exact"/>
        <w:ind w:firstLineChars="200" w:firstLine="640"/>
        <w:rPr>
          <w:rFonts w:ascii="黑体" w:eastAsia="黑体" w:hAnsi="黑体" w:cstheme="majorBidi"/>
          <w:bCs/>
          <w:sz w:val="32"/>
          <w:szCs w:val="32"/>
        </w:rPr>
      </w:pPr>
      <w:r>
        <w:rPr>
          <w:rFonts w:ascii="黑体" w:eastAsia="黑体" w:hAnsi="黑体" w:cstheme="majorBidi" w:hint="eastAsia"/>
          <w:bCs/>
          <w:sz w:val="32"/>
          <w:szCs w:val="32"/>
        </w:rPr>
        <w:t>四、制定标准的原则和依据，与现行法律、法规的关系，与有关国家标准、行业标准的协调情况</w:t>
      </w:r>
    </w:p>
    <w:p w:rsidR="00572126" w:rsidRDefault="00DE626B">
      <w:pPr>
        <w:spacing w:line="560" w:lineRule="exact"/>
        <w:ind w:firstLineChars="200" w:firstLine="643"/>
        <w:rPr>
          <w:rFonts w:ascii="楷体" w:eastAsia="楷体" w:hAnsi="楷体"/>
          <w:b/>
          <w:sz w:val="32"/>
          <w:szCs w:val="32"/>
        </w:rPr>
      </w:pPr>
      <w:r>
        <w:rPr>
          <w:rFonts w:ascii="楷体" w:eastAsia="楷体" w:hAnsi="楷体" w:hint="eastAsia"/>
          <w:b/>
          <w:sz w:val="32"/>
          <w:szCs w:val="32"/>
        </w:rPr>
        <w:t>1.实用性原则</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本文件是在充分收集相关资料和文献，分析当前现状，调研缺血性中风诊疗的实际情况，在现有国家、行业标准中相关缺血性中风诊疗的基础上，结合多年经验而总结起草的。符合当前缺血性中风诊疗工作的方向与需求，有利于行业的长远发展，具有较强的实用性和可操作性。</w:t>
      </w:r>
    </w:p>
    <w:p w:rsidR="00572126" w:rsidRDefault="00DE626B">
      <w:pPr>
        <w:spacing w:line="560" w:lineRule="exact"/>
        <w:ind w:firstLineChars="200" w:firstLine="643"/>
        <w:rPr>
          <w:rFonts w:ascii="楷体" w:eastAsia="楷体" w:hAnsi="楷体"/>
          <w:b/>
          <w:sz w:val="32"/>
          <w:szCs w:val="32"/>
        </w:rPr>
      </w:pPr>
      <w:r>
        <w:rPr>
          <w:rFonts w:ascii="楷体" w:eastAsia="楷体" w:hAnsi="楷体" w:hint="eastAsia"/>
          <w:b/>
          <w:sz w:val="32"/>
          <w:szCs w:val="32"/>
        </w:rPr>
        <w:t>2.协调性原则</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本文件编写过程中注意了与缺血性中风诊疗相关法律法规的协调问题，在内容上与现行法律法规、标准协调一致。</w:t>
      </w:r>
    </w:p>
    <w:p w:rsidR="00572126" w:rsidRDefault="00DE626B">
      <w:pPr>
        <w:spacing w:line="560" w:lineRule="exact"/>
        <w:ind w:firstLineChars="200" w:firstLine="643"/>
        <w:rPr>
          <w:rFonts w:ascii="楷体" w:eastAsia="楷体" w:hAnsi="楷体"/>
          <w:b/>
          <w:sz w:val="32"/>
          <w:szCs w:val="32"/>
        </w:rPr>
      </w:pPr>
      <w:r>
        <w:rPr>
          <w:rFonts w:ascii="楷体" w:eastAsia="楷体" w:hAnsi="楷体" w:hint="eastAsia"/>
          <w:b/>
          <w:sz w:val="32"/>
          <w:szCs w:val="32"/>
        </w:rPr>
        <w:t>3.规范性原则</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本文件严格按照GB/T 1.1—2020《标准化工作导则 第1部分：标准化文件的结构和起草规则》的要求和规定编写本标准的内容，保证标准的编写质量。</w:t>
      </w:r>
    </w:p>
    <w:p w:rsidR="00572126" w:rsidRDefault="00DE626B">
      <w:pPr>
        <w:spacing w:line="560" w:lineRule="exact"/>
        <w:ind w:firstLineChars="200" w:firstLine="643"/>
        <w:rPr>
          <w:rFonts w:ascii="楷体" w:eastAsia="楷体" w:hAnsi="楷体"/>
          <w:b/>
          <w:sz w:val="32"/>
          <w:szCs w:val="32"/>
        </w:rPr>
      </w:pPr>
      <w:r>
        <w:rPr>
          <w:rFonts w:ascii="楷体" w:eastAsia="楷体" w:hAnsi="楷体" w:hint="eastAsia"/>
          <w:b/>
          <w:sz w:val="32"/>
          <w:szCs w:val="32"/>
        </w:rPr>
        <w:lastRenderedPageBreak/>
        <w:t>4.前瞻性原则</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本文件在兼顾当前区内缺血性中风诊疗现实情况的同时，还考虑到了缺血性中风诊疗技术快速发展的趋势和需要，在标准中体现了个别特色性、前瞻性和先进性条款，作为对开展缺血性中风诊疗工作的指导。</w:t>
      </w:r>
    </w:p>
    <w:p w:rsidR="00572126" w:rsidRDefault="00DE626B">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（二）编制依据</w:t>
      </w:r>
    </w:p>
    <w:p w:rsidR="00572126" w:rsidRDefault="00DE626B">
      <w:pPr>
        <w:ind w:firstLineChars="200" w:firstLine="640"/>
        <w:rPr>
          <w:rFonts w:ascii="仿宋" w:eastAsia="仿宋" w:hAnsi="仿宋"/>
          <w:sz w:val="32"/>
          <w:szCs w:val="32"/>
        </w:rPr>
      </w:pPr>
      <w:r>
        <w:rPr>
          <w:rFonts w:ascii="仿宋" w:eastAsia="仿宋" w:hAnsi="仿宋"/>
          <w:sz w:val="32"/>
          <w:szCs w:val="32"/>
        </w:rPr>
        <w:t>本标准严格按照GB/T 1.1</w:t>
      </w:r>
      <w:r>
        <w:rPr>
          <w:rFonts w:ascii="仿宋" w:eastAsia="仿宋" w:hAnsi="仿宋" w:hint="eastAsia"/>
          <w:sz w:val="32"/>
          <w:szCs w:val="32"/>
        </w:rPr>
        <w:t>—</w:t>
      </w:r>
      <w:r>
        <w:rPr>
          <w:rFonts w:ascii="仿宋" w:eastAsia="仿宋" w:hAnsi="仿宋"/>
          <w:sz w:val="32"/>
          <w:szCs w:val="32"/>
        </w:rPr>
        <w:t>2020《标准化工作导则  第1部分：标准化文件的结构和起草规则》的</w:t>
      </w:r>
      <w:r>
        <w:rPr>
          <w:rFonts w:ascii="仿宋" w:eastAsia="仿宋" w:hAnsi="仿宋" w:hint="eastAsia"/>
          <w:sz w:val="32"/>
          <w:szCs w:val="32"/>
        </w:rPr>
        <w:t>规则</w:t>
      </w:r>
      <w:r>
        <w:rPr>
          <w:rFonts w:ascii="仿宋" w:eastAsia="仿宋" w:hAnsi="仿宋"/>
          <w:sz w:val="32"/>
          <w:szCs w:val="32"/>
        </w:rPr>
        <w:t>起草</w:t>
      </w:r>
      <w:r>
        <w:rPr>
          <w:rFonts w:ascii="仿宋" w:eastAsia="仿宋" w:hAnsi="仿宋" w:hint="eastAsia"/>
          <w:sz w:val="32"/>
          <w:szCs w:val="32"/>
        </w:rPr>
        <w:t>，标准主要内容在借鉴国内相关标准的基础上，结合广西中医药大学第一附属医院等单位实际要求，基于《广西缺血性中风中西医诊疗专家共识》，并通过中西医结合治疗，在脑梗死不同时期可发挥协同作用，通过辨证论治，个体化治疗针对性改善患者证候或症状，达到促进神经功能恢复，提高患者日常生活能力和生存质量的目的，临床应用具有较好的依从性，适用于缺血性中风急性期与恢复期患者的临床诊疗、并发症管理、康复治疗和二级预防等，供全区各级医疗机构的神经内科、脑病科、急诊科、中医科、针灸科、康复科、老年病科、内科、全科医学等相关科室医护人员使用。</w:t>
      </w:r>
    </w:p>
    <w:p w:rsidR="00572126" w:rsidRDefault="00DE626B">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（三）与现行法律、法规的关系，与有关国家标准、行业标准的协调情况</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本标准与相关法律法规、强制性标准协调一致，无冲突。</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经查阅，截至目前，国内暂无与“缺血性中风”“缺血性中风诊疗”“缺血性中风  中西医结合诊疗”“脑卒中诊疗”</w:t>
      </w:r>
      <w:r>
        <w:rPr>
          <w:rFonts w:ascii="仿宋" w:eastAsia="仿宋" w:hAnsi="仿宋" w:hint="eastAsia"/>
          <w:sz w:val="32"/>
          <w:szCs w:val="32"/>
        </w:rPr>
        <w:lastRenderedPageBreak/>
        <w:t>“脑卒中  中西医结合诊疗”相关的国家标准、行业标准、地方标准及团体标准。广西和其他省均没有这方面的地标，属于标准空白。</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与“中风”相关的标准主要有：DB22/T 3026-2019  出血性中风中医诊疗技术规范、DB22/T 3562-2023  中风后肢体痉挛中药塌</w:t>
      </w:r>
      <w:proofErr w:type="gramStart"/>
      <w:r>
        <w:rPr>
          <w:rFonts w:ascii="仿宋" w:eastAsia="仿宋" w:hAnsi="仿宋" w:hint="eastAsia"/>
          <w:sz w:val="32"/>
          <w:szCs w:val="32"/>
        </w:rPr>
        <w:t>渍操作</w:t>
      </w:r>
      <w:proofErr w:type="gramEnd"/>
      <w:r>
        <w:rPr>
          <w:rFonts w:ascii="仿宋" w:eastAsia="仿宋" w:hAnsi="仿宋" w:hint="eastAsia"/>
          <w:sz w:val="32"/>
          <w:szCs w:val="32"/>
        </w:rPr>
        <w:t>技术规范、DB14/T 2732-2023  特色针法操作规程  中风解</w:t>
      </w:r>
      <w:proofErr w:type="gramStart"/>
      <w:r>
        <w:rPr>
          <w:rFonts w:ascii="仿宋" w:eastAsia="仿宋" w:hAnsi="仿宋" w:hint="eastAsia"/>
          <w:sz w:val="32"/>
          <w:szCs w:val="32"/>
        </w:rPr>
        <w:t>痉</w:t>
      </w:r>
      <w:proofErr w:type="gramEnd"/>
      <w:r>
        <w:rPr>
          <w:rFonts w:ascii="仿宋" w:eastAsia="仿宋" w:hAnsi="仿宋" w:hint="eastAsia"/>
          <w:sz w:val="32"/>
          <w:szCs w:val="32"/>
        </w:rPr>
        <w:t xml:space="preserve">纠偏针、DB22/T 3379-2022  中风后肢体痉挛的头针治疗规范、DB45/T 2236-2020  </w:t>
      </w:r>
      <w:proofErr w:type="gramStart"/>
      <w:r>
        <w:rPr>
          <w:rFonts w:ascii="仿宋" w:eastAsia="仿宋" w:hAnsi="仿宋" w:hint="eastAsia"/>
          <w:sz w:val="32"/>
          <w:szCs w:val="32"/>
        </w:rPr>
        <w:t>扁免崩</w:t>
      </w:r>
      <w:proofErr w:type="gramEnd"/>
      <w:r>
        <w:rPr>
          <w:rFonts w:ascii="仿宋" w:eastAsia="仿宋" w:hAnsi="仿宋" w:hint="eastAsia"/>
          <w:sz w:val="32"/>
          <w:szCs w:val="32"/>
        </w:rPr>
        <w:t>（中风偏瘫）</w:t>
      </w:r>
      <w:proofErr w:type="gramStart"/>
      <w:r>
        <w:rPr>
          <w:rFonts w:ascii="仿宋" w:eastAsia="仿宋" w:hAnsi="仿宋" w:hint="eastAsia"/>
          <w:sz w:val="32"/>
          <w:szCs w:val="32"/>
        </w:rPr>
        <w:t>瑶浴技术</w:t>
      </w:r>
      <w:proofErr w:type="gramEnd"/>
      <w:r>
        <w:rPr>
          <w:rFonts w:ascii="仿宋" w:eastAsia="仿宋" w:hAnsi="仿宋" w:hint="eastAsia"/>
          <w:sz w:val="32"/>
          <w:szCs w:val="32"/>
        </w:rPr>
        <w:t>操作规范、DB22/T 3216-2020  中风后肩痛的中药塌</w:t>
      </w:r>
      <w:proofErr w:type="gramStart"/>
      <w:r>
        <w:rPr>
          <w:rFonts w:ascii="仿宋" w:eastAsia="仿宋" w:hAnsi="仿宋" w:hint="eastAsia"/>
          <w:sz w:val="32"/>
          <w:szCs w:val="32"/>
        </w:rPr>
        <w:t>渍治疗</w:t>
      </w:r>
      <w:proofErr w:type="gramEnd"/>
      <w:r>
        <w:rPr>
          <w:rFonts w:ascii="仿宋" w:eastAsia="仿宋" w:hAnsi="仿宋" w:hint="eastAsia"/>
          <w:sz w:val="32"/>
          <w:szCs w:val="32"/>
        </w:rPr>
        <w:t>技术规范、T/GXAS 557-2023  中风偏瘫痉挛状态壮</w:t>
      </w:r>
      <w:proofErr w:type="gramStart"/>
      <w:r>
        <w:rPr>
          <w:rFonts w:ascii="仿宋" w:eastAsia="仿宋" w:hAnsi="仿宋" w:hint="eastAsia"/>
          <w:sz w:val="32"/>
          <w:szCs w:val="32"/>
        </w:rPr>
        <w:t>医</w:t>
      </w:r>
      <w:proofErr w:type="gramEnd"/>
      <w:r>
        <w:rPr>
          <w:rFonts w:ascii="仿宋" w:eastAsia="仿宋" w:hAnsi="仿宋" w:hint="eastAsia"/>
          <w:sz w:val="32"/>
          <w:szCs w:val="32"/>
        </w:rPr>
        <w:t>经筋挑刺疗法临床操作技术规范、T/CAAM 004-2014  循证针灸临床实践指南：中风后假性球麻痹、T/CACM 1316-2019  中医内科临床诊疗指南 中风后吞咽困难。分析情况如下：</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（1）《DB22/T 3026-2019  出血性中风中医诊疗技术规范》DB22/T 3026-2019主要参考了《中国脑出血诊治指南》(2014)，规定了出血性中风的诊断、辨证、治疗、护理。而本标准基于《广西缺血性中风中西医诊疗专家共识》，并通过中西医结合治疗，在脑梗死不同时期可发挥协同作用，通过辨证论治，个体化治疗针对性改善患者证候或症状，达到促进神经功能恢复，提高患者日常生活能力和生存质量的目的，临床应用具有较好的依从性。</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lastRenderedPageBreak/>
        <w:t>《DB22/T 3562-2023  中风后肢体痉挛中药塌渍操作技术规范》《DB14/T 2732-2023  特色针法操作规程  中风解痉纠偏针》《DB22/T 3379-2022  中风后肢体痉挛的头针治疗规范》《DB45/T 2236-2020  扁免崩（中风偏瘫）瑶浴技术操作规范》《DB22/T 3216-2020  中风后肩痛的中药塌渍治疗技术规范》《T/GXAS 557-2023  中风偏瘫痉挛状态壮医经筋挑刺疗法临床操作技术规范》《T/CAAM 004-2014  循证针灸临床实践指南：中风后假性球麻痹》《T/CACM 1316-2019  中医内科临床诊疗指南 中风后吞咽困难》上述标准主要规定了的不同症状的中风患者诊疗要求，本标准针对的是缺血性中风的中西医结合诊疗，与上述标准对比，标准化对象不同。</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与“脑卒中”相关的标准主要有：WS/T 558-2017  脑卒中患者膳食指导、WS 375.21-2016  疾病控制基本数据集第21部分：脑卒中病人管理、WS 375.20-2016  疾病控制基本数据集第20部分：脑卒中登记报告、DB22/T 3559-2023  脑卒中后失眠中医诊疗规范、DB3305/T259.4-2023  城市</w:t>
      </w:r>
      <w:proofErr w:type="gramStart"/>
      <w:r>
        <w:rPr>
          <w:rFonts w:ascii="仿宋" w:eastAsia="仿宋" w:hAnsi="仿宋" w:hint="eastAsia"/>
          <w:sz w:val="32"/>
          <w:szCs w:val="32"/>
        </w:rPr>
        <w:t>医</w:t>
      </w:r>
      <w:proofErr w:type="gramEnd"/>
      <w:r>
        <w:rPr>
          <w:rFonts w:ascii="仿宋" w:eastAsia="仿宋" w:hAnsi="仿宋" w:hint="eastAsia"/>
          <w:sz w:val="32"/>
          <w:szCs w:val="32"/>
        </w:rPr>
        <w:t>联体家庭病床服务规范  第4部分：脑卒中构音障</w:t>
      </w:r>
      <w:proofErr w:type="gramStart"/>
      <w:r>
        <w:rPr>
          <w:rFonts w:ascii="仿宋" w:eastAsia="仿宋" w:hAnsi="仿宋" w:hint="eastAsia"/>
          <w:sz w:val="32"/>
          <w:szCs w:val="32"/>
        </w:rPr>
        <w:t>碍</w:t>
      </w:r>
      <w:proofErr w:type="gramEnd"/>
      <w:r>
        <w:rPr>
          <w:rFonts w:ascii="仿宋" w:eastAsia="仿宋" w:hAnsi="仿宋" w:hint="eastAsia"/>
          <w:sz w:val="32"/>
          <w:szCs w:val="32"/>
        </w:rPr>
        <w:t>康复训练、DB22/T 3466-2023</w:t>
      </w:r>
      <w:r>
        <w:rPr>
          <w:rFonts w:ascii="仿宋" w:eastAsia="仿宋" w:hAnsi="仿宋" w:hint="eastAsia"/>
          <w:sz w:val="32"/>
          <w:szCs w:val="32"/>
        </w:rPr>
        <w:tab/>
        <w:t xml:space="preserve">  脑卒中高危人群中医综合干预规范、DB52/T 1668-2022  急性脑卒中绿色通道信息化建设指南、DB13/T 5313-2020  脑卒中医学影像诊断流程与规范、DB22/T 3250-2021  脑卒中便秘针刺治疗操作规范、DB22/T </w:t>
      </w:r>
      <w:r>
        <w:rPr>
          <w:rFonts w:ascii="仿宋" w:eastAsia="仿宋" w:hAnsi="仿宋" w:hint="eastAsia"/>
          <w:sz w:val="32"/>
          <w:szCs w:val="32"/>
        </w:rPr>
        <w:lastRenderedPageBreak/>
        <w:t>2200-2014  社区脑卒中高危人群筛查与防治规范、DB22/T 1703-2012  脑卒中二级预防门诊治疗规范、DB22/T 1704-2012  脑卒中家庭病床服务规范、T/CARM 009-2023  脑卒中偏瘫患者</w:t>
      </w:r>
      <w:proofErr w:type="gramStart"/>
      <w:r>
        <w:rPr>
          <w:rFonts w:ascii="仿宋" w:eastAsia="仿宋" w:hAnsi="仿宋" w:hint="eastAsia"/>
          <w:sz w:val="32"/>
          <w:szCs w:val="32"/>
        </w:rPr>
        <w:t>良肢位护理</w:t>
      </w:r>
      <w:proofErr w:type="gramEnd"/>
      <w:r>
        <w:rPr>
          <w:rFonts w:ascii="仿宋" w:eastAsia="仿宋" w:hAnsi="仿宋" w:hint="eastAsia"/>
          <w:sz w:val="32"/>
          <w:szCs w:val="32"/>
        </w:rPr>
        <w:t xml:space="preserve">规范、T/GXAS 342-2022  缺血性脑卒中血管内介入手术护理规范、T/NAHIEM 49-2022  脑卒中一站式多模态影像评估及救治手术室配置要求、T/CACM 1125-2018  中医神志病临床诊疗指南 脑卒中后神志异常、T/SRMA 12-2021  “六字诀”呼吸康复技术在脑卒中偏瘫患者应用指南、T/SRMA 9-2020  脑卒中合并稳定性冠心病运动康复应用技术指南、T/JSSG 003-2020  脑卒中患者康复医务社会工作服务指南、T/SRMA 4-2019  </w:t>
      </w:r>
      <w:proofErr w:type="gramStart"/>
      <w:r>
        <w:rPr>
          <w:rFonts w:ascii="仿宋" w:eastAsia="仿宋" w:hAnsi="仿宋" w:hint="eastAsia"/>
          <w:sz w:val="32"/>
          <w:szCs w:val="32"/>
        </w:rPr>
        <w:t>医</w:t>
      </w:r>
      <w:proofErr w:type="gramEnd"/>
      <w:r>
        <w:rPr>
          <w:rFonts w:ascii="仿宋" w:eastAsia="仿宋" w:hAnsi="仿宋" w:hint="eastAsia"/>
          <w:sz w:val="32"/>
          <w:szCs w:val="32"/>
        </w:rPr>
        <w:t>联体脑卒中防治一体化康复管理指南。分析情况如下：</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（1）《WS/T 558-2017  脑卒中患者膳食指导》规定了脑卒中患者膳食指导原则、能量及营养素推荐摄入量、食物选择、膳食处方制定，适用于对脑卒中患者进行膳食指导。本标准针对的是缺血性中风的中西医结合诊疗，与其对比，标准化方向不一致。</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（2）《WS 375.20-2016  疾病控制基本数据集第20部分：脑卒中登记报告》《WS 375.21-2016  疾病控制基本数据集第21部分：脑卒中病人管理》规定了脑卒中病人管理、脑卒中登记报告基本数据集的数据集元数据属性和数据元属性。本标准针对的是缺血性中风的中西医结合诊疗，与上</w:t>
      </w:r>
      <w:r>
        <w:rPr>
          <w:rFonts w:ascii="仿宋" w:eastAsia="仿宋" w:hAnsi="仿宋" w:hint="eastAsia"/>
          <w:sz w:val="32"/>
          <w:szCs w:val="32"/>
        </w:rPr>
        <w:lastRenderedPageBreak/>
        <w:t>述标准对比，标准化方向不一致。</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（3）《DB52/T 1668-2022  急性脑卒中绿色通道信息化建设指南》规定了急性脑卒中绿色通道信息化建设的术语和定义、基本要求、建设内容、技术要求，适用于贵州省二级及以上综合性医院的卒中中心脑卒中绿色通道信息化建设。本标准针对的是缺血性中风的中西医结合诊疗，与其对比，标准化方向不一致。</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（4）《T/JSSG 003-2020  脑卒中患者康复医务社会工作服务指南》规定了脑卒中所致躯体、心理、社会功能障碍患者康复医务社会工作服务的术语与定义、服务原则、基本要求、服务内容、服务流程、服务评价及质量改进等，适用于三级医院开展针对脑卒中患者治疗和康复的医务社会工作。本标准针对的是缺血性中风的中西医结合诊疗，与上述标准对比，标准化方向不一致。</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（5）《DB22/T 3559-2023脑卒中后失眠中医诊疗规范》《DB3305/T259.4-2023  城市医联体家庭病床服务规范  第4部分：脑卒中构音障碍康复训练》《DB22/T 3250-2021  脑卒中便秘针刺治疗操作规范》《DB22/T 1704-2012  脑卒中家庭病床服务规范》《T/CARM 009-2023  脑卒中偏瘫患者良肢位护理规范》《T/GXAS 342-2022  缺血性脑卒中血管内介入手术护理规范》《T/CACM 1125-2018  中医神志病临床诊疗指南 脑卒中后神志异常》《T/SRMA 12-2021  “六字诀”</w:t>
      </w:r>
      <w:r>
        <w:rPr>
          <w:rFonts w:ascii="仿宋" w:eastAsia="仿宋" w:hAnsi="仿宋" w:hint="eastAsia"/>
          <w:sz w:val="32"/>
          <w:szCs w:val="32"/>
        </w:rPr>
        <w:lastRenderedPageBreak/>
        <w:t>呼吸康复技术在脑卒中偏瘫患者应用指南》《T/SRMA 9-2020  脑卒中合并稳定性冠心病运动康复应用技术指南》《T/SRMA 4-2019  医联体脑卒中防治一体化康复管理指南》《T/GDACM 0124-2024</w:t>
      </w:r>
      <w:r>
        <w:rPr>
          <w:rFonts w:ascii="仿宋" w:eastAsia="仿宋" w:hAnsi="仿宋" w:hint="eastAsia"/>
          <w:sz w:val="32"/>
          <w:szCs w:val="32"/>
        </w:rPr>
        <w:tab/>
        <w:t>脑卒中中医居家护理服务规范》，上述标准主要规定了的不同症状的脑卒中患者诊疗、护理、康复的要求，本标准针对的是缺血性中风的中西医结合诊疗，与上述标准对比，标准化对象不同。</w:t>
      </w:r>
    </w:p>
    <w:p w:rsidR="00572126" w:rsidRDefault="00DE626B">
      <w:pPr>
        <w:ind w:firstLineChars="200" w:firstLine="640"/>
        <w:rPr>
          <w:rFonts w:ascii="仿宋" w:eastAsia="仿宋" w:hAnsi="仿宋"/>
          <w:sz w:val="32"/>
          <w:szCs w:val="32"/>
        </w:rPr>
      </w:pPr>
      <w:r>
        <w:rPr>
          <w:rFonts w:ascii="仿宋" w:eastAsia="仿宋" w:hAnsi="仿宋" w:hint="eastAsia"/>
          <w:sz w:val="32"/>
          <w:szCs w:val="32"/>
        </w:rPr>
        <w:t>（6）《DB22/T 3466-2023  脑卒中高危人群中医综合干预规范》《DB22/T 2200-2014  社区脑卒中高危人群筛查与防治规范》《DB22/T 1703-2012  脑卒中二级预防门诊治疗规范》主要规定了脑卒中高危人群的筛查与防治、中医综合干预以及脑卒中二级预防的治疗要求；本标准针对的是缺血性中风的中西医结合诊疗，与上述标准对比，标准化对象不同。</w:t>
      </w:r>
    </w:p>
    <w:p w:rsidR="00572126" w:rsidRDefault="00DE626B">
      <w:pPr>
        <w:ind w:firstLineChars="200" w:firstLine="640"/>
        <w:rPr>
          <w:rFonts w:ascii="仿宋" w:eastAsia="仿宋" w:hAnsi="仿宋" w:hint="eastAsia"/>
          <w:sz w:val="32"/>
          <w:szCs w:val="32"/>
        </w:rPr>
      </w:pPr>
      <w:r>
        <w:rPr>
          <w:rFonts w:ascii="仿宋" w:eastAsia="仿宋" w:hAnsi="仿宋" w:hint="eastAsia"/>
          <w:sz w:val="32"/>
          <w:szCs w:val="32"/>
        </w:rPr>
        <w:t>（7）《DB13/T 5313-2020  脑卒中医学影像诊断流程与规范》《T/NAHIEM 49-2022  脑卒中一站式多模态影像评估及救治手术室配置要求》主要规定了脑卒中的医学影像学检查内容、检查流程、影像解读以及救治手术室配置等。本标准针对的是缺血性中风的中西医结合诊疗，与上述标准对比，标准化对象不同。</w:t>
      </w:r>
    </w:p>
    <w:p w:rsidR="009D5955" w:rsidRDefault="009D5955" w:rsidP="009D5955">
      <w:pPr>
        <w:pStyle w:val="BodyText2"/>
        <w:rPr>
          <w:rFonts w:hint="eastAsia"/>
        </w:rPr>
      </w:pPr>
    </w:p>
    <w:p w:rsidR="009D5955" w:rsidRPr="009D5955" w:rsidRDefault="009D5955" w:rsidP="009D5955">
      <w:pPr>
        <w:pStyle w:val="BodyText2"/>
      </w:pPr>
    </w:p>
    <w:p w:rsidR="00572126" w:rsidRDefault="00DE626B">
      <w:pPr>
        <w:spacing w:before="240" w:after="60"/>
        <w:ind w:firstLineChars="200" w:firstLine="640"/>
        <w:jc w:val="left"/>
        <w:outlineLvl w:val="0"/>
        <w:rPr>
          <w:rFonts w:ascii="黑体" w:eastAsia="黑体" w:hAnsi="黑体"/>
          <w:bCs/>
          <w:sz w:val="32"/>
          <w:szCs w:val="32"/>
        </w:rPr>
      </w:pPr>
      <w:r>
        <w:rPr>
          <w:rFonts w:ascii="黑体" w:eastAsia="黑体" w:hAnsi="黑体"/>
          <w:bCs/>
          <w:sz w:val="32"/>
          <w:szCs w:val="32"/>
        </w:rPr>
        <w:lastRenderedPageBreak/>
        <w:t>五、</w:t>
      </w:r>
      <w:r>
        <w:rPr>
          <w:rFonts w:ascii="黑体" w:eastAsia="黑体" w:hAnsi="黑体" w:hint="eastAsia"/>
          <w:bCs/>
          <w:sz w:val="32"/>
          <w:szCs w:val="32"/>
        </w:rPr>
        <w:t>主要条款的说明</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团体标准《缺血性中风诊疗规范》主要内容包括规定了缺血性中风诊疗的诊断、治疗等要求。在借鉴国内相关标准的基础上，结合广西中医药大学第一附属医院等单位实际要求，并征求相关专家意见后起草制定，经实践验证，具有科学性、实用性和可操作性，适用于规范广西缺血性中风诊疗人员的工作。通过制定团体标准，旨在规范缺血性中风诊疗技术。该标准主要内容及依据来源说明如下：</w:t>
      </w:r>
    </w:p>
    <w:p w:rsidR="00572126" w:rsidRDefault="00DE626B">
      <w:pPr>
        <w:spacing w:line="560" w:lineRule="exact"/>
        <w:ind w:firstLineChars="200" w:firstLine="643"/>
        <w:rPr>
          <w:rFonts w:ascii="楷体" w:eastAsia="楷体" w:hAnsi="楷体"/>
          <w:b/>
          <w:sz w:val="32"/>
          <w:szCs w:val="32"/>
        </w:rPr>
      </w:pPr>
      <w:r>
        <w:rPr>
          <w:rFonts w:ascii="宋体" w:hAnsi="宋体" w:cs="宋体" w:hint="eastAsia"/>
          <w:b/>
          <w:sz w:val="32"/>
          <w:szCs w:val="32"/>
        </w:rPr>
        <w:t>（一）诊断</w:t>
      </w:r>
    </w:p>
    <w:p w:rsidR="00572126" w:rsidRDefault="00DE626B">
      <w:pPr>
        <w:widowControl/>
        <w:autoSpaceDE w:val="0"/>
        <w:autoSpaceDN w:val="0"/>
        <w:spacing w:line="560" w:lineRule="exact"/>
        <w:ind w:firstLineChars="200" w:firstLine="643"/>
        <w:rPr>
          <w:rFonts w:ascii="仿宋" w:eastAsia="仿宋" w:hAnsi="仿宋"/>
          <w:color w:val="000000" w:themeColor="text1"/>
          <w:sz w:val="32"/>
          <w:szCs w:val="32"/>
        </w:rPr>
      </w:pPr>
      <w:r>
        <w:rPr>
          <w:rFonts w:ascii="仿宋" w:eastAsia="仿宋" w:hAnsi="仿宋" w:hint="eastAsia"/>
          <w:b/>
          <w:bCs/>
          <w:color w:val="000000" w:themeColor="text1"/>
          <w:sz w:val="32"/>
          <w:szCs w:val="32"/>
        </w:rPr>
        <w:t>中医诊断</w:t>
      </w:r>
      <w:r>
        <w:rPr>
          <w:rFonts w:ascii="仿宋" w:eastAsia="仿宋" w:hAnsi="仿宋" w:hint="eastAsia"/>
          <w:color w:val="000000" w:themeColor="text1"/>
          <w:sz w:val="32"/>
          <w:szCs w:val="32"/>
        </w:rPr>
        <w:t>：从中医诊断明确中风病的主要临床表现，尤其在没有影像资料的时候，目前规范的中风五大症是在长期临床观察中总结而出的，包括突然昏扑、半身不遂、口舌歪斜、言语不利、偏身麻木。中医诊断首先根据病情严重程度，以神志改变为要点区分中经络、中脏腑。病位较浅，脑髓神机受损程度轻，中脏腑病位深、病情较重，预后也差。其次根据病程的长短分期，一般认为发病2周以内属急性期，发病2周－6个月为恢复期，发病一年以上为后遗症期。急性期以实证居多，主要以风证、痰湿证、血</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证为主，并往往以</w:t>
      </w:r>
      <w:proofErr w:type="gramStart"/>
      <w:r>
        <w:rPr>
          <w:rFonts w:ascii="仿宋" w:eastAsia="仿宋" w:hAnsi="仿宋" w:hint="eastAsia"/>
          <w:color w:val="000000" w:themeColor="text1"/>
          <w:sz w:val="32"/>
          <w:szCs w:val="32"/>
        </w:rPr>
        <w:t>组合证</w:t>
      </w:r>
      <w:proofErr w:type="gramEnd"/>
      <w:r>
        <w:rPr>
          <w:rFonts w:ascii="仿宋" w:eastAsia="仿宋" w:hAnsi="仿宋" w:hint="eastAsia"/>
          <w:color w:val="000000" w:themeColor="text1"/>
          <w:sz w:val="32"/>
          <w:szCs w:val="32"/>
        </w:rPr>
        <w:t>型多见。在恢复期和后遗症期主要以虚证或虚实夹杂为主，气虚、阴虚或气虚血</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、阴虚阳</w:t>
      </w:r>
      <w:proofErr w:type="gramStart"/>
      <w:r>
        <w:rPr>
          <w:rFonts w:ascii="仿宋" w:eastAsia="仿宋" w:hAnsi="仿宋" w:hint="eastAsia"/>
          <w:color w:val="000000" w:themeColor="text1"/>
          <w:sz w:val="32"/>
          <w:szCs w:val="32"/>
        </w:rPr>
        <w:t>亢</w:t>
      </w:r>
      <w:proofErr w:type="gramEnd"/>
      <w:r>
        <w:rPr>
          <w:rFonts w:ascii="仿宋" w:eastAsia="仿宋" w:hAnsi="仿宋" w:hint="eastAsia"/>
          <w:color w:val="000000" w:themeColor="text1"/>
          <w:sz w:val="32"/>
          <w:szCs w:val="32"/>
        </w:rPr>
        <w:t>为多。因此，分期辨证也能从一定程度上反映论治的要点。最后根据四诊</w:t>
      </w:r>
      <w:proofErr w:type="gramStart"/>
      <w:r>
        <w:rPr>
          <w:rFonts w:ascii="仿宋" w:eastAsia="仿宋" w:hAnsi="仿宋" w:hint="eastAsia"/>
          <w:color w:val="000000" w:themeColor="text1"/>
          <w:sz w:val="32"/>
          <w:szCs w:val="32"/>
        </w:rPr>
        <w:t>合参分辨证</w:t>
      </w:r>
      <w:proofErr w:type="gramEnd"/>
      <w:r>
        <w:rPr>
          <w:rFonts w:ascii="仿宋" w:eastAsia="仿宋" w:hAnsi="仿宋" w:hint="eastAsia"/>
          <w:color w:val="000000" w:themeColor="text1"/>
          <w:sz w:val="32"/>
          <w:szCs w:val="32"/>
        </w:rPr>
        <w:t>分型。目前使用比较多的分型主要包括：风火上扰、阴虚风动、痰</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阻络、痰热</w:t>
      </w:r>
      <w:proofErr w:type="gramStart"/>
      <w:r>
        <w:rPr>
          <w:rFonts w:ascii="仿宋" w:eastAsia="仿宋" w:hAnsi="仿宋" w:hint="eastAsia"/>
          <w:color w:val="000000" w:themeColor="text1"/>
          <w:sz w:val="32"/>
          <w:szCs w:val="32"/>
        </w:rPr>
        <w:t>腑</w:t>
      </w:r>
      <w:proofErr w:type="gramEnd"/>
      <w:r>
        <w:rPr>
          <w:rFonts w:ascii="仿宋" w:eastAsia="仿宋" w:hAnsi="仿宋" w:hint="eastAsia"/>
          <w:color w:val="000000" w:themeColor="text1"/>
          <w:sz w:val="32"/>
          <w:szCs w:val="32"/>
        </w:rPr>
        <w:t>实、气虚血</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。综上所诉，将缺血性中风</w:t>
      </w:r>
      <w:r>
        <w:rPr>
          <w:rFonts w:ascii="仿宋" w:eastAsia="仿宋" w:hAnsi="仿宋" w:hint="eastAsia"/>
          <w:b/>
          <w:bCs/>
          <w:color w:val="000000" w:themeColor="text1"/>
          <w:sz w:val="32"/>
          <w:szCs w:val="32"/>
        </w:rPr>
        <w:t>主症</w:t>
      </w:r>
      <w:r>
        <w:rPr>
          <w:rFonts w:ascii="仿宋" w:eastAsia="仿宋" w:hAnsi="仿宋" w:hint="eastAsia"/>
          <w:color w:val="000000" w:themeColor="text1"/>
          <w:sz w:val="32"/>
          <w:szCs w:val="32"/>
        </w:rPr>
        <w:t>定为：半身不遂，神识昏蒙，舌</w:t>
      </w:r>
      <w:proofErr w:type="gramStart"/>
      <w:r>
        <w:rPr>
          <w:rFonts w:ascii="仿宋" w:eastAsia="仿宋" w:hAnsi="仿宋" w:hint="eastAsia"/>
          <w:color w:val="000000" w:themeColor="text1"/>
          <w:sz w:val="32"/>
          <w:szCs w:val="32"/>
        </w:rPr>
        <w:t>强语言</w:t>
      </w:r>
      <w:proofErr w:type="gramEnd"/>
      <w:r>
        <w:rPr>
          <w:rFonts w:ascii="仿宋" w:eastAsia="仿宋" w:hAnsi="仿宋" w:hint="eastAsia"/>
          <w:color w:val="000000" w:themeColor="text1"/>
          <w:sz w:val="32"/>
          <w:szCs w:val="32"/>
        </w:rPr>
        <w:t>变涩</w:t>
      </w:r>
      <w:r>
        <w:rPr>
          <w:rFonts w:ascii="仿宋" w:eastAsia="仿宋" w:hAnsi="仿宋" w:hint="eastAsia"/>
          <w:color w:val="000000" w:themeColor="text1"/>
          <w:sz w:val="32"/>
          <w:szCs w:val="32"/>
        </w:rPr>
        <w:lastRenderedPageBreak/>
        <w:t>或失语，偏身感觉异常，口舌歪斜。</w:t>
      </w:r>
      <w:r w:rsidR="0039404F" w:rsidRPr="0039404F">
        <w:rPr>
          <w:rFonts w:ascii="仿宋" w:eastAsia="仿宋" w:hAnsi="仿宋" w:hint="eastAsia"/>
          <w:b/>
          <w:color w:val="000000" w:themeColor="text1"/>
          <w:sz w:val="32"/>
          <w:szCs w:val="32"/>
        </w:rPr>
        <w:t>辩证分型</w:t>
      </w:r>
      <w:r w:rsidR="0039404F" w:rsidRPr="0039404F">
        <w:rPr>
          <w:rFonts w:ascii="仿宋" w:eastAsia="仿宋" w:hAnsi="仿宋" w:hint="eastAsia"/>
          <w:color w:val="000000" w:themeColor="text1"/>
          <w:sz w:val="32"/>
          <w:szCs w:val="32"/>
        </w:rPr>
        <w:t>划分参考全国中医药行业高等教育“十四五”规划教材《中医内科学》（新世纪第五版）</w:t>
      </w:r>
      <w:r w:rsidR="0039404F">
        <w:rPr>
          <w:rFonts w:ascii="仿宋" w:eastAsia="仿宋" w:hAnsi="仿宋" w:hint="eastAsia"/>
          <w:color w:val="000000" w:themeColor="text1"/>
          <w:sz w:val="32"/>
          <w:szCs w:val="32"/>
        </w:rPr>
        <w:t>。</w:t>
      </w:r>
    </w:p>
    <w:p w:rsidR="00572126" w:rsidRDefault="00DE626B">
      <w:pPr>
        <w:widowControl/>
        <w:autoSpaceDE w:val="0"/>
        <w:autoSpaceDN w:val="0"/>
        <w:spacing w:line="560" w:lineRule="exact"/>
        <w:ind w:firstLineChars="200" w:firstLine="643"/>
        <w:rPr>
          <w:rFonts w:ascii="仿宋" w:eastAsia="仿宋" w:hAnsi="仿宋"/>
          <w:color w:val="000000" w:themeColor="text1"/>
          <w:sz w:val="32"/>
          <w:szCs w:val="32"/>
        </w:rPr>
      </w:pPr>
      <w:r>
        <w:rPr>
          <w:rFonts w:ascii="仿宋" w:eastAsia="仿宋" w:hAnsi="仿宋" w:hint="eastAsia"/>
          <w:b/>
          <w:bCs/>
          <w:color w:val="000000" w:themeColor="text1"/>
          <w:sz w:val="32"/>
          <w:szCs w:val="32"/>
        </w:rPr>
        <w:t>西医诊断</w:t>
      </w:r>
      <w:r>
        <w:rPr>
          <w:rFonts w:ascii="仿宋" w:eastAsia="仿宋" w:hAnsi="仿宋" w:hint="eastAsia"/>
          <w:color w:val="000000" w:themeColor="text1"/>
          <w:sz w:val="32"/>
          <w:szCs w:val="32"/>
        </w:rPr>
        <w:t>：缺血性脑卒中是各种原因所致的局部脑组织区域血流供应障碍，导致脑组织缺血缺氧性病变坏死，进而产生相对应的局灶神</w:t>
      </w:r>
      <w:proofErr w:type="gramStart"/>
      <w:r>
        <w:rPr>
          <w:rFonts w:ascii="仿宋" w:eastAsia="仿宋" w:hAnsi="仿宋" w:hint="eastAsia"/>
          <w:color w:val="000000" w:themeColor="text1"/>
          <w:sz w:val="32"/>
          <w:szCs w:val="32"/>
        </w:rPr>
        <w:t>经功能</w:t>
      </w:r>
      <w:proofErr w:type="gramEnd"/>
      <w:r>
        <w:rPr>
          <w:rFonts w:ascii="仿宋" w:eastAsia="仿宋" w:hAnsi="仿宋" w:hint="eastAsia"/>
          <w:color w:val="000000" w:themeColor="text1"/>
          <w:sz w:val="32"/>
          <w:szCs w:val="32"/>
        </w:rPr>
        <w:t>缺失的表现。现代研究缺血性脑卒中的高危病因包括不可干预因素:如高龄、性别;可干预因素有:高血压、糖尿病、冠心病、血脂异常、吸烟、重度饮酒等。西医的诊断要点为CT或MＲI提示存在和临床症状及体征一致的脑部症状。因为影像资料可在第一时间明确病变累及部位及其责任血管。</w:t>
      </w:r>
    </w:p>
    <w:p w:rsidR="00572126" w:rsidRDefault="00DE626B">
      <w:pPr>
        <w:widowControl/>
        <w:autoSpaceDE w:val="0"/>
        <w:autoSpaceDN w:val="0"/>
        <w:spacing w:line="560" w:lineRule="exact"/>
        <w:ind w:firstLineChars="200" w:firstLine="643"/>
        <w:rPr>
          <w:rFonts w:ascii="仿宋" w:eastAsia="仿宋" w:hAnsi="仿宋"/>
          <w:color w:val="000000" w:themeColor="text1"/>
          <w:sz w:val="32"/>
          <w:szCs w:val="32"/>
        </w:rPr>
      </w:pPr>
      <w:r>
        <w:rPr>
          <w:rFonts w:ascii="仿宋" w:eastAsia="仿宋" w:hAnsi="仿宋" w:hint="eastAsia"/>
          <w:b/>
          <w:bCs/>
          <w:color w:val="000000" w:themeColor="text1"/>
          <w:sz w:val="32"/>
          <w:szCs w:val="32"/>
        </w:rPr>
        <w:t>（二）治疗</w:t>
      </w:r>
    </w:p>
    <w:p w:rsidR="00572126" w:rsidRDefault="00DE626B">
      <w:pPr>
        <w:widowControl/>
        <w:autoSpaceDE w:val="0"/>
        <w:autoSpaceDN w:val="0"/>
        <w:spacing w:line="560" w:lineRule="exact"/>
        <w:ind w:firstLineChars="200" w:firstLine="643"/>
        <w:rPr>
          <w:rFonts w:ascii="仿宋" w:eastAsia="仿宋" w:hAnsi="仿宋"/>
          <w:color w:val="000000" w:themeColor="text1"/>
          <w:sz w:val="32"/>
          <w:szCs w:val="32"/>
        </w:rPr>
      </w:pPr>
      <w:r>
        <w:rPr>
          <w:rFonts w:ascii="仿宋" w:eastAsia="仿宋" w:hAnsi="仿宋" w:hint="eastAsia"/>
          <w:b/>
          <w:bCs/>
          <w:color w:val="000000" w:themeColor="text1"/>
          <w:sz w:val="32"/>
          <w:szCs w:val="32"/>
        </w:rPr>
        <w:t>中医治疗</w:t>
      </w:r>
      <w:r>
        <w:rPr>
          <w:rFonts w:ascii="仿宋" w:eastAsia="仿宋" w:hAnsi="仿宋" w:hint="eastAsia"/>
          <w:color w:val="000000" w:themeColor="text1"/>
          <w:sz w:val="32"/>
          <w:szCs w:val="32"/>
        </w:rPr>
        <w:t>：</w:t>
      </w:r>
      <w:proofErr w:type="gramStart"/>
      <w:r>
        <w:rPr>
          <w:rFonts w:ascii="仿宋" w:eastAsia="仿宋" w:hAnsi="仿宋" w:hint="eastAsia"/>
          <w:color w:val="000000" w:themeColor="text1"/>
          <w:sz w:val="32"/>
          <w:szCs w:val="32"/>
        </w:rPr>
        <w:t>中医分症治疗</w:t>
      </w:r>
      <w:proofErr w:type="gramEnd"/>
      <w:r>
        <w:rPr>
          <w:rFonts w:ascii="仿宋" w:eastAsia="仿宋" w:hAnsi="仿宋" w:hint="eastAsia"/>
          <w:color w:val="000000" w:themeColor="text1"/>
          <w:sz w:val="32"/>
          <w:szCs w:val="32"/>
        </w:rPr>
        <w:t>根据证型分类的要求给出了不同的治法、方药，各种方药均经过广西中医药大学第一附属医院临床验证，治疗的方法主要依据多年的诊疗经验确定。广西中医药大学第一附属医院脑病二区、仙</w:t>
      </w:r>
      <w:proofErr w:type="gramStart"/>
      <w:r>
        <w:rPr>
          <w:rFonts w:ascii="仿宋" w:eastAsia="仿宋" w:hAnsi="仿宋" w:hint="eastAsia"/>
          <w:color w:val="000000" w:themeColor="text1"/>
          <w:sz w:val="32"/>
          <w:szCs w:val="32"/>
        </w:rPr>
        <w:t>葫</w:t>
      </w:r>
      <w:proofErr w:type="gramEnd"/>
      <w:r>
        <w:rPr>
          <w:rFonts w:ascii="仿宋" w:eastAsia="仿宋" w:hAnsi="仿宋" w:hint="eastAsia"/>
          <w:color w:val="000000" w:themeColor="text1"/>
          <w:sz w:val="32"/>
          <w:szCs w:val="32"/>
        </w:rPr>
        <w:t>脑病科致力于脑卒中诊治的规范化建设，设有卒中绿色通道、卒中专病随访档案、卒中重症监护床位</w:t>
      </w:r>
      <w:proofErr w:type="gramStart"/>
      <w:r>
        <w:rPr>
          <w:rFonts w:ascii="仿宋" w:eastAsia="仿宋" w:hAnsi="仿宋" w:hint="eastAsia"/>
          <w:color w:val="000000" w:themeColor="text1"/>
          <w:sz w:val="32"/>
          <w:szCs w:val="32"/>
        </w:rPr>
        <w:t>以及以及</w:t>
      </w:r>
      <w:proofErr w:type="gramEnd"/>
      <w:r>
        <w:rPr>
          <w:rFonts w:ascii="仿宋" w:eastAsia="仿宋" w:hAnsi="仿宋" w:hint="eastAsia"/>
          <w:color w:val="000000" w:themeColor="text1"/>
          <w:sz w:val="32"/>
          <w:szCs w:val="32"/>
        </w:rPr>
        <w:t>多学科联合卒中单元。收治卒中</w:t>
      </w:r>
      <w:proofErr w:type="gramStart"/>
      <w:r>
        <w:rPr>
          <w:rFonts w:ascii="仿宋" w:eastAsia="仿宋" w:hAnsi="仿宋" w:hint="eastAsia"/>
          <w:color w:val="000000" w:themeColor="text1"/>
          <w:sz w:val="32"/>
          <w:szCs w:val="32"/>
        </w:rPr>
        <w:t>患者超</w:t>
      </w:r>
      <w:proofErr w:type="gramEnd"/>
      <w:r>
        <w:rPr>
          <w:rFonts w:ascii="仿宋" w:eastAsia="仿宋" w:hAnsi="仿宋" w:hint="eastAsia"/>
          <w:color w:val="000000" w:themeColor="text1"/>
          <w:sz w:val="32"/>
          <w:szCs w:val="32"/>
        </w:rPr>
        <w:t>3000人次/年，在区内中医院中率先开展神经介入工作，静脉溶栓超200人次/年，血管内治疗超100人次/年。擅长运用中西医结合疗法治疗急、慢性缺血性中风，科室自主研发的“中风合剂”具有活血通络，祛风除湿，扶正理气之效，顺应广西地区炎热、潮湿、多雨的气候特征与患者多痰、多</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的证型特点。处方用量准确，药物纯净，便</w:t>
      </w:r>
      <w:r>
        <w:rPr>
          <w:rFonts w:ascii="仿宋" w:eastAsia="仿宋" w:hAnsi="仿宋" w:hint="eastAsia"/>
          <w:color w:val="000000" w:themeColor="text1"/>
          <w:sz w:val="32"/>
          <w:szCs w:val="32"/>
        </w:rPr>
        <w:lastRenderedPageBreak/>
        <w:t>于储藏，利于服用，其制备方法已获得国家发明专利授权，在临床应用多年，疗效显著，广受好评。</w:t>
      </w:r>
    </w:p>
    <w:p w:rsidR="00DE626B"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风痰阻络证：治法宜祛风化痰，活血通络。推荐方药：半夏白术天麻汤合桃仁红花</w:t>
      </w:r>
      <w:proofErr w:type="gramStart"/>
      <w:r>
        <w:rPr>
          <w:rFonts w:ascii="仿宋" w:eastAsia="仿宋" w:hAnsi="仿宋" w:hint="eastAsia"/>
          <w:color w:val="000000" w:themeColor="text1"/>
          <w:sz w:val="32"/>
          <w:szCs w:val="32"/>
        </w:rPr>
        <w:t>煎</w:t>
      </w:r>
      <w:proofErr w:type="gramEnd"/>
      <w:r>
        <w:rPr>
          <w:rFonts w:ascii="仿宋" w:eastAsia="仿宋" w:hAnsi="仿宋" w:hint="eastAsia"/>
          <w:color w:val="000000" w:themeColor="text1"/>
          <w:sz w:val="32"/>
          <w:szCs w:val="32"/>
        </w:rPr>
        <w:t>加减。</w:t>
      </w:r>
      <w:r w:rsidRPr="00DE626B">
        <w:rPr>
          <w:rFonts w:ascii="仿宋" w:eastAsia="仿宋" w:hAnsi="仿宋" w:hint="eastAsia"/>
          <w:b/>
          <w:color w:val="000000" w:themeColor="text1"/>
          <w:sz w:val="32"/>
          <w:szCs w:val="32"/>
        </w:rPr>
        <w:t>中成药可选用中风汤（广西中医药大学第一附属医院）。</w:t>
      </w:r>
      <w:r w:rsidRPr="00DE626B">
        <w:rPr>
          <w:rFonts w:ascii="仿宋" w:eastAsia="仿宋" w:hAnsi="仿宋" w:hint="eastAsia"/>
          <w:color w:val="000000" w:themeColor="text1"/>
          <w:sz w:val="32"/>
          <w:szCs w:val="32"/>
        </w:rPr>
        <w:t>中风合剂是本课题组在经典方化痰通络</w:t>
      </w:r>
      <w:proofErr w:type="gramStart"/>
      <w:r w:rsidRPr="00DE626B">
        <w:rPr>
          <w:rFonts w:ascii="仿宋" w:eastAsia="仿宋" w:hAnsi="仿宋" w:hint="eastAsia"/>
          <w:color w:val="000000" w:themeColor="text1"/>
          <w:sz w:val="32"/>
          <w:szCs w:val="32"/>
        </w:rPr>
        <w:t>汤基础</w:t>
      </w:r>
      <w:proofErr w:type="gramEnd"/>
      <w:r w:rsidRPr="00DE626B">
        <w:rPr>
          <w:rFonts w:ascii="仿宋" w:eastAsia="仿宋" w:hAnsi="仿宋" w:hint="eastAsia"/>
          <w:color w:val="000000" w:themeColor="text1"/>
          <w:sz w:val="32"/>
          <w:szCs w:val="32"/>
        </w:rPr>
        <w:t>上，根据岭南地区中风病的中医证候特征加减而成，具有健脾化痰，活血通络之功效，是治疗缺血性脑卒中的有效方剂，已申请获得国家专利（专利号：ZL 2021 1 1292411.9）。</w:t>
      </w:r>
    </w:p>
    <w:p w:rsidR="00662406" w:rsidRDefault="00662406" w:rsidP="00662406">
      <w:pPr>
        <w:pStyle w:val="BodyText2"/>
        <w:spacing w:after="0"/>
      </w:pPr>
      <w:r>
        <w:rPr>
          <w:noProof/>
        </w:rPr>
        <w:drawing>
          <wp:inline distT="0" distB="0" distL="0" distR="0" wp14:anchorId="2666328B" wp14:editId="39ADD856">
            <wp:extent cx="2825750" cy="3765550"/>
            <wp:effectExtent l="0" t="0" r="0" b="0"/>
            <wp:docPr id="1" name="图片 1" descr="F:\360MoveData\Users\Administrator\Documents\WeChat Files\wxid_zhgnyqozomf622\FileStorage\Temp\e9a047b390d6895bed05366e8e2f8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360MoveData\Users\Administrator\Documents\WeChat Files\wxid_zhgnyqozomf622\FileStorage\Temp\e9a047b390d6895bed05366e8e2f84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5750" cy="3765550"/>
                    </a:xfrm>
                    <a:prstGeom prst="rect">
                      <a:avLst/>
                    </a:prstGeom>
                    <a:noFill/>
                    <a:ln>
                      <a:noFill/>
                    </a:ln>
                  </pic:spPr>
                </pic:pic>
              </a:graphicData>
            </a:graphic>
          </wp:inline>
        </w:drawing>
      </w:r>
    </w:p>
    <w:p w:rsidR="00662406" w:rsidRPr="00662406" w:rsidRDefault="00662406" w:rsidP="00662406">
      <w:pPr>
        <w:pStyle w:val="BodyText2"/>
      </w:pPr>
      <w:r w:rsidRPr="00662406">
        <w:rPr>
          <w:rFonts w:hint="eastAsia"/>
        </w:rPr>
        <w:t>图</w:t>
      </w:r>
      <w:r w:rsidRPr="00662406">
        <w:rPr>
          <w:rFonts w:hint="eastAsia"/>
        </w:rPr>
        <w:t xml:space="preserve">1 </w:t>
      </w:r>
      <w:r w:rsidRPr="00662406">
        <w:rPr>
          <w:rFonts w:hint="eastAsia"/>
        </w:rPr>
        <w:t>中风汤（广西中医药大学第一附属医院）</w:t>
      </w:r>
    </w:p>
    <w:p w:rsidR="00DE626B" w:rsidRDefault="00DE626B" w:rsidP="00DE626B">
      <w:pPr>
        <w:widowControl/>
        <w:autoSpaceDE w:val="0"/>
        <w:autoSpaceDN w:val="0"/>
        <w:spacing w:line="560" w:lineRule="exact"/>
        <w:ind w:firstLineChars="200" w:firstLine="643"/>
        <w:rPr>
          <w:rFonts w:ascii="仿宋" w:eastAsia="仿宋" w:hAnsi="仿宋"/>
          <w:color w:val="000000" w:themeColor="text1"/>
          <w:sz w:val="32"/>
          <w:szCs w:val="32"/>
        </w:rPr>
      </w:pPr>
      <w:r w:rsidRPr="00DE626B">
        <w:rPr>
          <w:rFonts w:ascii="仿宋" w:eastAsia="仿宋" w:hAnsi="仿宋" w:hint="eastAsia"/>
          <w:b/>
          <w:color w:val="000000" w:themeColor="text1"/>
          <w:sz w:val="32"/>
          <w:szCs w:val="32"/>
        </w:rPr>
        <w:t>采用回顾性研究方法，纳入急性缺血性脑卒中住院患者395例。</w:t>
      </w:r>
      <w:r w:rsidRPr="00DF342A">
        <w:rPr>
          <w:rFonts w:ascii="仿宋" w:eastAsia="仿宋" w:hAnsi="仿宋" w:hint="eastAsia"/>
          <w:b/>
          <w:color w:val="000000" w:themeColor="text1"/>
          <w:sz w:val="32"/>
          <w:szCs w:val="32"/>
        </w:rPr>
        <w:t>根据患者是否服用中风合剂治疗，分为服用中风合剂的治疗组和未服用中风合剂的对照组，比较两组患者治疗前后美国国立卫生研究院卒中量表（NIHSS）评分变化，评</w:t>
      </w:r>
      <w:r w:rsidRPr="00DF342A">
        <w:rPr>
          <w:rFonts w:ascii="仿宋" w:eastAsia="仿宋" w:hAnsi="仿宋" w:hint="eastAsia"/>
          <w:b/>
          <w:color w:val="000000" w:themeColor="text1"/>
          <w:sz w:val="32"/>
          <w:szCs w:val="32"/>
        </w:rPr>
        <w:lastRenderedPageBreak/>
        <w:t>估中风合剂治疗急性缺血性脑卒中的临床疗效</w:t>
      </w:r>
      <w:r w:rsidRPr="00DE626B">
        <w:rPr>
          <w:rFonts w:ascii="仿宋" w:eastAsia="仿宋" w:hAnsi="仿宋" w:hint="eastAsia"/>
          <w:color w:val="000000" w:themeColor="text1"/>
          <w:sz w:val="32"/>
          <w:szCs w:val="32"/>
        </w:rPr>
        <w:t>。结果　两组患者基线均衡可比（P＞0.05）。治疗</w:t>
      </w:r>
      <w:proofErr w:type="gramStart"/>
      <w:r w:rsidRPr="00DE626B">
        <w:rPr>
          <w:rFonts w:ascii="仿宋" w:eastAsia="仿宋" w:hAnsi="仿宋" w:hint="eastAsia"/>
          <w:color w:val="000000" w:themeColor="text1"/>
          <w:sz w:val="32"/>
          <w:szCs w:val="32"/>
        </w:rPr>
        <w:t>组治疗</w:t>
      </w:r>
      <w:proofErr w:type="gramEnd"/>
      <w:r w:rsidRPr="00DE626B">
        <w:rPr>
          <w:rFonts w:ascii="仿宋" w:eastAsia="仿宋" w:hAnsi="仿宋" w:hint="eastAsia"/>
          <w:color w:val="000000" w:themeColor="text1"/>
          <w:sz w:val="32"/>
          <w:szCs w:val="32"/>
        </w:rPr>
        <w:t>后NIHSS</w:t>
      </w:r>
      <w:proofErr w:type="gramStart"/>
      <w:r w:rsidRPr="00DE626B">
        <w:rPr>
          <w:rFonts w:ascii="仿宋" w:eastAsia="仿宋" w:hAnsi="仿宋" w:hint="eastAsia"/>
          <w:color w:val="000000" w:themeColor="text1"/>
          <w:sz w:val="32"/>
          <w:szCs w:val="32"/>
        </w:rPr>
        <w:t>评分较</w:t>
      </w:r>
      <w:proofErr w:type="gramEnd"/>
      <w:r w:rsidRPr="00DE626B">
        <w:rPr>
          <w:rFonts w:ascii="仿宋" w:eastAsia="仿宋" w:hAnsi="仿宋" w:hint="eastAsia"/>
          <w:color w:val="000000" w:themeColor="text1"/>
          <w:sz w:val="32"/>
          <w:szCs w:val="32"/>
        </w:rPr>
        <w:t>治疗前下降（P&lt;0.001）。治疗组有效率显著高于对照组，差异具有统计学意义(P=0.001)。在轻度、中度、重度神经功能缺损患者中，服用中风合剂的治疗组有效率均显著高于未服用中风合剂的对照组，差异具有统计学意义（均为P&lt;0.05）。亚组分析，男性患者中，治疗组有效率（47.00%）显著高于对照组（23.30%），差异有统计学意义 (P&lt;0.001)；但是在女性患者中，有效率在两组之间的分布差异无统计学意义（P=0.106）。</w:t>
      </w:r>
      <w:r w:rsidRPr="0055263C">
        <w:rPr>
          <w:rFonts w:ascii="仿宋" w:eastAsia="仿宋" w:hAnsi="仿宋" w:hint="eastAsia"/>
          <w:b/>
          <w:color w:val="000000" w:themeColor="text1"/>
          <w:sz w:val="32"/>
          <w:szCs w:val="32"/>
        </w:rPr>
        <w:t>在合并高血压的缺血性脑卒中患者中，治疗组有效率（49.20%）显著高于对照组（23.20%）</w:t>
      </w:r>
      <w:r w:rsidRPr="00DE626B">
        <w:rPr>
          <w:rFonts w:ascii="仿宋" w:eastAsia="仿宋" w:hAnsi="仿宋" w:hint="eastAsia"/>
          <w:color w:val="000000" w:themeColor="text1"/>
          <w:sz w:val="32"/>
          <w:szCs w:val="32"/>
        </w:rPr>
        <w:t>，差异有统计学意义（P=0.001），但是，在无合并高血压病患者中，治疗组与对照组有效率分布差异无统计学意义（P=0.164）。在合并糖尿病的缺血性脑卒中患者中，治疗组有效率（39.50%）显著高于对照组（15.40%），差异有统计学意义（P=0.025）；无合并糖尿病的患者中，治疗组有效率（50.00%）亦显著高于对照组（28.70%），差异也有统计学意义（P=0.001）。</w:t>
      </w:r>
    </w:p>
    <w:p w:rsidR="00DE626B" w:rsidRPr="00DF342A" w:rsidRDefault="00DE626B" w:rsidP="00DF342A">
      <w:pPr>
        <w:spacing w:line="360" w:lineRule="auto"/>
        <w:ind w:firstLineChars="200" w:firstLine="640"/>
        <w:rPr>
          <w:rFonts w:ascii="仿宋" w:eastAsia="仿宋" w:hAnsi="仿宋"/>
          <w:color w:val="000000" w:themeColor="text1"/>
          <w:sz w:val="32"/>
          <w:szCs w:val="32"/>
        </w:rPr>
      </w:pPr>
      <w:r w:rsidRPr="00DE626B">
        <w:rPr>
          <w:rFonts w:ascii="仿宋" w:eastAsia="仿宋" w:hAnsi="仿宋"/>
          <w:color w:val="000000" w:themeColor="text1"/>
          <w:sz w:val="32"/>
          <w:szCs w:val="32"/>
        </w:rPr>
        <w:t>总共纳入</w:t>
      </w:r>
      <w:r w:rsidRPr="00DE626B">
        <w:rPr>
          <w:rFonts w:ascii="仿宋" w:eastAsia="仿宋" w:hAnsi="仿宋" w:hint="eastAsia"/>
          <w:color w:val="000000" w:themeColor="text1"/>
          <w:sz w:val="32"/>
          <w:szCs w:val="32"/>
        </w:rPr>
        <w:t>急性</w:t>
      </w:r>
      <w:r w:rsidRPr="00DE626B">
        <w:rPr>
          <w:rFonts w:ascii="仿宋" w:eastAsia="仿宋" w:hAnsi="仿宋"/>
          <w:color w:val="000000" w:themeColor="text1"/>
          <w:sz w:val="32"/>
          <w:szCs w:val="32"/>
        </w:rPr>
        <w:t>缺血性</w:t>
      </w:r>
      <w:r w:rsidRPr="00DE626B">
        <w:rPr>
          <w:rFonts w:ascii="仿宋" w:eastAsia="仿宋" w:hAnsi="仿宋" w:hint="eastAsia"/>
          <w:color w:val="000000" w:themeColor="text1"/>
          <w:sz w:val="32"/>
          <w:szCs w:val="32"/>
        </w:rPr>
        <w:t>脑卒中</w:t>
      </w:r>
      <w:r w:rsidRPr="00DE626B">
        <w:rPr>
          <w:rFonts w:ascii="仿宋" w:eastAsia="仿宋" w:hAnsi="仿宋"/>
          <w:color w:val="000000" w:themeColor="text1"/>
          <w:sz w:val="32"/>
          <w:szCs w:val="32"/>
        </w:rPr>
        <w:t>患者</w:t>
      </w:r>
      <w:r w:rsidRPr="00DE626B">
        <w:rPr>
          <w:rFonts w:ascii="仿宋" w:eastAsia="仿宋" w:hAnsi="仿宋" w:hint="eastAsia"/>
          <w:color w:val="000000" w:themeColor="text1"/>
          <w:sz w:val="32"/>
          <w:szCs w:val="32"/>
        </w:rPr>
        <w:t>395</w:t>
      </w:r>
      <w:r w:rsidRPr="00DE626B">
        <w:rPr>
          <w:rFonts w:ascii="仿宋" w:eastAsia="仿宋" w:hAnsi="仿宋"/>
          <w:color w:val="000000" w:themeColor="text1"/>
          <w:sz w:val="32"/>
          <w:szCs w:val="32"/>
        </w:rPr>
        <w:t>例，治疗组288例，平均年龄（65.60±10.26）岁，男性</w:t>
      </w:r>
      <w:r w:rsidRPr="00DE626B">
        <w:rPr>
          <w:rFonts w:ascii="仿宋" w:eastAsia="仿宋" w:hAnsi="仿宋" w:hint="eastAsia"/>
          <w:color w:val="000000" w:themeColor="text1"/>
          <w:sz w:val="32"/>
          <w:szCs w:val="32"/>
        </w:rPr>
        <w:t>200</w:t>
      </w:r>
      <w:r w:rsidRPr="00DE626B">
        <w:rPr>
          <w:rFonts w:ascii="仿宋" w:eastAsia="仿宋" w:hAnsi="仿宋"/>
          <w:color w:val="000000" w:themeColor="text1"/>
          <w:sz w:val="32"/>
          <w:szCs w:val="32"/>
        </w:rPr>
        <w:t>例、女性</w:t>
      </w:r>
      <w:r w:rsidRPr="00DE626B">
        <w:rPr>
          <w:rFonts w:ascii="仿宋" w:eastAsia="仿宋" w:hAnsi="仿宋" w:hint="eastAsia"/>
          <w:color w:val="000000" w:themeColor="text1"/>
          <w:sz w:val="32"/>
          <w:szCs w:val="32"/>
        </w:rPr>
        <w:t>8</w:t>
      </w:r>
      <w:r w:rsidRPr="00DE626B">
        <w:rPr>
          <w:rFonts w:ascii="仿宋" w:eastAsia="仿宋" w:hAnsi="仿宋"/>
          <w:color w:val="000000" w:themeColor="text1"/>
          <w:sz w:val="32"/>
          <w:szCs w:val="32"/>
        </w:rPr>
        <w:t>8例</w:t>
      </w:r>
      <w:r w:rsidRPr="00DE626B">
        <w:rPr>
          <w:rFonts w:ascii="仿宋" w:eastAsia="仿宋" w:hAnsi="仿宋" w:hint="eastAsia"/>
          <w:color w:val="000000" w:themeColor="text1"/>
          <w:sz w:val="32"/>
          <w:szCs w:val="32"/>
        </w:rPr>
        <w:t>，其中，</w:t>
      </w:r>
      <w:r w:rsidRPr="00DE626B">
        <w:rPr>
          <w:rFonts w:ascii="仿宋" w:eastAsia="仿宋" w:hAnsi="仿宋"/>
          <w:color w:val="000000" w:themeColor="text1"/>
          <w:sz w:val="32"/>
          <w:szCs w:val="32"/>
        </w:rPr>
        <w:t>187例合并高血压病</w:t>
      </w:r>
      <w:r w:rsidRPr="00DE626B">
        <w:rPr>
          <w:rFonts w:ascii="仿宋" w:eastAsia="仿宋" w:hAnsi="仿宋" w:hint="eastAsia"/>
          <w:color w:val="000000" w:themeColor="text1"/>
          <w:sz w:val="32"/>
          <w:szCs w:val="32"/>
        </w:rPr>
        <w:t>、</w:t>
      </w:r>
      <w:r w:rsidRPr="00DE626B">
        <w:rPr>
          <w:rFonts w:ascii="仿宋" w:eastAsia="仿宋" w:hAnsi="仿宋"/>
          <w:color w:val="000000" w:themeColor="text1"/>
          <w:sz w:val="32"/>
          <w:szCs w:val="32"/>
        </w:rPr>
        <w:t>76例合并糖尿病</w:t>
      </w:r>
      <w:r w:rsidRPr="00DE626B">
        <w:rPr>
          <w:rFonts w:ascii="仿宋" w:eastAsia="仿宋" w:hAnsi="仿宋" w:hint="eastAsia"/>
          <w:color w:val="000000" w:themeColor="text1"/>
          <w:sz w:val="32"/>
          <w:szCs w:val="32"/>
        </w:rPr>
        <w:t>；</w:t>
      </w:r>
      <w:r w:rsidRPr="00DE626B">
        <w:rPr>
          <w:rFonts w:ascii="仿宋" w:eastAsia="仿宋" w:hAnsi="仿宋"/>
          <w:color w:val="000000" w:themeColor="text1"/>
          <w:sz w:val="32"/>
          <w:szCs w:val="32"/>
        </w:rPr>
        <w:t>对照组107例，平均年龄（65.61±10.99）岁，男性</w:t>
      </w:r>
      <w:r w:rsidRPr="00DE626B">
        <w:rPr>
          <w:rFonts w:ascii="仿宋" w:eastAsia="仿宋" w:hAnsi="仿宋" w:hint="eastAsia"/>
          <w:color w:val="000000" w:themeColor="text1"/>
          <w:sz w:val="32"/>
          <w:szCs w:val="32"/>
        </w:rPr>
        <w:t>73</w:t>
      </w:r>
      <w:r w:rsidRPr="00DE626B">
        <w:rPr>
          <w:rFonts w:ascii="仿宋" w:eastAsia="仿宋" w:hAnsi="仿宋"/>
          <w:color w:val="000000" w:themeColor="text1"/>
          <w:sz w:val="32"/>
          <w:szCs w:val="32"/>
        </w:rPr>
        <w:t>例、女性</w:t>
      </w:r>
      <w:r w:rsidRPr="00DE626B">
        <w:rPr>
          <w:rFonts w:ascii="仿宋" w:eastAsia="仿宋" w:hAnsi="仿宋" w:hint="eastAsia"/>
          <w:color w:val="000000" w:themeColor="text1"/>
          <w:sz w:val="32"/>
          <w:szCs w:val="32"/>
        </w:rPr>
        <w:t>34</w:t>
      </w:r>
      <w:r w:rsidRPr="00DE626B">
        <w:rPr>
          <w:rFonts w:ascii="仿宋" w:eastAsia="仿宋" w:hAnsi="仿宋"/>
          <w:color w:val="000000" w:themeColor="text1"/>
          <w:sz w:val="32"/>
          <w:szCs w:val="32"/>
        </w:rPr>
        <w:t>例</w:t>
      </w:r>
      <w:r w:rsidRPr="00DE626B">
        <w:rPr>
          <w:rFonts w:ascii="仿宋" w:eastAsia="仿宋" w:hAnsi="仿宋" w:hint="eastAsia"/>
          <w:color w:val="000000" w:themeColor="text1"/>
          <w:sz w:val="32"/>
          <w:szCs w:val="32"/>
        </w:rPr>
        <w:t>，其中，69</w:t>
      </w:r>
      <w:r w:rsidRPr="00DE626B">
        <w:rPr>
          <w:rFonts w:ascii="仿宋" w:eastAsia="仿宋" w:hAnsi="仿宋"/>
          <w:color w:val="000000" w:themeColor="text1"/>
          <w:sz w:val="32"/>
          <w:szCs w:val="32"/>
        </w:rPr>
        <w:t>例合并高血压病</w:t>
      </w:r>
      <w:r w:rsidRPr="00DE626B">
        <w:rPr>
          <w:rFonts w:ascii="仿宋" w:eastAsia="仿宋" w:hAnsi="仿宋" w:hint="eastAsia"/>
          <w:color w:val="000000" w:themeColor="text1"/>
          <w:sz w:val="32"/>
          <w:szCs w:val="32"/>
        </w:rPr>
        <w:t>、2</w:t>
      </w:r>
      <w:r w:rsidRPr="00DE626B">
        <w:rPr>
          <w:rFonts w:ascii="仿宋" w:eastAsia="仿宋" w:hAnsi="仿宋"/>
          <w:color w:val="000000" w:themeColor="text1"/>
          <w:sz w:val="32"/>
          <w:szCs w:val="32"/>
        </w:rPr>
        <w:t>6例合并糖尿病</w:t>
      </w:r>
      <w:r w:rsidRPr="00DE626B">
        <w:rPr>
          <w:rFonts w:ascii="仿宋" w:eastAsia="仿宋" w:hAnsi="仿宋" w:hint="eastAsia"/>
          <w:color w:val="000000" w:themeColor="text1"/>
          <w:sz w:val="32"/>
          <w:szCs w:val="32"/>
        </w:rPr>
        <w:t>。治疗组与对照组患者的基线特征平衡，两组比较差异无统计学意义</w:t>
      </w:r>
      <w:r w:rsidRPr="00DE626B">
        <w:rPr>
          <w:rFonts w:ascii="仿宋" w:eastAsia="仿宋" w:hAnsi="仿宋"/>
          <w:color w:val="000000" w:themeColor="text1"/>
          <w:sz w:val="32"/>
          <w:szCs w:val="32"/>
        </w:rPr>
        <w:t>（P均＞0.05），具有可比性。见表1。</w:t>
      </w:r>
    </w:p>
    <w:tbl>
      <w:tblPr>
        <w:tblpPr w:leftFromText="180" w:rightFromText="180" w:vertAnchor="text" w:horzAnchor="page" w:tblpX="2253" w:tblpY="601"/>
        <w:tblW w:w="8522" w:type="dxa"/>
        <w:tblLook w:val="0000" w:firstRow="0" w:lastRow="0" w:firstColumn="0" w:lastColumn="0" w:noHBand="0" w:noVBand="0"/>
      </w:tblPr>
      <w:tblGrid>
        <w:gridCol w:w="1337"/>
        <w:gridCol w:w="1646"/>
        <w:gridCol w:w="1646"/>
        <w:gridCol w:w="872"/>
        <w:gridCol w:w="1007"/>
        <w:gridCol w:w="1007"/>
        <w:gridCol w:w="1007"/>
      </w:tblGrid>
      <w:tr w:rsidR="00DE626B" w:rsidRPr="00DE626B" w:rsidTr="00DF342A">
        <w:trPr>
          <w:trHeight w:val="280"/>
        </w:trPr>
        <w:tc>
          <w:tcPr>
            <w:tcW w:w="1345" w:type="dxa"/>
            <w:tcBorders>
              <w:top w:val="single" w:sz="4" w:space="0" w:color="auto"/>
              <w:left w:val="nil"/>
              <w:bottom w:val="single" w:sz="4" w:space="0" w:color="auto"/>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r w:rsidRPr="00DE626B">
              <w:rPr>
                <w:rFonts w:ascii="仿宋" w:eastAsia="仿宋" w:hAnsi="仿宋" w:hint="eastAsia"/>
                <w:color w:val="000000" w:themeColor="text1"/>
                <w:sz w:val="24"/>
                <w:szCs w:val="32"/>
              </w:rPr>
              <w:lastRenderedPageBreak/>
              <w:t xml:space="preserve">　</w:t>
            </w:r>
          </w:p>
        </w:tc>
        <w:tc>
          <w:tcPr>
            <w:tcW w:w="1609" w:type="dxa"/>
            <w:tcBorders>
              <w:top w:val="single" w:sz="4" w:space="0" w:color="auto"/>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对照组</w:t>
            </w:r>
            <w:r w:rsidRPr="00DE626B">
              <w:rPr>
                <w:rFonts w:ascii="仿宋" w:eastAsia="仿宋" w:hAnsi="仿宋"/>
                <w:color w:val="000000" w:themeColor="text1"/>
                <w:sz w:val="24"/>
                <w:szCs w:val="32"/>
              </w:rPr>
              <w:t>（N=107）</w:t>
            </w:r>
          </w:p>
        </w:tc>
        <w:tc>
          <w:tcPr>
            <w:tcW w:w="1652" w:type="dxa"/>
            <w:tcBorders>
              <w:top w:val="single" w:sz="4" w:space="0" w:color="auto"/>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治疗</w:t>
            </w:r>
            <w:r w:rsidRPr="00DE626B">
              <w:rPr>
                <w:rFonts w:ascii="仿宋" w:eastAsia="仿宋" w:hAnsi="仿宋"/>
                <w:color w:val="000000" w:themeColor="text1"/>
                <w:sz w:val="24"/>
                <w:szCs w:val="32"/>
              </w:rPr>
              <w:t>组（N=288）</w:t>
            </w:r>
          </w:p>
        </w:tc>
        <w:tc>
          <w:tcPr>
            <w:tcW w:w="877" w:type="dxa"/>
            <w:tcBorders>
              <w:top w:val="single" w:sz="4" w:space="0" w:color="auto"/>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t</w:t>
            </w:r>
          </w:p>
        </w:tc>
        <w:tc>
          <w:tcPr>
            <w:tcW w:w="1013" w:type="dxa"/>
            <w:tcBorders>
              <w:top w:val="single" w:sz="4" w:space="0" w:color="auto"/>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χ2</w:t>
            </w:r>
          </w:p>
        </w:tc>
        <w:tc>
          <w:tcPr>
            <w:tcW w:w="1013" w:type="dxa"/>
            <w:tcBorders>
              <w:top w:val="single" w:sz="4" w:space="0" w:color="auto"/>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P</w:t>
            </w: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280"/>
        </w:trPr>
        <w:tc>
          <w:tcPr>
            <w:tcW w:w="1345"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年龄</w:t>
            </w:r>
          </w:p>
        </w:tc>
        <w:tc>
          <w:tcPr>
            <w:tcW w:w="1609"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65.61±10.99</w:t>
            </w:r>
          </w:p>
        </w:tc>
        <w:tc>
          <w:tcPr>
            <w:tcW w:w="1652"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65.60±10.26</w:t>
            </w:r>
          </w:p>
        </w:tc>
        <w:tc>
          <w:tcPr>
            <w:tcW w:w="877"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0.003</w:t>
            </w: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w:t>
            </w: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0.998</w:t>
            </w: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280"/>
        </w:trPr>
        <w:tc>
          <w:tcPr>
            <w:tcW w:w="1345"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性别</w:t>
            </w:r>
          </w:p>
        </w:tc>
        <w:tc>
          <w:tcPr>
            <w:tcW w:w="1609"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652"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877"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w:t>
            </w: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0.054</w:t>
            </w: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0.816</w:t>
            </w: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330"/>
        </w:trPr>
        <w:tc>
          <w:tcPr>
            <w:tcW w:w="1345"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男</w:t>
            </w:r>
          </w:p>
        </w:tc>
        <w:tc>
          <w:tcPr>
            <w:tcW w:w="1609"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73(26.70)</w:t>
            </w:r>
          </w:p>
        </w:tc>
        <w:tc>
          <w:tcPr>
            <w:tcW w:w="1652"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200(73.30)</w:t>
            </w:r>
          </w:p>
        </w:tc>
        <w:tc>
          <w:tcPr>
            <w:tcW w:w="877"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280"/>
        </w:trPr>
        <w:tc>
          <w:tcPr>
            <w:tcW w:w="1345"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女</w:t>
            </w:r>
          </w:p>
        </w:tc>
        <w:tc>
          <w:tcPr>
            <w:tcW w:w="1609"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34(27.90)</w:t>
            </w:r>
          </w:p>
        </w:tc>
        <w:tc>
          <w:tcPr>
            <w:tcW w:w="1652"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88(72.10)</w:t>
            </w:r>
          </w:p>
        </w:tc>
        <w:tc>
          <w:tcPr>
            <w:tcW w:w="877"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330"/>
        </w:trPr>
        <w:tc>
          <w:tcPr>
            <w:tcW w:w="1345"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高血压史</w:t>
            </w:r>
          </w:p>
        </w:tc>
        <w:tc>
          <w:tcPr>
            <w:tcW w:w="1609"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652"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877"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w:t>
            </w: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0.009</w:t>
            </w: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0.923</w:t>
            </w: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280"/>
        </w:trPr>
        <w:tc>
          <w:tcPr>
            <w:tcW w:w="1345"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有</w:t>
            </w:r>
          </w:p>
        </w:tc>
        <w:tc>
          <w:tcPr>
            <w:tcW w:w="1609"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69(27.00)</w:t>
            </w:r>
          </w:p>
        </w:tc>
        <w:tc>
          <w:tcPr>
            <w:tcW w:w="1652"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187(73.00)</w:t>
            </w:r>
          </w:p>
        </w:tc>
        <w:tc>
          <w:tcPr>
            <w:tcW w:w="877"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280"/>
        </w:trPr>
        <w:tc>
          <w:tcPr>
            <w:tcW w:w="1345"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无</w:t>
            </w:r>
          </w:p>
        </w:tc>
        <w:tc>
          <w:tcPr>
            <w:tcW w:w="1609"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37(27.40)</w:t>
            </w:r>
          </w:p>
        </w:tc>
        <w:tc>
          <w:tcPr>
            <w:tcW w:w="1652"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98(72.60)</w:t>
            </w:r>
          </w:p>
        </w:tc>
        <w:tc>
          <w:tcPr>
            <w:tcW w:w="877"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280"/>
        </w:trPr>
        <w:tc>
          <w:tcPr>
            <w:tcW w:w="1345"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糖尿病史</w:t>
            </w:r>
          </w:p>
        </w:tc>
        <w:tc>
          <w:tcPr>
            <w:tcW w:w="1609"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652"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877"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w:t>
            </w: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0.199</w:t>
            </w: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0.655</w:t>
            </w: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280"/>
        </w:trPr>
        <w:tc>
          <w:tcPr>
            <w:tcW w:w="1345"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有</w:t>
            </w:r>
          </w:p>
        </w:tc>
        <w:tc>
          <w:tcPr>
            <w:tcW w:w="1609"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26(25.50)</w:t>
            </w:r>
          </w:p>
        </w:tc>
        <w:tc>
          <w:tcPr>
            <w:tcW w:w="1652"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76(74.50)</w:t>
            </w:r>
          </w:p>
        </w:tc>
        <w:tc>
          <w:tcPr>
            <w:tcW w:w="877"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r w:rsidR="00DE626B" w:rsidRPr="00DE626B" w:rsidTr="00DF342A">
        <w:trPr>
          <w:trHeight w:val="280"/>
        </w:trPr>
        <w:tc>
          <w:tcPr>
            <w:tcW w:w="1345" w:type="dxa"/>
            <w:tcBorders>
              <w:top w:val="nil"/>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hint="eastAsia"/>
                <w:color w:val="000000" w:themeColor="text1"/>
                <w:sz w:val="24"/>
                <w:szCs w:val="32"/>
              </w:rPr>
              <w:t>无</w:t>
            </w:r>
          </w:p>
        </w:tc>
        <w:tc>
          <w:tcPr>
            <w:tcW w:w="1609" w:type="dxa"/>
            <w:tcBorders>
              <w:top w:val="nil"/>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80(27.80)</w:t>
            </w:r>
          </w:p>
        </w:tc>
        <w:tc>
          <w:tcPr>
            <w:tcW w:w="1652" w:type="dxa"/>
            <w:tcBorders>
              <w:top w:val="nil"/>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r w:rsidRPr="00DE626B">
              <w:rPr>
                <w:rFonts w:ascii="仿宋" w:eastAsia="仿宋" w:hAnsi="仿宋"/>
                <w:color w:val="000000" w:themeColor="text1"/>
                <w:sz w:val="24"/>
                <w:szCs w:val="32"/>
              </w:rPr>
              <w:t>208(72.90)</w:t>
            </w:r>
          </w:p>
        </w:tc>
        <w:tc>
          <w:tcPr>
            <w:tcW w:w="877" w:type="dxa"/>
            <w:tcBorders>
              <w:top w:val="nil"/>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single" w:sz="4" w:space="0" w:color="auto"/>
              <w:right w:val="nil"/>
            </w:tcBorders>
            <w:noWrap/>
            <w:vAlign w:val="center"/>
          </w:tcPr>
          <w:p w:rsidR="00DE626B" w:rsidRPr="00DE626B" w:rsidRDefault="00DE626B" w:rsidP="00DE626B">
            <w:pPr>
              <w:widowControl/>
              <w:jc w:val="center"/>
              <w:rPr>
                <w:rFonts w:ascii="仿宋" w:eastAsia="仿宋" w:hAnsi="仿宋"/>
                <w:color w:val="000000" w:themeColor="text1"/>
                <w:sz w:val="24"/>
                <w:szCs w:val="32"/>
              </w:rPr>
            </w:pPr>
          </w:p>
        </w:tc>
        <w:tc>
          <w:tcPr>
            <w:tcW w:w="1013" w:type="dxa"/>
            <w:tcBorders>
              <w:top w:val="nil"/>
              <w:left w:val="nil"/>
              <w:bottom w:val="nil"/>
              <w:right w:val="nil"/>
            </w:tcBorders>
            <w:noWrap/>
            <w:vAlign w:val="center"/>
          </w:tcPr>
          <w:p w:rsidR="00DE626B" w:rsidRPr="00DE626B" w:rsidRDefault="00DE626B" w:rsidP="00DE626B">
            <w:pPr>
              <w:widowControl/>
              <w:jc w:val="left"/>
              <w:rPr>
                <w:rFonts w:ascii="仿宋" w:eastAsia="仿宋" w:hAnsi="仿宋"/>
                <w:color w:val="000000" w:themeColor="text1"/>
                <w:sz w:val="24"/>
                <w:szCs w:val="32"/>
              </w:rPr>
            </w:pPr>
          </w:p>
        </w:tc>
      </w:tr>
    </w:tbl>
    <w:p w:rsidR="00DF342A" w:rsidRDefault="00DF342A" w:rsidP="00DF342A">
      <w:pPr>
        <w:spacing w:line="360" w:lineRule="auto"/>
        <w:jc w:val="center"/>
        <w:rPr>
          <w:rFonts w:ascii="Calibri" w:hAnsi="Calibri"/>
          <w:b/>
          <w:sz w:val="24"/>
        </w:rPr>
      </w:pPr>
      <w:r w:rsidRPr="00DE626B">
        <w:rPr>
          <w:rFonts w:ascii="仿宋" w:eastAsia="仿宋" w:hAnsi="仿宋" w:hint="eastAsia"/>
          <w:color w:val="000000" w:themeColor="text1"/>
          <w:sz w:val="24"/>
          <w:szCs w:val="32"/>
        </w:rPr>
        <w:t>表1 395例急性缺血性脑卒中患者基线资料比较</w:t>
      </w:r>
    </w:p>
    <w:p w:rsidR="00DE626B" w:rsidRPr="00DF342A" w:rsidRDefault="00DE626B" w:rsidP="00DF342A">
      <w:pPr>
        <w:spacing w:line="360" w:lineRule="auto"/>
        <w:ind w:firstLineChars="200" w:firstLine="640"/>
        <w:rPr>
          <w:rFonts w:ascii="仿宋" w:eastAsia="仿宋" w:hAnsi="仿宋"/>
          <w:color w:val="000000" w:themeColor="text1"/>
          <w:sz w:val="32"/>
          <w:szCs w:val="32"/>
        </w:rPr>
      </w:pPr>
      <w:r w:rsidRPr="00DF342A">
        <w:rPr>
          <w:rFonts w:ascii="仿宋" w:eastAsia="仿宋" w:hAnsi="仿宋"/>
          <w:color w:val="000000" w:themeColor="text1"/>
          <w:sz w:val="32"/>
          <w:szCs w:val="32"/>
        </w:rPr>
        <w:t>治疗前</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治疗组与对照组患者的NIHSS评分差异无统计学意义（P＞0.05）</w:t>
      </w:r>
      <w:r w:rsidRPr="00DF342A">
        <w:rPr>
          <w:rFonts w:ascii="仿宋" w:eastAsia="仿宋" w:hAnsi="仿宋" w:hint="eastAsia"/>
          <w:color w:val="000000" w:themeColor="text1"/>
          <w:sz w:val="32"/>
          <w:szCs w:val="32"/>
        </w:rPr>
        <w:t>。对照</w:t>
      </w:r>
      <w:proofErr w:type="gramStart"/>
      <w:r w:rsidRPr="00DF342A">
        <w:rPr>
          <w:rFonts w:ascii="仿宋" w:eastAsia="仿宋" w:hAnsi="仿宋" w:hint="eastAsia"/>
          <w:color w:val="000000" w:themeColor="text1"/>
          <w:sz w:val="32"/>
          <w:szCs w:val="32"/>
        </w:rPr>
        <w:t>组治疗</w:t>
      </w:r>
      <w:proofErr w:type="gramEnd"/>
      <w:r w:rsidRPr="00DF342A">
        <w:rPr>
          <w:rFonts w:ascii="仿宋" w:eastAsia="仿宋" w:hAnsi="仿宋" w:hint="eastAsia"/>
          <w:color w:val="000000" w:themeColor="text1"/>
          <w:sz w:val="32"/>
          <w:szCs w:val="32"/>
        </w:rPr>
        <w:t>前后</w:t>
      </w:r>
      <w:r w:rsidRPr="00DF342A">
        <w:rPr>
          <w:rFonts w:ascii="仿宋" w:eastAsia="仿宋" w:hAnsi="仿宋"/>
          <w:color w:val="000000" w:themeColor="text1"/>
          <w:sz w:val="32"/>
          <w:szCs w:val="32"/>
        </w:rPr>
        <w:t>NIHSS评分差异</w:t>
      </w:r>
      <w:r w:rsidRPr="00DF342A">
        <w:rPr>
          <w:rFonts w:ascii="仿宋" w:eastAsia="仿宋" w:hAnsi="仿宋" w:hint="eastAsia"/>
          <w:color w:val="000000" w:themeColor="text1"/>
          <w:sz w:val="32"/>
          <w:szCs w:val="32"/>
        </w:rPr>
        <w:t>有</w:t>
      </w:r>
      <w:r w:rsidRPr="00DF342A">
        <w:rPr>
          <w:rFonts w:ascii="仿宋" w:eastAsia="仿宋" w:hAnsi="仿宋"/>
          <w:color w:val="000000" w:themeColor="text1"/>
          <w:sz w:val="32"/>
          <w:szCs w:val="32"/>
        </w:rPr>
        <w:t>统计学意义（P&lt;0.001）</w:t>
      </w:r>
      <w:r w:rsidRPr="00DF342A">
        <w:rPr>
          <w:rFonts w:ascii="仿宋" w:eastAsia="仿宋" w:hAnsi="仿宋" w:hint="eastAsia"/>
          <w:color w:val="000000" w:themeColor="text1"/>
          <w:sz w:val="32"/>
          <w:szCs w:val="32"/>
        </w:rPr>
        <w:t>；治疗</w:t>
      </w:r>
      <w:proofErr w:type="gramStart"/>
      <w:r w:rsidRPr="00DF342A">
        <w:rPr>
          <w:rFonts w:ascii="仿宋" w:eastAsia="仿宋" w:hAnsi="仿宋" w:hint="eastAsia"/>
          <w:color w:val="000000" w:themeColor="text1"/>
          <w:sz w:val="32"/>
          <w:szCs w:val="32"/>
        </w:rPr>
        <w:t>组治疗</w:t>
      </w:r>
      <w:proofErr w:type="gramEnd"/>
      <w:r w:rsidRPr="00DF342A">
        <w:rPr>
          <w:rFonts w:ascii="仿宋" w:eastAsia="仿宋" w:hAnsi="仿宋" w:hint="eastAsia"/>
          <w:color w:val="000000" w:themeColor="text1"/>
          <w:sz w:val="32"/>
          <w:szCs w:val="32"/>
        </w:rPr>
        <w:t>后</w:t>
      </w:r>
      <w:r w:rsidRPr="00DF342A">
        <w:rPr>
          <w:rFonts w:ascii="仿宋" w:eastAsia="仿宋" w:hAnsi="仿宋"/>
          <w:color w:val="000000" w:themeColor="text1"/>
          <w:sz w:val="32"/>
          <w:szCs w:val="32"/>
        </w:rPr>
        <w:t>NIHSS</w:t>
      </w:r>
      <w:proofErr w:type="gramStart"/>
      <w:r w:rsidRPr="00DF342A">
        <w:rPr>
          <w:rFonts w:ascii="仿宋" w:eastAsia="仿宋" w:hAnsi="仿宋"/>
          <w:color w:val="000000" w:themeColor="text1"/>
          <w:sz w:val="32"/>
          <w:szCs w:val="32"/>
        </w:rPr>
        <w:t>评分较</w:t>
      </w:r>
      <w:proofErr w:type="gramEnd"/>
      <w:r w:rsidRPr="00DF342A">
        <w:rPr>
          <w:rFonts w:ascii="仿宋" w:eastAsia="仿宋" w:hAnsi="仿宋"/>
          <w:color w:val="000000" w:themeColor="text1"/>
          <w:sz w:val="32"/>
          <w:szCs w:val="32"/>
        </w:rPr>
        <w:t>治疗前下降（P&lt;0.001）</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见表2。</w:t>
      </w:r>
    </w:p>
    <w:p w:rsidR="00DE626B" w:rsidRPr="00DF342A" w:rsidRDefault="00DE626B" w:rsidP="00DE626B">
      <w:pPr>
        <w:spacing w:line="360" w:lineRule="auto"/>
        <w:ind w:firstLineChars="1000" w:firstLine="2400"/>
        <w:rPr>
          <w:rFonts w:ascii="仿宋" w:eastAsia="仿宋" w:hAnsi="仿宋"/>
          <w:color w:val="000000" w:themeColor="text1"/>
          <w:sz w:val="24"/>
          <w:szCs w:val="32"/>
        </w:rPr>
      </w:pPr>
      <w:r w:rsidRPr="00DF342A">
        <w:rPr>
          <w:rFonts w:ascii="仿宋" w:eastAsia="仿宋" w:hAnsi="仿宋"/>
          <w:color w:val="000000" w:themeColor="text1"/>
          <w:sz w:val="24"/>
          <w:szCs w:val="32"/>
        </w:rPr>
        <w:t>表2 两组患者治疗前后NIHSS评分比较</w:t>
      </w:r>
    </w:p>
    <w:tbl>
      <w:tblPr>
        <w:tblpPr w:leftFromText="180" w:rightFromText="180" w:vertAnchor="text" w:horzAnchor="margin" w:tblpXSpec="center" w:tblpY="105"/>
        <w:tblW w:w="6520" w:type="dxa"/>
        <w:tblLook w:val="0000" w:firstRow="0" w:lastRow="0" w:firstColumn="0" w:lastColumn="0" w:noHBand="0" w:noVBand="0"/>
      </w:tblPr>
      <w:tblGrid>
        <w:gridCol w:w="1040"/>
        <w:gridCol w:w="1040"/>
        <w:gridCol w:w="1040"/>
        <w:gridCol w:w="1320"/>
        <w:gridCol w:w="1040"/>
        <w:gridCol w:w="1040"/>
      </w:tblGrid>
      <w:tr w:rsidR="00DE626B" w:rsidRPr="00DF342A" w:rsidTr="00DE626B">
        <w:trPr>
          <w:trHeight w:val="312"/>
        </w:trPr>
        <w:tc>
          <w:tcPr>
            <w:tcW w:w="1040" w:type="dxa"/>
            <w:vMerge w:val="restart"/>
            <w:tcBorders>
              <w:top w:val="single" w:sz="4" w:space="0" w:color="auto"/>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组别</w:t>
            </w:r>
          </w:p>
        </w:tc>
        <w:tc>
          <w:tcPr>
            <w:tcW w:w="1040" w:type="dxa"/>
            <w:vMerge w:val="restart"/>
            <w:tcBorders>
              <w:top w:val="single" w:sz="4" w:space="0" w:color="auto"/>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例数</w:t>
            </w:r>
          </w:p>
        </w:tc>
        <w:tc>
          <w:tcPr>
            <w:tcW w:w="1040" w:type="dxa"/>
            <w:vMerge w:val="restart"/>
            <w:tcBorders>
              <w:top w:val="single" w:sz="4" w:space="0" w:color="auto"/>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时间点</w:t>
            </w:r>
          </w:p>
        </w:tc>
        <w:tc>
          <w:tcPr>
            <w:tcW w:w="1320" w:type="dxa"/>
            <w:vMerge w:val="restart"/>
            <w:tcBorders>
              <w:top w:val="single" w:sz="4" w:space="0" w:color="auto"/>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NIHSS</w:t>
            </w:r>
          </w:p>
        </w:tc>
        <w:tc>
          <w:tcPr>
            <w:tcW w:w="1040" w:type="dxa"/>
            <w:vMerge w:val="restart"/>
            <w:tcBorders>
              <w:top w:val="single" w:sz="4" w:space="0" w:color="auto"/>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Z</w:t>
            </w:r>
          </w:p>
        </w:tc>
        <w:tc>
          <w:tcPr>
            <w:tcW w:w="1040" w:type="dxa"/>
            <w:vMerge w:val="restart"/>
            <w:tcBorders>
              <w:top w:val="single" w:sz="4" w:space="0" w:color="auto"/>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P</w:t>
            </w:r>
          </w:p>
        </w:tc>
      </w:tr>
      <w:tr w:rsidR="00DE626B" w:rsidRPr="00DF342A" w:rsidTr="00DE626B">
        <w:trPr>
          <w:trHeight w:val="312"/>
        </w:trPr>
        <w:tc>
          <w:tcPr>
            <w:tcW w:w="1040" w:type="dxa"/>
            <w:vMerge/>
            <w:tcBorders>
              <w:top w:val="single" w:sz="4" w:space="0" w:color="auto"/>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vMerge/>
            <w:tcBorders>
              <w:top w:val="single" w:sz="4" w:space="0" w:color="auto"/>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vMerge/>
            <w:tcBorders>
              <w:top w:val="single" w:sz="4" w:space="0" w:color="auto"/>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320" w:type="dxa"/>
            <w:vMerge/>
            <w:tcBorders>
              <w:top w:val="single" w:sz="4" w:space="0" w:color="auto"/>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vMerge/>
            <w:tcBorders>
              <w:top w:val="single" w:sz="4" w:space="0" w:color="auto"/>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vMerge/>
            <w:tcBorders>
              <w:top w:val="single" w:sz="4" w:space="0" w:color="auto"/>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r>
      <w:tr w:rsidR="00DE626B" w:rsidRPr="00DF342A" w:rsidTr="00DE626B">
        <w:trPr>
          <w:trHeight w:val="280"/>
        </w:trPr>
        <w:tc>
          <w:tcPr>
            <w:tcW w:w="1040"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对照组</w:t>
            </w:r>
          </w:p>
        </w:tc>
        <w:tc>
          <w:tcPr>
            <w:tcW w:w="1040"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107</w:t>
            </w: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治疗前</w:t>
            </w:r>
          </w:p>
        </w:tc>
        <w:tc>
          <w:tcPr>
            <w:tcW w:w="132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3（2，7）</w:t>
            </w:r>
          </w:p>
        </w:tc>
        <w:tc>
          <w:tcPr>
            <w:tcW w:w="1040"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0.358</w:t>
            </w:r>
          </w:p>
        </w:tc>
        <w:tc>
          <w:tcPr>
            <w:tcW w:w="1040"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&lt;0.001</w:t>
            </w:r>
          </w:p>
        </w:tc>
      </w:tr>
      <w:tr w:rsidR="00DE626B" w:rsidRPr="00DF342A" w:rsidTr="00DE626B">
        <w:trPr>
          <w:trHeight w:val="330"/>
        </w:trPr>
        <w:tc>
          <w:tcPr>
            <w:tcW w:w="1040" w:type="dxa"/>
            <w:vMerge/>
            <w:tcBorders>
              <w:top w:val="nil"/>
              <w:left w:val="nil"/>
              <w:bottom w:val="nil"/>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vMerge/>
            <w:tcBorders>
              <w:top w:val="nil"/>
              <w:left w:val="nil"/>
              <w:bottom w:val="nil"/>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治疗后</w:t>
            </w:r>
          </w:p>
        </w:tc>
        <w:tc>
          <w:tcPr>
            <w:tcW w:w="132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3（1，8）</w:t>
            </w:r>
          </w:p>
        </w:tc>
        <w:tc>
          <w:tcPr>
            <w:tcW w:w="1040" w:type="dxa"/>
            <w:vMerge/>
            <w:tcBorders>
              <w:top w:val="nil"/>
              <w:left w:val="nil"/>
              <w:bottom w:val="nil"/>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vMerge/>
            <w:tcBorders>
              <w:top w:val="nil"/>
              <w:left w:val="nil"/>
              <w:bottom w:val="nil"/>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r>
      <w:tr w:rsidR="00DE626B" w:rsidRPr="00DF342A" w:rsidTr="00DE626B">
        <w:trPr>
          <w:trHeight w:val="280"/>
        </w:trPr>
        <w:tc>
          <w:tcPr>
            <w:tcW w:w="1040"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治疗组</w:t>
            </w:r>
          </w:p>
        </w:tc>
        <w:tc>
          <w:tcPr>
            <w:tcW w:w="1040"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288</w:t>
            </w: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治疗前</w:t>
            </w:r>
          </w:p>
        </w:tc>
        <w:tc>
          <w:tcPr>
            <w:tcW w:w="132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4（2，7）</w:t>
            </w:r>
          </w:p>
        </w:tc>
        <w:tc>
          <w:tcPr>
            <w:tcW w:w="1040"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0.312</w:t>
            </w:r>
          </w:p>
        </w:tc>
        <w:tc>
          <w:tcPr>
            <w:tcW w:w="1040"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&lt;0.001</w:t>
            </w:r>
          </w:p>
        </w:tc>
      </w:tr>
      <w:tr w:rsidR="00DE626B" w:rsidRPr="00DF342A" w:rsidTr="00DE626B">
        <w:trPr>
          <w:trHeight w:val="330"/>
        </w:trPr>
        <w:tc>
          <w:tcPr>
            <w:tcW w:w="1040" w:type="dxa"/>
            <w:vMerge/>
            <w:tcBorders>
              <w:top w:val="nil"/>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vMerge/>
            <w:tcBorders>
              <w:top w:val="nil"/>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治疗后</w:t>
            </w:r>
          </w:p>
        </w:tc>
        <w:tc>
          <w:tcPr>
            <w:tcW w:w="1320"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3（1，6）</w:t>
            </w:r>
          </w:p>
        </w:tc>
        <w:tc>
          <w:tcPr>
            <w:tcW w:w="1040" w:type="dxa"/>
            <w:vMerge/>
            <w:tcBorders>
              <w:top w:val="nil"/>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040" w:type="dxa"/>
            <w:vMerge/>
            <w:tcBorders>
              <w:top w:val="nil"/>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r>
    </w:tbl>
    <w:p w:rsidR="00DE626B" w:rsidRPr="00DE626B" w:rsidRDefault="00DE626B" w:rsidP="00DE626B">
      <w:pPr>
        <w:spacing w:line="360" w:lineRule="auto"/>
        <w:ind w:firstLineChars="900" w:firstLine="2160"/>
        <w:rPr>
          <w:rFonts w:ascii="宋体" w:hAnsi="宋体"/>
          <w:sz w:val="24"/>
        </w:rPr>
      </w:pPr>
    </w:p>
    <w:p w:rsidR="00DE626B" w:rsidRPr="00DE626B" w:rsidRDefault="00DE626B" w:rsidP="00DE626B">
      <w:pPr>
        <w:spacing w:line="360" w:lineRule="auto"/>
        <w:rPr>
          <w:sz w:val="24"/>
        </w:rPr>
      </w:pPr>
    </w:p>
    <w:p w:rsidR="00DE626B" w:rsidRPr="00DF342A" w:rsidRDefault="00DE626B" w:rsidP="00DF342A">
      <w:pPr>
        <w:spacing w:line="360" w:lineRule="auto"/>
        <w:ind w:firstLineChars="200" w:firstLine="640"/>
        <w:rPr>
          <w:rFonts w:ascii="仿宋" w:eastAsia="仿宋" w:hAnsi="仿宋"/>
          <w:color w:val="000000" w:themeColor="text1"/>
          <w:sz w:val="32"/>
          <w:szCs w:val="32"/>
        </w:rPr>
      </w:pPr>
      <w:r w:rsidRPr="00DF342A">
        <w:rPr>
          <w:rFonts w:ascii="仿宋" w:eastAsia="仿宋" w:hAnsi="仿宋"/>
          <w:color w:val="000000" w:themeColor="text1"/>
          <w:sz w:val="32"/>
          <w:szCs w:val="32"/>
        </w:rPr>
        <w:t>288例治疗组患者中</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基本痊愈21例</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显著改善51例</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改善62例</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无效154例，有效率为46.5</w:t>
      </w:r>
      <w:r w:rsidRPr="00DF342A">
        <w:rPr>
          <w:rFonts w:ascii="仿宋" w:eastAsia="仿宋" w:hAnsi="仿宋" w:hint="eastAsia"/>
          <w:color w:val="000000" w:themeColor="text1"/>
          <w:sz w:val="32"/>
          <w:szCs w:val="32"/>
        </w:rPr>
        <w:t>0</w:t>
      </w:r>
      <w:r w:rsidRPr="00DF342A">
        <w:rPr>
          <w:rFonts w:ascii="仿宋" w:eastAsia="仿宋" w:hAnsi="仿宋"/>
          <w:color w:val="000000" w:themeColor="text1"/>
          <w:sz w:val="32"/>
          <w:szCs w:val="32"/>
        </w:rPr>
        <w:t>%；107 例对照组患者中</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基本痊愈5例</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显著改善14例</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改善8例</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无效80例，有效率为 25.2</w:t>
      </w:r>
      <w:r w:rsidRPr="00DF342A">
        <w:rPr>
          <w:rFonts w:ascii="仿宋" w:eastAsia="仿宋" w:hAnsi="仿宋" w:hint="eastAsia"/>
          <w:color w:val="000000" w:themeColor="text1"/>
          <w:sz w:val="32"/>
          <w:szCs w:val="32"/>
        </w:rPr>
        <w:t>0</w:t>
      </w:r>
      <w:r w:rsidRPr="00DF342A">
        <w:rPr>
          <w:rFonts w:ascii="仿宋" w:eastAsia="仿宋" w:hAnsi="仿宋"/>
          <w:color w:val="000000" w:themeColor="text1"/>
          <w:sz w:val="32"/>
          <w:szCs w:val="32"/>
        </w:rPr>
        <w:t>%，治疗组有效率显著高于对照组</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差异</w:t>
      </w:r>
      <w:r w:rsidRPr="00DF342A">
        <w:rPr>
          <w:rFonts w:ascii="仿宋" w:eastAsia="仿宋" w:hAnsi="仿宋" w:hint="eastAsia"/>
          <w:color w:val="000000" w:themeColor="text1"/>
          <w:sz w:val="32"/>
          <w:szCs w:val="32"/>
        </w:rPr>
        <w:t>具有</w:t>
      </w:r>
      <w:r w:rsidRPr="00DF342A">
        <w:rPr>
          <w:rFonts w:ascii="仿宋" w:eastAsia="仿宋" w:hAnsi="仿宋"/>
          <w:color w:val="000000" w:themeColor="text1"/>
          <w:sz w:val="32"/>
          <w:szCs w:val="32"/>
        </w:rPr>
        <w:t>统计学意义(Z =</w:t>
      </w:r>
      <w:r w:rsidRPr="00DF342A">
        <w:rPr>
          <w:rFonts w:ascii="仿宋" w:eastAsia="仿宋" w:hAnsi="仿宋" w:hint="eastAsia"/>
          <w:color w:val="000000" w:themeColor="text1"/>
          <w:sz w:val="32"/>
          <w:szCs w:val="32"/>
        </w:rPr>
        <w:t>-</w:t>
      </w:r>
      <w:r w:rsidRPr="00DF342A">
        <w:rPr>
          <w:rFonts w:ascii="仿宋" w:eastAsia="仿宋" w:hAnsi="仿宋"/>
          <w:color w:val="000000" w:themeColor="text1"/>
          <w:sz w:val="32"/>
          <w:szCs w:val="32"/>
        </w:rPr>
        <w:t>3.364，P=0.001) 。见表3。</w:t>
      </w:r>
    </w:p>
    <w:p w:rsidR="00DE626B" w:rsidRPr="00DF342A" w:rsidRDefault="00DE626B" w:rsidP="00DE626B">
      <w:pPr>
        <w:spacing w:line="360" w:lineRule="auto"/>
        <w:ind w:firstLineChars="1100" w:firstLine="2640"/>
        <w:rPr>
          <w:rFonts w:ascii="仿宋" w:eastAsia="仿宋" w:hAnsi="仿宋"/>
          <w:color w:val="000000" w:themeColor="text1"/>
          <w:sz w:val="24"/>
          <w:szCs w:val="32"/>
        </w:rPr>
      </w:pPr>
      <w:r w:rsidRPr="00DF342A">
        <w:rPr>
          <w:rFonts w:ascii="仿宋" w:eastAsia="仿宋" w:hAnsi="仿宋"/>
          <w:color w:val="000000" w:themeColor="text1"/>
          <w:sz w:val="24"/>
          <w:szCs w:val="32"/>
        </w:rPr>
        <w:t>表3 两组患者治疗后疗效比较</w:t>
      </w:r>
    </w:p>
    <w:tbl>
      <w:tblPr>
        <w:tblpPr w:leftFromText="180" w:rightFromText="180" w:vertAnchor="text" w:horzAnchor="margin" w:tblpY="246"/>
        <w:tblW w:w="8389" w:type="dxa"/>
        <w:tblLook w:val="0000" w:firstRow="0" w:lastRow="0" w:firstColumn="0" w:lastColumn="0" w:noHBand="0" w:noVBand="0"/>
      </w:tblPr>
      <w:tblGrid>
        <w:gridCol w:w="979"/>
        <w:gridCol w:w="1329"/>
        <w:gridCol w:w="1217"/>
        <w:gridCol w:w="1217"/>
        <w:gridCol w:w="1106"/>
        <w:gridCol w:w="995"/>
        <w:gridCol w:w="884"/>
        <w:gridCol w:w="795"/>
      </w:tblGrid>
      <w:tr w:rsidR="00DE626B" w:rsidRPr="00DF342A" w:rsidTr="00DE626B">
        <w:trPr>
          <w:trHeight w:val="330"/>
        </w:trPr>
        <w:tc>
          <w:tcPr>
            <w:tcW w:w="1040" w:type="dxa"/>
            <w:vMerge w:val="restart"/>
            <w:tcBorders>
              <w:top w:val="single" w:sz="4" w:space="0" w:color="auto"/>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lastRenderedPageBreak/>
              <w:t>组别</w:t>
            </w:r>
          </w:p>
        </w:tc>
        <w:tc>
          <w:tcPr>
            <w:tcW w:w="1276" w:type="dxa"/>
            <w:tcBorders>
              <w:top w:val="single" w:sz="4" w:space="0" w:color="auto"/>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无效</w:t>
            </w:r>
          </w:p>
        </w:tc>
        <w:tc>
          <w:tcPr>
            <w:tcW w:w="1156" w:type="dxa"/>
            <w:tcBorders>
              <w:top w:val="single" w:sz="4" w:space="0" w:color="auto"/>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改善</w:t>
            </w:r>
          </w:p>
        </w:tc>
        <w:tc>
          <w:tcPr>
            <w:tcW w:w="1156" w:type="dxa"/>
            <w:tcBorders>
              <w:top w:val="single" w:sz="4" w:space="0" w:color="auto"/>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显著</w:t>
            </w:r>
          </w:p>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改善</w:t>
            </w:r>
          </w:p>
        </w:tc>
        <w:tc>
          <w:tcPr>
            <w:tcW w:w="1040" w:type="dxa"/>
            <w:tcBorders>
              <w:top w:val="single" w:sz="4" w:space="0" w:color="auto"/>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基本</w:t>
            </w:r>
          </w:p>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痊愈</w:t>
            </w:r>
          </w:p>
        </w:tc>
        <w:tc>
          <w:tcPr>
            <w:tcW w:w="1045" w:type="dxa"/>
            <w:tcBorders>
              <w:top w:val="single" w:sz="4" w:space="0" w:color="auto"/>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Total</w:t>
            </w:r>
          </w:p>
        </w:tc>
        <w:tc>
          <w:tcPr>
            <w:tcW w:w="836" w:type="dxa"/>
            <w:vMerge w:val="restart"/>
            <w:tcBorders>
              <w:top w:val="single" w:sz="4" w:space="0" w:color="auto"/>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Z</w:t>
            </w:r>
          </w:p>
        </w:tc>
        <w:tc>
          <w:tcPr>
            <w:tcW w:w="840" w:type="dxa"/>
            <w:vMerge w:val="restart"/>
            <w:tcBorders>
              <w:top w:val="single" w:sz="4" w:space="0" w:color="auto"/>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P</w:t>
            </w:r>
          </w:p>
        </w:tc>
      </w:tr>
      <w:tr w:rsidR="00DE626B" w:rsidRPr="00DF342A" w:rsidTr="00DE626B">
        <w:trPr>
          <w:trHeight w:val="280"/>
        </w:trPr>
        <w:tc>
          <w:tcPr>
            <w:tcW w:w="1040" w:type="dxa"/>
            <w:vMerge/>
            <w:tcBorders>
              <w:top w:val="single" w:sz="4" w:space="0" w:color="auto"/>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1276" w:type="dxa"/>
            <w:tcBorders>
              <w:top w:val="nil"/>
              <w:left w:val="nil"/>
              <w:bottom w:val="single" w:sz="4" w:space="0" w:color="auto"/>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(N=234)</w:t>
            </w:r>
          </w:p>
        </w:tc>
        <w:tc>
          <w:tcPr>
            <w:tcW w:w="1156"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(N=70)</w:t>
            </w:r>
          </w:p>
        </w:tc>
        <w:tc>
          <w:tcPr>
            <w:tcW w:w="1156"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(N=65)</w:t>
            </w:r>
          </w:p>
        </w:tc>
        <w:tc>
          <w:tcPr>
            <w:tcW w:w="1040"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(N=26)</w:t>
            </w:r>
          </w:p>
        </w:tc>
        <w:tc>
          <w:tcPr>
            <w:tcW w:w="1045"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(N=395)</w:t>
            </w:r>
          </w:p>
        </w:tc>
        <w:tc>
          <w:tcPr>
            <w:tcW w:w="836" w:type="dxa"/>
            <w:vMerge/>
            <w:tcBorders>
              <w:top w:val="single" w:sz="4" w:space="0" w:color="auto"/>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840" w:type="dxa"/>
            <w:vMerge/>
            <w:tcBorders>
              <w:top w:val="single" w:sz="4" w:space="0" w:color="auto"/>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r>
      <w:tr w:rsidR="00DE626B" w:rsidRPr="00DF342A" w:rsidTr="00DE626B">
        <w:trPr>
          <w:trHeight w:val="280"/>
        </w:trPr>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80(74.8</w:t>
            </w:r>
            <w:r w:rsidRPr="00DF342A">
              <w:rPr>
                <w:rFonts w:ascii="仿宋" w:eastAsia="仿宋" w:hAnsi="仿宋" w:hint="eastAsia"/>
                <w:color w:val="000000" w:themeColor="text1"/>
                <w:sz w:val="24"/>
                <w:szCs w:val="32"/>
              </w:rPr>
              <w:t>0</w:t>
            </w:r>
            <w:r w:rsidRPr="00DF342A">
              <w:rPr>
                <w:rFonts w:ascii="仿宋" w:eastAsia="仿宋" w:hAnsi="仿宋"/>
                <w:color w:val="000000" w:themeColor="text1"/>
                <w:sz w:val="24"/>
                <w:szCs w:val="32"/>
              </w:rPr>
              <w:t>)</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8(7.5</w:t>
            </w:r>
            <w:r w:rsidRPr="00DF342A">
              <w:rPr>
                <w:rFonts w:ascii="仿宋" w:eastAsia="仿宋" w:hAnsi="仿宋" w:hint="eastAsia"/>
                <w:color w:val="000000" w:themeColor="text1"/>
                <w:sz w:val="24"/>
                <w:szCs w:val="32"/>
              </w:rPr>
              <w:t>0</w:t>
            </w:r>
            <w:r w:rsidRPr="00DF342A">
              <w:rPr>
                <w:rFonts w:ascii="仿宋" w:eastAsia="仿宋" w:hAnsi="仿宋"/>
                <w:color w:val="000000" w:themeColor="text1"/>
                <w:sz w:val="24"/>
                <w:szCs w:val="32"/>
              </w:rPr>
              <w:t>)</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14(13.10)</w:t>
            </w: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5(4.7</w:t>
            </w:r>
            <w:r w:rsidRPr="00DF342A">
              <w:rPr>
                <w:rFonts w:ascii="仿宋" w:eastAsia="仿宋" w:hAnsi="仿宋" w:hint="eastAsia"/>
                <w:color w:val="000000" w:themeColor="text1"/>
                <w:sz w:val="24"/>
                <w:szCs w:val="32"/>
              </w:rPr>
              <w:t>0</w:t>
            </w:r>
            <w:r w:rsidRPr="00DF342A">
              <w:rPr>
                <w:rFonts w:ascii="仿宋" w:eastAsia="仿宋" w:hAnsi="仿宋"/>
                <w:color w:val="000000" w:themeColor="text1"/>
                <w:sz w:val="24"/>
                <w:szCs w:val="32"/>
              </w:rPr>
              <w:t>)</w:t>
            </w:r>
          </w:p>
        </w:tc>
        <w:tc>
          <w:tcPr>
            <w:tcW w:w="1045"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107</w:t>
            </w:r>
          </w:p>
        </w:tc>
        <w:tc>
          <w:tcPr>
            <w:tcW w:w="836" w:type="dxa"/>
            <w:vMerge w:val="restart"/>
            <w:tcBorders>
              <w:top w:val="nil"/>
              <w:left w:val="nil"/>
              <w:bottom w:val="single" w:sz="4" w:space="0" w:color="000000"/>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-3.364</w:t>
            </w:r>
          </w:p>
        </w:tc>
        <w:tc>
          <w:tcPr>
            <w:tcW w:w="840"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0.001</w:t>
            </w:r>
          </w:p>
        </w:tc>
      </w:tr>
      <w:tr w:rsidR="00DE626B" w:rsidRPr="00DF342A" w:rsidTr="00DE626B">
        <w:trPr>
          <w:trHeight w:val="280"/>
        </w:trPr>
        <w:tc>
          <w:tcPr>
            <w:tcW w:w="1040"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治疗组</w:t>
            </w:r>
          </w:p>
        </w:tc>
        <w:tc>
          <w:tcPr>
            <w:tcW w:w="1276"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154(53.5</w:t>
            </w:r>
            <w:r w:rsidRPr="00DF342A">
              <w:rPr>
                <w:rFonts w:ascii="仿宋" w:eastAsia="仿宋" w:hAnsi="仿宋" w:hint="eastAsia"/>
                <w:color w:val="000000" w:themeColor="text1"/>
                <w:sz w:val="24"/>
                <w:szCs w:val="32"/>
              </w:rPr>
              <w:t>0</w:t>
            </w:r>
            <w:r w:rsidRPr="00DF342A">
              <w:rPr>
                <w:rFonts w:ascii="仿宋" w:eastAsia="仿宋" w:hAnsi="仿宋"/>
                <w:color w:val="000000" w:themeColor="text1"/>
                <w:sz w:val="24"/>
                <w:szCs w:val="32"/>
              </w:rPr>
              <w:t>)</w:t>
            </w:r>
          </w:p>
        </w:tc>
        <w:tc>
          <w:tcPr>
            <w:tcW w:w="1156"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62(21.5</w:t>
            </w:r>
            <w:r w:rsidRPr="00DF342A">
              <w:rPr>
                <w:rFonts w:ascii="仿宋" w:eastAsia="仿宋" w:hAnsi="仿宋" w:hint="eastAsia"/>
                <w:color w:val="000000" w:themeColor="text1"/>
                <w:sz w:val="24"/>
                <w:szCs w:val="32"/>
              </w:rPr>
              <w:t>0</w:t>
            </w:r>
            <w:r w:rsidRPr="00DF342A">
              <w:rPr>
                <w:rFonts w:ascii="仿宋" w:eastAsia="仿宋" w:hAnsi="仿宋"/>
                <w:color w:val="000000" w:themeColor="text1"/>
                <w:sz w:val="24"/>
                <w:szCs w:val="32"/>
              </w:rPr>
              <w:t>)</w:t>
            </w:r>
          </w:p>
        </w:tc>
        <w:tc>
          <w:tcPr>
            <w:tcW w:w="1156"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51(17.7</w:t>
            </w:r>
            <w:r w:rsidRPr="00DF342A">
              <w:rPr>
                <w:rFonts w:ascii="仿宋" w:eastAsia="仿宋" w:hAnsi="仿宋" w:hint="eastAsia"/>
                <w:color w:val="000000" w:themeColor="text1"/>
                <w:sz w:val="24"/>
                <w:szCs w:val="32"/>
              </w:rPr>
              <w:t>0</w:t>
            </w:r>
            <w:r w:rsidRPr="00DF342A">
              <w:rPr>
                <w:rFonts w:ascii="仿宋" w:eastAsia="仿宋" w:hAnsi="仿宋"/>
                <w:color w:val="000000" w:themeColor="text1"/>
                <w:sz w:val="24"/>
                <w:szCs w:val="32"/>
              </w:rPr>
              <w:t>)</w:t>
            </w:r>
          </w:p>
        </w:tc>
        <w:tc>
          <w:tcPr>
            <w:tcW w:w="1040"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21(7.3</w:t>
            </w:r>
            <w:r w:rsidRPr="00DF342A">
              <w:rPr>
                <w:rFonts w:ascii="仿宋" w:eastAsia="仿宋" w:hAnsi="仿宋" w:hint="eastAsia"/>
                <w:color w:val="000000" w:themeColor="text1"/>
                <w:sz w:val="24"/>
                <w:szCs w:val="32"/>
              </w:rPr>
              <w:t>0</w:t>
            </w:r>
            <w:r w:rsidRPr="00DF342A">
              <w:rPr>
                <w:rFonts w:ascii="仿宋" w:eastAsia="仿宋" w:hAnsi="仿宋"/>
                <w:color w:val="000000" w:themeColor="text1"/>
                <w:sz w:val="24"/>
                <w:szCs w:val="32"/>
              </w:rPr>
              <w:t>)</w:t>
            </w:r>
          </w:p>
        </w:tc>
        <w:tc>
          <w:tcPr>
            <w:tcW w:w="1045"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288</w:t>
            </w:r>
          </w:p>
        </w:tc>
        <w:tc>
          <w:tcPr>
            <w:tcW w:w="836" w:type="dxa"/>
            <w:vMerge/>
            <w:tcBorders>
              <w:top w:val="nil"/>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c>
          <w:tcPr>
            <w:tcW w:w="840" w:type="dxa"/>
            <w:vMerge/>
            <w:tcBorders>
              <w:top w:val="nil"/>
              <w:left w:val="nil"/>
              <w:bottom w:val="single" w:sz="4" w:space="0" w:color="000000"/>
              <w:right w:val="nil"/>
            </w:tcBorders>
            <w:vAlign w:val="center"/>
          </w:tcPr>
          <w:p w:rsidR="00DE626B" w:rsidRPr="00DF342A" w:rsidRDefault="00DE626B" w:rsidP="00DE626B">
            <w:pPr>
              <w:widowControl/>
              <w:jc w:val="left"/>
              <w:rPr>
                <w:rFonts w:ascii="仿宋" w:eastAsia="仿宋" w:hAnsi="仿宋"/>
                <w:color w:val="000000" w:themeColor="text1"/>
                <w:sz w:val="24"/>
                <w:szCs w:val="32"/>
              </w:rPr>
            </w:pPr>
          </w:p>
        </w:tc>
      </w:tr>
    </w:tbl>
    <w:p w:rsidR="00DE626B" w:rsidRPr="00DF342A" w:rsidRDefault="00DE626B" w:rsidP="00DF342A">
      <w:pPr>
        <w:spacing w:line="360" w:lineRule="auto"/>
        <w:ind w:firstLineChars="200" w:firstLine="640"/>
        <w:rPr>
          <w:rFonts w:ascii="仿宋" w:eastAsia="仿宋" w:hAnsi="仿宋"/>
          <w:color w:val="000000" w:themeColor="text1"/>
          <w:sz w:val="32"/>
          <w:szCs w:val="32"/>
        </w:rPr>
      </w:pPr>
      <w:r w:rsidRPr="00DF342A">
        <w:rPr>
          <w:rFonts w:ascii="仿宋" w:eastAsia="仿宋" w:hAnsi="仿宋"/>
          <w:color w:val="000000" w:themeColor="text1"/>
          <w:sz w:val="32"/>
          <w:szCs w:val="32"/>
        </w:rPr>
        <w:t>根据神经功能缺损程度将患者分为轻度、中度、重度三个亚组。在轻度、中度、重度亚组中，服用中风合剂的治疗组有效率均显著高于未服用中风合剂的对照组，差异具有统计学意义（均为P&lt;0.05）。见表</w:t>
      </w:r>
      <w:r w:rsidR="00DF342A">
        <w:rPr>
          <w:rFonts w:ascii="仿宋" w:eastAsia="仿宋" w:hAnsi="仿宋" w:hint="eastAsia"/>
          <w:color w:val="000000" w:themeColor="text1"/>
          <w:sz w:val="32"/>
          <w:szCs w:val="32"/>
        </w:rPr>
        <w:t>4</w:t>
      </w:r>
      <w:r w:rsidRPr="00DF342A">
        <w:rPr>
          <w:rFonts w:ascii="仿宋" w:eastAsia="仿宋" w:hAnsi="仿宋"/>
          <w:color w:val="000000" w:themeColor="text1"/>
          <w:sz w:val="32"/>
          <w:szCs w:val="32"/>
        </w:rPr>
        <w:t>。</w:t>
      </w:r>
    </w:p>
    <w:p w:rsidR="00DE626B" w:rsidRPr="00DF342A" w:rsidRDefault="00DE626B" w:rsidP="00DE626B">
      <w:pPr>
        <w:spacing w:line="360" w:lineRule="auto"/>
        <w:ind w:firstLineChars="700" w:firstLine="1680"/>
        <w:rPr>
          <w:rFonts w:ascii="仿宋" w:eastAsia="仿宋" w:hAnsi="仿宋"/>
          <w:color w:val="000000" w:themeColor="text1"/>
          <w:sz w:val="24"/>
          <w:szCs w:val="32"/>
        </w:rPr>
      </w:pPr>
      <w:r w:rsidRPr="00DF342A">
        <w:rPr>
          <w:rFonts w:ascii="仿宋" w:eastAsia="仿宋" w:hAnsi="仿宋"/>
          <w:color w:val="000000" w:themeColor="text1"/>
          <w:sz w:val="24"/>
          <w:szCs w:val="32"/>
        </w:rPr>
        <w:t>表</w:t>
      </w:r>
      <w:r w:rsidR="00DF342A">
        <w:rPr>
          <w:rFonts w:ascii="仿宋" w:eastAsia="仿宋" w:hAnsi="仿宋" w:hint="eastAsia"/>
          <w:color w:val="000000" w:themeColor="text1"/>
          <w:sz w:val="24"/>
          <w:szCs w:val="32"/>
        </w:rPr>
        <w:t>4</w:t>
      </w:r>
      <w:r w:rsidRPr="00DF342A">
        <w:rPr>
          <w:rFonts w:ascii="仿宋" w:eastAsia="仿宋" w:hAnsi="仿宋" w:hint="eastAsia"/>
          <w:color w:val="000000" w:themeColor="text1"/>
          <w:sz w:val="24"/>
          <w:szCs w:val="32"/>
        </w:rPr>
        <w:t xml:space="preserve"> 两组治疗后对神经功能缺损严重程度效果比较</w:t>
      </w:r>
    </w:p>
    <w:tbl>
      <w:tblPr>
        <w:tblpPr w:leftFromText="180" w:rightFromText="180" w:vertAnchor="text" w:horzAnchor="margin" w:tblpXSpec="center" w:tblpY="50"/>
        <w:tblW w:w="7688" w:type="dxa"/>
        <w:tblLook w:val="0000" w:firstRow="0" w:lastRow="0" w:firstColumn="0" w:lastColumn="0" w:noHBand="0" w:noVBand="0"/>
      </w:tblPr>
      <w:tblGrid>
        <w:gridCol w:w="1277"/>
        <w:gridCol w:w="979"/>
        <w:gridCol w:w="1296"/>
        <w:gridCol w:w="1296"/>
        <w:gridCol w:w="1040"/>
        <w:gridCol w:w="1040"/>
        <w:gridCol w:w="1040"/>
      </w:tblGrid>
      <w:tr w:rsidR="00DE626B" w:rsidRPr="00DE626B" w:rsidTr="00DE626B">
        <w:trPr>
          <w:trHeight w:val="330"/>
        </w:trPr>
        <w:tc>
          <w:tcPr>
            <w:tcW w:w="1277"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神经功能缺损程度</w:t>
            </w:r>
          </w:p>
        </w:tc>
        <w:tc>
          <w:tcPr>
            <w:tcW w:w="979"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组别</w:t>
            </w:r>
          </w:p>
        </w:tc>
        <w:tc>
          <w:tcPr>
            <w:tcW w:w="1156" w:type="dxa"/>
            <w:tcBorders>
              <w:top w:val="single" w:sz="4" w:space="0" w:color="auto"/>
              <w:left w:val="nil"/>
              <w:bottom w:val="single" w:sz="4" w:space="0" w:color="auto"/>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无效</w:t>
            </w:r>
          </w:p>
        </w:tc>
        <w:tc>
          <w:tcPr>
            <w:tcW w:w="1156"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有效</w:t>
            </w:r>
          </w:p>
        </w:tc>
        <w:tc>
          <w:tcPr>
            <w:tcW w:w="1040"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Total</w:t>
            </w:r>
          </w:p>
        </w:tc>
        <w:tc>
          <w:tcPr>
            <w:tcW w:w="1040"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χ2</w:t>
            </w:r>
          </w:p>
        </w:tc>
        <w:tc>
          <w:tcPr>
            <w:tcW w:w="1040"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P</w:t>
            </w:r>
          </w:p>
        </w:tc>
      </w:tr>
      <w:tr w:rsidR="00DE626B" w:rsidRPr="00DE626B" w:rsidTr="00DE626B">
        <w:trPr>
          <w:trHeight w:val="280"/>
        </w:trPr>
        <w:tc>
          <w:tcPr>
            <w:tcW w:w="1277"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轻度</w:t>
            </w:r>
          </w:p>
        </w:tc>
        <w:tc>
          <w:tcPr>
            <w:tcW w:w="979"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47(70.10)</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20(29.90)</w:t>
            </w: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67</w:t>
            </w:r>
          </w:p>
        </w:tc>
        <w:tc>
          <w:tcPr>
            <w:tcW w:w="1040"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6.815</w:t>
            </w:r>
          </w:p>
        </w:tc>
        <w:tc>
          <w:tcPr>
            <w:tcW w:w="1040"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0.009</w:t>
            </w:r>
          </w:p>
        </w:tc>
      </w:tr>
      <w:tr w:rsidR="00DE626B" w:rsidRPr="00DE626B" w:rsidTr="00DE626B">
        <w:trPr>
          <w:trHeight w:val="280"/>
        </w:trPr>
        <w:tc>
          <w:tcPr>
            <w:tcW w:w="1277"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979"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w:t>
            </w:r>
            <w:r w:rsidRPr="00DF342A">
              <w:rPr>
                <w:rFonts w:ascii="仿宋" w:eastAsia="仿宋" w:hAnsi="仿宋"/>
                <w:color w:val="000000" w:themeColor="text1"/>
                <w:sz w:val="24"/>
                <w:szCs w:val="32"/>
              </w:rPr>
              <w:t>组</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87(51.50)</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82(48.50)</w:t>
            </w: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169</w:t>
            </w:r>
          </w:p>
        </w:tc>
        <w:tc>
          <w:tcPr>
            <w:tcW w:w="1040"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40"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r>
      <w:tr w:rsidR="00DE626B" w:rsidRPr="00DE626B" w:rsidTr="00DE626B">
        <w:trPr>
          <w:trHeight w:val="280"/>
        </w:trPr>
        <w:tc>
          <w:tcPr>
            <w:tcW w:w="1277"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中度</w:t>
            </w:r>
          </w:p>
        </w:tc>
        <w:tc>
          <w:tcPr>
            <w:tcW w:w="979"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25(80.60)</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6(19.40)</w:t>
            </w: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31</w:t>
            </w:r>
          </w:p>
        </w:tc>
        <w:tc>
          <w:tcPr>
            <w:tcW w:w="1040"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5.235</w:t>
            </w:r>
          </w:p>
        </w:tc>
        <w:tc>
          <w:tcPr>
            <w:tcW w:w="1040"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0.022</w:t>
            </w:r>
          </w:p>
        </w:tc>
      </w:tr>
      <w:tr w:rsidR="00DE626B" w:rsidRPr="00DE626B" w:rsidTr="00DE626B">
        <w:trPr>
          <w:trHeight w:val="280"/>
        </w:trPr>
        <w:tc>
          <w:tcPr>
            <w:tcW w:w="1277"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979"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w:t>
            </w:r>
            <w:r w:rsidRPr="00DF342A">
              <w:rPr>
                <w:rFonts w:ascii="仿宋" w:eastAsia="仿宋" w:hAnsi="仿宋"/>
                <w:color w:val="000000" w:themeColor="text1"/>
                <w:sz w:val="24"/>
                <w:szCs w:val="32"/>
              </w:rPr>
              <w:t>组</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61(58.10)</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44(41.90)</w:t>
            </w: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105</w:t>
            </w:r>
          </w:p>
        </w:tc>
        <w:tc>
          <w:tcPr>
            <w:tcW w:w="1040"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40"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r>
      <w:tr w:rsidR="00DE626B" w:rsidRPr="00DE626B" w:rsidTr="00DE626B">
        <w:trPr>
          <w:trHeight w:val="330"/>
        </w:trPr>
        <w:tc>
          <w:tcPr>
            <w:tcW w:w="1277"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重度</w:t>
            </w:r>
          </w:p>
        </w:tc>
        <w:tc>
          <w:tcPr>
            <w:tcW w:w="979"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8(88.90)</w:t>
            </w:r>
          </w:p>
        </w:tc>
        <w:tc>
          <w:tcPr>
            <w:tcW w:w="115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1(11.1)</w:t>
            </w: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9</w:t>
            </w:r>
          </w:p>
        </w:tc>
        <w:tc>
          <w:tcPr>
            <w:tcW w:w="1040"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40"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0.04</w:t>
            </w:r>
          </w:p>
        </w:tc>
      </w:tr>
      <w:tr w:rsidR="00DE626B" w:rsidRPr="00DE626B" w:rsidTr="00DE626B">
        <w:trPr>
          <w:trHeight w:val="280"/>
        </w:trPr>
        <w:tc>
          <w:tcPr>
            <w:tcW w:w="1277" w:type="dxa"/>
            <w:vMerge/>
            <w:tcBorders>
              <w:top w:val="nil"/>
              <w:left w:val="nil"/>
              <w:bottom w:val="single" w:sz="4" w:space="0" w:color="000000"/>
              <w:right w:val="nil"/>
            </w:tcBorders>
            <w:vAlign w:val="center"/>
          </w:tcPr>
          <w:p w:rsidR="00DE626B" w:rsidRPr="00DE626B" w:rsidRDefault="00DE626B" w:rsidP="00DE626B">
            <w:pPr>
              <w:widowControl/>
              <w:jc w:val="left"/>
              <w:rPr>
                <w:sz w:val="24"/>
              </w:rPr>
            </w:pPr>
          </w:p>
        </w:tc>
        <w:tc>
          <w:tcPr>
            <w:tcW w:w="979"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w:t>
            </w:r>
            <w:r w:rsidRPr="00DF342A">
              <w:rPr>
                <w:rFonts w:ascii="仿宋" w:eastAsia="仿宋" w:hAnsi="仿宋"/>
                <w:color w:val="000000" w:themeColor="text1"/>
                <w:sz w:val="24"/>
                <w:szCs w:val="32"/>
              </w:rPr>
              <w:t>组</w:t>
            </w:r>
          </w:p>
        </w:tc>
        <w:tc>
          <w:tcPr>
            <w:tcW w:w="1156"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6(42.90)</w:t>
            </w:r>
          </w:p>
        </w:tc>
        <w:tc>
          <w:tcPr>
            <w:tcW w:w="1156"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8(35.70)</w:t>
            </w:r>
          </w:p>
        </w:tc>
        <w:tc>
          <w:tcPr>
            <w:tcW w:w="1040"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14</w:t>
            </w:r>
          </w:p>
        </w:tc>
        <w:tc>
          <w:tcPr>
            <w:tcW w:w="1040" w:type="dxa"/>
            <w:tcBorders>
              <w:top w:val="nil"/>
              <w:left w:val="nil"/>
              <w:bottom w:val="single" w:sz="4" w:space="0" w:color="auto"/>
              <w:right w:val="nil"/>
            </w:tcBorders>
            <w:noWrap/>
            <w:vAlign w:val="center"/>
          </w:tcPr>
          <w:p w:rsidR="00DE626B" w:rsidRPr="00DE626B" w:rsidRDefault="00DE626B" w:rsidP="00DE626B">
            <w:pPr>
              <w:widowControl/>
              <w:jc w:val="left"/>
              <w:rPr>
                <w:sz w:val="24"/>
              </w:rPr>
            </w:pPr>
            <w:r w:rsidRPr="00DE626B">
              <w:rPr>
                <w:sz w:val="24"/>
              </w:rPr>
              <w:t xml:space="preserve">　</w:t>
            </w:r>
          </w:p>
        </w:tc>
        <w:tc>
          <w:tcPr>
            <w:tcW w:w="1040" w:type="dxa"/>
            <w:vMerge/>
            <w:tcBorders>
              <w:top w:val="nil"/>
              <w:left w:val="nil"/>
              <w:bottom w:val="single" w:sz="4" w:space="0" w:color="000000"/>
              <w:right w:val="nil"/>
            </w:tcBorders>
            <w:vAlign w:val="center"/>
          </w:tcPr>
          <w:p w:rsidR="00DE626B" w:rsidRPr="00DE626B" w:rsidRDefault="00DE626B" w:rsidP="00DE626B">
            <w:pPr>
              <w:widowControl/>
              <w:jc w:val="left"/>
              <w:rPr>
                <w:sz w:val="24"/>
              </w:rPr>
            </w:pPr>
          </w:p>
        </w:tc>
      </w:tr>
    </w:tbl>
    <w:p w:rsidR="00DE626B" w:rsidRPr="00DF342A" w:rsidRDefault="00DE626B" w:rsidP="00DF342A">
      <w:pPr>
        <w:spacing w:line="360" w:lineRule="auto"/>
        <w:ind w:firstLineChars="200" w:firstLine="640"/>
        <w:rPr>
          <w:rFonts w:ascii="仿宋" w:eastAsia="仿宋" w:hAnsi="仿宋"/>
          <w:color w:val="000000" w:themeColor="text1"/>
          <w:sz w:val="32"/>
          <w:szCs w:val="32"/>
        </w:rPr>
      </w:pPr>
      <w:r w:rsidRPr="00DF342A">
        <w:rPr>
          <w:rFonts w:ascii="仿宋" w:eastAsia="仿宋" w:hAnsi="仿宋"/>
          <w:color w:val="000000" w:themeColor="text1"/>
          <w:sz w:val="32"/>
          <w:szCs w:val="32"/>
        </w:rPr>
        <w:t>（1）按性别分层分析，男性患者中，治疗组有效率（47.00%）显著高于对照组（23.30%），差异有统计学意义 (χ2=12.463，P&lt;0.001)；但是，在女性患者中，有效率在两组之间的分布差异无统计学意义（χ2=2.610，P=0.106）。（2）按年龄分层分析，在＜65岁患者中，治疗组有效率（45.60%）显著高于对照组（21.30%），差异无统计学意义(χ2=8.498，P=0.004)；在≥65岁患者中，治疗组有效率（47.20%）亦高于对照组（28.30%），差异亦有统计学意义(χ2=6.429，P&lt;0.001)。（3）按是否合并高血压分层，在合</w:t>
      </w:r>
      <w:r w:rsidRPr="00DF342A">
        <w:rPr>
          <w:rFonts w:ascii="仿宋" w:eastAsia="仿宋" w:hAnsi="仿宋"/>
          <w:color w:val="000000" w:themeColor="text1"/>
          <w:sz w:val="32"/>
          <w:szCs w:val="32"/>
        </w:rPr>
        <w:lastRenderedPageBreak/>
        <w:t>并高血压的缺血性脑卒中患者中，治疗组有效率（49.20%）显著高于对照组（23.20%），差异有统计学意义（χ2=13.980，P=0.001）；但是，在无合并高血压病患者中，治疗组与对照组有效率分布差异无统计学意义（χ2=1.941，P=0.164）。（4）按是否合并糖尿病分层，在合并糖尿病的缺血性脑卒中患者中，治疗组有效率（39.50%）显著高于对照组（15.40%），差异有统计学意义（χ2=5.059，P=0.025）；无合并糖尿病的患者中，治疗组有效率（50.00%）亦显著高于对照组（28.70%），差异也有统计学意义（χ2=10.584，P=0.001）。见表</w:t>
      </w:r>
      <w:r w:rsidR="00DF342A">
        <w:rPr>
          <w:rFonts w:ascii="仿宋" w:eastAsia="仿宋" w:hAnsi="仿宋" w:hint="eastAsia"/>
          <w:color w:val="000000" w:themeColor="text1"/>
          <w:sz w:val="32"/>
          <w:szCs w:val="32"/>
        </w:rPr>
        <w:t>5</w:t>
      </w:r>
      <w:r w:rsidRPr="00DF342A">
        <w:rPr>
          <w:rFonts w:ascii="仿宋" w:eastAsia="仿宋" w:hAnsi="仿宋"/>
          <w:color w:val="000000" w:themeColor="text1"/>
          <w:sz w:val="32"/>
          <w:szCs w:val="32"/>
        </w:rPr>
        <w:t>。</w:t>
      </w:r>
    </w:p>
    <w:p w:rsidR="00DE626B" w:rsidRPr="00DF342A" w:rsidRDefault="00DE626B" w:rsidP="00DE626B">
      <w:pPr>
        <w:ind w:firstLineChars="1200" w:firstLine="2880"/>
        <w:jc w:val="left"/>
        <w:rPr>
          <w:rFonts w:ascii="仿宋" w:eastAsia="仿宋" w:hAnsi="仿宋"/>
          <w:color w:val="000000" w:themeColor="text1"/>
          <w:sz w:val="24"/>
          <w:szCs w:val="32"/>
        </w:rPr>
      </w:pPr>
      <w:r w:rsidRPr="00DF342A">
        <w:rPr>
          <w:rFonts w:ascii="仿宋" w:eastAsia="仿宋" w:hAnsi="仿宋"/>
          <w:color w:val="000000" w:themeColor="text1"/>
          <w:sz w:val="24"/>
          <w:szCs w:val="32"/>
        </w:rPr>
        <w:t>表</w:t>
      </w:r>
      <w:r w:rsidR="00D32563">
        <w:rPr>
          <w:rFonts w:ascii="仿宋" w:eastAsia="仿宋" w:hAnsi="仿宋" w:hint="eastAsia"/>
          <w:color w:val="000000" w:themeColor="text1"/>
          <w:sz w:val="24"/>
          <w:szCs w:val="32"/>
        </w:rPr>
        <w:t>5</w:t>
      </w:r>
      <w:r w:rsidRPr="00DF342A">
        <w:rPr>
          <w:rFonts w:ascii="仿宋" w:eastAsia="仿宋" w:hAnsi="仿宋" w:hint="eastAsia"/>
          <w:color w:val="000000" w:themeColor="text1"/>
          <w:sz w:val="24"/>
          <w:szCs w:val="32"/>
        </w:rPr>
        <w:t xml:space="preserve"> 两组患者分层分析比较</w:t>
      </w:r>
    </w:p>
    <w:tbl>
      <w:tblPr>
        <w:tblpPr w:leftFromText="180" w:rightFromText="180" w:vertAnchor="text" w:horzAnchor="margin" w:tblpY="110"/>
        <w:tblW w:w="9273" w:type="dxa"/>
        <w:tblLook w:val="0000" w:firstRow="0" w:lastRow="0" w:firstColumn="0" w:lastColumn="0" w:noHBand="0" w:noVBand="0"/>
      </w:tblPr>
      <w:tblGrid>
        <w:gridCol w:w="1242"/>
        <w:gridCol w:w="1276"/>
        <w:gridCol w:w="1134"/>
        <w:gridCol w:w="1416"/>
        <w:gridCol w:w="1416"/>
        <w:gridCol w:w="1023"/>
        <w:gridCol w:w="1023"/>
        <w:gridCol w:w="1023"/>
      </w:tblGrid>
      <w:tr w:rsidR="00DE626B" w:rsidRPr="00DE626B" w:rsidTr="00DE626B">
        <w:trPr>
          <w:trHeight w:val="280"/>
        </w:trPr>
        <w:tc>
          <w:tcPr>
            <w:tcW w:w="1242"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亚组</w:t>
            </w:r>
          </w:p>
        </w:tc>
        <w:tc>
          <w:tcPr>
            <w:tcW w:w="1134"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组别</w:t>
            </w:r>
          </w:p>
        </w:tc>
        <w:tc>
          <w:tcPr>
            <w:tcW w:w="1276" w:type="dxa"/>
            <w:tcBorders>
              <w:top w:val="single" w:sz="4" w:space="0" w:color="auto"/>
              <w:left w:val="nil"/>
              <w:bottom w:val="single" w:sz="4" w:space="0" w:color="auto"/>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无效</w:t>
            </w:r>
          </w:p>
        </w:tc>
        <w:tc>
          <w:tcPr>
            <w:tcW w:w="1276"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有效</w:t>
            </w:r>
          </w:p>
        </w:tc>
        <w:tc>
          <w:tcPr>
            <w:tcW w:w="1023"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Total</w:t>
            </w:r>
          </w:p>
        </w:tc>
        <w:tc>
          <w:tcPr>
            <w:tcW w:w="1023"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χ2</w:t>
            </w:r>
          </w:p>
        </w:tc>
        <w:tc>
          <w:tcPr>
            <w:tcW w:w="1023" w:type="dxa"/>
            <w:tcBorders>
              <w:top w:val="single" w:sz="4" w:space="0" w:color="auto"/>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P</w:t>
            </w:r>
          </w:p>
        </w:tc>
      </w:tr>
      <w:tr w:rsidR="00DE626B" w:rsidRPr="00DE626B" w:rsidTr="00DE626B">
        <w:trPr>
          <w:trHeight w:val="280"/>
        </w:trPr>
        <w:tc>
          <w:tcPr>
            <w:tcW w:w="1242"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性别</w:t>
            </w:r>
          </w:p>
        </w:tc>
        <w:tc>
          <w:tcPr>
            <w:tcW w:w="1276"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男</w:t>
            </w: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56(76.70)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17(23.30)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73</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12.463</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&lt;0.001</w:t>
            </w:r>
          </w:p>
        </w:tc>
      </w:tr>
      <w:tr w:rsidR="00DE626B" w:rsidRPr="00DE626B" w:rsidTr="00DE626B">
        <w:trPr>
          <w:trHeight w:val="280"/>
        </w:trPr>
        <w:tc>
          <w:tcPr>
            <w:tcW w:w="1242"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106(53.00)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94(47.00)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200</w:t>
            </w: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r>
      <w:tr w:rsidR="00DE626B" w:rsidRPr="00DE626B" w:rsidTr="00DE626B">
        <w:trPr>
          <w:trHeight w:val="330"/>
        </w:trPr>
        <w:tc>
          <w:tcPr>
            <w:tcW w:w="1242"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女</w:t>
            </w: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24(70.60)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10(29.40)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34</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2.610</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0.106</w:t>
            </w:r>
          </w:p>
        </w:tc>
      </w:tr>
      <w:tr w:rsidR="00DE626B" w:rsidRPr="00DE626B" w:rsidTr="00DE626B">
        <w:trPr>
          <w:trHeight w:val="280"/>
        </w:trPr>
        <w:tc>
          <w:tcPr>
            <w:tcW w:w="1242"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48(54.50)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40(45.50)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88</w:t>
            </w: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r>
      <w:tr w:rsidR="00DE626B" w:rsidRPr="00DE626B" w:rsidTr="00DE626B">
        <w:trPr>
          <w:trHeight w:val="330"/>
        </w:trPr>
        <w:tc>
          <w:tcPr>
            <w:tcW w:w="1242"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年龄</w:t>
            </w:r>
          </w:p>
        </w:tc>
        <w:tc>
          <w:tcPr>
            <w:tcW w:w="1276"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&lt;65</w:t>
            </w: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37(78.7)</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10(21.30)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47</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8.498</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0.004</w:t>
            </w:r>
          </w:p>
        </w:tc>
      </w:tr>
      <w:tr w:rsidR="00DE626B" w:rsidRPr="00DE626B" w:rsidTr="00DE626B">
        <w:trPr>
          <w:trHeight w:val="280"/>
        </w:trPr>
        <w:tc>
          <w:tcPr>
            <w:tcW w:w="1242"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68(54.40)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57(45.60)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125</w:t>
            </w: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r>
      <w:tr w:rsidR="00DE626B" w:rsidRPr="00DE626B" w:rsidTr="00DE626B">
        <w:trPr>
          <w:trHeight w:val="280"/>
        </w:trPr>
        <w:tc>
          <w:tcPr>
            <w:tcW w:w="1242"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w:t>
            </w:r>
            <w:r w:rsidRPr="00DF342A">
              <w:rPr>
                <w:rFonts w:ascii="仿宋" w:eastAsia="仿宋" w:hAnsi="仿宋"/>
                <w:color w:val="000000" w:themeColor="text1"/>
                <w:sz w:val="24"/>
                <w:szCs w:val="32"/>
              </w:rPr>
              <w:t>65</w:t>
            </w: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43(71.70)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17(28.30)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60</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6.429</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&lt;0.001</w:t>
            </w:r>
          </w:p>
        </w:tc>
      </w:tr>
      <w:tr w:rsidR="00DE626B" w:rsidRPr="00DE626B" w:rsidTr="00DE626B">
        <w:trPr>
          <w:trHeight w:val="280"/>
        </w:trPr>
        <w:tc>
          <w:tcPr>
            <w:tcW w:w="1242"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86(52.80)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77(47.20)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163</w:t>
            </w: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r>
      <w:tr w:rsidR="00DE626B" w:rsidRPr="00DE626B" w:rsidTr="00DE626B">
        <w:trPr>
          <w:trHeight w:val="280"/>
        </w:trPr>
        <w:tc>
          <w:tcPr>
            <w:tcW w:w="1242"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是否合并</w:t>
            </w:r>
          </w:p>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高血压</w:t>
            </w:r>
          </w:p>
        </w:tc>
        <w:tc>
          <w:tcPr>
            <w:tcW w:w="1276"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高血压</w:t>
            </w: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53(76.80)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16(23.20)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69</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13.980</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0.001</w:t>
            </w:r>
          </w:p>
        </w:tc>
      </w:tr>
      <w:tr w:rsidR="00DE626B" w:rsidRPr="00DE626B" w:rsidTr="00DE626B">
        <w:trPr>
          <w:trHeight w:val="280"/>
        </w:trPr>
        <w:tc>
          <w:tcPr>
            <w:tcW w:w="1242"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95(50.80)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92(49.20)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187</w:t>
            </w: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r>
      <w:tr w:rsidR="00DE626B" w:rsidRPr="00DE626B" w:rsidTr="00DE626B">
        <w:trPr>
          <w:trHeight w:val="280"/>
        </w:trPr>
        <w:tc>
          <w:tcPr>
            <w:tcW w:w="1242"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无高血压</w:t>
            </w: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26(70.30)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11(29.70)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37</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1.941</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0.164</w:t>
            </w:r>
          </w:p>
        </w:tc>
      </w:tr>
      <w:tr w:rsidR="00DE626B" w:rsidRPr="00DE626B" w:rsidTr="00DE626B">
        <w:trPr>
          <w:trHeight w:val="280"/>
        </w:trPr>
        <w:tc>
          <w:tcPr>
            <w:tcW w:w="1242"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56(57.10)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42(42.90)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98</w:t>
            </w: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r>
      <w:tr w:rsidR="00DE626B" w:rsidRPr="00DE626B" w:rsidTr="00DE626B">
        <w:trPr>
          <w:trHeight w:val="280"/>
        </w:trPr>
        <w:tc>
          <w:tcPr>
            <w:tcW w:w="1242"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是否合并</w:t>
            </w:r>
          </w:p>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糖尿病</w:t>
            </w:r>
          </w:p>
        </w:tc>
        <w:tc>
          <w:tcPr>
            <w:tcW w:w="1276"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糖尿病</w:t>
            </w: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22(84.60)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4(15.40)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26</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5.059</w:t>
            </w:r>
          </w:p>
        </w:tc>
        <w:tc>
          <w:tcPr>
            <w:tcW w:w="1023" w:type="dxa"/>
            <w:vMerge w:val="restart"/>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0.025</w:t>
            </w:r>
          </w:p>
        </w:tc>
      </w:tr>
      <w:tr w:rsidR="00DE626B" w:rsidRPr="00DE626B" w:rsidTr="00DE626B">
        <w:trPr>
          <w:trHeight w:val="280"/>
        </w:trPr>
        <w:tc>
          <w:tcPr>
            <w:tcW w:w="1242" w:type="dxa"/>
            <w:vMerge/>
            <w:tcBorders>
              <w:top w:val="nil"/>
              <w:left w:val="nil"/>
              <w:bottom w:val="single" w:sz="4" w:space="0" w:color="000000"/>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治疗组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46(60.50)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30(39.50)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76</w:t>
            </w: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023" w:type="dxa"/>
            <w:vMerge/>
            <w:tcBorders>
              <w:top w:val="nil"/>
              <w:left w:val="nil"/>
              <w:bottom w:val="nil"/>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r>
      <w:tr w:rsidR="00DE626B" w:rsidRPr="00DE626B" w:rsidTr="00DE626B">
        <w:trPr>
          <w:trHeight w:val="280"/>
        </w:trPr>
        <w:tc>
          <w:tcPr>
            <w:tcW w:w="1242" w:type="dxa"/>
            <w:vMerge/>
            <w:tcBorders>
              <w:top w:val="nil"/>
              <w:left w:val="nil"/>
              <w:bottom w:val="single" w:sz="4" w:space="0" w:color="000000"/>
              <w:right w:val="nil"/>
            </w:tcBorders>
            <w:vAlign w:val="center"/>
          </w:tcPr>
          <w:p w:rsidR="00DE626B" w:rsidRPr="00DF342A" w:rsidRDefault="00DE626B" w:rsidP="00DE626B">
            <w:pPr>
              <w:widowControl/>
              <w:jc w:val="center"/>
              <w:rPr>
                <w:rFonts w:ascii="仿宋" w:eastAsia="仿宋" w:hAnsi="仿宋"/>
                <w:color w:val="000000" w:themeColor="text1"/>
                <w:sz w:val="24"/>
                <w:szCs w:val="32"/>
              </w:rPr>
            </w:pPr>
          </w:p>
        </w:tc>
        <w:tc>
          <w:tcPr>
            <w:tcW w:w="1276"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无糖尿病</w:t>
            </w:r>
          </w:p>
        </w:tc>
        <w:tc>
          <w:tcPr>
            <w:tcW w:w="1134"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hint="eastAsia"/>
                <w:color w:val="000000" w:themeColor="text1"/>
                <w:sz w:val="24"/>
                <w:szCs w:val="32"/>
              </w:rPr>
              <w:t>对照组</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57(71.30)</w:t>
            </w:r>
          </w:p>
        </w:tc>
        <w:tc>
          <w:tcPr>
            <w:tcW w:w="1276"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23(28.70)</w:t>
            </w:r>
          </w:p>
        </w:tc>
        <w:tc>
          <w:tcPr>
            <w:tcW w:w="1023" w:type="dxa"/>
            <w:tcBorders>
              <w:top w:val="nil"/>
              <w:left w:val="nil"/>
              <w:bottom w:val="nil"/>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80</w:t>
            </w:r>
          </w:p>
        </w:tc>
        <w:tc>
          <w:tcPr>
            <w:tcW w:w="1023"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10.584</w:t>
            </w:r>
          </w:p>
        </w:tc>
        <w:tc>
          <w:tcPr>
            <w:tcW w:w="1023" w:type="dxa"/>
            <w:vMerge w:val="restart"/>
            <w:tcBorders>
              <w:top w:val="nil"/>
              <w:left w:val="nil"/>
              <w:bottom w:val="single" w:sz="4" w:space="0" w:color="000000"/>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0.001</w:t>
            </w:r>
          </w:p>
        </w:tc>
      </w:tr>
      <w:tr w:rsidR="00DE626B" w:rsidRPr="00DE626B" w:rsidTr="00DE626B">
        <w:trPr>
          <w:trHeight w:val="280"/>
        </w:trPr>
        <w:tc>
          <w:tcPr>
            <w:tcW w:w="1242" w:type="dxa"/>
            <w:vMerge/>
            <w:tcBorders>
              <w:top w:val="nil"/>
              <w:left w:val="nil"/>
              <w:bottom w:val="single" w:sz="4" w:space="0" w:color="000000"/>
              <w:right w:val="nil"/>
            </w:tcBorders>
            <w:vAlign w:val="center"/>
          </w:tcPr>
          <w:p w:rsidR="00DE626B" w:rsidRPr="00DE626B" w:rsidRDefault="00DE626B" w:rsidP="00DE626B">
            <w:pPr>
              <w:widowControl/>
              <w:jc w:val="center"/>
              <w:rPr>
                <w:rFonts w:ascii="等线" w:eastAsia="等线" w:hAnsi="等线" w:cs="宋体"/>
                <w:color w:val="000000"/>
                <w:kern w:val="0"/>
                <w:sz w:val="24"/>
              </w:rPr>
            </w:pPr>
          </w:p>
        </w:tc>
        <w:tc>
          <w:tcPr>
            <w:tcW w:w="1276" w:type="dxa"/>
            <w:vMerge/>
            <w:tcBorders>
              <w:top w:val="nil"/>
              <w:left w:val="nil"/>
              <w:bottom w:val="single" w:sz="4" w:space="0" w:color="000000"/>
              <w:right w:val="nil"/>
            </w:tcBorders>
            <w:vAlign w:val="center"/>
          </w:tcPr>
          <w:p w:rsidR="00DE626B" w:rsidRPr="00DE626B" w:rsidRDefault="00DE626B" w:rsidP="00DE626B">
            <w:pPr>
              <w:widowControl/>
              <w:jc w:val="center"/>
              <w:rPr>
                <w:rFonts w:ascii="宋体" w:hAnsi="宋体" w:cs="宋体"/>
                <w:color w:val="000000"/>
                <w:kern w:val="0"/>
                <w:sz w:val="24"/>
              </w:rPr>
            </w:pPr>
          </w:p>
        </w:tc>
        <w:tc>
          <w:tcPr>
            <w:tcW w:w="1134" w:type="dxa"/>
            <w:tcBorders>
              <w:top w:val="nil"/>
              <w:left w:val="nil"/>
              <w:bottom w:val="single" w:sz="4" w:space="0" w:color="auto"/>
              <w:right w:val="nil"/>
            </w:tcBorders>
            <w:noWrap/>
            <w:vAlign w:val="center"/>
          </w:tcPr>
          <w:p w:rsidR="00DE626B" w:rsidRPr="00DE626B" w:rsidRDefault="00DE626B" w:rsidP="00DE626B">
            <w:pPr>
              <w:widowControl/>
              <w:jc w:val="center"/>
              <w:rPr>
                <w:rFonts w:ascii="宋体" w:hAnsi="宋体" w:cs="宋体"/>
                <w:color w:val="000000"/>
                <w:kern w:val="0"/>
                <w:sz w:val="24"/>
              </w:rPr>
            </w:pPr>
            <w:r w:rsidRPr="00DE626B">
              <w:rPr>
                <w:rFonts w:ascii="宋体" w:hAnsi="宋体" w:cs="宋体" w:hint="eastAsia"/>
                <w:color w:val="000000"/>
                <w:kern w:val="0"/>
                <w:sz w:val="24"/>
              </w:rPr>
              <w:t>治疗组</w:t>
            </w:r>
          </w:p>
        </w:tc>
        <w:tc>
          <w:tcPr>
            <w:tcW w:w="1276"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104(50.00)</w:t>
            </w:r>
          </w:p>
        </w:tc>
        <w:tc>
          <w:tcPr>
            <w:tcW w:w="1276"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104(50.00)</w:t>
            </w:r>
          </w:p>
        </w:tc>
        <w:tc>
          <w:tcPr>
            <w:tcW w:w="1023" w:type="dxa"/>
            <w:tcBorders>
              <w:top w:val="nil"/>
              <w:left w:val="nil"/>
              <w:bottom w:val="single" w:sz="4" w:space="0" w:color="auto"/>
              <w:right w:val="nil"/>
            </w:tcBorders>
            <w:noWrap/>
            <w:vAlign w:val="center"/>
          </w:tcPr>
          <w:p w:rsidR="00DE626B" w:rsidRPr="00DF342A" w:rsidRDefault="00DE626B" w:rsidP="00DE626B">
            <w:pPr>
              <w:widowControl/>
              <w:jc w:val="center"/>
              <w:rPr>
                <w:rFonts w:ascii="仿宋" w:eastAsia="仿宋" w:hAnsi="仿宋"/>
                <w:color w:val="000000" w:themeColor="text1"/>
                <w:sz w:val="24"/>
                <w:szCs w:val="32"/>
              </w:rPr>
            </w:pPr>
            <w:r w:rsidRPr="00DF342A">
              <w:rPr>
                <w:rFonts w:ascii="仿宋" w:eastAsia="仿宋" w:hAnsi="仿宋"/>
                <w:color w:val="000000" w:themeColor="text1"/>
                <w:sz w:val="24"/>
                <w:szCs w:val="32"/>
              </w:rPr>
              <w:t>208</w:t>
            </w:r>
          </w:p>
        </w:tc>
        <w:tc>
          <w:tcPr>
            <w:tcW w:w="1023" w:type="dxa"/>
            <w:vMerge/>
            <w:tcBorders>
              <w:top w:val="nil"/>
              <w:left w:val="nil"/>
              <w:bottom w:val="single" w:sz="4" w:space="0" w:color="000000"/>
              <w:right w:val="nil"/>
            </w:tcBorders>
            <w:vAlign w:val="center"/>
          </w:tcPr>
          <w:p w:rsidR="00DE626B" w:rsidRPr="00DE626B" w:rsidRDefault="00DE626B" w:rsidP="00DE626B">
            <w:pPr>
              <w:widowControl/>
              <w:jc w:val="center"/>
              <w:rPr>
                <w:rFonts w:ascii="等线" w:eastAsia="等线" w:hAnsi="等线" w:cs="宋体"/>
                <w:color w:val="FF0000"/>
                <w:kern w:val="0"/>
                <w:sz w:val="24"/>
              </w:rPr>
            </w:pPr>
          </w:p>
        </w:tc>
        <w:tc>
          <w:tcPr>
            <w:tcW w:w="1023" w:type="dxa"/>
            <w:vMerge/>
            <w:tcBorders>
              <w:top w:val="nil"/>
              <w:left w:val="nil"/>
              <w:bottom w:val="single" w:sz="4" w:space="0" w:color="000000"/>
              <w:right w:val="nil"/>
            </w:tcBorders>
            <w:vAlign w:val="center"/>
          </w:tcPr>
          <w:p w:rsidR="00DE626B" w:rsidRPr="00DE626B" w:rsidRDefault="00DE626B" w:rsidP="00DE626B">
            <w:pPr>
              <w:widowControl/>
              <w:jc w:val="center"/>
              <w:rPr>
                <w:rFonts w:ascii="等线" w:eastAsia="等线" w:hAnsi="等线" w:cs="宋体"/>
                <w:color w:val="FF0000"/>
                <w:kern w:val="0"/>
                <w:sz w:val="24"/>
              </w:rPr>
            </w:pPr>
          </w:p>
        </w:tc>
      </w:tr>
    </w:tbl>
    <w:p w:rsidR="00DE626B" w:rsidRPr="00DF342A" w:rsidRDefault="00DE626B" w:rsidP="00DF342A">
      <w:pPr>
        <w:widowControl/>
        <w:autoSpaceDE w:val="0"/>
        <w:autoSpaceDN w:val="0"/>
        <w:spacing w:line="560" w:lineRule="exact"/>
        <w:ind w:firstLineChars="200" w:firstLine="640"/>
        <w:rPr>
          <w:rFonts w:ascii="仿宋" w:eastAsia="仿宋" w:hAnsi="仿宋"/>
          <w:color w:val="000000" w:themeColor="text1"/>
          <w:sz w:val="32"/>
          <w:szCs w:val="32"/>
        </w:rPr>
      </w:pPr>
      <w:r w:rsidRPr="00DF342A">
        <w:rPr>
          <w:rFonts w:ascii="仿宋" w:eastAsia="仿宋" w:hAnsi="仿宋" w:hint="eastAsia"/>
          <w:color w:val="000000" w:themeColor="text1"/>
          <w:sz w:val="32"/>
          <w:szCs w:val="32"/>
        </w:rPr>
        <w:t>本研究基于真实世界医疗数据，通过</w:t>
      </w:r>
      <w:r w:rsidRPr="00DF342A">
        <w:rPr>
          <w:rFonts w:ascii="仿宋" w:eastAsia="仿宋" w:hAnsi="仿宋"/>
          <w:color w:val="000000" w:themeColor="text1"/>
          <w:sz w:val="32"/>
          <w:szCs w:val="32"/>
        </w:rPr>
        <w:t>对</w:t>
      </w:r>
      <w:r w:rsidRPr="00DF342A">
        <w:rPr>
          <w:rFonts w:ascii="仿宋" w:eastAsia="仿宋" w:hAnsi="仿宋" w:hint="eastAsia"/>
          <w:color w:val="000000" w:themeColor="text1"/>
          <w:sz w:val="32"/>
          <w:szCs w:val="32"/>
        </w:rPr>
        <w:t>395</w:t>
      </w:r>
      <w:r w:rsidRPr="00DF342A">
        <w:rPr>
          <w:rFonts w:ascii="仿宋" w:eastAsia="仿宋" w:hAnsi="仿宋"/>
          <w:color w:val="000000" w:themeColor="text1"/>
          <w:sz w:val="32"/>
          <w:szCs w:val="32"/>
        </w:rPr>
        <w:t>例</w:t>
      </w:r>
      <w:r w:rsidRPr="00DF342A">
        <w:rPr>
          <w:rFonts w:ascii="仿宋" w:eastAsia="仿宋" w:hAnsi="仿宋" w:hint="eastAsia"/>
          <w:color w:val="000000" w:themeColor="text1"/>
          <w:sz w:val="32"/>
          <w:szCs w:val="32"/>
        </w:rPr>
        <w:t>患者住院资料的收集归纳整理，采用回顾性分析方法研究中风合剂治疗急性缺血性脑卒中的临床疗效，发现服用中风合剂的治疗</w:t>
      </w:r>
      <w:r w:rsidRPr="00DF342A">
        <w:rPr>
          <w:rFonts w:ascii="仿宋" w:eastAsia="仿宋" w:hAnsi="仿宋" w:hint="eastAsia"/>
          <w:color w:val="000000" w:themeColor="text1"/>
          <w:sz w:val="32"/>
          <w:szCs w:val="32"/>
        </w:rPr>
        <w:lastRenderedPageBreak/>
        <w:t>组与未服用中风合剂的对照组相比，治疗组患者在起病第</w:t>
      </w:r>
      <w:r w:rsidRPr="00DF342A">
        <w:rPr>
          <w:rFonts w:ascii="仿宋" w:eastAsia="仿宋" w:hAnsi="仿宋"/>
          <w:color w:val="000000" w:themeColor="text1"/>
          <w:sz w:val="32"/>
          <w:szCs w:val="32"/>
        </w:rPr>
        <w:t>7</w:t>
      </w:r>
      <w:r w:rsidRPr="00DF342A">
        <w:rPr>
          <w:rFonts w:ascii="仿宋" w:eastAsia="仿宋" w:hAnsi="仿宋" w:hint="eastAsia"/>
          <w:color w:val="000000" w:themeColor="text1"/>
          <w:sz w:val="32"/>
          <w:szCs w:val="32"/>
        </w:rPr>
        <w:t>天后的</w:t>
      </w:r>
      <w:r w:rsidRPr="00DF342A">
        <w:rPr>
          <w:rFonts w:ascii="仿宋" w:eastAsia="仿宋" w:hAnsi="仿宋"/>
          <w:color w:val="000000" w:themeColor="text1"/>
          <w:sz w:val="32"/>
          <w:szCs w:val="32"/>
        </w:rPr>
        <w:t>NIHSS</w:t>
      </w:r>
      <w:r w:rsidRPr="00DF342A">
        <w:rPr>
          <w:rFonts w:ascii="仿宋" w:eastAsia="仿宋" w:hAnsi="仿宋" w:hint="eastAsia"/>
          <w:color w:val="000000" w:themeColor="text1"/>
          <w:sz w:val="32"/>
          <w:szCs w:val="32"/>
        </w:rPr>
        <w:t>评分下降，临床有效率优于对照组，且</w:t>
      </w:r>
      <w:r w:rsidRPr="00DF342A">
        <w:rPr>
          <w:rFonts w:ascii="仿宋" w:eastAsia="仿宋" w:hAnsi="仿宋"/>
          <w:color w:val="000000" w:themeColor="text1"/>
          <w:sz w:val="32"/>
          <w:szCs w:val="32"/>
        </w:rPr>
        <w:t>中风合剂服用</w:t>
      </w:r>
      <w:r w:rsidRPr="00DF342A">
        <w:rPr>
          <w:rFonts w:ascii="仿宋" w:eastAsia="仿宋" w:hAnsi="仿宋" w:hint="eastAsia"/>
          <w:color w:val="000000" w:themeColor="text1"/>
          <w:sz w:val="32"/>
          <w:szCs w:val="32"/>
        </w:rPr>
        <w:t>疗程越长，</w:t>
      </w:r>
      <w:r w:rsidRPr="00DF342A">
        <w:rPr>
          <w:rFonts w:ascii="仿宋" w:eastAsia="仿宋" w:hAnsi="仿宋"/>
          <w:color w:val="000000" w:themeColor="text1"/>
          <w:sz w:val="32"/>
          <w:szCs w:val="32"/>
        </w:rPr>
        <w:t>疗效越显著</w:t>
      </w:r>
      <w:r w:rsidRPr="00DF342A">
        <w:rPr>
          <w:rFonts w:ascii="仿宋" w:eastAsia="仿宋" w:hAnsi="仿宋" w:hint="eastAsia"/>
          <w:color w:val="000000" w:themeColor="text1"/>
          <w:sz w:val="32"/>
          <w:szCs w:val="32"/>
        </w:rPr>
        <w:t>。亚组分析显示，在男性缺血性脑卒中患者以及合并高血压病患者中，治疗组疗效均优于对照组。</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风阳上扰证：治法宜平肝泻火，息风通络。推荐方药：天麻钩藤饮加减。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阴虚风动证：治法宜为滋养肝肾，育阴息风。推荐方药：镇肝息风汤加减。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痰热</w:t>
      </w:r>
      <w:proofErr w:type="gramStart"/>
      <w:r>
        <w:rPr>
          <w:rFonts w:ascii="仿宋" w:eastAsia="仿宋" w:hAnsi="仿宋" w:hint="eastAsia"/>
          <w:color w:val="000000" w:themeColor="text1"/>
          <w:sz w:val="32"/>
          <w:szCs w:val="32"/>
        </w:rPr>
        <w:t>腑</w:t>
      </w:r>
      <w:proofErr w:type="gramEnd"/>
      <w:r>
        <w:rPr>
          <w:rFonts w:ascii="仿宋" w:eastAsia="仿宋" w:hAnsi="仿宋" w:hint="eastAsia"/>
          <w:color w:val="000000" w:themeColor="text1"/>
          <w:sz w:val="32"/>
          <w:szCs w:val="32"/>
        </w:rPr>
        <w:t>实证：治法宜为通</w:t>
      </w:r>
      <w:proofErr w:type="gramStart"/>
      <w:r>
        <w:rPr>
          <w:rFonts w:ascii="仿宋" w:eastAsia="仿宋" w:hAnsi="仿宋" w:hint="eastAsia"/>
          <w:color w:val="000000" w:themeColor="text1"/>
          <w:sz w:val="32"/>
          <w:szCs w:val="32"/>
        </w:rPr>
        <w:t>腑</w:t>
      </w:r>
      <w:proofErr w:type="gramEnd"/>
      <w:r>
        <w:rPr>
          <w:rFonts w:ascii="仿宋" w:eastAsia="仿宋" w:hAnsi="仿宋" w:hint="eastAsia"/>
          <w:color w:val="000000" w:themeColor="text1"/>
          <w:sz w:val="32"/>
          <w:szCs w:val="32"/>
        </w:rPr>
        <w:t>泄热，理气化痰。推荐方药：桃仁承气汤加减。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痰火</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闭证：治法宜为清火化痰，息风开窍。推荐方药：</w:t>
      </w:r>
      <w:proofErr w:type="gramStart"/>
      <w:r>
        <w:rPr>
          <w:rFonts w:ascii="仿宋" w:eastAsia="仿宋" w:hAnsi="仿宋" w:hint="eastAsia"/>
          <w:color w:val="000000" w:themeColor="text1"/>
          <w:sz w:val="32"/>
          <w:szCs w:val="32"/>
        </w:rPr>
        <w:t>羚</w:t>
      </w:r>
      <w:proofErr w:type="gramEnd"/>
      <w:r>
        <w:rPr>
          <w:rFonts w:ascii="仿宋" w:eastAsia="仿宋" w:hAnsi="仿宋" w:hint="eastAsia"/>
          <w:color w:val="000000" w:themeColor="text1"/>
          <w:sz w:val="32"/>
          <w:szCs w:val="32"/>
        </w:rPr>
        <w:t>角钩藤汤加减，另服至宝丹或安宫牛黄丸以清心开窍。</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痰浊</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闭证：治法宜为豁痰息风，辛温开窍。推荐方药：</w:t>
      </w:r>
      <w:proofErr w:type="gramStart"/>
      <w:r>
        <w:rPr>
          <w:rFonts w:ascii="仿宋" w:eastAsia="仿宋" w:hAnsi="仿宋" w:hint="eastAsia"/>
          <w:color w:val="000000" w:themeColor="text1"/>
          <w:sz w:val="32"/>
          <w:szCs w:val="32"/>
        </w:rPr>
        <w:t>涤</w:t>
      </w:r>
      <w:proofErr w:type="gramEnd"/>
      <w:r>
        <w:rPr>
          <w:rFonts w:ascii="仿宋" w:eastAsia="仿宋" w:hAnsi="仿宋" w:hint="eastAsia"/>
          <w:color w:val="000000" w:themeColor="text1"/>
          <w:sz w:val="32"/>
          <w:szCs w:val="32"/>
        </w:rPr>
        <w:t>痰汤加减，另用苏合香丸宣郁开窍。</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脱证：治法宜为回阳救逆，益气固脱。推荐方药：参附汤合生脉散加减。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风痰</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阻证：治法宜为祛风化痰，化</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通络。推荐方药：</w:t>
      </w:r>
      <w:proofErr w:type="gramStart"/>
      <w:r>
        <w:rPr>
          <w:rFonts w:ascii="仿宋" w:eastAsia="仿宋" w:hAnsi="仿宋" w:hint="eastAsia"/>
          <w:color w:val="000000" w:themeColor="text1"/>
          <w:sz w:val="32"/>
          <w:szCs w:val="32"/>
        </w:rPr>
        <w:t>解语丹加减</w:t>
      </w:r>
      <w:proofErr w:type="gramEnd"/>
      <w:r>
        <w:rPr>
          <w:rFonts w:ascii="仿宋" w:eastAsia="仿宋" w:hAnsi="仿宋" w:hint="eastAsia"/>
          <w:color w:val="000000" w:themeColor="text1"/>
          <w:sz w:val="32"/>
          <w:szCs w:val="32"/>
        </w:rPr>
        <w:t>。</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气虚络</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证：治法宜为活血化瘀，益气通络。推荐方药：补阳还五汤加减。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肝肾亏虚证：治法宜为滋养肝肾。推荐方药：左归丸合地黄饮子加减。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中药口服汤剂以辨证论治为原则制定组方，针灸治疗中风病主要包括头针和体针，</w:t>
      </w:r>
      <w:proofErr w:type="gramStart"/>
      <w:r>
        <w:rPr>
          <w:rFonts w:ascii="仿宋" w:eastAsia="仿宋" w:hAnsi="仿宋" w:hint="eastAsia"/>
          <w:color w:val="000000" w:themeColor="text1"/>
          <w:sz w:val="32"/>
          <w:szCs w:val="32"/>
        </w:rPr>
        <w:t>体针仍</w:t>
      </w:r>
      <w:proofErr w:type="gramEnd"/>
      <w:r>
        <w:rPr>
          <w:rFonts w:ascii="仿宋" w:eastAsia="仿宋" w:hAnsi="仿宋" w:hint="eastAsia"/>
          <w:color w:val="000000" w:themeColor="text1"/>
          <w:sz w:val="32"/>
          <w:szCs w:val="32"/>
        </w:rPr>
        <w:t>以辨证取穴。头针主要根据神经细胞受损影响的相应功能而取穴。中药口服片剂、胶囊等多以口服中药组方加减为用，或以单味中药提取物为用，还有一些经验方，大体原则仍以益气平肝活血化痰通络为主。中药针剂以葛根、银杏叶、丹参、川芎、三七、僵蚕、地龙等活血药的提取物为主。以阴阳辨证的刚柔相济法，主要侧重以柔经、强经或刚柔并进为治则，药物选择治柔以马钱子、海风藤等，治刚以白芍、甘草、伸筋草等。中风的功能康复有很多推拿手法，对改善肢体肌力和</w:t>
      </w:r>
      <w:proofErr w:type="gramStart"/>
      <w:r>
        <w:rPr>
          <w:rFonts w:ascii="仿宋" w:eastAsia="仿宋" w:hAnsi="仿宋" w:hint="eastAsia"/>
          <w:color w:val="000000" w:themeColor="text1"/>
          <w:sz w:val="32"/>
          <w:szCs w:val="32"/>
        </w:rPr>
        <w:t>肌张力</w:t>
      </w:r>
      <w:proofErr w:type="gramEnd"/>
      <w:r>
        <w:rPr>
          <w:rFonts w:ascii="仿宋" w:eastAsia="仿宋" w:hAnsi="仿宋" w:hint="eastAsia"/>
          <w:color w:val="000000" w:themeColor="text1"/>
          <w:sz w:val="32"/>
          <w:szCs w:val="32"/>
        </w:rPr>
        <w:t>疗效较好。总的来说，中医治疗的方式和作用靶点较丰富。对促进神经功能的康复起到协同增效的好处。</w:t>
      </w:r>
    </w:p>
    <w:p w:rsidR="00572126" w:rsidRDefault="00DE626B">
      <w:pPr>
        <w:widowControl/>
        <w:autoSpaceDE w:val="0"/>
        <w:autoSpaceDN w:val="0"/>
        <w:spacing w:line="560" w:lineRule="exact"/>
        <w:ind w:firstLineChars="200" w:firstLine="643"/>
        <w:rPr>
          <w:rFonts w:ascii="仿宋" w:eastAsia="仿宋" w:hAnsi="仿宋"/>
          <w:color w:val="000000" w:themeColor="text1"/>
          <w:sz w:val="32"/>
          <w:szCs w:val="32"/>
        </w:rPr>
      </w:pPr>
      <w:r>
        <w:rPr>
          <w:rFonts w:ascii="仿宋" w:eastAsia="仿宋" w:hAnsi="仿宋" w:hint="eastAsia"/>
          <w:b/>
          <w:bCs/>
          <w:color w:val="000000" w:themeColor="text1"/>
          <w:sz w:val="32"/>
          <w:szCs w:val="32"/>
        </w:rPr>
        <w:t>西医治疗</w:t>
      </w:r>
      <w:r>
        <w:rPr>
          <w:rFonts w:ascii="仿宋" w:eastAsia="仿宋" w:hAnsi="仿宋" w:hint="eastAsia"/>
          <w:color w:val="000000" w:themeColor="text1"/>
          <w:sz w:val="32"/>
          <w:szCs w:val="32"/>
        </w:rPr>
        <w:t>：西医对卒中的治疗以病因和发病机制为原则，划分为了不同等级的预防性治疗，建立了一级预防、二级预防体系。西医治疗主要参考《中国急性缺血性脑卒中诊治指南（2018年版）》进行治疗。</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风阳上扰证：治法为祛风毒，清热毒，调整巧</w:t>
      </w:r>
      <w:proofErr w:type="gramStart"/>
      <w:r>
        <w:rPr>
          <w:rFonts w:ascii="仿宋" w:eastAsia="仿宋" w:hAnsi="仿宋" w:hint="eastAsia"/>
          <w:color w:val="000000" w:themeColor="text1"/>
          <w:sz w:val="32"/>
          <w:szCs w:val="32"/>
        </w:rPr>
        <w:t>坞</w:t>
      </w:r>
      <w:proofErr w:type="gramEnd"/>
      <w:r>
        <w:rPr>
          <w:rFonts w:ascii="仿宋" w:eastAsia="仿宋" w:hAnsi="仿宋" w:hint="eastAsia"/>
          <w:color w:val="000000" w:themeColor="text1"/>
          <w:sz w:val="32"/>
          <w:szCs w:val="32"/>
        </w:rPr>
        <w:t>。推荐方药：九龙藤（勾燕）、钩藤（</w:t>
      </w:r>
      <w:proofErr w:type="gramStart"/>
      <w:r>
        <w:rPr>
          <w:rFonts w:ascii="仿宋" w:eastAsia="仿宋" w:hAnsi="仿宋" w:hint="eastAsia"/>
          <w:color w:val="000000" w:themeColor="text1"/>
          <w:sz w:val="32"/>
          <w:szCs w:val="32"/>
        </w:rPr>
        <w:t>勾刮欧</w:t>
      </w:r>
      <w:proofErr w:type="gramEnd"/>
      <w:r>
        <w:rPr>
          <w:rFonts w:ascii="仿宋" w:eastAsia="仿宋" w:hAnsi="仿宋" w:hint="eastAsia"/>
          <w:color w:val="000000" w:themeColor="text1"/>
          <w:sz w:val="32"/>
          <w:szCs w:val="32"/>
        </w:rPr>
        <w:t>）、大叶千斤拔（棵</w:t>
      </w:r>
      <w:proofErr w:type="gramStart"/>
      <w:r>
        <w:rPr>
          <w:rFonts w:ascii="仿宋" w:eastAsia="仿宋" w:hAnsi="仿宋" w:hint="eastAsia"/>
          <w:color w:val="000000" w:themeColor="text1"/>
          <w:sz w:val="32"/>
          <w:szCs w:val="32"/>
        </w:rPr>
        <w:t>壤</w:t>
      </w:r>
      <w:proofErr w:type="gramEnd"/>
      <w:r>
        <w:rPr>
          <w:rFonts w:ascii="仿宋" w:eastAsia="仿宋" w:hAnsi="仿宋" w:hint="eastAsia"/>
          <w:color w:val="000000" w:themeColor="text1"/>
          <w:sz w:val="32"/>
          <w:szCs w:val="32"/>
        </w:rPr>
        <w:t>丁）等合天麻钩藤饮加减。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痰热</w:t>
      </w:r>
      <w:proofErr w:type="gramStart"/>
      <w:r>
        <w:rPr>
          <w:rFonts w:ascii="仿宋" w:eastAsia="仿宋" w:hAnsi="仿宋" w:hint="eastAsia"/>
          <w:color w:val="000000" w:themeColor="text1"/>
          <w:sz w:val="32"/>
          <w:szCs w:val="32"/>
        </w:rPr>
        <w:t>腑</w:t>
      </w:r>
      <w:proofErr w:type="gramEnd"/>
      <w:r>
        <w:rPr>
          <w:rFonts w:ascii="仿宋" w:eastAsia="仿宋" w:hAnsi="仿宋" w:hint="eastAsia"/>
          <w:color w:val="000000" w:themeColor="text1"/>
          <w:sz w:val="32"/>
          <w:szCs w:val="32"/>
        </w:rPr>
        <w:t>实证：治法为清热化痰，通</w:t>
      </w:r>
      <w:proofErr w:type="gramStart"/>
      <w:r>
        <w:rPr>
          <w:rFonts w:ascii="仿宋" w:eastAsia="仿宋" w:hAnsi="仿宋" w:hint="eastAsia"/>
          <w:color w:val="000000" w:themeColor="text1"/>
          <w:sz w:val="32"/>
          <w:szCs w:val="32"/>
        </w:rPr>
        <w:t>腑</w:t>
      </w:r>
      <w:proofErr w:type="gramEnd"/>
      <w:r>
        <w:rPr>
          <w:rFonts w:ascii="仿宋" w:eastAsia="仿宋" w:hAnsi="仿宋" w:hint="eastAsia"/>
          <w:color w:val="000000" w:themeColor="text1"/>
          <w:sz w:val="32"/>
          <w:szCs w:val="32"/>
        </w:rPr>
        <w:t>泻浊。推荐方药：钩藤（</w:t>
      </w:r>
      <w:proofErr w:type="gramStart"/>
      <w:r>
        <w:rPr>
          <w:rFonts w:ascii="仿宋" w:eastAsia="仿宋" w:hAnsi="仿宋" w:hint="eastAsia"/>
          <w:color w:val="000000" w:themeColor="text1"/>
          <w:sz w:val="32"/>
          <w:szCs w:val="32"/>
        </w:rPr>
        <w:t>勾刮欧</w:t>
      </w:r>
      <w:proofErr w:type="gramEnd"/>
      <w:r>
        <w:rPr>
          <w:rFonts w:ascii="仿宋" w:eastAsia="仿宋" w:hAnsi="仿宋" w:hint="eastAsia"/>
          <w:color w:val="000000" w:themeColor="text1"/>
          <w:sz w:val="32"/>
          <w:szCs w:val="32"/>
        </w:rPr>
        <w:t>）、大叶千斤拔（棵</w:t>
      </w:r>
      <w:proofErr w:type="gramStart"/>
      <w:r>
        <w:rPr>
          <w:rFonts w:ascii="仿宋" w:eastAsia="仿宋" w:hAnsi="仿宋" w:hint="eastAsia"/>
          <w:color w:val="000000" w:themeColor="text1"/>
          <w:sz w:val="32"/>
          <w:szCs w:val="32"/>
        </w:rPr>
        <w:t>壤</w:t>
      </w:r>
      <w:proofErr w:type="gramEnd"/>
      <w:r>
        <w:rPr>
          <w:rFonts w:ascii="仿宋" w:eastAsia="仿宋" w:hAnsi="仿宋" w:hint="eastAsia"/>
          <w:color w:val="000000" w:themeColor="text1"/>
          <w:sz w:val="32"/>
          <w:szCs w:val="32"/>
        </w:rPr>
        <w:t>丁）、走马胎（</w:t>
      </w:r>
      <w:proofErr w:type="gramStart"/>
      <w:r>
        <w:rPr>
          <w:rFonts w:ascii="仿宋" w:eastAsia="仿宋" w:hAnsi="仿宋" w:hint="eastAsia"/>
          <w:color w:val="000000" w:themeColor="text1"/>
          <w:sz w:val="32"/>
          <w:szCs w:val="32"/>
        </w:rPr>
        <w:t>棵封勒</w:t>
      </w:r>
      <w:proofErr w:type="gramEnd"/>
      <w:r>
        <w:rPr>
          <w:rFonts w:ascii="仿宋" w:eastAsia="仿宋" w:hAnsi="仿宋" w:hint="eastAsia"/>
          <w:color w:val="000000" w:themeColor="text1"/>
          <w:sz w:val="32"/>
          <w:szCs w:val="32"/>
        </w:rPr>
        <w:t>）、宽筋藤（勾丛）等合星</w:t>
      </w:r>
      <w:proofErr w:type="gramStart"/>
      <w:r>
        <w:rPr>
          <w:rFonts w:ascii="仿宋" w:eastAsia="仿宋" w:hAnsi="仿宋" w:hint="eastAsia"/>
          <w:color w:val="000000" w:themeColor="text1"/>
          <w:sz w:val="32"/>
          <w:szCs w:val="32"/>
        </w:rPr>
        <w:t>蒌</w:t>
      </w:r>
      <w:proofErr w:type="gramEnd"/>
      <w:r>
        <w:rPr>
          <w:rFonts w:ascii="仿宋" w:eastAsia="仿宋" w:hAnsi="仿宋" w:hint="eastAsia"/>
          <w:color w:val="000000" w:themeColor="text1"/>
          <w:sz w:val="32"/>
          <w:szCs w:val="32"/>
        </w:rPr>
        <w:t>承气汤加减。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阴虚风动证：治法为滋养肝肾,祛风毒。推荐方药：龟甲（不</w:t>
      </w:r>
      <w:proofErr w:type="gramStart"/>
      <w:r>
        <w:rPr>
          <w:rFonts w:ascii="仿宋" w:eastAsia="仿宋" w:hAnsi="仿宋" w:hint="eastAsia"/>
          <w:color w:val="000000" w:themeColor="text1"/>
          <w:sz w:val="32"/>
          <w:szCs w:val="32"/>
        </w:rPr>
        <w:t>奎</w:t>
      </w:r>
      <w:proofErr w:type="gramEnd"/>
      <w:r>
        <w:rPr>
          <w:rFonts w:ascii="仿宋" w:eastAsia="仿宋" w:hAnsi="仿宋" w:hint="eastAsia"/>
          <w:color w:val="000000" w:themeColor="text1"/>
          <w:sz w:val="32"/>
          <w:szCs w:val="32"/>
        </w:rPr>
        <w:t>）、麦冬（甲细）、旱莲草（</w:t>
      </w:r>
      <w:proofErr w:type="gramStart"/>
      <w:r>
        <w:rPr>
          <w:rFonts w:ascii="仿宋" w:eastAsia="仿宋" w:hAnsi="仿宋" w:hint="eastAsia"/>
          <w:color w:val="000000" w:themeColor="text1"/>
          <w:sz w:val="32"/>
          <w:szCs w:val="32"/>
        </w:rPr>
        <w:t>黑么草</w:t>
      </w:r>
      <w:proofErr w:type="gramEnd"/>
      <w:r>
        <w:rPr>
          <w:rFonts w:ascii="仿宋" w:eastAsia="仿宋" w:hAnsi="仿宋" w:hint="eastAsia"/>
          <w:color w:val="000000" w:themeColor="text1"/>
          <w:sz w:val="32"/>
          <w:szCs w:val="32"/>
        </w:rPr>
        <w:t>）等合镇肝息风汤加减。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风痰阻络证：治法为祛风毒，化痰</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，通两路。推荐方药：蜈蚣（息挡）、半夏（棵半夏）、橘红化橘红（卜能盆）等合半夏白术天麻汤加减。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气虚血</w:t>
      </w:r>
      <w:proofErr w:type="gramStart"/>
      <w:r>
        <w:rPr>
          <w:rFonts w:ascii="仿宋" w:eastAsia="仿宋" w:hAnsi="仿宋" w:hint="eastAsia"/>
          <w:color w:val="000000" w:themeColor="text1"/>
          <w:sz w:val="32"/>
          <w:szCs w:val="32"/>
        </w:rPr>
        <w:t>瘀</w:t>
      </w:r>
      <w:proofErr w:type="gramEnd"/>
      <w:r>
        <w:rPr>
          <w:rFonts w:ascii="仿宋" w:eastAsia="仿宋" w:hAnsi="仿宋" w:hint="eastAsia"/>
          <w:color w:val="000000" w:themeColor="text1"/>
          <w:sz w:val="32"/>
          <w:szCs w:val="32"/>
        </w:rPr>
        <w:t>证：治法为调嘘勒，活血通路。推荐方药：扶芳藤（勾咬）、五指毛桃（</w:t>
      </w:r>
      <w:proofErr w:type="gramStart"/>
      <w:r>
        <w:rPr>
          <w:rFonts w:ascii="仿宋" w:eastAsia="仿宋" w:hAnsi="仿宋" w:hint="eastAsia"/>
          <w:color w:val="000000" w:themeColor="text1"/>
          <w:sz w:val="32"/>
          <w:szCs w:val="32"/>
        </w:rPr>
        <w:t>棵西思</w:t>
      </w:r>
      <w:proofErr w:type="gramEnd"/>
      <w:r>
        <w:rPr>
          <w:rFonts w:ascii="仿宋" w:eastAsia="仿宋" w:hAnsi="仿宋" w:hint="eastAsia"/>
          <w:color w:val="000000" w:themeColor="text1"/>
          <w:sz w:val="32"/>
          <w:szCs w:val="32"/>
        </w:rPr>
        <w:t>）、鸡血藤（勾勒给）等合补阳还五汤加减。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阳证：治法为清热化痰,调整巧</w:t>
      </w:r>
      <w:proofErr w:type="gramStart"/>
      <w:r>
        <w:rPr>
          <w:rFonts w:ascii="仿宋" w:eastAsia="仿宋" w:hAnsi="仿宋" w:hint="eastAsia"/>
          <w:color w:val="000000" w:themeColor="text1"/>
          <w:sz w:val="32"/>
          <w:szCs w:val="32"/>
        </w:rPr>
        <w:t>坞</w:t>
      </w:r>
      <w:proofErr w:type="gramEnd"/>
      <w:r>
        <w:rPr>
          <w:rFonts w:ascii="仿宋" w:eastAsia="仿宋" w:hAnsi="仿宋" w:hint="eastAsia"/>
          <w:color w:val="000000" w:themeColor="text1"/>
          <w:sz w:val="32"/>
          <w:szCs w:val="32"/>
        </w:rPr>
        <w:t>。推荐方药：钩藤（</w:t>
      </w:r>
      <w:proofErr w:type="gramStart"/>
      <w:r>
        <w:rPr>
          <w:rFonts w:ascii="仿宋" w:eastAsia="仿宋" w:hAnsi="仿宋" w:hint="eastAsia"/>
          <w:color w:val="000000" w:themeColor="text1"/>
          <w:sz w:val="32"/>
          <w:szCs w:val="32"/>
        </w:rPr>
        <w:t>勾刮欧</w:t>
      </w:r>
      <w:proofErr w:type="gramEnd"/>
      <w:r>
        <w:rPr>
          <w:rFonts w:ascii="仿宋" w:eastAsia="仿宋" w:hAnsi="仿宋" w:hint="eastAsia"/>
          <w:color w:val="000000" w:themeColor="text1"/>
          <w:sz w:val="32"/>
          <w:szCs w:val="32"/>
        </w:rPr>
        <w:t>）、石菖蒲（棵息忍）、蝉衣（堵频）、薄荷（棵薄荷）等合羚羊角汤加减，送服安宫牛黄丸。</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阴闭证：治法为温阳化痰,调整巧</w:t>
      </w:r>
      <w:proofErr w:type="gramStart"/>
      <w:r>
        <w:rPr>
          <w:rFonts w:ascii="仿宋" w:eastAsia="仿宋" w:hAnsi="仿宋" w:hint="eastAsia"/>
          <w:color w:val="000000" w:themeColor="text1"/>
          <w:sz w:val="32"/>
          <w:szCs w:val="32"/>
        </w:rPr>
        <w:t>坞</w:t>
      </w:r>
      <w:proofErr w:type="gramEnd"/>
      <w:r>
        <w:rPr>
          <w:rFonts w:ascii="仿宋" w:eastAsia="仿宋" w:hAnsi="仿宋" w:hint="eastAsia"/>
          <w:color w:val="000000" w:themeColor="text1"/>
          <w:sz w:val="32"/>
          <w:szCs w:val="32"/>
        </w:rPr>
        <w:t>。推荐方药：石菖蒲（棵息忍）、化橘红（卜能盆）、黄花倒水莲（</w:t>
      </w:r>
      <w:proofErr w:type="gramStart"/>
      <w:r>
        <w:rPr>
          <w:rFonts w:ascii="仿宋" w:eastAsia="仿宋" w:hAnsi="仿宋" w:hint="eastAsia"/>
          <w:color w:val="000000" w:themeColor="text1"/>
          <w:sz w:val="32"/>
          <w:szCs w:val="32"/>
        </w:rPr>
        <w:t>棵华现</w:t>
      </w:r>
      <w:proofErr w:type="gramEnd"/>
      <w:r>
        <w:rPr>
          <w:rFonts w:ascii="仿宋" w:eastAsia="仿宋" w:hAnsi="仿宋" w:hint="eastAsia"/>
          <w:color w:val="000000" w:themeColor="text1"/>
          <w:sz w:val="32"/>
          <w:szCs w:val="32"/>
        </w:rPr>
        <w:t>）等合</w:t>
      </w:r>
      <w:proofErr w:type="gramStart"/>
      <w:r>
        <w:rPr>
          <w:rFonts w:ascii="仿宋" w:eastAsia="仿宋" w:hAnsi="仿宋" w:hint="eastAsia"/>
          <w:color w:val="000000" w:themeColor="text1"/>
          <w:sz w:val="32"/>
          <w:szCs w:val="32"/>
        </w:rPr>
        <w:t>涤</w:t>
      </w:r>
      <w:proofErr w:type="gramEnd"/>
      <w:r>
        <w:rPr>
          <w:rFonts w:ascii="仿宋" w:eastAsia="仿宋" w:hAnsi="仿宋" w:hint="eastAsia"/>
          <w:color w:val="000000" w:themeColor="text1"/>
          <w:sz w:val="32"/>
          <w:szCs w:val="32"/>
        </w:rPr>
        <w:t>痰汤加减，</w:t>
      </w:r>
      <w:proofErr w:type="gramStart"/>
      <w:r>
        <w:rPr>
          <w:rFonts w:ascii="仿宋" w:eastAsia="仿宋" w:hAnsi="仿宋" w:hint="eastAsia"/>
          <w:color w:val="000000" w:themeColor="text1"/>
          <w:sz w:val="32"/>
          <w:szCs w:val="32"/>
        </w:rPr>
        <w:t>送服苏合</w:t>
      </w:r>
      <w:proofErr w:type="gramEnd"/>
      <w:r>
        <w:rPr>
          <w:rFonts w:ascii="仿宋" w:eastAsia="仿宋" w:hAnsi="仿宋" w:hint="eastAsia"/>
          <w:color w:val="000000" w:themeColor="text1"/>
          <w:sz w:val="32"/>
          <w:szCs w:val="32"/>
        </w:rPr>
        <w:t>香丸。</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虚脱证：治法为回阳固脱。推荐方药：肉桂（能桂）、八角茴香(</w:t>
      </w:r>
      <w:proofErr w:type="gramStart"/>
      <w:r>
        <w:rPr>
          <w:rFonts w:ascii="仿宋" w:eastAsia="仿宋" w:hAnsi="仿宋" w:hint="eastAsia"/>
          <w:color w:val="000000" w:themeColor="text1"/>
          <w:sz w:val="32"/>
          <w:szCs w:val="32"/>
        </w:rPr>
        <w:t>芒抗</w:t>
      </w:r>
      <w:proofErr w:type="gramEnd"/>
      <w:r>
        <w:rPr>
          <w:rFonts w:ascii="仿宋" w:eastAsia="仿宋" w:hAnsi="仿宋" w:hint="eastAsia"/>
          <w:color w:val="000000" w:themeColor="text1"/>
          <w:sz w:val="32"/>
          <w:szCs w:val="32"/>
        </w:rPr>
        <w:t>)、黄花倒水莲（</w:t>
      </w:r>
      <w:proofErr w:type="gramStart"/>
      <w:r>
        <w:rPr>
          <w:rFonts w:ascii="仿宋" w:eastAsia="仿宋" w:hAnsi="仿宋" w:hint="eastAsia"/>
          <w:color w:val="000000" w:themeColor="text1"/>
          <w:sz w:val="32"/>
          <w:szCs w:val="32"/>
        </w:rPr>
        <w:t>棵华现</w:t>
      </w:r>
      <w:proofErr w:type="gramEnd"/>
      <w:r>
        <w:rPr>
          <w:rFonts w:ascii="仿宋" w:eastAsia="仿宋" w:hAnsi="仿宋" w:hint="eastAsia"/>
          <w:color w:val="000000" w:themeColor="text1"/>
          <w:sz w:val="32"/>
          <w:szCs w:val="32"/>
        </w:rPr>
        <w:t>）等合参附汤加减。</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壮医药线点</w:t>
      </w:r>
      <w:proofErr w:type="gramStart"/>
      <w:r>
        <w:rPr>
          <w:rFonts w:ascii="仿宋" w:eastAsia="仿宋" w:hAnsi="仿宋" w:hint="eastAsia"/>
          <w:color w:val="000000" w:themeColor="text1"/>
          <w:sz w:val="32"/>
          <w:szCs w:val="32"/>
        </w:rPr>
        <w:t>灸</w:t>
      </w:r>
      <w:proofErr w:type="gramEnd"/>
      <w:r>
        <w:rPr>
          <w:rFonts w:ascii="仿宋" w:eastAsia="仿宋" w:hAnsi="仿宋" w:hint="eastAsia"/>
          <w:color w:val="000000" w:themeColor="text1"/>
          <w:sz w:val="32"/>
          <w:szCs w:val="32"/>
        </w:rPr>
        <w:t>疗法：上肢可取肩髃、曲池、手三里、外关、合谷；下肢</w:t>
      </w:r>
      <w:proofErr w:type="gramStart"/>
      <w:r>
        <w:rPr>
          <w:rFonts w:ascii="仿宋" w:eastAsia="仿宋" w:hAnsi="仿宋" w:hint="eastAsia"/>
          <w:color w:val="000000" w:themeColor="text1"/>
          <w:sz w:val="32"/>
          <w:szCs w:val="32"/>
        </w:rPr>
        <w:t>可取环</w:t>
      </w:r>
      <w:proofErr w:type="gramEnd"/>
      <w:r>
        <w:rPr>
          <w:rFonts w:ascii="仿宋" w:eastAsia="仿宋" w:hAnsi="仿宋" w:hint="eastAsia"/>
          <w:color w:val="000000" w:themeColor="text1"/>
          <w:sz w:val="32"/>
          <w:szCs w:val="32"/>
        </w:rPr>
        <w:t>跳、阳陵泉、足三里、解溪、昆仑等穴。口眼</w:t>
      </w:r>
      <w:proofErr w:type="gramStart"/>
      <w:r>
        <w:rPr>
          <w:rFonts w:ascii="仿宋" w:eastAsia="仿宋" w:hAnsi="仿宋" w:hint="eastAsia"/>
          <w:color w:val="000000" w:themeColor="text1"/>
          <w:sz w:val="32"/>
          <w:szCs w:val="32"/>
        </w:rPr>
        <w:t>喎</w:t>
      </w:r>
      <w:proofErr w:type="gramEnd"/>
      <w:r>
        <w:rPr>
          <w:rFonts w:ascii="仿宋" w:eastAsia="仿宋" w:hAnsi="仿宋" w:hint="eastAsia"/>
          <w:color w:val="000000" w:themeColor="text1"/>
          <w:sz w:val="32"/>
          <w:szCs w:val="32"/>
        </w:rPr>
        <w:t>斜者，取地仓、颊车、合谷、内庭、太冲，</w:t>
      </w:r>
      <w:proofErr w:type="gramStart"/>
      <w:r>
        <w:rPr>
          <w:rFonts w:ascii="仿宋" w:eastAsia="仿宋" w:hAnsi="仿宋" w:hint="eastAsia"/>
          <w:color w:val="000000" w:themeColor="text1"/>
          <w:sz w:val="32"/>
          <w:szCs w:val="32"/>
        </w:rPr>
        <w:t>再依病部酌取牵正</w:t>
      </w:r>
      <w:proofErr w:type="gramEnd"/>
      <w:r>
        <w:rPr>
          <w:rFonts w:ascii="仿宋" w:eastAsia="仿宋" w:hAnsi="仿宋" w:hint="eastAsia"/>
          <w:color w:val="000000" w:themeColor="text1"/>
          <w:sz w:val="32"/>
          <w:szCs w:val="32"/>
        </w:rPr>
        <w:t>、水沟、四白、下关等穴。每天点</w:t>
      </w:r>
      <w:proofErr w:type="gramStart"/>
      <w:r>
        <w:rPr>
          <w:rFonts w:ascii="仿宋" w:eastAsia="仿宋" w:hAnsi="仿宋" w:hint="eastAsia"/>
          <w:color w:val="000000" w:themeColor="text1"/>
          <w:sz w:val="32"/>
          <w:szCs w:val="32"/>
        </w:rPr>
        <w:t>灸</w:t>
      </w:r>
      <w:proofErr w:type="gramEnd"/>
      <w:r>
        <w:rPr>
          <w:rFonts w:ascii="仿宋" w:eastAsia="仿宋" w:hAnsi="仿宋" w:hint="eastAsia"/>
          <w:color w:val="000000" w:themeColor="text1"/>
          <w:sz w:val="32"/>
          <w:szCs w:val="32"/>
        </w:rPr>
        <w:t>1次，疗程视具体情况而定。</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proofErr w:type="gramStart"/>
      <w:r>
        <w:rPr>
          <w:rFonts w:ascii="仿宋" w:eastAsia="仿宋" w:hAnsi="仿宋" w:hint="eastAsia"/>
          <w:color w:val="000000" w:themeColor="text1"/>
          <w:sz w:val="32"/>
          <w:szCs w:val="32"/>
        </w:rPr>
        <w:t>药物竹罐疗法</w:t>
      </w:r>
      <w:proofErr w:type="gramEnd"/>
      <w:r>
        <w:rPr>
          <w:rFonts w:ascii="仿宋" w:eastAsia="仿宋" w:hAnsi="仿宋" w:hint="eastAsia"/>
          <w:color w:val="000000" w:themeColor="text1"/>
          <w:sz w:val="32"/>
          <w:szCs w:val="32"/>
        </w:rPr>
        <w:t>：取华佗夹脊穴、足太阳膀胱经、手阳明大肠经、足少阳胆经、足阳明胃经、足太阴脾经的穴位。华</w:t>
      </w:r>
      <w:r>
        <w:rPr>
          <w:rFonts w:ascii="仿宋" w:eastAsia="仿宋" w:hAnsi="仿宋" w:hint="eastAsia"/>
          <w:color w:val="000000" w:themeColor="text1"/>
          <w:sz w:val="32"/>
          <w:szCs w:val="32"/>
        </w:rPr>
        <w:lastRenderedPageBreak/>
        <w:t>佗夹脊穴与背部膀胱经穴位交替使用，采用密排罐法，留罐10 min～15 min。余穴取患侧穴位，每次选取2～3个上肢穴位，2～3个下肢穴位，针刺得气出针后拔罐，也可用梅花针扣刺拔罐，留罐10 min～15 min。</w:t>
      </w:r>
      <w:proofErr w:type="gramStart"/>
      <w:r>
        <w:rPr>
          <w:rFonts w:ascii="仿宋" w:eastAsia="仿宋" w:hAnsi="仿宋" w:hint="eastAsia"/>
          <w:color w:val="000000" w:themeColor="text1"/>
          <w:sz w:val="32"/>
          <w:szCs w:val="32"/>
        </w:rPr>
        <w:t>于煮罐时</w:t>
      </w:r>
      <w:proofErr w:type="gramEnd"/>
      <w:r>
        <w:rPr>
          <w:rFonts w:ascii="仿宋" w:eastAsia="仿宋" w:hAnsi="仿宋" w:hint="eastAsia"/>
          <w:color w:val="000000" w:themeColor="text1"/>
          <w:sz w:val="32"/>
          <w:szCs w:val="32"/>
        </w:rPr>
        <w:t>，放数条毛巾于药水内</w:t>
      </w:r>
      <w:proofErr w:type="gramStart"/>
      <w:r>
        <w:rPr>
          <w:rFonts w:ascii="仿宋" w:eastAsia="仿宋" w:hAnsi="仿宋" w:hint="eastAsia"/>
          <w:color w:val="000000" w:themeColor="text1"/>
          <w:sz w:val="32"/>
          <w:szCs w:val="32"/>
        </w:rPr>
        <w:t>与罐同煮</w:t>
      </w:r>
      <w:proofErr w:type="gramEnd"/>
      <w:r>
        <w:rPr>
          <w:rFonts w:ascii="仿宋" w:eastAsia="仿宋" w:hAnsi="仿宋" w:hint="eastAsia"/>
          <w:color w:val="000000" w:themeColor="text1"/>
          <w:sz w:val="32"/>
          <w:szCs w:val="32"/>
        </w:rPr>
        <w:t>，启罐后，可用镊子将锅中的毛巾取出拧干，轻敷于所吸拔的部位上，凉则换之，反复2～3次。每日施术一次。</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刮疗法：刮头面部、背部、胸腹部、上肢、下肢。先刮头面部，再刮背部，</w:t>
      </w:r>
      <w:proofErr w:type="gramStart"/>
      <w:r>
        <w:rPr>
          <w:rFonts w:ascii="仿宋" w:eastAsia="仿宋" w:hAnsi="仿宋" w:hint="eastAsia"/>
          <w:color w:val="000000" w:themeColor="text1"/>
          <w:sz w:val="32"/>
          <w:szCs w:val="32"/>
        </w:rPr>
        <w:t>后刮胸腹部</w:t>
      </w:r>
      <w:proofErr w:type="gramEnd"/>
      <w:r>
        <w:rPr>
          <w:rFonts w:ascii="仿宋" w:eastAsia="仿宋" w:hAnsi="仿宋" w:hint="eastAsia"/>
          <w:color w:val="000000" w:themeColor="text1"/>
          <w:sz w:val="32"/>
          <w:szCs w:val="32"/>
        </w:rPr>
        <w:t>，最后刮四肢部。头面部、胸腹部手法较轻柔，背部手法可稍加重，四肢肌肉丰厚部可用稍重手法，肌肉纤薄处手法宜轻。隔日1次，7次为1疗程。</w:t>
      </w:r>
    </w:p>
    <w:p w:rsidR="00572126" w:rsidRDefault="00DE626B">
      <w:pPr>
        <w:widowControl/>
        <w:autoSpaceDE w:val="0"/>
        <w:autoSpaceDN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滚蛋疗法：取煮好的温热蛋1只，趁热在头部、额部、面部、颈部、四肢反复滚动热熨。每个部位来回滚动20余次。滚蛋后，令患者注意防寒，避免受风即可。每天1次，根据病人病情，至病人症状缓解，以及蛋黄表面隆起的小点减少或消失为止。</w:t>
      </w:r>
    </w:p>
    <w:p w:rsidR="00572126" w:rsidRDefault="00DE626B">
      <w:pPr>
        <w:widowControl/>
        <w:autoSpaceDE w:val="0"/>
        <w:autoSpaceDN w:val="0"/>
        <w:spacing w:line="560" w:lineRule="exact"/>
        <w:ind w:firstLineChars="200" w:firstLine="643"/>
        <w:rPr>
          <w:rFonts w:ascii="黑体" w:eastAsia="黑体" w:hAnsi="黑体"/>
          <w:bCs/>
          <w:sz w:val="32"/>
          <w:szCs w:val="32"/>
        </w:rPr>
      </w:pPr>
      <w:r>
        <w:rPr>
          <w:rFonts w:ascii="Cambria" w:hAnsi="Cambria" w:hint="eastAsia"/>
          <w:b/>
          <w:bCs/>
          <w:sz w:val="32"/>
          <w:szCs w:val="32"/>
        </w:rPr>
        <w:t>六</w:t>
      </w:r>
      <w:r>
        <w:rPr>
          <w:rFonts w:ascii="黑体" w:eastAsia="黑体" w:hAnsi="黑体" w:hint="eastAsia"/>
          <w:bCs/>
          <w:sz w:val="32"/>
          <w:szCs w:val="32"/>
        </w:rPr>
        <w:t>、重大分歧意见的处理经过和依据</w:t>
      </w:r>
    </w:p>
    <w:p w:rsidR="00572126" w:rsidRDefault="00DE626B">
      <w:pPr>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本标准研制过程中无重大分歧意见。</w:t>
      </w:r>
    </w:p>
    <w:p w:rsidR="00572126" w:rsidRDefault="00DE626B">
      <w:pPr>
        <w:spacing w:before="240" w:after="60"/>
        <w:ind w:firstLineChars="200" w:firstLine="640"/>
        <w:jc w:val="left"/>
        <w:outlineLvl w:val="0"/>
        <w:rPr>
          <w:rFonts w:ascii="黑体" w:eastAsia="黑体" w:hAnsi="黑体"/>
          <w:bCs/>
          <w:color w:val="000000"/>
          <w:sz w:val="32"/>
          <w:szCs w:val="32"/>
        </w:rPr>
      </w:pPr>
      <w:r>
        <w:rPr>
          <w:rFonts w:ascii="黑体" w:eastAsia="黑体" w:hAnsi="黑体" w:hint="eastAsia"/>
          <w:bCs/>
          <w:sz w:val="32"/>
          <w:szCs w:val="32"/>
        </w:rPr>
        <w:t>七、</w:t>
      </w:r>
      <w:r>
        <w:rPr>
          <w:rFonts w:ascii="黑体" w:eastAsia="黑体" w:hAnsi="黑体" w:hint="eastAsia"/>
          <w:bCs/>
          <w:color w:val="000000"/>
          <w:sz w:val="32"/>
          <w:szCs w:val="32"/>
        </w:rPr>
        <w:t>贯彻标准的措施和建议</w:t>
      </w:r>
    </w:p>
    <w:p w:rsidR="00572126" w:rsidRDefault="00DE626B">
      <w:pPr>
        <w:spacing w:line="520" w:lineRule="exact"/>
        <w:ind w:firstLineChars="200" w:firstLine="640"/>
        <w:rPr>
          <w:rFonts w:ascii="仿宋" w:eastAsia="仿宋" w:hAnsi="仿宋"/>
          <w:sz w:val="32"/>
          <w:szCs w:val="32"/>
        </w:rPr>
      </w:pPr>
      <w:r>
        <w:rPr>
          <w:rFonts w:ascii="仿宋" w:eastAsia="仿宋" w:hAnsi="仿宋" w:hint="eastAsia"/>
          <w:sz w:val="32"/>
          <w:szCs w:val="32"/>
        </w:rPr>
        <w:t>（一）标准报批发布后，成立标准宣贯工作组</w:t>
      </w:r>
    </w:p>
    <w:p w:rsidR="00572126" w:rsidRDefault="00DE626B">
      <w:pPr>
        <w:spacing w:line="520" w:lineRule="exact"/>
        <w:ind w:firstLineChars="200" w:firstLine="640"/>
        <w:rPr>
          <w:rFonts w:ascii="仿宋" w:eastAsia="仿宋" w:hAnsi="仿宋"/>
          <w:sz w:val="32"/>
          <w:szCs w:val="32"/>
        </w:rPr>
      </w:pPr>
      <w:r>
        <w:rPr>
          <w:rFonts w:ascii="仿宋" w:eastAsia="仿宋" w:hAnsi="仿宋" w:hint="eastAsia"/>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w:t>
      </w:r>
      <w:r>
        <w:rPr>
          <w:rFonts w:ascii="仿宋" w:eastAsia="仿宋" w:hAnsi="仿宋" w:hint="eastAsia"/>
          <w:sz w:val="32"/>
          <w:szCs w:val="32"/>
        </w:rPr>
        <w:lastRenderedPageBreak/>
        <w:t>时组织标准复审修订。</w:t>
      </w:r>
    </w:p>
    <w:p w:rsidR="00572126" w:rsidRDefault="00DE626B">
      <w:pPr>
        <w:spacing w:line="520" w:lineRule="exact"/>
        <w:ind w:firstLineChars="200" w:firstLine="640"/>
        <w:rPr>
          <w:rFonts w:ascii="仿宋" w:eastAsia="仿宋" w:hAnsi="仿宋"/>
          <w:sz w:val="32"/>
          <w:szCs w:val="32"/>
        </w:rPr>
      </w:pPr>
      <w:r>
        <w:rPr>
          <w:rFonts w:ascii="仿宋" w:eastAsia="仿宋" w:hAnsi="仿宋" w:hint="eastAsia"/>
          <w:sz w:val="32"/>
          <w:szCs w:val="32"/>
        </w:rPr>
        <w:t>（二）组织开展标准宣贯培训</w:t>
      </w:r>
    </w:p>
    <w:p w:rsidR="00572126" w:rsidRDefault="00DE626B">
      <w:pPr>
        <w:spacing w:line="520" w:lineRule="exact"/>
        <w:ind w:firstLineChars="200" w:firstLine="640"/>
        <w:rPr>
          <w:rFonts w:ascii="仿宋" w:eastAsia="仿宋" w:hAnsi="仿宋"/>
          <w:sz w:val="32"/>
          <w:szCs w:val="32"/>
        </w:rPr>
      </w:pPr>
      <w:r>
        <w:rPr>
          <w:rFonts w:ascii="仿宋" w:eastAsia="仿宋" w:hAnsi="仿宋" w:hint="eastAsia"/>
          <w:sz w:val="32"/>
          <w:szCs w:val="32"/>
        </w:rPr>
        <w:t>标准发布实施后，标准宣贯工作小组制作标准解读宣贯培训PPT课件和标准核心技术明白书，并按标准宣贯培训计划深入广西各个城市组织医护人员开展标准宣贯培训，对标准进行逐条解读，让医护人员掌握标准核心技术内容，助力标准实施落地，推动医疗产业高质量发展。</w:t>
      </w:r>
    </w:p>
    <w:p w:rsidR="00572126" w:rsidRDefault="00DE626B">
      <w:pPr>
        <w:spacing w:line="520" w:lineRule="exact"/>
        <w:ind w:firstLineChars="200" w:firstLine="640"/>
        <w:rPr>
          <w:rFonts w:ascii="仿宋" w:eastAsia="仿宋" w:hAnsi="仿宋"/>
          <w:sz w:val="32"/>
          <w:szCs w:val="32"/>
        </w:rPr>
      </w:pPr>
      <w:r>
        <w:rPr>
          <w:rFonts w:ascii="仿宋" w:eastAsia="仿宋" w:hAnsi="仿宋" w:hint="eastAsia"/>
          <w:sz w:val="32"/>
          <w:szCs w:val="32"/>
        </w:rPr>
        <w:t>（三）开展标准实施交流会，收集标准实施反馈信息</w:t>
      </w:r>
    </w:p>
    <w:p w:rsidR="00572126" w:rsidRDefault="00DE626B">
      <w:pPr>
        <w:spacing w:line="520" w:lineRule="exact"/>
        <w:ind w:firstLineChars="200" w:firstLine="640"/>
        <w:rPr>
          <w:rFonts w:ascii="仿宋" w:eastAsia="仿宋" w:hAnsi="仿宋"/>
          <w:sz w:val="32"/>
          <w:szCs w:val="32"/>
        </w:rPr>
      </w:pPr>
      <w:r>
        <w:rPr>
          <w:rFonts w:ascii="仿宋" w:eastAsia="仿宋" w:hAnsi="仿宋" w:hint="eastAsia"/>
          <w:sz w:val="32"/>
          <w:szCs w:val="32"/>
        </w:rPr>
        <w:t>标准起草小组深入广西各个医院组织医护人员召开标准实施交流会，听取标准实施过程中存在的问题并做好记录和解答，对存在的问题组织专家团队进行研讨，为标准的复审</w:t>
      </w:r>
      <w:proofErr w:type="gramStart"/>
      <w:r>
        <w:rPr>
          <w:rFonts w:ascii="仿宋" w:eastAsia="仿宋" w:hAnsi="仿宋" w:hint="eastAsia"/>
          <w:sz w:val="32"/>
          <w:szCs w:val="32"/>
        </w:rPr>
        <w:t>修订做</w:t>
      </w:r>
      <w:proofErr w:type="gramEnd"/>
      <w:r>
        <w:rPr>
          <w:rFonts w:ascii="仿宋" w:eastAsia="仿宋" w:hAnsi="仿宋" w:hint="eastAsia"/>
          <w:sz w:val="32"/>
          <w:szCs w:val="32"/>
        </w:rPr>
        <w:t>准备。</w:t>
      </w:r>
    </w:p>
    <w:p w:rsidR="00572126" w:rsidRDefault="00DE626B">
      <w:pPr>
        <w:spacing w:line="520" w:lineRule="exact"/>
        <w:ind w:firstLineChars="200" w:firstLine="640"/>
        <w:rPr>
          <w:rFonts w:ascii="仿宋" w:eastAsia="仿宋" w:hAnsi="仿宋"/>
          <w:sz w:val="32"/>
          <w:szCs w:val="32"/>
        </w:rPr>
      </w:pPr>
      <w:r>
        <w:rPr>
          <w:rFonts w:ascii="仿宋" w:eastAsia="仿宋" w:hAnsi="仿宋" w:hint="eastAsia"/>
          <w:sz w:val="32"/>
          <w:szCs w:val="32"/>
        </w:rPr>
        <w:t>（四）开展标准实施效果评估</w:t>
      </w:r>
    </w:p>
    <w:p w:rsidR="00572126" w:rsidRDefault="00DE626B">
      <w:pPr>
        <w:spacing w:line="520" w:lineRule="exact"/>
        <w:ind w:firstLineChars="200" w:firstLine="640"/>
        <w:rPr>
          <w:rFonts w:ascii="仿宋" w:eastAsia="仿宋" w:hAnsi="仿宋"/>
          <w:sz w:val="32"/>
          <w:szCs w:val="32"/>
        </w:rPr>
      </w:pPr>
      <w:r>
        <w:rPr>
          <w:rFonts w:ascii="仿宋" w:eastAsia="仿宋" w:hAnsi="仿宋" w:hint="eastAsia"/>
          <w:sz w:val="32"/>
          <w:szCs w:val="32"/>
        </w:rPr>
        <w:t>标准实施满2年，每年标准宣贯工作组采取网络调查、问卷调查、实地调研、召开座谈会或论证会、专家咨询等方式开展标准实施效果评估，并形成标准实施效果评估报告，为标准的复审</w:t>
      </w:r>
      <w:proofErr w:type="gramStart"/>
      <w:r>
        <w:rPr>
          <w:rFonts w:ascii="仿宋" w:eastAsia="仿宋" w:hAnsi="仿宋" w:hint="eastAsia"/>
          <w:sz w:val="32"/>
          <w:szCs w:val="32"/>
        </w:rPr>
        <w:t>修订做</w:t>
      </w:r>
      <w:proofErr w:type="gramEnd"/>
      <w:r>
        <w:rPr>
          <w:rFonts w:ascii="仿宋" w:eastAsia="仿宋" w:hAnsi="仿宋" w:hint="eastAsia"/>
          <w:sz w:val="32"/>
          <w:szCs w:val="32"/>
        </w:rPr>
        <w:t>准备。</w:t>
      </w:r>
    </w:p>
    <w:p w:rsidR="00572126" w:rsidRDefault="00DE626B">
      <w:pPr>
        <w:autoSpaceDE w:val="0"/>
        <w:autoSpaceDN w:val="0"/>
        <w:adjustRightInd w:val="0"/>
        <w:spacing w:beforeLines="50" w:before="156" w:afterLines="50" w:after="156" w:line="40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八、其他应当说明的事项</w:t>
      </w:r>
    </w:p>
    <w:p w:rsidR="00572126" w:rsidRDefault="00DE626B">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无。</w:t>
      </w:r>
    </w:p>
    <w:p w:rsidR="00572126" w:rsidRDefault="00572126">
      <w:pPr>
        <w:spacing w:line="560" w:lineRule="exact"/>
        <w:ind w:firstLineChars="500" w:firstLine="1600"/>
        <w:rPr>
          <w:rFonts w:ascii="仿宋" w:eastAsia="仿宋" w:hAnsi="仿宋"/>
          <w:sz w:val="32"/>
          <w:szCs w:val="32"/>
        </w:rPr>
      </w:pPr>
    </w:p>
    <w:p w:rsidR="00572126" w:rsidRDefault="00DE626B">
      <w:pPr>
        <w:spacing w:line="560" w:lineRule="exact"/>
        <w:ind w:firstLineChars="600" w:firstLine="1920"/>
        <w:jc w:val="right"/>
        <w:rPr>
          <w:rFonts w:ascii="仿宋" w:eastAsia="仿宋" w:hAnsi="仿宋"/>
          <w:sz w:val="32"/>
          <w:szCs w:val="32"/>
        </w:rPr>
      </w:pPr>
      <w:r>
        <w:rPr>
          <w:rFonts w:ascii="仿宋" w:eastAsia="仿宋" w:hAnsi="仿宋" w:hint="eastAsia"/>
          <w:sz w:val="32"/>
          <w:szCs w:val="32"/>
        </w:rPr>
        <w:t xml:space="preserve">    团体标准《缺血性中风诊疗规范》                     </w:t>
      </w:r>
    </w:p>
    <w:p w:rsidR="00572126" w:rsidRDefault="00DE626B">
      <w:pPr>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标准编制工作组</w:t>
      </w:r>
    </w:p>
    <w:p w:rsidR="00572126" w:rsidRDefault="00DE626B">
      <w:pPr>
        <w:tabs>
          <w:tab w:val="left" w:pos="7797"/>
        </w:tabs>
        <w:spacing w:line="560" w:lineRule="exact"/>
        <w:ind w:firstLineChars="200" w:firstLine="640"/>
        <w:rPr>
          <w:rFonts w:ascii="仿宋" w:eastAsia="仿宋" w:hAnsi="仿宋"/>
          <w:color w:val="1F497D" w:themeColor="text2"/>
          <w:sz w:val="32"/>
          <w:szCs w:val="32"/>
        </w:rPr>
      </w:pPr>
      <w:r>
        <w:rPr>
          <w:rFonts w:ascii="仿宋" w:eastAsia="仿宋" w:hAnsi="仿宋" w:hint="eastAsia"/>
          <w:sz w:val="32"/>
          <w:szCs w:val="32"/>
        </w:rPr>
        <w:t xml:space="preserve">                               2024年</w:t>
      </w:r>
      <w:r w:rsidR="009D5955">
        <w:rPr>
          <w:rFonts w:ascii="仿宋" w:eastAsia="仿宋" w:hAnsi="仿宋" w:hint="eastAsia"/>
          <w:sz w:val="32"/>
          <w:szCs w:val="32"/>
        </w:rPr>
        <w:t>4</w:t>
      </w:r>
      <w:bookmarkStart w:id="1" w:name="_GoBack"/>
      <w:bookmarkEnd w:id="1"/>
      <w:r>
        <w:rPr>
          <w:rFonts w:ascii="仿宋" w:eastAsia="仿宋" w:hAnsi="仿宋" w:hint="eastAsia"/>
          <w:sz w:val="32"/>
          <w:szCs w:val="32"/>
        </w:rPr>
        <w:t>月11日</w:t>
      </w:r>
    </w:p>
    <w:sectPr w:rsidR="00572126">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0F0" w:rsidRDefault="00C940F0">
      <w:r>
        <w:separator/>
      </w:r>
    </w:p>
  </w:endnote>
  <w:endnote w:type="continuationSeparator" w:id="0">
    <w:p w:rsidR="00C940F0" w:rsidRDefault="00C9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26B" w:rsidRDefault="00C940F0">
    <w:pPr>
      <w:pStyle w:val="af"/>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DE626B" w:rsidRDefault="00DE626B">
                <w:pPr>
                  <w:pStyle w:val="af"/>
                </w:pPr>
                <w:r>
                  <w:fldChar w:fldCharType="begin"/>
                </w:r>
                <w:r>
                  <w:instrText xml:space="preserve"> PAGE  \* MERGEFORMAT </w:instrText>
                </w:r>
                <w:r>
                  <w:fldChar w:fldCharType="separate"/>
                </w:r>
                <w:r w:rsidR="009D5955">
                  <w:rPr>
                    <w:noProof/>
                  </w:rPr>
                  <w:t>27</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0F0" w:rsidRDefault="00C940F0">
      <w:r>
        <w:separator/>
      </w:r>
    </w:p>
  </w:footnote>
  <w:footnote w:type="continuationSeparator" w:id="0">
    <w:p w:rsidR="00C940F0" w:rsidRDefault="00C940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OGFkZjVhNDJiMGExNWUxMjVmMmMwZDU4OWJmZWEzNzAifQ=="/>
  </w:docVars>
  <w:rsids>
    <w:rsidRoot w:val="0037490B"/>
    <w:rsid w:val="0000053F"/>
    <w:rsid w:val="000005CA"/>
    <w:rsid w:val="00001814"/>
    <w:rsid w:val="0000242E"/>
    <w:rsid w:val="00002DC8"/>
    <w:rsid w:val="000032E6"/>
    <w:rsid w:val="00003B4F"/>
    <w:rsid w:val="00003DB3"/>
    <w:rsid w:val="00006EE5"/>
    <w:rsid w:val="00015103"/>
    <w:rsid w:val="000255FF"/>
    <w:rsid w:val="000258DE"/>
    <w:rsid w:val="00030EE3"/>
    <w:rsid w:val="0005176B"/>
    <w:rsid w:val="00055E93"/>
    <w:rsid w:val="00064EA0"/>
    <w:rsid w:val="000718F2"/>
    <w:rsid w:val="00071923"/>
    <w:rsid w:val="0008204D"/>
    <w:rsid w:val="00084F63"/>
    <w:rsid w:val="00087B41"/>
    <w:rsid w:val="00091F8D"/>
    <w:rsid w:val="0009384C"/>
    <w:rsid w:val="000A119D"/>
    <w:rsid w:val="000A5A53"/>
    <w:rsid w:val="000A6B6E"/>
    <w:rsid w:val="000A7270"/>
    <w:rsid w:val="000B0DA3"/>
    <w:rsid w:val="000B47AB"/>
    <w:rsid w:val="000B7385"/>
    <w:rsid w:val="000C1656"/>
    <w:rsid w:val="000D722D"/>
    <w:rsid w:val="000E0C1D"/>
    <w:rsid w:val="000E57B1"/>
    <w:rsid w:val="000E7313"/>
    <w:rsid w:val="000F561B"/>
    <w:rsid w:val="000F7DAF"/>
    <w:rsid w:val="00102195"/>
    <w:rsid w:val="001037D6"/>
    <w:rsid w:val="001054DC"/>
    <w:rsid w:val="00110FBA"/>
    <w:rsid w:val="00111C5E"/>
    <w:rsid w:val="00115C18"/>
    <w:rsid w:val="001170DA"/>
    <w:rsid w:val="00120F4F"/>
    <w:rsid w:val="00121A17"/>
    <w:rsid w:val="00125DD8"/>
    <w:rsid w:val="00126855"/>
    <w:rsid w:val="00131174"/>
    <w:rsid w:val="001344C5"/>
    <w:rsid w:val="0013567B"/>
    <w:rsid w:val="001441C8"/>
    <w:rsid w:val="00147A7A"/>
    <w:rsid w:val="00147B6E"/>
    <w:rsid w:val="00151C29"/>
    <w:rsid w:val="00160FAE"/>
    <w:rsid w:val="00165102"/>
    <w:rsid w:val="00167644"/>
    <w:rsid w:val="00170088"/>
    <w:rsid w:val="00172847"/>
    <w:rsid w:val="00176892"/>
    <w:rsid w:val="00180583"/>
    <w:rsid w:val="00182AD3"/>
    <w:rsid w:val="00184502"/>
    <w:rsid w:val="00185CA3"/>
    <w:rsid w:val="00192792"/>
    <w:rsid w:val="001A03FA"/>
    <w:rsid w:val="001A2348"/>
    <w:rsid w:val="001A585A"/>
    <w:rsid w:val="001A68FB"/>
    <w:rsid w:val="001B6DB3"/>
    <w:rsid w:val="001D093C"/>
    <w:rsid w:val="001D2157"/>
    <w:rsid w:val="001D55A2"/>
    <w:rsid w:val="001D694F"/>
    <w:rsid w:val="001E1747"/>
    <w:rsid w:val="001E21D6"/>
    <w:rsid w:val="001E4488"/>
    <w:rsid w:val="001E7634"/>
    <w:rsid w:val="001F67DD"/>
    <w:rsid w:val="002034E1"/>
    <w:rsid w:val="00205861"/>
    <w:rsid w:val="002102FA"/>
    <w:rsid w:val="00212291"/>
    <w:rsid w:val="002127FC"/>
    <w:rsid w:val="0021475C"/>
    <w:rsid w:val="0021538A"/>
    <w:rsid w:val="00217985"/>
    <w:rsid w:val="0022020B"/>
    <w:rsid w:val="0022233B"/>
    <w:rsid w:val="00222A45"/>
    <w:rsid w:val="00224BFE"/>
    <w:rsid w:val="002251CA"/>
    <w:rsid w:val="00225F22"/>
    <w:rsid w:val="002306BF"/>
    <w:rsid w:val="00230783"/>
    <w:rsid w:val="00230FE3"/>
    <w:rsid w:val="0023444B"/>
    <w:rsid w:val="00234EC1"/>
    <w:rsid w:val="00235D2E"/>
    <w:rsid w:val="00236512"/>
    <w:rsid w:val="0024687D"/>
    <w:rsid w:val="002513A0"/>
    <w:rsid w:val="00252C67"/>
    <w:rsid w:val="00255076"/>
    <w:rsid w:val="00255234"/>
    <w:rsid w:val="00261EAF"/>
    <w:rsid w:val="00266674"/>
    <w:rsid w:val="0027055E"/>
    <w:rsid w:val="002718CB"/>
    <w:rsid w:val="00272ECD"/>
    <w:rsid w:val="002741A6"/>
    <w:rsid w:val="00282225"/>
    <w:rsid w:val="00282392"/>
    <w:rsid w:val="00284186"/>
    <w:rsid w:val="00286E92"/>
    <w:rsid w:val="002878B9"/>
    <w:rsid w:val="00290CF8"/>
    <w:rsid w:val="00293426"/>
    <w:rsid w:val="002946D7"/>
    <w:rsid w:val="00296164"/>
    <w:rsid w:val="002A1DE2"/>
    <w:rsid w:val="002A7C92"/>
    <w:rsid w:val="002B09FB"/>
    <w:rsid w:val="002B176E"/>
    <w:rsid w:val="002C0587"/>
    <w:rsid w:val="002C17C7"/>
    <w:rsid w:val="002C3262"/>
    <w:rsid w:val="002C38F8"/>
    <w:rsid w:val="002C3D9D"/>
    <w:rsid w:val="002D0EC0"/>
    <w:rsid w:val="002D4741"/>
    <w:rsid w:val="002E1BFD"/>
    <w:rsid w:val="002E33C3"/>
    <w:rsid w:val="002E49B5"/>
    <w:rsid w:val="002E75B8"/>
    <w:rsid w:val="002F5EC2"/>
    <w:rsid w:val="002F6FF7"/>
    <w:rsid w:val="002F79E6"/>
    <w:rsid w:val="002F7C9D"/>
    <w:rsid w:val="00301094"/>
    <w:rsid w:val="00301FF5"/>
    <w:rsid w:val="0030273D"/>
    <w:rsid w:val="00306E58"/>
    <w:rsid w:val="0030718D"/>
    <w:rsid w:val="00307DD9"/>
    <w:rsid w:val="00310AD3"/>
    <w:rsid w:val="00311598"/>
    <w:rsid w:val="00311ABF"/>
    <w:rsid w:val="003134D1"/>
    <w:rsid w:val="00316454"/>
    <w:rsid w:val="003176CC"/>
    <w:rsid w:val="00322809"/>
    <w:rsid w:val="003251CC"/>
    <w:rsid w:val="003278E9"/>
    <w:rsid w:val="003279F7"/>
    <w:rsid w:val="0033088E"/>
    <w:rsid w:val="00330D99"/>
    <w:rsid w:val="00331591"/>
    <w:rsid w:val="0033254E"/>
    <w:rsid w:val="00332F81"/>
    <w:rsid w:val="00335B12"/>
    <w:rsid w:val="00336DA4"/>
    <w:rsid w:val="00342F19"/>
    <w:rsid w:val="0035282E"/>
    <w:rsid w:val="00352C9B"/>
    <w:rsid w:val="00355B91"/>
    <w:rsid w:val="003579E3"/>
    <w:rsid w:val="00364329"/>
    <w:rsid w:val="00364C43"/>
    <w:rsid w:val="0036507A"/>
    <w:rsid w:val="00365FBD"/>
    <w:rsid w:val="00366B48"/>
    <w:rsid w:val="00367CD0"/>
    <w:rsid w:val="003717AA"/>
    <w:rsid w:val="00372023"/>
    <w:rsid w:val="00373076"/>
    <w:rsid w:val="0037336B"/>
    <w:rsid w:val="00374750"/>
    <w:rsid w:val="0037490B"/>
    <w:rsid w:val="00376373"/>
    <w:rsid w:val="00376424"/>
    <w:rsid w:val="003804FF"/>
    <w:rsid w:val="00387FD0"/>
    <w:rsid w:val="00390362"/>
    <w:rsid w:val="003905EF"/>
    <w:rsid w:val="00390D7F"/>
    <w:rsid w:val="0039404F"/>
    <w:rsid w:val="003A00DE"/>
    <w:rsid w:val="003A049C"/>
    <w:rsid w:val="003A3E22"/>
    <w:rsid w:val="003A5B7E"/>
    <w:rsid w:val="003B1B33"/>
    <w:rsid w:val="003B35C2"/>
    <w:rsid w:val="003C0AB3"/>
    <w:rsid w:val="003C2CCE"/>
    <w:rsid w:val="003C5994"/>
    <w:rsid w:val="003D0BAC"/>
    <w:rsid w:val="003D2062"/>
    <w:rsid w:val="003D226C"/>
    <w:rsid w:val="003D43E5"/>
    <w:rsid w:val="003D44FB"/>
    <w:rsid w:val="003D4B79"/>
    <w:rsid w:val="003E11BD"/>
    <w:rsid w:val="003E30BD"/>
    <w:rsid w:val="003F5A25"/>
    <w:rsid w:val="003F6173"/>
    <w:rsid w:val="003F654A"/>
    <w:rsid w:val="003F76B0"/>
    <w:rsid w:val="00401CDE"/>
    <w:rsid w:val="0040429A"/>
    <w:rsid w:val="0041563D"/>
    <w:rsid w:val="00415EA5"/>
    <w:rsid w:val="00417E13"/>
    <w:rsid w:val="004211A8"/>
    <w:rsid w:val="00421213"/>
    <w:rsid w:val="00421BEA"/>
    <w:rsid w:val="00435C24"/>
    <w:rsid w:val="00441BC7"/>
    <w:rsid w:val="00441F46"/>
    <w:rsid w:val="004427F9"/>
    <w:rsid w:val="00444EC0"/>
    <w:rsid w:val="0044688A"/>
    <w:rsid w:val="0045218D"/>
    <w:rsid w:val="00456F07"/>
    <w:rsid w:val="00461779"/>
    <w:rsid w:val="00461AFD"/>
    <w:rsid w:val="004661AA"/>
    <w:rsid w:val="004671EF"/>
    <w:rsid w:val="00475657"/>
    <w:rsid w:val="004846D3"/>
    <w:rsid w:val="004859DB"/>
    <w:rsid w:val="004861A8"/>
    <w:rsid w:val="00487336"/>
    <w:rsid w:val="00493851"/>
    <w:rsid w:val="00494BAB"/>
    <w:rsid w:val="00496F72"/>
    <w:rsid w:val="004A140C"/>
    <w:rsid w:val="004A2CDA"/>
    <w:rsid w:val="004A39ED"/>
    <w:rsid w:val="004A6425"/>
    <w:rsid w:val="004B0BD5"/>
    <w:rsid w:val="004B2C31"/>
    <w:rsid w:val="004C4A35"/>
    <w:rsid w:val="004C5FE7"/>
    <w:rsid w:val="004C719A"/>
    <w:rsid w:val="004D135A"/>
    <w:rsid w:val="004D23BA"/>
    <w:rsid w:val="004D6013"/>
    <w:rsid w:val="004E2471"/>
    <w:rsid w:val="004E51D1"/>
    <w:rsid w:val="004E6B96"/>
    <w:rsid w:val="004E702B"/>
    <w:rsid w:val="004E71C4"/>
    <w:rsid w:val="004E7E83"/>
    <w:rsid w:val="004F0893"/>
    <w:rsid w:val="004F1802"/>
    <w:rsid w:val="00501338"/>
    <w:rsid w:val="0050150E"/>
    <w:rsid w:val="005042E8"/>
    <w:rsid w:val="00504915"/>
    <w:rsid w:val="00513629"/>
    <w:rsid w:val="0051458C"/>
    <w:rsid w:val="0051786E"/>
    <w:rsid w:val="00523C6F"/>
    <w:rsid w:val="00530FD2"/>
    <w:rsid w:val="0053180E"/>
    <w:rsid w:val="00531B59"/>
    <w:rsid w:val="005334D7"/>
    <w:rsid w:val="00537F80"/>
    <w:rsid w:val="00541753"/>
    <w:rsid w:val="00543D0A"/>
    <w:rsid w:val="00544778"/>
    <w:rsid w:val="00545712"/>
    <w:rsid w:val="005510D6"/>
    <w:rsid w:val="0055263C"/>
    <w:rsid w:val="005548A7"/>
    <w:rsid w:val="0055683E"/>
    <w:rsid w:val="00560E6C"/>
    <w:rsid w:val="00565DD4"/>
    <w:rsid w:val="00566365"/>
    <w:rsid w:val="00567988"/>
    <w:rsid w:val="00570D65"/>
    <w:rsid w:val="005712CA"/>
    <w:rsid w:val="00572126"/>
    <w:rsid w:val="00577DE0"/>
    <w:rsid w:val="0058257B"/>
    <w:rsid w:val="0059288F"/>
    <w:rsid w:val="005955E7"/>
    <w:rsid w:val="00596C48"/>
    <w:rsid w:val="005A4739"/>
    <w:rsid w:val="005B1226"/>
    <w:rsid w:val="005B3727"/>
    <w:rsid w:val="005B63E1"/>
    <w:rsid w:val="005C1586"/>
    <w:rsid w:val="005C527C"/>
    <w:rsid w:val="005D564B"/>
    <w:rsid w:val="005E02C6"/>
    <w:rsid w:val="005E1E2D"/>
    <w:rsid w:val="005E31F1"/>
    <w:rsid w:val="005E3295"/>
    <w:rsid w:val="005E332E"/>
    <w:rsid w:val="005E40E3"/>
    <w:rsid w:val="005E6EF3"/>
    <w:rsid w:val="005E7CEF"/>
    <w:rsid w:val="005F0BBC"/>
    <w:rsid w:val="005F3192"/>
    <w:rsid w:val="0060440D"/>
    <w:rsid w:val="00607703"/>
    <w:rsid w:val="0061180E"/>
    <w:rsid w:val="0061249A"/>
    <w:rsid w:val="00613D28"/>
    <w:rsid w:val="00615634"/>
    <w:rsid w:val="006210DA"/>
    <w:rsid w:val="0062689C"/>
    <w:rsid w:val="00626CAA"/>
    <w:rsid w:val="00630A5B"/>
    <w:rsid w:val="00631339"/>
    <w:rsid w:val="0064289F"/>
    <w:rsid w:val="00643304"/>
    <w:rsid w:val="006512FA"/>
    <w:rsid w:val="006527B2"/>
    <w:rsid w:val="00654231"/>
    <w:rsid w:val="00654D0F"/>
    <w:rsid w:val="006574D1"/>
    <w:rsid w:val="00662406"/>
    <w:rsid w:val="00667A7D"/>
    <w:rsid w:val="006703D4"/>
    <w:rsid w:val="006747D2"/>
    <w:rsid w:val="006758CC"/>
    <w:rsid w:val="006765DB"/>
    <w:rsid w:val="006800B4"/>
    <w:rsid w:val="00683CD7"/>
    <w:rsid w:val="00690488"/>
    <w:rsid w:val="00692728"/>
    <w:rsid w:val="00692A7C"/>
    <w:rsid w:val="00692C1F"/>
    <w:rsid w:val="00692C29"/>
    <w:rsid w:val="00692D38"/>
    <w:rsid w:val="00695D4B"/>
    <w:rsid w:val="006A07E1"/>
    <w:rsid w:val="006A180E"/>
    <w:rsid w:val="006A412A"/>
    <w:rsid w:val="006B40AB"/>
    <w:rsid w:val="006B48C6"/>
    <w:rsid w:val="006B5ED6"/>
    <w:rsid w:val="006B6C36"/>
    <w:rsid w:val="006C5EE9"/>
    <w:rsid w:val="006C5FB0"/>
    <w:rsid w:val="006C7CB3"/>
    <w:rsid w:val="006D23B4"/>
    <w:rsid w:val="006D5BF6"/>
    <w:rsid w:val="006E38F2"/>
    <w:rsid w:val="006E4B45"/>
    <w:rsid w:val="006E566F"/>
    <w:rsid w:val="006E7331"/>
    <w:rsid w:val="006F2CAD"/>
    <w:rsid w:val="006F375B"/>
    <w:rsid w:val="006F7E60"/>
    <w:rsid w:val="00703D01"/>
    <w:rsid w:val="00703F7C"/>
    <w:rsid w:val="00710402"/>
    <w:rsid w:val="00710ECD"/>
    <w:rsid w:val="0071226C"/>
    <w:rsid w:val="007141DD"/>
    <w:rsid w:val="00722471"/>
    <w:rsid w:val="007225E8"/>
    <w:rsid w:val="00722609"/>
    <w:rsid w:val="007250B5"/>
    <w:rsid w:val="00735168"/>
    <w:rsid w:val="00746A5D"/>
    <w:rsid w:val="007470DB"/>
    <w:rsid w:val="00747CE8"/>
    <w:rsid w:val="00752912"/>
    <w:rsid w:val="00753137"/>
    <w:rsid w:val="007553F2"/>
    <w:rsid w:val="00755CBF"/>
    <w:rsid w:val="007607E1"/>
    <w:rsid w:val="007708E8"/>
    <w:rsid w:val="007714A8"/>
    <w:rsid w:val="00775793"/>
    <w:rsid w:val="007766C6"/>
    <w:rsid w:val="00781965"/>
    <w:rsid w:val="007848C2"/>
    <w:rsid w:val="00785E77"/>
    <w:rsid w:val="0079403E"/>
    <w:rsid w:val="00795047"/>
    <w:rsid w:val="00795B1E"/>
    <w:rsid w:val="0079601F"/>
    <w:rsid w:val="007A3953"/>
    <w:rsid w:val="007A6653"/>
    <w:rsid w:val="007A6F5F"/>
    <w:rsid w:val="007B2E04"/>
    <w:rsid w:val="007C042F"/>
    <w:rsid w:val="007C406D"/>
    <w:rsid w:val="007C7133"/>
    <w:rsid w:val="007D2CB6"/>
    <w:rsid w:val="007E0CA5"/>
    <w:rsid w:val="007E36BC"/>
    <w:rsid w:val="007E4C32"/>
    <w:rsid w:val="007E6CEA"/>
    <w:rsid w:val="007E7A36"/>
    <w:rsid w:val="007F53A2"/>
    <w:rsid w:val="007F5D50"/>
    <w:rsid w:val="008003A1"/>
    <w:rsid w:val="00803B2E"/>
    <w:rsid w:val="008045EA"/>
    <w:rsid w:val="00806728"/>
    <w:rsid w:val="0081081B"/>
    <w:rsid w:val="008117B3"/>
    <w:rsid w:val="00816FA6"/>
    <w:rsid w:val="0082113C"/>
    <w:rsid w:val="008237FB"/>
    <w:rsid w:val="0082564D"/>
    <w:rsid w:val="00826830"/>
    <w:rsid w:val="00836079"/>
    <w:rsid w:val="0083640A"/>
    <w:rsid w:val="008366FC"/>
    <w:rsid w:val="00837CE2"/>
    <w:rsid w:val="008411FD"/>
    <w:rsid w:val="00841E33"/>
    <w:rsid w:val="00845F7F"/>
    <w:rsid w:val="00850528"/>
    <w:rsid w:val="0086510E"/>
    <w:rsid w:val="00865892"/>
    <w:rsid w:val="00865915"/>
    <w:rsid w:val="00870F5A"/>
    <w:rsid w:val="00871EA3"/>
    <w:rsid w:val="00872B61"/>
    <w:rsid w:val="0087663F"/>
    <w:rsid w:val="008801E9"/>
    <w:rsid w:val="00882892"/>
    <w:rsid w:val="00885125"/>
    <w:rsid w:val="0088623D"/>
    <w:rsid w:val="00893534"/>
    <w:rsid w:val="00895D07"/>
    <w:rsid w:val="008966FB"/>
    <w:rsid w:val="008971CA"/>
    <w:rsid w:val="008A02CD"/>
    <w:rsid w:val="008A0E43"/>
    <w:rsid w:val="008A1992"/>
    <w:rsid w:val="008A3DD1"/>
    <w:rsid w:val="008A5F63"/>
    <w:rsid w:val="008A70F4"/>
    <w:rsid w:val="008B1BAF"/>
    <w:rsid w:val="008B1DBA"/>
    <w:rsid w:val="008B52B5"/>
    <w:rsid w:val="008B7C53"/>
    <w:rsid w:val="008C04B2"/>
    <w:rsid w:val="008C2BFA"/>
    <w:rsid w:val="008C7069"/>
    <w:rsid w:val="008D0205"/>
    <w:rsid w:val="008D078E"/>
    <w:rsid w:val="008D17BC"/>
    <w:rsid w:val="008E1A8E"/>
    <w:rsid w:val="008E6CA6"/>
    <w:rsid w:val="008E7778"/>
    <w:rsid w:val="008F406F"/>
    <w:rsid w:val="008F5D4C"/>
    <w:rsid w:val="008F7646"/>
    <w:rsid w:val="009060E8"/>
    <w:rsid w:val="00910FED"/>
    <w:rsid w:val="009127EE"/>
    <w:rsid w:val="00912A0E"/>
    <w:rsid w:val="009150B1"/>
    <w:rsid w:val="0091618E"/>
    <w:rsid w:val="0091702A"/>
    <w:rsid w:val="009304AE"/>
    <w:rsid w:val="00936BDC"/>
    <w:rsid w:val="0094248A"/>
    <w:rsid w:val="00942680"/>
    <w:rsid w:val="00945D92"/>
    <w:rsid w:val="00947569"/>
    <w:rsid w:val="00951C14"/>
    <w:rsid w:val="00956D3B"/>
    <w:rsid w:val="00960B94"/>
    <w:rsid w:val="00961A93"/>
    <w:rsid w:val="00964155"/>
    <w:rsid w:val="00966787"/>
    <w:rsid w:val="009711E6"/>
    <w:rsid w:val="009719BB"/>
    <w:rsid w:val="009777B1"/>
    <w:rsid w:val="009825D4"/>
    <w:rsid w:val="00982CE4"/>
    <w:rsid w:val="00984CC6"/>
    <w:rsid w:val="00985335"/>
    <w:rsid w:val="009861F9"/>
    <w:rsid w:val="009927DA"/>
    <w:rsid w:val="00995626"/>
    <w:rsid w:val="00997142"/>
    <w:rsid w:val="009A0F45"/>
    <w:rsid w:val="009A10F4"/>
    <w:rsid w:val="009A1999"/>
    <w:rsid w:val="009A27DB"/>
    <w:rsid w:val="009B249A"/>
    <w:rsid w:val="009B39A8"/>
    <w:rsid w:val="009B6FF8"/>
    <w:rsid w:val="009C38E2"/>
    <w:rsid w:val="009C4476"/>
    <w:rsid w:val="009C5D70"/>
    <w:rsid w:val="009D294C"/>
    <w:rsid w:val="009D5044"/>
    <w:rsid w:val="009D5483"/>
    <w:rsid w:val="009D5955"/>
    <w:rsid w:val="009E09EA"/>
    <w:rsid w:val="009E1CE9"/>
    <w:rsid w:val="009E462D"/>
    <w:rsid w:val="009E78FC"/>
    <w:rsid w:val="009F318F"/>
    <w:rsid w:val="009F48D0"/>
    <w:rsid w:val="009F4E84"/>
    <w:rsid w:val="00A01560"/>
    <w:rsid w:val="00A047A6"/>
    <w:rsid w:val="00A05C70"/>
    <w:rsid w:val="00A076BD"/>
    <w:rsid w:val="00A101F9"/>
    <w:rsid w:val="00A12A1B"/>
    <w:rsid w:val="00A13F53"/>
    <w:rsid w:val="00A168DB"/>
    <w:rsid w:val="00A22078"/>
    <w:rsid w:val="00A22129"/>
    <w:rsid w:val="00A27211"/>
    <w:rsid w:val="00A2775E"/>
    <w:rsid w:val="00A319BB"/>
    <w:rsid w:val="00A324A8"/>
    <w:rsid w:val="00A34A3B"/>
    <w:rsid w:val="00A36077"/>
    <w:rsid w:val="00A43E33"/>
    <w:rsid w:val="00A4427D"/>
    <w:rsid w:val="00A51C3F"/>
    <w:rsid w:val="00A52282"/>
    <w:rsid w:val="00A528EE"/>
    <w:rsid w:val="00A53EE6"/>
    <w:rsid w:val="00A578B0"/>
    <w:rsid w:val="00A57BB6"/>
    <w:rsid w:val="00A60B2D"/>
    <w:rsid w:val="00A62EA4"/>
    <w:rsid w:val="00A666DE"/>
    <w:rsid w:val="00A66B4F"/>
    <w:rsid w:val="00A709DA"/>
    <w:rsid w:val="00A731D8"/>
    <w:rsid w:val="00A74CFD"/>
    <w:rsid w:val="00A8384F"/>
    <w:rsid w:val="00A84FBA"/>
    <w:rsid w:val="00A928B4"/>
    <w:rsid w:val="00A9290C"/>
    <w:rsid w:val="00A965A7"/>
    <w:rsid w:val="00A96A06"/>
    <w:rsid w:val="00AA1F4C"/>
    <w:rsid w:val="00AA275F"/>
    <w:rsid w:val="00AA4761"/>
    <w:rsid w:val="00AA6978"/>
    <w:rsid w:val="00AB6779"/>
    <w:rsid w:val="00AB7ED2"/>
    <w:rsid w:val="00AC1895"/>
    <w:rsid w:val="00AC36C1"/>
    <w:rsid w:val="00AC5111"/>
    <w:rsid w:val="00AC7DBF"/>
    <w:rsid w:val="00AD1F08"/>
    <w:rsid w:val="00AD5664"/>
    <w:rsid w:val="00AD6032"/>
    <w:rsid w:val="00AE1143"/>
    <w:rsid w:val="00AE3C92"/>
    <w:rsid w:val="00AE5A98"/>
    <w:rsid w:val="00AE7179"/>
    <w:rsid w:val="00AF0B2F"/>
    <w:rsid w:val="00AF2B38"/>
    <w:rsid w:val="00AF71BF"/>
    <w:rsid w:val="00B220CD"/>
    <w:rsid w:val="00B22DD0"/>
    <w:rsid w:val="00B24F3A"/>
    <w:rsid w:val="00B31650"/>
    <w:rsid w:val="00B33842"/>
    <w:rsid w:val="00B37061"/>
    <w:rsid w:val="00B4227A"/>
    <w:rsid w:val="00B425E0"/>
    <w:rsid w:val="00B5342D"/>
    <w:rsid w:val="00B540E3"/>
    <w:rsid w:val="00B54282"/>
    <w:rsid w:val="00B64DFD"/>
    <w:rsid w:val="00B64EEC"/>
    <w:rsid w:val="00B702EE"/>
    <w:rsid w:val="00B81783"/>
    <w:rsid w:val="00B85612"/>
    <w:rsid w:val="00B86EFD"/>
    <w:rsid w:val="00B90454"/>
    <w:rsid w:val="00B92057"/>
    <w:rsid w:val="00B9246E"/>
    <w:rsid w:val="00B9332E"/>
    <w:rsid w:val="00B94FB6"/>
    <w:rsid w:val="00B96487"/>
    <w:rsid w:val="00BA361F"/>
    <w:rsid w:val="00BA3CAE"/>
    <w:rsid w:val="00BB0F1F"/>
    <w:rsid w:val="00BB2B12"/>
    <w:rsid w:val="00BB4FBC"/>
    <w:rsid w:val="00BB557D"/>
    <w:rsid w:val="00BB5ACE"/>
    <w:rsid w:val="00BB7BA4"/>
    <w:rsid w:val="00BC1E7D"/>
    <w:rsid w:val="00BC2A6D"/>
    <w:rsid w:val="00BC450C"/>
    <w:rsid w:val="00BC67F6"/>
    <w:rsid w:val="00BD1922"/>
    <w:rsid w:val="00BD5364"/>
    <w:rsid w:val="00BE0A61"/>
    <w:rsid w:val="00BE3A50"/>
    <w:rsid w:val="00BF08D7"/>
    <w:rsid w:val="00C00151"/>
    <w:rsid w:val="00C04B16"/>
    <w:rsid w:val="00C07C20"/>
    <w:rsid w:val="00C143A9"/>
    <w:rsid w:val="00C17E72"/>
    <w:rsid w:val="00C229F1"/>
    <w:rsid w:val="00C2442E"/>
    <w:rsid w:val="00C34B53"/>
    <w:rsid w:val="00C40234"/>
    <w:rsid w:val="00C45C6D"/>
    <w:rsid w:val="00C4700B"/>
    <w:rsid w:val="00C50AB5"/>
    <w:rsid w:val="00C51B2C"/>
    <w:rsid w:val="00C57985"/>
    <w:rsid w:val="00C61B04"/>
    <w:rsid w:val="00C625CB"/>
    <w:rsid w:val="00C6305D"/>
    <w:rsid w:val="00C63A0A"/>
    <w:rsid w:val="00C6783E"/>
    <w:rsid w:val="00C708E8"/>
    <w:rsid w:val="00C716A7"/>
    <w:rsid w:val="00C731FB"/>
    <w:rsid w:val="00C80B83"/>
    <w:rsid w:val="00C867CF"/>
    <w:rsid w:val="00C8766F"/>
    <w:rsid w:val="00C87EB0"/>
    <w:rsid w:val="00C940F0"/>
    <w:rsid w:val="00C955C6"/>
    <w:rsid w:val="00CA0C88"/>
    <w:rsid w:val="00CA0CAF"/>
    <w:rsid w:val="00CA6144"/>
    <w:rsid w:val="00CA6701"/>
    <w:rsid w:val="00CB015F"/>
    <w:rsid w:val="00CB0DE0"/>
    <w:rsid w:val="00CB28F2"/>
    <w:rsid w:val="00CC289E"/>
    <w:rsid w:val="00CC371C"/>
    <w:rsid w:val="00CC4FDE"/>
    <w:rsid w:val="00CC59CE"/>
    <w:rsid w:val="00CC72B5"/>
    <w:rsid w:val="00CC75AC"/>
    <w:rsid w:val="00CD0613"/>
    <w:rsid w:val="00CD55BF"/>
    <w:rsid w:val="00CD6B20"/>
    <w:rsid w:val="00CE1044"/>
    <w:rsid w:val="00CE599F"/>
    <w:rsid w:val="00CE6678"/>
    <w:rsid w:val="00CF00C7"/>
    <w:rsid w:val="00CF04F7"/>
    <w:rsid w:val="00CF51B5"/>
    <w:rsid w:val="00CF6CEC"/>
    <w:rsid w:val="00D0334C"/>
    <w:rsid w:val="00D06F9B"/>
    <w:rsid w:val="00D12130"/>
    <w:rsid w:val="00D148CF"/>
    <w:rsid w:val="00D15437"/>
    <w:rsid w:val="00D15A89"/>
    <w:rsid w:val="00D215D4"/>
    <w:rsid w:val="00D23F7C"/>
    <w:rsid w:val="00D2583B"/>
    <w:rsid w:val="00D27D16"/>
    <w:rsid w:val="00D302A0"/>
    <w:rsid w:val="00D32563"/>
    <w:rsid w:val="00D33444"/>
    <w:rsid w:val="00D3549B"/>
    <w:rsid w:val="00D37C1A"/>
    <w:rsid w:val="00D4581F"/>
    <w:rsid w:val="00D45956"/>
    <w:rsid w:val="00D469CC"/>
    <w:rsid w:val="00D51C99"/>
    <w:rsid w:val="00D61FA1"/>
    <w:rsid w:val="00D63C5A"/>
    <w:rsid w:val="00D645EF"/>
    <w:rsid w:val="00D66CB0"/>
    <w:rsid w:val="00D66E95"/>
    <w:rsid w:val="00D675D1"/>
    <w:rsid w:val="00D726BE"/>
    <w:rsid w:val="00D74DA9"/>
    <w:rsid w:val="00D77A1D"/>
    <w:rsid w:val="00D8072E"/>
    <w:rsid w:val="00D81F58"/>
    <w:rsid w:val="00D82338"/>
    <w:rsid w:val="00D835B0"/>
    <w:rsid w:val="00D87ED0"/>
    <w:rsid w:val="00D933B2"/>
    <w:rsid w:val="00D940B8"/>
    <w:rsid w:val="00D962C9"/>
    <w:rsid w:val="00D96882"/>
    <w:rsid w:val="00D978F2"/>
    <w:rsid w:val="00DA14F8"/>
    <w:rsid w:val="00DA240A"/>
    <w:rsid w:val="00DA4627"/>
    <w:rsid w:val="00DA7DEC"/>
    <w:rsid w:val="00DB07E1"/>
    <w:rsid w:val="00DB1372"/>
    <w:rsid w:val="00DB6038"/>
    <w:rsid w:val="00DB7632"/>
    <w:rsid w:val="00DC24F7"/>
    <w:rsid w:val="00DC4FC7"/>
    <w:rsid w:val="00DE1404"/>
    <w:rsid w:val="00DE5CFF"/>
    <w:rsid w:val="00DE5FE4"/>
    <w:rsid w:val="00DE626B"/>
    <w:rsid w:val="00DF342A"/>
    <w:rsid w:val="00DF3D6A"/>
    <w:rsid w:val="00DF57E5"/>
    <w:rsid w:val="00E12CDE"/>
    <w:rsid w:val="00E14671"/>
    <w:rsid w:val="00E17298"/>
    <w:rsid w:val="00E1768A"/>
    <w:rsid w:val="00E2083D"/>
    <w:rsid w:val="00E22415"/>
    <w:rsid w:val="00E23F22"/>
    <w:rsid w:val="00E30715"/>
    <w:rsid w:val="00E318ED"/>
    <w:rsid w:val="00E32149"/>
    <w:rsid w:val="00E330B4"/>
    <w:rsid w:val="00E33107"/>
    <w:rsid w:val="00E3439A"/>
    <w:rsid w:val="00E362F0"/>
    <w:rsid w:val="00E36F7F"/>
    <w:rsid w:val="00E40396"/>
    <w:rsid w:val="00E409D2"/>
    <w:rsid w:val="00E411C0"/>
    <w:rsid w:val="00E50FC5"/>
    <w:rsid w:val="00E52CEF"/>
    <w:rsid w:val="00E53F4A"/>
    <w:rsid w:val="00E544B8"/>
    <w:rsid w:val="00E65CF2"/>
    <w:rsid w:val="00E73DFB"/>
    <w:rsid w:val="00E756CB"/>
    <w:rsid w:val="00E8149E"/>
    <w:rsid w:val="00E8396E"/>
    <w:rsid w:val="00E91514"/>
    <w:rsid w:val="00E91D23"/>
    <w:rsid w:val="00E932CD"/>
    <w:rsid w:val="00E93998"/>
    <w:rsid w:val="00EA10B0"/>
    <w:rsid w:val="00EA34AF"/>
    <w:rsid w:val="00EA381E"/>
    <w:rsid w:val="00EB4D6E"/>
    <w:rsid w:val="00EB6DA7"/>
    <w:rsid w:val="00EB7885"/>
    <w:rsid w:val="00EB7F64"/>
    <w:rsid w:val="00EC234B"/>
    <w:rsid w:val="00EC34AC"/>
    <w:rsid w:val="00EC3BDB"/>
    <w:rsid w:val="00EC6708"/>
    <w:rsid w:val="00ED2493"/>
    <w:rsid w:val="00ED67C7"/>
    <w:rsid w:val="00EE3EBC"/>
    <w:rsid w:val="00EE410E"/>
    <w:rsid w:val="00EF1F86"/>
    <w:rsid w:val="00EF39BD"/>
    <w:rsid w:val="00EF7178"/>
    <w:rsid w:val="00EF72F7"/>
    <w:rsid w:val="00F017E9"/>
    <w:rsid w:val="00F12CCB"/>
    <w:rsid w:val="00F2008F"/>
    <w:rsid w:val="00F2219C"/>
    <w:rsid w:val="00F26FCF"/>
    <w:rsid w:val="00F35A42"/>
    <w:rsid w:val="00F434A5"/>
    <w:rsid w:val="00F445C1"/>
    <w:rsid w:val="00F45611"/>
    <w:rsid w:val="00F54499"/>
    <w:rsid w:val="00F57579"/>
    <w:rsid w:val="00F578B5"/>
    <w:rsid w:val="00F61FB3"/>
    <w:rsid w:val="00F622CB"/>
    <w:rsid w:val="00F62C92"/>
    <w:rsid w:val="00F849B6"/>
    <w:rsid w:val="00F90843"/>
    <w:rsid w:val="00F934D9"/>
    <w:rsid w:val="00FA42B8"/>
    <w:rsid w:val="00FA5F5A"/>
    <w:rsid w:val="00FA7D03"/>
    <w:rsid w:val="00FB26AF"/>
    <w:rsid w:val="00FB7431"/>
    <w:rsid w:val="00FC2D35"/>
    <w:rsid w:val="00FC5622"/>
    <w:rsid w:val="00FD253C"/>
    <w:rsid w:val="00FD6B99"/>
    <w:rsid w:val="00FD7EB5"/>
    <w:rsid w:val="00FE2832"/>
    <w:rsid w:val="00FE38C2"/>
    <w:rsid w:val="00FE39D5"/>
    <w:rsid w:val="00FE3CFD"/>
    <w:rsid w:val="00FE610E"/>
    <w:rsid w:val="00FE77FA"/>
    <w:rsid w:val="00FF0FEE"/>
    <w:rsid w:val="00FF1518"/>
    <w:rsid w:val="00FF1B9A"/>
    <w:rsid w:val="00FF3785"/>
    <w:rsid w:val="00FF3CBF"/>
    <w:rsid w:val="00FF40B9"/>
    <w:rsid w:val="00FF4E71"/>
    <w:rsid w:val="00FF6ECF"/>
    <w:rsid w:val="07DF2906"/>
    <w:rsid w:val="0A8F6E15"/>
    <w:rsid w:val="0D8837E5"/>
    <w:rsid w:val="1457788F"/>
    <w:rsid w:val="156F0CA4"/>
    <w:rsid w:val="161C50DB"/>
    <w:rsid w:val="16506B42"/>
    <w:rsid w:val="1C7949CB"/>
    <w:rsid w:val="1CCF6D0E"/>
    <w:rsid w:val="20A14A4C"/>
    <w:rsid w:val="21550065"/>
    <w:rsid w:val="22626CAD"/>
    <w:rsid w:val="230166D9"/>
    <w:rsid w:val="246D5F93"/>
    <w:rsid w:val="24910641"/>
    <w:rsid w:val="2588488F"/>
    <w:rsid w:val="28037FA1"/>
    <w:rsid w:val="2B1C386E"/>
    <w:rsid w:val="2E1A438E"/>
    <w:rsid w:val="2E66470A"/>
    <w:rsid w:val="3011060A"/>
    <w:rsid w:val="3660007A"/>
    <w:rsid w:val="37A4253C"/>
    <w:rsid w:val="37EC74AA"/>
    <w:rsid w:val="386A5533"/>
    <w:rsid w:val="3AE76EB1"/>
    <w:rsid w:val="3CD66F9A"/>
    <w:rsid w:val="41C773E2"/>
    <w:rsid w:val="481334F1"/>
    <w:rsid w:val="4A073590"/>
    <w:rsid w:val="4A2F79E5"/>
    <w:rsid w:val="52B00AE6"/>
    <w:rsid w:val="557F56DE"/>
    <w:rsid w:val="5DB13D15"/>
    <w:rsid w:val="5F386D8E"/>
    <w:rsid w:val="5F626BE9"/>
    <w:rsid w:val="629848C7"/>
    <w:rsid w:val="65F32107"/>
    <w:rsid w:val="66E153E2"/>
    <w:rsid w:val="66FB5C7F"/>
    <w:rsid w:val="69C53861"/>
    <w:rsid w:val="6BC960D2"/>
    <w:rsid w:val="6BD46E9D"/>
    <w:rsid w:val="6C5713F2"/>
    <w:rsid w:val="6E3C5377"/>
    <w:rsid w:val="71944CA3"/>
    <w:rsid w:val="74730CF0"/>
    <w:rsid w:val="75B67D76"/>
    <w:rsid w:val="79E50C45"/>
    <w:rsid w:val="7BE55F53"/>
    <w:rsid w:val="7D5D7170"/>
    <w:rsid w:val="7D627B54"/>
    <w:rsid w:val="7D996D0B"/>
    <w:rsid w:val="7FF335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方正小标宋简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iPriority="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next w:val="BodyText2"/>
    <w:qFormat/>
    <w:pPr>
      <w:widowControl w:val="0"/>
      <w:jc w:val="both"/>
    </w:pPr>
    <w:rPr>
      <w:rFonts w:eastAsia="宋体"/>
      <w:kern w:val="2"/>
      <w:sz w:val="21"/>
      <w:szCs w:val="24"/>
    </w:rPr>
  </w:style>
  <w:style w:type="paragraph" w:styleId="6">
    <w:name w:val="heading 6"/>
    <w:basedOn w:val="a9"/>
    <w:next w:val="a9"/>
    <w:link w:val="6Char"/>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basedOn w:val="a9"/>
    <w:autoRedefine/>
    <w:qFormat/>
    <w:rsid w:val="00662406"/>
    <w:pPr>
      <w:spacing w:after="120" w:line="240" w:lineRule="atLeast"/>
      <w:jc w:val="center"/>
      <w:textAlignment w:val="baseline"/>
    </w:pPr>
    <w:rPr>
      <w:szCs w:val="21"/>
    </w:rPr>
  </w:style>
  <w:style w:type="paragraph" w:styleId="ad">
    <w:name w:val="Date"/>
    <w:basedOn w:val="a9"/>
    <w:next w:val="a9"/>
    <w:link w:val="Char"/>
    <w:autoRedefine/>
    <w:uiPriority w:val="99"/>
    <w:semiHidden/>
    <w:unhideWhenUsed/>
    <w:qFormat/>
    <w:pPr>
      <w:ind w:leftChars="2500" w:left="100"/>
    </w:pPr>
  </w:style>
  <w:style w:type="paragraph" w:styleId="ae">
    <w:name w:val="Balloon Text"/>
    <w:basedOn w:val="a9"/>
    <w:link w:val="Char0"/>
    <w:autoRedefine/>
    <w:uiPriority w:val="99"/>
    <w:semiHidden/>
    <w:unhideWhenUsed/>
    <w:qFormat/>
    <w:rPr>
      <w:sz w:val="18"/>
      <w:szCs w:val="18"/>
    </w:rPr>
  </w:style>
  <w:style w:type="paragraph" w:styleId="af">
    <w:name w:val="footer"/>
    <w:basedOn w:val="a9"/>
    <w:link w:val="Char1"/>
    <w:autoRedefine/>
    <w:uiPriority w:val="99"/>
    <w:unhideWhenUsed/>
    <w:qFormat/>
    <w:pPr>
      <w:tabs>
        <w:tab w:val="center" w:pos="4153"/>
        <w:tab w:val="right" w:pos="8306"/>
      </w:tabs>
      <w:snapToGrid w:val="0"/>
      <w:jc w:val="left"/>
    </w:pPr>
    <w:rPr>
      <w:sz w:val="18"/>
      <w:szCs w:val="18"/>
    </w:rPr>
  </w:style>
  <w:style w:type="paragraph" w:styleId="af0">
    <w:name w:val="header"/>
    <w:basedOn w:val="a9"/>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9"/>
    <w:link w:val="HTMLChar1"/>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af1">
    <w:name w:val="Normal (Web)"/>
    <w:basedOn w:val="a9"/>
    <w:autoRedefine/>
    <w:uiPriority w:val="99"/>
    <w:semiHidden/>
    <w:unhideWhenUsed/>
    <w:qFormat/>
    <w:rPr>
      <w:sz w:val="24"/>
    </w:rPr>
  </w:style>
  <w:style w:type="paragraph" w:styleId="af2">
    <w:name w:val="Title"/>
    <w:basedOn w:val="a9"/>
    <w:next w:val="a9"/>
    <w:link w:val="Char3"/>
    <w:autoRedefine/>
    <w:uiPriority w:val="10"/>
    <w:qFormat/>
    <w:pPr>
      <w:spacing w:before="240" w:after="60"/>
      <w:jc w:val="center"/>
      <w:outlineLvl w:val="0"/>
    </w:pPr>
    <w:rPr>
      <w:rFonts w:asciiTheme="majorHAnsi" w:eastAsiaTheme="majorEastAsia" w:hAnsiTheme="majorHAnsi" w:cstheme="majorBidi"/>
      <w:b/>
      <w:bCs/>
      <w:sz w:val="32"/>
      <w:szCs w:val="32"/>
    </w:rPr>
  </w:style>
  <w:style w:type="table" w:styleId="af3">
    <w:name w:val="Table Grid"/>
    <w:basedOn w:val="ab"/>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a"/>
    <w:autoRedefine/>
    <w:qFormat/>
    <w:rPr>
      <w:color w:val="2440B3"/>
      <w:u w:val="single"/>
    </w:rPr>
  </w:style>
  <w:style w:type="paragraph" w:customStyle="1" w:styleId="Heading2">
    <w:name w:val="Heading2"/>
    <w:basedOn w:val="a9"/>
    <w:next w:val="a9"/>
    <w:autoRedefine/>
    <w:qFormat/>
    <w:pPr>
      <w:widowControl/>
      <w:spacing w:before="100" w:beforeAutospacing="1" w:after="100" w:afterAutospacing="1"/>
      <w:jc w:val="left"/>
      <w:textAlignment w:val="baseline"/>
    </w:pPr>
    <w:rPr>
      <w:rFonts w:ascii="宋体" w:hAnsi="宋体"/>
      <w:b/>
      <w:bCs/>
      <w:kern w:val="0"/>
      <w:sz w:val="36"/>
      <w:szCs w:val="36"/>
    </w:rPr>
  </w:style>
  <w:style w:type="character" w:customStyle="1" w:styleId="Char2">
    <w:name w:val="页眉 Char"/>
    <w:basedOn w:val="aa"/>
    <w:link w:val="af0"/>
    <w:autoRedefine/>
    <w:uiPriority w:val="99"/>
    <w:qFormat/>
    <w:rPr>
      <w:sz w:val="18"/>
      <w:szCs w:val="18"/>
    </w:rPr>
  </w:style>
  <w:style w:type="character" w:customStyle="1" w:styleId="Char1">
    <w:name w:val="页脚 Char"/>
    <w:basedOn w:val="aa"/>
    <w:link w:val="af"/>
    <w:uiPriority w:val="99"/>
    <w:qFormat/>
    <w:rPr>
      <w:sz w:val="18"/>
      <w:szCs w:val="18"/>
    </w:rPr>
  </w:style>
  <w:style w:type="character" w:customStyle="1" w:styleId="Char4">
    <w:name w:val="段 Char"/>
    <w:link w:val="af5"/>
    <w:qFormat/>
    <w:rPr>
      <w:rFonts w:ascii="宋体"/>
    </w:rPr>
  </w:style>
  <w:style w:type="paragraph" w:customStyle="1" w:styleId="af5">
    <w:name w:val="段"/>
    <w:link w:val="Char4"/>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6">
    <w:name w:val="章标题"/>
    <w:next w:val="af5"/>
    <w:qFormat/>
    <w:pPr>
      <w:tabs>
        <w:tab w:val="left" w:pos="360"/>
      </w:tabs>
      <w:spacing w:beforeLines="100" w:afterLines="100"/>
      <w:jc w:val="both"/>
      <w:outlineLvl w:val="1"/>
    </w:pPr>
    <w:rPr>
      <w:rFonts w:ascii="黑体" w:eastAsia="黑体"/>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Char">
    <w:name w:val="标题 6 Char"/>
    <w:basedOn w:val="aa"/>
    <w:link w:val="6"/>
    <w:qFormat/>
    <w:rPr>
      <w:rFonts w:ascii="Arial" w:eastAsia="黑体" w:hAnsi="Arial" w:cs="Times New Roman"/>
      <w:b/>
      <w:bCs/>
      <w:sz w:val="24"/>
      <w:szCs w:val="24"/>
    </w:rPr>
  </w:style>
  <w:style w:type="paragraph" w:customStyle="1" w:styleId="af7">
    <w:name w:val="标准文件_段"/>
    <w:link w:val="Char5"/>
    <w:qFormat/>
    <w:pPr>
      <w:autoSpaceDE w:val="0"/>
      <w:autoSpaceDN w:val="0"/>
      <w:ind w:firstLineChars="200" w:firstLine="200"/>
      <w:jc w:val="both"/>
    </w:pPr>
    <w:rPr>
      <w:rFonts w:ascii="宋体" w:eastAsia="宋体"/>
      <w:sz w:val="21"/>
    </w:rPr>
  </w:style>
  <w:style w:type="character" w:customStyle="1" w:styleId="Char5">
    <w:name w:val="标准文件_段 Char"/>
    <w:link w:val="af7"/>
    <w:qFormat/>
    <w:rPr>
      <w:rFonts w:ascii="宋体" w:eastAsia="宋体" w:hAnsi="Times New Roman" w:cs="Times New Roman"/>
      <w:kern w:val="0"/>
      <w:szCs w:val="20"/>
    </w:rPr>
  </w:style>
  <w:style w:type="paragraph" w:customStyle="1" w:styleId="a5">
    <w:name w:val="标准文件_二级条标题"/>
    <w:next w:val="af7"/>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7"/>
    <w:qFormat/>
    <w:pPr>
      <w:widowControl/>
      <w:numPr>
        <w:ilvl w:val="4"/>
      </w:numPr>
      <w:outlineLvl w:val="3"/>
    </w:pPr>
  </w:style>
  <w:style w:type="paragraph" w:customStyle="1" w:styleId="a7">
    <w:name w:val="标准文件_四级条标题"/>
    <w:next w:val="af7"/>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7"/>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7"/>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7"/>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eastAsia="宋体" w:hint="eastAsia"/>
      <w:sz w:val="21"/>
    </w:rPr>
  </w:style>
  <w:style w:type="character" w:customStyle="1" w:styleId="Char">
    <w:name w:val="日期 Char"/>
    <w:basedOn w:val="aa"/>
    <w:link w:val="ad"/>
    <w:uiPriority w:val="99"/>
    <w:semiHidden/>
    <w:qFormat/>
    <w:rPr>
      <w:rFonts w:ascii="Times New Roman" w:hAnsi="Times New Roman" w:cs="Times New Roman"/>
      <w:kern w:val="2"/>
      <w:sz w:val="21"/>
      <w:szCs w:val="24"/>
    </w:rPr>
  </w:style>
  <w:style w:type="character" w:customStyle="1" w:styleId="Char3">
    <w:name w:val="标题 Char"/>
    <w:basedOn w:val="aa"/>
    <w:link w:val="af2"/>
    <w:uiPriority w:val="10"/>
    <w:qFormat/>
    <w:rPr>
      <w:rFonts w:asciiTheme="majorHAnsi" w:eastAsiaTheme="majorEastAsia" w:hAnsiTheme="majorHAnsi" w:cstheme="majorBidi"/>
      <w:b/>
      <w:bCs/>
      <w:kern w:val="2"/>
      <w:sz w:val="32"/>
      <w:szCs w:val="32"/>
    </w:rPr>
  </w:style>
  <w:style w:type="character" w:customStyle="1" w:styleId="Char0">
    <w:name w:val="批注框文本 Char"/>
    <w:basedOn w:val="aa"/>
    <w:link w:val="ae"/>
    <w:uiPriority w:val="99"/>
    <w:semiHidden/>
    <w:qFormat/>
    <w:rPr>
      <w:rFonts w:ascii="Times New Roman" w:hAnsi="Times New Roman" w:cs="Times New Roman"/>
      <w:kern w:val="2"/>
      <w:sz w:val="18"/>
      <w:szCs w:val="18"/>
    </w:rPr>
  </w:style>
  <w:style w:type="character" w:customStyle="1" w:styleId="HTMLChar">
    <w:name w:val="HTML 预设格式 Char"/>
    <w:basedOn w:val="aa"/>
    <w:uiPriority w:val="99"/>
    <w:semiHidden/>
    <w:qFormat/>
    <w:rPr>
      <w:rFonts w:ascii="Courier New" w:hAnsi="Courier New" w:cs="Courier New"/>
      <w:kern w:val="2"/>
    </w:rPr>
  </w:style>
  <w:style w:type="character" w:customStyle="1" w:styleId="HTMLChar1">
    <w:name w:val="HTML 预设格式 Char1"/>
    <w:link w:val="HTML"/>
    <w:qFormat/>
    <w:rPr>
      <w:rFonts w:ascii="宋体" w:hAnsi="宋体" w:cs="Times New Roman"/>
      <w:sz w:val="24"/>
    </w:rPr>
  </w:style>
  <w:style w:type="paragraph" w:styleId="af8">
    <w:name w:val="List Paragraph"/>
    <w:basedOn w:val="a9"/>
    <w:uiPriority w:val="99"/>
    <w:unhideWhenUsed/>
    <w:qFormat/>
    <w:pPr>
      <w:ind w:firstLineChars="200" w:firstLine="420"/>
    </w:pPr>
  </w:style>
  <w:style w:type="character" w:styleId="af9">
    <w:name w:val="Emphasis"/>
    <w:uiPriority w:val="20"/>
    <w:qFormat/>
    <w:rsid w:val="00DE626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pPr>
      <w:widowControl w:val="0"/>
      <w:jc w:val="both"/>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38FB0-E815-4912-831F-2CD3930A5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27</Pages>
  <Words>2433</Words>
  <Characters>13869</Characters>
  <Application>Microsoft Office Word</Application>
  <DocSecurity>0</DocSecurity>
  <Lines>115</Lines>
  <Paragraphs>32</Paragraphs>
  <ScaleCrop>false</ScaleCrop>
  <Company>Microsoft</Company>
  <LinksUpToDate>false</LinksUpToDate>
  <CharactersWithSpaces>16270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微软用户</cp:lastModifiedBy>
  <cp:revision>88</cp:revision>
  <cp:lastPrinted>2022-04-25T09:29:00Z</cp:lastPrinted>
  <dcterms:created xsi:type="dcterms:W3CDTF">2022-08-15T01:43:00Z</dcterms:created>
  <dcterms:modified xsi:type="dcterms:W3CDTF">2024-04-29T01:35:00Z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C820D4A7360641C79D1878BAA68E30CC</vt:lpwstr>
  </property>
</Properties>
</file>