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bookmarkStart w:id="62" w:name="_GoBack"/>
            <w:bookmarkEnd w:id="62"/>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t>67.120.20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1"/>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9"/>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30"/>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0" w:name="c1"/>
                  <w:r>
                    <w:instrText xml:space="preserve"> FORMTEXT </w:instrText>
                  </w:r>
                  <w:r>
                    <w:fldChar w:fldCharType="separate"/>
                  </w:r>
                  <w:r>
                    <w:t>GXAS</w:t>
                  </w:r>
                  <w:r>
                    <w:fldChar w:fldCharType="end"/>
                  </w:r>
                  <w:bookmarkEnd w:id="0"/>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X 18</w:t>
            </w:r>
          </w:p>
        </w:tc>
      </w:tr>
    </w:tbl>
    <w:p>
      <w:pPr>
        <w:pStyle w:val="52"/>
        <w:framePr w:w="9639" w:h="624" w:hRule="exact" w:hSpace="181" w:vSpace="181" w:wrap="around" w:hAnchor="page" w:x="1305" w:y="2269"/>
        <w:rPr>
          <w:rFonts w:ascii="黑体" w:hAnsi="黑体" w:eastAsia="黑体"/>
          <w:b w:val="0"/>
          <w:bCs w:val="0"/>
          <w:w w:val="100"/>
          <w:sz w:val="48"/>
          <w:szCs w:val="48"/>
        </w:rPr>
      </w:pPr>
      <w:bookmarkStart w:id="1" w:name="_Hlk26473981"/>
      <w:r>
        <w:rPr>
          <w:rFonts w:ascii="黑体" w:eastAsia="黑体"/>
          <w:b w:val="0"/>
          <w:w w:val="100"/>
          <w:sz w:val="48"/>
        </w:rPr>
        <w:fldChar w:fldCharType="begin">
          <w:ffData>
            <w:name w:val="c2"/>
            <w:enabled/>
            <w:calcOnExit w:val="0"/>
            <w:textInput>
              <w:default w:val="团体标准"/>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2"/>
    </w:p>
    <w:bookmarkEnd w:id="1"/>
    <w:p>
      <w:pPr>
        <w:pStyle w:val="197"/>
        <w:framePr/>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GXAS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pPr>
        <w:pStyle w:val="198"/>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4"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AvNkeb6gEAALkDAAAOAAAAAAAAAAEAIAAAACcBAABkcnMvZTJvRG9jLnhtbFBLBQYAAAAABgAG&#10;AFkBAACDBQ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广西柠檬鸭炒制技术规程</w:t>
      </w:r>
      <w:r>
        <w:fldChar w:fldCharType="end"/>
      </w:r>
      <w:bookmarkEnd w:id="7"/>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8"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practice for stir-frying Guangxi lemon duck</w:t>
      </w:r>
      <w:r>
        <w:rPr>
          <w:rFonts w:ascii="黑体" w:hAnsi="黑体" w:eastAsia="黑体"/>
          <w:szCs w:val="28"/>
        </w:rPr>
        <w:fldChar w:fldCharType="end"/>
      </w:r>
      <w:bookmarkEnd w:id="8"/>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pPr>
        <w:pStyle w:val="19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8"/>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91"/>
        <w:spacing w:after="360"/>
      </w:pPr>
      <w:bookmarkStart w:id="19" w:name="BookMark2"/>
      <w:r>
        <w:rPr>
          <w:spacing w:val="320"/>
        </w:rPr>
        <w:t>前</w:t>
      </w:r>
      <w:r>
        <w:t>言</w:t>
      </w:r>
    </w:p>
    <w:p>
      <w:pPr>
        <w:pStyle w:val="58"/>
        <w:ind w:firstLine="420"/>
      </w:pPr>
      <w:r>
        <w:rPr>
          <w:rFonts w:hint="eastAsia"/>
        </w:rPr>
        <w:t>本文件参照GB/T 1.1—2020《标准化工作导则  第1部分：标准化文件的结构和起草规则》的规定起草。</w:t>
      </w:r>
    </w:p>
    <w:p>
      <w:pPr>
        <w:pStyle w:val="58"/>
        <w:ind w:firstLine="420"/>
      </w:pPr>
      <w:r>
        <w:rPr>
          <w:rFonts w:hint="eastAsia"/>
        </w:rPr>
        <w:t>请注意本文件的某些内容可能涉及专利。本文件的发布机构不承担识别专利的责任。</w:t>
      </w:r>
    </w:p>
    <w:p>
      <w:pPr>
        <w:pStyle w:val="58"/>
        <w:ind w:firstLine="420"/>
      </w:pPr>
      <w:r>
        <w:rPr>
          <w:rFonts w:hint="eastAsia"/>
        </w:rPr>
        <w:t>本文件由广西烹饪餐饮行业协会提出、归口</w:t>
      </w:r>
      <w:r>
        <w:t>并宣贯</w:t>
      </w:r>
      <w:r>
        <w:rPr>
          <w:rFonts w:hint="eastAsia"/>
        </w:rPr>
        <w:t>。</w:t>
      </w:r>
    </w:p>
    <w:p>
      <w:pPr>
        <w:pStyle w:val="58"/>
        <w:ind w:firstLine="420"/>
      </w:pPr>
      <w:r>
        <w:rPr>
          <w:rFonts w:hint="eastAsia"/>
        </w:rPr>
        <w:t>本文件起草单位：南宁市兴宁区甘家界牌柠檬鸭餐饮店、广西烹饪餐饮行业协会、广西标准化协会、广西甘家食品有限公司、广西甘家源餐饮管理有限公司、南宁市西乡塘区甘保辉柠檬鸭餐饮店、南宁鸿辉餐饮管理有限公司、南宁市甘家界牌柠檬鸭饭店春晖店、南宁市甘家界牌柠檬鸭饭店、南宁市宏锦亭餐厅、广西老甘家餐饮管理有限公司、广西标辉供应链管理有限公司、南宁市开台吃饭餐饮有限公司、广西甘家界餐饮管理有限公司南宁凤岭分店、广西丫丫厨娘餐饮管理有限公司、南宁市甘家界牌柠檬鸭青山店、广西丫丫厨娘餐饮管理有限公司南宁青山分公司、广西丫丫厨娘餐饮管理有限公司西关店、广西丫丫厨娘餐饮管理有限公司安吉万达店、广西丫丫顺餐饮管理有限公司、广西丫丫姐餐饮管理有限公司、广西丫丫顺餐饮管理有限公司南宁分公司、南宁市满园春农业投资有限公司、广西华兴食品集团有限公司、广西厚膳食品有限公司、南宁博大高科计算有限公司、南宁博大全讯科技有限公司、广西博大胜任信息技术有限公司、广西桂乡语贸易有限公司、广西高瓴投资有限公司、南宁市灵探计算机技术服务工作室、广西老表记餐饮管理有限公司。</w:t>
      </w:r>
    </w:p>
    <w:p>
      <w:pPr>
        <w:pStyle w:val="58"/>
        <w:ind w:firstLine="420"/>
      </w:pPr>
      <w:r>
        <w:rPr>
          <w:rFonts w:hint="eastAsia"/>
        </w:rPr>
        <w:t>本文件主要起草人：甘保辉、甘保强、梁芳利、黄紫薪、甘益广、徐丹丹。</w:t>
      </w:r>
    </w:p>
    <w:p>
      <w:pPr>
        <w:pStyle w:val="58"/>
        <w:ind w:firstLine="420"/>
      </w:pPr>
    </w:p>
    <w:p>
      <w:pPr>
        <w:pStyle w:val="58"/>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p>
    <w:bookmarkEnd w:id="19"/>
    <w:p>
      <w:pPr>
        <w:spacing w:line="20" w:lineRule="exact"/>
        <w:jc w:val="center"/>
        <w:rPr>
          <w:rFonts w:ascii="黑体" w:hAnsi="黑体" w:eastAsia="黑体"/>
          <w:sz w:val="32"/>
          <w:szCs w:val="32"/>
        </w:rPr>
      </w:pPr>
      <w:bookmarkStart w:id="20" w:name="BookMark4"/>
    </w:p>
    <w:p>
      <w:pPr>
        <w:spacing w:line="20" w:lineRule="exact"/>
        <w:jc w:val="center"/>
        <w:rPr>
          <w:rFonts w:ascii="黑体" w:hAnsi="黑体" w:eastAsia="黑体"/>
          <w:sz w:val="32"/>
          <w:szCs w:val="32"/>
        </w:rPr>
      </w:pPr>
    </w:p>
    <w:sdt>
      <w:sdtPr>
        <w:tag w:val="NEW_STAND_NAME"/>
        <w:id w:val="595910757"/>
        <w:lock w:val="sdtLocked"/>
        <w:placeholder>
          <w:docPart w:val="1502959BF3244B5587813501B04DB51E"/>
        </w:placeholder>
      </w:sdtPr>
      <w:sdtContent>
        <w:p>
          <w:pPr>
            <w:pStyle w:val="179"/>
            <w:spacing w:before="2" w:beforeLines="1" w:after="528" w:afterLines="220"/>
          </w:pPr>
          <w:bookmarkStart w:id="21" w:name="NEW_STAND_NAME"/>
          <w:r>
            <w:rPr>
              <w:rFonts w:hint="eastAsia"/>
            </w:rPr>
            <w:t>广西柠檬鸭炒制技术规程</w:t>
          </w:r>
        </w:p>
      </w:sdtContent>
    </w:sdt>
    <w:bookmarkEnd w:id="21"/>
    <w:p>
      <w:pPr>
        <w:pStyle w:val="106"/>
        <w:spacing w:before="240" w:after="240"/>
      </w:pPr>
      <w:bookmarkStart w:id="22" w:name="_Toc26718930"/>
      <w:bookmarkStart w:id="23" w:name="_Toc17233333"/>
      <w:bookmarkStart w:id="24" w:name="_Toc26648465"/>
      <w:bookmarkStart w:id="25" w:name="_Toc24884218"/>
      <w:bookmarkStart w:id="26" w:name="_Toc24884211"/>
      <w:bookmarkStart w:id="27" w:name="_Toc26986771"/>
      <w:bookmarkStart w:id="28" w:name="_Toc26986530"/>
      <w:bookmarkStart w:id="29" w:name="_Toc17233325"/>
      <w:bookmarkStart w:id="30" w:name="_Toc97192964"/>
      <w:r>
        <w:rPr>
          <w:rFonts w:hint="eastAsia"/>
        </w:rPr>
        <w:t>范围</w:t>
      </w:r>
      <w:bookmarkEnd w:id="22"/>
      <w:bookmarkEnd w:id="23"/>
      <w:bookmarkEnd w:id="24"/>
      <w:bookmarkEnd w:id="25"/>
      <w:bookmarkEnd w:id="26"/>
      <w:bookmarkEnd w:id="27"/>
      <w:bookmarkEnd w:id="28"/>
      <w:bookmarkEnd w:id="29"/>
      <w:bookmarkEnd w:id="30"/>
    </w:p>
    <w:p>
      <w:pPr>
        <w:pStyle w:val="58"/>
        <w:ind w:firstLine="420"/>
      </w:pPr>
      <w:bookmarkStart w:id="31" w:name="_Toc17233334"/>
      <w:bookmarkStart w:id="32" w:name="_Toc26648466"/>
      <w:bookmarkStart w:id="33" w:name="_Toc24884219"/>
      <w:bookmarkStart w:id="34" w:name="_Toc17233326"/>
      <w:bookmarkStart w:id="35" w:name="_Toc24884212"/>
      <w:r>
        <w:rPr>
          <w:rFonts w:hint="eastAsia"/>
        </w:rPr>
        <w:t>本文件界定了柠檬鸭的术语和定义，确立了广西柠檬鸭炒制的程序，规定了炒制工艺，以及各个工艺各阶段的操作指示，描述了成品感官和加工</w:t>
      </w:r>
      <w:bookmarkStart w:id="36" w:name="_Hlk161179710"/>
      <w:r>
        <w:rPr>
          <w:rFonts w:hint="eastAsia"/>
        </w:rPr>
        <w:t>过程信息的追溯方法</w:t>
      </w:r>
      <w:bookmarkEnd w:id="36"/>
      <w:r>
        <w:rPr>
          <w:rFonts w:hint="eastAsia"/>
        </w:rPr>
        <w:t>。</w:t>
      </w:r>
    </w:p>
    <w:p>
      <w:pPr>
        <w:pStyle w:val="58"/>
        <w:ind w:firstLine="420"/>
      </w:pPr>
      <w:r>
        <w:rPr>
          <w:rFonts w:hint="eastAsia"/>
        </w:rPr>
        <w:t>本文件适用于广西柠檬鸭的炒制。</w:t>
      </w:r>
    </w:p>
    <w:p>
      <w:pPr>
        <w:pStyle w:val="106"/>
        <w:spacing w:before="240" w:after="240"/>
      </w:pPr>
      <w:bookmarkStart w:id="37" w:name="_Toc26718931"/>
      <w:bookmarkStart w:id="38" w:name="_Toc26986531"/>
      <w:bookmarkStart w:id="39" w:name="_Toc26986772"/>
      <w:bookmarkStart w:id="40" w:name="_Toc97192965"/>
      <w:r>
        <w:rPr>
          <w:rFonts w:hint="eastAsia"/>
        </w:rPr>
        <w:t>规范性引用文件</w:t>
      </w:r>
      <w:bookmarkEnd w:id="31"/>
      <w:bookmarkEnd w:id="32"/>
      <w:bookmarkEnd w:id="33"/>
      <w:bookmarkEnd w:id="34"/>
      <w:bookmarkEnd w:id="35"/>
      <w:bookmarkEnd w:id="37"/>
      <w:bookmarkEnd w:id="38"/>
      <w:bookmarkEnd w:id="39"/>
      <w:bookmarkEnd w:id="40"/>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pPr>
      <w:r>
        <w:rPr>
          <w:rFonts w:hint="eastAsia"/>
        </w:rPr>
        <w:t>GB 2707</w:t>
      </w:r>
      <w:r>
        <w:t xml:space="preserve">  </w:t>
      </w:r>
      <w:bookmarkStart w:id="41" w:name="_Hlk165356520"/>
      <w:r>
        <w:rPr>
          <w:rFonts w:hint="eastAsia"/>
        </w:rPr>
        <w:t xml:space="preserve">食品安全国家标准 </w:t>
      </w:r>
      <w:r>
        <w:t xml:space="preserve"> </w:t>
      </w:r>
      <w:r>
        <w:rPr>
          <w:rFonts w:hint="eastAsia"/>
        </w:rPr>
        <w:t>鲜（冻）畜、禽产品</w:t>
      </w:r>
      <w:bookmarkEnd w:id="41"/>
    </w:p>
    <w:p>
      <w:pPr>
        <w:pStyle w:val="58"/>
        <w:ind w:firstLine="420"/>
      </w:pPr>
      <w:bookmarkStart w:id="42" w:name="_Hlk165355750"/>
      <w:r>
        <w:t xml:space="preserve">GB 2714  </w:t>
      </w:r>
      <w:r>
        <w:rPr>
          <w:rFonts w:hint="eastAsia"/>
        </w:rPr>
        <w:t xml:space="preserve">食品安全国家标准 </w:t>
      </w:r>
      <w:r>
        <w:t xml:space="preserve"> </w:t>
      </w:r>
      <w:r>
        <w:rPr>
          <w:rFonts w:hint="eastAsia"/>
        </w:rPr>
        <w:t>酱腌菜</w:t>
      </w:r>
    </w:p>
    <w:bookmarkEnd w:id="42"/>
    <w:p>
      <w:pPr>
        <w:pStyle w:val="58"/>
        <w:ind w:firstLine="420"/>
      </w:pPr>
      <w:r>
        <w:rPr>
          <w:rFonts w:hint="eastAsia"/>
        </w:rPr>
        <w:t>GB 2716</w:t>
      </w:r>
      <w:r>
        <w:t xml:space="preserve">  </w:t>
      </w:r>
      <w:r>
        <w:rPr>
          <w:rFonts w:hint="eastAsia"/>
        </w:rPr>
        <w:t xml:space="preserve">食品安全国家标准 </w:t>
      </w:r>
      <w:r>
        <w:t xml:space="preserve"> </w:t>
      </w:r>
      <w:r>
        <w:rPr>
          <w:rFonts w:hint="eastAsia"/>
        </w:rPr>
        <w:t>植物油</w:t>
      </w:r>
    </w:p>
    <w:p>
      <w:pPr>
        <w:pStyle w:val="58"/>
        <w:ind w:firstLine="420"/>
      </w:pPr>
      <w:r>
        <w:rPr>
          <w:rFonts w:hint="eastAsia"/>
        </w:rPr>
        <w:t xml:space="preserve">GB </w:t>
      </w:r>
      <w:r>
        <w:t xml:space="preserve">2717  </w:t>
      </w:r>
      <w:r>
        <w:rPr>
          <w:rFonts w:hint="eastAsia"/>
        </w:rPr>
        <w:t xml:space="preserve">食品安全国家标准 </w:t>
      </w:r>
      <w:r>
        <w:t xml:space="preserve"> </w:t>
      </w:r>
      <w:r>
        <w:rPr>
          <w:rFonts w:hint="eastAsia"/>
        </w:rPr>
        <w:t>酱油</w:t>
      </w:r>
    </w:p>
    <w:p>
      <w:pPr>
        <w:pStyle w:val="58"/>
        <w:ind w:firstLine="420"/>
      </w:pPr>
      <w:r>
        <w:rPr>
          <w:rFonts w:hint="eastAsia"/>
        </w:rPr>
        <w:t>GB 2721</w:t>
      </w:r>
      <w:r>
        <w:t xml:space="preserve">  </w:t>
      </w:r>
      <w:r>
        <w:rPr>
          <w:rFonts w:hint="eastAsia"/>
        </w:rPr>
        <w:t>食品安全国家标准  食用盐</w:t>
      </w:r>
    </w:p>
    <w:p>
      <w:pPr>
        <w:pStyle w:val="58"/>
        <w:ind w:firstLine="420"/>
      </w:pPr>
      <w:r>
        <w:t xml:space="preserve">GB 2757  </w:t>
      </w:r>
      <w:r>
        <w:rPr>
          <w:rFonts w:hint="eastAsia"/>
        </w:rPr>
        <w:t xml:space="preserve">食品安全国家标准 </w:t>
      </w:r>
      <w:r>
        <w:t xml:space="preserve"> </w:t>
      </w:r>
      <w:r>
        <w:rPr>
          <w:rFonts w:hint="eastAsia"/>
        </w:rPr>
        <w:t>蒸馏酒及其配制酒</w:t>
      </w:r>
    </w:p>
    <w:p>
      <w:pPr>
        <w:pStyle w:val="58"/>
        <w:ind w:firstLine="420"/>
      </w:pPr>
      <w:r>
        <w:rPr>
          <w:rFonts w:hint="eastAsia"/>
        </w:rPr>
        <w:t>GB 2762</w:t>
      </w:r>
      <w:r>
        <w:t xml:space="preserve">  </w:t>
      </w:r>
      <w:r>
        <w:rPr>
          <w:rFonts w:hint="eastAsia"/>
        </w:rPr>
        <w:t xml:space="preserve">食品安全国家标准 </w:t>
      </w:r>
      <w:r>
        <w:t xml:space="preserve"> </w:t>
      </w:r>
      <w:r>
        <w:rPr>
          <w:rFonts w:hint="eastAsia"/>
        </w:rPr>
        <w:t>食品中污染物限量</w:t>
      </w:r>
    </w:p>
    <w:p>
      <w:pPr>
        <w:pStyle w:val="58"/>
        <w:ind w:firstLine="420"/>
      </w:pPr>
      <w:r>
        <w:rPr>
          <w:rFonts w:hint="eastAsia"/>
        </w:rPr>
        <w:t>GB 2763</w:t>
      </w:r>
      <w:r>
        <w:t xml:space="preserve">  </w:t>
      </w:r>
      <w:r>
        <w:rPr>
          <w:rFonts w:hint="eastAsia"/>
        </w:rPr>
        <w:t>食品安全国家标准  食品中农药最大残留限量</w:t>
      </w:r>
    </w:p>
    <w:p>
      <w:pPr>
        <w:pStyle w:val="58"/>
        <w:ind w:firstLine="420"/>
      </w:pPr>
      <w:r>
        <w:rPr>
          <w:rFonts w:hint="eastAsia"/>
        </w:rPr>
        <w:t>GB 2763.1</w:t>
      </w:r>
      <w:r>
        <w:t xml:space="preserve">  </w:t>
      </w:r>
      <w:r>
        <w:rPr>
          <w:rFonts w:hint="eastAsia"/>
        </w:rPr>
        <w:t xml:space="preserve">食品安全国家标准 </w:t>
      </w:r>
      <w:r>
        <w:t xml:space="preserve"> </w:t>
      </w:r>
      <w:r>
        <w:rPr>
          <w:rFonts w:hint="eastAsia"/>
        </w:rPr>
        <w:t>食品中2，4-滴丁酸钠盐等112种农药最大残留限量</w:t>
      </w:r>
    </w:p>
    <w:p>
      <w:pPr>
        <w:pStyle w:val="58"/>
        <w:ind w:firstLine="420"/>
      </w:pPr>
      <w:r>
        <w:t xml:space="preserve">GB 5749  </w:t>
      </w:r>
      <w:r>
        <w:rPr>
          <w:rFonts w:hint="eastAsia"/>
        </w:rPr>
        <w:t>生活饮用水卫生标准</w:t>
      </w:r>
    </w:p>
    <w:p>
      <w:pPr>
        <w:pStyle w:val="58"/>
        <w:ind w:firstLine="420"/>
      </w:pPr>
      <w:r>
        <w:t xml:space="preserve">GB/T 7900  </w:t>
      </w:r>
      <w:r>
        <w:rPr>
          <w:rFonts w:hint="eastAsia"/>
        </w:rPr>
        <w:t>白胡椒</w:t>
      </w:r>
    </w:p>
    <w:p>
      <w:pPr>
        <w:pStyle w:val="58"/>
        <w:ind w:firstLine="420"/>
      </w:pPr>
      <w:r>
        <w:rPr>
          <w:rFonts w:hint="eastAsia"/>
        </w:rPr>
        <w:t>GB 13104</w:t>
      </w:r>
      <w:r>
        <w:t xml:space="preserve">  </w:t>
      </w:r>
      <w:r>
        <w:rPr>
          <w:rFonts w:hint="eastAsia"/>
        </w:rPr>
        <w:t xml:space="preserve">食品安全国家标准 </w:t>
      </w:r>
      <w:r>
        <w:t xml:space="preserve"> </w:t>
      </w:r>
      <w:r>
        <w:rPr>
          <w:rFonts w:hint="eastAsia"/>
        </w:rPr>
        <w:t>食糖</w:t>
      </w:r>
    </w:p>
    <w:p>
      <w:pPr>
        <w:pStyle w:val="58"/>
        <w:ind w:firstLine="420"/>
      </w:pPr>
      <w:r>
        <w:rPr>
          <w:rFonts w:hint="eastAsia"/>
        </w:rPr>
        <w:t>GH/T 1172  姜</w:t>
      </w:r>
    </w:p>
    <w:p>
      <w:pPr>
        <w:pStyle w:val="58"/>
        <w:ind w:firstLine="420"/>
      </w:pPr>
      <w:r>
        <w:rPr>
          <w:rFonts w:hint="eastAsia"/>
        </w:rPr>
        <w:t>GH/T 1194  大蒜</w:t>
      </w:r>
    </w:p>
    <w:p>
      <w:pPr>
        <w:pStyle w:val="58"/>
        <w:ind w:firstLine="420"/>
      </w:pPr>
      <w:r>
        <w:rPr>
          <w:rFonts w:hint="eastAsia"/>
        </w:rPr>
        <w:t>NY/T 3741</w:t>
      </w:r>
      <w:r>
        <w:t xml:space="preserve">  </w:t>
      </w:r>
      <w:r>
        <w:rPr>
          <w:rFonts w:hint="eastAsia"/>
        </w:rPr>
        <w:t>畜禽屠宰操作规程  鸭</w:t>
      </w:r>
    </w:p>
    <w:p>
      <w:pPr>
        <w:pStyle w:val="58"/>
        <w:ind w:firstLine="420"/>
      </w:pPr>
      <w:r>
        <w:t xml:space="preserve">SB/T 10170  </w:t>
      </w:r>
      <w:r>
        <w:rPr>
          <w:rFonts w:hint="eastAsia"/>
        </w:rPr>
        <w:t>腐乳</w:t>
      </w:r>
    </w:p>
    <w:p>
      <w:pPr>
        <w:pStyle w:val="58"/>
        <w:ind w:firstLine="420"/>
      </w:pPr>
      <w:r>
        <w:t xml:space="preserve">DBS45/ 038  </w:t>
      </w:r>
      <w:r>
        <w:rPr>
          <w:rFonts w:hint="eastAsia"/>
        </w:rPr>
        <w:t>食品安全地方标准  黄皮酱</w:t>
      </w:r>
    </w:p>
    <w:p>
      <w:pPr>
        <w:pStyle w:val="106"/>
        <w:spacing w:before="240" w:after="240"/>
      </w:pPr>
      <w:bookmarkStart w:id="43" w:name="_Toc97192966"/>
      <w:r>
        <w:rPr>
          <w:rFonts w:hint="eastAsia"/>
          <w:szCs w:val="21"/>
        </w:rPr>
        <w:t>术语和定义</w:t>
      </w:r>
      <w:bookmarkEnd w:id="43"/>
    </w:p>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44" w:name="_Toc26986532"/>
          <w:bookmarkEnd w:id="44"/>
          <w:r>
            <w:t>下列术语和定义适用于本文件。</w:t>
          </w:r>
        </w:p>
      </w:sdtContent>
    </w:sdt>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柠檬鸭  </w:t>
      </w:r>
      <w:r>
        <w:rPr>
          <w:rFonts w:ascii="黑体" w:hAnsi="黑体" w:eastAsia="黑体"/>
        </w:rPr>
        <w:t>lemon duck</w:t>
      </w:r>
    </w:p>
    <w:p>
      <w:pPr>
        <w:pStyle w:val="58"/>
        <w:ind w:firstLine="420"/>
        <w:rPr>
          <w:rFonts w:hAnsi="宋体" w:cs="宋体"/>
        </w:rPr>
      </w:pPr>
      <w:r>
        <w:rPr>
          <w:rFonts w:hint="eastAsia" w:hAnsi="宋体" w:cs="宋体"/>
        </w:rPr>
        <w:t>以广西本地</w:t>
      </w:r>
      <w:r>
        <w:rPr>
          <w:rFonts w:hAnsi="宋体" w:cs="宋体"/>
        </w:rPr>
        <w:t>樱桃鸭</w:t>
      </w:r>
      <w:r>
        <w:rPr>
          <w:rFonts w:hint="eastAsia" w:hAnsi="宋体" w:cs="宋体"/>
        </w:rPr>
        <w:t>或</w:t>
      </w:r>
      <w:r>
        <w:rPr>
          <w:rFonts w:hAnsi="宋体" w:cs="宋体"/>
        </w:rPr>
        <w:t>麻鸭</w:t>
      </w:r>
      <w:r>
        <w:rPr>
          <w:rFonts w:hint="eastAsia" w:hAnsi="宋体" w:cs="宋体"/>
        </w:rPr>
        <w:t>为主料，腌制</w:t>
      </w:r>
      <w:r>
        <w:rPr>
          <w:rFonts w:hint="eastAsia"/>
        </w:rPr>
        <w:t>酸柠檬、</w:t>
      </w:r>
      <w:r>
        <w:rPr>
          <w:rFonts w:hint="eastAsia" w:hAnsi="宋体" w:cs="宋体"/>
        </w:rPr>
        <w:t>腌制</w:t>
      </w:r>
      <w:r>
        <w:rPr>
          <w:rFonts w:hint="eastAsia"/>
        </w:rPr>
        <w:t>酸辣椒</w:t>
      </w:r>
      <w:r>
        <w:rPr>
          <w:rFonts w:hint="eastAsia" w:hAnsi="宋体" w:cs="宋体"/>
        </w:rPr>
        <w:t>、生姜、蒜米等为辅料，经初加工、烹煮、炒制而成，极具广西</w:t>
      </w:r>
      <w:r>
        <w:rPr>
          <w:rFonts w:hAnsi="宋体" w:cs="宋体"/>
        </w:rPr>
        <w:t>壮族酸辣咸香</w:t>
      </w:r>
      <w:r>
        <w:rPr>
          <w:rFonts w:hint="eastAsia" w:hAnsi="宋体" w:cs="宋体"/>
        </w:rPr>
        <w:t>特色的风味美食。</w:t>
      </w:r>
    </w:p>
    <w:p>
      <w:pPr>
        <w:pStyle w:val="106"/>
        <w:spacing w:before="240" w:after="240"/>
      </w:pPr>
      <w:r>
        <w:rPr>
          <w:rFonts w:hint="eastAsia"/>
        </w:rPr>
        <w:t>炒制工艺</w:t>
      </w:r>
    </w:p>
    <w:p>
      <w:pPr>
        <w:pStyle w:val="107"/>
        <w:spacing w:before="120" w:after="120"/>
      </w:pPr>
      <w:r>
        <w:rPr>
          <w:rFonts w:hint="eastAsia"/>
        </w:rPr>
        <w:t>工艺流程</w:t>
      </w:r>
    </w:p>
    <w:p>
      <w:pPr>
        <w:pStyle w:val="58"/>
        <w:ind w:firstLine="420"/>
      </w:pPr>
      <w:r>
        <w:rPr>
          <w:rFonts w:hint="eastAsia"/>
        </w:rPr>
        <w:t>见</w:t>
      </w:r>
      <w:r>
        <w:t>图</w:t>
      </w:r>
      <w:r>
        <w:rPr>
          <w:rFonts w:hint="eastAsia"/>
        </w:rPr>
        <w:t>1。</w:t>
      </w:r>
    </w:p>
    <w:tbl>
      <w:tblPr>
        <w:tblStyle w:val="2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3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344" w:type="dxa"/>
          </w:tcPr>
          <w:p>
            <w:pPr>
              <w:pStyle w:val="58"/>
              <w:ind w:firstLine="0" w:firstLineChars="0"/>
              <w:jc w:val="center"/>
              <w:rPr>
                <w:highlight w:val="yellow"/>
              </w:rPr>
            </w:pPr>
            <w:r>
              <mc:AlternateContent>
                <mc:Choice Requires="wpc">
                  <w:drawing>
                    <wp:inline distT="0" distB="0" distL="0" distR="0">
                      <wp:extent cx="4752975" cy="318135"/>
                      <wp:effectExtent l="0" t="0" r="0" b="5715"/>
                      <wp:docPr id="17" name="画布 17"/>
                      <wp:cNvGraphicFramePr/>
                      <a:graphic xmlns:a="http://schemas.openxmlformats.org/drawingml/2006/main">
                        <a:graphicData uri="http://schemas.microsoft.com/office/word/2010/wordprocessingCanvas">
                          <wpc:wpc>
                            <wpc:bg>
                              <a:noFill/>
                            </wpc:bg>
                            <wpc:whole/>
                            <wps:wsp>
                              <wps:cNvPr id="3" name="Rectangle 14"/>
                              <wps:cNvSpPr>
                                <a:spLocks noChangeArrowheads="1"/>
                              </wps:cNvSpPr>
                              <wps:spPr bwMode="auto">
                                <a:xfrm>
                                  <a:off x="986156" y="27940"/>
                                  <a:ext cx="635635" cy="253365"/>
                                </a:xfrm>
                                <a:prstGeom prst="rect">
                                  <a:avLst/>
                                </a:prstGeom>
                                <a:solidFill>
                                  <a:srgbClr val="FFFFFF"/>
                                </a:solidFill>
                                <a:ln w="9525">
                                  <a:solidFill>
                                    <a:srgbClr val="000000"/>
                                  </a:solidFill>
                                  <a:miter lim="800000"/>
                                </a:ln>
                              </wps:spPr>
                              <wps:txbx>
                                <w:txbxContent>
                                  <w:p>
                                    <w:pPr>
                                      <w:spacing w:line="200" w:lineRule="exact"/>
                                      <w:jc w:val="center"/>
                                      <w:rPr>
                                        <w:sz w:val="15"/>
                                        <w:szCs w:val="15"/>
                                      </w:rPr>
                                    </w:pPr>
                                    <w:r>
                                      <w:rPr>
                                        <w:rFonts w:hint="eastAsia"/>
                                        <w:sz w:val="15"/>
                                        <w:szCs w:val="15"/>
                                      </w:rPr>
                                      <w:t>预处理</w:t>
                                    </w:r>
                                  </w:p>
                                </w:txbxContent>
                              </wps:txbx>
                              <wps:bodyPr rot="0" vert="horz" wrap="square" lIns="91440" tIns="45720" rIns="91440" bIns="45720" anchor="t" anchorCtr="0" upright="1">
                                <a:noAutofit/>
                              </wps:bodyPr>
                            </wps:wsp>
                            <wps:wsp>
                              <wps:cNvPr id="6" name="AutoShape 15"/>
                              <wps:cNvCnPr>
                                <a:cxnSpLocks noChangeShapeType="1"/>
                                <a:stCxn id="8" idx="3"/>
                                <a:endCxn id="3" idx="1"/>
                              </wps:cNvCnPr>
                              <wps:spPr bwMode="auto">
                                <a:xfrm>
                                  <a:off x="718821" y="154940"/>
                                  <a:ext cx="267335" cy="635"/>
                                </a:xfrm>
                                <a:prstGeom prst="straightConnector1">
                                  <a:avLst/>
                                </a:prstGeom>
                                <a:noFill/>
                                <a:ln w="9525">
                                  <a:solidFill>
                                    <a:srgbClr val="000000"/>
                                  </a:solidFill>
                                  <a:round/>
                                  <a:tailEnd type="triangle" w="med" len="med"/>
                                </a:ln>
                              </wps:spPr>
                              <wps:bodyPr/>
                            </wps:wsp>
                            <wps:wsp>
                              <wps:cNvPr id="8" name="Rectangle 14"/>
                              <wps:cNvSpPr>
                                <a:spLocks noChangeArrowheads="1"/>
                              </wps:cNvSpPr>
                              <wps:spPr bwMode="auto">
                                <a:xfrm>
                                  <a:off x="38736" y="27940"/>
                                  <a:ext cx="680085" cy="253365"/>
                                </a:xfrm>
                                <a:prstGeom prst="rect">
                                  <a:avLst/>
                                </a:prstGeom>
                                <a:solidFill>
                                  <a:srgbClr val="FFFFFF"/>
                                </a:solidFill>
                                <a:ln w="9525">
                                  <a:solidFill>
                                    <a:srgbClr val="000000"/>
                                  </a:solidFill>
                                  <a:miter lim="800000"/>
                                </a:ln>
                              </wps:spPr>
                              <wps:txbx>
                                <w:txbxContent>
                                  <w:p>
                                    <w:pPr>
                                      <w:spacing w:line="200" w:lineRule="exact"/>
                                      <w:jc w:val="center"/>
                                      <w:rPr>
                                        <w:sz w:val="15"/>
                                        <w:szCs w:val="15"/>
                                      </w:rPr>
                                    </w:pPr>
                                    <w:r>
                                      <w:rPr>
                                        <w:rFonts w:hint="eastAsia"/>
                                        <w:sz w:val="15"/>
                                        <w:szCs w:val="15"/>
                                      </w:rPr>
                                      <w:t>原料选择</w:t>
                                    </w:r>
                                  </w:p>
                                </w:txbxContent>
                              </wps:txbx>
                              <wps:bodyPr rot="0" vert="horz" wrap="square" lIns="91440" tIns="45720" rIns="91440" bIns="45720" anchor="t" anchorCtr="0" upright="1">
                                <a:noAutofit/>
                              </wps:bodyPr>
                            </wps:wsp>
                            <wps:wsp>
                              <wps:cNvPr id="10" name="Rectangle 14"/>
                              <wps:cNvSpPr>
                                <a:spLocks noChangeArrowheads="1"/>
                              </wps:cNvSpPr>
                              <wps:spPr bwMode="auto">
                                <a:xfrm>
                                  <a:off x="1889127" y="27940"/>
                                  <a:ext cx="667385" cy="253365"/>
                                </a:xfrm>
                                <a:prstGeom prst="rect">
                                  <a:avLst/>
                                </a:prstGeom>
                                <a:solidFill>
                                  <a:srgbClr val="FFFFFF"/>
                                </a:solidFill>
                                <a:ln w="9525">
                                  <a:solidFill>
                                    <a:srgbClr val="000000"/>
                                  </a:solidFill>
                                  <a:miter lim="800000"/>
                                </a:ln>
                              </wps:spPr>
                              <wps:txbx>
                                <w:txbxContent>
                                  <w:p>
                                    <w:pPr>
                                      <w:spacing w:line="200" w:lineRule="exact"/>
                                      <w:jc w:val="center"/>
                                      <w:rPr>
                                        <w:sz w:val="15"/>
                                        <w:szCs w:val="15"/>
                                      </w:rPr>
                                    </w:pPr>
                                    <w:r>
                                      <w:rPr>
                                        <w:rFonts w:hint="eastAsia"/>
                                        <w:sz w:val="15"/>
                                        <w:szCs w:val="15"/>
                                      </w:rPr>
                                      <w:t>烹煮</w:t>
                                    </w:r>
                                  </w:p>
                                </w:txbxContent>
                              </wps:txbx>
                              <wps:bodyPr rot="0" vert="horz" wrap="square" lIns="91440" tIns="45720" rIns="91440" bIns="45720" anchor="t" anchorCtr="0" upright="1">
                                <a:noAutofit/>
                              </wps:bodyPr>
                            </wps:wsp>
                            <wps:wsp>
                              <wps:cNvPr id="13" name="Rectangle 14"/>
                              <wps:cNvSpPr>
                                <a:spLocks noChangeArrowheads="1"/>
                              </wps:cNvSpPr>
                              <wps:spPr bwMode="auto">
                                <a:xfrm>
                                  <a:off x="2851787" y="27940"/>
                                  <a:ext cx="697865" cy="253365"/>
                                </a:xfrm>
                                <a:prstGeom prst="rect">
                                  <a:avLst/>
                                </a:prstGeom>
                                <a:solidFill>
                                  <a:srgbClr val="FFFFFF"/>
                                </a:solidFill>
                                <a:ln w="9525">
                                  <a:solidFill>
                                    <a:srgbClr val="000000"/>
                                  </a:solidFill>
                                  <a:miter lim="800000"/>
                                </a:ln>
                              </wps:spPr>
                              <wps:txbx>
                                <w:txbxContent>
                                  <w:p>
                                    <w:pPr>
                                      <w:spacing w:line="200" w:lineRule="exact"/>
                                      <w:jc w:val="center"/>
                                      <w:rPr>
                                        <w:sz w:val="15"/>
                                        <w:szCs w:val="15"/>
                                      </w:rPr>
                                    </w:pPr>
                                    <w:r>
                                      <w:rPr>
                                        <w:rFonts w:hint="eastAsia"/>
                                        <w:sz w:val="15"/>
                                        <w:szCs w:val="15"/>
                                      </w:rPr>
                                      <w:t>炒制</w:t>
                                    </w:r>
                                  </w:p>
                                </w:txbxContent>
                              </wps:txbx>
                              <wps:bodyPr rot="0" vert="horz" wrap="square" lIns="91440" tIns="45720" rIns="91440" bIns="45720" anchor="t" anchorCtr="0" upright="1">
                                <a:noAutofit/>
                              </wps:bodyPr>
                            </wps:wsp>
                            <wps:wsp>
                              <wps:cNvPr id="14" name="AutoShape 15"/>
                              <wps:cNvCnPr>
                                <a:cxnSpLocks noChangeShapeType="1"/>
                                <a:stCxn id="3" idx="3"/>
                              </wps:cNvCnPr>
                              <wps:spPr bwMode="auto">
                                <a:xfrm>
                                  <a:off x="1621791" y="154940"/>
                                  <a:ext cx="267335" cy="635"/>
                                </a:xfrm>
                                <a:prstGeom prst="straightConnector1">
                                  <a:avLst/>
                                </a:prstGeom>
                                <a:noFill/>
                                <a:ln w="9525">
                                  <a:solidFill>
                                    <a:srgbClr val="000000"/>
                                  </a:solidFill>
                                  <a:round/>
                                  <a:tailEnd type="triangle" w="med" len="med"/>
                                </a:ln>
                              </wps:spPr>
                              <wps:bodyPr/>
                            </wps:wsp>
                            <wps:wsp>
                              <wps:cNvPr id="16" name="AutoShape 15"/>
                              <wps:cNvCnPr>
                                <a:cxnSpLocks noChangeShapeType="1"/>
                                <a:stCxn id="10" idx="3"/>
                                <a:endCxn id="13" idx="1"/>
                              </wps:cNvCnPr>
                              <wps:spPr bwMode="auto">
                                <a:xfrm>
                                  <a:off x="2556512" y="154940"/>
                                  <a:ext cx="295275" cy="635"/>
                                </a:xfrm>
                                <a:prstGeom prst="straightConnector1">
                                  <a:avLst/>
                                </a:prstGeom>
                                <a:noFill/>
                                <a:ln w="9525">
                                  <a:solidFill>
                                    <a:srgbClr val="000000"/>
                                  </a:solidFill>
                                  <a:round/>
                                  <a:tailEnd type="triangle" w="med" len="med"/>
                                </a:ln>
                              </wps:spPr>
                              <wps:bodyPr/>
                            </wps:wsp>
                            <wps:wsp>
                              <wps:cNvPr id="15" name="Rectangle 14"/>
                              <wps:cNvSpPr>
                                <a:spLocks noChangeArrowheads="1"/>
                              </wps:cNvSpPr>
                              <wps:spPr bwMode="auto">
                                <a:xfrm>
                                  <a:off x="3844745" y="27940"/>
                                  <a:ext cx="697865" cy="253365"/>
                                </a:xfrm>
                                <a:prstGeom prst="rect">
                                  <a:avLst/>
                                </a:prstGeom>
                                <a:solidFill>
                                  <a:srgbClr val="FFFFFF"/>
                                </a:solidFill>
                                <a:ln w="9525">
                                  <a:solidFill>
                                    <a:srgbClr val="000000"/>
                                  </a:solidFill>
                                  <a:miter lim="800000"/>
                                </a:ln>
                              </wps:spPr>
                              <wps:txbx>
                                <w:txbxContent>
                                  <w:p>
                                    <w:pPr>
                                      <w:spacing w:line="200" w:lineRule="exact"/>
                                      <w:jc w:val="center"/>
                                      <w:rPr>
                                        <w:sz w:val="15"/>
                                        <w:szCs w:val="15"/>
                                      </w:rPr>
                                    </w:pPr>
                                    <w:r>
                                      <w:rPr>
                                        <w:rFonts w:hint="eastAsia"/>
                                        <w:sz w:val="15"/>
                                        <w:szCs w:val="15"/>
                                      </w:rPr>
                                      <w:t>收汁出锅</w:t>
                                    </w:r>
                                  </w:p>
                                </w:txbxContent>
                              </wps:txbx>
                              <wps:bodyPr rot="0" vert="horz" wrap="square" lIns="91440" tIns="45720" rIns="91440" bIns="45720" anchor="t" anchorCtr="0" upright="1">
                                <a:noAutofit/>
                              </wps:bodyPr>
                            </wps:wsp>
                            <wps:wsp>
                              <wps:cNvPr id="18" name="AutoShape 15"/>
                              <wps:cNvCnPr>
                                <a:cxnSpLocks noChangeShapeType="1"/>
                                <a:stCxn id="13" idx="3"/>
                                <a:endCxn id="15" idx="1"/>
                              </wps:cNvCnPr>
                              <wps:spPr bwMode="auto">
                                <a:xfrm>
                                  <a:off x="3549652" y="154623"/>
                                  <a:ext cx="295093" cy="0"/>
                                </a:xfrm>
                                <a:prstGeom prst="straightConnector1">
                                  <a:avLst/>
                                </a:prstGeom>
                                <a:noFill/>
                                <a:ln w="9525">
                                  <a:solidFill>
                                    <a:srgbClr val="000000"/>
                                  </a:solidFill>
                                  <a:round/>
                                  <a:tailEnd type="triangle" w="med" len="med"/>
                                </a:ln>
                              </wps:spPr>
                              <wps:bodyPr/>
                            </wps:wsp>
                          </wpc:wpc>
                        </a:graphicData>
                      </a:graphic>
                    </wp:inline>
                  </w:drawing>
                </mc:Choice>
                <mc:Fallback>
                  <w:pict>
                    <v:group id="_x0000_s1026" o:spid="_x0000_s1026" o:spt="203" style="height:25.05pt;width:374.25pt;" coordsize="4752975,318135" editas="canvas" o:gfxdata="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">
                      <o:lock v:ext="edit" aspectratio="f"/>
                      <v:shape id="_x0000_s1026" o:spid="_x0000_s1026" style="position:absolute;left:0;top:0;height:318135;width:4752975;" filled="f" stroked="f" coordsize="21600,21600" o:gfxdata="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">
                        <v:fill on="f" focussize="0,0"/>
                        <v:stroke on="f"/>
                        <v:imagedata o:title=""/>
                        <o:lock v:ext="edit" aspectratio="f"/>
                      </v:shape>
                      <v:rect id="Rectangle 14" o:spid="_x0000_s1026" o:spt="1" style="position:absolute;left:986156;top:27940;height:253365;width:635635;" fillcolor="#FFFFFF" filled="t" stroked="t" coordsize="21600,21600" o:gfxdata="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bbJeX1AAAAAQBAAAPAAAAAAAAAAEAIAAAACIAAABkcnMvZG93bnJldi54&#10;bWxQSwECFAAUAAAACACHTuJACsrv5DcCAACGBAAADgAAAAAAAAABACAAAAAjAQAAZHJzL2Uyb0Rv&#10;Yy54bWxQSwUGAAAAAAYABgBZAQAAzAU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预处理</w:t>
                              </w:r>
                            </w:p>
                          </w:txbxContent>
                        </v:textbox>
                      </v:rect>
                      <v:shape id="AutoShape 15" o:spid="_x0000_s1026" o:spt="32" type="#_x0000_t32" style="position:absolute;left:718821;top:154940;height:635;width:267335;" filled="f" stroked="t" coordsize="21600,21600" o:gfxdata="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fxzutcAAAAEAQAADwAAAAAAAAAB&#10;ACAAAAAiAAAAZHJzL2Rvd25yZXYueG1sUEsBAhQAFAAAAAgAh07iQIodLM0RAgAAHwQAAA4AAAAA&#10;AAAAAQAgAAAAJgEAAGRycy9lMm9Eb2MueG1sUEsFBgAAAAAGAAYAWQEAAKkFAAAAAA==&#10;">
                        <v:fill on="f" focussize="0,0"/>
                        <v:stroke color="#000000" joinstyle="round" endarrow="block"/>
                        <v:imagedata o:title=""/>
                        <o:lock v:ext="edit" aspectratio="f"/>
                      </v:shape>
                      <v:rect id="Rectangle 14" o:spid="_x0000_s1026" o:spt="1" style="position:absolute;left:38736;top:27940;height:253365;width:680085;" fillcolor="#FFFFFF" filled="t" stroked="t" coordsize="21600,21600" o:gfxdata="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tsl5fUAAAABAEAAA8AAAAAAAAAAQAgAAAAIgAAAGRycy9kb3ducmV2Lnht&#10;bFBLAQIUABQAAAAIAIdO4kCsloccNgIAAIUEAAAOAAAAAAAAAAEAIAAAACMBAABkcnMvZTJvRG9j&#10;LnhtbFBLBQYAAAAABgAGAFkBAADLBQ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原料选择</w:t>
                              </w:r>
                            </w:p>
                          </w:txbxContent>
                        </v:textbox>
                      </v:rect>
                      <v:rect id="Rectangle 14" o:spid="_x0000_s1026" o:spt="1" style="position:absolute;left:1889127;top:27940;height:253365;width:667385;" fillcolor="#FFFFFF" filled="t" stroked="t" coordsize="21600,21600" o:gfxdata="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G2yXl9QAAAAEAQAADwAAAAAAAAABACAAAAAiAAAAZHJzL2Rvd25yZXYu&#10;eG1sUEsBAhQAFAAAAAgAh07iQI7Rkmc4AgAAiAQAAA4AAAAAAAAAAQAgAAAAIwEAAGRycy9lMm9E&#10;b2MueG1sUEsFBgAAAAAGAAYAWQEAAM0FA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烹煮</w:t>
                              </w:r>
                            </w:p>
                          </w:txbxContent>
                        </v:textbox>
                      </v:rect>
                      <v:rect id="Rectangle 14" o:spid="_x0000_s1026" o:spt="1" style="position:absolute;left:2851787;top:27940;height:253365;width:697865;" fillcolor="#FFFFFF" filled="t" stroked="t" coordsize="21600,21600" o:gfxdata="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tsl5fUAAAABAEAAA8AAAAAAAAAAQAgAAAAIgAAAGRycy9kb3ducmV2Lnht&#10;bFBLAQIUABQAAAAIAIdO4kB7Fc6ZNgIAAIgEAAAOAAAAAAAAAAEAIAAAACMBAABkcnMvZTJvRG9j&#10;LnhtbFBLBQYAAAAABgAGAFkBAADLBQ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炒制</w:t>
                              </w:r>
                            </w:p>
                          </w:txbxContent>
                        </v:textbox>
                      </v:rect>
                      <v:shape id="AutoShape 15" o:spid="_x0000_s1026" o:spt="32" type="#_x0000_t32" style="position:absolute;left:1621791;top:154940;height:635;width:267335;" filled="f" stroked="t" coordsize="21600,21600" o:gfxdata="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h/HO61wAAAAQBAAAPAAAAAAAAAAEAIAAAACIA&#10;AABkcnMvZG93bnJldi54bWxQSwECFAAUAAAACACHTuJAV/NlmwoCAAAHBAAADgAAAAAAAAABACAA&#10;AAAmAQAAZHJzL2Uyb0RvYy54bWxQSwUGAAAAAAYABgBZAQAAogUAAAAA&#10;">
                        <v:fill on="f" focussize="0,0"/>
                        <v:stroke color="#000000" joinstyle="round" endarrow="block"/>
                        <v:imagedata o:title=""/>
                        <o:lock v:ext="edit" aspectratio="f"/>
                      </v:shape>
                      <v:shape id="AutoShape 15" o:spid="_x0000_s1026" o:spt="32" type="#_x0000_t32" style="position:absolute;left:2556512;top:154940;height:635;width:295275;" filled="f" stroked="t" coordsize="21600,21600" o:gfxdata="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H8c7rXAAAABAEAAA8AAAAAAAAA&#10;AQAgAAAAIgAAAGRycy9kb3ducmV2LnhtbFBLAQIUABQAAAAIAIdO4kBjaAu4EgIAACMEAAAOAAAA&#10;AAAAAAEAIAAAACYBAABkcnMvZTJvRG9jLnhtbFBLBQYAAAAABgAGAFkBAACqBQAAAAA=&#10;">
                        <v:fill on="f" focussize="0,0"/>
                        <v:stroke color="#000000" joinstyle="round" endarrow="block"/>
                        <v:imagedata o:title=""/>
                        <o:lock v:ext="edit" aspectratio="f"/>
                      </v:shape>
                      <v:rect id="Rectangle 14" o:spid="_x0000_s1026" o:spt="1" style="position:absolute;left:3844745;top:27940;height:253365;width:697865;" fillcolor="#FFFFFF" filled="t" stroked="t" coordsize="21600,21600" o:gfxdata="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tsl5fUAAAABAEAAA8AAAAAAAAAAQAgAAAAIgAAAGRycy9kb3ducmV2Lnht&#10;bFBLAQIUABQAAAAIAIdO4kBpmSfwNgIAAIgEAAAOAAAAAAAAAAEAIAAAACMBAABkcnMvZTJvRG9j&#10;LnhtbFBLBQYAAAAABgAGAFkBAADLBQAAAAA=&#10;">
                        <v:fill on="t" focussize="0,0"/>
                        <v:stroke color="#000000" miterlimit="8" joinstyle="miter"/>
                        <v:imagedata o:title=""/>
                        <o:lock v:ext="edit" aspectratio="f"/>
                        <v:textbox>
                          <w:txbxContent>
                            <w:p>
                              <w:pPr>
                                <w:spacing w:line="200" w:lineRule="exact"/>
                                <w:jc w:val="center"/>
                                <w:rPr>
                                  <w:sz w:val="15"/>
                                  <w:szCs w:val="15"/>
                                </w:rPr>
                              </w:pPr>
                              <w:r>
                                <w:rPr>
                                  <w:rFonts w:hint="eastAsia"/>
                                  <w:sz w:val="15"/>
                                  <w:szCs w:val="15"/>
                                </w:rPr>
                                <w:t>收汁出锅</w:t>
                              </w:r>
                            </w:p>
                          </w:txbxContent>
                        </v:textbox>
                      </v:rect>
                      <v:shape id="AutoShape 15" o:spid="_x0000_s1026" o:spt="32" type="#_x0000_t32" style="position:absolute;left:3549652;top:154623;height:0;width:295093;" filled="f" stroked="t" coordsize="21600,21600" o:gfxdata="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h/HO61wAAAAQBAAAPAAAAAAAAAAEA&#10;IAAAACIAAABkcnMvZG93bnJldi54bWxQSwECFAAUAAAACACHTuJAGsxQLBACAAAhBAAADgAAAAAA&#10;AAABACAAAAAmAQAAZHJzL2Uyb0RvYy54bWxQSwUGAAAAAAYABgBZAQAAqAUAAAAA&#10;">
                        <v:fill on="f" focussize="0,0"/>
                        <v:stroke color="#000000" joinstyle="round" endarrow="block"/>
                        <v:imagedata o:title=""/>
                        <o:lock v:ext="edit" aspectratio="f"/>
                      </v:shape>
                      <w10:wrap type="none"/>
                      <w10:anchorlock/>
                    </v:group>
                  </w:pict>
                </mc:Fallback>
              </mc:AlternateContent>
            </w:r>
          </w:p>
        </w:tc>
      </w:tr>
    </w:tbl>
    <w:p>
      <w:pPr>
        <w:pStyle w:val="116"/>
        <w:spacing w:before="120" w:after="120"/>
      </w:pPr>
      <w:r>
        <w:rPr>
          <w:rFonts w:hint="eastAsia"/>
        </w:rPr>
        <w:t>广西</w:t>
      </w:r>
      <w:r>
        <w:t>柠檬鸭炒制工艺流程图</w:t>
      </w:r>
    </w:p>
    <w:p>
      <w:pPr>
        <w:pStyle w:val="58"/>
        <w:ind w:firstLine="420"/>
      </w:pPr>
    </w:p>
    <w:p>
      <w:pPr>
        <w:pStyle w:val="107"/>
        <w:spacing w:before="120" w:after="120"/>
      </w:pPr>
      <w:r>
        <w:rPr>
          <w:rFonts w:hint="eastAsia"/>
        </w:rPr>
        <w:t>工艺</w:t>
      </w:r>
      <w:r>
        <w:t>操作</w:t>
      </w:r>
    </w:p>
    <w:p>
      <w:pPr>
        <w:pStyle w:val="67"/>
        <w:spacing w:before="120" w:after="120"/>
      </w:pPr>
      <w:r>
        <w:rPr>
          <w:rFonts w:hint="eastAsia"/>
        </w:rPr>
        <w:t>原料</w:t>
      </w:r>
      <w:r>
        <w:t>选择</w:t>
      </w:r>
    </w:p>
    <w:p>
      <w:pPr>
        <w:pStyle w:val="96"/>
      </w:pPr>
      <w:r>
        <w:rPr>
          <w:rFonts w:hint="eastAsia"/>
        </w:rPr>
        <w:t>主料</w:t>
      </w:r>
    </w:p>
    <w:p>
      <w:pPr>
        <w:pStyle w:val="58"/>
        <w:ind w:firstLine="420"/>
      </w:pPr>
      <w:r>
        <w:rPr>
          <w:rFonts w:hint="eastAsia"/>
        </w:rPr>
        <w:t>宜选择</w:t>
      </w:r>
      <w:bookmarkStart w:id="45" w:name="_Hlk165356425"/>
      <w:bookmarkStart w:id="46" w:name="_Hlk165355470"/>
      <w:r>
        <w:rPr>
          <w:rFonts w:hint="eastAsia"/>
        </w:rPr>
        <w:t>广西</w:t>
      </w:r>
      <w:r>
        <w:t>本地</w:t>
      </w:r>
      <w:r>
        <w:rPr>
          <w:rFonts w:hint="eastAsia"/>
        </w:rPr>
        <w:t>农家散养青壮</w:t>
      </w:r>
      <w:bookmarkEnd w:id="45"/>
      <w:r>
        <w:rPr>
          <w:rFonts w:hAnsi="宋体" w:cs="宋体"/>
        </w:rPr>
        <w:t>樱桃鸭</w:t>
      </w:r>
      <w:r>
        <w:rPr>
          <w:rFonts w:hint="eastAsia" w:hAnsi="宋体" w:cs="宋体"/>
        </w:rPr>
        <w:t>或</w:t>
      </w:r>
      <w:r>
        <w:rPr>
          <w:rFonts w:hAnsi="宋体" w:cs="宋体"/>
        </w:rPr>
        <w:t>麻鸭</w:t>
      </w:r>
      <w:bookmarkEnd w:id="46"/>
      <w:r>
        <w:rPr>
          <w:rFonts w:hint="eastAsia"/>
        </w:rPr>
        <w:t>，</w:t>
      </w:r>
      <w:bookmarkStart w:id="47" w:name="_Hlk165355478"/>
      <w:r>
        <w:rPr>
          <w:rFonts w:hint="eastAsia"/>
        </w:rPr>
        <w:t>体重在2.25</w:t>
      </w:r>
      <w:r>
        <w:rPr>
          <w:rFonts w:hint="eastAsia"/>
          <w:vertAlign w:val="superscript"/>
        </w:rPr>
        <w:t xml:space="preserve"> </w:t>
      </w:r>
      <w:r>
        <w:rPr>
          <w:rFonts w:hint="eastAsia"/>
        </w:rPr>
        <w:t>kg～3.00</w:t>
      </w:r>
      <w:r>
        <w:rPr>
          <w:rFonts w:hint="eastAsia"/>
          <w:vertAlign w:val="superscript"/>
        </w:rPr>
        <w:t xml:space="preserve"> </w:t>
      </w:r>
      <w:r>
        <w:rPr>
          <w:rFonts w:hint="eastAsia"/>
        </w:rPr>
        <w:t>kg</w:t>
      </w:r>
      <w:bookmarkEnd w:id="47"/>
      <w:r>
        <w:rPr>
          <w:rFonts w:hint="eastAsia"/>
        </w:rPr>
        <w:t>。</w:t>
      </w:r>
      <w:bookmarkStart w:id="48" w:name="_Hlk165356509"/>
      <w:r>
        <w:rPr>
          <w:rFonts w:hint="eastAsia"/>
        </w:rPr>
        <w:t>待宰的鸭应健康良好，并附有产地动物卫生监督机构出具的动物检疫合格证明，经宰杀后的肉产品应符合GB 2707的规定</w:t>
      </w:r>
      <w:bookmarkEnd w:id="48"/>
      <w:r>
        <w:rPr>
          <w:rFonts w:hint="eastAsia"/>
        </w:rPr>
        <w:t>。</w:t>
      </w:r>
    </w:p>
    <w:p>
      <w:pPr>
        <w:pStyle w:val="96"/>
      </w:pPr>
      <w:r>
        <w:rPr>
          <w:rFonts w:hint="eastAsia"/>
        </w:rPr>
        <w:t>辅料</w:t>
      </w:r>
    </w:p>
    <w:p>
      <w:pPr>
        <w:pStyle w:val="169"/>
      </w:pPr>
      <w:r>
        <w:rPr>
          <w:rFonts w:hint="eastAsia"/>
        </w:rPr>
        <w:t>选择符合</w:t>
      </w:r>
      <w:r>
        <w:t>GB 2714</w:t>
      </w:r>
      <w:r>
        <w:rPr>
          <w:rFonts w:hint="eastAsia"/>
        </w:rPr>
        <w:t>规定的</w:t>
      </w:r>
      <w:bookmarkStart w:id="49" w:name="_Hlk165355767"/>
      <w:r>
        <w:rPr>
          <w:rFonts w:hint="eastAsia" w:hAnsi="宋体" w:cs="宋体"/>
        </w:rPr>
        <w:t>腌制</w:t>
      </w:r>
      <w:r>
        <w:rPr>
          <w:rFonts w:hint="eastAsia"/>
        </w:rPr>
        <w:t>酸辣椒</w:t>
      </w:r>
      <w:bookmarkEnd w:id="49"/>
      <w:r>
        <w:rPr>
          <w:rFonts w:hint="eastAsia"/>
        </w:rPr>
        <w:t>（</w:t>
      </w:r>
      <w:bookmarkStart w:id="50" w:name="_Hlk165355707"/>
      <w:r>
        <w:rPr>
          <w:rFonts w:hint="eastAsia"/>
        </w:rPr>
        <w:t>广西本地白椒</w:t>
      </w:r>
      <w:bookmarkEnd w:id="50"/>
      <w:r>
        <w:rPr>
          <w:rFonts w:hint="eastAsia"/>
        </w:rPr>
        <w:t>）和腌制3年以上</w:t>
      </w:r>
      <w:r>
        <w:rPr>
          <w:rFonts w:hint="eastAsia" w:hAnsi="宋体" w:cs="宋体"/>
        </w:rPr>
        <w:t>的</w:t>
      </w:r>
      <w:r>
        <w:rPr>
          <w:rFonts w:hint="eastAsia"/>
        </w:rPr>
        <w:t>酸柠檬（</w:t>
      </w:r>
      <w:bookmarkStart w:id="51" w:name="_Hlk165355777"/>
      <w:r>
        <w:rPr>
          <w:rFonts w:hint="eastAsia"/>
        </w:rPr>
        <w:t>广西本地土柠檬</w:t>
      </w:r>
      <w:bookmarkEnd w:id="51"/>
      <w:r>
        <w:rPr>
          <w:rFonts w:hint="eastAsia"/>
        </w:rPr>
        <w:t>），见图</w:t>
      </w:r>
      <w:r>
        <w:t>A.1</w:t>
      </w:r>
      <w:r>
        <w:rPr>
          <w:rFonts w:hint="eastAsia"/>
        </w:rPr>
        <w:t>和图A</w:t>
      </w:r>
      <w:r>
        <w:t>.2</w:t>
      </w:r>
      <w:r>
        <w:rPr>
          <w:rFonts w:hint="eastAsia"/>
        </w:rPr>
        <w:t>。</w:t>
      </w:r>
    </w:p>
    <w:p>
      <w:pPr>
        <w:pStyle w:val="169"/>
      </w:pPr>
      <w:r>
        <w:rPr>
          <w:rFonts w:hint="eastAsia"/>
        </w:rPr>
        <w:t>选择符合GH/T 1172规定的生姜。</w:t>
      </w:r>
    </w:p>
    <w:p>
      <w:pPr>
        <w:pStyle w:val="169"/>
      </w:pPr>
      <w:r>
        <w:rPr>
          <w:rFonts w:hint="eastAsia"/>
        </w:rPr>
        <w:t>选择符合</w:t>
      </w:r>
      <w:r>
        <w:t>GH/T 1194</w:t>
      </w:r>
      <w:r>
        <w:rPr>
          <w:rFonts w:hint="eastAsia"/>
        </w:rPr>
        <w:t>规定的蒜米</w:t>
      </w:r>
      <w:r>
        <w:t>。</w:t>
      </w:r>
    </w:p>
    <w:p>
      <w:pPr>
        <w:pStyle w:val="169"/>
      </w:pPr>
      <w:r>
        <w:rPr>
          <w:rFonts w:hint="eastAsia"/>
        </w:rPr>
        <w:t>选择符合</w:t>
      </w:r>
      <w:r>
        <w:t>GB 2757</w:t>
      </w:r>
      <w:r>
        <w:rPr>
          <w:rFonts w:hint="eastAsia"/>
        </w:rPr>
        <w:t>和有关规定的</w:t>
      </w:r>
      <w:r>
        <w:t>白酒。</w:t>
      </w:r>
    </w:p>
    <w:p>
      <w:pPr>
        <w:pStyle w:val="169"/>
      </w:pPr>
      <w:r>
        <w:rPr>
          <w:rFonts w:hint="eastAsia"/>
        </w:rPr>
        <w:t>选择符合</w:t>
      </w:r>
      <w:r>
        <w:t>GB 2717</w:t>
      </w:r>
      <w:r>
        <w:rPr>
          <w:rFonts w:hint="eastAsia"/>
        </w:rPr>
        <w:t>规定的酱油</w:t>
      </w:r>
      <w:r>
        <w:t>。</w:t>
      </w:r>
    </w:p>
    <w:p>
      <w:pPr>
        <w:pStyle w:val="169"/>
      </w:pPr>
      <w:r>
        <w:rPr>
          <w:rFonts w:hint="eastAsia"/>
        </w:rPr>
        <w:t>宜选择符合</w:t>
      </w:r>
      <w:r>
        <w:t>SB/T 10170</w:t>
      </w:r>
      <w:r>
        <w:rPr>
          <w:rFonts w:hint="eastAsia"/>
        </w:rPr>
        <w:t>规定的桂林腐乳</w:t>
      </w:r>
      <w:r>
        <w:t>。</w:t>
      </w:r>
    </w:p>
    <w:p>
      <w:pPr>
        <w:pStyle w:val="169"/>
      </w:pPr>
      <w:r>
        <w:rPr>
          <w:rFonts w:hint="eastAsia"/>
        </w:rPr>
        <w:t>选择</w:t>
      </w:r>
      <w:r>
        <w:t>符合DBS45/ 038</w:t>
      </w:r>
      <w:r>
        <w:rPr>
          <w:rFonts w:hint="eastAsia"/>
        </w:rPr>
        <w:t>的黄皮酱。</w:t>
      </w:r>
    </w:p>
    <w:p>
      <w:pPr>
        <w:pStyle w:val="169"/>
      </w:pPr>
      <w:r>
        <w:rPr>
          <w:rFonts w:hint="eastAsia"/>
        </w:rPr>
        <w:t>宜选择符合GB 13104规定的</w:t>
      </w:r>
      <w:bookmarkStart w:id="52" w:name="_Hlk165356053"/>
      <w:r>
        <w:rPr>
          <w:rFonts w:hint="eastAsia"/>
        </w:rPr>
        <w:t>广西白砂糖</w:t>
      </w:r>
      <w:bookmarkEnd w:id="52"/>
      <w:r>
        <w:t>。</w:t>
      </w:r>
    </w:p>
    <w:p>
      <w:pPr>
        <w:pStyle w:val="169"/>
      </w:pPr>
      <w:r>
        <w:rPr>
          <w:rFonts w:hint="eastAsia"/>
        </w:rPr>
        <w:t>选择</w:t>
      </w:r>
      <w:r>
        <w:t>符合GB/T 7900</w:t>
      </w:r>
      <w:r>
        <w:rPr>
          <w:rFonts w:hint="eastAsia"/>
        </w:rPr>
        <w:t>规定的白胡椒</w:t>
      </w:r>
      <w:r>
        <w:t>。</w:t>
      </w:r>
    </w:p>
    <w:p>
      <w:pPr>
        <w:pStyle w:val="169"/>
      </w:pPr>
      <w:r>
        <w:rPr>
          <w:rFonts w:hint="eastAsia"/>
        </w:rPr>
        <w:t>选择符合GB 2716规定的食用植物油。</w:t>
      </w:r>
    </w:p>
    <w:p>
      <w:pPr>
        <w:pStyle w:val="169"/>
      </w:pPr>
      <w:r>
        <w:rPr>
          <w:rFonts w:hint="eastAsia"/>
        </w:rPr>
        <w:t>选择符合GB 2721规定的</w:t>
      </w:r>
      <w:r>
        <w:t>食用盐。</w:t>
      </w:r>
    </w:p>
    <w:p>
      <w:pPr>
        <w:pStyle w:val="169"/>
      </w:pPr>
      <w:r>
        <w:rPr>
          <w:rFonts w:hint="eastAsia"/>
        </w:rPr>
        <w:t>选择符合</w:t>
      </w:r>
      <w:r>
        <w:t>GB 5749</w:t>
      </w:r>
      <w:r>
        <w:rPr>
          <w:rFonts w:hint="eastAsia"/>
        </w:rPr>
        <w:t>规定的加工用水</w:t>
      </w:r>
      <w:r>
        <w:t>。</w:t>
      </w:r>
    </w:p>
    <w:p>
      <w:pPr>
        <w:pStyle w:val="169"/>
      </w:pPr>
      <w:r>
        <w:rPr>
          <w:rFonts w:hint="eastAsia"/>
        </w:rPr>
        <w:t>其他辅料</w:t>
      </w:r>
      <w:bookmarkStart w:id="53" w:name="_Hlk165356096"/>
      <w:r>
        <w:rPr>
          <w:rFonts w:hint="eastAsia"/>
        </w:rPr>
        <w:t>应符合国家食品安全的有关规定</w:t>
      </w:r>
      <w:bookmarkEnd w:id="53"/>
      <w:r>
        <w:rPr>
          <w:rFonts w:hint="eastAsia"/>
        </w:rPr>
        <w:t>。</w:t>
      </w:r>
    </w:p>
    <w:p>
      <w:pPr>
        <w:pStyle w:val="67"/>
        <w:spacing w:before="120" w:after="120"/>
      </w:pPr>
      <w:r>
        <w:rPr>
          <w:rFonts w:hint="eastAsia"/>
        </w:rPr>
        <w:t>预处理</w:t>
      </w:r>
    </w:p>
    <w:p>
      <w:pPr>
        <w:pStyle w:val="96"/>
      </w:pPr>
      <w:r>
        <w:rPr>
          <w:rFonts w:hint="eastAsia"/>
        </w:rPr>
        <w:t>鸭肉</w:t>
      </w:r>
    </w:p>
    <w:p>
      <w:pPr>
        <w:pStyle w:val="58"/>
        <w:ind w:firstLine="420"/>
      </w:pPr>
      <w:r>
        <w:rPr>
          <w:rFonts w:hint="eastAsia"/>
        </w:rPr>
        <w:t>将宰杀处理好的鸭子斩块（厚度</w:t>
      </w:r>
      <w:bookmarkStart w:id="54" w:name="_Hlk165356674"/>
      <w:r>
        <w:rPr>
          <w:rFonts w:hint="eastAsia"/>
        </w:rPr>
        <w:t>0.8</w:t>
      </w:r>
      <w:r>
        <w:rPr>
          <w:vertAlign w:val="superscript"/>
        </w:rPr>
        <w:t xml:space="preserve"> </w:t>
      </w:r>
      <w:r>
        <w:rPr>
          <w:rFonts w:hint="eastAsia"/>
        </w:rPr>
        <w:t>cm～1.0</w:t>
      </w:r>
      <w:r>
        <w:rPr>
          <w:vertAlign w:val="superscript"/>
        </w:rPr>
        <w:t xml:space="preserve"> </w:t>
      </w:r>
      <w:r>
        <w:rPr>
          <w:rFonts w:hint="eastAsia"/>
        </w:rPr>
        <w:t>cm</w:t>
      </w:r>
      <w:bookmarkEnd w:id="54"/>
      <w:r>
        <w:rPr>
          <w:rFonts w:hint="eastAsia"/>
        </w:rPr>
        <w:t>）、洗净、沥干，备用。</w:t>
      </w:r>
    </w:p>
    <w:p>
      <w:pPr>
        <w:pStyle w:val="96"/>
      </w:pPr>
      <w:r>
        <w:rPr>
          <w:rFonts w:hint="eastAsia" w:hAnsi="宋体" w:cs="宋体"/>
        </w:rPr>
        <w:t>腌制</w:t>
      </w:r>
      <w:r>
        <w:rPr>
          <w:rFonts w:hint="eastAsia"/>
        </w:rPr>
        <w:t>酸柠檬</w:t>
      </w:r>
    </w:p>
    <w:p>
      <w:pPr>
        <w:pStyle w:val="58"/>
        <w:ind w:firstLine="420"/>
      </w:pPr>
      <w:r>
        <w:rPr>
          <w:rFonts w:hint="eastAsia"/>
        </w:rPr>
        <w:t>洗净、剁碎。</w:t>
      </w:r>
    </w:p>
    <w:p>
      <w:pPr>
        <w:pStyle w:val="96"/>
      </w:pPr>
      <w:r>
        <w:rPr>
          <w:rFonts w:hint="eastAsia" w:hAnsi="宋体" w:cs="宋体"/>
        </w:rPr>
        <w:t>腌制</w:t>
      </w:r>
      <w:r>
        <w:rPr>
          <w:rFonts w:hint="eastAsia"/>
        </w:rPr>
        <w:t>酸辣椒</w:t>
      </w:r>
    </w:p>
    <w:p>
      <w:pPr>
        <w:pStyle w:val="58"/>
        <w:ind w:firstLine="420"/>
      </w:pPr>
      <w:r>
        <w:rPr>
          <w:rFonts w:hint="eastAsia"/>
        </w:rPr>
        <w:t>洗净，切段，长为</w:t>
      </w:r>
      <w:bookmarkStart w:id="55" w:name="_Hlk165356695"/>
      <w:r>
        <w:rPr>
          <w:rFonts w:hint="eastAsia"/>
        </w:rPr>
        <w:t>1</w:t>
      </w:r>
      <w:r>
        <w:t>.8</w:t>
      </w:r>
      <w:r>
        <w:rPr>
          <w:vertAlign w:val="superscript"/>
        </w:rPr>
        <w:t xml:space="preserve"> </w:t>
      </w:r>
      <w:r>
        <w:rPr>
          <w:rFonts w:hint="eastAsia"/>
        </w:rPr>
        <w:t>cm～2</w:t>
      </w:r>
      <w:r>
        <w:t>.2</w:t>
      </w:r>
      <w:r>
        <w:rPr>
          <w:vertAlign w:val="superscript"/>
        </w:rPr>
        <w:t xml:space="preserve"> </w:t>
      </w:r>
      <w:r>
        <w:rPr>
          <w:rFonts w:hint="eastAsia"/>
        </w:rPr>
        <w:t>cm</w:t>
      </w:r>
      <w:bookmarkEnd w:id="55"/>
      <w:r>
        <w:rPr>
          <w:rFonts w:hint="eastAsia"/>
        </w:rPr>
        <w:t>。</w:t>
      </w:r>
    </w:p>
    <w:p>
      <w:pPr>
        <w:pStyle w:val="96"/>
      </w:pPr>
      <w:r>
        <w:rPr>
          <w:rFonts w:hint="eastAsia"/>
        </w:rPr>
        <w:t>生姜</w:t>
      </w:r>
    </w:p>
    <w:p>
      <w:pPr>
        <w:pStyle w:val="58"/>
        <w:ind w:firstLine="420"/>
      </w:pPr>
      <w:r>
        <w:rPr>
          <w:rFonts w:hint="eastAsia"/>
        </w:rPr>
        <w:t>洗净切条，</w:t>
      </w:r>
      <w:bookmarkStart w:id="56" w:name="_Hlk165356710"/>
      <w:r>
        <w:rPr>
          <w:rFonts w:hint="eastAsia"/>
        </w:rPr>
        <w:t>姜条截面长宽在0</w:t>
      </w:r>
      <w:r>
        <w:t>.5</w:t>
      </w:r>
      <w:r>
        <w:rPr>
          <w:vertAlign w:val="superscript"/>
        </w:rPr>
        <w:t xml:space="preserve"> </w:t>
      </w:r>
      <w:r>
        <w:rPr>
          <w:rFonts w:hint="eastAsia"/>
        </w:rPr>
        <w:t>cm～0.6</w:t>
      </w:r>
      <w:r>
        <w:rPr>
          <w:vertAlign w:val="superscript"/>
        </w:rPr>
        <w:t xml:space="preserve"> </w:t>
      </w:r>
      <w:r>
        <w:rPr>
          <w:rFonts w:hint="eastAsia"/>
        </w:rPr>
        <w:t>cm</w:t>
      </w:r>
      <w:bookmarkEnd w:id="56"/>
      <w:r>
        <w:rPr>
          <w:rFonts w:hint="eastAsia"/>
        </w:rPr>
        <w:t>。</w:t>
      </w:r>
    </w:p>
    <w:p>
      <w:pPr>
        <w:pStyle w:val="96"/>
      </w:pPr>
      <w:r>
        <w:rPr>
          <w:rFonts w:hint="eastAsia"/>
        </w:rPr>
        <w:t>蒜米</w:t>
      </w:r>
    </w:p>
    <w:p>
      <w:pPr>
        <w:pStyle w:val="58"/>
        <w:ind w:firstLine="420"/>
      </w:pPr>
      <w:r>
        <w:rPr>
          <w:rFonts w:hint="eastAsia"/>
        </w:rPr>
        <w:t>洗净、沥干。</w:t>
      </w:r>
    </w:p>
    <w:p>
      <w:pPr>
        <w:pStyle w:val="67"/>
        <w:spacing w:before="120" w:after="120"/>
      </w:pPr>
      <w:r>
        <w:rPr>
          <w:rFonts w:hint="eastAsia"/>
        </w:rPr>
        <w:t>烹煮</w:t>
      </w:r>
    </w:p>
    <w:p>
      <w:pPr>
        <w:pStyle w:val="58"/>
        <w:ind w:firstLine="420"/>
      </w:pPr>
      <w:r>
        <w:rPr>
          <w:rFonts w:hint="eastAsia"/>
        </w:rPr>
        <w:t>锅中倒入植物油，加入生姜、腌制酸辣椒、蒜米炒爆（10±2）</w:t>
      </w:r>
      <w:r>
        <w:rPr>
          <w:vertAlign w:val="superscript"/>
        </w:rPr>
        <w:t xml:space="preserve"> </w:t>
      </w:r>
      <w:r>
        <w:rPr>
          <w:rFonts w:hint="eastAsia"/>
        </w:rPr>
        <w:t>s，</w:t>
      </w:r>
      <w:r>
        <w:t>炒出香味</w:t>
      </w:r>
      <w:r>
        <w:rPr>
          <w:rFonts w:hint="eastAsia"/>
        </w:rPr>
        <w:t>后倒入砍好的鸭块，加入白酒（</w:t>
      </w:r>
      <w:r>
        <w:t>250</w:t>
      </w:r>
      <w:r>
        <w:rPr>
          <w:rFonts w:hint="eastAsia"/>
        </w:rPr>
        <w:t>±</w:t>
      </w:r>
      <w:r>
        <w:t>5</w:t>
      </w:r>
      <w:r>
        <w:rPr>
          <w:rFonts w:hint="eastAsia"/>
        </w:rPr>
        <w:t>0）</w:t>
      </w:r>
      <w:r>
        <w:rPr>
          <w:vertAlign w:val="superscript"/>
        </w:rPr>
        <w:t xml:space="preserve"> </w:t>
      </w:r>
      <w:r>
        <w:rPr>
          <w:rFonts w:hint="eastAsia"/>
        </w:rPr>
        <w:t>g、</w:t>
      </w:r>
      <w:bookmarkStart w:id="57" w:name="_Hlk165357618"/>
      <w:r>
        <w:rPr>
          <w:rFonts w:hint="eastAsia"/>
        </w:rPr>
        <w:t>清水</w:t>
      </w:r>
      <w:bookmarkEnd w:id="57"/>
      <w:r>
        <w:rPr>
          <w:rFonts w:hint="eastAsia"/>
        </w:rPr>
        <w:t>（</w:t>
      </w:r>
      <w:r>
        <w:t>250</w:t>
      </w:r>
      <w:r>
        <w:rPr>
          <w:rFonts w:hint="eastAsia"/>
        </w:rPr>
        <w:t>±</w:t>
      </w:r>
      <w:r>
        <w:t>5</w:t>
      </w:r>
      <w:r>
        <w:rPr>
          <w:rFonts w:hint="eastAsia"/>
        </w:rPr>
        <w:t>0）</w:t>
      </w:r>
      <w:r>
        <w:rPr>
          <w:vertAlign w:val="superscript"/>
        </w:rPr>
        <w:t xml:space="preserve"> </w:t>
      </w:r>
      <w:r>
        <w:rPr>
          <w:rFonts w:hint="eastAsia"/>
        </w:rPr>
        <w:t>g，加盖焖煮（</w:t>
      </w:r>
      <w:r>
        <w:t>7</w:t>
      </w:r>
      <w:r>
        <w:rPr>
          <w:rFonts w:hint="eastAsia"/>
        </w:rPr>
        <w:t>±</w:t>
      </w:r>
      <w:r>
        <w:t>1</w:t>
      </w:r>
      <w:r>
        <w:rPr>
          <w:rFonts w:hint="eastAsia"/>
        </w:rPr>
        <w:t>）</w:t>
      </w:r>
      <w:r>
        <w:rPr>
          <w:vertAlign w:val="superscript"/>
        </w:rPr>
        <w:t xml:space="preserve"> </w:t>
      </w:r>
      <w:r>
        <w:rPr>
          <w:rFonts w:hint="eastAsia"/>
        </w:rPr>
        <w:t>m</w:t>
      </w:r>
      <w:r>
        <w:t>in</w:t>
      </w:r>
      <w:r>
        <w:rPr>
          <w:rFonts w:hint="eastAsia"/>
        </w:rPr>
        <w:t>。原料</w:t>
      </w:r>
      <w:r>
        <w:rPr>
          <w:rFonts w:hint="eastAsia"/>
          <w:lang w:bidi="ar"/>
        </w:rPr>
        <w:t>配比用量见</w:t>
      </w:r>
      <w:r>
        <w:rPr>
          <w:lang w:bidi="ar"/>
        </w:rPr>
        <w:t>附录B</w:t>
      </w:r>
      <w:r>
        <w:rPr>
          <w:rFonts w:hint="eastAsia"/>
          <w:lang w:bidi="ar"/>
        </w:rPr>
        <w:t>。</w:t>
      </w:r>
    </w:p>
    <w:p>
      <w:pPr>
        <w:pStyle w:val="67"/>
        <w:spacing w:before="120" w:after="120"/>
      </w:pPr>
      <w:r>
        <w:rPr>
          <w:rFonts w:hint="eastAsia"/>
        </w:rPr>
        <w:t>炒制</w:t>
      </w:r>
    </w:p>
    <w:p>
      <w:pPr>
        <w:pStyle w:val="58"/>
        <w:ind w:firstLine="420"/>
      </w:pPr>
      <w:r>
        <w:rPr>
          <w:rFonts w:hint="eastAsia"/>
        </w:rPr>
        <w:t>烹煮</w:t>
      </w:r>
      <w:r>
        <w:t>后</w:t>
      </w:r>
      <w:r>
        <w:rPr>
          <w:rFonts w:hint="eastAsia"/>
        </w:rPr>
        <w:t>的</w:t>
      </w:r>
      <w:r>
        <w:t>食材</w:t>
      </w:r>
      <w:r>
        <w:rPr>
          <w:rFonts w:hint="eastAsia"/>
        </w:rPr>
        <w:t>中火翻炒（</w:t>
      </w:r>
      <w:r>
        <w:t>5</w:t>
      </w:r>
      <w:r>
        <w:rPr>
          <w:rFonts w:hint="eastAsia"/>
        </w:rPr>
        <w:t>±</w:t>
      </w:r>
      <w:r>
        <w:t>1</w:t>
      </w:r>
      <w:r>
        <w:rPr>
          <w:rFonts w:hint="eastAsia"/>
        </w:rPr>
        <w:t>）</w:t>
      </w:r>
      <w:r>
        <w:rPr>
          <w:vertAlign w:val="superscript"/>
        </w:rPr>
        <w:t xml:space="preserve"> </w:t>
      </w:r>
      <w:r>
        <w:rPr>
          <w:rFonts w:hint="eastAsia"/>
        </w:rPr>
        <w:t>min，炒至图C</w:t>
      </w:r>
      <w:r>
        <w:t>.1</w:t>
      </w:r>
      <w:r>
        <w:rPr>
          <w:rFonts w:hint="eastAsia"/>
        </w:rPr>
        <w:t>的状态时加入调制好的酱料（</w:t>
      </w:r>
      <w:r>
        <w:t>250</w:t>
      </w:r>
      <w:r>
        <w:rPr>
          <w:rFonts w:hint="eastAsia"/>
        </w:rPr>
        <w:t>±</w:t>
      </w:r>
      <w:r>
        <w:t>5</w:t>
      </w:r>
      <w:r>
        <w:rPr>
          <w:rFonts w:hint="eastAsia"/>
        </w:rPr>
        <w:t>0）</w:t>
      </w:r>
      <w:r>
        <w:rPr>
          <w:vertAlign w:val="superscript"/>
        </w:rPr>
        <w:t xml:space="preserve"> </w:t>
      </w:r>
      <w:r>
        <w:rPr>
          <w:rFonts w:hint="eastAsia"/>
        </w:rPr>
        <w:t>g，大火颠锅爆炒（</w:t>
      </w:r>
      <w:r>
        <w:t>3</w:t>
      </w:r>
      <w:r>
        <w:rPr>
          <w:rFonts w:hint="eastAsia"/>
        </w:rPr>
        <w:t>±</w:t>
      </w:r>
      <w:r>
        <w:t>0.5</w:t>
      </w:r>
      <w:r>
        <w:rPr>
          <w:rFonts w:hint="eastAsia"/>
        </w:rPr>
        <w:t>）</w:t>
      </w:r>
      <w:r>
        <w:rPr>
          <w:vertAlign w:val="superscript"/>
        </w:rPr>
        <w:t xml:space="preserve"> </w:t>
      </w:r>
      <w:r>
        <w:rPr>
          <w:rFonts w:hint="eastAsia"/>
        </w:rPr>
        <w:t>min。</w:t>
      </w:r>
    </w:p>
    <w:p>
      <w:pPr>
        <w:pStyle w:val="181"/>
      </w:pPr>
      <w:r>
        <w:rPr>
          <w:rFonts w:hint="eastAsia"/>
        </w:rPr>
        <w:t>如锅底产生糊斑则换锅。</w:t>
      </w:r>
    </w:p>
    <w:p>
      <w:pPr>
        <w:pStyle w:val="58"/>
        <w:ind w:firstLine="420"/>
      </w:pPr>
    </w:p>
    <w:p>
      <w:pPr>
        <w:pStyle w:val="58"/>
        <w:ind w:firstLine="420"/>
      </w:pPr>
    </w:p>
    <w:p>
      <w:pPr>
        <w:pStyle w:val="67"/>
        <w:spacing w:before="120" w:after="120"/>
      </w:pPr>
      <w:r>
        <w:rPr>
          <w:rFonts w:hint="eastAsia"/>
        </w:rPr>
        <w:t>收汁出锅</w:t>
      </w:r>
    </w:p>
    <w:p>
      <w:pPr>
        <w:pStyle w:val="58"/>
        <w:ind w:firstLine="420"/>
      </w:pPr>
      <w:r>
        <w:rPr>
          <w:rFonts w:hint="eastAsia"/>
        </w:rPr>
        <w:t>爆炒结束后加入</w:t>
      </w:r>
      <w:r>
        <w:rPr>
          <w:rFonts w:hint="eastAsia" w:hAnsi="宋体" w:cs="宋体"/>
        </w:rPr>
        <w:t>腌制</w:t>
      </w:r>
      <w:r>
        <w:rPr>
          <w:rFonts w:hint="eastAsia"/>
        </w:rPr>
        <w:t>酸柠檬（</w:t>
      </w:r>
      <w:r>
        <w:t>250</w:t>
      </w:r>
      <w:r>
        <w:rPr>
          <w:rFonts w:hint="eastAsia"/>
        </w:rPr>
        <w:t>±</w:t>
      </w:r>
      <w:r>
        <w:t>5</w:t>
      </w:r>
      <w:r>
        <w:rPr>
          <w:rFonts w:hint="eastAsia"/>
        </w:rPr>
        <w:t>0）</w:t>
      </w:r>
      <w:r>
        <w:rPr>
          <w:vertAlign w:val="superscript"/>
        </w:rPr>
        <w:t xml:space="preserve"> </w:t>
      </w:r>
      <w:r>
        <w:rPr>
          <w:rFonts w:hint="eastAsia"/>
        </w:rPr>
        <w:t>g，再翻炒（</w:t>
      </w:r>
      <w:r>
        <w:t>2</w:t>
      </w:r>
      <w:r>
        <w:rPr>
          <w:rFonts w:hint="eastAsia"/>
        </w:rPr>
        <w:t>±</w:t>
      </w:r>
      <w:r>
        <w:t>0.5</w:t>
      </w:r>
      <w:r>
        <w:rPr>
          <w:rFonts w:hint="eastAsia"/>
        </w:rPr>
        <w:t>）</w:t>
      </w:r>
      <w:r>
        <w:rPr>
          <w:vertAlign w:val="superscript"/>
        </w:rPr>
        <w:t xml:space="preserve"> </w:t>
      </w:r>
      <w:r>
        <w:rPr>
          <w:rFonts w:hint="eastAsia"/>
        </w:rPr>
        <w:t>min，炒至图C</w:t>
      </w:r>
      <w:r>
        <w:t>.2</w:t>
      </w:r>
      <w:r>
        <w:rPr>
          <w:rFonts w:hint="eastAsia"/>
        </w:rPr>
        <w:t>的状态时</w:t>
      </w:r>
      <w:r>
        <w:t>收汁出锅装盘即可</w:t>
      </w:r>
      <w:r>
        <w:rPr>
          <w:rFonts w:hint="eastAsia"/>
        </w:rPr>
        <w:t>。</w:t>
      </w:r>
    </w:p>
    <w:p>
      <w:pPr>
        <w:pStyle w:val="106"/>
        <w:spacing w:before="240" w:after="240"/>
      </w:pPr>
      <w:r>
        <w:rPr>
          <w:rFonts w:hint="eastAsia"/>
        </w:rPr>
        <w:t>成品</w:t>
      </w:r>
      <w:r>
        <w:t>感官</w:t>
      </w:r>
    </w:p>
    <w:p>
      <w:pPr>
        <w:pStyle w:val="107"/>
        <w:spacing w:before="120" w:after="120"/>
      </w:pPr>
      <w:r>
        <w:rPr>
          <w:rFonts w:hint="eastAsia"/>
        </w:rPr>
        <w:t>色泽</w:t>
      </w:r>
    </w:p>
    <w:p>
      <w:pPr>
        <w:pStyle w:val="58"/>
        <w:ind w:firstLine="420"/>
      </w:pPr>
      <w:r>
        <w:rPr>
          <w:rFonts w:hint="eastAsia"/>
        </w:rPr>
        <w:t>色泽金黄，光泽透亮，色调自然，配色和谐，成品图见附录</w:t>
      </w:r>
      <w:r>
        <w:t>D</w:t>
      </w:r>
      <w:r>
        <w:rPr>
          <w:rFonts w:hint="eastAsia"/>
        </w:rPr>
        <w:t>。</w:t>
      </w:r>
    </w:p>
    <w:p>
      <w:pPr>
        <w:pStyle w:val="107"/>
        <w:spacing w:before="120" w:after="120"/>
      </w:pPr>
      <w:r>
        <w:rPr>
          <w:rFonts w:hint="eastAsia"/>
        </w:rPr>
        <w:t>形态</w:t>
      </w:r>
    </w:p>
    <w:p>
      <w:pPr>
        <w:pStyle w:val="58"/>
        <w:ind w:firstLine="420"/>
      </w:pPr>
      <w:r>
        <w:rPr>
          <w:rFonts w:hint="eastAsia"/>
        </w:rPr>
        <w:t>外观金黄，酱汁浓郁</w:t>
      </w:r>
      <w:r>
        <w:t>，</w:t>
      </w:r>
      <w:r>
        <w:rPr>
          <w:rFonts w:hint="eastAsia"/>
        </w:rPr>
        <w:t>造型美观。</w:t>
      </w:r>
    </w:p>
    <w:p>
      <w:pPr>
        <w:pStyle w:val="107"/>
        <w:spacing w:before="120" w:after="120"/>
      </w:pPr>
      <w:r>
        <w:rPr>
          <w:rFonts w:hint="eastAsia"/>
        </w:rPr>
        <w:t>滋味及</w:t>
      </w:r>
      <w:r>
        <w:t>气味</w:t>
      </w:r>
    </w:p>
    <w:p>
      <w:pPr>
        <w:pStyle w:val="58"/>
        <w:ind w:firstLine="420"/>
      </w:pPr>
      <w:r>
        <w:rPr>
          <w:rFonts w:hint="eastAsia"/>
        </w:rPr>
        <w:t>酸爽鲜香</w:t>
      </w:r>
      <w:r>
        <w:t>，</w:t>
      </w:r>
      <w:r>
        <w:rPr>
          <w:rFonts w:hint="eastAsia"/>
        </w:rPr>
        <w:t>香而不腻，酱香、柠檬香气浓郁，无焦糊味。</w:t>
      </w:r>
    </w:p>
    <w:p>
      <w:pPr>
        <w:pStyle w:val="107"/>
        <w:spacing w:before="120" w:after="120"/>
      </w:pPr>
      <w:r>
        <w:rPr>
          <w:rFonts w:hint="eastAsia"/>
        </w:rPr>
        <w:t>口感</w:t>
      </w:r>
    </w:p>
    <w:p>
      <w:pPr>
        <w:pStyle w:val="58"/>
        <w:ind w:firstLine="420"/>
      </w:pPr>
      <w:r>
        <w:rPr>
          <w:rFonts w:hint="eastAsia"/>
        </w:rPr>
        <w:t>鸭肉细腻，酸香可口，6分酸爽、3分咸香、1分微辣。</w:t>
      </w:r>
    </w:p>
    <w:p>
      <w:pPr>
        <w:pStyle w:val="106"/>
        <w:spacing w:before="240" w:after="240"/>
      </w:pPr>
      <w:r>
        <w:rPr>
          <w:rFonts w:hint="eastAsia"/>
        </w:rPr>
        <w:t>档案</w:t>
      </w:r>
      <w:r>
        <w:t>记录</w:t>
      </w:r>
    </w:p>
    <w:p>
      <w:pPr>
        <w:pStyle w:val="58"/>
        <w:ind w:firstLine="420"/>
      </w:pPr>
      <w:r>
        <w:rPr>
          <w:rFonts w:hint="eastAsia"/>
        </w:rPr>
        <w:t>建立制作过程的档案记录，内容包括：原料来源、原料验收、制作日期、制作数量、操作者签名等，并妥善保存2年以上。</w:t>
      </w:r>
    </w:p>
    <w:p>
      <w:pPr>
        <w:pStyle w:val="58"/>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linePitch="312" w:charSpace="0"/>
        </w:sectPr>
      </w:pPr>
    </w:p>
    <w:bookmarkEnd w:id="20"/>
    <w:p>
      <w:pPr>
        <w:pStyle w:val="200"/>
      </w:pPr>
      <w:bookmarkStart w:id="58" w:name="BookMark5"/>
    </w:p>
    <w:p>
      <w:pPr>
        <w:pStyle w:val="201"/>
      </w:pPr>
    </w:p>
    <w:p>
      <w:pPr>
        <w:pStyle w:val="78"/>
        <w:spacing w:after="120"/>
      </w:pPr>
      <w:r>
        <w:br w:type="textWrapping"/>
      </w:r>
      <w:r>
        <w:rPr>
          <w:rFonts w:hint="eastAsia"/>
        </w:rPr>
        <w:t>（资料性）</w:t>
      </w:r>
      <w:r>
        <w:br w:type="textWrapping"/>
      </w:r>
      <w:r>
        <w:rPr>
          <w:rFonts w:hint="eastAsia"/>
        </w:rPr>
        <w:t>原材料参考图</w:t>
      </w:r>
    </w:p>
    <w:p>
      <w:pPr>
        <w:pStyle w:val="80"/>
        <w:spacing w:before="120" w:after="120"/>
      </w:pPr>
      <w:bookmarkStart w:id="59" w:name="_Hlk165357514"/>
      <w:r>
        <w:rPr>
          <w:rFonts w:hint="eastAsia"/>
        </w:rPr>
        <w:t>腌制酸柠檬参考图</w:t>
      </w:r>
      <w:bookmarkEnd w:id="59"/>
    </w:p>
    <w:p>
      <w:pPr>
        <w:pStyle w:val="58"/>
        <w:ind w:firstLine="420"/>
      </w:pPr>
      <w:r>
        <w:rPr>
          <w:rFonts w:hint="eastAsia"/>
        </w:rPr>
        <w:t>见图</w:t>
      </w:r>
      <w:r>
        <w:t>A.1</w:t>
      </w:r>
      <w:r>
        <w:rPr>
          <w:rFonts w:hint="eastAsia"/>
        </w:rPr>
        <w:t>。</w:t>
      </w:r>
    </w:p>
    <w:tbl>
      <w:tblPr>
        <w:tblStyle w:val="2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3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344" w:type="dxa"/>
          </w:tcPr>
          <w:p>
            <w:pPr>
              <w:pStyle w:val="58"/>
              <w:ind w:firstLine="0" w:firstLineChars="0"/>
              <w:jc w:val="center"/>
            </w:pPr>
            <w:r>
              <w:rPr>
                <w:rFonts w:hint="eastAsia"/>
              </w:rPr>
              <w:drawing>
                <wp:inline distT="0" distB="0" distL="114300" distR="114300">
                  <wp:extent cx="4213225" cy="2808605"/>
                  <wp:effectExtent l="0" t="0" r="0" b="0"/>
                  <wp:docPr id="20" name="图片 20" descr="腌制柠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腌制柠檬"/>
                          <pic:cNvPicPr>
                            <a:picLocks noChangeAspect="1"/>
                          </pic:cNvPicPr>
                        </pic:nvPicPr>
                        <pic:blipFill>
                          <a:blip r:embed="rId31"/>
                          <a:stretch>
                            <a:fillRect/>
                          </a:stretch>
                        </pic:blipFill>
                        <pic:spPr>
                          <a:xfrm>
                            <a:off x="0" y="0"/>
                            <a:ext cx="4249956" cy="2833522"/>
                          </a:xfrm>
                          <a:prstGeom prst="rect">
                            <a:avLst/>
                          </a:prstGeom>
                        </pic:spPr>
                      </pic:pic>
                    </a:graphicData>
                  </a:graphic>
                </wp:inline>
              </w:drawing>
            </w:r>
          </w:p>
        </w:tc>
      </w:tr>
    </w:tbl>
    <w:p>
      <w:pPr>
        <w:pStyle w:val="85"/>
        <w:spacing w:before="120" w:after="120"/>
      </w:pPr>
      <w:r>
        <w:rPr>
          <w:rFonts w:hint="eastAsia"/>
        </w:rPr>
        <w:t>腌制酸柠檬参考图</w:t>
      </w:r>
    </w:p>
    <w:p>
      <w:pPr>
        <w:pStyle w:val="80"/>
        <w:spacing w:before="120" w:after="120"/>
      </w:pPr>
      <w:bookmarkStart w:id="60" w:name="_Hlk165357548"/>
      <w:r>
        <w:rPr>
          <w:rFonts w:hint="eastAsia"/>
        </w:rPr>
        <w:t>腌制酸辣椒参考图</w:t>
      </w:r>
      <w:bookmarkEnd w:id="60"/>
    </w:p>
    <w:p>
      <w:pPr>
        <w:pStyle w:val="58"/>
        <w:ind w:firstLine="420"/>
      </w:pPr>
      <w:r>
        <w:rPr>
          <w:rFonts w:hint="eastAsia"/>
        </w:rPr>
        <w:t>见图</w:t>
      </w:r>
      <w:r>
        <w:t>A</w:t>
      </w:r>
      <w:r>
        <w:rPr>
          <w:rFonts w:hint="eastAsia"/>
        </w:rPr>
        <w:t>.</w:t>
      </w:r>
      <w:r>
        <w:t>2</w:t>
      </w:r>
      <w:r>
        <w:rPr>
          <w:rFonts w:hint="eastAsia"/>
        </w:rPr>
        <w:t>。</w:t>
      </w:r>
    </w:p>
    <w:tbl>
      <w:tblPr>
        <w:tblStyle w:val="2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3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344" w:type="dxa"/>
          </w:tcPr>
          <w:p>
            <w:pPr>
              <w:pStyle w:val="58"/>
              <w:ind w:firstLine="0" w:firstLineChars="0"/>
              <w:jc w:val="center"/>
            </w:pPr>
            <w:r>
              <w:rPr>
                <w:rFonts w:hint="eastAsia"/>
              </w:rPr>
              <w:drawing>
                <wp:inline distT="0" distB="0" distL="114300" distR="114300">
                  <wp:extent cx="4190365" cy="2794000"/>
                  <wp:effectExtent l="0" t="0" r="635" b="6350"/>
                  <wp:docPr id="27" name="图片 27" descr="酸辣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酸辣椒"/>
                          <pic:cNvPicPr>
                            <a:picLocks noChangeAspect="1"/>
                          </pic:cNvPicPr>
                        </pic:nvPicPr>
                        <pic:blipFill>
                          <a:blip r:embed="rId32"/>
                          <a:stretch>
                            <a:fillRect/>
                          </a:stretch>
                        </pic:blipFill>
                        <pic:spPr>
                          <a:xfrm>
                            <a:off x="0" y="0"/>
                            <a:ext cx="4236174" cy="2824376"/>
                          </a:xfrm>
                          <a:prstGeom prst="rect">
                            <a:avLst/>
                          </a:prstGeom>
                        </pic:spPr>
                      </pic:pic>
                    </a:graphicData>
                  </a:graphic>
                </wp:inline>
              </w:drawing>
            </w:r>
          </w:p>
        </w:tc>
      </w:tr>
    </w:tbl>
    <w:p>
      <w:pPr>
        <w:pStyle w:val="85"/>
        <w:spacing w:before="120" w:after="120"/>
      </w:pPr>
      <w:r>
        <w:rPr>
          <w:rFonts w:hint="eastAsia"/>
        </w:rPr>
        <w:t>腌制酸辣椒参考图</w:t>
      </w:r>
    </w:p>
    <w:p>
      <w:pPr>
        <w:pStyle w:val="58"/>
        <w:ind w:firstLine="420"/>
      </w:pPr>
    </w:p>
    <w:p>
      <w:pPr>
        <w:pStyle w:val="58"/>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linePitch="312" w:charSpace="0"/>
        </w:sectPr>
      </w:pPr>
    </w:p>
    <w:p>
      <w:pPr>
        <w:pStyle w:val="200"/>
      </w:pPr>
    </w:p>
    <w:p>
      <w:pPr>
        <w:pStyle w:val="201"/>
      </w:pPr>
    </w:p>
    <w:p>
      <w:pPr>
        <w:pStyle w:val="78"/>
        <w:spacing w:after="120"/>
      </w:pPr>
      <w:r>
        <w:br w:type="textWrapping"/>
      </w:r>
      <w:r>
        <w:rPr>
          <w:rFonts w:hint="eastAsia"/>
        </w:rPr>
        <w:t>（资料性）</w:t>
      </w:r>
      <w:r>
        <w:br w:type="textWrapping"/>
      </w:r>
      <w:r>
        <w:rPr>
          <w:rFonts w:hint="eastAsia"/>
        </w:rPr>
        <w:t>广西柠檬鸭原料配比用量表</w:t>
      </w:r>
    </w:p>
    <w:p>
      <w:pPr>
        <w:pStyle w:val="58"/>
        <w:ind w:firstLine="420"/>
      </w:pPr>
      <w:r>
        <w:rPr>
          <w:rFonts w:hint="eastAsia"/>
          <w:lang w:bidi="ar"/>
        </w:rPr>
        <w:t>表</w:t>
      </w:r>
      <w:r>
        <w:rPr>
          <w:lang w:bidi="ar"/>
        </w:rPr>
        <w:t>B.1</w:t>
      </w:r>
      <w:r>
        <w:rPr>
          <w:rFonts w:hint="eastAsia"/>
          <w:lang w:bidi="ar"/>
        </w:rPr>
        <w:t>给出了广西柠檬鸭原料配比用量表。</w:t>
      </w:r>
    </w:p>
    <w:p>
      <w:pPr>
        <w:pStyle w:val="79"/>
        <w:spacing w:before="120" w:after="120"/>
      </w:pPr>
      <w:r>
        <w:rPr>
          <w:rFonts w:hint="eastAsia"/>
          <w:lang w:bidi="ar"/>
        </w:rPr>
        <w:t>广西柠檬鸭原料配比用量表</w:t>
      </w:r>
    </w:p>
    <w:tbl>
      <w:tblPr>
        <w:tblStyle w:val="28"/>
        <w:tblW w:w="4708" w:type="pct"/>
        <w:tblInd w:w="5" w:type="dxa"/>
        <w:tblLayout w:type="autofit"/>
        <w:tblCellMar>
          <w:top w:w="0" w:type="dxa"/>
          <w:left w:w="0" w:type="dxa"/>
          <w:bottom w:w="0" w:type="dxa"/>
          <w:right w:w="0" w:type="dxa"/>
        </w:tblCellMar>
      </w:tblPr>
      <w:tblGrid>
        <w:gridCol w:w="2136"/>
        <w:gridCol w:w="2137"/>
        <w:gridCol w:w="2137"/>
        <w:gridCol w:w="2412"/>
      </w:tblGrid>
      <w:tr>
        <w:tblPrEx>
          <w:tblCellMar>
            <w:top w:w="0" w:type="dxa"/>
            <w:left w:w="0" w:type="dxa"/>
            <w:bottom w:w="0" w:type="dxa"/>
            <w:right w:w="0" w:type="dxa"/>
          </w:tblCellMar>
        </w:tblPrEx>
        <w:trPr>
          <w:trHeight w:val="358" w:hRule="atLeast"/>
        </w:trPr>
        <w:tc>
          <w:tcPr>
            <w:tcW w:w="1211" w:type="pct"/>
            <w:tcBorders>
              <w:top w:val="single" w:color="000000" w:sz="8" w:space="0"/>
              <w:left w:val="single" w:color="000000" w:sz="4" w:space="0"/>
              <w:bottom w:val="single" w:color="000000" w:sz="8"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r>
              <w:rPr>
                <w:rFonts w:hint="eastAsia" w:ascii="宋体" w:hAnsi="宋体" w:cs="宋体"/>
                <w:color w:val="000000"/>
                <w:kern w:val="0"/>
                <w:sz w:val="18"/>
                <w:szCs w:val="22"/>
                <w:lang w:bidi="ar"/>
              </w:rPr>
              <w:t>原料类别</w:t>
            </w:r>
          </w:p>
        </w:tc>
        <w:tc>
          <w:tcPr>
            <w:tcW w:w="1211" w:type="pct"/>
            <w:tcBorders>
              <w:top w:val="single" w:color="000000" w:sz="8" w:space="0"/>
              <w:left w:val="single" w:color="000000" w:sz="4" w:space="0"/>
              <w:bottom w:val="single" w:color="000000" w:sz="8"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r>
              <w:rPr>
                <w:rFonts w:hint="eastAsia" w:ascii="宋体" w:hAnsi="宋体" w:cs="宋体"/>
                <w:color w:val="000000"/>
                <w:kern w:val="0"/>
                <w:sz w:val="18"/>
                <w:szCs w:val="22"/>
                <w:lang w:bidi="ar"/>
              </w:rPr>
              <w:t>名称</w:t>
            </w:r>
          </w:p>
        </w:tc>
        <w:tc>
          <w:tcPr>
            <w:tcW w:w="1211" w:type="pct"/>
            <w:tcBorders>
              <w:top w:val="single" w:color="000000" w:sz="8" w:space="0"/>
              <w:left w:val="single" w:color="000000" w:sz="4" w:space="0"/>
              <w:bottom w:val="single" w:color="000000" w:sz="8" w:space="0"/>
              <w:right w:val="single" w:color="000000" w:sz="4" w:space="0"/>
            </w:tcBorders>
            <w:shd w:val="clear" w:color="auto" w:fill="auto"/>
            <w:noWrap/>
            <w:vAlign w:val="center"/>
          </w:tcPr>
          <w:p>
            <w:pPr>
              <w:widowControl/>
              <w:spacing w:line="240" w:lineRule="auto"/>
              <w:jc w:val="center"/>
              <w:textAlignment w:val="center"/>
              <w:rPr>
                <w:rFonts w:ascii="宋体" w:hAnsi="宋体" w:cs="宋体"/>
                <w:color w:val="000000"/>
                <w:sz w:val="18"/>
                <w:szCs w:val="22"/>
              </w:rPr>
            </w:pPr>
            <w:r>
              <w:rPr>
                <w:rFonts w:hint="eastAsia" w:ascii="宋体" w:hAnsi="宋体" w:cs="宋体"/>
                <w:color w:val="000000"/>
                <w:kern w:val="0"/>
                <w:sz w:val="18"/>
                <w:szCs w:val="22"/>
                <w:lang w:bidi="ar"/>
              </w:rPr>
              <w:t>重量（g)</w:t>
            </w:r>
          </w:p>
        </w:tc>
        <w:tc>
          <w:tcPr>
            <w:tcW w:w="1367" w:type="pct"/>
            <w:tcBorders>
              <w:top w:val="single" w:color="000000" w:sz="8" w:space="0"/>
              <w:left w:val="single" w:color="000000" w:sz="4" w:space="0"/>
              <w:bottom w:val="single" w:color="000000" w:sz="8" w:space="0"/>
              <w:right w:val="single" w:color="auto" w:sz="8" w:space="0"/>
            </w:tcBorders>
            <w:shd w:val="clear" w:color="auto" w:fill="auto"/>
            <w:noWrap/>
            <w:vAlign w:val="center"/>
          </w:tcPr>
          <w:p>
            <w:pPr>
              <w:widowControl/>
              <w:spacing w:line="240" w:lineRule="auto"/>
              <w:jc w:val="center"/>
              <w:textAlignment w:val="center"/>
              <w:rPr>
                <w:rFonts w:ascii="宋体" w:hAnsi="宋体" w:cs="宋体"/>
                <w:color w:val="000000"/>
                <w:sz w:val="18"/>
                <w:szCs w:val="22"/>
              </w:rPr>
            </w:pPr>
            <w:r>
              <w:rPr>
                <w:rFonts w:hint="eastAsia" w:ascii="宋体" w:hAnsi="宋体" w:cs="宋体"/>
                <w:color w:val="000000"/>
                <w:kern w:val="0"/>
                <w:sz w:val="18"/>
                <w:szCs w:val="22"/>
                <w:lang w:bidi="ar"/>
              </w:rPr>
              <w:t>占比（％）</w:t>
            </w:r>
          </w:p>
        </w:tc>
      </w:tr>
      <w:tr>
        <w:tblPrEx>
          <w:tblCellMar>
            <w:top w:w="0" w:type="dxa"/>
            <w:left w:w="0" w:type="dxa"/>
            <w:bottom w:w="0" w:type="dxa"/>
            <w:right w:w="0" w:type="dxa"/>
          </w:tblCellMar>
        </w:tblPrEx>
        <w:trPr>
          <w:trHeight w:val="375" w:hRule="atLeast"/>
        </w:trPr>
        <w:tc>
          <w:tcPr>
            <w:tcW w:w="1211" w:type="pct"/>
            <w:tcBorders>
              <w:top w:val="nil"/>
              <w:left w:val="single" w:color="000000" w:sz="4" w:space="0"/>
              <w:bottom w:val="single" w:color="000000" w:sz="4"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r>
              <w:rPr>
                <w:rFonts w:hint="eastAsia" w:ascii="宋体" w:hAnsi="宋体" w:cs="宋体"/>
                <w:color w:val="000000"/>
                <w:kern w:val="0"/>
                <w:sz w:val="18"/>
                <w:szCs w:val="22"/>
                <w:lang w:bidi="ar"/>
              </w:rPr>
              <w:t>主料</w:t>
            </w:r>
          </w:p>
        </w:tc>
        <w:tc>
          <w:tcPr>
            <w:tcW w:w="1211" w:type="pct"/>
            <w:tcBorders>
              <w:top w:val="nil"/>
              <w:left w:val="single" w:color="000000" w:sz="4" w:space="0"/>
              <w:bottom w:val="single" w:color="000000" w:sz="4" w:space="0"/>
              <w:right w:val="single" w:color="000000" w:sz="4" w:space="0"/>
            </w:tcBorders>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kern w:val="0"/>
                <w:sz w:val="18"/>
                <w:szCs w:val="20"/>
                <w:lang w:bidi="ar"/>
              </w:rPr>
              <w:t>麻鸭或樱桃鸭</w:t>
            </w:r>
          </w:p>
        </w:tc>
        <w:tc>
          <w:tcPr>
            <w:tcW w:w="121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kern w:val="0"/>
                <w:sz w:val="18"/>
                <w:szCs w:val="20"/>
                <w:lang w:bidi="ar"/>
              </w:rPr>
              <w:t>2</w:t>
            </w:r>
            <w:r>
              <w:rPr>
                <w:rFonts w:ascii="宋体" w:hAnsi="宋体" w:cs="宋体"/>
                <w:kern w:val="0"/>
                <w:sz w:val="18"/>
                <w:szCs w:val="20"/>
                <w:vertAlign w:val="superscript"/>
                <w:lang w:bidi="ar"/>
              </w:rPr>
              <w:t xml:space="preserve"> </w:t>
            </w:r>
            <w:r>
              <w:rPr>
                <w:rFonts w:hint="eastAsia" w:ascii="宋体" w:hAnsi="宋体" w:cs="宋体"/>
                <w:kern w:val="0"/>
                <w:sz w:val="18"/>
                <w:szCs w:val="20"/>
                <w:lang w:bidi="ar"/>
              </w:rPr>
              <w:t>000±100</w:t>
            </w:r>
          </w:p>
        </w:tc>
        <w:tc>
          <w:tcPr>
            <w:tcW w:w="1367" w:type="pct"/>
            <w:tcBorders>
              <w:top w:val="nil"/>
              <w:left w:val="single" w:color="000000" w:sz="4" w:space="0"/>
              <w:bottom w:val="single" w:color="000000" w:sz="4" w:space="0"/>
              <w:right w:val="single" w:color="auto" w:sz="8" w:space="0"/>
            </w:tcBorders>
            <w:shd w:val="clear" w:color="auto" w:fill="auto"/>
            <w:noWrap/>
            <w:vAlign w:val="center"/>
          </w:tcPr>
          <w:p>
            <w:pPr>
              <w:spacing w:line="240" w:lineRule="auto"/>
              <w:jc w:val="center"/>
              <w:rPr>
                <w:rFonts w:ascii="宋体" w:hAnsi="宋体" w:cs="宋体"/>
                <w:sz w:val="18"/>
                <w:szCs w:val="22"/>
              </w:rPr>
            </w:pPr>
            <w:r>
              <w:rPr>
                <w:rFonts w:ascii="宋体" w:hAnsi="宋体" w:cs="宋体"/>
                <w:sz w:val="18"/>
                <w:szCs w:val="22"/>
              </w:rPr>
              <w:t>45.7</w:t>
            </w:r>
            <w:r>
              <w:rPr>
                <w:rFonts w:hint="eastAsia" w:ascii="宋体" w:hAnsi="宋体" w:cs="宋体"/>
                <w:sz w:val="18"/>
                <w:szCs w:val="22"/>
              </w:rPr>
              <w:t>～52.9</w:t>
            </w:r>
          </w:p>
        </w:tc>
      </w:tr>
      <w:tr>
        <w:tblPrEx>
          <w:tblCellMar>
            <w:top w:w="0" w:type="dxa"/>
            <w:left w:w="0" w:type="dxa"/>
            <w:bottom w:w="0" w:type="dxa"/>
            <w:right w:w="0" w:type="dxa"/>
          </w:tblCellMar>
        </w:tblPrEx>
        <w:trPr>
          <w:trHeight w:val="349" w:hRule="atLeast"/>
        </w:trPr>
        <w:tc>
          <w:tcPr>
            <w:tcW w:w="1211" w:type="pct"/>
            <w:vMerge w:val="restart"/>
            <w:tcBorders>
              <w:top w:val="single" w:color="000000" w:sz="4" w:space="0"/>
              <w:left w:val="single" w:color="000000" w:sz="4"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r>
              <w:rPr>
                <w:rFonts w:hint="eastAsia" w:ascii="宋体" w:hAnsi="宋体" w:cs="宋体"/>
                <w:color w:val="000000"/>
                <w:kern w:val="0"/>
                <w:sz w:val="18"/>
                <w:szCs w:val="22"/>
                <w:lang w:bidi="ar"/>
              </w:rPr>
              <w:t>辅料</w:t>
            </w:r>
          </w:p>
        </w:tc>
        <w:tc>
          <w:tcPr>
            <w:tcW w:w="1211"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kern w:val="0"/>
                <w:sz w:val="18"/>
                <w:szCs w:val="20"/>
                <w:lang w:bidi="ar"/>
              </w:rPr>
              <w:t>腌制酸柠檬</w:t>
            </w:r>
          </w:p>
        </w:tc>
        <w:tc>
          <w:tcPr>
            <w:tcW w:w="1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kern w:val="0"/>
                <w:sz w:val="18"/>
                <w:szCs w:val="20"/>
                <w:lang w:bidi="ar"/>
              </w:rPr>
              <w:t>250±50</w:t>
            </w:r>
          </w:p>
        </w:tc>
        <w:tc>
          <w:tcPr>
            <w:tcW w:w="1367" w:type="pct"/>
            <w:tcBorders>
              <w:top w:val="single" w:color="000000" w:sz="4" w:space="0"/>
              <w:left w:val="single" w:color="000000" w:sz="4" w:space="0"/>
              <w:bottom w:val="single" w:color="000000" w:sz="4" w:space="0"/>
              <w:right w:val="single" w:color="auto" w:sz="8"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sz w:val="18"/>
                <w:szCs w:val="22"/>
              </w:rPr>
              <w:t>5.6～6.5</w:t>
            </w:r>
          </w:p>
        </w:tc>
      </w:tr>
      <w:tr>
        <w:tblPrEx>
          <w:tblCellMar>
            <w:top w:w="0" w:type="dxa"/>
            <w:left w:w="0" w:type="dxa"/>
            <w:bottom w:w="0" w:type="dxa"/>
            <w:right w:w="0" w:type="dxa"/>
          </w:tblCellMar>
        </w:tblPrEx>
        <w:trPr>
          <w:trHeight w:val="366" w:hRule="atLeast"/>
        </w:trPr>
        <w:tc>
          <w:tcPr>
            <w:tcW w:w="1211" w:type="pct"/>
            <w:vMerge w:val="continue"/>
            <w:tcBorders>
              <w:left w:val="single" w:color="000000" w:sz="4"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p>
        </w:tc>
        <w:tc>
          <w:tcPr>
            <w:tcW w:w="1211"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kern w:val="0"/>
                <w:sz w:val="18"/>
                <w:szCs w:val="20"/>
                <w:lang w:bidi="ar"/>
              </w:rPr>
              <w:t>生姜</w:t>
            </w:r>
          </w:p>
        </w:tc>
        <w:tc>
          <w:tcPr>
            <w:tcW w:w="1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kern w:val="0"/>
                <w:sz w:val="18"/>
                <w:szCs w:val="20"/>
                <w:lang w:bidi="ar"/>
              </w:rPr>
              <w:t>300±50</w:t>
            </w:r>
          </w:p>
        </w:tc>
        <w:tc>
          <w:tcPr>
            <w:tcW w:w="1367" w:type="pct"/>
            <w:tcBorders>
              <w:top w:val="single" w:color="000000" w:sz="4" w:space="0"/>
              <w:left w:val="single" w:color="000000" w:sz="4" w:space="0"/>
              <w:bottom w:val="single" w:color="000000" w:sz="4" w:space="0"/>
              <w:right w:val="single" w:color="auto" w:sz="8"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sz w:val="18"/>
                <w:szCs w:val="22"/>
              </w:rPr>
              <w:t>7.0～7.6</w:t>
            </w:r>
          </w:p>
        </w:tc>
      </w:tr>
      <w:tr>
        <w:tblPrEx>
          <w:tblCellMar>
            <w:top w:w="0" w:type="dxa"/>
            <w:left w:w="0" w:type="dxa"/>
            <w:bottom w:w="0" w:type="dxa"/>
            <w:right w:w="0" w:type="dxa"/>
          </w:tblCellMar>
        </w:tblPrEx>
        <w:trPr>
          <w:trHeight w:val="366" w:hRule="atLeast"/>
        </w:trPr>
        <w:tc>
          <w:tcPr>
            <w:tcW w:w="1211" w:type="pct"/>
            <w:vMerge w:val="continue"/>
            <w:tcBorders>
              <w:left w:val="single" w:color="000000" w:sz="4"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p>
        </w:tc>
        <w:tc>
          <w:tcPr>
            <w:tcW w:w="1211"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kern w:val="0"/>
                <w:sz w:val="18"/>
                <w:szCs w:val="20"/>
                <w:lang w:bidi="ar"/>
              </w:rPr>
              <w:t>蒜米</w:t>
            </w:r>
          </w:p>
        </w:tc>
        <w:tc>
          <w:tcPr>
            <w:tcW w:w="1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kern w:val="0"/>
                <w:sz w:val="18"/>
                <w:szCs w:val="20"/>
                <w:lang w:bidi="ar"/>
              </w:rPr>
              <w:t>250±50</w:t>
            </w:r>
          </w:p>
        </w:tc>
        <w:tc>
          <w:tcPr>
            <w:tcW w:w="1367" w:type="pct"/>
            <w:tcBorders>
              <w:top w:val="single" w:color="000000" w:sz="4" w:space="0"/>
              <w:left w:val="single" w:color="000000" w:sz="4" w:space="0"/>
              <w:bottom w:val="single" w:color="000000" w:sz="4" w:space="0"/>
              <w:right w:val="single" w:color="auto" w:sz="8"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sz w:val="18"/>
                <w:szCs w:val="22"/>
              </w:rPr>
              <w:t>5.6～6.5</w:t>
            </w:r>
          </w:p>
        </w:tc>
      </w:tr>
      <w:tr>
        <w:tblPrEx>
          <w:tblCellMar>
            <w:top w:w="0" w:type="dxa"/>
            <w:left w:w="0" w:type="dxa"/>
            <w:bottom w:w="0" w:type="dxa"/>
            <w:right w:w="0" w:type="dxa"/>
          </w:tblCellMar>
        </w:tblPrEx>
        <w:trPr>
          <w:trHeight w:val="366" w:hRule="atLeast"/>
        </w:trPr>
        <w:tc>
          <w:tcPr>
            <w:tcW w:w="1211" w:type="pct"/>
            <w:vMerge w:val="continue"/>
            <w:tcBorders>
              <w:left w:val="single" w:color="000000" w:sz="4"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p>
        </w:tc>
        <w:tc>
          <w:tcPr>
            <w:tcW w:w="1211"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kern w:val="0"/>
                <w:sz w:val="18"/>
                <w:szCs w:val="20"/>
                <w:lang w:bidi="ar"/>
              </w:rPr>
              <w:t>腌制酸辣椒</w:t>
            </w:r>
          </w:p>
        </w:tc>
        <w:tc>
          <w:tcPr>
            <w:tcW w:w="1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kern w:val="0"/>
                <w:sz w:val="18"/>
                <w:szCs w:val="20"/>
                <w:lang w:bidi="ar"/>
              </w:rPr>
              <w:t>200±50</w:t>
            </w:r>
          </w:p>
        </w:tc>
        <w:tc>
          <w:tcPr>
            <w:tcW w:w="1367" w:type="pct"/>
            <w:tcBorders>
              <w:top w:val="single" w:color="000000" w:sz="4" w:space="0"/>
              <w:left w:val="single" w:color="000000" w:sz="4" w:space="0"/>
              <w:bottom w:val="single" w:color="000000" w:sz="4" w:space="0"/>
              <w:right w:val="single" w:color="auto" w:sz="8"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sz w:val="18"/>
                <w:szCs w:val="22"/>
              </w:rPr>
              <w:t>4.2～5.</w:t>
            </w:r>
            <w:r>
              <w:rPr>
                <w:rFonts w:ascii="宋体" w:hAnsi="宋体" w:cs="宋体"/>
                <w:sz w:val="18"/>
                <w:szCs w:val="22"/>
              </w:rPr>
              <w:t>5</w:t>
            </w:r>
          </w:p>
        </w:tc>
      </w:tr>
      <w:tr>
        <w:tblPrEx>
          <w:tblCellMar>
            <w:top w:w="0" w:type="dxa"/>
            <w:left w:w="0" w:type="dxa"/>
            <w:bottom w:w="0" w:type="dxa"/>
            <w:right w:w="0" w:type="dxa"/>
          </w:tblCellMar>
        </w:tblPrEx>
        <w:trPr>
          <w:trHeight w:val="366" w:hRule="atLeast"/>
        </w:trPr>
        <w:tc>
          <w:tcPr>
            <w:tcW w:w="1211" w:type="pct"/>
            <w:vMerge w:val="continue"/>
            <w:tcBorders>
              <w:left w:val="single" w:color="000000" w:sz="4"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p>
        </w:tc>
        <w:tc>
          <w:tcPr>
            <w:tcW w:w="1211"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kern w:val="0"/>
                <w:sz w:val="18"/>
                <w:szCs w:val="20"/>
                <w:lang w:bidi="ar"/>
              </w:rPr>
              <w:t>白酒</w:t>
            </w:r>
          </w:p>
        </w:tc>
        <w:tc>
          <w:tcPr>
            <w:tcW w:w="1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kern w:val="0"/>
                <w:sz w:val="18"/>
                <w:szCs w:val="20"/>
                <w:lang w:bidi="ar"/>
              </w:rPr>
              <w:t>250±50</w:t>
            </w:r>
          </w:p>
        </w:tc>
        <w:tc>
          <w:tcPr>
            <w:tcW w:w="1367" w:type="pct"/>
            <w:tcBorders>
              <w:top w:val="single" w:color="000000" w:sz="4" w:space="0"/>
              <w:left w:val="single" w:color="000000" w:sz="4" w:space="0"/>
              <w:bottom w:val="single" w:color="000000" w:sz="4" w:space="0"/>
              <w:right w:val="single" w:color="auto" w:sz="8"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sz w:val="18"/>
                <w:szCs w:val="22"/>
              </w:rPr>
              <w:t>5.6～6.5</w:t>
            </w:r>
          </w:p>
        </w:tc>
      </w:tr>
      <w:tr>
        <w:tblPrEx>
          <w:tblCellMar>
            <w:top w:w="0" w:type="dxa"/>
            <w:left w:w="0" w:type="dxa"/>
            <w:bottom w:w="0" w:type="dxa"/>
            <w:right w:w="0" w:type="dxa"/>
          </w:tblCellMar>
        </w:tblPrEx>
        <w:trPr>
          <w:trHeight w:val="366" w:hRule="atLeast"/>
        </w:trPr>
        <w:tc>
          <w:tcPr>
            <w:tcW w:w="1211" w:type="pct"/>
            <w:vMerge w:val="continue"/>
            <w:tcBorders>
              <w:left w:val="single" w:color="000000" w:sz="4"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p>
        </w:tc>
        <w:tc>
          <w:tcPr>
            <w:tcW w:w="1211"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kern w:val="0"/>
                <w:sz w:val="18"/>
                <w:szCs w:val="20"/>
                <w:lang w:bidi="ar"/>
              </w:rPr>
              <w:t>酱油</w:t>
            </w:r>
          </w:p>
        </w:tc>
        <w:tc>
          <w:tcPr>
            <w:tcW w:w="1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kern w:val="0"/>
                <w:sz w:val="18"/>
                <w:szCs w:val="20"/>
                <w:lang w:bidi="ar"/>
              </w:rPr>
              <w:t>100±</w:t>
            </w:r>
            <w:r>
              <w:rPr>
                <w:rFonts w:ascii="宋体" w:hAnsi="宋体" w:cs="宋体"/>
                <w:kern w:val="0"/>
                <w:sz w:val="18"/>
                <w:szCs w:val="20"/>
                <w:lang w:bidi="ar"/>
              </w:rPr>
              <w:t>2</w:t>
            </w:r>
            <w:r>
              <w:rPr>
                <w:rFonts w:hint="eastAsia" w:ascii="宋体" w:hAnsi="宋体" w:cs="宋体"/>
                <w:kern w:val="0"/>
                <w:sz w:val="18"/>
                <w:szCs w:val="20"/>
                <w:lang w:bidi="ar"/>
              </w:rPr>
              <w:t>0</w:t>
            </w:r>
          </w:p>
        </w:tc>
        <w:tc>
          <w:tcPr>
            <w:tcW w:w="1367" w:type="pct"/>
            <w:tcBorders>
              <w:top w:val="single" w:color="000000" w:sz="4" w:space="0"/>
              <w:left w:val="single" w:color="000000" w:sz="4" w:space="0"/>
              <w:bottom w:val="single" w:color="000000" w:sz="4" w:space="0"/>
              <w:right w:val="single" w:color="auto" w:sz="8"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sz w:val="18"/>
                <w:szCs w:val="22"/>
              </w:rPr>
              <w:t>2.2～2.6</w:t>
            </w:r>
          </w:p>
        </w:tc>
      </w:tr>
      <w:tr>
        <w:tblPrEx>
          <w:tblCellMar>
            <w:top w:w="0" w:type="dxa"/>
            <w:left w:w="0" w:type="dxa"/>
            <w:bottom w:w="0" w:type="dxa"/>
            <w:right w:w="0" w:type="dxa"/>
          </w:tblCellMar>
        </w:tblPrEx>
        <w:trPr>
          <w:trHeight w:val="366" w:hRule="atLeast"/>
        </w:trPr>
        <w:tc>
          <w:tcPr>
            <w:tcW w:w="1211" w:type="pct"/>
            <w:vMerge w:val="continue"/>
            <w:tcBorders>
              <w:left w:val="single" w:color="000000" w:sz="4"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p>
        </w:tc>
        <w:tc>
          <w:tcPr>
            <w:tcW w:w="1211"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kern w:val="0"/>
                <w:sz w:val="18"/>
                <w:szCs w:val="20"/>
                <w:lang w:bidi="ar"/>
              </w:rPr>
              <w:t>腐乳</w:t>
            </w:r>
          </w:p>
        </w:tc>
        <w:tc>
          <w:tcPr>
            <w:tcW w:w="1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ascii="宋体" w:hAnsi="宋体" w:cs="宋体"/>
                <w:kern w:val="0"/>
                <w:sz w:val="18"/>
                <w:szCs w:val="20"/>
                <w:lang w:bidi="ar"/>
              </w:rPr>
              <w:t>9</w:t>
            </w:r>
            <w:r>
              <w:rPr>
                <w:rFonts w:hint="eastAsia" w:ascii="宋体" w:hAnsi="宋体" w:cs="宋体"/>
                <w:kern w:val="0"/>
                <w:sz w:val="18"/>
                <w:szCs w:val="20"/>
                <w:lang w:bidi="ar"/>
              </w:rPr>
              <w:t>0±</w:t>
            </w:r>
            <w:r>
              <w:rPr>
                <w:rFonts w:ascii="宋体" w:hAnsi="宋体" w:cs="宋体"/>
                <w:kern w:val="0"/>
                <w:sz w:val="18"/>
                <w:szCs w:val="20"/>
                <w:lang w:bidi="ar"/>
              </w:rPr>
              <w:t>1</w:t>
            </w:r>
            <w:r>
              <w:rPr>
                <w:rFonts w:hint="eastAsia" w:ascii="宋体" w:hAnsi="宋体" w:cs="宋体"/>
                <w:kern w:val="0"/>
                <w:sz w:val="18"/>
                <w:szCs w:val="20"/>
                <w:lang w:bidi="ar"/>
              </w:rPr>
              <w:t>0</w:t>
            </w:r>
          </w:p>
        </w:tc>
        <w:tc>
          <w:tcPr>
            <w:tcW w:w="1367" w:type="pct"/>
            <w:tcBorders>
              <w:top w:val="single" w:color="000000" w:sz="4" w:space="0"/>
              <w:left w:val="single" w:color="000000" w:sz="4" w:space="0"/>
              <w:bottom w:val="single" w:color="000000" w:sz="4" w:space="0"/>
              <w:right w:val="single" w:color="auto" w:sz="8"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sz w:val="18"/>
                <w:szCs w:val="22"/>
              </w:rPr>
              <w:t>≈</w:t>
            </w:r>
            <w:r>
              <w:rPr>
                <w:rFonts w:ascii="宋体" w:hAnsi="宋体" w:cs="宋体"/>
                <w:sz w:val="18"/>
                <w:szCs w:val="22"/>
              </w:rPr>
              <w:t>2.2</w:t>
            </w:r>
          </w:p>
        </w:tc>
      </w:tr>
      <w:tr>
        <w:tblPrEx>
          <w:tblCellMar>
            <w:top w:w="0" w:type="dxa"/>
            <w:left w:w="0" w:type="dxa"/>
            <w:bottom w:w="0" w:type="dxa"/>
            <w:right w:w="0" w:type="dxa"/>
          </w:tblCellMar>
        </w:tblPrEx>
        <w:trPr>
          <w:trHeight w:val="366" w:hRule="atLeast"/>
        </w:trPr>
        <w:tc>
          <w:tcPr>
            <w:tcW w:w="1211" w:type="pct"/>
            <w:vMerge w:val="continue"/>
            <w:tcBorders>
              <w:left w:val="single" w:color="000000" w:sz="4"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p>
        </w:tc>
        <w:tc>
          <w:tcPr>
            <w:tcW w:w="1211"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kern w:val="0"/>
                <w:sz w:val="18"/>
                <w:szCs w:val="20"/>
                <w:lang w:bidi="ar"/>
              </w:rPr>
              <w:t>黄皮酱</w:t>
            </w:r>
          </w:p>
        </w:tc>
        <w:tc>
          <w:tcPr>
            <w:tcW w:w="1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ascii="宋体" w:hAnsi="宋体" w:cs="宋体"/>
                <w:kern w:val="0"/>
                <w:sz w:val="18"/>
                <w:szCs w:val="20"/>
                <w:lang w:bidi="ar"/>
              </w:rPr>
              <w:t>7</w:t>
            </w:r>
            <w:r>
              <w:rPr>
                <w:rFonts w:hint="eastAsia" w:ascii="宋体" w:hAnsi="宋体" w:cs="宋体"/>
                <w:kern w:val="0"/>
                <w:sz w:val="18"/>
                <w:szCs w:val="20"/>
                <w:lang w:bidi="ar"/>
              </w:rPr>
              <w:t>0±</w:t>
            </w:r>
            <w:r>
              <w:rPr>
                <w:rFonts w:ascii="宋体" w:hAnsi="宋体" w:cs="宋体"/>
                <w:kern w:val="0"/>
                <w:sz w:val="18"/>
                <w:szCs w:val="20"/>
                <w:lang w:bidi="ar"/>
              </w:rPr>
              <w:t>1</w:t>
            </w:r>
            <w:r>
              <w:rPr>
                <w:rFonts w:hint="eastAsia" w:ascii="宋体" w:hAnsi="宋体" w:cs="宋体"/>
                <w:kern w:val="0"/>
                <w:sz w:val="18"/>
                <w:szCs w:val="20"/>
                <w:lang w:bidi="ar"/>
              </w:rPr>
              <w:t>0</w:t>
            </w:r>
          </w:p>
        </w:tc>
        <w:tc>
          <w:tcPr>
            <w:tcW w:w="1367" w:type="pct"/>
            <w:tcBorders>
              <w:top w:val="single" w:color="000000" w:sz="4" w:space="0"/>
              <w:left w:val="single" w:color="000000" w:sz="4" w:space="0"/>
              <w:bottom w:val="single" w:color="000000" w:sz="4" w:space="0"/>
              <w:right w:val="single" w:color="auto" w:sz="8"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sz w:val="18"/>
                <w:szCs w:val="22"/>
              </w:rPr>
              <w:t>1.</w:t>
            </w:r>
            <w:r>
              <w:rPr>
                <w:rFonts w:ascii="宋体" w:hAnsi="宋体" w:cs="宋体"/>
                <w:sz w:val="18"/>
                <w:szCs w:val="22"/>
              </w:rPr>
              <w:t>6</w:t>
            </w:r>
            <w:r>
              <w:rPr>
                <w:rFonts w:hint="eastAsia" w:ascii="宋体" w:hAnsi="宋体" w:cs="宋体"/>
                <w:sz w:val="18"/>
                <w:szCs w:val="22"/>
              </w:rPr>
              <w:t>～1.8</w:t>
            </w:r>
          </w:p>
        </w:tc>
      </w:tr>
      <w:tr>
        <w:tblPrEx>
          <w:tblCellMar>
            <w:top w:w="0" w:type="dxa"/>
            <w:left w:w="0" w:type="dxa"/>
            <w:bottom w:w="0" w:type="dxa"/>
            <w:right w:w="0" w:type="dxa"/>
          </w:tblCellMar>
        </w:tblPrEx>
        <w:trPr>
          <w:trHeight w:val="366" w:hRule="atLeast"/>
        </w:trPr>
        <w:tc>
          <w:tcPr>
            <w:tcW w:w="1211" w:type="pct"/>
            <w:vMerge w:val="continue"/>
            <w:tcBorders>
              <w:left w:val="single" w:color="000000" w:sz="4"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p>
        </w:tc>
        <w:tc>
          <w:tcPr>
            <w:tcW w:w="1211"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kern w:val="0"/>
                <w:sz w:val="18"/>
                <w:szCs w:val="20"/>
                <w:lang w:bidi="ar"/>
              </w:rPr>
              <w:t>白砂糖</w:t>
            </w:r>
          </w:p>
        </w:tc>
        <w:tc>
          <w:tcPr>
            <w:tcW w:w="1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ascii="宋体" w:hAnsi="宋体" w:cs="宋体"/>
                <w:kern w:val="0"/>
                <w:sz w:val="18"/>
                <w:szCs w:val="20"/>
                <w:lang w:bidi="ar"/>
              </w:rPr>
              <w:t>7</w:t>
            </w:r>
            <w:r>
              <w:rPr>
                <w:rFonts w:hint="eastAsia" w:ascii="宋体" w:hAnsi="宋体" w:cs="宋体"/>
                <w:kern w:val="0"/>
                <w:sz w:val="18"/>
                <w:szCs w:val="20"/>
                <w:lang w:bidi="ar"/>
              </w:rPr>
              <w:t>0±</w:t>
            </w:r>
            <w:r>
              <w:rPr>
                <w:rFonts w:ascii="宋体" w:hAnsi="宋体" w:cs="宋体"/>
                <w:kern w:val="0"/>
                <w:sz w:val="18"/>
                <w:szCs w:val="20"/>
                <w:lang w:bidi="ar"/>
              </w:rPr>
              <w:t>1</w:t>
            </w:r>
            <w:r>
              <w:rPr>
                <w:rFonts w:hint="eastAsia" w:ascii="宋体" w:hAnsi="宋体" w:cs="宋体"/>
                <w:kern w:val="0"/>
                <w:sz w:val="18"/>
                <w:szCs w:val="20"/>
                <w:lang w:bidi="ar"/>
              </w:rPr>
              <w:t>0</w:t>
            </w:r>
          </w:p>
        </w:tc>
        <w:tc>
          <w:tcPr>
            <w:tcW w:w="1367" w:type="pct"/>
            <w:tcBorders>
              <w:top w:val="single" w:color="000000" w:sz="4" w:space="0"/>
              <w:left w:val="single" w:color="000000" w:sz="4" w:space="0"/>
              <w:bottom w:val="single" w:color="000000" w:sz="4" w:space="0"/>
              <w:right w:val="single" w:color="auto" w:sz="8"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sz w:val="18"/>
                <w:szCs w:val="22"/>
              </w:rPr>
              <w:t>1.</w:t>
            </w:r>
            <w:r>
              <w:rPr>
                <w:rFonts w:ascii="宋体" w:hAnsi="宋体" w:cs="宋体"/>
                <w:sz w:val="18"/>
                <w:szCs w:val="22"/>
              </w:rPr>
              <w:t>6</w:t>
            </w:r>
            <w:r>
              <w:rPr>
                <w:rFonts w:hint="eastAsia" w:ascii="宋体" w:hAnsi="宋体" w:cs="宋体"/>
                <w:sz w:val="18"/>
                <w:szCs w:val="22"/>
              </w:rPr>
              <w:t>～1.8</w:t>
            </w:r>
          </w:p>
        </w:tc>
      </w:tr>
      <w:tr>
        <w:tblPrEx>
          <w:tblCellMar>
            <w:top w:w="0" w:type="dxa"/>
            <w:left w:w="0" w:type="dxa"/>
            <w:bottom w:w="0" w:type="dxa"/>
            <w:right w:w="0" w:type="dxa"/>
          </w:tblCellMar>
        </w:tblPrEx>
        <w:trPr>
          <w:trHeight w:val="366" w:hRule="atLeast"/>
        </w:trPr>
        <w:tc>
          <w:tcPr>
            <w:tcW w:w="1211" w:type="pct"/>
            <w:vMerge w:val="continue"/>
            <w:tcBorders>
              <w:left w:val="single" w:color="000000" w:sz="4"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p>
        </w:tc>
        <w:tc>
          <w:tcPr>
            <w:tcW w:w="1211"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kern w:val="0"/>
                <w:sz w:val="18"/>
                <w:szCs w:val="20"/>
                <w:lang w:bidi="ar"/>
              </w:rPr>
              <w:t>白胡椒</w:t>
            </w:r>
          </w:p>
        </w:tc>
        <w:tc>
          <w:tcPr>
            <w:tcW w:w="1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ascii="宋体" w:hAnsi="宋体" w:cs="宋体"/>
                <w:kern w:val="0"/>
                <w:sz w:val="18"/>
                <w:szCs w:val="20"/>
                <w:lang w:bidi="ar"/>
              </w:rPr>
              <w:t>12</w:t>
            </w:r>
            <w:r>
              <w:rPr>
                <w:rFonts w:hint="eastAsia" w:ascii="宋体" w:hAnsi="宋体" w:cs="宋体"/>
                <w:kern w:val="0"/>
                <w:sz w:val="18"/>
                <w:szCs w:val="20"/>
                <w:lang w:bidi="ar"/>
              </w:rPr>
              <w:t>±</w:t>
            </w:r>
            <w:r>
              <w:rPr>
                <w:rFonts w:ascii="宋体" w:hAnsi="宋体" w:cs="宋体"/>
                <w:kern w:val="0"/>
                <w:sz w:val="18"/>
                <w:szCs w:val="20"/>
                <w:lang w:bidi="ar"/>
              </w:rPr>
              <w:t>2</w:t>
            </w:r>
          </w:p>
        </w:tc>
        <w:tc>
          <w:tcPr>
            <w:tcW w:w="1367" w:type="pct"/>
            <w:tcBorders>
              <w:top w:val="single" w:color="000000" w:sz="4" w:space="0"/>
              <w:left w:val="single" w:color="000000" w:sz="4" w:space="0"/>
              <w:bottom w:val="single" w:color="000000" w:sz="4" w:space="0"/>
              <w:right w:val="single" w:color="auto" w:sz="8"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sz w:val="18"/>
                <w:szCs w:val="22"/>
              </w:rPr>
              <w:t>≈0.</w:t>
            </w:r>
            <w:r>
              <w:rPr>
                <w:rFonts w:ascii="宋体" w:hAnsi="宋体" w:cs="宋体"/>
                <w:sz w:val="18"/>
                <w:szCs w:val="22"/>
              </w:rPr>
              <w:t>3</w:t>
            </w:r>
          </w:p>
        </w:tc>
      </w:tr>
      <w:tr>
        <w:tblPrEx>
          <w:tblCellMar>
            <w:top w:w="0" w:type="dxa"/>
            <w:left w:w="0" w:type="dxa"/>
            <w:bottom w:w="0" w:type="dxa"/>
            <w:right w:w="0" w:type="dxa"/>
          </w:tblCellMar>
        </w:tblPrEx>
        <w:trPr>
          <w:trHeight w:val="366" w:hRule="atLeast"/>
        </w:trPr>
        <w:tc>
          <w:tcPr>
            <w:tcW w:w="1211" w:type="pct"/>
            <w:vMerge w:val="continue"/>
            <w:tcBorders>
              <w:left w:val="single" w:color="000000" w:sz="4"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p>
        </w:tc>
        <w:tc>
          <w:tcPr>
            <w:tcW w:w="1211"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kern w:val="0"/>
                <w:sz w:val="18"/>
                <w:szCs w:val="20"/>
                <w:lang w:bidi="ar"/>
              </w:rPr>
              <w:t>植物油</w:t>
            </w:r>
          </w:p>
        </w:tc>
        <w:tc>
          <w:tcPr>
            <w:tcW w:w="12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rFonts w:ascii="宋体" w:hAnsi="宋体" w:cs="宋体"/>
                <w:kern w:val="0"/>
                <w:sz w:val="18"/>
                <w:szCs w:val="20"/>
                <w:lang w:bidi="ar"/>
              </w:rPr>
            </w:pPr>
            <w:r>
              <w:rPr>
                <w:rFonts w:ascii="宋体" w:hAnsi="宋体" w:cs="宋体"/>
                <w:kern w:val="0"/>
                <w:sz w:val="18"/>
                <w:szCs w:val="20"/>
                <w:lang w:bidi="ar"/>
              </w:rPr>
              <w:t>250</w:t>
            </w:r>
            <w:r>
              <w:rPr>
                <w:rFonts w:hint="eastAsia" w:ascii="宋体" w:hAnsi="宋体" w:cs="宋体"/>
                <w:kern w:val="0"/>
                <w:sz w:val="18"/>
                <w:szCs w:val="20"/>
                <w:lang w:bidi="ar"/>
              </w:rPr>
              <w:t>±</w:t>
            </w:r>
            <w:r>
              <w:rPr>
                <w:rFonts w:ascii="宋体" w:hAnsi="宋体" w:cs="宋体"/>
                <w:kern w:val="0"/>
                <w:sz w:val="18"/>
                <w:szCs w:val="20"/>
                <w:lang w:bidi="ar"/>
              </w:rPr>
              <w:t>5</w:t>
            </w:r>
            <w:r>
              <w:rPr>
                <w:rFonts w:hint="eastAsia" w:ascii="宋体" w:hAnsi="宋体" w:cs="宋体"/>
                <w:kern w:val="0"/>
                <w:sz w:val="18"/>
                <w:szCs w:val="20"/>
                <w:lang w:bidi="ar"/>
              </w:rPr>
              <w:t>0</w:t>
            </w:r>
          </w:p>
        </w:tc>
        <w:tc>
          <w:tcPr>
            <w:tcW w:w="1367" w:type="pct"/>
            <w:tcBorders>
              <w:top w:val="single" w:color="000000" w:sz="4" w:space="0"/>
              <w:left w:val="single" w:color="000000" w:sz="4" w:space="0"/>
              <w:bottom w:val="single" w:color="000000" w:sz="4" w:space="0"/>
              <w:right w:val="single" w:color="auto" w:sz="8" w:space="0"/>
            </w:tcBorders>
            <w:shd w:val="clear" w:color="auto" w:fill="auto"/>
            <w:noWrap/>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sz w:val="18"/>
                <w:szCs w:val="22"/>
              </w:rPr>
              <w:t>5.6～6.5</w:t>
            </w:r>
          </w:p>
        </w:tc>
      </w:tr>
      <w:tr>
        <w:tblPrEx>
          <w:tblCellMar>
            <w:top w:w="0" w:type="dxa"/>
            <w:left w:w="0" w:type="dxa"/>
            <w:bottom w:w="0" w:type="dxa"/>
            <w:right w:w="0" w:type="dxa"/>
          </w:tblCellMar>
        </w:tblPrEx>
        <w:trPr>
          <w:trHeight w:val="392" w:hRule="atLeast"/>
        </w:trPr>
        <w:tc>
          <w:tcPr>
            <w:tcW w:w="1211" w:type="pct"/>
            <w:vMerge w:val="continue"/>
            <w:tcBorders>
              <w:left w:val="single" w:color="000000" w:sz="4" w:space="0"/>
              <w:bottom w:val="single" w:color="000000" w:sz="8" w:space="0"/>
              <w:right w:val="single" w:color="000000" w:sz="4" w:space="0"/>
            </w:tcBorders>
            <w:vAlign w:val="center"/>
          </w:tcPr>
          <w:p>
            <w:pPr>
              <w:widowControl/>
              <w:spacing w:line="240" w:lineRule="auto"/>
              <w:jc w:val="center"/>
              <w:textAlignment w:val="center"/>
              <w:rPr>
                <w:rFonts w:ascii="宋体" w:hAnsi="宋体" w:cs="宋体"/>
                <w:color w:val="000000"/>
                <w:kern w:val="0"/>
                <w:sz w:val="18"/>
                <w:szCs w:val="22"/>
                <w:lang w:bidi="ar"/>
              </w:rPr>
            </w:pPr>
          </w:p>
        </w:tc>
        <w:tc>
          <w:tcPr>
            <w:tcW w:w="1211" w:type="pct"/>
            <w:tcBorders>
              <w:top w:val="single" w:color="000000" w:sz="4" w:space="0"/>
              <w:left w:val="single" w:color="000000" w:sz="4" w:space="0"/>
              <w:bottom w:val="single" w:color="000000" w:sz="8" w:space="0"/>
              <w:right w:val="single" w:color="000000" w:sz="4" w:space="0"/>
            </w:tcBorders>
            <w:vAlign w:val="center"/>
          </w:tcPr>
          <w:p>
            <w:pPr>
              <w:widowControl/>
              <w:spacing w:line="240" w:lineRule="auto"/>
              <w:jc w:val="center"/>
              <w:textAlignment w:val="center"/>
              <w:rPr>
                <w:rFonts w:ascii="宋体" w:hAnsi="宋体" w:cs="宋体"/>
                <w:kern w:val="0"/>
                <w:sz w:val="18"/>
                <w:szCs w:val="20"/>
                <w:lang w:bidi="ar"/>
              </w:rPr>
            </w:pPr>
            <w:r>
              <w:rPr>
                <w:rFonts w:hint="eastAsia" w:ascii="宋体" w:hAnsi="宋体" w:cs="宋体"/>
                <w:kern w:val="0"/>
                <w:sz w:val="18"/>
                <w:szCs w:val="20"/>
                <w:lang w:bidi="ar"/>
              </w:rPr>
              <w:t>水</w:t>
            </w:r>
          </w:p>
        </w:tc>
        <w:tc>
          <w:tcPr>
            <w:tcW w:w="1211"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ascii="宋体" w:hAnsi="宋体" w:cs="宋体"/>
                <w:kern w:val="0"/>
                <w:sz w:val="18"/>
                <w:szCs w:val="20"/>
                <w:lang w:bidi="ar"/>
              </w:rPr>
              <w:t>250</w:t>
            </w:r>
            <w:r>
              <w:rPr>
                <w:rFonts w:hint="eastAsia" w:ascii="宋体" w:hAnsi="宋体" w:cs="宋体"/>
                <w:kern w:val="0"/>
                <w:sz w:val="18"/>
                <w:szCs w:val="20"/>
                <w:lang w:bidi="ar"/>
              </w:rPr>
              <w:t>±</w:t>
            </w:r>
            <w:r>
              <w:rPr>
                <w:rFonts w:ascii="宋体" w:hAnsi="宋体" w:cs="宋体"/>
                <w:kern w:val="0"/>
                <w:sz w:val="18"/>
                <w:szCs w:val="20"/>
                <w:lang w:bidi="ar"/>
              </w:rPr>
              <w:t>5</w:t>
            </w:r>
            <w:r>
              <w:rPr>
                <w:rFonts w:hint="eastAsia" w:ascii="宋体" w:hAnsi="宋体" w:cs="宋体"/>
                <w:kern w:val="0"/>
                <w:sz w:val="18"/>
                <w:szCs w:val="20"/>
                <w:lang w:bidi="ar"/>
              </w:rPr>
              <w:t>0</w:t>
            </w:r>
          </w:p>
        </w:tc>
        <w:tc>
          <w:tcPr>
            <w:tcW w:w="1367" w:type="pct"/>
            <w:tcBorders>
              <w:top w:val="single" w:color="000000" w:sz="4" w:space="0"/>
              <w:left w:val="single" w:color="000000" w:sz="4" w:space="0"/>
              <w:bottom w:val="single" w:color="000000" w:sz="8" w:space="0"/>
              <w:right w:val="single" w:color="auto" w:sz="8" w:space="0"/>
            </w:tcBorders>
            <w:shd w:val="clear" w:color="auto" w:fill="auto"/>
            <w:noWrap/>
            <w:vAlign w:val="center"/>
          </w:tcPr>
          <w:p>
            <w:pPr>
              <w:widowControl/>
              <w:spacing w:line="240" w:lineRule="auto"/>
              <w:jc w:val="center"/>
              <w:textAlignment w:val="center"/>
              <w:rPr>
                <w:rFonts w:ascii="宋体" w:hAnsi="宋体" w:cs="宋体"/>
                <w:sz w:val="18"/>
                <w:szCs w:val="20"/>
              </w:rPr>
            </w:pPr>
            <w:r>
              <w:rPr>
                <w:rFonts w:hint="eastAsia" w:ascii="宋体" w:hAnsi="宋体" w:cs="宋体"/>
                <w:sz w:val="18"/>
                <w:szCs w:val="22"/>
              </w:rPr>
              <w:t>5.6～6.5</w:t>
            </w:r>
          </w:p>
        </w:tc>
      </w:tr>
    </w:tbl>
    <w:p>
      <w:pPr>
        <w:pStyle w:val="58"/>
        <w:ind w:firstLine="0" w:firstLineChars="0"/>
        <w:jc w:val="center"/>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linePitch="312" w:charSpace="0"/>
        </w:sectPr>
      </w:pPr>
    </w:p>
    <w:p>
      <w:pPr>
        <w:pStyle w:val="200"/>
      </w:pPr>
    </w:p>
    <w:p>
      <w:pPr>
        <w:pStyle w:val="201"/>
      </w:pPr>
    </w:p>
    <w:p>
      <w:pPr>
        <w:pStyle w:val="78"/>
        <w:spacing w:after="120"/>
      </w:pPr>
      <w:r>
        <w:br w:type="textWrapping"/>
      </w:r>
      <w:r>
        <w:rPr>
          <w:rFonts w:hint="eastAsia"/>
        </w:rPr>
        <w:t>（资料性）</w:t>
      </w:r>
      <w:r>
        <w:br w:type="textWrapping"/>
      </w:r>
      <w:r>
        <w:rPr>
          <w:rFonts w:hint="eastAsia"/>
        </w:rPr>
        <w:t>炒制状态参考图</w:t>
      </w:r>
    </w:p>
    <w:p>
      <w:pPr>
        <w:pStyle w:val="80"/>
        <w:spacing w:before="120" w:after="120"/>
      </w:pPr>
      <w:r>
        <w:t>没加调料前充分翻炒结束食品状态</w:t>
      </w:r>
      <w:r>
        <w:rPr>
          <w:rFonts w:hint="eastAsia"/>
        </w:rPr>
        <w:t>参考图</w:t>
      </w:r>
    </w:p>
    <w:p>
      <w:pPr>
        <w:pStyle w:val="58"/>
        <w:ind w:firstLine="420"/>
      </w:pPr>
      <w:r>
        <w:rPr>
          <w:rFonts w:hint="eastAsia"/>
        </w:rPr>
        <w:t>见图</w:t>
      </w:r>
      <w:r>
        <w:t>C.1</w:t>
      </w:r>
      <w:r>
        <w:rPr>
          <w:rFonts w:hint="eastAsia"/>
        </w:rPr>
        <w:t>。</w:t>
      </w:r>
    </w:p>
    <w:p>
      <w:pPr>
        <w:pStyle w:val="58"/>
        <w:ind w:firstLine="420"/>
      </w:pPr>
    </w:p>
    <w:tbl>
      <w:tblPr>
        <w:tblStyle w:val="2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3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344" w:type="dxa"/>
          </w:tcPr>
          <w:p>
            <w:pPr>
              <w:pStyle w:val="58"/>
              <w:ind w:firstLine="0" w:firstLineChars="0"/>
              <w:jc w:val="center"/>
            </w:pPr>
            <w:r>
              <w:rPr>
                <w:rFonts w:hint="eastAsia"/>
              </w:rPr>
              <w:drawing>
                <wp:inline distT="0" distB="0" distL="114300" distR="114300">
                  <wp:extent cx="3174365" cy="4761865"/>
                  <wp:effectExtent l="0" t="0" r="6985" b="635"/>
                  <wp:docPr id="43" name="图片 43" descr="没加调料前充分翻炒结束食品状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没加调料前充分翻炒结束食品状态"/>
                          <pic:cNvPicPr>
                            <a:picLocks noChangeAspect="1"/>
                          </pic:cNvPicPr>
                        </pic:nvPicPr>
                        <pic:blipFill>
                          <a:blip r:embed="rId33"/>
                          <a:stretch>
                            <a:fillRect/>
                          </a:stretch>
                        </pic:blipFill>
                        <pic:spPr>
                          <a:xfrm>
                            <a:off x="0" y="0"/>
                            <a:ext cx="3179615" cy="4769423"/>
                          </a:xfrm>
                          <a:prstGeom prst="rect">
                            <a:avLst/>
                          </a:prstGeom>
                        </pic:spPr>
                      </pic:pic>
                    </a:graphicData>
                  </a:graphic>
                </wp:inline>
              </w:drawing>
            </w:r>
          </w:p>
        </w:tc>
      </w:tr>
    </w:tbl>
    <w:p>
      <w:pPr>
        <w:pStyle w:val="85"/>
        <w:spacing w:before="120" w:after="120"/>
      </w:pPr>
      <w:r>
        <w:rPr>
          <w:rFonts w:hint="eastAsia"/>
        </w:rPr>
        <w:t>没加调料前充分翻炒结束食品状态图</w:t>
      </w:r>
    </w:p>
    <w:p>
      <w:pPr>
        <w:jc w:val="center"/>
      </w:pPr>
      <w:r>
        <w:br w:type="page"/>
      </w:r>
    </w:p>
    <w:p>
      <w:pPr>
        <w:pStyle w:val="80"/>
        <w:spacing w:before="120" w:after="120"/>
      </w:pPr>
      <w:r>
        <w:t>充分翻炒结束可出锅前食品状态</w:t>
      </w:r>
      <w:r>
        <w:rPr>
          <w:rFonts w:hint="eastAsia"/>
        </w:rPr>
        <w:t>参考图</w:t>
      </w:r>
    </w:p>
    <w:p>
      <w:pPr>
        <w:pStyle w:val="58"/>
        <w:ind w:firstLine="420"/>
      </w:pPr>
      <w:r>
        <w:rPr>
          <w:rFonts w:hint="eastAsia"/>
        </w:rPr>
        <w:t>见图</w:t>
      </w:r>
      <w:r>
        <w:t>C</w:t>
      </w:r>
      <w:r>
        <w:rPr>
          <w:rFonts w:hint="eastAsia"/>
        </w:rPr>
        <w:t>.</w:t>
      </w:r>
      <w:r>
        <w:t>2</w:t>
      </w:r>
      <w:r>
        <w:rPr>
          <w:rFonts w:hint="eastAsia"/>
        </w:rPr>
        <w:t>。</w:t>
      </w:r>
      <w:r>
        <w:t xml:space="preserve"> </w:t>
      </w:r>
    </w:p>
    <w:p>
      <w:pPr>
        <w:pStyle w:val="58"/>
        <w:ind w:firstLine="420"/>
      </w:pPr>
    </w:p>
    <w:tbl>
      <w:tblPr>
        <w:tblStyle w:val="2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3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344" w:type="dxa"/>
          </w:tcPr>
          <w:p>
            <w:pPr>
              <w:pStyle w:val="58"/>
              <w:ind w:firstLine="0" w:firstLineChars="0"/>
              <w:jc w:val="center"/>
            </w:pPr>
            <w:r>
              <w:rPr>
                <w:rFonts w:hint="eastAsia"/>
              </w:rPr>
              <w:drawing>
                <wp:inline distT="0" distB="0" distL="114300" distR="114300">
                  <wp:extent cx="4645025" cy="4443730"/>
                  <wp:effectExtent l="0" t="0" r="3175" b="0"/>
                  <wp:docPr id="48" name="图片 48" descr="充分翻炒结束可出锅前食品状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充分翻炒结束可出锅前食品状态"/>
                          <pic:cNvPicPr>
                            <a:picLocks noChangeAspect="1"/>
                          </pic:cNvPicPr>
                        </pic:nvPicPr>
                        <pic:blipFill>
                          <a:blip r:embed="rId34"/>
                          <a:stretch>
                            <a:fillRect/>
                          </a:stretch>
                        </pic:blipFill>
                        <pic:spPr>
                          <a:xfrm>
                            <a:off x="0" y="0"/>
                            <a:ext cx="4649977" cy="4448958"/>
                          </a:xfrm>
                          <a:prstGeom prst="rect">
                            <a:avLst/>
                          </a:prstGeom>
                        </pic:spPr>
                      </pic:pic>
                    </a:graphicData>
                  </a:graphic>
                </wp:inline>
              </w:drawing>
            </w:r>
          </w:p>
        </w:tc>
      </w:tr>
    </w:tbl>
    <w:p>
      <w:pPr>
        <w:pStyle w:val="85"/>
        <w:spacing w:before="120" w:after="120"/>
        <w:sectPr>
          <w:headerReference r:id="rId25" w:type="default"/>
          <w:headerReference r:id="rId26" w:type="even"/>
          <w:footerReference r:id="rId27" w:type="even"/>
          <w:pgSz w:w="11906" w:h="16838"/>
          <w:pgMar w:top="1928" w:right="1134" w:bottom="1134" w:left="1134" w:header="1418" w:footer="1134" w:gutter="284"/>
          <w:cols w:space="425" w:num="1"/>
          <w:formProt w:val="0"/>
          <w:docGrid w:linePitch="312" w:charSpace="0"/>
        </w:sectPr>
      </w:pPr>
      <w:r>
        <w:rPr>
          <w:rFonts w:hint="eastAsia"/>
        </w:rPr>
        <w:t>充分翻炒结束可出锅前食品状态图</w:t>
      </w:r>
    </w:p>
    <w:p>
      <w:pPr>
        <w:pStyle w:val="200"/>
      </w:pPr>
    </w:p>
    <w:p>
      <w:pPr>
        <w:pStyle w:val="201"/>
      </w:pPr>
    </w:p>
    <w:p>
      <w:pPr>
        <w:pStyle w:val="78"/>
        <w:spacing w:after="120"/>
      </w:pPr>
      <w:r>
        <w:br w:type="textWrapping"/>
      </w:r>
      <w:r>
        <w:rPr>
          <w:rFonts w:hint="eastAsia"/>
        </w:rPr>
        <w:t>（资料性）</w:t>
      </w:r>
      <w:r>
        <w:br w:type="textWrapping"/>
      </w:r>
      <w:r>
        <w:rPr>
          <w:rFonts w:hint="eastAsia"/>
        </w:rPr>
        <w:t>广西柠檬鸭成品图</w:t>
      </w:r>
    </w:p>
    <w:p>
      <w:pPr>
        <w:pStyle w:val="58"/>
        <w:ind w:firstLine="420"/>
      </w:pPr>
      <w:r>
        <w:rPr>
          <w:rFonts w:hint="eastAsia"/>
        </w:rPr>
        <w:t>图</w:t>
      </w:r>
      <w:r>
        <w:t>D.1</w:t>
      </w:r>
      <w:r>
        <w:rPr>
          <w:rFonts w:hint="eastAsia"/>
        </w:rPr>
        <w:t>给出了广西柠檬鸭成品图。</w:t>
      </w:r>
    </w:p>
    <w:p>
      <w:pPr>
        <w:pStyle w:val="58"/>
        <w:ind w:firstLine="420"/>
      </w:pPr>
    </w:p>
    <w:tbl>
      <w:tblPr>
        <w:tblStyle w:val="2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3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344" w:type="dxa"/>
          </w:tcPr>
          <w:p>
            <w:pPr>
              <w:pStyle w:val="58"/>
              <w:ind w:firstLine="0" w:firstLineChars="0"/>
              <w:jc w:val="center"/>
            </w:pPr>
            <w:r>
              <w:drawing>
                <wp:inline distT="0" distB="0" distL="0" distR="0">
                  <wp:extent cx="4524375" cy="5051425"/>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5"/>
                          <a:srcRect/>
                          <a:stretch>
                            <a:fillRect/>
                          </a:stretch>
                        </pic:blipFill>
                        <pic:spPr>
                          <a:xfrm>
                            <a:off x="0" y="0"/>
                            <a:ext cx="4532138" cy="5059988"/>
                          </a:xfrm>
                          <a:prstGeom prst="rect">
                            <a:avLst/>
                          </a:prstGeom>
                          <a:noFill/>
                          <a:ln>
                            <a:noFill/>
                          </a:ln>
                        </pic:spPr>
                      </pic:pic>
                    </a:graphicData>
                  </a:graphic>
                </wp:inline>
              </w:drawing>
            </w:r>
          </w:p>
        </w:tc>
      </w:tr>
    </w:tbl>
    <w:p>
      <w:pPr>
        <w:pStyle w:val="85"/>
        <w:spacing w:before="120" w:after="120"/>
      </w:pPr>
      <w:r>
        <w:rPr>
          <w:rFonts w:hint="eastAsia"/>
        </w:rPr>
        <w:t>广西柠檬鸭成品图</w:t>
      </w:r>
    </w:p>
    <w:p>
      <w:pPr>
        <w:pStyle w:val="58"/>
        <w:ind w:firstLine="420"/>
      </w:pPr>
    </w:p>
    <w:p>
      <w:pPr>
        <w:pStyle w:val="58"/>
        <w:ind w:firstLine="420"/>
      </w:pPr>
    </w:p>
    <w:bookmarkEnd w:id="58"/>
    <w:p>
      <w:pPr>
        <w:pStyle w:val="58"/>
        <w:ind w:firstLine="0" w:firstLineChars="0"/>
        <w:jc w:val="center"/>
      </w:pPr>
      <w:bookmarkStart w:id="61" w:name="BookMark8"/>
      <w:r>
        <w:drawing>
          <wp:inline distT="0" distB="0" distL="0" distR="0">
            <wp:extent cx="1485900" cy="317500"/>
            <wp:effectExtent l="0" t="0" r="0" b="635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3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1"/>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3YTI4ZGQ5MTQ3NTlmYjllMzgzNTgyODdkYTViYmIifQ=="/>
  </w:docVars>
  <w:rsids>
    <w:rsidRoot w:val="006167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D96"/>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3459"/>
    <w:rsid w:val="000A7311"/>
    <w:rsid w:val="000A7513"/>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7AC"/>
    <w:rsid w:val="000D329A"/>
    <w:rsid w:val="000D4B9C"/>
    <w:rsid w:val="000D4EB6"/>
    <w:rsid w:val="000D753B"/>
    <w:rsid w:val="000E2E57"/>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381"/>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97DC3"/>
    <w:rsid w:val="001A1A53"/>
    <w:rsid w:val="001A234A"/>
    <w:rsid w:val="001A3E4A"/>
    <w:rsid w:val="001A4CF3"/>
    <w:rsid w:val="001A6696"/>
    <w:rsid w:val="001B06E8"/>
    <w:rsid w:val="001B4C6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88C"/>
    <w:rsid w:val="001E1B6A"/>
    <w:rsid w:val="001E2484"/>
    <w:rsid w:val="001E343C"/>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BAF"/>
    <w:rsid w:val="00254B87"/>
    <w:rsid w:val="0026148A"/>
    <w:rsid w:val="00262696"/>
    <w:rsid w:val="00263D25"/>
    <w:rsid w:val="002643C3"/>
    <w:rsid w:val="00264A0C"/>
    <w:rsid w:val="00266EEB"/>
    <w:rsid w:val="00267EF4"/>
    <w:rsid w:val="00270CB8"/>
    <w:rsid w:val="00272B08"/>
    <w:rsid w:val="00281BB8"/>
    <w:rsid w:val="00281E9E"/>
    <w:rsid w:val="00282405"/>
    <w:rsid w:val="00285170"/>
    <w:rsid w:val="002852F7"/>
    <w:rsid w:val="00285361"/>
    <w:rsid w:val="00292D60"/>
    <w:rsid w:val="00293B30"/>
    <w:rsid w:val="00294A4B"/>
    <w:rsid w:val="00294D34"/>
    <w:rsid w:val="00294E3B"/>
    <w:rsid w:val="00296193"/>
    <w:rsid w:val="00296C66"/>
    <w:rsid w:val="00296EBE"/>
    <w:rsid w:val="002974E3"/>
    <w:rsid w:val="00297D49"/>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0E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810"/>
    <w:rsid w:val="00302F5F"/>
    <w:rsid w:val="0030441D"/>
    <w:rsid w:val="00306063"/>
    <w:rsid w:val="00311AB5"/>
    <w:rsid w:val="00313B85"/>
    <w:rsid w:val="00317988"/>
    <w:rsid w:val="003221B4"/>
    <w:rsid w:val="0032258D"/>
    <w:rsid w:val="00322E62"/>
    <w:rsid w:val="00324D13"/>
    <w:rsid w:val="00324EDD"/>
    <w:rsid w:val="00333084"/>
    <w:rsid w:val="003331E4"/>
    <w:rsid w:val="00336C64"/>
    <w:rsid w:val="00337162"/>
    <w:rsid w:val="0034194F"/>
    <w:rsid w:val="00344605"/>
    <w:rsid w:val="003474AA"/>
    <w:rsid w:val="00350D1D"/>
    <w:rsid w:val="00352C83"/>
    <w:rsid w:val="00352F1A"/>
    <w:rsid w:val="0036107C"/>
    <w:rsid w:val="003615D2"/>
    <w:rsid w:val="0036340E"/>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FF8"/>
    <w:rsid w:val="0041477A"/>
    <w:rsid w:val="004167A3"/>
    <w:rsid w:val="00432DAA"/>
    <w:rsid w:val="00434305"/>
    <w:rsid w:val="00435DF7"/>
    <w:rsid w:val="0044083F"/>
    <w:rsid w:val="00441AE7"/>
    <w:rsid w:val="00443E1A"/>
    <w:rsid w:val="00445574"/>
    <w:rsid w:val="004467FB"/>
    <w:rsid w:val="00452D6B"/>
    <w:rsid w:val="00454484"/>
    <w:rsid w:val="0045517B"/>
    <w:rsid w:val="00456774"/>
    <w:rsid w:val="00463B77"/>
    <w:rsid w:val="00463C7B"/>
    <w:rsid w:val="004641F0"/>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60FA"/>
    <w:rsid w:val="004B6E4C"/>
    <w:rsid w:val="004C1FBC"/>
    <w:rsid w:val="004C25A2"/>
    <w:rsid w:val="004C3F1D"/>
    <w:rsid w:val="004C458D"/>
    <w:rsid w:val="004C7556"/>
    <w:rsid w:val="004C7E8B"/>
    <w:rsid w:val="004C7E9D"/>
    <w:rsid w:val="004C7F67"/>
    <w:rsid w:val="004D076D"/>
    <w:rsid w:val="004D0EF1"/>
    <w:rsid w:val="004D2253"/>
    <w:rsid w:val="004D331D"/>
    <w:rsid w:val="004D4406"/>
    <w:rsid w:val="004D7AB6"/>
    <w:rsid w:val="004D7C42"/>
    <w:rsid w:val="004E0465"/>
    <w:rsid w:val="004E127B"/>
    <w:rsid w:val="004E1C0A"/>
    <w:rsid w:val="004E30C5"/>
    <w:rsid w:val="004E3D3C"/>
    <w:rsid w:val="004E4AA5"/>
    <w:rsid w:val="004E4AEE"/>
    <w:rsid w:val="004E59E3"/>
    <w:rsid w:val="004E67C0"/>
    <w:rsid w:val="004F391A"/>
    <w:rsid w:val="004F3CFB"/>
    <w:rsid w:val="004F4A5A"/>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854"/>
    <w:rsid w:val="00523F95"/>
    <w:rsid w:val="00524D65"/>
    <w:rsid w:val="00525B16"/>
    <w:rsid w:val="00527731"/>
    <w:rsid w:val="00531CF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40"/>
    <w:rsid w:val="005561D7"/>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4A1B"/>
    <w:rsid w:val="005A6429"/>
    <w:rsid w:val="005A7830"/>
    <w:rsid w:val="005A7FCE"/>
    <w:rsid w:val="005B0F3F"/>
    <w:rsid w:val="005B191C"/>
    <w:rsid w:val="005B4764"/>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6BD8"/>
    <w:rsid w:val="006015CE"/>
    <w:rsid w:val="00604784"/>
    <w:rsid w:val="00606419"/>
    <w:rsid w:val="00607D29"/>
    <w:rsid w:val="006125F9"/>
    <w:rsid w:val="00612952"/>
    <w:rsid w:val="00614CC1"/>
    <w:rsid w:val="00615A9D"/>
    <w:rsid w:val="00616760"/>
    <w:rsid w:val="00617387"/>
    <w:rsid w:val="006205D6"/>
    <w:rsid w:val="006252D8"/>
    <w:rsid w:val="006259BC"/>
    <w:rsid w:val="0062636B"/>
    <w:rsid w:val="0063025E"/>
    <w:rsid w:val="00632182"/>
    <w:rsid w:val="00632AE0"/>
    <w:rsid w:val="00633C17"/>
    <w:rsid w:val="00634D9E"/>
    <w:rsid w:val="00636E3E"/>
    <w:rsid w:val="006379F7"/>
    <w:rsid w:val="00637E4D"/>
    <w:rsid w:val="00640620"/>
    <w:rsid w:val="00641A1F"/>
    <w:rsid w:val="00642B6E"/>
    <w:rsid w:val="00645904"/>
    <w:rsid w:val="00650729"/>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7472"/>
    <w:rsid w:val="006B2672"/>
    <w:rsid w:val="006B54BF"/>
    <w:rsid w:val="006B5F44"/>
    <w:rsid w:val="006B5F90"/>
    <w:rsid w:val="006B62E4"/>
    <w:rsid w:val="006B6C19"/>
    <w:rsid w:val="006B77F7"/>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6188"/>
    <w:rsid w:val="00707669"/>
    <w:rsid w:val="00711CBA"/>
    <w:rsid w:val="00711FB5"/>
    <w:rsid w:val="00712A01"/>
    <w:rsid w:val="00714F58"/>
    <w:rsid w:val="00722FBF"/>
    <w:rsid w:val="00722FC2"/>
    <w:rsid w:val="00724ADC"/>
    <w:rsid w:val="00724E1B"/>
    <w:rsid w:val="00725949"/>
    <w:rsid w:val="00727FA2"/>
    <w:rsid w:val="0073038F"/>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557"/>
    <w:rsid w:val="00752B4D"/>
    <w:rsid w:val="00755402"/>
    <w:rsid w:val="00756B26"/>
    <w:rsid w:val="00756EDF"/>
    <w:rsid w:val="007600E3"/>
    <w:rsid w:val="00765C43"/>
    <w:rsid w:val="00765EFB"/>
    <w:rsid w:val="007671CA"/>
    <w:rsid w:val="00767C61"/>
    <w:rsid w:val="0077008A"/>
    <w:rsid w:val="00773C1F"/>
    <w:rsid w:val="00774DA4"/>
    <w:rsid w:val="00776599"/>
    <w:rsid w:val="00780950"/>
    <w:rsid w:val="00780B75"/>
    <w:rsid w:val="0078114B"/>
    <w:rsid w:val="00781DD2"/>
    <w:rsid w:val="00783ECF"/>
    <w:rsid w:val="0078413A"/>
    <w:rsid w:val="007959E8"/>
    <w:rsid w:val="00795D5B"/>
    <w:rsid w:val="00795E9C"/>
    <w:rsid w:val="007A0521"/>
    <w:rsid w:val="007A0F20"/>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34B0"/>
    <w:rsid w:val="007D3C7D"/>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1EFB"/>
    <w:rsid w:val="0083348C"/>
    <w:rsid w:val="008373D3"/>
    <w:rsid w:val="00840617"/>
    <w:rsid w:val="00840F84"/>
    <w:rsid w:val="00842A47"/>
    <w:rsid w:val="00843C13"/>
    <w:rsid w:val="00843DEF"/>
    <w:rsid w:val="008454F8"/>
    <w:rsid w:val="0085173A"/>
    <w:rsid w:val="00855682"/>
    <w:rsid w:val="008603CE"/>
    <w:rsid w:val="008620FC"/>
    <w:rsid w:val="008627A5"/>
    <w:rsid w:val="00863E05"/>
    <w:rsid w:val="008642BC"/>
    <w:rsid w:val="00865ACA"/>
    <w:rsid w:val="00865D28"/>
    <w:rsid w:val="00865F85"/>
    <w:rsid w:val="00867C10"/>
    <w:rsid w:val="00870439"/>
    <w:rsid w:val="00870DA1"/>
    <w:rsid w:val="00871C1B"/>
    <w:rsid w:val="0087762B"/>
    <w:rsid w:val="00883BD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A35"/>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CB4"/>
    <w:rsid w:val="008E2319"/>
    <w:rsid w:val="008E4BB6"/>
    <w:rsid w:val="008E5518"/>
    <w:rsid w:val="008E6197"/>
    <w:rsid w:val="008E6A84"/>
    <w:rsid w:val="008F0CDC"/>
    <w:rsid w:val="008F17A3"/>
    <w:rsid w:val="008F1ED3"/>
    <w:rsid w:val="008F2C12"/>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63A"/>
    <w:rsid w:val="009249EC"/>
    <w:rsid w:val="009273B3"/>
    <w:rsid w:val="009305B5"/>
    <w:rsid w:val="00931788"/>
    <w:rsid w:val="009342FD"/>
    <w:rsid w:val="009367F5"/>
    <w:rsid w:val="009378DD"/>
    <w:rsid w:val="009401B1"/>
    <w:rsid w:val="009429D5"/>
    <w:rsid w:val="00942BF1"/>
    <w:rsid w:val="00945180"/>
    <w:rsid w:val="00945428"/>
    <w:rsid w:val="0094607B"/>
    <w:rsid w:val="009513A0"/>
    <w:rsid w:val="00953604"/>
    <w:rsid w:val="0095496B"/>
    <w:rsid w:val="00960F1E"/>
    <w:rsid w:val="009610DC"/>
    <w:rsid w:val="00961490"/>
    <w:rsid w:val="0096381A"/>
    <w:rsid w:val="00964B57"/>
    <w:rsid w:val="00965E04"/>
    <w:rsid w:val="009674AD"/>
    <w:rsid w:val="00970CDC"/>
    <w:rsid w:val="00975727"/>
    <w:rsid w:val="00977010"/>
    <w:rsid w:val="00977D02"/>
    <w:rsid w:val="00977FF9"/>
    <w:rsid w:val="009809BB"/>
    <w:rsid w:val="0098364B"/>
    <w:rsid w:val="009849CF"/>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A72D4"/>
    <w:rsid w:val="009A7BBC"/>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28F3"/>
    <w:rsid w:val="009E4A58"/>
    <w:rsid w:val="009E5A2D"/>
    <w:rsid w:val="009E5AB2"/>
    <w:rsid w:val="009E6219"/>
    <w:rsid w:val="009F03B3"/>
    <w:rsid w:val="00A0096C"/>
    <w:rsid w:val="00A01757"/>
    <w:rsid w:val="00A028C0"/>
    <w:rsid w:val="00A02BAE"/>
    <w:rsid w:val="00A06A6B"/>
    <w:rsid w:val="00A07E47"/>
    <w:rsid w:val="00A125E1"/>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1EDF"/>
    <w:rsid w:val="00A55232"/>
    <w:rsid w:val="00A55BD6"/>
    <w:rsid w:val="00A55D50"/>
    <w:rsid w:val="00A57142"/>
    <w:rsid w:val="00A603DE"/>
    <w:rsid w:val="00A648CD"/>
    <w:rsid w:val="00A6537A"/>
    <w:rsid w:val="00A67866"/>
    <w:rsid w:val="00A70B07"/>
    <w:rsid w:val="00A723F8"/>
    <w:rsid w:val="00A74883"/>
    <w:rsid w:val="00A77CCB"/>
    <w:rsid w:val="00A83D8D"/>
    <w:rsid w:val="00A8446B"/>
    <w:rsid w:val="00A8473F"/>
    <w:rsid w:val="00A862D6"/>
    <w:rsid w:val="00A8715E"/>
    <w:rsid w:val="00A9295B"/>
    <w:rsid w:val="00A93B09"/>
    <w:rsid w:val="00A94C84"/>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85D"/>
    <w:rsid w:val="00AC4D95"/>
    <w:rsid w:val="00AC5DF4"/>
    <w:rsid w:val="00AD0AEF"/>
    <w:rsid w:val="00AD11B7"/>
    <w:rsid w:val="00AD1A94"/>
    <w:rsid w:val="00AD1C05"/>
    <w:rsid w:val="00AD4126"/>
    <w:rsid w:val="00AD421C"/>
    <w:rsid w:val="00AD44FA"/>
    <w:rsid w:val="00AD5B6F"/>
    <w:rsid w:val="00AD66CB"/>
    <w:rsid w:val="00AE057B"/>
    <w:rsid w:val="00AE070A"/>
    <w:rsid w:val="00AE0D83"/>
    <w:rsid w:val="00AE101C"/>
    <w:rsid w:val="00AE1072"/>
    <w:rsid w:val="00AE19FF"/>
    <w:rsid w:val="00AE2A69"/>
    <w:rsid w:val="00AE37E5"/>
    <w:rsid w:val="00AE5EB4"/>
    <w:rsid w:val="00AF0C18"/>
    <w:rsid w:val="00AF47C5"/>
    <w:rsid w:val="00AF5398"/>
    <w:rsid w:val="00AF7941"/>
    <w:rsid w:val="00B02ABC"/>
    <w:rsid w:val="00B049AF"/>
    <w:rsid w:val="00B07242"/>
    <w:rsid w:val="00B10534"/>
    <w:rsid w:val="00B10AF3"/>
    <w:rsid w:val="00B113DB"/>
    <w:rsid w:val="00B11D8A"/>
    <w:rsid w:val="00B12981"/>
    <w:rsid w:val="00B147DD"/>
    <w:rsid w:val="00B156FD"/>
    <w:rsid w:val="00B21F61"/>
    <w:rsid w:val="00B24D8E"/>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4B81"/>
    <w:rsid w:val="00B86677"/>
    <w:rsid w:val="00B87131"/>
    <w:rsid w:val="00B875E7"/>
    <w:rsid w:val="00B920F0"/>
    <w:rsid w:val="00B939B1"/>
    <w:rsid w:val="00B96D40"/>
    <w:rsid w:val="00B97386"/>
    <w:rsid w:val="00BA263B"/>
    <w:rsid w:val="00BA42B2"/>
    <w:rsid w:val="00BA58D4"/>
    <w:rsid w:val="00BA5B9E"/>
    <w:rsid w:val="00BA7C9A"/>
    <w:rsid w:val="00BB5F8F"/>
    <w:rsid w:val="00BB657A"/>
    <w:rsid w:val="00BC1A4E"/>
    <w:rsid w:val="00BC4784"/>
    <w:rsid w:val="00BC5DC7"/>
    <w:rsid w:val="00BC6B8B"/>
    <w:rsid w:val="00BC73D8"/>
    <w:rsid w:val="00BD52D7"/>
    <w:rsid w:val="00BD5AD2"/>
    <w:rsid w:val="00BE22F3"/>
    <w:rsid w:val="00BE538C"/>
    <w:rsid w:val="00BE5B52"/>
    <w:rsid w:val="00BE7B8D"/>
    <w:rsid w:val="00BE7D96"/>
    <w:rsid w:val="00BF00FC"/>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6FE"/>
    <w:rsid w:val="00C26B53"/>
    <w:rsid w:val="00C279B2"/>
    <w:rsid w:val="00C33E50"/>
    <w:rsid w:val="00C34C20"/>
    <w:rsid w:val="00C35A3E"/>
    <w:rsid w:val="00C42130"/>
    <w:rsid w:val="00C423A4"/>
    <w:rsid w:val="00C423E3"/>
    <w:rsid w:val="00C43076"/>
    <w:rsid w:val="00C44BF5"/>
    <w:rsid w:val="00C521D6"/>
    <w:rsid w:val="00C55232"/>
    <w:rsid w:val="00C553A4"/>
    <w:rsid w:val="00C55A06"/>
    <w:rsid w:val="00C55D03"/>
    <w:rsid w:val="00C579FF"/>
    <w:rsid w:val="00C601BC"/>
    <w:rsid w:val="00C6329F"/>
    <w:rsid w:val="00C63340"/>
    <w:rsid w:val="00C643F9"/>
    <w:rsid w:val="00C64E95"/>
    <w:rsid w:val="00C664C1"/>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091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01"/>
    <w:rsid w:val="00D4162B"/>
    <w:rsid w:val="00D4514F"/>
    <w:rsid w:val="00D451E2"/>
    <w:rsid w:val="00D45E89"/>
    <w:rsid w:val="00D45E8D"/>
    <w:rsid w:val="00D466AE"/>
    <w:rsid w:val="00D4734F"/>
    <w:rsid w:val="00D51BF3"/>
    <w:rsid w:val="00D6164B"/>
    <w:rsid w:val="00D66846"/>
    <w:rsid w:val="00D675FB"/>
    <w:rsid w:val="00D71F25"/>
    <w:rsid w:val="00D72A9C"/>
    <w:rsid w:val="00D7484B"/>
    <w:rsid w:val="00D77031"/>
    <w:rsid w:val="00D81CA4"/>
    <w:rsid w:val="00D84941"/>
    <w:rsid w:val="00D84FA1"/>
    <w:rsid w:val="00D851F0"/>
    <w:rsid w:val="00D86DB7"/>
    <w:rsid w:val="00D87BF5"/>
    <w:rsid w:val="00D90721"/>
    <w:rsid w:val="00D9079A"/>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B0258"/>
    <w:rsid w:val="00DB34F1"/>
    <w:rsid w:val="00DB38EE"/>
    <w:rsid w:val="00DB498B"/>
    <w:rsid w:val="00DB66CA"/>
    <w:rsid w:val="00DB6BCA"/>
    <w:rsid w:val="00DB6F54"/>
    <w:rsid w:val="00DB73F7"/>
    <w:rsid w:val="00DB7C0C"/>
    <w:rsid w:val="00DC0321"/>
    <w:rsid w:val="00DC3067"/>
    <w:rsid w:val="00DC370B"/>
    <w:rsid w:val="00DC5B90"/>
    <w:rsid w:val="00DD00FF"/>
    <w:rsid w:val="00DD0619"/>
    <w:rsid w:val="00DD07FB"/>
    <w:rsid w:val="00DD0C0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1E69"/>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12E0"/>
    <w:rsid w:val="00EE5E1C"/>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6D6"/>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9AF"/>
    <w:rsid w:val="00F71E22"/>
    <w:rsid w:val="00F72142"/>
    <w:rsid w:val="00F72AE7"/>
    <w:rsid w:val="00F77322"/>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A32"/>
    <w:rsid w:val="00FE7E79"/>
    <w:rsid w:val="00FF3E7D"/>
    <w:rsid w:val="00FF5B99"/>
    <w:rsid w:val="00FF730C"/>
    <w:rsid w:val="00FF73F4"/>
    <w:rsid w:val="00FF7CE4"/>
    <w:rsid w:val="00FF7E39"/>
    <w:rsid w:val="033E48CA"/>
    <w:rsid w:val="043F0BEF"/>
    <w:rsid w:val="083245AE"/>
    <w:rsid w:val="0ADD4CBE"/>
    <w:rsid w:val="0BB22E2F"/>
    <w:rsid w:val="0C825B1D"/>
    <w:rsid w:val="0DA1663F"/>
    <w:rsid w:val="0E325320"/>
    <w:rsid w:val="26F62F37"/>
    <w:rsid w:val="27CE795C"/>
    <w:rsid w:val="2B7803BF"/>
    <w:rsid w:val="2DE14369"/>
    <w:rsid w:val="2DFF6B75"/>
    <w:rsid w:val="305E7B19"/>
    <w:rsid w:val="33686F6B"/>
    <w:rsid w:val="3A0B68A2"/>
    <w:rsid w:val="3A4F1569"/>
    <w:rsid w:val="3C85293C"/>
    <w:rsid w:val="4DDE7EEA"/>
    <w:rsid w:val="4FF52A99"/>
    <w:rsid w:val="5591003C"/>
    <w:rsid w:val="565468EF"/>
    <w:rsid w:val="59747B68"/>
    <w:rsid w:val="5BAD55B3"/>
    <w:rsid w:val="73E133AB"/>
    <w:rsid w:val="75F776FF"/>
    <w:rsid w:val="78202F3D"/>
    <w:rsid w:val="789D4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9"/>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Document Map"/>
    <w:basedOn w:val="1"/>
    <w:link w:val="232"/>
    <w:autoRedefine/>
    <w:semiHidden/>
    <w:unhideWhenUsed/>
    <w:qFormat/>
    <w:uiPriority w:val="99"/>
    <w:rPr>
      <w:rFonts w:ascii="宋体"/>
      <w:sz w:val="18"/>
      <w:szCs w:val="18"/>
    </w:rPr>
  </w:style>
  <w:style w:type="paragraph" w:styleId="14">
    <w:name w:val="Body Text"/>
    <w:basedOn w:val="1"/>
    <w:link w:val="88"/>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autoRedefine/>
    <w:semiHidden/>
    <w:unhideWhenUsed/>
    <w:qFormat/>
    <w:uiPriority w:val="99"/>
    <w:rPr>
      <w:sz w:val="18"/>
      <w:szCs w:val="18"/>
    </w:rPr>
  </w:style>
  <w:style w:type="paragraph" w:styleId="18">
    <w:name w:val="footer"/>
    <w:basedOn w:val="1"/>
    <w:link w:val="4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autoRedefine/>
    <w:semiHidden/>
    <w:unhideWhenUsed/>
    <w:qFormat/>
    <w:uiPriority w:val="99"/>
    <w:pPr>
      <w:spacing w:beforeAutospacing="1" w:afterAutospacing="1"/>
      <w:jc w:val="left"/>
    </w:pPr>
    <w:rPr>
      <w:kern w:val="0"/>
      <w:sz w:val="24"/>
    </w:rPr>
  </w:style>
  <w:style w:type="paragraph" w:styleId="27">
    <w:name w:val="Title"/>
    <w:basedOn w:val="1"/>
    <w:link w:val="50"/>
    <w:autoRedefine/>
    <w:qFormat/>
    <w:uiPriority w:val="0"/>
    <w:pPr>
      <w:spacing w:before="240" w:after="60"/>
      <w:jc w:val="center"/>
      <w:outlineLvl w:val="0"/>
    </w:pPr>
    <w:rPr>
      <w:rFonts w:ascii="Arial" w:hAnsi="Arial" w:cs="Arial"/>
      <w:b/>
      <w:bCs/>
      <w:sz w:val="32"/>
      <w:szCs w:val="32"/>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footnote reference"/>
    <w:autoRedefine/>
    <w:semiHidden/>
    <w:qFormat/>
    <w:uiPriority w:val="0"/>
    <w:rPr>
      <w:rFonts w:ascii="宋体" w:hAnsi="宋体" w:eastAsia="宋体" w:cs="Times New Roman"/>
      <w:spacing w:val="0"/>
      <w:sz w:val="18"/>
      <w:vertAlign w:val="superscript"/>
    </w:rPr>
  </w:style>
  <w:style w:type="character" w:customStyle="1" w:styleId="36">
    <w:name w:val="标题 1 字符"/>
    <w:link w:val="2"/>
    <w:autoRedefine/>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autoRedefine/>
    <w:qFormat/>
    <w:uiPriority w:val="0"/>
    <w:rPr>
      <w:b/>
      <w:bCs/>
      <w:kern w:val="2"/>
      <w:sz w:val="32"/>
      <w:szCs w:val="32"/>
    </w:rPr>
  </w:style>
  <w:style w:type="character" w:customStyle="1" w:styleId="39">
    <w:name w:val="标题 4 字符"/>
    <w:link w:val="5"/>
    <w:autoRedefine/>
    <w:qFormat/>
    <w:uiPriority w:val="0"/>
    <w:rPr>
      <w:rFonts w:ascii="Arial" w:hAnsi="Arial" w:eastAsia="黑体"/>
      <w:b/>
      <w:bCs/>
      <w:kern w:val="2"/>
      <w:sz w:val="28"/>
      <w:szCs w:val="28"/>
    </w:rPr>
  </w:style>
  <w:style w:type="character" w:customStyle="1" w:styleId="40">
    <w:name w:val="标题 5 字符"/>
    <w:link w:val="6"/>
    <w:autoRedefine/>
    <w:qFormat/>
    <w:uiPriority w:val="0"/>
    <w:rPr>
      <w:b/>
      <w:bCs/>
      <w:kern w:val="2"/>
      <w:sz w:val="28"/>
      <w:szCs w:val="28"/>
    </w:rPr>
  </w:style>
  <w:style w:type="character" w:customStyle="1" w:styleId="41">
    <w:name w:val="标题 6 字符"/>
    <w:link w:val="7"/>
    <w:autoRedefine/>
    <w:qFormat/>
    <w:uiPriority w:val="0"/>
    <w:rPr>
      <w:rFonts w:ascii="Arial" w:hAnsi="Arial" w:eastAsia="黑体"/>
      <w:b/>
      <w:bCs/>
      <w:kern w:val="2"/>
      <w:sz w:val="24"/>
      <w:szCs w:val="24"/>
    </w:rPr>
  </w:style>
  <w:style w:type="character" w:customStyle="1" w:styleId="42">
    <w:name w:val="标题 7 字符"/>
    <w:link w:val="8"/>
    <w:autoRedefine/>
    <w:qFormat/>
    <w:uiPriority w:val="0"/>
    <w:rPr>
      <w:b/>
      <w:bCs/>
      <w:kern w:val="2"/>
      <w:sz w:val="24"/>
      <w:szCs w:val="24"/>
    </w:rPr>
  </w:style>
  <w:style w:type="character" w:customStyle="1" w:styleId="43">
    <w:name w:val="标题 8 字符"/>
    <w:link w:val="9"/>
    <w:autoRedefine/>
    <w:qFormat/>
    <w:uiPriority w:val="0"/>
    <w:rPr>
      <w:rFonts w:ascii="Arial" w:hAnsi="Arial" w:eastAsia="黑体"/>
      <w:kern w:val="2"/>
      <w:sz w:val="24"/>
      <w:szCs w:val="24"/>
    </w:rPr>
  </w:style>
  <w:style w:type="character" w:customStyle="1" w:styleId="44">
    <w:name w:val="标题 9 字符"/>
    <w:link w:val="10"/>
    <w:autoRedefine/>
    <w:qFormat/>
    <w:uiPriority w:val="0"/>
    <w:rPr>
      <w:rFonts w:ascii="Arial" w:hAnsi="Arial" w:eastAsia="黑体"/>
      <w:kern w:val="2"/>
      <w:sz w:val="21"/>
      <w:szCs w:val="21"/>
    </w:rPr>
  </w:style>
  <w:style w:type="character" w:customStyle="1" w:styleId="45">
    <w:name w:val="页眉 字符"/>
    <w:link w:val="19"/>
    <w:autoRedefine/>
    <w:qFormat/>
    <w:uiPriority w:val="99"/>
    <w:rPr>
      <w:kern w:val="2"/>
      <w:sz w:val="18"/>
      <w:szCs w:val="18"/>
    </w:rPr>
  </w:style>
  <w:style w:type="character" w:customStyle="1" w:styleId="46">
    <w:name w:val="页脚 字符"/>
    <w:link w:val="18"/>
    <w:autoRedefine/>
    <w:qFormat/>
    <w:uiPriority w:val="99"/>
    <w:rPr>
      <w:rFonts w:ascii="宋体"/>
      <w:kern w:val="2"/>
      <w:sz w:val="18"/>
      <w:szCs w:val="18"/>
    </w:rPr>
  </w:style>
  <w:style w:type="character" w:customStyle="1" w:styleId="47">
    <w:name w:val="批注框文本 字符"/>
    <w:link w:val="17"/>
    <w:autoRedefine/>
    <w:semiHidden/>
    <w:qFormat/>
    <w:uiPriority w:val="99"/>
    <w:rPr>
      <w:kern w:val="2"/>
      <w:sz w:val="18"/>
      <w:szCs w:val="18"/>
    </w:rPr>
  </w:style>
  <w:style w:type="paragraph" w:styleId="48">
    <w:name w:val="Quote"/>
    <w:basedOn w:val="1"/>
    <w:next w:val="1"/>
    <w:link w:val="49"/>
    <w:autoRedefine/>
    <w:qFormat/>
    <w:uiPriority w:val="29"/>
    <w:rPr>
      <w:i/>
      <w:iCs/>
      <w:color w:val="000000"/>
    </w:rPr>
  </w:style>
  <w:style w:type="character" w:customStyle="1" w:styleId="49">
    <w:name w:val="引用 字符"/>
    <w:link w:val="48"/>
    <w:autoRedefine/>
    <w:qFormat/>
    <w:uiPriority w:val="29"/>
    <w:rPr>
      <w:i/>
      <w:iCs/>
      <w:color w:val="000000"/>
      <w:kern w:val="2"/>
      <w:sz w:val="21"/>
      <w:szCs w:val="21"/>
    </w:rPr>
  </w:style>
  <w:style w:type="character" w:customStyle="1" w:styleId="50">
    <w:name w:val="标题 字符"/>
    <w:link w:val="27"/>
    <w:autoRedefine/>
    <w:qFormat/>
    <w:uiPriority w:val="0"/>
    <w:rPr>
      <w:rFonts w:ascii="Arial" w:hAnsi="Arial" w:cs="Arial"/>
      <w:b/>
      <w:bCs/>
      <w:kern w:val="2"/>
      <w:sz w:val="32"/>
      <w:szCs w:val="32"/>
    </w:rPr>
  </w:style>
  <w:style w:type="paragraph" w:customStyle="1" w:styleId="51">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autoRedefine/>
    <w:qFormat/>
    <w:uiPriority w:val="0"/>
    <w:pPr>
      <w:spacing w:line="0" w:lineRule="atLeast"/>
    </w:pPr>
    <w:rPr>
      <w:rFonts w:ascii="黑体" w:hAnsi="宋体" w:eastAsia="黑体"/>
    </w:rPr>
  </w:style>
  <w:style w:type="paragraph" w:customStyle="1" w:styleId="57">
    <w:name w:val="标准文件_标准正文"/>
    <w:basedOn w:val="1"/>
    <w:next w:val="58"/>
    <w:autoRedefine/>
    <w:qFormat/>
    <w:uiPriority w:val="0"/>
    <w:pPr>
      <w:snapToGrid w:val="0"/>
      <w:ind w:firstLine="200" w:firstLineChars="200"/>
    </w:pPr>
    <w:rPr>
      <w:kern w:val="0"/>
    </w:rPr>
  </w:style>
  <w:style w:type="paragraph" w:customStyle="1" w:styleId="58">
    <w:name w:val="标准文件_段"/>
    <w:link w:val="18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autoRedefine/>
    <w:qFormat/>
    <w:uiPriority w:val="0"/>
    <w:pPr>
      <w:adjustRightInd/>
      <w:snapToGrid/>
      <w:ind w:firstLine="0" w:firstLineChars="0"/>
    </w:pPr>
    <w:rPr>
      <w:rFonts w:ascii="宋体" w:hAnsi="宋体"/>
      <w:kern w:val="2"/>
    </w:rPr>
  </w:style>
  <w:style w:type="paragraph" w:customStyle="1" w:styleId="60">
    <w:name w:val="标准文件_标准部门"/>
    <w:basedOn w:val="1"/>
    <w:autoRedefine/>
    <w:qFormat/>
    <w:uiPriority w:val="0"/>
    <w:pPr>
      <w:jc w:val="center"/>
    </w:pPr>
    <w:rPr>
      <w:rFonts w:ascii="黑体" w:eastAsia="黑体"/>
      <w:kern w:val="0"/>
      <w:sz w:val="44"/>
    </w:rPr>
  </w:style>
  <w:style w:type="paragraph" w:customStyle="1" w:styleId="61">
    <w:name w:val="标准文件_标准代替"/>
    <w:basedOn w:val="1"/>
    <w:next w:val="1"/>
    <w:autoRedefine/>
    <w:qFormat/>
    <w:uiPriority w:val="0"/>
    <w:pPr>
      <w:spacing w:line="310" w:lineRule="exact"/>
      <w:jc w:val="right"/>
    </w:pPr>
    <w:rPr>
      <w:rFonts w:ascii="宋体" w:hAnsi="宋体"/>
      <w:kern w:val="0"/>
    </w:rPr>
  </w:style>
  <w:style w:type="paragraph" w:customStyle="1" w:styleId="62">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autoRedefine/>
    <w:qFormat/>
    <w:uiPriority w:val="0"/>
    <w:pPr>
      <w:jc w:val="left"/>
    </w:pPr>
  </w:style>
  <w:style w:type="paragraph" w:customStyle="1" w:styleId="65">
    <w:name w:val="标准文件_参考文献标题"/>
    <w:basedOn w:val="1"/>
    <w:next w:val="1"/>
    <w:autoRedefine/>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6">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autoRedefine/>
    <w:qFormat/>
    <w:uiPriority w:val="0"/>
    <w:rPr>
      <w:rFonts w:ascii="黑体" w:eastAsia="黑体"/>
      <w:spacing w:val="0"/>
      <w:w w:val="100"/>
      <w:position w:val="3"/>
      <w:sz w:val="28"/>
    </w:rPr>
  </w:style>
  <w:style w:type="paragraph" w:customStyle="1" w:styleId="69">
    <w:name w:val="标准文件_方框数字列项"/>
    <w:basedOn w:val="58"/>
    <w:autoRedefine/>
    <w:qFormat/>
    <w:uiPriority w:val="0"/>
    <w:pPr>
      <w:numPr>
        <w:ilvl w:val="0"/>
        <w:numId w:val="3"/>
      </w:numPr>
      <w:ind w:firstLine="0" w:firstLineChars="0"/>
    </w:pPr>
  </w:style>
  <w:style w:type="paragraph" w:customStyle="1" w:styleId="70">
    <w:name w:val="标准文件_封面标准编号"/>
    <w:basedOn w:val="1"/>
    <w:next w:val="61"/>
    <w:autoRedefine/>
    <w:qFormat/>
    <w:uiPriority w:val="0"/>
    <w:pPr>
      <w:spacing w:line="310" w:lineRule="exact"/>
      <w:jc w:val="right"/>
    </w:pPr>
    <w:rPr>
      <w:rFonts w:ascii="黑体" w:eastAsia="黑体"/>
      <w:kern w:val="0"/>
      <w:sz w:val="28"/>
    </w:rPr>
  </w:style>
  <w:style w:type="paragraph" w:customStyle="1" w:styleId="71">
    <w:name w:val="标准文件_封面标准分类号"/>
    <w:basedOn w:val="1"/>
    <w:autoRedefine/>
    <w:qFormat/>
    <w:uiPriority w:val="0"/>
    <w:rPr>
      <w:rFonts w:ascii="黑体" w:eastAsia="黑体"/>
      <w:b/>
      <w:kern w:val="0"/>
      <w:sz w:val="28"/>
    </w:rPr>
  </w:style>
  <w:style w:type="paragraph" w:customStyle="1" w:styleId="72">
    <w:name w:val="标准文件_封面标准名称"/>
    <w:basedOn w:val="1"/>
    <w:autoRedefine/>
    <w:qFormat/>
    <w:uiPriority w:val="0"/>
    <w:pPr>
      <w:spacing w:line="240" w:lineRule="auto"/>
      <w:jc w:val="center"/>
    </w:pPr>
    <w:rPr>
      <w:rFonts w:ascii="黑体" w:eastAsia="黑体"/>
      <w:kern w:val="0"/>
      <w:sz w:val="52"/>
    </w:rPr>
  </w:style>
  <w:style w:type="paragraph" w:customStyle="1" w:styleId="73">
    <w:name w:val="标准文件_封面标准英文名称"/>
    <w:basedOn w:val="1"/>
    <w:autoRedefine/>
    <w:qFormat/>
    <w:uiPriority w:val="0"/>
    <w:pPr>
      <w:spacing w:line="240" w:lineRule="auto"/>
      <w:jc w:val="center"/>
    </w:pPr>
    <w:rPr>
      <w:rFonts w:ascii="黑体" w:eastAsia="黑体"/>
      <w:b/>
      <w:sz w:val="28"/>
    </w:rPr>
  </w:style>
  <w:style w:type="paragraph" w:customStyle="1" w:styleId="74">
    <w:name w:val="标准文件_封面发布日期"/>
    <w:basedOn w:val="1"/>
    <w:autoRedefine/>
    <w:qFormat/>
    <w:uiPriority w:val="0"/>
    <w:pPr>
      <w:spacing w:line="310" w:lineRule="exact"/>
    </w:pPr>
    <w:rPr>
      <w:rFonts w:ascii="黑体" w:eastAsia="黑体"/>
      <w:kern w:val="0"/>
      <w:sz w:val="28"/>
    </w:rPr>
  </w:style>
  <w:style w:type="paragraph" w:customStyle="1" w:styleId="75">
    <w:name w:val="标准文件_封面密级"/>
    <w:basedOn w:val="1"/>
    <w:autoRedefine/>
    <w:qFormat/>
    <w:uiPriority w:val="0"/>
    <w:rPr>
      <w:rFonts w:eastAsia="黑体"/>
      <w:sz w:val="32"/>
    </w:rPr>
  </w:style>
  <w:style w:type="paragraph" w:customStyle="1" w:styleId="76">
    <w:name w:val="标准文件_封面实施日期"/>
    <w:basedOn w:val="1"/>
    <w:autoRedefine/>
    <w:qFormat/>
    <w:uiPriority w:val="0"/>
    <w:pPr>
      <w:spacing w:line="310" w:lineRule="exact"/>
      <w:jc w:val="right"/>
    </w:pPr>
    <w:rPr>
      <w:rFonts w:ascii="黑体" w:eastAsia="黑体"/>
      <w:sz w:val="28"/>
    </w:rPr>
  </w:style>
  <w:style w:type="paragraph" w:customStyle="1" w:styleId="77">
    <w:name w:val="标准文件_封面抬头"/>
    <w:basedOn w:val="58"/>
    <w:autoRedefine/>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autoRedefine/>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autoRedefine/>
    <w:qFormat/>
    <w:uiPriority w:val="0"/>
    <w:rPr>
      <w:kern w:val="2"/>
      <w:sz w:val="21"/>
      <w:szCs w:val="21"/>
    </w:rPr>
  </w:style>
  <w:style w:type="paragraph" w:customStyle="1" w:styleId="89">
    <w:name w:val="标准文件_附录章标题"/>
    <w:next w:val="58"/>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autoRedefine/>
    <w:qFormat/>
    <w:uiPriority w:val="0"/>
    <w:pPr>
      <w:ind w:left="488" w:leftChars="200" w:hanging="289" w:hangingChars="290"/>
    </w:pPr>
  </w:style>
  <w:style w:type="paragraph" w:customStyle="1" w:styleId="91">
    <w:name w:val="标准文件_前言、引言标题"/>
    <w:next w:val="1"/>
    <w:autoRedefine/>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autoRedefine/>
    <w:qFormat/>
    <w:uiPriority w:val="0"/>
    <w:pPr>
      <w:spacing w:line="460" w:lineRule="exact"/>
      <w:ind w:left="0" w:firstLine="0"/>
    </w:pPr>
  </w:style>
  <w:style w:type="paragraph" w:customStyle="1" w:styleId="93">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94">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autoRedefine/>
    <w:qFormat/>
    <w:uiPriority w:val="0"/>
    <w:pPr>
      <w:numPr>
        <w:numId w:val="10"/>
      </w:numPr>
    </w:pPr>
  </w:style>
  <w:style w:type="paragraph" w:customStyle="1" w:styleId="96">
    <w:name w:val="标准文件_三级条标题"/>
    <w:basedOn w:val="67"/>
    <w:next w:val="58"/>
    <w:autoRedefine/>
    <w:qFormat/>
    <w:uiPriority w:val="0"/>
    <w:pPr>
      <w:widowControl/>
      <w:numPr>
        <w:ilvl w:val="4"/>
      </w:numPr>
      <w:spacing w:before="120" w:after="120"/>
      <w:outlineLvl w:val="3"/>
    </w:pPr>
  </w:style>
  <w:style w:type="character" w:customStyle="1" w:styleId="97">
    <w:name w:val="不明显参考1"/>
    <w:autoRedefine/>
    <w:qFormat/>
    <w:uiPriority w:val="31"/>
    <w:rPr>
      <w:smallCaps/>
      <w:color w:val="C0504D"/>
      <w:u w:val="single"/>
    </w:rPr>
  </w:style>
  <w:style w:type="paragraph" w:customStyle="1" w:styleId="98">
    <w:name w:val="标准文件_示例后续"/>
    <w:basedOn w:val="1"/>
    <w:autoRedefine/>
    <w:qFormat/>
    <w:uiPriority w:val="0"/>
    <w:pPr>
      <w:adjustRightInd/>
      <w:spacing w:line="240" w:lineRule="auto"/>
      <w:ind w:firstLine="200" w:firstLineChars="200"/>
    </w:pPr>
    <w:rPr>
      <w:sz w:val="18"/>
      <w:szCs w:val="24"/>
    </w:rPr>
  </w:style>
  <w:style w:type="paragraph" w:customStyle="1" w:styleId="99">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autoRedefine/>
    <w:semiHidden/>
    <w:qFormat/>
    <w:uiPriority w:val="0"/>
    <w:rPr>
      <w:rFonts w:ascii="宋体"/>
      <w:kern w:val="2"/>
      <w:sz w:val="18"/>
      <w:szCs w:val="18"/>
    </w:rPr>
  </w:style>
  <w:style w:type="paragraph" w:customStyle="1" w:styleId="102">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autoRedefine/>
    <w:qFormat/>
    <w:uiPriority w:val="0"/>
    <w:pPr>
      <w:numPr>
        <w:ilvl w:val="0"/>
        <w:numId w:val="12"/>
      </w:numPr>
      <w:spacing w:line="240" w:lineRule="auto"/>
      <w:jc w:val="left"/>
    </w:pPr>
    <w:rPr>
      <w:rFonts w:ascii="宋体" w:hAnsi="宋体"/>
      <w:sz w:val="18"/>
    </w:rPr>
  </w:style>
  <w:style w:type="character" w:customStyle="1" w:styleId="104">
    <w:name w:val="标准文件_图表脚注内容"/>
    <w:autoRedefine/>
    <w:qFormat/>
    <w:uiPriority w:val="0"/>
    <w:rPr>
      <w:rFonts w:ascii="宋体" w:hAnsi="宋体" w:eastAsia="宋体" w:cs="Times New Roman"/>
      <w:spacing w:val="0"/>
      <w:sz w:val="18"/>
      <w:vertAlign w:val="superscript"/>
    </w:rPr>
  </w:style>
  <w:style w:type="paragraph" w:customStyle="1" w:styleId="105">
    <w:name w:val="标准文件_五级条标题"/>
    <w:next w:val="58"/>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autoRedefine/>
    <w:qFormat/>
    <w:uiPriority w:val="0"/>
    <w:pPr>
      <w:numPr>
        <w:ilvl w:val="2"/>
      </w:numPr>
      <w:spacing w:beforeLines="50" w:afterLines="50"/>
      <w:outlineLvl w:val="1"/>
    </w:pPr>
  </w:style>
  <w:style w:type="paragraph" w:customStyle="1" w:styleId="108">
    <w:name w:val="标准文件_一致程度"/>
    <w:basedOn w:val="1"/>
    <w:autoRedefine/>
    <w:qFormat/>
    <w:uiPriority w:val="0"/>
    <w:pPr>
      <w:spacing w:line="440" w:lineRule="exact"/>
      <w:jc w:val="center"/>
    </w:pPr>
    <w:rPr>
      <w:sz w:val="28"/>
    </w:rPr>
  </w:style>
  <w:style w:type="paragraph" w:customStyle="1" w:styleId="109">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autoRedefine/>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autoRedefine/>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1">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autoRedefine/>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autoRedefine/>
    <w:qFormat/>
    <w:uiPriority w:val="0"/>
    <w:pPr>
      <w:outlineLvl w:val="4"/>
    </w:pPr>
  </w:style>
  <w:style w:type="paragraph" w:customStyle="1" w:styleId="132">
    <w:name w:val="附录四级无标题条"/>
    <w:basedOn w:val="131"/>
    <w:next w:val="58"/>
    <w:autoRedefine/>
    <w:qFormat/>
    <w:uiPriority w:val="0"/>
    <w:pPr>
      <w:outlineLvl w:val="5"/>
    </w:pPr>
  </w:style>
  <w:style w:type="paragraph" w:customStyle="1" w:styleId="133">
    <w:name w:val="附录图"/>
    <w:next w:val="58"/>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autoRedefine/>
    <w:qFormat/>
    <w:uiPriority w:val="0"/>
    <w:pPr>
      <w:outlineLvl w:val="6"/>
    </w:pPr>
  </w:style>
  <w:style w:type="paragraph" w:customStyle="1" w:styleId="136">
    <w:name w:val="附录性质"/>
    <w:basedOn w:val="1"/>
    <w:autoRedefine/>
    <w:qFormat/>
    <w:uiPriority w:val="0"/>
    <w:pPr>
      <w:widowControl/>
      <w:adjustRightInd/>
      <w:jc w:val="center"/>
    </w:pPr>
    <w:rPr>
      <w:rFonts w:ascii="黑体" w:eastAsia="黑体"/>
    </w:rPr>
  </w:style>
  <w:style w:type="paragraph" w:customStyle="1" w:styleId="137">
    <w:name w:val="附录一级无标题条"/>
    <w:basedOn w:val="89"/>
    <w:next w:val="58"/>
    <w:autoRedefine/>
    <w:qFormat/>
    <w:uiPriority w:val="0"/>
    <w:pPr>
      <w:autoSpaceDN w:val="0"/>
      <w:outlineLvl w:val="2"/>
    </w:pPr>
    <w:rPr>
      <w:rFonts w:ascii="宋体" w:hAnsi="宋体" w:eastAsia="宋体"/>
    </w:rPr>
  </w:style>
  <w:style w:type="character" w:customStyle="1" w:styleId="138">
    <w:name w:val="个人答复风格"/>
    <w:autoRedefine/>
    <w:qFormat/>
    <w:uiPriority w:val="0"/>
    <w:rPr>
      <w:rFonts w:ascii="Arial" w:hAnsi="Arial" w:eastAsia="宋体" w:cs="Arial"/>
      <w:color w:val="auto"/>
      <w:spacing w:val="0"/>
      <w:sz w:val="20"/>
    </w:rPr>
  </w:style>
  <w:style w:type="character" w:customStyle="1" w:styleId="139">
    <w:name w:val="个人撰写风格"/>
    <w:autoRedefine/>
    <w:qFormat/>
    <w:uiPriority w:val="0"/>
    <w:rPr>
      <w:rFonts w:ascii="Arial" w:hAnsi="Arial" w:eastAsia="宋体" w:cs="Arial"/>
      <w:color w:val="auto"/>
      <w:spacing w:val="0"/>
      <w:sz w:val="20"/>
    </w:rPr>
  </w:style>
  <w:style w:type="paragraph" w:customStyle="1" w:styleId="140">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autoRedefine/>
    <w:qFormat/>
    <w:uiPriority w:val="0"/>
    <w:pPr>
      <w:tabs>
        <w:tab w:val="left" w:pos="840"/>
      </w:tabs>
    </w:pPr>
  </w:style>
  <w:style w:type="paragraph" w:customStyle="1" w:styleId="14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uiPriority w:val="0"/>
    <w:pPr>
      <w:ind w:left="1470"/>
    </w:pPr>
  </w:style>
  <w:style w:type="paragraph" w:customStyle="1" w:styleId="151">
    <w:name w:val="目录 91"/>
    <w:basedOn w:val="150"/>
    <w:autoRedefine/>
    <w:semiHidden/>
    <w:uiPriority w:val="0"/>
    <w:pPr>
      <w:ind w:left="1680"/>
    </w:pPr>
  </w:style>
  <w:style w:type="paragraph" w:customStyle="1" w:styleId="152">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uiPriority w:val="0"/>
    <w:pPr>
      <w:framePr w:wrap="around"/>
      <w:spacing w:line="0" w:lineRule="atLeast"/>
    </w:pPr>
    <w:rPr>
      <w:rFonts w:ascii="黑体" w:eastAsia="黑体"/>
      <w:b w:val="0"/>
    </w:rPr>
  </w:style>
  <w:style w:type="paragraph" w:customStyle="1" w:styleId="154">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uiPriority w:val="0"/>
    <w:pPr>
      <w:numPr>
        <w:ilvl w:val="4"/>
        <w:numId w:val="20"/>
      </w:numPr>
      <w:adjustRightInd/>
      <w:spacing w:line="240" w:lineRule="auto"/>
    </w:pPr>
    <w:rPr>
      <w:rFonts w:ascii="宋体" w:hAnsi="宋体"/>
      <w:szCs w:val="24"/>
    </w:rPr>
  </w:style>
  <w:style w:type="paragraph" w:customStyle="1" w:styleId="156">
    <w:name w:val="实施日期"/>
    <w:basedOn w:val="122"/>
    <w:uiPriority w:val="0"/>
    <w:pPr>
      <w:framePr w:hSpace="0" w:wrap="around" w:xAlign="right"/>
      <w:jc w:val="right"/>
    </w:pPr>
  </w:style>
  <w:style w:type="paragraph" w:customStyle="1" w:styleId="157">
    <w:name w:val="四级无标题条"/>
    <w:basedOn w:val="1"/>
    <w:uiPriority w:val="0"/>
    <w:pPr>
      <w:numPr>
        <w:ilvl w:val="5"/>
        <w:numId w:val="20"/>
      </w:numPr>
      <w:adjustRightInd/>
      <w:spacing w:line="240" w:lineRule="auto"/>
    </w:pPr>
    <w:rPr>
      <w:rFonts w:ascii="宋体" w:hAnsi="宋体"/>
      <w:szCs w:val="24"/>
    </w:rPr>
  </w:style>
  <w:style w:type="paragraph" w:customStyle="1" w:styleId="158">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uiPriority w:val="0"/>
    <w:pPr>
      <w:jc w:val="both"/>
    </w:pPr>
    <w:rPr>
      <w:rFonts w:ascii="宋体" w:hAnsi="宋体" w:eastAsia="宋体" w:cs="Times New Roman"/>
      <w:sz w:val="21"/>
      <w:lang w:val="en-US" w:eastAsia="zh-CN" w:bidi="ar-SA"/>
    </w:rPr>
  </w:style>
  <w:style w:type="paragraph" w:customStyle="1" w:styleId="160">
    <w:name w:val="五级无标题条"/>
    <w:basedOn w:val="1"/>
    <w:uiPriority w:val="0"/>
    <w:pPr>
      <w:numPr>
        <w:ilvl w:val="6"/>
        <w:numId w:val="20"/>
      </w:numPr>
      <w:adjustRightInd/>
    </w:pPr>
    <w:rPr>
      <w:szCs w:val="24"/>
    </w:rPr>
  </w:style>
  <w:style w:type="paragraph" w:customStyle="1" w:styleId="161">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2">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autoRedefine/>
    <w:qFormat/>
    <w:uiPriority w:val="0"/>
    <w:pPr>
      <w:spacing w:beforeLines="0" w:afterLines="0"/>
      <w:outlineLvl w:val="9"/>
    </w:pPr>
    <w:rPr>
      <w:rFonts w:ascii="宋体" w:eastAsia="宋体"/>
    </w:rPr>
  </w:style>
  <w:style w:type="paragraph" w:customStyle="1" w:styleId="168">
    <w:name w:val="标准_四级无标题"/>
    <w:basedOn w:val="100"/>
    <w:next w:val="58"/>
    <w:autoRedefine/>
    <w:qFormat/>
    <w:uiPriority w:val="0"/>
    <w:rPr>
      <w:rFonts w:eastAsia="宋体"/>
    </w:rPr>
  </w:style>
  <w:style w:type="paragraph" w:customStyle="1" w:styleId="169">
    <w:name w:val="标准文件_四级无标题"/>
    <w:basedOn w:val="100"/>
    <w:autoRedefine/>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autoRedefine/>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autoRedefine/>
    <w:qFormat/>
    <w:uiPriority w:val="0"/>
    <w:pPr>
      <w:numPr>
        <w:ilvl w:val="0"/>
        <w:numId w:val="24"/>
      </w:numPr>
      <w:ind w:firstLine="0" w:firstLineChars="0"/>
    </w:pPr>
    <w:rPr>
      <w:rFonts w:cs="Arial"/>
      <w:szCs w:val="28"/>
    </w:rPr>
  </w:style>
  <w:style w:type="paragraph" w:customStyle="1" w:styleId="172">
    <w:name w:val="标准文件_附录标题"/>
    <w:basedOn w:val="78"/>
    <w:autoRedefine/>
    <w:qFormat/>
    <w:uiPriority w:val="0"/>
    <w:pPr>
      <w:numPr>
        <w:numId w:val="0"/>
      </w:numPr>
      <w:spacing w:after="280"/>
      <w:outlineLvl w:val="9"/>
    </w:pPr>
  </w:style>
  <w:style w:type="paragraph" w:customStyle="1" w:styleId="173">
    <w:name w:val="标准文件_二级项"/>
    <w:autoRedefine/>
    <w:qFormat/>
    <w:uiPriority w:val="0"/>
    <w:rPr>
      <w:rFonts w:ascii="宋体" w:hAnsi="Times New Roman" w:eastAsia="宋体" w:cs="Times New Roman"/>
      <w:sz w:val="21"/>
      <w:lang w:val="en-US" w:eastAsia="zh-CN" w:bidi="ar-SA"/>
    </w:rPr>
  </w:style>
  <w:style w:type="paragraph" w:customStyle="1" w:styleId="174">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autoRedefine/>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autoRedefine/>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autoRedefine/>
    <w:qFormat/>
    <w:uiPriority w:val="0"/>
    <w:pPr>
      <w:ind w:firstLine="0" w:firstLineChars="0"/>
      <w:jc w:val="center"/>
    </w:pPr>
    <w:rPr>
      <w:sz w:val="18"/>
    </w:rPr>
  </w:style>
  <w:style w:type="paragraph" w:customStyle="1" w:styleId="181">
    <w:name w:val="标准文件_注："/>
    <w:next w:val="58"/>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autoRedefine/>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autoRedefine/>
    <w:qFormat/>
    <w:uiPriority w:val="0"/>
    <w:pPr>
      <w:ind w:firstLine="420"/>
    </w:pPr>
    <w:rPr>
      <w:rFonts w:ascii="黑体" w:eastAsia="黑体"/>
    </w:rPr>
  </w:style>
  <w:style w:type="character" w:customStyle="1" w:styleId="193">
    <w:name w:val="标准文件_来源"/>
    <w:basedOn w:val="30"/>
    <w:autoRedefine/>
    <w:qFormat/>
    <w:uiPriority w:val="1"/>
    <w:rPr>
      <w:rFonts w:eastAsia="宋体"/>
      <w:sz w:val="21"/>
    </w:rPr>
  </w:style>
  <w:style w:type="paragraph" w:customStyle="1" w:styleId="194">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autoRedefine/>
    <w:qFormat/>
    <w:uiPriority w:val="0"/>
    <w:pPr>
      <w:framePr w:w="3997" w:h="471" w:hRule="exact" w:hSpace="0" w:vSpace="181" w:wrap="around" w:vAnchor="page" w:hAnchor="page" w:x="1419" w:y="14097"/>
    </w:pPr>
  </w:style>
  <w:style w:type="paragraph" w:customStyle="1" w:styleId="196">
    <w:name w:val="其他实施日期"/>
    <w:basedOn w:val="156"/>
    <w:autoRedefine/>
    <w:qFormat/>
    <w:uiPriority w:val="0"/>
    <w:pPr>
      <w:framePr w:w="3997" w:h="471" w:hRule="exact" w:vSpace="181" w:wrap="around" w:vAnchor="page" w:hAnchor="page" w:x="7089" w:y="14097"/>
    </w:pPr>
  </w:style>
  <w:style w:type="paragraph" w:customStyle="1" w:styleId="197">
    <w:name w:val="标准文件_文件编号"/>
    <w:basedOn w:val="5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autoRedefine/>
    <w:qFormat/>
    <w:uiPriority w:val="0"/>
    <w:pPr>
      <w:framePr/>
      <w:spacing w:before="57"/>
    </w:pPr>
    <w:rPr>
      <w:sz w:val="21"/>
    </w:rPr>
  </w:style>
  <w:style w:type="paragraph" w:customStyle="1" w:styleId="199">
    <w:name w:val="标准文件_文件名称"/>
    <w:basedOn w:val="58"/>
    <w:next w:val="58"/>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autoRedefine/>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autoRedefine/>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autoRedefine/>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autoRedefine/>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autoRedefine/>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autoRedefine/>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autoRedefine/>
    <w:qFormat/>
    <w:uiPriority w:val="0"/>
    <w:pPr>
      <w:ind w:left="811" w:firstLine="0" w:firstLineChars="0"/>
    </w:pPr>
    <w:rPr>
      <w:sz w:val="18"/>
    </w:rPr>
  </w:style>
  <w:style w:type="paragraph" w:customStyle="1" w:styleId="208">
    <w:name w:val="标准文件_注X后"/>
    <w:basedOn w:val="58"/>
    <w:autoRedefine/>
    <w:qFormat/>
    <w:uiPriority w:val="0"/>
    <w:pPr>
      <w:ind w:left="811" w:firstLine="0" w:firstLineChars="0"/>
    </w:pPr>
    <w:rPr>
      <w:sz w:val="18"/>
    </w:rPr>
  </w:style>
  <w:style w:type="paragraph" w:customStyle="1" w:styleId="209">
    <w:name w:val="标准文件_示例后"/>
    <w:basedOn w:val="58"/>
    <w:autoRedefine/>
    <w:qFormat/>
    <w:uiPriority w:val="0"/>
    <w:pPr>
      <w:ind w:left="964" w:firstLine="0" w:firstLineChars="0"/>
    </w:pPr>
    <w:rPr>
      <w:sz w:val="18"/>
    </w:rPr>
  </w:style>
  <w:style w:type="paragraph" w:customStyle="1" w:styleId="210">
    <w:name w:val="标准文件_示例X后"/>
    <w:basedOn w:val="58"/>
    <w:link w:val="211"/>
    <w:autoRedefine/>
    <w:qFormat/>
    <w:uiPriority w:val="0"/>
    <w:pPr>
      <w:ind w:left="1049" w:firstLine="0" w:firstLineChars="0"/>
    </w:pPr>
    <w:rPr>
      <w:sz w:val="18"/>
    </w:rPr>
  </w:style>
  <w:style w:type="character" w:customStyle="1" w:styleId="211">
    <w:name w:val="标准文件_示例X后 字符"/>
    <w:basedOn w:val="186"/>
    <w:link w:val="210"/>
    <w:autoRedefine/>
    <w:qFormat/>
    <w:uiPriority w:val="0"/>
    <w:rPr>
      <w:rFonts w:ascii="宋体" w:hAnsi="Times New Roman"/>
      <w:sz w:val="18"/>
    </w:rPr>
  </w:style>
  <w:style w:type="paragraph" w:customStyle="1" w:styleId="212">
    <w:name w:val="标准文件_索引项"/>
    <w:basedOn w:val="58"/>
    <w:next w:val="58"/>
    <w:autoRedefine/>
    <w:qFormat/>
    <w:uiPriority w:val="0"/>
    <w:pPr>
      <w:tabs>
        <w:tab w:val="right" w:leader="dot" w:pos="9356"/>
      </w:tabs>
      <w:ind w:left="210" w:hanging="210" w:firstLineChars="0"/>
      <w:jc w:val="left"/>
    </w:pPr>
  </w:style>
  <w:style w:type="paragraph" w:customStyle="1" w:styleId="213">
    <w:name w:val="标准文件_附录一级无标题"/>
    <w:basedOn w:val="80"/>
    <w:autoRedefine/>
    <w:qFormat/>
    <w:uiPriority w:val="0"/>
    <w:pPr>
      <w:spacing w:beforeLines="0" w:afterLines="0" w:line="276" w:lineRule="auto"/>
      <w:outlineLvl w:val="9"/>
    </w:pPr>
    <w:rPr>
      <w:rFonts w:ascii="宋体" w:eastAsia="宋体"/>
    </w:rPr>
  </w:style>
  <w:style w:type="paragraph" w:customStyle="1" w:styleId="214">
    <w:name w:val="标准文件_附录二级无标题"/>
    <w:basedOn w:val="81"/>
    <w:autoRedefine/>
    <w:qFormat/>
    <w:uiPriority w:val="0"/>
    <w:pPr>
      <w:spacing w:beforeLines="0" w:afterLines="0" w:line="276" w:lineRule="auto"/>
      <w:outlineLvl w:val="9"/>
    </w:pPr>
    <w:rPr>
      <w:rFonts w:ascii="宋体" w:eastAsia="宋体"/>
    </w:rPr>
  </w:style>
  <w:style w:type="paragraph" w:customStyle="1" w:styleId="215">
    <w:name w:val="标准文件_附录三级无标题"/>
    <w:basedOn w:val="83"/>
    <w:autoRedefine/>
    <w:qFormat/>
    <w:uiPriority w:val="0"/>
    <w:pPr>
      <w:spacing w:beforeLines="0" w:afterLines="0" w:line="276" w:lineRule="auto"/>
      <w:outlineLvl w:val="9"/>
    </w:pPr>
    <w:rPr>
      <w:rFonts w:ascii="宋体" w:eastAsia="宋体"/>
    </w:rPr>
  </w:style>
  <w:style w:type="paragraph" w:customStyle="1" w:styleId="216">
    <w:name w:val="标准文件_附录四级无标题"/>
    <w:basedOn w:val="84"/>
    <w:autoRedefine/>
    <w:qFormat/>
    <w:uiPriority w:val="0"/>
    <w:pPr>
      <w:spacing w:beforeLines="0" w:afterLines="0" w:line="276" w:lineRule="auto"/>
      <w:outlineLvl w:val="9"/>
    </w:pPr>
    <w:rPr>
      <w:rFonts w:ascii="宋体" w:eastAsia="宋体"/>
    </w:rPr>
  </w:style>
  <w:style w:type="paragraph" w:customStyle="1" w:styleId="217">
    <w:name w:val="标准文件_附录五级无标题"/>
    <w:basedOn w:val="86"/>
    <w:autoRedefine/>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autoRedefine/>
    <w:qFormat/>
    <w:uiPriority w:val="0"/>
    <w:pPr>
      <w:spacing w:beforeLines="0" w:afterLines="0" w:line="276" w:lineRule="auto"/>
    </w:pPr>
    <w:rPr>
      <w:rFonts w:ascii="宋体" w:eastAsia="宋体"/>
    </w:rPr>
  </w:style>
  <w:style w:type="paragraph" w:customStyle="1" w:styleId="219">
    <w:name w:val="标准文件_引言二级无标题"/>
    <w:basedOn w:val="203"/>
    <w:next w:val="58"/>
    <w:autoRedefine/>
    <w:qFormat/>
    <w:uiPriority w:val="0"/>
    <w:pPr>
      <w:spacing w:beforeLines="0" w:afterLines="0" w:line="276" w:lineRule="auto"/>
    </w:pPr>
    <w:rPr>
      <w:rFonts w:ascii="宋体" w:eastAsia="宋体"/>
    </w:rPr>
  </w:style>
  <w:style w:type="paragraph" w:customStyle="1" w:styleId="220">
    <w:name w:val="标准文件_引言三级无标题"/>
    <w:basedOn w:val="204"/>
    <w:autoRedefine/>
    <w:qFormat/>
    <w:uiPriority w:val="0"/>
    <w:pPr>
      <w:spacing w:beforeLines="0" w:afterLines="0" w:line="276" w:lineRule="auto"/>
    </w:pPr>
    <w:rPr>
      <w:rFonts w:ascii="宋体" w:eastAsia="宋体"/>
    </w:rPr>
  </w:style>
  <w:style w:type="paragraph" w:customStyle="1" w:styleId="221">
    <w:name w:val="标准文件_引言四级无标题"/>
    <w:basedOn w:val="205"/>
    <w:next w:val="58"/>
    <w:autoRedefine/>
    <w:qFormat/>
    <w:uiPriority w:val="0"/>
    <w:pPr>
      <w:spacing w:beforeLines="0" w:afterLines="0" w:line="276" w:lineRule="auto"/>
    </w:pPr>
    <w:rPr>
      <w:rFonts w:ascii="宋体" w:eastAsia="宋体"/>
    </w:rPr>
  </w:style>
  <w:style w:type="paragraph" w:customStyle="1" w:styleId="222">
    <w:name w:val="标准文件_引言五级无标题"/>
    <w:basedOn w:val="206"/>
    <w:next w:val="58"/>
    <w:autoRedefine/>
    <w:qFormat/>
    <w:uiPriority w:val="0"/>
    <w:pPr>
      <w:spacing w:beforeLines="0" w:afterLines="0" w:line="276" w:lineRule="auto"/>
    </w:pPr>
    <w:rPr>
      <w:rFonts w:ascii="宋体" w:eastAsia="宋体"/>
    </w:rPr>
  </w:style>
  <w:style w:type="paragraph" w:customStyle="1" w:styleId="223">
    <w:name w:val="标准文件_索引标题"/>
    <w:basedOn w:val="65"/>
    <w:next w:val="58"/>
    <w:autoRedefine/>
    <w:qFormat/>
    <w:uiPriority w:val="0"/>
    <w:rPr>
      <w:rFonts w:hAnsi="黑体"/>
    </w:rPr>
  </w:style>
  <w:style w:type="paragraph" w:customStyle="1" w:styleId="224">
    <w:name w:val="标准文件_脚注内容"/>
    <w:basedOn w:val="58"/>
    <w:autoRedefine/>
    <w:qFormat/>
    <w:uiPriority w:val="0"/>
    <w:pPr>
      <w:ind w:left="400" w:leftChars="200" w:hanging="200" w:hangingChars="200"/>
    </w:pPr>
    <w:rPr>
      <w:sz w:val="15"/>
    </w:rPr>
  </w:style>
  <w:style w:type="paragraph" w:customStyle="1" w:styleId="225">
    <w:name w:val="标准文件_术语条一"/>
    <w:basedOn w:val="164"/>
    <w:next w:val="58"/>
    <w:autoRedefine/>
    <w:qFormat/>
    <w:uiPriority w:val="0"/>
  </w:style>
  <w:style w:type="paragraph" w:customStyle="1" w:styleId="226">
    <w:name w:val="标准文件_术语条二"/>
    <w:basedOn w:val="167"/>
    <w:next w:val="58"/>
    <w:autoRedefine/>
    <w:qFormat/>
    <w:uiPriority w:val="0"/>
  </w:style>
  <w:style w:type="paragraph" w:customStyle="1" w:styleId="227">
    <w:name w:val="标准文件_术语条三"/>
    <w:basedOn w:val="166"/>
    <w:next w:val="58"/>
    <w:autoRedefine/>
    <w:qFormat/>
    <w:uiPriority w:val="0"/>
  </w:style>
  <w:style w:type="paragraph" w:customStyle="1" w:styleId="228">
    <w:name w:val="标准文件_术语条四"/>
    <w:basedOn w:val="169"/>
    <w:next w:val="58"/>
    <w:autoRedefine/>
    <w:qFormat/>
    <w:uiPriority w:val="0"/>
  </w:style>
  <w:style w:type="paragraph" w:customStyle="1" w:styleId="229">
    <w:name w:val="标准文件_术语条五"/>
    <w:basedOn w:val="165"/>
    <w:next w:val="58"/>
    <w:autoRedefine/>
    <w:qFormat/>
    <w:uiPriority w:val="0"/>
  </w:style>
  <w:style w:type="paragraph" w:customStyle="1" w:styleId="230">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autoRedefine/>
    <w:qFormat/>
    <w:uiPriority w:val="0"/>
    <w:rPr>
      <w:rFonts w:ascii="黑体" w:eastAsia="黑体"/>
      <w:spacing w:val="85"/>
      <w:w w:val="100"/>
      <w:position w:val="3"/>
      <w:sz w:val="28"/>
      <w:szCs w:val="28"/>
    </w:rPr>
  </w:style>
  <w:style w:type="character" w:customStyle="1" w:styleId="232">
    <w:name w:val="文档结构图 字符"/>
    <w:basedOn w:val="30"/>
    <w:link w:val="13"/>
    <w:autoRedefine/>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glossaryDocument" Target="glossary/document.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8.jpeg"/><Relationship Id="rId35" Type="http://schemas.openxmlformats.org/officeDocument/2006/relationships/image" Target="media/image7.jpeg"/><Relationship Id="rId34" Type="http://schemas.openxmlformats.org/officeDocument/2006/relationships/image" Target="media/image6.jpeg"/><Relationship Id="rId33" Type="http://schemas.openxmlformats.org/officeDocument/2006/relationships/image" Target="media/image5.jpeg"/><Relationship Id="rId32" Type="http://schemas.openxmlformats.org/officeDocument/2006/relationships/image" Target="media/image4.jpeg"/><Relationship Id="rId31" Type="http://schemas.openxmlformats.org/officeDocument/2006/relationships/image" Target="media/image3.jpeg"/><Relationship Id="rId30" Type="http://schemas.openxmlformats.org/officeDocument/2006/relationships/image" Target="media/image2.png"/><Relationship Id="rId3" Type="http://schemas.openxmlformats.org/officeDocument/2006/relationships/footnotes" Target="footnotes.xml"/><Relationship Id="rId29" Type="http://schemas.openxmlformats.org/officeDocument/2006/relationships/image" Target="media/image1.png"/><Relationship Id="rId28" Type="http://schemas.openxmlformats.org/officeDocument/2006/relationships/theme" Target="theme/theme1.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502959BF3244B5587813501B04DB51E"/>
        <w:style w:val=""/>
        <w:category>
          <w:name w:val="常规"/>
          <w:gallery w:val="placeholder"/>
        </w:category>
        <w:types>
          <w:type w:val="bbPlcHdr"/>
        </w:types>
        <w:behaviors>
          <w:behavior w:val="content"/>
        </w:behaviors>
        <w:description w:val=""/>
        <w:guid w:val="{1F255E7B-55ED-4678-9ABD-92131941ECCA}"/>
      </w:docPartPr>
      <w:docPartBody>
        <w:p>
          <w:pPr>
            <w:pStyle w:val="5"/>
          </w:pPr>
          <w:r>
            <w:rPr>
              <w:rStyle w:val="4"/>
              <w:rFonts w:hint="eastAsia"/>
            </w:rPr>
            <w:t>单击或点击此处输入文字。</w:t>
          </w:r>
        </w:p>
      </w:docPartBody>
    </w:docPart>
    <w:docPart>
      <w:docPartPr>
        <w:name w:val="C788A77752D04A4B9559B14FD762295E"/>
        <w:style w:val=""/>
        <w:category>
          <w:name w:val="常规"/>
          <w:gallery w:val="placeholder"/>
        </w:category>
        <w:types>
          <w:type w:val="bbPlcHdr"/>
        </w:types>
        <w:behaviors>
          <w:behavior w:val="content"/>
        </w:behaviors>
        <w:description w:val=""/>
        <w:guid w:val="{677888C4-7E55-468B-A6FF-BB17C766E859}"/>
      </w:docPartPr>
      <w:docPartBody>
        <w:p>
          <w:pPr>
            <w:pStyle w:val="6"/>
          </w:pPr>
          <w:r>
            <w:rPr>
              <w:rStyle w:val="4"/>
              <w:rFonts w:hint="eastAsia"/>
            </w:rPr>
            <w:t>选择一项。</w:t>
          </w:r>
        </w:p>
      </w:docPartBody>
    </w:docPart>
    <w:docPart>
      <w:docPartPr>
        <w:name w:val="3CC5511E09A648B5BB5359BB27A4CD9B"/>
        <w:style w:val=""/>
        <w:category>
          <w:name w:val="常规"/>
          <w:gallery w:val="placeholder"/>
        </w:category>
        <w:types>
          <w:type w:val="bbPlcHdr"/>
        </w:types>
        <w:behaviors>
          <w:behavior w:val="content"/>
        </w:behaviors>
        <w:description w:val=""/>
        <w:guid w:val="{4EE5241F-ED24-4B0F-88E4-89DCC9328E6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8F3"/>
    <w:rsid w:val="003F6C25"/>
    <w:rsid w:val="009D3715"/>
    <w:rsid w:val="00CF38DA"/>
    <w:rsid w:val="00D156DD"/>
    <w:rsid w:val="00E73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1502959BF3244B5587813501B04DB5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788A77752D04A4B9559B14FD762295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CC5511E09A648B5BB5359BB27A4CD9B"/>
    <w:autoRedefine/>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773A5D-A233-4FAF-A7F7-11DF3DEF4C68}">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12</Pages>
  <Words>508</Words>
  <Characters>2896</Characters>
  <Lines>24</Lines>
  <Paragraphs>6</Paragraphs>
  <TotalTime>375</TotalTime>
  <ScaleCrop>false</ScaleCrop>
  <LinksUpToDate>false</LinksUpToDate>
  <CharactersWithSpaces>3398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2024-04-29T16:37:00Z</dcterms:created>
  <dc:creator>Administrator</dc:creator>
  <dc:description>&lt;config cover="true" show_menu="true" version="1.0.0" doctype="SDKXY"&gt;_x000d_
&lt;/config&gt;</dc:description>
  <cp:lastModifiedBy>誰念誰川</cp:lastModifiedBy>
  <cp:lastPrinted>2024-05-08T00:50:00Z</cp:lastPrinted>
  <dcterms:modified xsi:type="dcterms:W3CDTF">2024-05-08T02:31:28Z</dcterms:modified>
  <dc:title>团体标准</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2052-12.1.0.16729</vt:lpwstr>
  </property>
  <property fmtid="{D5CDD505-2E9C-101B-9397-08002B2CF9AE}" pid="15" name="ICV">
    <vt:lpwstr>F832DED0E2D8414184C6739129AA3EC4_13</vt:lpwstr>
  </property>
  <property fmtid="{D5CDD505-2E9C-101B-9397-08002B2CF9AE}" pid="16" name="DoublePage">
    <vt:lpwstr>true</vt:lpwstr>
  </property>
</Properties>
</file>