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65.020.01</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16</w:t>
            </w:r>
            <w:r>
              <w:rPr>
                <w:rFonts w:ascii="黑体" w:hAnsi="黑体" w:eastAsia="黑体"/>
                <w:sz w:val="21"/>
                <w:szCs w:val="21"/>
              </w:rPr>
              <w:fldChar w:fldCharType="end"/>
            </w:r>
            <w:bookmarkEnd w:id="2"/>
          </w:p>
        </w:tc>
      </w:tr>
    </w:tbl>
    <w:p>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 xml:space="preserve">团体标准 </w:t>
      </w:r>
      <w:r>
        <w:rPr>
          <w:rFonts w:ascii="黑体" w:eastAsia="黑体"/>
          <w:b w:val="0"/>
          <w:w w:val="100"/>
          <w:sz w:val="48"/>
        </w:rPr>
        <w:t xml:space="preserve">                              </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5"/>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桑断梢病防治技术规程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Standard regulation for control technology of mulber branch canker disease</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before="900" w:after="360"/>
      </w:pPr>
      <w:bookmarkStart w:id="21"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本文件由来宾市农业科学院提出并宣贯。</w:t>
      </w:r>
    </w:p>
    <w:p>
      <w:pPr>
        <w:pStyle w:val="56"/>
        <w:ind w:firstLine="420"/>
      </w:pPr>
      <w:r>
        <w:rPr>
          <w:rFonts w:hint="eastAsia"/>
        </w:rPr>
        <w:t>本文件由广西标准化协会归口。</w:t>
      </w:r>
    </w:p>
    <w:p>
      <w:pPr>
        <w:pStyle w:val="56"/>
        <w:ind w:firstLine="420"/>
      </w:pPr>
      <w:r>
        <w:rPr>
          <w:rFonts w:hint="eastAsia"/>
        </w:rPr>
        <w:t>本文件起草单位：来宾市农业科学院、广西壮族自治区蚕业技术推广站、忻城县蚕业技术指导站、河池市蚕业技术推广站、环江毛南族自治县桑蚕产业发展中心。</w:t>
      </w:r>
    </w:p>
    <w:p>
      <w:pPr>
        <w:pStyle w:val="56"/>
        <w:ind w:firstLine="420"/>
      </w:pPr>
      <w:r>
        <w:rPr>
          <w:rFonts w:hint="eastAsia"/>
        </w:rPr>
        <w:t>本文件主要起草人：罗平、冯斌、莫优想、莫江玲、黄林丹、黄旭华、罗祖现、黄康东、全诚、韦善教、韦春沙、玉彩绿、莫梁斌、唐茂荣、唐利妮、陈小青、陈振烽、韦静、覃耀明、韦金玥、田孟宇、陆方苗。</w:t>
      </w:r>
    </w:p>
    <w:p>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2F1D21F70FA843FB9A0C7FBA0C14C2FB"/>
        </w:placeholder>
      </w:sdtPr>
      <w:sdtContent>
        <w:p>
          <w:pPr>
            <w:pStyle w:val="177"/>
            <w:spacing w:before="240" w:beforeLines="100" w:after="528" w:afterLines="220"/>
          </w:pPr>
          <w:bookmarkStart w:id="23" w:name="NEW_STAND_NAME"/>
          <w:r>
            <w:rPr>
              <w:rFonts w:hint="eastAsia"/>
            </w:rPr>
            <w:t>桑断梢病防治技术规程</w:t>
          </w:r>
        </w:p>
      </w:sdtContent>
    </w:sdt>
    <w:bookmarkEnd w:id="23"/>
    <w:p>
      <w:pPr>
        <w:pStyle w:val="104"/>
        <w:spacing w:before="240" w:after="240"/>
      </w:pPr>
      <w:bookmarkStart w:id="24" w:name="_Toc97192964"/>
      <w:bookmarkStart w:id="25" w:name="_Toc26648465"/>
      <w:bookmarkStart w:id="26" w:name="_Toc17233333"/>
      <w:bookmarkStart w:id="27" w:name="_Toc17233325"/>
      <w:bookmarkStart w:id="28" w:name="_Toc26986771"/>
      <w:bookmarkStart w:id="29" w:name="_Toc26718930"/>
      <w:bookmarkStart w:id="30" w:name="_Toc24884218"/>
      <w:bookmarkStart w:id="31" w:name="_Toc24884211"/>
      <w:bookmarkStart w:id="32" w:name="_Toc26986530"/>
      <w:r>
        <w:rPr>
          <w:rFonts w:hint="eastAsia"/>
        </w:rPr>
        <w:t>范围</w:t>
      </w:r>
      <w:bookmarkEnd w:id="24"/>
      <w:bookmarkEnd w:id="25"/>
      <w:bookmarkEnd w:id="26"/>
      <w:bookmarkEnd w:id="27"/>
      <w:bookmarkEnd w:id="28"/>
      <w:bookmarkEnd w:id="29"/>
      <w:bookmarkEnd w:id="30"/>
      <w:bookmarkEnd w:id="31"/>
      <w:bookmarkEnd w:id="32"/>
    </w:p>
    <w:p>
      <w:pPr>
        <w:pStyle w:val="56"/>
        <w:ind w:firstLine="420"/>
      </w:pPr>
      <w:bookmarkStart w:id="33" w:name="_Toc24884212"/>
      <w:bookmarkStart w:id="34" w:name="_Toc24884219"/>
      <w:bookmarkStart w:id="35" w:name="_Toc26648466"/>
      <w:bookmarkStart w:id="36" w:name="_Toc17233334"/>
      <w:bookmarkStart w:id="37" w:name="_Toc17233326"/>
      <w:r>
        <w:rPr>
          <w:rFonts w:hint="eastAsia"/>
        </w:rPr>
        <w:t>本标准规定了桑断梢病的防治术语和定义、防治原则、措施和方法。</w:t>
      </w:r>
    </w:p>
    <w:p>
      <w:pPr>
        <w:pStyle w:val="56"/>
        <w:ind w:firstLine="420"/>
      </w:pPr>
      <w:r>
        <w:rPr>
          <w:rFonts w:hint="eastAsia"/>
        </w:rPr>
        <w:t>本标准适用于南亚热带其他地区桑断梢病的防治。</w:t>
      </w:r>
    </w:p>
    <w:p>
      <w:pPr>
        <w:pStyle w:val="104"/>
        <w:spacing w:before="240" w:after="240"/>
      </w:pPr>
      <w:bookmarkStart w:id="38" w:name="_Toc26986772"/>
      <w:bookmarkStart w:id="39" w:name="_Toc97192965"/>
      <w:bookmarkStart w:id="40" w:name="_Toc26986531"/>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AD598490BF1F4A068AEF0ACDCC16209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 xml:space="preserve">GB/T 8321.10-2018 </w:t>
      </w:r>
      <w:r>
        <w:t xml:space="preserve"> </w:t>
      </w:r>
      <w:r>
        <w:rPr>
          <w:rFonts w:hint="eastAsia"/>
        </w:rPr>
        <w:t>农药合理使用规范准则（十）</w:t>
      </w:r>
    </w:p>
    <w:p>
      <w:pPr>
        <w:pStyle w:val="56"/>
        <w:ind w:firstLine="420"/>
      </w:pPr>
      <w:r>
        <w:rPr>
          <w:rFonts w:hint="eastAsia"/>
        </w:rPr>
        <w:t xml:space="preserve">NY/T 1027-2006 </w:t>
      </w:r>
      <w:r>
        <w:t xml:space="preserve"> </w:t>
      </w:r>
      <w:r>
        <w:rPr>
          <w:rFonts w:hint="eastAsia"/>
        </w:rPr>
        <w:t>桑园用药技术规程</w:t>
      </w:r>
    </w:p>
    <w:p>
      <w:pPr>
        <w:pStyle w:val="56"/>
        <w:ind w:firstLine="420"/>
      </w:pPr>
      <w:r>
        <w:rPr>
          <w:rFonts w:hint="eastAsia"/>
        </w:rPr>
        <w:t xml:space="preserve">NY/T 1276-2007 </w:t>
      </w:r>
      <w:r>
        <w:t xml:space="preserve"> </w:t>
      </w:r>
      <w:r>
        <w:rPr>
          <w:rFonts w:hint="eastAsia"/>
        </w:rPr>
        <w:t>农药安全使用规范总则</w:t>
      </w:r>
    </w:p>
    <w:p>
      <w:pPr>
        <w:pStyle w:val="104"/>
        <w:spacing w:before="240" w:after="240"/>
      </w:pPr>
      <w:bookmarkStart w:id="42" w:name="_Toc97192966"/>
      <w:r>
        <w:rPr>
          <w:rFonts w:hint="eastAsia"/>
          <w:szCs w:val="21"/>
        </w:rPr>
        <w:t>术语和定义</w:t>
      </w:r>
      <w:bookmarkEnd w:id="42"/>
    </w:p>
    <w:sdt>
      <w:sdtPr>
        <w:id w:val="-1909835108"/>
        <w:placeholder>
          <w:docPart w:val="9001B3FDE24B4333B0AD5EE33FEE830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3" w:name="_Toc26986532"/>
          <w:bookmarkEnd w:id="43"/>
          <w:r>
            <w:t>下列术语和定义适用于本文件。</w:t>
          </w:r>
        </w:p>
      </w:sdtContent>
    </w:sdt>
    <w:p>
      <w:pPr>
        <w:pStyle w:val="223"/>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 xml:space="preserve">桑断梢病 </w:t>
      </w:r>
      <w:r>
        <w:rPr>
          <w:rFonts w:ascii="黑体" w:hAnsi="黑体" w:eastAsia="黑体"/>
        </w:rPr>
        <w:t xml:space="preserve"> mulberry branch canker disease</w:t>
      </w:r>
    </w:p>
    <w:p>
      <w:pPr>
        <w:pStyle w:val="56"/>
        <w:ind w:firstLine="420"/>
      </w:pPr>
      <w:r>
        <w:rPr>
          <w:rFonts w:hint="eastAsia"/>
        </w:rPr>
        <w:t>又称桑断枝病、桑枝枯菌核病，是由核盘菌科杯盘菌属肉阜状杯盘菌引起的真菌病害，与桑椹小粒性菌核病的病原Ciboria carunculoides Siegler et Jankins为同一种。桑树春发新枝基部感病后表皮逐渐形成黑斑，直至纵裂，病枝木质部和皮层细胞坏死，失去输导作用，致使新枝韧度降低，枝条易折断，严重影响桑叶产量和质量。</w:t>
      </w:r>
    </w:p>
    <w:p>
      <w:pPr>
        <w:pStyle w:val="223"/>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 xml:space="preserve">桑椹小粒性菌核病 </w:t>
      </w:r>
      <w:r>
        <w:rPr>
          <w:rFonts w:ascii="黑体" w:hAnsi="黑体" w:eastAsia="黑体"/>
        </w:rPr>
        <w:t xml:space="preserve"> mulberry sorosusparvullingsclerote disease</w:t>
      </w:r>
    </w:p>
    <w:p>
      <w:pPr>
        <w:pStyle w:val="56"/>
        <w:ind w:firstLine="420"/>
      </w:pPr>
      <w:r>
        <w:rPr>
          <w:rFonts w:hint="eastAsia"/>
        </w:rPr>
        <w:t>小粒性菌核病为桑椹菌核病 mulberry sclerotiniose（又叫白果病）其中之一，为杯盘菌属。菌丝灰白有隔膜和分枝，分生孢子无色、球状；患桑椹小粒性菌核病小果显著膨大、突出，手触易落，只留果轴；小果内生小形菌核，全椹变白，自然落果，能引起桑断梢病。</w:t>
      </w:r>
    </w:p>
    <w:p>
      <w:pPr>
        <w:pStyle w:val="223"/>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 xml:space="preserve">桑树花期 </w:t>
      </w:r>
      <w:r>
        <w:rPr>
          <w:rFonts w:ascii="黑体" w:hAnsi="黑体" w:eastAsia="黑体"/>
        </w:rPr>
        <w:t xml:space="preserve"> flowering stages in mulberry</w:t>
      </w:r>
    </w:p>
    <w:p>
      <w:pPr>
        <w:pStyle w:val="56"/>
        <w:ind w:firstLine="420"/>
      </w:pPr>
      <w:r>
        <w:rPr>
          <w:rFonts w:hint="eastAsia"/>
        </w:rPr>
        <w:t>当雌花柱头从子房伸出，左右分开呈牛角状为桑树开花。桑树花的各部分发育成熟时，花朵开放，形成花穗，至完成传粉和受精等一系列生理变化的一段时期。根据桑树花发育进程，分为始花期、盛花期和衰花期。</w:t>
      </w:r>
    </w:p>
    <w:p>
      <w:pPr>
        <w:pStyle w:val="104"/>
        <w:spacing w:before="240" w:after="240"/>
      </w:pPr>
      <w:r>
        <w:rPr>
          <w:rFonts w:hint="eastAsia"/>
        </w:rPr>
        <w:t>预测预报</w:t>
      </w:r>
    </w:p>
    <w:p>
      <w:pPr>
        <w:pStyle w:val="56"/>
        <w:ind w:firstLine="420"/>
      </w:pPr>
      <w:r>
        <w:rPr>
          <w:rFonts w:hint="eastAsia"/>
        </w:rPr>
        <w:t>桑断梢病的诱发病因是桑椹小粒性菌核病病原侵染，及时做好桑椹小粒性菌核病的发生情况调查可以预测桑断梢病发生。春季（桂南12月下旬到3月中旬，桂北、桂西北地区1月中旬至3月下旬，桂中地区2月上旬）适合菌核萌发形成子实体的田间气候条件（尤其是湿度和温度），是助推桑断梢病爆发危害的关键原因。掌握当地气象信息，及时对病害的发生进行预测预报，指导蚕农实施防治措施。</w:t>
      </w:r>
    </w:p>
    <w:p>
      <w:pPr>
        <w:pStyle w:val="104"/>
        <w:spacing w:before="240" w:after="240"/>
      </w:pPr>
      <w:r>
        <w:rPr>
          <w:rFonts w:hint="eastAsia"/>
        </w:rPr>
        <w:t>田间诊断</w:t>
      </w:r>
    </w:p>
    <w:p>
      <w:pPr>
        <w:pStyle w:val="105"/>
        <w:spacing w:before="120" w:after="120"/>
      </w:pPr>
      <w:r>
        <w:rPr>
          <w:rFonts w:hint="eastAsia"/>
        </w:rPr>
        <w:t>早期判断</w:t>
      </w:r>
    </w:p>
    <w:p>
      <w:pPr>
        <w:pStyle w:val="56"/>
        <w:ind w:firstLine="420"/>
      </w:pPr>
      <w:r>
        <w:rPr>
          <w:rFonts w:hint="eastAsia"/>
        </w:rPr>
        <w:t>春季（桂南地区12月下旬到3月中旬，桂北、桂西北地区1月中旬至3月下旬，桂中地区2月上旬）观察桑园内是否有桑椹小粒性菌核病菌核或子实体，一旦发现，就可判断有桑断梢病病菌存在，也存在该病害暴发的风险。</w:t>
      </w:r>
    </w:p>
    <w:p>
      <w:pPr>
        <w:pStyle w:val="105"/>
        <w:spacing w:before="120" w:after="120"/>
      </w:pPr>
      <w:r>
        <w:rPr>
          <w:rFonts w:hint="eastAsia"/>
        </w:rPr>
        <w:t>新梢诊断</w:t>
      </w:r>
    </w:p>
    <w:p>
      <w:pPr>
        <w:pStyle w:val="56"/>
        <w:ind w:firstLine="420"/>
      </w:pPr>
      <w:r>
        <w:rPr>
          <w:rFonts w:hint="eastAsia"/>
        </w:rPr>
        <w:t>观察到有桑树新发枝条基部出现黑斑，并逐渐扩大，存在环缢或形成瘤状的症状，并逐步有枝条断落现象，即可判断有桑断梢病病菌存在及有桑断梢病发生。</w:t>
      </w:r>
    </w:p>
    <w:p>
      <w:pPr>
        <w:pStyle w:val="104"/>
        <w:spacing w:before="240" w:after="240"/>
      </w:pPr>
      <w:r>
        <w:rPr>
          <w:rFonts w:hint="eastAsia"/>
        </w:rPr>
        <w:t>防治技术</w:t>
      </w:r>
    </w:p>
    <w:p>
      <w:pPr>
        <w:pStyle w:val="105"/>
        <w:spacing w:before="120" w:after="120"/>
      </w:pPr>
      <w:r>
        <w:rPr>
          <w:rFonts w:hint="eastAsia"/>
        </w:rPr>
        <w:t>防治原则</w:t>
      </w:r>
    </w:p>
    <w:p>
      <w:pPr>
        <w:pStyle w:val="56"/>
        <w:ind w:firstLine="420"/>
      </w:pPr>
      <w:r>
        <w:rPr>
          <w:rFonts w:hint="eastAsia"/>
        </w:rPr>
        <w:t>通过在原有的桑树品种上防控方法和新种植的桑园里选种抗病能力强的品种（例如桂桑优系列），结合药物防治，农业防治等措施对病害进行综合治理。</w:t>
      </w:r>
    </w:p>
    <w:p>
      <w:pPr>
        <w:pStyle w:val="105"/>
        <w:spacing w:before="120" w:after="120"/>
      </w:pPr>
      <w:r>
        <w:rPr>
          <w:rFonts w:hint="eastAsia"/>
        </w:rPr>
        <w:t>农业防治</w:t>
      </w:r>
    </w:p>
    <w:p>
      <w:pPr>
        <w:pStyle w:val="65"/>
        <w:spacing w:before="120" w:after="120"/>
      </w:pPr>
      <w:r>
        <w:rPr>
          <w:rFonts w:hint="eastAsia"/>
        </w:rPr>
        <w:t>选择抗病性强的品种</w:t>
      </w:r>
    </w:p>
    <w:p>
      <w:pPr>
        <w:pStyle w:val="56"/>
        <w:ind w:firstLine="420"/>
      </w:pPr>
      <w:r>
        <w:rPr>
          <w:rFonts w:hint="eastAsia"/>
        </w:rPr>
        <w:t>培育无病虫桑苗，建立无菌核病苗圃。新种植的桑园选择抗病性能强又适宜当地气候和生产的优质桑树品种，筛选出适合本地种植的抗桑断梢病较强的品种为桂桑优12号、桂桑优62号、桑特优2号、桂桑5号、桂桑6号、农桑14号嫁接桑(农桑14号为接穗,桂桑优系列杂交桑为砧木)。</w:t>
      </w:r>
    </w:p>
    <w:p>
      <w:pPr>
        <w:pStyle w:val="65"/>
        <w:spacing w:before="120" w:after="120"/>
      </w:pPr>
      <w:r>
        <w:rPr>
          <w:rFonts w:hint="eastAsia"/>
        </w:rPr>
        <w:t>合理种植</w:t>
      </w:r>
    </w:p>
    <w:p>
      <w:pPr>
        <w:pStyle w:val="56"/>
        <w:ind w:firstLine="420"/>
      </w:pPr>
      <w:r>
        <w:rPr>
          <w:rFonts w:hint="eastAsia"/>
        </w:rPr>
        <w:t>桑园桑树种植密度应在3500～4000株/667</w:t>
      </w:r>
      <w:r>
        <w:t> </w:t>
      </w:r>
      <w:r>
        <w:rPr>
          <w:rFonts w:hint="eastAsia"/>
        </w:rPr>
        <w:t>m</w:t>
      </w:r>
      <w:r>
        <w:rPr>
          <w:rFonts w:hint="eastAsia"/>
          <w:vertAlign w:val="superscript"/>
        </w:rPr>
        <w:t>2</w:t>
      </w:r>
      <w:r>
        <w:rPr>
          <w:rFonts w:hint="eastAsia"/>
        </w:rPr>
        <w:t>，具体种植密度按照桑树品种与预期树型做调整。低洼地、通风不良的地块，栽植密度适当调至2000株/666.7</w:t>
      </w:r>
      <w:r>
        <w:t> </w:t>
      </w:r>
      <w:r>
        <w:rPr>
          <w:rFonts w:hint="eastAsia"/>
        </w:rPr>
        <w:t>m</w:t>
      </w:r>
      <w:r>
        <w:rPr>
          <w:rFonts w:hint="eastAsia"/>
          <w:vertAlign w:val="superscript"/>
        </w:rPr>
        <w:t>2</w:t>
      </w:r>
      <w:r>
        <w:rPr>
          <w:rFonts w:hint="eastAsia"/>
        </w:rPr>
        <w:t>。桑园间及四周不要间套种油菜、向日葵等作物，避免这些作物与桑树交叉感染病原。</w:t>
      </w:r>
    </w:p>
    <w:p>
      <w:pPr>
        <w:pStyle w:val="65"/>
        <w:spacing w:before="120" w:after="120"/>
      </w:pPr>
      <w:r>
        <w:rPr>
          <w:rFonts w:hint="eastAsia"/>
        </w:rPr>
        <w:t>冬季田间管护</w:t>
      </w:r>
    </w:p>
    <w:p>
      <w:pPr>
        <w:pStyle w:val="56"/>
        <w:ind w:firstLine="420"/>
      </w:pPr>
      <w:r>
        <w:rPr>
          <w:rFonts w:hint="eastAsia"/>
        </w:rPr>
        <w:t>留养树型应偏高，桑园应通风透光。冬季（桂中和桂南地区11月上旬至12月下旬，桂北、桂西北地区11月下旬至1月中旬），采用冬留长枝法进行桑树冬伐（如年度内桑断梢病发生较严重，剪伐可以清除病原），剪除枯枝（桩），枝条留有10-15</w:t>
      </w:r>
      <w:r>
        <w:t> </w:t>
      </w:r>
      <w:r>
        <w:rPr>
          <w:rFonts w:hint="eastAsia"/>
        </w:rPr>
        <w:t>cm高，避免新梢基部靠近湿土，清除杂草，深翻土壤，喷洒石硫合剂或高锰酸钾，延长紫外线晒园时长，以达到破坏病菌越冬环境与消毒杀菌的目的。</w:t>
      </w:r>
    </w:p>
    <w:p>
      <w:pPr>
        <w:pStyle w:val="65"/>
        <w:spacing w:before="120" w:after="120"/>
      </w:pPr>
      <w:r>
        <w:rPr>
          <w:rFonts w:hint="eastAsia"/>
        </w:rPr>
        <w:t>及时清理病枝</w:t>
      </w:r>
    </w:p>
    <w:p>
      <w:pPr>
        <w:pStyle w:val="56"/>
        <w:ind w:firstLine="420"/>
      </w:pPr>
      <w:r>
        <w:rPr>
          <w:rFonts w:hint="eastAsia"/>
        </w:rPr>
        <w:t>巡园时发现病枝及早剪掉，防止落地形成菌核，收集的病枝远离桑园集中处理。</w:t>
      </w:r>
    </w:p>
    <w:p>
      <w:pPr>
        <w:pStyle w:val="65"/>
        <w:spacing w:before="120" w:after="120"/>
      </w:pPr>
      <w:r>
        <w:rPr>
          <w:rFonts w:hint="eastAsia"/>
        </w:rPr>
        <w:t>及时摘除花椹</w:t>
      </w:r>
    </w:p>
    <w:p>
      <w:pPr>
        <w:pStyle w:val="56"/>
        <w:ind w:firstLine="420"/>
      </w:pPr>
      <w:r>
        <w:rPr>
          <w:rFonts w:hint="eastAsia"/>
        </w:rPr>
        <w:t>上一年发生过桑断梢病的桑园，可在桑盛花期摘除花椹，提前进行桑断梢病的预防，以确保桑叶的质量和产量。</w:t>
      </w:r>
    </w:p>
    <w:p>
      <w:pPr>
        <w:pStyle w:val="65"/>
        <w:spacing w:before="120" w:after="120"/>
      </w:pPr>
      <w:r>
        <w:rPr>
          <w:rFonts w:hint="eastAsia"/>
        </w:rPr>
        <w:t>控湿管理</w:t>
      </w:r>
    </w:p>
    <w:p>
      <w:pPr>
        <w:pStyle w:val="56"/>
        <w:ind w:firstLine="420"/>
      </w:pPr>
      <w:r>
        <w:rPr>
          <w:rFonts w:hint="eastAsia"/>
        </w:rPr>
        <w:t>清除桑园内杂草，开沟排水，降低桑园内田间相对湿度。</w:t>
      </w:r>
    </w:p>
    <w:p>
      <w:pPr>
        <w:pStyle w:val="104"/>
        <w:spacing w:before="240" w:after="240"/>
      </w:pPr>
      <w:r>
        <w:rPr>
          <w:rFonts w:hint="eastAsia"/>
        </w:rPr>
        <w:t>药物防治</w:t>
      </w:r>
    </w:p>
    <w:p>
      <w:pPr>
        <w:pStyle w:val="105"/>
        <w:spacing w:before="120" w:after="120"/>
      </w:pPr>
      <w:r>
        <w:rPr>
          <w:rFonts w:hint="eastAsia"/>
        </w:rPr>
        <w:t>药剂防治</w:t>
      </w:r>
    </w:p>
    <w:p>
      <w:pPr>
        <w:pStyle w:val="165"/>
      </w:pPr>
      <w:r>
        <w:rPr>
          <w:rFonts w:hint="eastAsia"/>
        </w:rPr>
        <w:t>上年度受到桑断梢病为害的桑园，或属于病疫区桑园，或依预测预报结果可能病害暴发，要做预防。预防药剂的选择和使用应符合GB/T 8321.10-2018、NY/T</w:t>
      </w:r>
      <w:r>
        <w:t xml:space="preserve"> </w:t>
      </w:r>
      <w:r>
        <w:rPr>
          <w:rFonts w:hint="eastAsia"/>
        </w:rPr>
        <w:t>1027-2006、NY/T 1276</w:t>
      </w:r>
      <w:r>
        <w:t>-2007</w:t>
      </w:r>
      <w:r>
        <w:rPr>
          <w:rFonts w:hint="eastAsia"/>
        </w:rPr>
        <w:t>的要求，优先选择长效内吸保护杀菌剂。用药时间是防治关键，老桑园应在始花期，即雌花开始露白后开始喷施第1次，盛花期喷施第2次。桑断梢病防治常用农药与养蚕安全间隔期见表B.1。</w:t>
      </w:r>
    </w:p>
    <w:p>
      <w:pPr>
        <w:pStyle w:val="165"/>
      </w:pPr>
      <w:r>
        <w:rPr>
          <w:rFonts w:hint="eastAsia"/>
        </w:rPr>
        <w:t>根据5.1结果，发现病症时，要做好防治。防治用药同7.1，隔7天喷1次，连续喷2次。</w:t>
      </w:r>
    </w:p>
    <w:p>
      <w:pPr>
        <w:pStyle w:val="104"/>
        <w:spacing w:before="240" w:after="240"/>
      </w:pPr>
      <w:r>
        <w:rPr>
          <w:rFonts w:hint="eastAsia"/>
        </w:rPr>
        <w:t>防治记录</w:t>
      </w:r>
    </w:p>
    <w:p>
      <w:pPr>
        <w:pStyle w:val="56"/>
        <w:ind w:firstLine="420"/>
      </w:pPr>
      <w:r>
        <w:rPr>
          <w:rFonts w:hint="eastAsia"/>
        </w:rPr>
        <w:t>建立防治台账，每次防治要做好用药品种、剂量及用药时间、天气情况等的记录。记录详见表A.1。</w:t>
      </w:r>
    </w:p>
    <w:p>
      <w:pPr>
        <w:pStyle w:val="104"/>
        <w:spacing w:before="240" w:after="240"/>
      </w:pPr>
      <w:r>
        <w:rPr>
          <w:rFonts w:hint="eastAsia"/>
        </w:rPr>
        <w:t>注意事项</w:t>
      </w:r>
    </w:p>
    <w:p>
      <w:pPr>
        <w:pStyle w:val="105"/>
        <w:spacing w:before="120" w:after="120"/>
      </w:pPr>
      <w:r>
        <w:rPr>
          <w:rFonts w:hint="eastAsia"/>
        </w:rPr>
        <w:t>喷药方法</w:t>
      </w:r>
    </w:p>
    <w:p>
      <w:pPr>
        <w:pStyle w:val="56"/>
        <w:ind w:firstLine="420"/>
      </w:pPr>
      <w:r>
        <w:rPr>
          <w:rFonts w:hint="eastAsia"/>
        </w:rPr>
        <w:t>喷施时雾点须细，不可漏喷，使花序、叶、枝充分润湿，以滴水为度。</w:t>
      </w:r>
    </w:p>
    <w:p>
      <w:pPr>
        <w:pStyle w:val="105"/>
        <w:spacing w:before="120" w:after="120"/>
      </w:pPr>
      <w:r>
        <w:rPr>
          <w:rFonts w:hint="eastAsia"/>
        </w:rPr>
        <w:t>药剂配制方法</w:t>
      </w:r>
    </w:p>
    <w:p>
      <w:pPr>
        <w:pStyle w:val="56"/>
        <w:ind w:firstLine="420"/>
      </w:pPr>
      <w:r>
        <w:rPr>
          <w:rFonts w:hint="eastAsia"/>
        </w:rPr>
        <w:t>选用的农药，浓度须按标准配制，不可任意提高浓度，否则不利于今后防治。</w:t>
      </w:r>
    </w:p>
    <w:p>
      <w:pPr>
        <w:pStyle w:val="105"/>
        <w:spacing w:before="120" w:after="120"/>
      </w:pPr>
      <w:r>
        <w:rPr>
          <w:rFonts w:hint="eastAsia"/>
        </w:rPr>
        <w:t>雨后及时补喷</w:t>
      </w:r>
    </w:p>
    <w:p>
      <w:pPr>
        <w:pStyle w:val="56"/>
        <w:ind w:firstLine="420"/>
      </w:pPr>
      <w:r>
        <w:rPr>
          <w:rFonts w:hint="eastAsia"/>
        </w:rPr>
        <w:t>喷药后3</w:t>
      </w:r>
      <w:r>
        <w:t> </w:t>
      </w:r>
      <w:r>
        <w:rPr>
          <w:rFonts w:hint="eastAsia"/>
        </w:rPr>
        <w:t>h内如遇下雨，应及时补喷。</w:t>
      </w:r>
    </w:p>
    <w:p>
      <w:pPr>
        <w:pStyle w:val="105"/>
        <w:spacing w:before="120" w:after="120"/>
      </w:pPr>
      <w:r>
        <w:rPr>
          <w:rFonts w:hint="eastAsia"/>
        </w:rPr>
        <w:t>施肥管理</w:t>
      </w:r>
    </w:p>
    <w:p>
      <w:pPr>
        <w:pStyle w:val="56"/>
        <w:ind w:firstLine="420"/>
      </w:pPr>
      <w:r>
        <w:rPr>
          <w:rFonts w:hint="eastAsia"/>
        </w:rPr>
        <w:t>提前冬伐，翌年桑树提早发芽遇上倒春寒时，桑芽受到影响，桑叶变黄，气温回升后，应及时补追速效肥，或喷施叶面肥，可确保桑叶产量。</w:t>
      </w:r>
    </w:p>
    <w:p>
      <w:pPr>
        <w:pStyle w:val="56"/>
        <w:ind w:firstLine="420"/>
      </w:pPr>
    </w:p>
    <w:p>
      <w:pPr>
        <w:pStyle w:val="56"/>
        <w:ind w:firstLine="420"/>
      </w:pPr>
    </w:p>
    <w:p>
      <w:pPr>
        <w:pStyle w:val="56"/>
        <w:ind w:firstLine="420"/>
        <w:sectPr>
          <w:pgSz w:w="11906" w:h="16838"/>
          <w:pgMar w:top="1928" w:right="1134" w:bottom="1134" w:left="1134" w:header="1418" w:footer="1134" w:gutter="284"/>
          <w:pgNumType w:start="1"/>
          <w:cols w:space="425" w:num="1"/>
          <w:formProt w:val="0"/>
          <w:docGrid w:linePitch="312" w:charSpace="0"/>
        </w:sectPr>
      </w:pPr>
      <w:bookmarkStart w:id="46" w:name="_GoBack"/>
      <w:bookmarkEnd w:id="46"/>
    </w:p>
    <w:bookmarkEnd w:id="22"/>
    <w:p>
      <w:pPr>
        <w:pStyle w:val="198"/>
        <w:rPr>
          <w:vanish w:val="0"/>
        </w:rPr>
      </w:pPr>
      <w:bookmarkStart w:id="44" w:name="BookMark5"/>
    </w:p>
    <w:p>
      <w:pPr>
        <w:pStyle w:val="199"/>
        <w:rPr>
          <w:vanish w:val="0"/>
        </w:rPr>
      </w:pPr>
    </w:p>
    <w:p>
      <w:pPr>
        <w:pStyle w:val="76"/>
        <w:spacing w:after="120"/>
      </w:pPr>
      <w:r>
        <w:br w:type="textWrapping"/>
      </w:r>
      <w:r>
        <w:rPr>
          <w:rFonts w:hint="eastAsia"/>
        </w:rPr>
        <w:t>（资料性）</w:t>
      </w:r>
      <w:r>
        <w:br w:type="textWrapping"/>
      </w:r>
      <w:r>
        <w:rPr>
          <w:rFonts w:hint="eastAsia"/>
        </w:rPr>
        <w:t>药物防治档案记录卡</w:t>
      </w:r>
    </w:p>
    <w:p>
      <w:pPr>
        <w:pStyle w:val="56"/>
        <w:ind w:firstLine="420"/>
      </w:pPr>
      <w:r>
        <w:rPr>
          <w:rFonts w:hint="eastAsia"/>
        </w:rPr>
        <w:t>表A</w:t>
      </w:r>
      <w:r>
        <w:t>.1</w:t>
      </w:r>
      <w:r>
        <w:rPr>
          <w:rFonts w:hint="eastAsia"/>
        </w:rPr>
        <w:t>给出了药物防治档案记录卡样式</w:t>
      </w:r>
    </w:p>
    <w:p>
      <w:pPr>
        <w:pStyle w:val="77"/>
        <w:spacing w:before="120" w:after="120"/>
      </w:pPr>
      <w:r>
        <w:rPr>
          <w:rFonts w:hint="eastAsia"/>
        </w:rPr>
        <w:t>药物防治档案记录卡</w:t>
      </w:r>
    </w:p>
    <w:tbl>
      <w:tblPr>
        <w:tblStyle w:val="27"/>
        <w:tblW w:w="4999"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060"/>
        <w:gridCol w:w="63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36" w:hRule="atLeast"/>
          <w:tblHeader/>
        </w:trPr>
        <w:tc>
          <w:tcPr>
            <w:tcW w:w="1632" w:type="pct"/>
            <w:shd w:val="clear" w:color="auto" w:fill="auto"/>
            <w:vAlign w:val="center"/>
          </w:tcPr>
          <w:p>
            <w:pPr>
              <w:pStyle w:val="178"/>
              <w:jc w:val="both"/>
              <w:rPr>
                <w:rFonts w:hAnsi="宋体"/>
                <w:sz w:val="18"/>
                <w:szCs w:val="18"/>
              </w:rPr>
            </w:pPr>
            <w:r>
              <w:rPr>
                <w:rFonts w:hint="eastAsia" w:hAnsi="宋体"/>
                <w:sz w:val="18"/>
                <w:szCs w:val="18"/>
              </w:rPr>
              <w:t>农药使用日期和时间</w:t>
            </w:r>
          </w:p>
        </w:tc>
        <w:tc>
          <w:tcPr>
            <w:tcW w:w="3367" w:type="pct"/>
            <w:shd w:val="clear" w:color="auto" w:fill="auto"/>
            <w:vAlign w:val="center"/>
          </w:tcPr>
          <w:p>
            <w:pPr>
              <w:pStyle w:val="178"/>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36" w:hRule="atLeast"/>
        </w:trPr>
        <w:tc>
          <w:tcPr>
            <w:tcW w:w="1632" w:type="pct"/>
            <w:shd w:val="clear" w:color="auto" w:fill="auto"/>
            <w:vAlign w:val="center"/>
          </w:tcPr>
          <w:p>
            <w:pPr>
              <w:pStyle w:val="178"/>
              <w:jc w:val="both"/>
              <w:rPr>
                <w:rFonts w:hAnsi="宋体"/>
                <w:sz w:val="18"/>
                <w:szCs w:val="18"/>
              </w:rPr>
            </w:pPr>
            <w:r>
              <w:rPr>
                <w:rFonts w:hint="eastAsia" w:hAnsi="宋体"/>
                <w:sz w:val="18"/>
                <w:szCs w:val="18"/>
              </w:rPr>
              <w:t>农药使用当天温度和湿度</w:t>
            </w:r>
          </w:p>
        </w:tc>
        <w:tc>
          <w:tcPr>
            <w:tcW w:w="3367" w:type="pct"/>
            <w:shd w:val="clear" w:color="auto" w:fill="auto"/>
            <w:vAlign w:val="center"/>
          </w:tcPr>
          <w:p>
            <w:pPr>
              <w:pStyle w:val="178"/>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89" w:hRule="atLeast"/>
        </w:trPr>
        <w:tc>
          <w:tcPr>
            <w:tcW w:w="1632" w:type="pct"/>
            <w:shd w:val="clear" w:color="auto" w:fill="auto"/>
            <w:vAlign w:val="center"/>
          </w:tcPr>
          <w:p>
            <w:pPr>
              <w:pStyle w:val="178"/>
              <w:jc w:val="both"/>
              <w:rPr>
                <w:rFonts w:hAnsi="宋体"/>
                <w:sz w:val="18"/>
                <w:szCs w:val="18"/>
              </w:rPr>
            </w:pPr>
            <w:r>
              <w:rPr>
                <w:rFonts w:hint="eastAsia" w:hAnsi="宋体"/>
                <w:sz w:val="18"/>
                <w:szCs w:val="18"/>
              </w:rPr>
              <w:t>药剂品种和剂量</w:t>
            </w:r>
          </w:p>
        </w:tc>
        <w:tc>
          <w:tcPr>
            <w:tcW w:w="3367" w:type="pct"/>
            <w:shd w:val="clear" w:color="auto" w:fill="auto"/>
            <w:vAlign w:val="center"/>
          </w:tcPr>
          <w:p>
            <w:pPr>
              <w:pStyle w:val="178"/>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36" w:hRule="atLeast"/>
        </w:trPr>
        <w:tc>
          <w:tcPr>
            <w:tcW w:w="1632" w:type="pct"/>
            <w:shd w:val="clear" w:color="auto" w:fill="auto"/>
            <w:vAlign w:val="center"/>
          </w:tcPr>
          <w:p>
            <w:pPr>
              <w:pStyle w:val="178"/>
              <w:jc w:val="both"/>
              <w:rPr>
                <w:rFonts w:hAnsi="宋体"/>
                <w:sz w:val="18"/>
                <w:szCs w:val="18"/>
              </w:rPr>
            </w:pPr>
            <w:r>
              <w:rPr>
                <w:rFonts w:hint="eastAsia" w:hAnsi="宋体"/>
                <w:sz w:val="18"/>
                <w:szCs w:val="18"/>
              </w:rPr>
              <w:t>桑树生长发育阶段</w:t>
            </w:r>
          </w:p>
        </w:tc>
        <w:tc>
          <w:tcPr>
            <w:tcW w:w="3367" w:type="pct"/>
            <w:shd w:val="clear" w:color="auto" w:fill="auto"/>
            <w:vAlign w:val="center"/>
          </w:tcPr>
          <w:p>
            <w:pPr>
              <w:pStyle w:val="178"/>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89" w:hRule="atLeast"/>
        </w:trPr>
        <w:tc>
          <w:tcPr>
            <w:tcW w:w="1632" w:type="pct"/>
            <w:shd w:val="clear" w:color="auto" w:fill="auto"/>
            <w:vAlign w:val="center"/>
          </w:tcPr>
          <w:p>
            <w:pPr>
              <w:pStyle w:val="178"/>
              <w:jc w:val="both"/>
              <w:rPr>
                <w:rFonts w:hAnsi="宋体"/>
                <w:sz w:val="18"/>
                <w:szCs w:val="18"/>
              </w:rPr>
            </w:pPr>
            <w:r>
              <w:rPr>
                <w:rFonts w:hint="eastAsia" w:hAnsi="宋体"/>
                <w:sz w:val="18"/>
                <w:szCs w:val="18"/>
              </w:rPr>
              <w:t>领近作物</w:t>
            </w:r>
          </w:p>
        </w:tc>
        <w:tc>
          <w:tcPr>
            <w:tcW w:w="3367" w:type="pct"/>
            <w:shd w:val="clear" w:color="auto" w:fill="auto"/>
            <w:vAlign w:val="center"/>
          </w:tcPr>
          <w:p>
            <w:pPr>
              <w:pStyle w:val="178"/>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36" w:hRule="atLeast"/>
        </w:trPr>
        <w:tc>
          <w:tcPr>
            <w:tcW w:w="1632" w:type="pct"/>
            <w:shd w:val="clear" w:color="auto" w:fill="auto"/>
            <w:vAlign w:val="center"/>
          </w:tcPr>
          <w:p>
            <w:pPr>
              <w:pStyle w:val="178"/>
              <w:jc w:val="both"/>
              <w:rPr>
                <w:rFonts w:hAnsi="宋体"/>
                <w:sz w:val="18"/>
                <w:szCs w:val="18"/>
              </w:rPr>
            </w:pPr>
            <w:r>
              <w:rPr>
                <w:rFonts w:hint="eastAsia" w:hAnsi="宋体"/>
                <w:sz w:val="18"/>
                <w:szCs w:val="18"/>
              </w:rPr>
              <w:t>操作者姓名</w:t>
            </w:r>
          </w:p>
        </w:tc>
        <w:tc>
          <w:tcPr>
            <w:tcW w:w="3367" w:type="pct"/>
            <w:shd w:val="clear" w:color="auto" w:fill="auto"/>
            <w:vAlign w:val="center"/>
          </w:tcPr>
          <w:p>
            <w:pPr>
              <w:pStyle w:val="178"/>
              <w:rPr>
                <w:sz w:val="18"/>
                <w:szCs w:val="18"/>
              </w:rPr>
            </w:pPr>
          </w:p>
        </w:tc>
      </w:tr>
    </w:tbl>
    <w:p>
      <w:pPr>
        <w:pStyle w:val="56"/>
        <w:ind w:firstLine="420"/>
      </w:pPr>
    </w:p>
    <w:p>
      <w:pPr>
        <w:pStyle w:val="56"/>
        <w:ind w:firstLine="420"/>
      </w:pPr>
    </w:p>
    <w:p>
      <w:pPr>
        <w:pStyle w:val="56"/>
        <w:ind w:firstLine="420"/>
        <w:sectPr>
          <w:pgSz w:w="11906" w:h="16838"/>
          <w:pgMar w:top="1928" w:right="1134" w:bottom="1134" w:left="1134" w:header="1418" w:footer="1134" w:gutter="284"/>
          <w:cols w:space="425" w:num="1"/>
          <w:formProt w:val="0"/>
          <w:docGrid w:linePitch="312" w:charSpace="0"/>
        </w:sectPr>
      </w:pPr>
    </w:p>
    <w:p>
      <w:pPr>
        <w:pStyle w:val="198"/>
        <w:rPr>
          <w:vanish w:val="0"/>
        </w:rPr>
      </w:pPr>
    </w:p>
    <w:p>
      <w:pPr>
        <w:pStyle w:val="199"/>
        <w:rPr>
          <w:vanish w:val="0"/>
        </w:rPr>
      </w:pPr>
    </w:p>
    <w:p>
      <w:pPr>
        <w:pStyle w:val="76"/>
        <w:spacing w:after="120"/>
      </w:pPr>
      <w:r>
        <w:br w:type="textWrapping"/>
      </w:r>
      <w:r>
        <w:rPr>
          <w:rFonts w:hint="eastAsia"/>
        </w:rPr>
        <w:t>（资料性）</w:t>
      </w:r>
      <w:r>
        <w:br w:type="textWrapping"/>
      </w:r>
      <w:r>
        <w:rPr>
          <w:rFonts w:hint="eastAsia"/>
        </w:rPr>
        <w:t>桑断梢病防治常用农药与养蚕安全间隔期</w:t>
      </w:r>
    </w:p>
    <w:p>
      <w:pPr>
        <w:pStyle w:val="56"/>
        <w:ind w:firstLine="420"/>
      </w:pPr>
      <w:r>
        <w:rPr>
          <w:rFonts w:hint="eastAsia"/>
        </w:rPr>
        <w:t>桑断梢病防治常用农药与养蚕安全间隔期见表B.1。</w:t>
      </w:r>
    </w:p>
    <w:p>
      <w:pPr>
        <w:pStyle w:val="77"/>
        <w:spacing w:before="120" w:after="120"/>
      </w:pPr>
      <w:r>
        <w:rPr>
          <w:rFonts w:hint="eastAsia"/>
        </w:rPr>
        <w:t>桑断梢病防治常用农药与养蚕安全间隔期</w:t>
      </w:r>
    </w:p>
    <w:tbl>
      <w:tblPr>
        <w:tblStyle w:val="27"/>
        <w:tblW w:w="4998"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649"/>
        <w:gridCol w:w="1633"/>
        <w:gridCol w:w="2066"/>
        <w:gridCol w:w="30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56" w:hRule="atLeast"/>
          <w:tblHeader/>
          <w:jc w:val="center"/>
        </w:trPr>
        <w:tc>
          <w:tcPr>
            <w:tcW w:w="1413" w:type="pct"/>
            <w:tcBorders>
              <w:bottom w:val="single" w:color="auto" w:sz="8" w:space="0"/>
            </w:tcBorders>
            <w:shd w:val="clear" w:color="auto" w:fill="auto"/>
            <w:vAlign w:val="center"/>
          </w:tcPr>
          <w:p>
            <w:pPr>
              <w:pStyle w:val="178"/>
              <w:rPr>
                <w:szCs w:val="18"/>
              </w:rPr>
            </w:pPr>
            <w:r>
              <w:rPr>
                <w:rFonts w:hint="eastAsia"/>
                <w:szCs w:val="18"/>
              </w:rPr>
              <w:t>药剂名称</w:t>
            </w:r>
          </w:p>
        </w:tc>
        <w:tc>
          <w:tcPr>
            <w:tcW w:w="871" w:type="pct"/>
            <w:tcBorders>
              <w:bottom w:val="single" w:color="auto" w:sz="8" w:space="0"/>
            </w:tcBorders>
            <w:shd w:val="clear" w:color="auto" w:fill="auto"/>
            <w:vAlign w:val="center"/>
          </w:tcPr>
          <w:p>
            <w:pPr>
              <w:pStyle w:val="178"/>
              <w:rPr>
                <w:szCs w:val="18"/>
              </w:rPr>
            </w:pPr>
            <w:r>
              <w:rPr>
                <w:rFonts w:hint="eastAsia"/>
                <w:szCs w:val="18"/>
              </w:rPr>
              <w:t>药剂稀释（倍）</w:t>
            </w:r>
          </w:p>
        </w:tc>
        <w:tc>
          <w:tcPr>
            <w:tcW w:w="1102" w:type="pct"/>
            <w:tcBorders>
              <w:bottom w:val="single" w:color="auto" w:sz="8" w:space="0"/>
            </w:tcBorders>
            <w:shd w:val="clear" w:color="auto" w:fill="auto"/>
            <w:vAlign w:val="center"/>
          </w:tcPr>
          <w:p>
            <w:pPr>
              <w:pStyle w:val="178"/>
              <w:rPr>
                <w:szCs w:val="18"/>
              </w:rPr>
            </w:pPr>
            <w:r>
              <w:rPr>
                <w:rFonts w:hint="eastAsia"/>
                <w:szCs w:val="18"/>
              </w:rPr>
              <w:t>养蚕安全间隔期（d）</w:t>
            </w:r>
          </w:p>
        </w:tc>
        <w:tc>
          <w:tcPr>
            <w:tcW w:w="1612" w:type="pct"/>
            <w:tcBorders>
              <w:bottom w:val="single" w:color="auto" w:sz="8" w:space="0"/>
            </w:tcBorders>
            <w:shd w:val="clear" w:color="auto" w:fill="auto"/>
            <w:vAlign w:val="center"/>
          </w:tcPr>
          <w:p>
            <w:pPr>
              <w:pStyle w:val="178"/>
              <w:rPr>
                <w:szCs w:val="18"/>
              </w:rPr>
            </w:pPr>
            <w:r>
              <w:rPr>
                <w:rFonts w:hint="eastAsia"/>
                <w:szCs w:val="18"/>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56" w:hRule="atLeast"/>
          <w:jc w:val="center"/>
        </w:trPr>
        <w:tc>
          <w:tcPr>
            <w:tcW w:w="1413" w:type="pct"/>
            <w:tcBorders>
              <w:top w:val="single" w:color="auto" w:sz="8" w:space="0"/>
            </w:tcBorders>
            <w:shd w:val="clear" w:color="auto" w:fill="auto"/>
            <w:vAlign w:val="center"/>
          </w:tcPr>
          <w:p>
            <w:pPr>
              <w:pStyle w:val="178"/>
              <w:rPr>
                <w:szCs w:val="18"/>
              </w:rPr>
            </w:pPr>
            <w:r>
              <w:rPr>
                <w:rFonts w:hint="eastAsia"/>
                <w:szCs w:val="18"/>
              </w:rPr>
              <w:t>70%甲基托布津（或甲基硫菌灵）可湿性粉剂</w:t>
            </w:r>
          </w:p>
        </w:tc>
        <w:tc>
          <w:tcPr>
            <w:tcW w:w="871" w:type="pct"/>
            <w:tcBorders>
              <w:top w:val="single" w:color="auto" w:sz="8" w:space="0"/>
            </w:tcBorders>
            <w:shd w:val="clear" w:color="auto" w:fill="auto"/>
            <w:vAlign w:val="center"/>
          </w:tcPr>
          <w:p>
            <w:pPr>
              <w:pStyle w:val="178"/>
              <w:rPr>
                <w:szCs w:val="18"/>
              </w:rPr>
            </w:pPr>
            <w:r>
              <w:rPr>
                <w:rFonts w:hint="eastAsia"/>
                <w:szCs w:val="18"/>
              </w:rPr>
              <w:t>8</w:t>
            </w:r>
            <w:r>
              <w:rPr>
                <w:szCs w:val="18"/>
              </w:rPr>
              <w:t>00</w:t>
            </w:r>
            <w:r>
              <w:rPr>
                <w:rFonts w:hint="eastAsia"/>
                <w:szCs w:val="18"/>
              </w:rPr>
              <w:t>～1</w:t>
            </w:r>
            <w:r>
              <w:rPr>
                <w:szCs w:val="18"/>
              </w:rPr>
              <w:t>500</w:t>
            </w:r>
          </w:p>
        </w:tc>
        <w:tc>
          <w:tcPr>
            <w:tcW w:w="1102" w:type="pct"/>
            <w:tcBorders>
              <w:top w:val="single" w:color="auto" w:sz="8" w:space="0"/>
            </w:tcBorders>
            <w:shd w:val="clear" w:color="auto" w:fill="auto"/>
            <w:vAlign w:val="center"/>
          </w:tcPr>
          <w:p>
            <w:pPr>
              <w:pStyle w:val="178"/>
              <w:rPr>
                <w:szCs w:val="18"/>
              </w:rPr>
            </w:pPr>
            <w:r>
              <w:rPr>
                <w:rFonts w:hint="eastAsia"/>
                <w:szCs w:val="18"/>
              </w:rPr>
              <w:t>3</w:t>
            </w:r>
          </w:p>
        </w:tc>
        <w:tc>
          <w:tcPr>
            <w:tcW w:w="1612" w:type="pct"/>
            <w:tcBorders>
              <w:top w:val="single" w:color="auto" w:sz="8" w:space="0"/>
            </w:tcBorders>
            <w:shd w:val="clear" w:color="auto" w:fill="auto"/>
            <w:vAlign w:val="center"/>
          </w:tcPr>
          <w:p>
            <w:pPr>
              <w:pStyle w:val="178"/>
              <w:rPr>
                <w:szCs w:val="18"/>
              </w:rPr>
            </w:pPr>
            <w:r>
              <w:rPr>
                <w:rFonts w:hint="eastAsia"/>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88" w:hRule="atLeast"/>
          <w:jc w:val="center"/>
        </w:trPr>
        <w:tc>
          <w:tcPr>
            <w:tcW w:w="1413" w:type="pct"/>
            <w:shd w:val="clear" w:color="auto" w:fill="auto"/>
            <w:vAlign w:val="center"/>
          </w:tcPr>
          <w:p>
            <w:pPr>
              <w:pStyle w:val="178"/>
              <w:rPr>
                <w:szCs w:val="18"/>
              </w:rPr>
            </w:pPr>
            <w:r>
              <w:rPr>
                <w:rFonts w:hint="eastAsia"/>
                <w:szCs w:val="18"/>
              </w:rPr>
              <w:t>1.8%辛菌胺醋酸盐可湿性粉剂</w:t>
            </w:r>
          </w:p>
        </w:tc>
        <w:tc>
          <w:tcPr>
            <w:tcW w:w="871" w:type="pct"/>
            <w:shd w:val="clear" w:color="auto" w:fill="auto"/>
            <w:vAlign w:val="center"/>
          </w:tcPr>
          <w:p>
            <w:pPr>
              <w:pStyle w:val="178"/>
              <w:rPr>
                <w:szCs w:val="18"/>
              </w:rPr>
            </w:pPr>
            <w:r>
              <w:rPr>
                <w:rFonts w:hint="eastAsia"/>
                <w:szCs w:val="18"/>
              </w:rPr>
              <w:t>1</w:t>
            </w:r>
            <w:r>
              <w:rPr>
                <w:szCs w:val="18"/>
              </w:rPr>
              <w:t>000</w:t>
            </w:r>
            <w:r>
              <w:rPr>
                <w:rFonts w:hint="eastAsia"/>
                <w:szCs w:val="18"/>
              </w:rPr>
              <w:t>～1</w:t>
            </w:r>
            <w:r>
              <w:rPr>
                <w:szCs w:val="18"/>
              </w:rPr>
              <w:t>200</w:t>
            </w:r>
          </w:p>
        </w:tc>
        <w:tc>
          <w:tcPr>
            <w:tcW w:w="1102" w:type="pct"/>
            <w:shd w:val="clear" w:color="auto" w:fill="auto"/>
            <w:vAlign w:val="center"/>
          </w:tcPr>
          <w:p>
            <w:pPr>
              <w:pStyle w:val="178"/>
              <w:rPr>
                <w:szCs w:val="18"/>
              </w:rPr>
            </w:pPr>
            <w:r>
              <w:rPr>
                <w:rFonts w:hint="eastAsia"/>
                <w:szCs w:val="18"/>
              </w:rPr>
              <w:t>3</w:t>
            </w:r>
          </w:p>
        </w:tc>
        <w:tc>
          <w:tcPr>
            <w:tcW w:w="1612" w:type="pct"/>
            <w:shd w:val="clear" w:color="auto" w:fill="auto"/>
            <w:vAlign w:val="center"/>
          </w:tcPr>
          <w:p>
            <w:pPr>
              <w:pStyle w:val="178"/>
              <w:rPr>
                <w:szCs w:val="18"/>
              </w:rPr>
            </w:pPr>
            <w:r>
              <w:rPr>
                <w:rFonts w:hint="eastAsia"/>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56" w:hRule="atLeast"/>
          <w:jc w:val="center"/>
        </w:trPr>
        <w:tc>
          <w:tcPr>
            <w:tcW w:w="1413" w:type="pct"/>
            <w:shd w:val="clear" w:color="auto" w:fill="auto"/>
            <w:vAlign w:val="center"/>
          </w:tcPr>
          <w:p>
            <w:pPr>
              <w:pStyle w:val="178"/>
              <w:rPr>
                <w:szCs w:val="18"/>
              </w:rPr>
            </w:pPr>
            <w:r>
              <w:rPr>
                <w:rFonts w:hint="eastAsia"/>
                <w:szCs w:val="18"/>
              </w:rPr>
              <w:t>50%速克灵（腐霉利）可湿性粉剂</w:t>
            </w:r>
          </w:p>
        </w:tc>
        <w:tc>
          <w:tcPr>
            <w:tcW w:w="871" w:type="pct"/>
            <w:shd w:val="clear" w:color="auto" w:fill="auto"/>
            <w:vAlign w:val="center"/>
          </w:tcPr>
          <w:p>
            <w:pPr>
              <w:pStyle w:val="178"/>
              <w:rPr>
                <w:szCs w:val="18"/>
              </w:rPr>
            </w:pPr>
            <w:r>
              <w:rPr>
                <w:rFonts w:hint="eastAsia"/>
                <w:szCs w:val="18"/>
              </w:rPr>
              <w:t>1</w:t>
            </w:r>
            <w:r>
              <w:rPr>
                <w:szCs w:val="18"/>
              </w:rPr>
              <w:t>000</w:t>
            </w:r>
            <w:r>
              <w:rPr>
                <w:rFonts w:hint="eastAsia"/>
                <w:szCs w:val="18"/>
              </w:rPr>
              <w:t>～1</w:t>
            </w:r>
            <w:r>
              <w:rPr>
                <w:szCs w:val="18"/>
              </w:rPr>
              <w:t>500</w:t>
            </w:r>
          </w:p>
        </w:tc>
        <w:tc>
          <w:tcPr>
            <w:tcW w:w="1102" w:type="pct"/>
            <w:shd w:val="clear" w:color="auto" w:fill="auto"/>
            <w:vAlign w:val="center"/>
          </w:tcPr>
          <w:p>
            <w:pPr>
              <w:pStyle w:val="178"/>
              <w:rPr>
                <w:szCs w:val="18"/>
              </w:rPr>
            </w:pPr>
            <w:r>
              <w:rPr>
                <w:rFonts w:hint="eastAsia"/>
                <w:szCs w:val="18"/>
              </w:rPr>
              <w:t>3</w:t>
            </w:r>
          </w:p>
        </w:tc>
        <w:tc>
          <w:tcPr>
            <w:tcW w:w="1612" w:type="pct"/>
            <w:shd w:val="clear" w:color="auto" w:fill="auto"/>
            <w:vAlign w:val="center"/>
          </w:tcPr>
          <w:p>
            <w:pPr>
              <w:pStyle w:val="178"/>
              <w:rPr>
                <w:szCs w:val="18"/>
              </w:rPr>
            </w:pPr>
            <w:r>
              <w:rPr>
                <w:rFonts w:hint="eastAsia"/>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56" w:hRule="atLeast"/>
          <w:jc w:val="center"/>
        </w:trPr>
        <w:tc>
          <w:tcPr>
            <w:tcW w:w="1413" w:type="pct"/>
            <w:shd w:val="clear" w:color="auto" w:fill="auto"/>
            <w:vAlign w:val="center"/>
          </w:tcPr>
          <w:p>
            <w:pPr>
              <w:pStyle w:val="178"/>
              <w:rPr>
                <w:szCs w:val="18"/>
              </w:rPr>
            </w:pPr>
            <w:r>
              <w:rPr>
                <w:rFonts w:hint="eastAsia"/>
                <w:szCs w:val="18"/>
              </w:rPr>
              <w:t>30%叶将</w:t>
            </w:r>
          </w:p>
        </w:tc>
        <w:tc>
          <w:tcPr>
            <w:tcW w:w="871" w:type="pct"/>
            <w:shd w:val="clear" w:color="auto" w:fill="auto"/>
            <w:vAlign w:val="center"/>
          </w:tcPr>
          <w:p>
            <w:pPr>
              <w:pStyle w:val="178"/>
              <w:rPr>
                <w:szCs w:val="18"/>
              </w:rPr>
            </w:pPr>
            <w:r>
              <w:rPr>
                <w:rFonts w:hint="eastAsia"/>
                <w:szCs w:val="18"/>
              </w:rPr>
              <w:t>1</w:t>
            </w:r>
            <w:r>
              <w:rPr>
                <w:szCs w:val="18"/>
              </w:rPr>
              <w:t>500</w:t>
            </w:r>
          </w:p>
        </w:tc>
        <w:tc>
          <w:tcPr>
            <w:tcW w:w="1102" w:type="pct"/>
            <w:shd w:val="clear" w:color="auto" w:fill="auto"/>
            <w:vAlign w:val="center"/>
          </w:tcPr>
          <w:p>
            <w:pPr>
              <w:pStyle w:val="178"/>
              <w:rPr>
                <w:szCs w:val="18"/>
              </w:rPr>
            </w:pPr>
            <w:r>
              <w:rPr>
                <w:rFonts w:hint="eastAsia"/>
                <w:szCs w:val="18"/>
              </w:rPr>
              <w:t>7</w:t>
            </w:r>
          </w:p>
        </w:tc>
        <w:tc>
          <w:tcPr>
            <w:tcW w:w="1612" w:type="pct"/>
            <w:shd w:val="clear" w:color="auto" w:fill="auto"/>
            <w:vAlign w:val="center"/>
          </w:tcPr>
          <w:p>
            <w:pPr>
              <w:pStyle w:val="178"/>
              <w:rPr>
                <w:szCs w:val="18"/>
              </w:rPr>
            </w:pPr>
            <w:r>
              <w:rPr>
                <w:rFonts w:hint="eastAsia"/>
                <w:szCs w:val="18"/>
              </w:rPr>
              <w:t>20%戊唑醇+10%吡唑醚菌酯</w:t>
            </w:r>
          </w:p>
        </w:tc>
      </w:tr>
    </w:tbl>
    <w:p>
      <w:pPr>
        <w:pStyle w:val="56"/>
        <w:ind w:firstLine="420"/>
      </w:pPr>
    </w:p>
    <w:bookmarkEnd w:id="44"/>
    <w:p>
      <w:pPr>
        <w:pStyle w:val="56"/>
        <w:ind w:firstLine="0" w:firstLineChars="0"/>
        <w:jc w:val="center"/>
      </w:pPr>
      <w:bookmarkStart w:id="45" w:name="BookMark8"/>
      <w: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attachedTemplate r:id="rId1"/>
  <w:documentProtection w:edit="forms" w:enforcement="1" w:cryptProviderType="rsaAES" w:cryptAlgorithmClass="hash" w:cryptAlgorithmType="typeAny" w:cryptAlgorithmSid="14" w:cryptSpinCount="100000" w:hash="I4Pk0G+lGyypdP6smOjNrrLVOz5YbMan3Oq/pWrh+Y7cqsfANHthgUIl99AbhNUIbD5A68ojq3TGqws10mzR2Q==" w:salt="SGU+4GoXU0q6xgkOXlFjf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cwMzBhNDA5MWZkNjNjNjFjNmFkMDk0MGQ5YjMxZTYifQ=="/>
  </w:docVars>
  <w:rsids>
    <w:rsidRoot w:val="005B44C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A61"/>
    <w:rsid w:val="000C4B41"/>
    <w:rsid w:val="000C57D6"/>
    <w:rsid w:val="000C6362"/>
    <w:rsid w:val="000C7666"/>
    <w:rsid w:val="000D0A9C"/>
    <w:rsid w:val="000D1795"/>
    <w:rsid w:val="000D329A"/>
    <w:rsid w:val="000D4AF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27D4F"/>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6F5"/>
    <w:rsid w:val="00264A0C"/>
    <w:rsid w:val="00266EEB"/>
    <w:rsid w:val="00267D63"/>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51B"/>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3DC7"/>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5B54"/>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33F"/>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4C2"/>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A1D"/>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2D8F"/>
    <w:rsid w:val="007C4593"/>
    <w:rsid w:val="007C5309"/>
    <w:rsid w:val="007C6069"/>
    <w:rsid w:val="007D06C4"/>
    <w:rsid w:val="007D1352"/>
    <w:rsid w:val="007D2508"/>
    <w:rsid w:val="007D346A"/>
    <w:rsid w:val="007D6518"/>
    <w:rsid w:val="007D76BD"/>
    <w:rsid w:val="007E0BF1"/>
    <w:rsid w:val="007F0ED8"/>
    <w:rsid w:val="007F0F63"/>
    <w:rsid w:val="007F2122"/>
    <w:rsid w:val="007F2FE1"/>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011"/>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1D6"/>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611C"/>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E7F6E"/>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876"/>
    <w:rsid w:val="00C25FE2"/>
    <w:rsid w:val="00C26B53"/>
    <w:rsid w:val="00C279B2"/>
    <w:rsid w:val="00C32E91"/>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727"/>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94E"/>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20E"/>
    <w:rsid w:val="00E11A85"/>
    <w:rsid w:val="00E12495"/>
    <w:rsid w:val="00E15CCD"/>
    <w:rsid w:val="00E202EF"/>
    <w:rsid w:val="00E210B5"/>
    <w:rsid w:val="00E2552F"/>
    <w:rsid w:val="00E3137A"/>
    <w:rsid w:val="00E32CCF"/>
    <w:rsid w:val="00E34A98"/>
    <w:rsid w:val="00E35D1E"/>
    <w:rsid w:val="00E364F9"/>
    <w:rsid w:val="00E365FA"/>
    <w:rsid w:val="00E36789"/>
    <w:rsid w:val="00E37EA8"/>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4C96"/>
    <w:rsid w:val="00EC5359"/>
    <w:rsid w:val="00EC562A"/>
    <w:rsid w:val="00ED067A"/>
    <w:rsid w:val="00ED1937"/>
    <w:rsid w:val="00ED2B50"/>
    <w:rsid w:val="00EE0350"/>
    <w:rsid w:val="00EE0719"/>
    <w:rsid w:val="00EE0E80"/>
    <w:rsid w:val="00EE57B7"/>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451743B"/>
    <w:rsid w:val="3C734E42"/>
    <w:rsid w:val="7F277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semiHidden="0" w:name="toc 3"/>
    <w:lsdException w:qFormat="1"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autoRedefine/>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autoRedefine/>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autoRedefine/>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autoRedefine/>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autoRedefine/>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F1D21F70FA843FB9A0C7FBA0C14C2FB"/>
        <w:style w:val=""/>
        <w:category>
          <w:name w:val="常规"/>
          <w:gallery w:val="placeholder"/>
        </w:category>
        <w:types>
          <w:type w:val="bbPlcHdr"/>
        </w:types>
        <w:behaviors>
          <w:behavior w:val="content"/>
        </w:behaviors>
        <w:description w:val=""/>
        <w:guid w:val="{F32FE6D8-9E34-4DF1-9754-E3267560D8B3}"/>
      </w:docPartPr>
      <w:docPartBody>
        <w:p>
          <w:pPr>
            <w:pStyle w:val="5"/>
          </w:pPr>
          <w:r>
            <w:rPr>
              <w:rStyle w:val="4"/>
              <w:rFonts w:hint="eastAsia"/>
            </w:rPr>
            <w:t>单击或点击此处输入文字。</w:t>
          </w:r>
        </w:p>
      </w:docPartBody>
    </w:docPart>
    <w:docPart>
      <w:docPartPr>
        <w:name w:val="AD598490BF1F4A068AEF0ACDCC162097"/>
        <w:style w:val=""/>
        <w:category>
          <w:name w:val="常规"/>
          <w:gallery w:val="placeholder"/>
        </w:category>
        <w:types>
          <w:type w:val="bbPlcHdr"/>
        </w:types>
        <w:behaviors>
          <w:behavior w:val="content"/>
        </w:behaviors>
        <w:description w:val=""/>
        <w:guid w:val="{04248DEC-186C-4B09-AE52-D241EB24E119}"/>
      </w:docPartPr>
      <w:docPartBody>
        <w:p>
          <w:pPr>
            <w:pStyle w:val="6"/>
          </w:pPr>
          <w:r>
            <w:rPr>
              <w:rStyle w:val="4"/>
              <w:rFonts w:hint="eastAsia"/>
            </w:rPr>
            <w:t>选择一项。</w:t>
          </w:r>
        </w:p>
      </w:docPartBody>
    </w:docPart>
    <w:docPart>
      <w:docPartPr>
        <w:name w:val="9001B3FDE24B4333B0AD5EE33FEE830A"/>
        <w:style w:val=""/>
        <w:category>
          <w:name w:val="常规"/>
          <w:gallery w:val="placeholder"/>
        </w:category>
        <w:types>
          <w:type w:val="bbPlcHdr"/>
        </w:types>
        <w:behaviors>
          <w:behavior w:val="content"/>
        </w:behaviors>
        <w:description w:val=""/>
        <w:guid w:val="{4FCDFCEE-A676-4194-80F7-32515DB08E05}"/>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D0D"/>
    <w:rsid w:val="00052BB3"/>
    <w:rsid w:val="00174B9F"/>
    <w:rsid w:val="001C7AE0"/>
    <w:rsid w:val="00402052"/>
    <w:rsid w:val="00563ADB"/>
    <w:rsid w:val="00A03D0D"/>
    <w:rsid w:val="00D5607E"/>
    <w:rsid w:val="00F32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2F1D21F70FA843FB9A0C7FBA0C14C2F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D598490BF1F4A068AEF0ACDCC16209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001B3FDE24B4333B0AD5EE33FEE830A"/>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6DFAE3-BB53-4068-991B-DA98EA79100A}">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7</Pages>
  <Words>524</Words>
  <Characters>2993</Characters>
  <Lines>24</Lines>
  <Paragraphs>7</Paragraphs>
  <TotalTime>26</TotalTime>
  <ScaleCrop>false</ScaleCrop>
  <LinksUpToDate>false</LinksUpToDate>
  <CharactersWithSpaces>3510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2024-04-01T07:57:00Z</dcterms:created>
  <dc:creator>Administrator</dc:creator>
  <dc:description>&lt;config cover="true" show_menu="true" version="1.0.0" doctype="SDKXY"&gt;_x000d_
&lt;/config&gt;</dc:description>
  <cp:lastModifiedBy>誰念誰川</cp:lastModifiedBy>
  <cp:lastPrinted>2021-02-02T08:22:00Z</cp:lastPrinted>
  <dcterms:modified xsi:type="dcterms:W3CDTF">2024-05-09T10:02:46Z</dcterms:modified>
  <dc:title>团体标准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2052-12.1.0.16729</vt:lpwstr>
  </property>
  <property fmtid="{D5CDD505-2E9C-101B-9397-08002B2CF9AE}" pid="15" name="ICV">
    <vt:lpwstr>69590053F8C04534BCBB548338C8E48C_12</vt:lpwstr>
  </property>
</Properties>
</file>