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67.120.10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8"/>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pPr>
                    <w:pStyle w:val="50"/>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lang w:eastAsia="zh-CN"/>
                    </w:rPr>
                    <w:t>G</w:t>
                  </w:r>
                  <w:r>
                    <w:rPr>
                      <w:rFonts w:hint="eastAsia"/>
                      <w:lang w:val="en-US" w:eastAsia="zh-CN"/>
                    </w:rPr>
                    <w:t>XAS</w:t>
                  </w:r>
                  <w:r>
                    <w:fldChar w:fldCharType="end"/>
                  </w:r>
                  <w:bookmarkEnd w:id="1"/>
                </w:p>
              </w:tc>
            </w:tr>
          </w:tbl>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eastAsia="zh-CN"/>
              </w:rPr>
              <w:t>X</w:t>
            </w:r>
            <w:r>
              <w:rPr>
                <w:rFonts w:hint="eastAsia" w:ascii="黑体" w:hAnsi="黑体" w:eastAsia="黑体"/>
                <w:sz w:val="21"/>
                <w:szCs w:val="21"/>
                <w:lang w:val="en-US" w:eastAsia="zh-CN"/>
              </w:rPr>
              <w:t xml:space="preserve"> 22</w:t>
            </w:r>
            <w:r>
              <w:rPr>
                <w:rFonts w:ascii="黑体" w:hAnsi="黑体" w:eastAsia="黑体"/>
                <w:sz w:val="21"/>
                <w:szCs w:val="21"/>
              </w:rPr>
              <w:fldChar w:fldCharType="end"/>
            </w:r>
            <w:bookmarkEnd w:id="2"/>
          </w:p>
        </w:tc>
      </w:tr>
    </w:tbl>
    <w:p>
      <w:pPr>
        <w:pStyle w:val="51"/>
        <w:framePr w:w="9639" w:h="624" w:hRule="exact" w:hSpace="181" w:vSpace="181" w:wrap="around" w:hAnchor="page" w:x="1305" w:y="2269"/>
        <w:rPr>
          <w:rFonts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pPr>
        <w:pStyle w:val="196"/>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rPr>
          <w:rFonts w:hint="eastAsia"/>
          <w:lang w:eastAsia="zh-CN"/>
        </w:rPr>
        <w:t>2</w:t>
      </w:r>
      <w:r>
        <w:rPr>
          <w:rFonts w:hint="eastAsia"/>
          <w:lang w:val="en-US" w:eastAsia="zh-CN"/>
        </w:rPr>
        <w:t>024</w:t>
      </w:r>
      <w:r>
        <w:fldChar w:fldCharType="end"/>
      </w:r>
      <w:bookmarkEnd w:id="6"/>
    </w:p>
    <w:p>
      <w:pPr>
        <w:pStyle w:val="197"/>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1"/>
        <w:framePr w:w="9639" w:h="6976" w:hRule="exact" w:hSpace="0" w:vSpace="0" w:wrap="around" w:hAnchor="page" w:y="6408"/>
        <w:jc w:val="center"/>
        <w:rPr>
          <w:rFonts w:ascii="黑体" w:hAnsi="黑体" w:eastAsia="黑体"/>
          <w:b w:val="0"/>
          <w:bCs w:val="0"/>
          <w:w w:val="100"/>
        </w:rPr>
      </w:pPr>
    </w:p>
    <w:p>
      <w:pPr>
        <w:pStyle w:val="198"/>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良种肉牛优质牛肉分割及质量等级评定</w:t>
      </w:r>
      <w:r>
        <w:fldChar w:fldCharType="end"/>
      </w:r>
      <w:bookmarkEnd w:id="8"/>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9"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Beef cutting and quality grade evaluation of beef cattle</w:t>
      </w:r>
      <w:r>
        <w:rPr>
          <w:rFonts w:ascii="黑体" w:hAnsi="黑体" w:eastAsia="黑体"/>
          <w:szCs w:val="28"/>
        </w:rPr>
        <w:fldChar w:fldCharType="end"/>
      </w:r>
      <w:bookmarkEnd w:id="9"/>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rPr>
      </w:pPr>
    </w:p>
    <w:p>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pPr>
        <w:pStyle w:val="194"/>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hint="eastAsia" w:ascii="黑体"/>
          <w:lang w:eastAsia="zh-CN"/>
        </w:rPr>
        <w:t>2</w:t>
      </w:r>
      <w:r>
        <w:rPr>
          <w:rFonts w:hint="eastAsia" w:ascii="黑体"/>
          <w:lang w:val="en-US" w:eastAsia="zh-CN"/>
        </w:rPr>
        <w:t>024</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pPr>
        <w:pStyle w:val="195"/>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hint="eastAsia" w:ascii="黑体"/>
          <w:lang w:eastAsia="zh-CN"/>
        </w:rPr>
        <w:t>2</w:t>
      </w:r>
      <w:r>
        <w:rPr>
          <w:rFonts w:hint="eastAsia" w:ascii="黑体"/>
          <w:lang w:val="en-US" w:eastAsia="zh-CN"/>
        </w:rPr>
        <w:t>024</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pPr>
        <w:pStyle w:val="15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19"/>
      <w:r>
        <w:rPr>
          <w:rFonts w:ascii="Times New Roman"/>
          <w:w w:val="100"/>
          <w:sz w:val="28"/>
        </w:rPr>
        <w:t>  </w:t>
      </w:r>
      <w:r>
        <w:rPr>
          <w:rStyle w:val="230"/>
          <w:rFonts w:hint="eastAsia" w:hAnsi="黑体"/>
          <w:position w:val="0"/>
        </w:rPr>
        <w:t>发</w:t>
      </w:r>
      <w:r>
        <w:rPr>
          <w:rStyle w:val="230"/>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0"/>
        <w:spacing w:after="360"/>
      </w:pPr>
      <w:bookmarkStart w:id="20" w:name="BookMark2"/>
      <w:r>
        <w:rPr>
          <w:spacing w:val="320"/>
        </w:rPr>
        <w:t>前</w:t>
      </w:r>
      <w:r>
        <w:t>言</w:t>
      </w:r>
    </w:p>
    <w:p>
      <w:pPr>
        <w:pStyle w:val="25"/>
        <w:keepNext w:val="0"/>
        <w:keepLines w:val="0"/>
        <w:widowControl/>
        <w:suppressLineNumbers w:val="0"/>
        <w:autoSpaceDE w:val="0"/>
        <w:autoSpaceDN w:val="0"/>
        <w:adjustRightInd/>
        <w:spacing w:before="0" w:beforeAutospacing="0" w:after="0" w:afterAutospacing="0" w:line="240" w:lineRule="auto"/>
        <w:ind w:left="0" w:right="0" w:firstLine="420" w:firstLineChars="200"/>
        <w:jc w:val="both"/>
        <w:rPr>
          <w:lang w:val="en-US"/>
        </w:rPr>
      </w:pPr>
      <w:r>
        <w:rPr>
          <w:rFonts w:hint="eastAsia" w:ascii="宋体" w:hAnsi="Times New Roman" w:eastAsia="宋体" w:cs="Times New Roman"/>
          <w:kern w:val="0"/>
          <w:sz w:val="21"/>
          <w:szCs w:val="20"/>
          <w:lang w:val="en-US" w:eastAsia="zh-CN" w:bidi="ar"/>
        </w:rPr>
        <w:t>本文件参照GB/T 1.1—2020《标准化工作导则  第1部分：标准化文件的结构和起草规则》的规定起草。</w:t>
      </w:r>
    </w:p>
    <w:p>
      <w:pPr>
        <w:pStyle w:val="25"/>
        <w:keepNext w:val="0"/>
        <w:keepLines w:val="0"/>
        <w:widowControl/>
        <w:suppressLineNumbers w:val="0"/>
        <w:autoSpaceDE w:val="0"/>
        <w:autoSpaceDN w:val="0"/>
        <w:adjustRightInd/>
        <w:spacing w:before="0" w:beforeAutospacing="0" w:after="0" w:afterAutospacing="0" w:line="240" w:lineRule="auto"/>
        <w:ind w:left="0" w:right="0" w:firstLine="420" w:firstLineChars="200"/>
        <w:jc w:val="both"/>
        <w:rPr>
          <w:lang w:val="en-US"/>
        </w:rPr>
      </w:pPr>
      <w:r>
        <w:rPr>
          <w:rFonts w:hint="eastAsia" w:ascii="宋体" w:hAnsi="Times New Roman" w:eastAsia="宋体" w:cs="Times New Roman"/>
          <w:kern w:val="0"/>
          <w:sz w:val="21"/>
          <w:szCs w:val="20"/>
          <w:lang w:val="en-US" w:eastAsia="zh-CN" w:bidi="ar"/>
        </w:rPr>
        <w:t>请注意本文件的某些内容可能涉及专利。本文件的发布机构不承担识别专利的责任。</w:t>
      </w:r>
    </w:p>
    <w:p>
      <w:pPr>
        <w:pStyle w:val="25"/>
        <w:keepNext w:val="0"/>
        <w:keepLines w:val="0"/>
        <w:widowControl/>
        <w:suppressLineNumbers w:val="0"/>
        <w:autoSpaceDE w:val="0"/>
        <w:autoSpaceDN w:val="0"/>
        <w:adjustRightInd/>
        <w:spacing w:before="0" w:beforeAutospacing="0" w:after="0" w:afterAutospacing="0" w:line="240" w:lineRule="auto"/>
        <w:ind w:left="0" w:right="0" w:firstLine="420" w:firstLineChars="200"/>
        <w:jc w:val="both"/>
        <w:rPr>
          <w:color w:val="auto"/>
          <w:lang w:val="en-US"/>
        </w:rPr>
      </w:pPr>
      <w:r>
        <w:rPr>
          <w:rFonts w:hint="eastAsia" w:ascii="宋体" w:hAnsi="Times New Roman" w:eastAsia="宋体" w:cs="Times New Roman"/>
          <w:color w:val="auto"/>
          <w:kern w:val="0"/>
          <w:sz w:val="21"/>
          <w:szCs w:val="20"/>
          <w:lang w:val="en-US" w:eastAsia="zh-CN" w:bidi="ar"/>
        </w:rPr>
        <w:t>本文件由广西农业职业技术大学提出并宣贯。</w:t>
      </w:r>
    </w:p>
    <w:p>
      <w:pPr>
        <w:pStyle w:val="25"/>
        <w:keepNext w:val="0"/>
        <w:keepLines w:val="0"/>
        <w:widowControl/>
        <w:suppressLineNumbers w:val="0"/>
        <w:autoSpaceDE w:val="0"/>
        <w:autoSpaceDN w:val="0"/>
        <w:adjustRightInd/>
        <w:spacing w:before="0" w:beforeAutospacing="0" w:after="0" w:afterAutospacing="0" w:line="240" w:lineRule="auto"/>
        <w:ind w:left="0" w:right="0" w:firstLine="420" w:firstLineChars="200"/>
        <w:jc w:val="both"/>
        <w:rPr>
          <w:rFonts w:hint="eastAsia"/>
          <w:color w:val="auto"/>
        </w:rPr>
      </w:pPr>
      <w:r>
        <w:rPr>
          <w:rFonts w:hint="eastAsia" w:ascii="宋体" w:hAnsi="Times New Roman" w:eastAsia="宋体" w:cs="Times New Roman"/>
          <w:color w:val="auto"/>
          <w:kern w:val="0"/>
          <w:sz w:val="21"/>
          <w:szCs w:val="20"/>
          <w:lang w:val="en-US" w:eastAsia="zh-CN" w:bidi="ar"/>
        </w:rPr>
        <w:t>本文件由广西标准化协会归口。</w:t>
      </w:r>
    </w:p>
    <w:p>
      <w:pPr>
        <w:pStyle w:val="57"/>
        <w:ind w:firstLine="420"/>
      </w:pPr>
      <w:r>
        <w:rPr>
          <w:rFonts w:hint="eastAsia"/>
        </w:rPr>
        <w:t>本文件起草单位：广西农业职业技术大学、桂林同盛生态养殖有限公司、宾阳县祥岭养殖有限责任公司。</w:t>
      </w:r>
    </w:p>
    <w:p>
      <w:pPr>
        <w:pStyle w:val="57"/>
        <w:ind w:firstLine="420"/>
      </w:pPr>
      <w:r>
        <w:rPr>
          <w:rFonts w:hint="eastAsia"/>
        </w:rPr>
        <w:t>本文件主要起草人：梁金逢、易显凤、贾银海、庞天德、卢日照、陆军、梁堃、张辉、甘锐桓、廖荣强。</w:t>
      </w:r>
    </w:p>
    <w:p>
      <w:pPr>
        <w:pStyle w:val="57"/>
        <w:ind w:firstLine="420"/>
      </w:pPr>
    </w:p>
    <w:p>
      <w:pPr>
        <w:pStyle w:val="57"/>
        <w:ind w:firstLine="420"/>
      </w:pPr>
    </w:p>
    <w:p>
      <w:pPr>
        <w:pStyle w:val="57"/>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p>
    <w:bookmarkEnd w:id="20"/>
    <w:p>
      <w:pPr>
        <w:spacing w:line="20" w:lineRule="exact"/>
        <w:jc w:val="center"/>
        <w:rPr>
          <w:rFonts w:ascii="黑体" w:hAnsi="黑体" w:eastAsia="黑体"/>
          <w:sz w:val="32"/>
          <w:szCs w:val="32"/>
        </w:rPr>
      </w:pPr>
      <w:bookmarkStart w:id="21" w:name="BookMark4"/>
    </w:p>
    <w:p>
      <w:pPr>
        <w:spacing w:line="20" w:lineRule="exact"/>
        <w:jc w:val="center"/>
        <w:rPr>
          <w:rFonts w:ascii="黑体" w:hAnsi="黑体" w:eastAsia="黑体"/>
          <w:sz w:val="32"/>
          <w:szCs w:val="32"/>
        </w:rPr>
      </w:pPr>
    </w:p>
    <w:sdt>
      <w:sdtPr>
        <w:tag w:val="NEW_STAND_NAME"/>
        <w:id w:val="595910757"/>
        <w:lock w:val="sdtLocked"/>
        <w:placeholder>
          <w:docPart w:val="EBA4AE13AF634731934C05CA7FD62860"/>
        </w:placeholder>
      </w:sdtPr>
      <w:sdtContent>
        <w:p>
          <w:pPr>
            <w:pStyle w:val="178"/>
            <w:spacing w:before="240" w:beforeLines="100" w:after="528" w:afterLines="220"/>
          </w:pPr>
          <w:bookmarkStart w:id="22" w:name="NEW_STAND_NAME"/>
          <w:r>
            <w:rPr>
              <w:rFonts w:hint="eastAsia"/>
            </w:rPr>
            <w:t>良种肉牛优质牛肉分割及质量等级评定</w:t>
          </w:r>
        </w:p>
      </w:sdtContent>
    </w:sdt>
    <w:bookmarkEnd w:id="22"/>
    <w:p>
      <w:pPr>
        <w:pStyle w:val="105"/>
        <w:spacing w:before="240" w:after="240"/>
      </w:pPr>
      <w:bookmarkStart w:id="23" w:name="_Toc24884211"/>
      <w:bookmarkStart w:id="24" w:name="_Toc17233333"/>
      <w:bookmarkStart w:id="25" w:name="_Toc26648465"/>
      <w:bookmarkStart w:id="26" w:name="_Toc24884218"/>
      <w:bookmarkStart w:id="27" w:name="_Toc17233325"/>
      <w:bookmarkStart w:id="28" w:name="_Toc97192964"/>
      <w:bookmarkStart w:id="29" w:name="_Toc26718930"/>
      <w:bookmarkStart w:id="30" w:name="_Toc26986771"/>
      <w:bookmarkStart w:id="31" w:name="_Toc26986530"/>
      <w:r>
        <w:rPr>
          <w:rFonts w:hint="eastAsia"/>
        </w:rPr>
        <w:t>范围</w:t>
      </w:r>
      <w:bookmarkEnd w:id="23"/>
      <w:bookmarkEnd w:id="24"/>
      <w:bookmarkEnd w:id="25"/>
      <w:bookmarkEnd w:id="26"/>
      <w:bookmarkEnd w:id="27"/>
      <w:bookmarkEnd w:id="28"/>
      <w:bookmarkEnd w:id="29"/>
      <w:bookmarkEnd w:id="30"/>
      <w:bookmarkEnd w:id="31"/>
    </w:p>
    <w:p>
      <w:pPr>
        <w:pStyle w:val="57"/>
        <w:ind w:left="0" w:leftChars="0" w:firstLine="420" w:firstLineChars="200"/>
        <w:rPr>
          <w:rFonts w:hint="eastAsia" w:ascii="宋体" w:eastAsia="宋体" w:cs="Times New Roman"/>
          <w:color w:val="auto"/>
          <w:sz w:val="21"/>
          <w:lang w:val="en-US" w:eastAsia="zh-CN" w:bidi="ar-SA"/>
        </w:rPr>
      </w:pPr>
      <w:bookmarkStart w:id="32" w:name="_Toc26648466"/>
      <w:bookmarkStart w:id="33" w:name="_Toc24884219"/>
      <w:bookmarkStart w:id="34" w:name="_Toc17233326"/>
      <w:bookmarkStart w:id="35" w:name="_Toc24884212"/>
      <w:bookmarkStart w:id="36" w:name="_Toc17233334"/>
      <w:r>
        <w:rPr>
          <w:rFonts w:hint="eastAsia" w:ascii="宋体" w:hAnsi="Times New Roman" w:eastAsia="宋体" w:cs="Times New Roman"/>
          <w:color w:val="auto"/>
          <w:sz w:val="21"/>
          <w:lang w:val="en-US" w:eastAsia="zh-CN" w:bidi="ar-SA"/>
        </w:rPr>
        <w:t>本标准界定了良种肉牛优质牛肉分割及质量等级评定涉</w:t>
      </w:r>
      <w:r>
        <w:rPr>
          <w:rFonts w:hint="eastAsia" w:ascii="Calibri" w:hAnsi="Calibri" w:eastAsia="宋体" w:cs="Times New Roman"/>
          <w:color w:val="auto"/>
          <w:kern w:val="2"/>
          <w:sz w:val="21"/>
          <w:szCs w:val="21"/>
          <w:lang w:val="en-US" w:eastAsia="zh-CN" w:bidi="ar"/>
        </w:rPr>
        <w:t>及的术语和定义</w:t>
      </w:r>
      <w:r>
        <w:rPr>
          <w:rFonts w:hint="eastAsia" w:ascii="宋体" w:hAnsi="Times New Roman" w:eastAsia="宋体" w:cs="Times New Roman"/>
          <w:color w:val="auto"/>
          <w:sz w:val="21"/>
          <w:lang w:val="en-US" w:eastAsia="zh-CN" w:bidi="ar-SA"/>
        </w:rPr>
        <w:t>，规定了分级原则、屠宰工艺、分割工艺、技术指标评定方法、牛胴体质量等级评定、牛肉质量等级评定的要求</w:t>
      </w:r>
      <w:r>
        <w:rPr>
          <w:rFonts w:hint="eastAsia" w:ascii="宋体" w:eastAsia="宋体" w:cs="Times New Roman"/>
          <w:color w:val="auto"/>
          <w:sz w:val="21"/>
          <w:lang w:val="en-US" w:eastAsia="zh-CN" w:bidi="ar-SA"/>
        </w:rPr>
        <w:t>。</w:t>
      </w:r>
    </w:p>
    <w:p>
      <w:pPr>
        <w:pStyle w:val="57"/>
        <w:ind w:firstLine="420"/>
      </w:pPr>
      <w:r>
        <w:rPr>
          <w:rFonts w:hint="eastAsia"/>
        </w:rPr>
        <w:t>本标准用于良种肉牛的优质牛肉分割及质量等级评定。</w:t>
      </w:r>
    </w:p>
    <w:p>
      <w:pPr>
        <w:pStyle w:val="105"/>
        <w:spacing w:before="240" w:after="240"/>
      </w:pPr>
      <w:bookmarkStart w:id="37" w:name="_Toc26718931"/>
      <w:bookmarkStart w:id="38" w:name="_Toc26986772"/>
      <w:bookmarkStart w:id="39" w:name="_Toc26986531"/>
      <w:bookmarkStart w:id="40" w:name="_Toc97192965"/>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86A9C9AF070E4CF9893173F6C9DF33E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7"/>
            <w:ind w:firstLine="420"/>
          </w:pPr>
          <w:r>
            <w:rPr>
              <w:rFonts w:hint="eastAsia" w:ascii="宋体" w:hAnsi="Times New Roman" w:eastAsia="宋体" w:cs="Times New Roman"/>
              <w:sz w:val="21"/>
              <w:lang w:val="en-US" w:eastAsia="zh-CN" w:bidi="ar-S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7"/>
        <w:ind w:firstLine="420"/>
      </w:pPr>
      <w:r>
        <w:rPr>
          <w:rFonts w:hint="eastAsia"/>
        </w:rPr>
        <w:t>GB/T 17238</w:t>
      </w:r>
      <w:r>
        <w:rPr>
          <w:rFonts w:hint="eastAsia"/>
          <w:lang w:val="en-US" w:eastAsia="zh-CN"/>
        </w:rPr>
        <w:t xml:space="preserve">  </w:t>
      </w:r>
      <w:r>
        <w:rPr>
          <w:rFonts w:hint="eastAsia"/>
        </w:rPr>
        <w:t>鲜、冻分割牛肉</w:t>
      </w:r>
    </w:p>
    <w:p>
      <w:pPr>
        <w:pStyle w:val="57"/>
        <w:ind w:firstLine="420"/>
      </w:pPr>
      <w:r>
        <w:rPr>
          <w:rFonts w:hint="eastAsia"/>
        </w:rPr>
        <w:t>GB/T 19477</w:t>
      </w:r>
      <w:r>
        <w:rPr>
          <w:rFonts w:hint="eastAsia"/>
          <w:lang w:val="en-US" w:eastAsia="zh-CN"/>
        </w:rPr>
        <w:t xml:space="preserve">  </w:t>
      </w:r>
      <w:r>
        <w:rPr>
          <w:rFonts w:hint="eastAsia"/>
        </w:rPr>
        <w:t xml:space="preserve">畜禽屠宰操作规程 牛 </w:t>
      </w:r>
    </w:p>
    <w:p>
      <w:pPr>
        <w:pStyle w:val="57"/>
        <w:ind w:firstLine="420"/>
      </w:pPr>
      <w:r>
        <w:rPr>
          <w:rFonts w:hint="eastAsia"/>
        </w:rPr>
        <w:t>GB/T 27643</w:t>
      </w:r>
      <w:r>
        <w:rPr>
          <w:rFonts w:hint="eastAsia"/>
          <w:lang w:val="en-US" w:eastAsia="zh-CN"/>
        </w:rPr>
        <w:t xml:space="preserve">  </w:t>
      </w:r>
      <w:r>
        <w:rPr>
          <w:rFonts w:hint="eastAsia"/>
        </w:rPr>
        <w:t>牛胴体及鲜肉分割标准</w:t>
      </w:r>
    </w:p>
    <w:p>
      <w:pPr>
        <w:pStyle w:val="57"/>
        <w:ind w:firstLine="420"/>
      </w:pPr>
      <w:r>
        <w:rPr>
          <w:rFonts w:hint="eastAsia"/>
        </w:rPr>
        <w:t>GB/T 29392</w:t>
      </w:r>
      <w:r>
        <w:rPr>
          <w:rFonts w:hint="eastAsia"/>
          <w:lang w:val="en-US" w:eastAsia="zh-CN"/>
        </w:rPr>
        <w:t xml:space="preserve">  </w:t>
      </w:r>
      <w:r>
        <w:rPr>
          <w:rFonts w:hint="eastAsia"/>
        </w:rPr>
        <w:t>畜禽肉质量分级 牛肉</w:t>
      </w:r>
    </w:p>
    <w:p>
      <w:pPr>
        <w:pStyle w:val="57"/>
        <w:ind w:firstLine="420"/>
      </w:pPr>
      <w:r>
        <w:rPr>
          <w:rFonts w:hint="eastAsia"/>
        </w:rPr>
        <w:t>NY/T 676</w:t>
      </w:r>
      <w:r>
        <w:rPr>
          <w:rFonts w:hint="eastAsia"/>
          <w:lang w:val="en-US" w:eastAsia="zh-CN"/>
        </w:rPr>
        <w:t xml:space="preserve">  </w:t>
      </w:r>
      <w:r>
        <w:rPr>
          <w:rFonts w:hint="eastAsia"/>
        </w:rPr>
        <w:t>牛肉等级规格</w:t>
      </w:r>
    </w:p>
    <w:p>
      <w:pPr>
        <w:pStyle w:val="105"/>
        <w:spacing w:before="240" w:after="240"/>
      </w:pPr>
      <w:bookmarkStart w:id="41" w:name="_Toc97192966"/>
      <w:r>
        <w:rPr>
          <w:rFonts w:hint="eastAsia"/>
          <w:szCs w:val="21"/>
        </w:rPr>
        <w:t>术语和定义</w:t>
      </w:r>
      <w:bookmarkEnd w:id="41"/>
    </w:p>
    <w:sdt>
      <w:sdtPr>
        <w:id w:val="-1909835108"/>
        <w:placeholder>
          <w:docPart w:val="C44073BD54AB4E059A06FAB1E0FA71B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7"/>
            <w:ind w:firstLine="420"/>
          </w:pPr>
          <w:bookmarkStart w:id="42" w:name="_Toc26986532"/>
          <w:bookmarkEnd w:id="42"/>
          <w:r>
            <w:t>下列术语和定义适用于本文件。</w:t>
          </w:r>
        </w:p>
      </w:sdtContent>
    </w:sdt>
    <w:p>
      <w:pPr>
        <w:pStyle w:val="224"/>
        <w:ind w:left="420" w:hanging="420" w:hangingChars="200"/>
        <w:rPr>
          <w:rFonts w:ascii="黑体" w:hAnsi="黑体" w:eastAsia="黑体"/>
        </w:rPr>
      </w:pPr>
    </w:p>
    <w:p>
      <w:pPr>
        <w:pStyle w:val="224"/>
        <w:numPr>
          <w:ilvl w:val="2"/>
          <w:numId w:val="0"/>
        </w:numPr>
        <w:ind w:leftChars="-200" w:firstLine="840" w:firstLineChars="400"/>
        <w:rPr>
          <w:rFonts w:ascii="黑体" w:hAnsi="黑体" w:eastAsia="黑体"/>
        </w:rPr>
      </w:pPr>
      <w:r>
        <w:rPr>
          <w:rFonts w:hint="eastAsia" w:ascii="黑体" w:hAnsi="黑体" w:eastAsia="黑体"/>
        </w:rPr>
        <w:t>良种肉牛</w:t>
      </w:r>
      <w:r>
        <w:rPr>
          <w:rFonts w:hint="eastAsia"/>
        </w:rPr>
        <w:t xml:space="preserve">  </w:t>
      </w:r>
      <w:r>
        <w:rPr>
          <w:rFonts w:hint="eastAsia" w:ascii="黑体" w:hAnsi="黑体" w:eastAsia="黑体"/>
          <w:lang w:val="en-US" w:eastAsia="zh-CN"/>
        </w:rPr>
        <w:t>i</w:t>
      </w:r>
      <w:r>
        <w:rPr>
          <w:rFonts w:hint="eastAsia" w:ascii="黑体" w:hAnsi="黑体" w:eastAsia="黑体"/>
        </w:rPr>
        <w:fldChar w:fldCharType="begin"/>
      </w:r>
      <w:r>
        <w:rPr>
          <w:rFonts w:hint="eastAsia" w:ascii="黑体" w:hAnsi="黑体" w:eastAsia="黑体"/>
        </w:rPr>
        <w:instrText xml:space="preserve"> HYPERLINK "https://www.hujiang.com/ciku/improved/" </w:instrText>
      </w:r>
      <w:r>
        <w:rPr>
          <w:rFonts w:hint="eastAsia" w:ascii="黑体" w:hAnsi="黑体" w:eastAsia="黑体"/>
        </w:rPr>
        <w:fldChar w:fldCharType="separate"/>
      </w:r>
      <w:r>
        <w:rPr>
          <w:rFonts w:hint="eastAsia" w:ascii="黑体" w:hAnsi="黑体" w:eastAsia="黑体"/>
        </w:rPr>
        <w:t>mproved</w:t>
      </w:r>
      <w:r>
        <w:rPr>
          <w:rFonts w:hint="eastAsia" w:ascii="黑体" w:hAnsi="黑体" w:eastAsia="黑体"/>
        </w:rPr>
        <w:fldChar w:fldCharType="end"/>
      </w:r>
      <w:r>
        <w:rPr>
          <w:rFonts w:hint="eastAsia" w:ascii="黑体" w:hAnsi="黑体" w:eastAsia="黑体"/>
          <w:lang w:val="en-US" w:eastAsia="zh-CN"/>
        </w:rPr>
        <w:t xml:space="preserve"> beef cattle</w:t>
      </w:r>
    </w:p>
    <w:p>
      <w:pPr>
        <w:pStyle w:val="57"/>
        <w:ind w:firstLine="420"/>
        <w:rPr>
          <w:rFonts w:hint="eastAsia" w:eastAsia="宋体"/>
          <w:lang w:eastAsia="zh-CN"/>
        </w:rPr>
      </w:pPr>
      <w:r>
        <w:rPr>
          <w:rFonts w:hint="eastAsia"/>
        </w:rPr>
        <w:t>肉牛来源于优良品种，具有生长发育快、生产性能好或具有较强的适应性</w:t>
      </w:r>
      <w:r>
        <w:rPr>
          <w:rFonts w:hint="eastAsia"/>
          <w:lang w:eastAsia="zh-CN"/>
        </w:rPr>
        <w:t>。</w:t>
      </w:r>
    </w:p>
    <w:p>
      <w:pPr>
        <w:pStyle w:val="224"/>
        <w:ind w:left="420" w:hanging="420" w:hangingChars="200"/>
        <w:rPr>
          <w:rFonts w:ascii="黑体" w:hAnsi="黑体" w:eastAsia="黑体"/>
        </w:rPr>
      </w:pPr>
    </w:p>
    <w:p>
      <w:pPr>
        <w:pStyle w:val="224"/>
        <w:numPr>
          <w:ilvl w:val="2"/>
          <w:numId w:val="0"/>
        </w:numPr>
        <w:ind w:leftChars="-200" w:firstLine="840" w:firstLineChars="400"/>
        <w:rPr>
          <w:rFonts w:ascii="黑体" w:hAnsi="黑体" w:eastAsia="黑体"/>
        </w:rPr>
      </w:pPr>
      <w:r>
        <w:rPr>
          <w:rFonts w:hint="eastAsia" w:ascii="黑体" w:hAnsi="黑体" w:eastAsia="黑体"/>
        </w:rPr>
        <w:t>胴体</w:t>
      </w:r>
      <w:r>
        <w:rPr>
          <w:rFonts w:hint="eastAsia"/>
        </w:rPr>
        <w:t xml:space="preserve">  </w:t>
      </w:r>
      <w:r>
        <w:rPr>
          <w:rFonts w:hint="eastAsia" w:ascii="黑体" w:hAnsi="黑体" w:eastAsia="黑体"/>
          <w:lang w:val="en-US" w:eastAsia="zh-CN"/>
        </w:rPr>
        <w:t>c</w:t>
      </w:r>
      <w:r>
        <w:rPr>
          <w:rFonts w:hint="eastAsia" w:ascii="黑体" w:hAnsi="黑体" w:eastAsia="黑体"/>
        </w:rPr>
        <w:t>arcass</w:t>
      </w:r>
    </w:p>
    <w:p>
      <w:pPr>
        <w:pStyle w:val="57"/>
        <w:ind w:firstLine="420"/>
        <w:rPr>
          <w:rFonts w:hint="eastAsia" w:eastAsia="宋体"/>
          <w:lang w:eastAsia="zh-CN"/>
        </w:rPr>
      </w:pPr>
      <w:r>
        <w:rPr>
          <w:rFonts w:hint="eastAsia"/>
        </w:rPr>
        <w:t>牛经宰杀放血后，除去皮、头、蹄、尾 内脏、生殖器（母牛去除乳房）、保留肾及周围脂肪后的</w:t>
      </w:r>
    </w:p>
    <w:p>
      <w:pPr>
        <w:pStyle w:val="57"/>
        <w:ind w:firstLine="420"/>
      </w:pPr>
      <w:r>
        <w:rPr>
          <w:rFonts w:hint="eastAsia"/>
        </w:rPr>
        <w:t>驱体部分。</w:t>
      </w:r>
    </w:p>
    <w:p>
      <w:pPr>
        <w:pStyle w:val="224"/>
        <w:ind w:left="420" w:hanging="420" w:hangingChars="200"/>
        <w:rPr>
          <w:rFonts w:ascii="黑体" w:hAnsi="黑体" w:eastAsia="黑体"/>
        </w:rPr>
      </w:pPr>
    </w:p>
    <w:p>
      <w:pPr>
        <w:pStyle w:val="224"/>
        <w:numPr>
          <w:ilvl w:val="2"/>
          <w:numId w:val="0"/>
        </w:numPr>
        <w:ind w:leftChars="-200" w:firstLine="840" w:firstLineChars="400"/>
        <w:rPr>
          <w:rFonts w:ascii="黑体" w:hAnsi="黑体" w:eastAsia="黑体"/>
        </w:rPr>
      </w:pPr>
      <w:r>
        <w:rPr>
          <w:rFonts w:hint="eastAsia" w:ascii="黑体" w:hAnsi="黑体" w:eastAsia="黑体"/>
        </w:rPr>
        <w:t>净肉重</w:t>
      </w:r>
      <w:r>
        <w:rPr>
          <w:rFonts w:hint="eastAsia" w:ascii="黑体" w:hAnsi="黑体" w:eastAsia="黑体"/>
          <w:lang w:val="en-US" w:eastAsia="zh-CN"/>
        </w:rPr>
        <w:t xml:space="preserve">  </w:t>
      </w:r>
      <w:r>
        <w:rPr>
          <w:rFonts w:hint="eastAsia" w:ascii="黑体" w:hAnsi="黑体" w:eastAsia="黑体"/>
        </w:rPr>
        <w:t>net meat weight</w:t>
      </w:r>
    </w:p>
    <w:p>
      <w:pPr>
        <w:pStyle w:val="57"/>
        <w:ind w:firstLine="420"/>
      </w:pPr>
      <w:r>
        <w:rPr>
          <w:rFonts w:hint="eastAsia"/>
        </w:rPr>
        <w:t>胴体剔骨后全部肉块重量（包括肾脏、腹脂、盆腔脂肪、腹膜和胸膜脂肪），实测。</w:t>
      </w:r>
    </w:p>
    <w:p>
      <w:pPr>
        <w:pStyle w:val="224"/>
        <w:ind w:left="420" w:hanging="420" w:hangingChars="200"/>
        <w:rPr>
          <w:rFonts w:ascii="黑体" w:hAnsi="黑体" w:eastAsia="黑体"/>
        </w:rPr>
      </w:pPr>
    </w:p>
    <w:p>
      <w:pPr>
        <w:pStyle w:val="224"/>
        <w:numPr>
          <w:ilvl w:val="2"/>
          <w:numId w:val="0"/>
        </w:numPr>
        <w:ind w:leftChars="-200" w:firstLine="840" w:firstLineChars="400"/>
        <w:rPr>
          <w:rFonts w:ascii="黑体" w:hAnsi="黑体" w:eastAsia="黑体"/>
        </w:rPr>
      </w:pPr>
      <w:r>
        <w:rPr>
          <w:rFonts w:hint="eastAsia" w:ascii="黑体" w:hAnsi="黑体" w:eastAsia="黑体"/>
        </w:rPr>
        <w:t>成熟</w:t>
      </w:r>
      <w:r>
        <w:rPr>
          <w:rFonts w:hint="eastAsia"/>
        </w:rPr>
        <w:t xml:space="preserve">  </w:t>
      </w:r>
      <w:r>
        <w:rPr>
          <w:rFonts w:hint="eastAsia" w:ascii="黑体" w:hAnsi="黑体" w:eastAsia="黑体"/>
          <w:lang w:val="en-US" w:eastAsia="zh-CN"/>
        </w:rPr>
        <w:t>a</w:t>
      </w:r>
      <w:r>
        <w:rPr>
          <w:rFonts w:hint="eastAsia" w:ascii="黑体" w:hAnsi="黑体" w:eastAsia="黑体"/>
        </w:rPr>
        <w:t>geing or condition</w:t>
      </w:r>
    </w:p>
    <w:p>
      <w:pPr>
        <w:pStyle w:val="57"/>
        <w:ind w:firstLine="420"/>
      </w:pPr>
      <w:r>
        <w:rPr>
          <w:rFonts w:hint="eastAsia"/>
        </w:rPr>
        <w:t>成熟又叫 “排酸”，指待牛被杀后，其胴体在</w:t>
      </w:r>
      <w:r>
        <w:rPr>
          <w:rFonts w:hint="eastAsia"/>
          <w:color w:val="auto"/>
        </w:rPr>
        <w:t>0-4</w:t>
      </w:r>
      <w:r>
        <w:rPr>
          <w:rFonts w:hint="default" w:ascii="Calibri" w:hAnsi="Calibri" w:eastAsia="宋体" w:cs="Times New Roman"/>
          <w:color w:val="auto"/>
          <w:kern w:val="2"/>
          <w:sz w:val="21"/>
          <w:szCs w:val="21"/>
          <w:vertAlign w:val="subscript"/>
          <w:lang w:val="en-US" w:eastAsia="zh-CN" w:bidi="ar"/>
        </w:rPr>
        <w:t xml:space="preserve"> </w:t>
      </w:r>
      <w:r>
        <w:rPr>
          <w:rFonts w:hint="eastAsia" w:ascii="Calibri" w:hAnsi="Calibri" w:eastAsia="宋体" w:cs="Times New Roman"/>
          <w:color w:val="auto"/>
          <w:kern w:val="2"/>
          <w:sz w:val="21"/>
          <w:szCs w:val="21"/>
          <w:lang w:val="en-US" w:eastAsia="zh-CN" w:bidi="ar"/>
        </w:rPr>
        <w:t>℃</w:t>
      </w:r>
      <w:r>
        <w:rPr>
          <w:rFonts w:hint="eastAsia"/>
        </w:rPr>
        <w:t>无污染环境内吊挂一段时间，使肉的酸度降低，风味和嫩度得到改善的过程。</w:t>
      </w:r>
    </w:p>
    <w:p>
      <w:pPr>
        <w:pStyle w:val="224"/>
        <w:ind w:left="420" w:hanging="420" w:hangingChars="200"/>
        <w:rPr>
          <w:rFonts w:ascii="黑体" w:hAnsi="黑体" w:eastAsia="黑体"/>
        </w:rPr>
      </w:pPr>
    </w:p>
    <w:p>
      <w:pPr>
        <w:pStyle w:val="224"/>
        <w:numPr>
          <w:ilvl w:val="2"/>
          <w:numId w:val="0"/>
        </w:numPr>
        <w:ind w:leftChars="-200" w:firstLine="840" w:firstLineChars="400"/>
        <w:rPr>
          <w:rFonts w:ascii="黑体" w:hAnsi="黑体" w:eastAsia="黑体"/>
        </w:rPr>
      </w:pPr>
      <w:r>
        <w:rPr>
          <w:rFonts w:hint="eastAsia" w:ascii="黑体" w:hAnsi="黑体" w:eastAsia="黑体"/>
        </w:rPr>
        <w:t>四分体</w:t>
      </w:r>
      <w:r>
        <w:rPr>
          <w:rFonts w:hint="eastAsia"/>
        </w:rPr>
        <w:t xml:space="preserve">  </w:t>
      </w:r>
      <w:r>
        <w:rPr>
          <w:rFonts w:hint="eastAsia" w:ascii="黑体" w:hAnsi="黑体" w:eastAsia="黑体"/>
          <w:lang w:val="en-US" w:eastAsia="zh-CN"/>
        </w:rPr>
        <w:t>q</w:t>
      </w:r>
      <w:r>
        <w:rPr>
          <w:rFonts w:hint="eastAsia" w:ascii="黑体" w:hAnsi="黑体" w:eastAsia="黑体"/>
        </w:rPr>
        <w:t>uarter carcass</w:t>
      </w:r>
    </w:p>
    <w:p>
      <w:pPr>
        <w:pStyle w:val="57"/>
        <w:ind w:firstLine="420"/>
      </w:pPr>
      <w:r>
        <w:rPr>
          <w:rFonts w:hint="eastAsia"/>
        </w:rPr>
        <w:t>在第十二肋骨和第十三肋骨之间，将半胴体截开所得到的前1/4胴体、后1/4胴体称为四分体。</w:t>
      </w:r>
    </w:p>
    <w:p>
      <w:pPr>
        <w:pStyle w:val="224"/>
        <w:ind w:left="420" w:hanging="420" w:hangingChars="200"/>
        <w:rPr>
          <w:rFonts w:ascii="黑体" w:hAnsi="黑体" w:eastAsia="黑体"/>
        </w:rPr>
      </w:pPr>
    </w:p>
    <w:p>
      <w:pPr>
        <w:pStyle w:val="224"/>
        <w:numPr>
          <w:ilvl w:val="2"/>
          <w:numId w:val="0"/>
        </w:numPr>
        <w:ind w:leftChars="-200" w:firstLine="840" w:firstLineChars="400"/>
        <w:rPr>
          <w:rFonts w:ascii="黑体" w:hAnsi="黑体" w:eastAsia="黑体"/>
        </w:rPr>
      </w:pPr>
      <w:r>
        <w:rPr>
          <w:rFonts w:hint="eastAsia" w:ascii="黑体" w:hAnsi="黑体" w:eastAsia="黑体"/>
        </w:rPr>
        <w:t>分割牛肉</w:t>
      </w:r>
      <w:r>
        <w:rPr>
          <w:rFonts w:hint="eastAsia"/>
        </w:rPr>
        <w:t xml:space="preserve">  </w:t>
      </w:r>
      <w:r>
        <w:rPr>
          <w:rFonts w:hint="eastAsia" w:ascii="黑体" w:hAnsi="黑体" w:eastAsia="黑体"/>
          <w:lang w:val="en-US" w:eastAsia="zh-CN"/>
        </w:rPr>
        <w:t>pri</w:t>
      </w:r>
      <w:r>
        <w:rPr>
          <w:rFonts w:hint="eastAsia" w:ascii="黑体" w:hAnsi="黑体" w:eastAsia="黑体"/>
        </w:rPr>
        <w:t>mal cut beef</w:t>
      </w:r>
    </w:p>
    <w:p>
      <w:pPr>
        <w:pStyle w:val="57"/>
        <w:ind w:firstLine="420"/>
      </w:pPr>
      <w:r>
        <w:rPr>
          <w:rFonts w:hint="eastAsia"/>
        </w:rPr>
        <w:t>按照市场要求将牛胴体加工分割成不同部分的肉块。</w:t>
      </w:r>
    </w:p>
    <w:p>
      <w:pPr>
        <w:pStyle w:val="224"/>
        <w:ind w:left="420" w:hanging="420" w:hangingChars="200"/>
        <w:rPr>
          <w:rFonts w:ascii="黑体" w:hAnsi="黑体" w:eastAsia="黑体"/>
        </w:rPr>
      </w:pPr>
    </w:p>
    <w:p>
      <w:pPr>
        <w:pStyle w:val="224"/>
        <w:numPr>
          <w:ilvl w:val="2"/>
          <w:numId w:val="0"/>
        </w:numPr>
        <w:ind w:leftChars="-200" w:firstLine="840" w:firstLineChars="400"/>
        <w:rPr>
          <w:rFonts w:ascii="黑体" w:hAnsi="黑体" w:eastAsia="黑体"/>
        </w:rPr>
      </w:pPr>
      <w:r>
        <w:rPr>
          <w:rFonts w:hint="eastAsia" w:ascii="黑体" w:hAnsi="黑体" w:eastAsia="黑体"/>
        </w:rPr>
        <w:t>大理石花纹</w:t>
      </w:r>
      <w:r>
        <w:rPr>
          <w:rFonts w:hint="eastAsia"/>
        </w:rPr>
        <w:t xml:space="preserve">  </w:t>
      </w:r>
      <w:r>
        <w:rPr>
          <w:rFonts w:hint="eastAsia" w:ascii="黑体" w:hAnsi="黑体" w:eastAsia="黑体"/>
          <w:lang w:val="en-US" w:eastAsia="zh-CN"/>
        </w:rPr>
        <w:t>ma</w:t>
      </w:r>
      <w:r>
        <w:rPr>
          <w:rFonts w:hint="eastAsia" w:ascii="黑体" w:hAnsi="黑体" w:eastAsia="黑体"/>
        </w:rPr>
        <w:t>rbling</w:t>
      </w:r>
    </w:p>
    <w:p>
      <w:pPr>
        <w:pStyle w:val="57"/>
        <w:ind w:firstLine="420"/>
      </w:pPr>
      <w:r>
        <w:rPr>
          <w:rFonts w:hint="eastAsia"/>
        </w:rPr>
        <w:t>是指牛肉肌纤维中的脂肪，其反映牛肉中肌内脂肪含量和分布情况。</w:t>
      </w:r>
    </w:p>
    <w:p>
      <w:pPr>
        <w:pStyle w:val="224"/>
        <w:ind w:left="420" w:hanging="420" w:hangingChars="200"/>
        <w:rPr>
          <w:rFonts w:ascii="黑体" w:hAnsi="黑体" w:eastAsia="黑体"/>
        </w:rPr>
      </w:pPr>
    </w:p>
    <w:p>
      <w:pPr>
        <w:pStyle w:val="224"/>
        <w:numPr>
          <w:ilvl w:val="2"/>
          <w:numId w:val="0"/>
        </w:numPr>
        <w:ind w:leftChars="-200" w:firstLine="840" w:firstLineChars="400"/>
        <w:rPr>
          <w:rFonts w:ascii="黑体" w:hAnsi="黑体" w:eastAsia="黑体"/>
        </w:rPr>
      </w:pPr>
      <w:r>
        <w:rPr>
          <w:rFonts w:hint="eastAsia" w:ascii="黑体" w:hAnsi="黑体" w:eastAsia="黑体"/>
        </w:rPr>
        <w:t>生理成熟度</w:t>
      </w:r>
      <w:r>
        <w:rPr>
          <w:rFonts w:hint="eastAsia"/>
        </w:rPr>
        <w:t xml:space="preserve">  </w:t>
      </w:r>
      <w:r>
        <w:rPr>
          <w:rFonts w:hint="eastAsia" w:ascii="黑体" w:hAnsi="黑体" w:eastAsia="黑体"/>
          <w:lang w:val="en-US" w:eastAsia="zh-CN"/>
        </w:rPr>
        <w:t>m</w:t>
      </w:r>
      <w:r>
        <w:rPr>
          <w:rFonts w:hint="eastAsia" w:ascii="黑体" w:hAnsi="黑体" w:eastAsia="黑体"/>
        </w:rPr>
        <w:t>aturity</w:t>
      </w:r>
    </w:p>
    <w:p>
      <w:pPr>
        <w:pStyle w:val="57"/>
        <w:ind w:firstLine="420"/>
      </w:pPr>
      <w:r>
        <w:rPr>
          <w:rFonts w:hint="eastAsia"/>
        </w:rPr>
        <w:t>根据牛的门齿变化和脊椎骨 （主要是最后三根胸椎）横突末端软骨的骨质化程度来评定。</w:t>
      </w:r>
    </w:p>
    <w:p>
      <w:pPr>
        <w:pStyle w:val="224"/>
        <w:ind w:left="420" w:hanging="420" w:hangingChars="200"/>
        <w:rPr>
          <w:rFonts w:ascii="黑体" w:hAnsi="黑体" w:eastAsia="黑体"/>
        </w:rPr>
      </w:pPr>
    </w:p>
    <w:p>
      <w:pPr>
        <w:pStyle w:val="224"/>
        <w:numPr>
          <w:ilvl w:val="2"/>
          <w:numId w:val="0"/>
        </w:numPr>
        <w:ind w:leftChars="-200" w:firstLine="840" w:firstLineChars="400"/>
        <w:rPr>
          <w:rFonts w:ascii="黑体" w:hAnsi="黑体" w:eastAsia="黑体"/>
        </w:rPr>
      </w:pPr>
      <w:r>
        <w:rPr>
          <w:rFonts w:hint="eastAsia" w:ascii="黑体" w:hAnsi="黑体" w:eastAsia="黑体"/>
        </w:rPr>
        <w:t>质量分级</w:t>
      </w:r>
      <w:r>
        <w:rPr>
          <w:rFonts w:hint="eastAsia"/>
        </w:rPr>
        <w:t xml:space="preserve">  </w:t>
      </w:r>
      <w:r>
        <w:rPr>
          <w:rFonts w:hint="eastAsia" w:ascii="黑体" w:hAnsi="黑体" w:eastAsia="黑体"/>
        </w:rPr>
        <w:t>quality grading</w:t>
      </w:r>
    </w:p>
    <w:p>
      <w:pPr>
        <w:pStyle w:val="57"/>
        <w:ind w:firstLine="420"/>
      </w:pPr>
      <w:r>
        <w:rPr>
          <w:rFonts w:hint="eastAsia"/>
        </w:rPr>
        <w:t>根据牛肉肌内脂肪（大理石花纹）丰富度、肉色、脂肪颜色和外观来确定的胴体的质量等级。</w:t>
      </w:r>
    </w:p>
    <w:p>
      <w:pPr>
        <w:pStyle w:val="224"/>
        <w:ind w:left="420" w:hanging="420" w:hangingChars="200"/>
        <w:rPr>
          <w:rFonts w:ascii="黑体" w:hAnsi="黑体" w:eastAsia="黑体"/>
        </w:rPr>
      </w:pPr>
    </w:p>
    <w:p>
      <w:pPr>
        <w:pStyle w:val="224"/>
        <w:numPr>
          <w:ilvl w:val="2"/>
          <w:numId w:val="0"/>
        </w:numPr>
        <w:ind w:leftChars="-200" w:firstLine="840" w:firstLineChars="400"/>
        <w:rPr>
          <w:rFonts w:ascii="黑体" w:hAnsi="黑体" w:eastAsia="黑体"/>
        </w:rPr>
      </w:pPr>
      <w:r>
        <w:rPr>
          <w:rFonts w:hint="eastAsia" w:ascii="黑体" w:hAnsi="黑体" w:eastAsia="黑体"/>
        </w:rPr>
        <w:t>优质牛肉</w:t>
      </w:r>
      <w:r>
        <w:rPr>
          <w:rFonts w:hint="eastAsia" w:ascii="黑体" w:hAnsi="黑体" w:eastAsia="黑体"/>
          <w:lang w:val="en-US" w:eastAsia="zh-CN"/>
        </w:rPr>
        <w:t xml:space="preserve">  fine</w:t>
      </w:r>
      <w:r>
        <w:rPr>
          <w:rFonts w:hint="eastAsia" w:ascii="黑体" w:hAnsi="黑体" w:eastAsia="黑体"/>
        </w:rPr>
        <w:t xml:space="preserve"> quality beef</w:t>
      </w:r>
    </w:p>
    <w:p>
      <w:pPr>
        <w:pStyle w:val="57"/>
        <w:ind w:firstLine="420"/>
      </w:pPr>
      <w:r>
        <w:rPr>
          <w:rFonts w:hint="eastAsia"/>
        </w:rPr>
        <w:t>优质牛肉是肥育牛按规范工艺屠宰分割，品质达到优级以上的肉叫做优质牛肉。</w:t>
      </w:r>
    </w:p>
    <w:p>
      <w:pPr>
        <w:pStyle w:val="105"/>
        <w:spacing w:before="240" w:after="240"/>
      </w:pPr>
      <w:r>
        <w:rPr>
          <w:rFonts w:hint="eastAsia"/>
        </w:rPr>
        <w:t>分级原则</w:t>
      </w:r>
    </w:p>
    <w:p>
      <w:pPr>
        <w:pStyle w:val="57"/>
        <w:ind w:firstLine="420"/>
      </w:pPr>
      <w:r>
        <w:rPr>
          <w:rFonts w:hint="eastAsia"/>
        </w:rPr>
        <w:t>牛肉的质量分级应符合GB/T 29392和 NY/T 676的要求。</w:t>
      </w:r>
    </w:p>
    <w:p>
      <w:pPr>
        <w:pStyle w:val="105"/>
        <w:spacing w:before="240" w:after="240"/>
      </w:pPr>
      <w:r>
        <w:rPr>
          <w:rFonts w:hint="eastAsia"/>
        </w:rPr>
        <w:t>屠宰工艺</w:t>
      </w:r>
    </w:p>
    <w:p>
      <w:pPr>
        <w:pStyle w:val="57"/>
        <w:ind w:firstLine="420"/>
      </w:pPr>
      <w:r>
        <w:rPr>
          <w:rFonts w:hint="eastAsia"/>
        </w:rPr>
        <w:t>待宰牛为经过育肥的检验检疫合格的良种肉牛，屠宰要求及工艺流程按GB/T 19477畜禽屠宰操作。</w:t>
      </w:r>
    </w:p>
    <w:p>
      <w:pPr>
        <w:pStyle w:val="105"/>
        <w:spacing w:before="240" w:after="240"/>
      </w:pPr>
      <w:r>
        <w:rPr>
          <w:rFonts w:hint="eastAsia"/>
        </w:rPr>
        <w:t>分割工艺</w:t>
      </w:r>
    </w:p>
    <w:p>
      <w:pPr>
        <w:pStyle w:val="106"/>
        <w:spacing w:before="120" w:after="120"/>
      </w:pPr>
      <w:r>
        <w:rPr>
          <w:rFonts w:hint="eastAsia"/>
        </w:rPr>
        <w:t>分割要求</w:t>
      </w:r>
    </w:p>
    <w:p>
      <w:pPr>
        <w:pStyle w:val="57"/>
        <w:ind w:firstLine="420"/>
      </w:pPr>
      <w:r>
        <w:rPr>
          <w:rFonts w:hint="eastAsia"/>
        </w:rPr>
        <w:t>胴体在</w:t>
      </w:r>
      <w:r>
        <w:rPr>
          <w:rFonts w:hint="eastAsia"/>
          <w:color w:val="auto"/>
        </w:rPr>
        <w:t>0-4</w:t>
      </w:r>
      <w:r>
        <w:rPr>
          <w:rFonts w:hint="default" w:ascii="Calibri" w:hAnsi="Calibri" w:eastAsia="宋体" w:cs="Times New Roman"/>
          <w:color w:val="auto"/>
          <w:kern w:val="2"/>
          <w:sz w:val="21"/>
          <w:szCs w:val="21"/>
          <w:vertAlign w:val="subscript"/>
          <w:lang w:val="en-US" w:eastAsia="zh-CN" w:bidi="ar"/>
        </w:rPr>
        <w:t xml:space="preserve"> </w:t>
      </w:r>
      <w:r>
        <w:rPr>
          <w:rFonts w:hint="eastAsia" w:ascii="Calibri" w:hAnsi="Calibri" w:eastAsia="宋体" w:cs="Times New Roman"/>
          <w:color w:val="auto"/>
          <w:kern w:val="2"/>
          <w:sz w:val="21"/>
          <w:szCs w:val="21"/>
          <w:lang w:val="en-US" w:eastAsia="zh-CN" w:bidi="ar"/>
        </w:rPr>
        <w:t>℃</w:t>
      </w:r>
      <w:r>
        <w:rPr>
          <w:rFonts w:hint="eastAsia"/>
        </w:rPr>
        <w:t>无污染环境内进行排酸处理后进行分割。分割方法按GB/T 27643和GB/T 17238的规定执行。</w:t>
      </w:r>
    </w:p>
    <w:p>
      <w:pPr>
        <w:pStyle w:val="106"/>
        <w:spacing w:before="120" w:after="120"/>
      </w:pPr>
      <w:r>
        <w:rPr>
          <w:rFonts w:hint="eastAsia"/>
        </w:rPr>
        <w:t>胴体分割</w:t>
      </w:r>
    </w:p>
    <w:p>
      <w:pPr>
        <w:pStyle w:val="57"/>
        <w:ind w:firstLine="420"/>
        <w:rPr>
          <w:color w:val="auto"/>
        </w:rPr>
      </w:pPr>
      <w:r>
        <w:rPr>
          <w:rFonts w:hint="eastAsia"/>
        </w:rPr>
        <w:t>采用优异高档牛肉胴体分割法。排酸后的半胴体，将两分体切成四分体，剔骨完后进行各部分的分割。最后分成里脊、外</w:t>
      </w:r>
      <w:r>
        <w:rPr>
          <w:rFonts w:hint="eastAsia"/>
          <w:color w:val="auto"/>
        </w:rPr>
        <w:t>脊、眼肉、上脑</w:t>
      </w:r>
      <w:r>
        <w:rPr>
          <w:rFonts w:hint="eastAsia"/>
          <w:color w:val="auto"/>
          <w:lang w:eastAsia="zh-CN"/>
        </w:rPr>
        <w:t>、</w:t>
      </w:r>
      <w:r>
        <w:rPr>
          <w:rFonts w:hint="eastAsia"/>
          <w:color w:val="auto"/>
        </w:rPr>
        <w:t>板腱</w:t>
      </w:r>
      <w:r>
        <w:rPr>
          <w:rFonts w:hint="eastAsia"/>
          <w:color w:val="auto"/>
          <w:lang w:eastAsia="zh-CN"/>
        </w:rPr>
        <w:t>、</w:t>
      </w:r>
      <w:r>
        <w:rPr>
          <w:rFonts w:hint="eastAsia"/>
          <w:color w:val="auto"/>
        </w:rPr>
        <w:t>肩肉、颈肉、腱子</w:t>
      </w:r>
      <w:r>
        <w:rPr>
          <w:rFonts w:hint="eastAsia"/>
          <w:color w:val="auto"/>
          <w:lang w:eastAsia="zh-CN"/>
        </w:rPr>
        <w:t>、</w:t>
      </w:r>
      <w:r>
        <w:rPr>
          <w:rFonts w:hint="eastAsia"/>
          <w:color w:val="auto"/>
        </w:rPr>
        <w:t>米龙、臀肉、膝圆、牛排</w:t>
      </w:r>
      <w:r>
        <w:rPr>
          <w:rFonts w:hint="eastAsia"/>
          <w:color w:val="auto"/>
          <w:lang w:val="en-US" w:eastAsia="zh-CN"/>
        </w:rPr>
        <w:t>和</w:t>
      </w:r>
      <w:r>
        <w:rPr>
          <w:rFonts w:hint="eastAsia"/>
          <w:color w:val="auto"/>
        </w:rPr>
        <w:t>牛腩共13个部位。13个部位的分割方法参照GB/T 17238执行。</w:t>
      </w:r>
      <w:bookmarkStart w:id="45" w:name="_GoBack"/>
      <w:bookmarkEnd w:id="45"/>
    </w:p>
    <w:p>
      <w:pPr>
        <w:pStyle w:val="105"/>
        <w:spacing w:before="240" w:after="240"/>
        <w:rPr>
          <w:color w:val="auto"/>
        </w:rPr>
      </w:pPr>
      <w:r>
        <w:rPr>
          <w:rFonts w:hint="eastAsia"/>
          <w:color w:val="auto"/>
        </w:rPr>
        <w:t>技术指标评定方法</w:t>
      </w:r>
    </w:p>
    <w:p>
      <w:pPr>
        <w:pStyle w:val="57"/>
        <w:ind w:firstLine="420"/>
        <w:rPr>
          <w:color w:val="auto"/>
        </w:rPr>
      </w:pPr>
      <w:r>
        <w:rPr>
          <w:rFonts w:hint="eastAsia"/>
          <w:color w:val="auto"/>
        </w:rPr>
        <w:t>检验检疫合格的、冷却后的胴体经分割暴露等于空气中0.5</w:t>
      </w:r>
      <w:r>
        <w:rPr>
          <w:rFonts w:hint="default" w:ascii="Calibri" w:hAnsi="Calibri" w:eastAsia="宋体" w:cs="Times New Roman"/>
          <w:color w:val="auto"/>
          <w:kern w:val="2"/>
          <w:sz w:val="21"/>
          <w:szCs w:val="21"/>
          <w:vertAlign w:val="subscript"/>
          <w:lang w:val="en-US" w:eastAsia="zh-CN" w:bidi="ar"/>
        </w:rPr>
        <w:t xml:space="preserve"> </w:t>
      </w:r>
      <w:r>
        <w:rPr>
          <w:rFonts w:hint="eastAsia" w:ascii="宋体" w:hAnsi="宋体" w:eastAsia="宋体" w:cs="宋体"/>
          <w:color w:val="auto"/>
          <w:kern w:val="2"/>
          <w:sz w:val="21"/>
          <w:szCs w:val="21"/>
          <w:vertAlign w:val="baseline"/>
          <w:lang w:val="en-US" w:eastAsia="zh-CN" w:bidi="ar"/>
        </w:rPr>
        <w:t>h</w:t>
      </w:r>
      <w:r>
        <w:rPr>
          <w:rFonts w:hint="eastAsia"/>
          <w:color w:val="auto"/>
        </w:rPr>
        <w:t>后，在光照强度不低于660</w:t>
      </w:r>
      <w:r>
        <w:rPr>
          <w:rFonts w:hint="default" w:ascii="Calibri" w:hAnsi="Calibri" w:eastAsia="宋体" w:cs="Times New Roman"/>
          <w:color w:val="auto"/>
          <w:kern w:val="2"/>
          <w:sz w:val="21"/>
          <w:szCs w:val="21"/>
          <w:vertAlign w:val="subscript"/>
          <w:lang w:val="en-US" w:eastAsia="zh-CN" w:bidi="ar"/>
        </w:rPr>
        <w:t xml:space="preserve"> </w:t>
      </w:r>
      <w:r>
        <w:rPr>
          <w:rFonts w:hint="eastAsia"/>
          <w:color w:val="auto"/>
        </w:rPr>
        <w:t>lx照明的条件下进行评定。</w:t>
      </w:r>
    </w:p>
    <w:p>
      <w:pPr>
        <w:pStyle w:val="106"/>
        <w:spacing w:before="120" w:after="120"/>
        <w:rPr>
          <w:color w:val="auto"/>
        </w:rPr>
      </w:pPr>
      <w:r>
        <w:rPr>
          <w:rFonts w:hint="eastAsia"/>
          <w:color w:val="auto"/>
        </w:rPr>
        <w:t>大理石花纹</w:t>
      </w:r>
    </w:p>
    <w:p>
      <w:pPr>
        <w:pStyle w:val="57"/>
        <w:ind w:firstLine="420"/>
        <w:rPr>
          <w:color w:val="auto"/>
        </w:rPr>
      </w:pPr>
      <w:r>
        <w:rPr>
          <w:rFonts w:hint="eastAsia"/>
          <w:color w:val="auto"/>
        </w:rPr>
        <w:t>胴体冷却后，在12～13胸肋间眼肌切面处（和胴体横向重直方向）对下列指标进行评定。大理石花纹共分为5、4、3、2和1五个等级，其中5级是最好，1级最差。附录A给出的是每级中纹理的最低标准。</w:t>
      </w:r>
    </w:p>
    <w:p>
      <w:pPr>
        <w:pStyle w:val="106"/>
        <w:spacing w:before="120" w:after="120"/>
        <w:rPr>
          <w:color w:val="auto"/>
        </w:rPr>
      </w:pPr>
      <w:r>
        <w:rPr>
          <w:rFonts w:hint="eastAsia"/>
          <w:color w:val="auto"/>
        </w:rPr>
        <w:t>肉色分级</w:t>
      </w:r>
    </w:p>
    <w:p>
      <w:pPr>
        <w:pStyle w:val="57"/>
        <w:ind w:firstLine="420"/>
        <w:rPr>
          <w:color w:val="auto"/>
        </w:rPr>
      </w:pPr>
      <w:r>
        <w:rPr>
          <w:rFonts w:hint="eastAsia"/>
          <w:color w:val="auto"/>
        </w:rPr>
        <w:t>观察部位是背最长肌横切面处，肉色按颜色深浅分为八个等级：1、2、3、4、5、6、7、8，附录B规定了八个等级肉色，其中的肉色最好的是4、5两级。</w:t>
      </w:r>
    </w:p>
    <w:p>
      <w:pPr>
        <w:pStyle w:val="106"/>
        <w:spacing w:before="120" w:after="120"/>
        <w:rPr>
          <w:color w:val="auto"/>
        </w:rPr>
      </w:pPr>
      <w:r>
        <w:rPr>
          <w:rFonts w:hint="eastAsia"/>
          <w:color w:val="auto"/>
        </w:rPr>
        <w:t>脂肪色分级</w:t>
      </w:r>
    </w:p>
    <w:p>
      <w:pPr>
        <w:pStyle w:val="57"/>
        <w:ind w:firstLine="420"/>
        <w:rPr>
          <w:color w:val="auto"/>
        </w:rPr>
      </w:pPr>
      <w:r>
        <w:rPr>
          <w:rFonts w:hint="eastAsia"/>
          <w:color w:val="auto"/>
        </w:rPr>
        <w:t>脂肪色按颜色深浅分为八个等级：1、2、3、4、5、6、7、8，附录C规定了八个等级的脂肪色，其中1、2两级的脂肪色最好。</w:t>
      </w:r>
    </w:p>
    <w:p>
      <w:pPr>
        <w:pStyle w:val="106"/>
        <w:spacing w:before="120" w:after="120"/>
        <w:rPr>
          <w:color w:val="auto"/>
        </w:rPr>
      </w:pPr>
      <w:r>
        <w:rPr>
          <w:rFonts w:hint="eastAsia"/>
          <w:color w:val="auto"/>
        </w:rPr>
        <w:t>生理成熟度</w:t>
      </w:r>
    </w:p>
    <w:p>
      <w:pPr>
        <w:pStyle w:val="57"/>
        <w:ind w:firstLine="420"/>
        <w:rPr>
          <w:color w:val="auto"/>
        </w:rPr>
      </w:pPr>
      <w:r>
        <w:rPr>
          <w:rFonts w:hint="eastAsia"/>
          <w:color w:val="auto"/>
        </w:rPr>
        <w:t>牛的生理成熟度的等级划分参照附录D脊椎骨骨质化程度、门齿变化与生理成熟度关系表。</w:t>
      </w:r>
    </w:p>
    <w:p>
      <w:pPr>
        <w:pStyle w:val="105"/>
        <w:spacing w:before="240" w:after="240"/>
        <w:rPr>
          <w:color w:val="auto"/>
        </w:rPr>
      </w:pPr>
      <w:r>
        <w:rPr>
          <w:rFonts w:hint="eastAsia"/>
          <w:color w:val="auto"/>
        </w:rPr>
        <w:t>牛胴体质量等级</w:t>
      </w:r>
      <w:r>
        <w:rPr>
          <w:rFonts w:hint="eastAsia"/>
          <w:color w:val="auto"/>
          <w:lang w:val="en-US" w:eastAsia="zh-CN"/>
        </w:rPr>
        <w:t>评定</w:t>
      </w:r>
    </w:p>
    <w:p>
      <w:pPr>
        <w:pStyle w:val="106"/>
        <w:spacing w:before="120" w:after="120"/>
        <w:rPr>
          <w:color w:val="auto"/>
        </w:rPr>
      </w:pPr>
      <w:r>
        <w:rPr>
          <w:rFonts w:hint="eastAsia"/>
          <w:color w:val="auto"/>
        </w:rPr>
        <w:t>评定要求</w:t>
      </w:r>
    </w:p>
    <w:p>
      <w:pPr>
        <w:pStyle w:val="57"/>
        <w:ind w:firstLine="420"/>
        <w:rPr>
          <w:color w:val="auto"/>
        </w:rPr>
      </w:pPr>
      <w:r>
        <w:rPr>
          <w:rFonts w:hint="eastAsia"/>
          <w:color w:val="auto"/>
        </w:rPr>
        <w:t>胴体分割0.5</w:t>
      </w:r>
      <w:r>
        <w:rPr>
          <w:rFonts w:hint="default" w:ascii="Calibri" w:hAnsi="Calibri" w:eastAsia="宋体" w:cs="Times New Roman"/>
          <w:color w:val="auto"/>
          <w:kern w:val="2"/>
          <w:sz w:val="21"/>
          <w:szCs w:val="21"/>
          <w:vertAlign w:val="subscript"/>
          <w:lang w:val="en-US" w:eastAsia="zh-CN" w:bidi="ar"/>
        </w:rPr>
        <w:t xml:space="preserve"> </w:t>
      </w:r>
      <w:r>
        <w:rPr>
          <w:rFonts w:hint="eastAsia" w:ascii="宋体" w:hAnsi="宋体" w:eastAsia="宋体" w:cs="宋体"/>
          <w:color w:val="auto"/>
          <w:kern w:val="2"/>
          <w:sz w:val="21"/>
          <w:szCs w:val="21"/>
          <w:vertAlign w:val="baseline"/>
          <w:lang w:val="en-US" w:eastAsia="zh-CN" w:bidi="ar"/>
        </w:rPr>
        <w:t>h</w:t>
      </w:r>
      <w:r>
        <w:rPr>
          <w:rFonts w:hint="eastAsia"/>
          <w:color w:val="auto"/>
        </w:rPr>
        <w:t>后，在为660</w:t>
      </w:r>
      <w:r>
        <w:rPr>
          <w:rFonts w:hint="default" w:ascii="Calibri" w:hAnsi="Calibri" w:eastAsia="宋体" w:cs="Times New Roman"/>
          <w:color w:val="auto"/>
          <w:kern w:val="2"/>
          <w:sz w:val="21"/>
          <w:szCs w:val="21"/>
          <w:vertAlign w:val="subscript"/>
          <w:lang w:val="en-US" w:eastAsia="zh-CN" w:bidi="ar"/>
        </w:rPr>
        <w:t xml:space="preserve"> </w:t>
      </w:r>
      <w:r>
        <w:rPr>
          <w:rFonts w:hint="eastAsia"/>
          <w:color w:val="auto"/>
        </w:rPr>
        <w:t>1x照明的条件下进行评定。</w:t>
      </w:r>
    </w:p>
    <w:p>
      <w:pPr>
        <w:pStyle w:val="106"/>
        <w:spacing w:before="120" w:after="120"/>
        <w:rPr>
          <w:color w:val="auto"/>
        </w:rPr>
      </w:pPr>
      <w:r>
        <w:rPr>
          <w:rFonts w:hint="eastAsia"/>
          <w:color w:val="auto"/>
        </w:rPr>
        <w:t>牛胴体质量等级的</w:t>
      </w:r>
      <w:r>
        <w:rPr>
          <w:rFonts w:hint="eastAsia"/>
          <w:color w:val="auto"/>
          <w:lang w:val="en-US" w:eastAsia="zh-CN"/>
        </w:rPr>
        <w:t>划分</w:t>
      </w:r>
    </w:p>
    <w:p>
      <w:pPr>
        <w:pStyle w:val="57"/>
        <w:ind w:firstLine="420"/>
        <w:rPr>
          <w:color w:val="auto"/>
        </w:rPr>
      </w:pPr>
      <w:r>
        <w:rPr>
          <w:rFonts w:hint="eastAsia"/>
          <w:color w:val="auto"/>
        </w:rPr>
        <w:t>牛胴体质量等级</w:t>
      </w:r>
      <w:r>
        <w:rPr>
          <w:rFonts w:hint="eastAsia"/>
          <w:color w:val="auto"/>
          <w:lang w:val="en-US" w:eastAsia="zh-CN"/>
        </w:rPr>
        <w:t>划分参照</w:t>
      </w:r>
      <w:r>
        <w:rPr>
          <w:rFonts w:hint="eastAsia"/>
          <w:color w:val="auto"/>
        </w:rPr>
        <w:t>附录E</w:t>
      </w:r>
      <w:r>
        <w:rPr>
          <w:rFonts w:hint="eastAsia"/>
          <w:color w:val="auto"/>
          <w:lang w:val="en-US" w:eastAsia="zh-CN"/>
        </w:rPr>
        <w:t>执行</w:t>
      </w:r>
      <w:r>
        <w:rPr>
          <w:rFonts w:hint="eastAsia"/>
          <w:color w:val="auto"/>
        </w:rPr>
        <w:t>，</w:t>
      </w:r>
      <w:r>
        <w:rPr>
          <w:rFonts w:hint="eastAsia"/>
          <w:color w:val="auto"/>
          <w:lang w:val="en-US" w:eastAsia="zh-CN"/>
        </w:rPr>
        <w:t xml:space="preserve"> </w:t>
      </w:r>
      <w:r>
        <w:rPr>
          <w:rFonts w:hint="eastAsia"/>
          <w:color w:val="auto"/>
        </w:rPr>
        <w:t>以12-13脊肋处背最长肌截面的大理石纹和生理成熟度为主要参考指标，肉色和脂肪色为参考指标。优质牛肉是肥育牛按规范工艺屠宰分割，品质达到本标准中的优级以上的肉叫做优质牛肉。</w:t>
      </w:r>
    </w:p>
    <w:p>
      <w:pPr>
        <w:pStyle w:val="105"/>
        <w:spacing w:before="240" w:after="240"/>
        <w:rPr>
          <w:color w:val="auto"/>
        </w:rPr>
      </w:pPr>
      <w:r>
        <w:rPr>
          <w:rFonts w:hint="eastAsia"/>
          <w:color w:val="auto"/>
        </w:rPr>
        <w:t>牛肉质量等级评定</w:t>
      </w:r>
    </w:p>
    <w:p>
      <w:pPr>
        <w:pStyle w:val="57"/>
        <w:ind w:firstLine="420"/>
        <w:rPr>
          <w:rFonts w:hint="eastAsia"/>
          <w:color w:val="auto"/>
        </w:rPr>
      </w:pPr>
      <w:r>
        <w:rPr>
          <w:rFonts w:hint="eastAsia"/>
          <w:color w:val="auto"/>
        </w:rPr>
        <w:t>牛肉的等级按部位分为四个等级：一等品：里脊，眼肉，板腱；二等品：上脑，外脊；三等品：肩肉，臀肉，脖子肉，腱子肉，牛排，米龙，膝园；四等品：牛腩。高档</w:t>
      </w:r>
      <w:r>
        <w:rPr>
          <w:rFonts w:hint="eastAsia"/>
          <w:color w:val="auto"/>
          <w:lang w:val="en-US" w:eastAsia="zh-CN"/>
        </w:rPr>
        <w:t>牛</w:t>
      </w:r>
      <w:r>
        <w:rPr>
          <w:rFonts w:hint="eastAsia"/>
          <w:color w:val="auto"/>
        </w:rPr>
        <w:t>肉比例是指里脊、外脊、眼肉</w:t>
      </w:r>
      <w:r>
        <w:rPr>
          <w:rFonts w:hint="eastAsia"/>
          <w:color w:val="auto"/>
          <w:lang w:val="en-US" w:eastAsia="zh-CN"/>
        </w:rPr>
        <w:t>这三块分割肉</w:t>
      </w:r>
      <w:r>
        <w:rPr>
          <w:rFonts w:hint="eastAsia"/>
          <w:color w:val="auto"/>
        </w:rPr>
        <w:t>占总净肉重的比例；</w:t>
      </w:r>
      <w:r>
        <w:rPr>
          <w:rFonts w:hint="eastAsia"/>
          <w:color w:val="auto"/>
          <w:lang w:val="en-US" w:eastAsia="zh-CN"/>
        </w:rPr>
        <w:t xml:space="preserve"> </w:t>
      </w:r>
      <w:r>
        <w:rPr>
          <w:rFonts w:hint="eastAsia"/>
          <w:color w:val="auto"/>
        </w:rPr>
        <w:t>优质</w:t>
      </w:r>
      <w:r>
        <w:rPr>
          <w:rFonts w:hint="eastAsia"/>
          <w:color w:val="auto"/>
          <w:lang w:val="en-US" w:eastAsia="zh-CN"/>
        </w:rPr>
        <w:t>牛</w:t>
      </w:r>
      <w:r>
        <w:rPr>
          <w:rFonts w:hint="eastAsia"/>
          <w:color w:val="auto"/>
        </w:rPr>
        <w:t>肉比例是指品质达到本标准中的优级以上的肉占总净肉重的比例。</w:t>
      </w:r>
    </w:p>
    <w:p>
      <w:pPr>
        <w:pStyle w:val="57"/>
        <w:ind w:firstLine="420"/>
        <w:rPr>
          <w:color w:val="auto"/>
        </w:rPr>
      </w:pPr>
    </w:p>
    <w:p>
      <w:pPr>
        <w:pStyle w:val="57"/>
        <w:ind w:firstLine="420"/>
        <w:rPr>
          <w:color w:val="auto"/>
        </w:rPr>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425" w:num="1"/>
          <w:formProt w:val="0"/>
          <w:docGrid w:linePitch="312" w:charSpace="0"/>
        </w:sectPr>
      </w:pPr>
    </w:p>
    <w:bookmarkEnd w:id="21"/>
    <w:p>
      <w:pPr>
        <w:pStyle w:val="199"/>
        <w:rPr>
          <w:vanish w:val="0"/>
        </w:rPr>
      </w:pPr>
      <w:bookmarkStart w:id="43" w:name="BookMark5"/>
    </w:p>
    <w:p>
      <w:pPr>
        <w:pStyle w:val="77"/>
        <w:spacing w:after="120"/>
      </w:pPr>
      <w:r>
        <w:br w:type="textWrapping"/>
      </w:r>
      <w:r>
        <w:rPr>
          <w:rFonts w:hint="eastAsia"/>
        </w:rPr>
        <w:t>（规范性）</w:t>
      </w:r>
      <w:r>
        <w:br w:type="textWrapping"/>
      </w:r>
      <w:r>
        <w:rPr>
          <w:rFonts w:hint="eastAsia"/>
        </w:rPr>
        <w:t>牛肉大理石花纹评级参考图谱</w:t>
      </w:r>
    </w:p>
    <w:p>
      <w:pPr>
        <w:pStyle w:val="57"/>
        <w:ind w:left="0" w:leftChars="0" w:firstLine="420" w:firstLineChars="200"/>
      </w:pPr>
      <w:r>
        <w:rPr>
          <w:rFonts w:hint="eastAsia"/>
        </w:rPr>
        <w:t>牛肉大理石花纹评级参考图谱见下</w:t>
      </w:r>
      <w:r>
        <w:rPr>
          <w:rFonts w:hint="eastAsia"/>
          <w:lang w:val="en-US" w:eastAsia="zh-CN"/>
        </w:rPr>
        <w:t>图</w:t>
      </w:r>
      <w:r>
        <w:rPr>
          <w:rFonts w:hint="eastAsia"/>
        </w:rPr>
        <w:t>A.1。</w:t>
      </w:r>
    </w:p>
    <w:p>
      <w:pPr>
        <w:pStyle w:val="57"/>
        <w:ind w:firstLine="420"/>
      </w:pPr>
      <w:r>
        <w:drawing>
          <wp:inline distT="0" distB="0" distL="0" distR="0">
            <wp:extent cx="5340350" cy="528574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a:xfrm>
                      <a:off x="0" y="0"/>
                      <a:ext cx="5340350" cy="5285740"/>
                    </a:xfrm>
                    <a:prstGeom prst="rect">
                      <a:avLst/>
                    </a:prstGeom>
                    <a:noFill/>
                  </pic:spPr>
                </pic:pic>
              </a:graphicData>
            </a:graphic>
          </wp:inline>
        </w:drawing>
      </w:r>
    </w:p>
    <w:p>
      <w:pPr>
        <w:pStyle w:val="57"/>
        <w:ind w:firstLine="420"/>
        <w:jc w:val="center"/>
        <w:rPr>
          <w:rFonts w:hint="eastAsia" w:ascii="黑体" w:hAnsi="黑体" w:eastAsia="黑体" w:cs="黑体"/>
          <w:b w:val="0"/>
          <w:bCs w:val="0"/>
          <w:lang w:val="en-US" w:eastAsia="zh-CN"/>
        </w:rPr>
      </w:pPr>
      <w:r>
        <w:rPr>
          <w:rFonts w:hint="eastAsia" w:ascii="黑体" w:hAnsi="黑体" w:eastAsia="黑体" w:cs="黑体"/>
          <w:b w:val="0"/>
          <w:bCs w:val="0"/>
          <w:lang w:val="en-US" w:eastAsia="zh-CN"/>
        </w:rPr>
        <w:t xml:space="preserve">图A.1 </w:t>
      </w:r>
      <w:r>
        <w:rPr>
          <w:rFonts w:hint="eastAsia" w:ascii="黑体" w:hAnsi="黑体" w:eastAsia="黑体" w:cs="黑体"/>
          <w:b w:val="0"/>
          <w:bCs w:val="0"/>
        </w:rPr>
        <w:t>牛肉大理石花纹评级参考图</w:t>
      </w:r>
      <w:r>
        <w:rPr>
          <w:rFonts w:hint="eastAsia" w:ascii="黑体" w:hAnsi="黑体" w:eastAsia="黑体" w:cs="黑体"/>
        </w:rPr>
        <w:t>谱</w:t>
      </w:r>
    </w:p>
    <w:p>
      <w:pPr>
        <w:pStyle w:val="57"/>
        <w:ind w:firstLine="420"/>
        <w:jc w:val="center"/>
        <w:rPr>
          <w:b/>
          <w:bCs/>
        </w:rPr>
      </w:pPr>
    </w:p>
    <w:p>
      <w:pPr>
        <w:pStyle w:val="57"/>
        <w:ind w:firstLine="420"/>
      </w:pPr>
    </w:p>
    <w:p>
      <w:pPr>
        <w:pStyle w:val="57"/>
        <w:ind w:firstLine="420"/>
        <w:sectPr>
          <w:headerReference r:id="rId19" w:type="default"/>
          <w:footerReference r:id="rId21" w:type="default"/>
          <w:headerReference r:id="rId20" w:type="even"/>
          <w:footerReference r:id="rId22" w:type="even"/>
          <w:pgSz w:w="11906" w:h="16838"/>
          <w:pgMar w:top="1928" w:right="1134" w:bottom="1134" w:left="1134" w:header="1418" w:footer="1134" w:gutter="284"/>
          <w:cols w:space="425" w:num="1"/>
          <w:formProt w:val="0"/>
          <w:docGrid w:linePitch="312" w:charSpace="0"/>
        </w:sectPr>
      </w:pPr>
    </w:p>
    <w:p>
      <w:pPr>
        <w:pStyle w:val="199"/>
        <w:rPr>
          <w:vanish w:val="0"/>
        </w:rPr>
      </w:pPr>
    </w:p>
    <w:p>
      <w:pPr>
        <w:pStyle w:val="200"/>
        <w:rPr>
          <w:vanish w:val="0"/>
        </w:rPr>
      </w:pPr>
    </w:p>
    <w:p>
      <w:pPr>
        <w:pStyle w:val="77"/>
        <w:spacing w:after="120"/>
        <w:rPr>
          <w:rFonts w:hint="eastAsia"/>
          <w:lang w:val="en-US" w:eastAsia="zh-CN"/>
        </w:rPr>
      </w:pPr>
      <w:r>
        <w:br w:type="textWrapping"/>
      </w:r>
      <w:r>
        <w:rPr>
          <w:rFonts w:hint="eastAsia"/>
        </w:rPr>
        <w:t>（规范性）</w:t>
      </w:r>
      <w:r>
        <w:br w:type="textWrapping"/>
      </w:r>
      <w:r>
        <w:rPr>
          <w:rFonts w:hint="eastAsia"/>
        </w:rPr>
        <w:t>肉色等级图</w:t>
      </w:r>
    </w:p>
    <w:p>
      <w:pPr>
        <w:pStyle w:val="57"/>
        <w:ind w:left="0" w:leftChars="0" w:firstLine="420" w:firstLineChars="200"/>
      </w:pPr>
      <w:r>
        <w:rPr>
          <w:rFonts w:hint="eastAsia"/>
          <w:lang w:val="en-US" w:eastAsia="zh-CN"/>
        </w:rPr>
        <w:t>肉色等级</w:t>
      </w:r>
      <w:r>
        <w:rPr>
          <w:rFonts w:hint="eastAsia"/>
        </w:rPr>
        <w:t>图谱见下</w:t>
      </w:r>
      <w:r>
        <w:rPr>
          <w:rFonts w:hint="eastAsia"/>
          <w:lang w:val="en-US" w:eastAsia="zh-CN"/>
        </w:rPr>
        <w:t>图B</w:t>
      </w:r>
      <w:r>
        <w:rPr>
          <w:rFonts w:hint="eastAsia"/>
        </w:rPr>
        <w:t>.1。</w:t>
      </w:r>
    </w:p>
    <w:p>
      <w:pPr>
        <w:pStyle w:val="57"/>
        <w:ind w:firstLine="420"/>
      </w:pPr>
      <w:r>
        <w:drawing>
          <wp:inline distT="0" distB="0" distL="0" distR="0">
            <wp:extent cx="5273675" cy="1621790"/>
            <wp:effectExtent l="0" t="0" r="317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a:xfrm>
                      <a:off x="0" y="0"/>
                      <a:ext cx="5273675" cy="1621790"/>
                    </a:xfrm>
                    <a:prstGeom prst="rect">
                      <a:avLst/>
                    </a:prstGeom>
                    <a:noFill/>
                  </pic:spPr>
                </pic:pic>
              </a:graphicData>
            </a:graphic>
          </wp:inline>
        </w:drawing>
      </w:r>
    </w:p>
    <w:p>
      <w:pPr>
        <w:pStyle w:val="57"/>
        <w:ind w:firstLine="420"/>
        <w:jc w:val="center"/>
        <w:rPr>
          <w:rFonts w:hint="eastAsia" w:ascii="黑体" w:hAnsi="黑体" w:eastAsia="黑体" w:cs="黑体"/>
        </w:rPr>
      </w:pPr>
      <w:r>
        <w:rPr>
          <w:rFonts w:hint="eastAsia" w:ascii="黑体" w:hAnsi="黑体" w:eastAsia="黑体" w:cs="黑体"/>
          <w:lang w:val="en-US" w:eastAsia="zh-CN"/>
        </w:rPr>
        <w:t>图B.1 肉色等级</w:t>
      </w:r>
      <w:r>
        <w:rPr>
          <w:rFonts w:hint="eastAsia" w:ascii="黑体" w:hAnsi="黑体" w:eastAsia="黑体" w:cs="黑体"/>
        </w:rPr>
        <w:t>图</w:t>
      </w:r>
    </w:p>
    <w:p>
      <w:pPr>
        <w:pStyle w:val="57"/>
        <w:ind w:firstLine="420"/>
        <w:rPr>
          <w:rFonts w:hint="default" w:eastAsia="宋体"/>
          <w:lang w:val="en-US" w:eastAsia="zh-CN"/>
        </w:rPr>
        <w:sectPr>
          <w:headerReference r:id="rId23" w:type="default"/>
          <w:footerReference r:id="rId25" w:type="default"/>
          <w:headerReference r:id="rId24" w:type="even"/>
          <w:footerReference r:id="rId26" w:type="even"/>
          <w:pgSz w:w="11906" w:h="16838"/>
          <w:pgMar w:top="1928" w:right="1134" w:bottom="1134" w:left="1134" w:header="1418" w:footer="1134" w:gutter="284"/>
          <w:cols w:space="425" w:num="1"/>
          <w:formProt w:val="0"/>
          <w:docGrid w:linePitch="312" w:charSpace="0"/>
        </w:sectPr>
      </w:pPr>
      <w:r>
        <w:rPr>
          <w:rFonts w:hint="eastAsia"/>
          <w:lang w:val="en-US" w:eastAsia="zh-CN"/>
        </w:rPr>
        <w:t xml:space="preserve">        </w:t>
      </w:r>
    </w:p>
    <w:p>
      <w:pPr>
        <w:pStyle w:val="199"/>
        <w:rPr>
          <w:vanish w:val="0"/>
        </w:rPr>
      </w:pPr>
    </w:p>
    <w:p>
      <w:pPr>
        <w:pStyle w:val="200"/>
        <w:rPr>
          <w:vanish w:val="0"/>
        </w:rPr>
      </w:pPr>
    </w:p>
    <w:p>
      <w:pPr>
        <w:pStyle w:val="77"/>
        <w:spacing w:after="120"/>
        <w:rPr>
          <w:rFonts w:hint="eastAsia"/>
          <w:lang w:val="en-US" w:eastAsia="zh-CN"/>
        </w:rPr>
      </w:pPr>
      <w:r>
        <w:br w:type="textWrapping"/>
      </w:r>
      <w:r>
        <w:rPr>
          <w:rFonts w:hint="eastAsia"/>
        </w:rPr>
        <w:t>（规范性）</w:t>
      </w:r>
      <w:r>
        <w:br w:type="textWrapping"/>
      </w:r>
      <w:r>
        <w:rPr>
          <w:rFonts w:hint="eastAsia"/>
        </w:rPr>
        <w:t>脂肪色等级图</w:t>
      </w:r>
    </w:p>
    <w:p>
      <w:pPr>
        <w:pStyle w:val="57"/>
        <w:ind w:left="0" w:leftChars="0" w:firstLine="420" w:firstLineChars="200"/>
      </w:pPr>
      <w:r>
        <w:rPr>
          <w:rFonts w:hint="eastAsia"/>
          <w:lang w:val="en-US" w:eastAsia="zh-CN"/>
        </w:rPr>
        <w:t>脂肪色等级</w:t>
      </w:r>
      <w:r>
        <w:rPr>
          <w:rFonts w:hint="eastAsia"/>
        </w:rPr>
        <w:t>图谱见下</w:t>
      </w:r>
      <w:r>
        <w:rPr>
          <w:rFonts w:hint="eastAsia"/>
          <w:lang w:val="en-US" w:eastAsia="zh-CN"/>
        </w:rPr>
        <w:t>图C</w:t>
      </w:r>
      <w:r>
        <w:rPr>
          <w:rFonts w:hint="eastAsia"/>
        </w:rPr>
        <w:t>.1。</w:t>
      </w:r>
    </w:p>
    <w:p>
      <w:pPr>
        <w:pStyle w:val="57"/>
        <w:ind w:firstLine="420"/>
      </w:pPr>
      <w:r>
        <w:drawing>
          <wp:inline distT="0" distB="0" distL="0" distR="0">
            <wp:extent cx="5273675" cy="1597025"/>
            <wp:effectExtent l="0" t="0" r="3175"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a:xfrm>
                      <a:off x="0" y="0"/>
                      <a:ext cx="5273675" cy="1597025"/>
                    </a:xfrm>
                    <a:prstGeom prst="rect">
                      <a:avLst/>
                    </a:prstGeom>
                    <a:noFill/>
                  </pic:spPr>
                </pic:pic>
              </a:graphicData>
            </a:graphic>
          </wp:inline>
        </w:drawing>
      </w:r>
    </w:p>
    <w:p>
      <w:pPr>
        <w:pStyle w:val="57"/>
        <w:ind w:firstLine="420"/>
        <w:rPr>
          <w:rFonts w:hint="default" w:eastAsia="宋体"/>
          <w:lang w:val="en-US" w:eastAsia="zh-CN"/>
        </w:rPr>
      </w:pPr>
      <w:r>
        <w:rPr>
          <w:rFonts w:hint="eastAsia"/>
          <w:lang w:val="en-US" w:eastAsia="zh-CN"/>
        </w:rPr>
        <w:t xml:space="preserve">                              </w:t>
      </w:r>
      <w:r>
        <w:rPr>
          <w:rFonts w:hint="eastAsia" w:ascii="黑体" w:hAnsi="黑体" w:eastAsia="黑体" w:cs="黑体"/>
          <w:lang w:val="en-US" w:eastAsia="zh-CN"/>
        </w:rPr>
        <w:t xml:space="preserve">  图C.1 脂肪色等级</w:t>
      </w:r>
      <w:r>
        <w:rPr>
          <w:rFonts w:hint="eastAsia" w:ascii="黑体" w:hAnsi="黑体" w:eastAsia="黑体" w:cs="黑体"/>
        </w:rPr>
        <w:t>图</w:t>
      </w:r>
    </w:p>
    <w:p>
      <w:pPr>
        <w:pStyle w:val="57"/>
        <w:ind w:firstLine="420"/>
      </w:pPr>
    </w:p>
    <w:p>
      <w:pPr>
        <w:pStyle w:val="57"/>
        <w:ind w:firstLine="420"/>
      </w:pPr>
    </w:p>
    <w:p>
      <w:pPr>
        <w:pStyle w:val="57"/>
        <w:ind w:firstLine="420"/>
        <w:sectPr>
          <w:headerReference r:id="rId27" w:type="default"/>
          <w:footerReference r:id="rId29" w:type="default"/>
          <w:headerReference r:id="rId28" w:type="even"/>
          <w:footerReference r:id="rId30" w:type="even"/>
          <w:pgSz w:w="11906" w:h="16838"/>
          <w:pgMar w:top="1928" w:right="1134" w:bottom="1134" w:left="1134" w:header="1418" w:footer="1134" w:gutter="284"/>
          <w:cols w:space="425" w:num="1"/>
          <w:formProt w:val="0"/>
          <w:docGrid w:linePitch="312" w:charSpace="0"/>
        </w:sectPr>
      </w:pPr>
    </w:p>
    <w:p>
      <w:pPr>
        <w:pStyle w:val="199"/>
        <w:rPr>
          <w:vanish w:val="0"/>
        </w:rPr>
      </w:pPr>
    </w:p>
    <w:p>
      <w:pPr>
        <w:pStyle w:val="200"/>
        <w:rPr>
          <w:vanish w:val="0"/>
        </w:rPr>
      </w:pPr>
    </w:p>
    <w:p>
      <w:pPr>
        <w:pStyle w:val="77"/>
        <w:spacing w:after="120"/>
      </w:pPr>
      <w:r>
        <w:br w:type="textWrapping"/>
      </w:r>
      <w:r>
        <w:rPr>
          <w:rFonts w:hint="eastAsia"/>
        </w:rPr>
        <w:t>（规范性）</w:t>
      </w:r>
      <w:r>
        <w:br w:type="textWrapping"/>
      </w:r>
      <w:r>
        <w:rPr>
          <w:rFonts w:hint="eastAsia"/>
        </w:rPr>
        <w:t>脊椎骨骨质化程度、门齿变化与生理成熟度关系表</w:t>
      </w:r>
    </w:p>
    <w:p>
      <w:pPr>
        <w:pStyle w:val="57"/>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rPr>
      </w:pPr>
      <w:r>
        <w:rPr>
          <w:rFonts w:hint="eastAsia"/>
        </w:rPr>
        <w:t>见下表</w:t>
      </w:r>
      <w:r>
        <w:rPr>
          <w:rFonts w:hint="eastAsia"/>
          <w:lang w:val="en-US" w:eastAsia="zh-CN"/>
        </w:rPr>
        <w:t>D</w:t>
      </w:r>
      <w:r>
        <w:rPr>
          <w:rFonts w:hint="eastAsia"/>
        </w:rPr>
        <w:t>.1。</w:t>
      </w:r>
    </w:p>
    <w:p>
      <w:pPr>
        <w:pStyle w:val="57"/>
        <w:keepNext w:val="0"/>
        <w:keepLines w:val="0"/>
        <w:pageBreakBefore w:val="0"/>
        <w:widowControl/>
        <w:kinsoku/>
        <w:wordWrap/>
        <w:overflowPunct/>
        <w:topLinePunct w:val="0"/>
        <w:autoSpaceDE w:val="0"/>
        <w:autoSpaceDN w:val="0"/>
        <w:bidi w:val="0"/>
        <w:adjustRightInd/>
        <w:snapToGrid/>
        <w:spacing w:line="240" w:lineRule="auto"/>
        <w:jc w:val="center"/>
        <w:textAlignment w:val="auto"/>
        <w:rPr>
          <w:b/>
          <w:bCs/>
        </w:rPr>
      </w:pPr>
      <w:r>
        <w:rPr>
          <w:rFonts w:hint="eastAsia" w:ascii="黑体" w:hAnsi="黑体" w:eastAsia="黑体" w:cs="黑体"/>
          <w:b w:val="0"/>
          <w:bCs w:val="0"/>
        </w:rPr>
        <w:t>表</w:t>
      </w:r>
      <w:r>
        <w:rPr>
          <w:rFonts w:hint="eastAsia" w:ascii="黑体" w:hAnsi="黑体" w:eastAsia="黑体" w:cs="黑体"/>
          <w:b w:val="0"/>
          <w:bCs w:val="0"/>
          <w:lang w:val="en-US" w:eastAsia="zh-CN"/>
        </w:rPr>
        <w:t>D</w:t>
      </w:r>
      <w:r>
        <w:rPr>
          <w:rFonts w:hint="eastAsia" w:ascii="黑体" w:hAnsi="黑体" w:eastAsia="黑体" w:cs="黑体"/>
          <w:b w:val="0"/>
          <w:bCs w:val="0"/>
        </w:rPr>
        <w:t>.1</w:t>
      </w:r>
      <w:r>
        <w:rPr>
          <w:rFonts w:hint="eastAsia" w:ascii="黑体" w:hAnsi="黑体" w:eastAsia="黑体" w:cs="黑体"/>
          <w:b w:val="0"/>
          <w:bCs w:val="0"/>
          <w:lang w:val="en-US" w:eastAsia="zh-CN"/>
        </w:rPr>
        <w:t xml:space="preserve"> </w:t>
      </w:r>
      <w:r>
        <w:rPr>
          <w:rFonts w:hint="eastAsia" w:ascii="黑体" w:hAnsi="黑体" w:eastAsia="黑体" w:cs="黑体"/>
          <w:b w:val="0"/>
          <w:bCs w:val="0"/>
        </w:rPr>
        <w:t>脊椎骨骨质化程度、门齿变化与生理成熟度</w:t>
      </w:r>
      <w:r>
        <w:rPr>
          <w:rFonts w:hint="eastAsia" w:ascii="黑体" w:hAnsi="黑体" w:eastAsia="黑体" w:cs="黑体"/>
          <w:b w:val="0"/>
          <w:bCs w:val="0"/>
          <w:lang w:val="en-US" w:eastAsia="zh-CN"/>
        </w:rPr>
        <w:t>关系</w:t>
      </w:r>
      <w:r>
        <w:rPr>
          <w:rFonts w:hint="eastAsia" w:ascii="黑体" w:hAnsi="黑体" w:eastAsia="黑体" w:cs="黑体"/>
          <w:b w:val="0"/>
          <w:bCs w:val="0"/>
        </w:rPr>
        <w:t>表</w:t>
      </w:r>
    </w:p>
    <w:tbl>
      <w:tblPr>
        <w:tblStyle w:val="28"/>
        <w:tblW w:w="954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91"/>
        <w:gridCol w:w="1591"/>
        <w:gridCol w:w="1590"/>
        <w:gridCol w:w="1590"/>
        <w:gridCol w:w="1591"/>
        <w:gridCol w:w="159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9" w:hRule="atLeast"/>
          <w:tblHeader/>
          <w:jc w:val="center"/>
        </w:trPr>
        <w:tc>
          <w:tcPr>
            <w:tcW w:w="1591" w:type="dxa"/>
            <w:vMerge w:val="restart"/>
            <w:tcBorders>
              <w:top w:val="single" w:color="auto" w:sz="8" w:space="0"/>
            </w:tcBorders>
            <w:shd w:val="clear" w:color="auto" w:fill="auto"/>
            <w:vAlign w:val="center"/>
          </w:tcPr>
          <w:p>
            <w:pPr>
              <w:pStyle w:val="179"/>
              <w:rPr>
                <w:szCs w:val="18"/>
              </w:rPr>
            </w:pPr>
            <w:r>
              <w:rPr>
                <w:rFonts w:ascii="Times New Roman"/>
                <w:spacing w:val="-1"/>
                <w:szCs w:val="18"/>
              </w:rPr>
              <w:t>脊柱部位</w:t>
            </w:r>
          </w:p>
        </w:tc>
        <w:tc>
          <w:tcPr>
            <w:tcW w:w="7956" w:type="dxa"/>
            <w:gridSpan w:val="5"/>
            <w:tcBorders>
              <w:top w:val="single" w:color="auto" w:sz="8" w:space="0"/>
              <w:bottom w:val="single" w:color="auto" w:sz="8" w:space="0"/>
            </w:tcBorders>
            <w:shd w:val="clear" w:color="auto" w:fill="auto"/>
            <w:vAlign w:val="center"/>
          </w:tcPr>
          <w:p>
            <w:pPr>
              <w:pStyle w:val="179"/>
              <w:rPr>
                <w:szCs w:val="18"/>
              </w:rPr>
            </w:pPr>
            <w:r>
              <w:rPr>
                <w:rFonts w:hint="eastAsia"/>
                <w:szCs w:val="18"/>
              </w:rPr>
              <w:t>生理成熟度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20" w:hRule="atLeast"/>
          <w:jc w:val="center"/>
        </w:trPr>
        <w:tc>
          <w:tcPr>
            <w:tcW w:w="1591" w:type="dxa"/>
            <w:vMerge w:val="continue"/>
            <w:shd w:val="clear" w:color="auto" w:fill="auto"/>
            <w:vAlign w:val="center"/>
          </w:tcPr>
          <w:p>
            <w:pPr>
              <w:pStyle w:val="179"/>
              <w:rPr>
                <w:szCs w:val="18"/>
              </w:rPr>
            </w:pPr>
          </w:p>
        </w:tc>
        <w:tc>
          <w:tcPr>
            <w:tcW w:w="1591" w:type="dxa"/>
            <w:tcBorders>
              <w:top w:val="single" w:color="auto" w:sz="8" w:space="0"/>
            </w:tcBorders>
            <w:shd w:val="clear" w:color="auto" w:fill="auto"/>
            <w:vAlign w:val="center"/>
          </w:tcPr>
          <w:p>
            <w:pPr>
              <w:pStyle w:val="179"/>
              <w:rPr>
                <w:szCs w:val="18"/>
              </w:rPr>
            </w:pPr>
            <w:r>
              <w:rPr>
                <w:rFonts w:hint="eastAsia"/>
                <w:szCs w:val="18"/>
              </w:rPr>
              <w:t>A</w:t>
            </w:r>
          </w:p>
        </w:tc>
        <w:tc>
          <w:tcPr>
            <w:tcW w:w="1590" w:type="dxa"/>
            <w:tcBorders>
              <w:top w:val="single" w:color="auto" w:sz="8" w:space="0"/>
            </w:tcBorders>
            <w:shd w:val="clear" w:color="auto" w:fill="auto"/>
            <w:vAlign w:val="center"/>
          </w:tcPr>
          <w:p>
            <w:pPr>
              <w:pStyle w:val="179"/>
              <w:rPr>
                <w:szCs w:val="18"/>
              </w:rPr>
            </w:pPr>
            <w:r>
              <w:rPr>
                <w:rFonts w:hint="eastAsia"/>
                <w:szCs w:val="18"/>
              </w:rPr>
              <w:t>B</w:t>
            </w:r>
          </w:p>
        </w:tc>
        <w:tc>
          <w:tcPr>
            <w:tcW w:w="1590" w:type="dxa"/>
            <w:tcBorders>
              <w:top w:val="single" w:color="auto" w:sz="8" w:space="0"/>
            </w:tcBorders>
            <w:shd w:val="clear" w:color="auto" w:fill="auto"/>
            <w:vAlign w:val="center"/>
          </w:tcPr>
          <w:p>
            <w:pPr>
              <w:pStyle w:val="179"/>
              <w:rPr>
                <w:szCs w:val="18"/>
              </w:rPr>
            </w:pPr>
            <w:r>
              <w:rPr>
                <w:rFonts w:hint="eastAsia"/>
                <w:szCs w:val="18"/>
              </w:rPr>
              <w:t>C</w:t>
            </w:r>
          </w:p>
        </w:tc>
        <w:tc>
          <w:tcPr>
            <w:tcW w:w="1591" w:type="dxa"/>
            <w:tcBorders>
              <w:top w:val="single" w:color="auto" w:sz="8" w:space="0"/>
            </w:tcBorders>
            <w:shd w:val="clear" w:color="auto" w:fill="auto"/>
            <w:vAlign w:val="center"/>
          </w:tcPr>
          <w:p>
            <w:pPr>
              <w:pStyle w:val="179"/>
              <w:rPr>
                <w:szCs w:val="18"/>
              </w:rPr>
            </w:pPr>
            <w:r>
              <w:rPr>
                <w:rFonts w:hint="eastAsia"/>
                <w:szCs w:val="18"/>
              </w:rPr>
              <w:t>D</w:t>
            </w:r>
          </w:p>
        </w:tc>
        <w:tc>
          <w:tcPr>
            <w:tcW w:w="1591" w:type="dxa"/>
            <w:tcBorders>
              <w:top w:val="single" w:color="auto" w:sz="8" w:space="0"/>
            </w:tcBorders>
            <w:shd w:val="clear" w:color="auto" w:fill="auto"/>
            <w:vAlign w:val="center"/>
          </w:tcPr>
          <w:p>
            <w:pPr>
              <w:pStyle w:val="179"/>
              <w:rPr>
                <w:szCs w:val="18"/>
              </w:rPr>
            </w:pPr>
            <w:r>
              <w:rPr>
                <w:rFonts w:hint="eastAsia"/>
                <w:szCs w:val="18"/>
              </w:rPr>
              <w:t>E</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20" w:hRule="atLeast"/>
          <w:jc w:val="center"/>
        </w:trPr>
        <w:tc>
          <w:tcPr>
            <w:tcW w:w="1591" w:type="dxa"/>
            <w:vMerge w:val="continue"/>
            <w:shd w:val="clear" w:color="auto" w:fill="auto"/>
            <w:vAlign w:val="center"/>
          </w:tcPr>
          <w:p>
            <w:pPr>
              <w:pStyle w:val="179"/>
              <w:rPr>
                <w:szCs w:val="18"/>
              </w:rPr>
            </w:pPr>
          </w:p>
        </w:tc>
        <w:tc>
          <w:tcPr>
            <w:tcW w:w="1591" w:type="dxa"/>
            <w:shd w:val="clear" w:color="auto" w:fill="auto"/>
            <w:vAlign w:val="center"/>
          </w:tcPr>
          <w:p>
            <w:pPr>
              <w:pStyle w:val="179"/>
              <w:rPr>
                <w:szCs w:val="18"/>
              </w:rPr>
            </w:pPr>
            <w:r>
              <w:rPr>
                <w:rFonts w:hint="eastAsia"/>
                <w:szCs w:val="18"/>
              </w:rPr>
              <w:t>24月龄以下</w:t>
            </w:r>
          </w:p>
        </w:tc>
        <w:tc>
          <w:tcPr>
            <w:tcW w:w="1590" w:type="dxa"/>
            <w:shd w:val="clear" w:color="auto" w:fill="auto"/>
            <w:vAlign w:val="center"/>
          </w:tcPr>
          <w:p>
            <w:pPr>
              <w:pStyle w:val="179"/>
              <w:rPr>
                <w:szCs w:val="18"/>
              </w:rPr>
            </w:pPr>
            <w:r>
              <w:rPr>
                <w:rFonts w:hint="eastAsia"/>
                <w:szCs w:val="18"/>
              </w:rPr>
              <w:t>24月龄～36月龄</w:t>
            </w:r>
          </w:p>
        </w:tc>
        <w:tc>
          <w:tcPr>
            <w:tcW w:w="1590" w:type="dxa"/>
            <w:shd w:val="clear" w:color="auto" w:fill="auto"/>
            <w:vAlign w:val="center"/>
          </w:tcPr>
          <w:p>
            <w:pPr>
              <w:pStyle w:val="179"/>
              <w:rPr>
                <w:szCs w:val="18"/>
              </w:rPr>
            </w:pPr>
            <w:r>
              <w:rPr>
                <w:rFonts w:hint="eastAsia"/>
                <w:szCs w:val="18"/>
              </w:rPr>
              <w:t>36月龄～48月龄</w:t>
            </w:r>
          </w:p>
        </w:tc>
        <w:tc>
          <w:tcPr>
            <w:tcW w:w="1591" w:type="dxa"/>
            <w:shd w:val="clear" w:color="auto" w:fill="auto"/>
            <w:vAlign w:val="center"/>
          </w:tcPr>
          <w:p>
            <w:pPr>
              <w:pStyle w:val="179"/>
              <w:rPr>
                <w:szCs w:val="18"/>
              </w:rPr>
            </w:pPr>
            <w:r>
              <w:rPr>
                <w:rFonts w:hint="eastAsia"/>
                <w:szCs w:val="18"/>
              </w:rPr>
              <w:t>48月龄～72月龄</w:t>
            </w:r>
          </w:p>
        </w:tc>
        <w:tc>
          <w:tcPr>
            <w:tcW w:w="1591" w:type="dxa"/>
            <w:shd w:val="clear" w:color="auto" w:fill="auto"/>
            <w:vAlign w:val="center"/>
          </w:tcPr>
          <w:p>
            <w:pPr>
              <w:pStyle w:val="179"/>
              <w:rPr>
                <w:szCs w:val="18"/>
              </w:rPr>
            </w:pPr>
            <w:r>
              <w:rPr>
                <w:rFonts w:hint="eastAsia"/>
                <w:szCs w:val="18"/>
              </w:rPr>
              <w:t>72月龄以上</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01" w:hRule="atLeast"/>
          <w:jc w:val="center"/>
        </w:trPr>
        <w:tc>
          <w:tcPr>
            <w:tcW w:w="1591" w:type="dxa"/>
            <w:vMerge w:val="continue"/>
            <w:shd w:val="clear" w:color="auto" w:fill="auto"/>
            <w:vAlign w:val="center"/>
          </w:tcPr>
          <w:p>
            <w:pPr>
              <w:pStyle w:val="179"/>
              <w:rPr>
                <w:szCs w:val="18"/>
              </w:rPr>
            </w:pPr>
          </w:p>
        </w:tc>
        <w:tc>
          <w:tcPr>
            <w:tcW w:w="1591" w:type="dxa"/>
            <w:shd w:val="clear" w:color="auto" w:fill="auto"/>
            <w:vAlign w:val="center"/>
          </w:tcPr>
          <w:p>
            <w:pPr>
              <w:pStyle w:val="179"/>
              <w:rPr>
                <w:szCs w:val="18"/>
              </w:rPr>
            </w:pPr>
            <w:r>
              <w:rPr>
                <w:rFonts w:hint="eastAsia"/>
                <w:szCs w:val="18"/>
              </w:rPr>
              <w:t>无或出现第一对永久门齿</w:t>
            </w:r>
          </w:p>
        </w:tc>
        <w:tc>
          <w:tcPr>
            <w:tcW w:w="1590" w:type="dxa"/>
            <w:shd w:val="clear" w:color="auto" w:fill="auto"/>
            <w:vAlign w:val="center"/>
          </w:tcPr>
          <w:p>
            <w:pPr>
              <w:pStyle w:val="179"/>
              <w:rPr>
                <w:szCs w:val="18"/>
              </w:rPr>
            </w:pPr>
            <w:r>
              <w:rPr>
                <w:rFonts w:hint="eastAsia"/>
                <w:szCs w:val="18"/>
              </w:rPr>
              <w:t>出现第二对永久门齿</w:t>
            </w:r>
          </w:p>
        </w:tc>
        <w:tc>
          <w:tcPr>
            <w:tcW w:w="1590" w:type="dxa"/>
            <w:shd w:val="clear" w:color="auto" w:fill="auto"/>
            <w:vAlign w:val="center"/>
          </w:tcPr>
          <w:p>
            <w:pPr>
              <w:pStyle w:val="179"/>
              <w:rPr>
                <w:szCs w:val="18"/>
              </w:rPr>
            </w:pPr>
            <w:r>
              <w:rPr>
                <w:rFonts w:hint="eastAsia"/>
                <w:szCs w:val="18"/>
              </w:rPr>
              <w:t>出现第三对永久门齿</w:t>
            </w:r>
          </w:p>
        </w:tc>
        <w:tc>
          <w:tcPr>
            <w:tcW w:w="1591" w:type="dxa"/>
            <w:shd w:val="clear" w:color="auto" w:fill="auto"/>
            <w:vAlign w:val="center"/>
          </w:tcPr>
          <w:p>
            <w:pPr>
              <w:pStyle w:val="179"/>
              <w:rPr>
                <w:szCs w:val="18"/>
              </w:rPr>
            </w:pPr>
            <w:r>
              <w:rPr>
                <w:rFonts w:hint="eastAsia"/>
                <w:szCs w:val="18"/>
              </w:rPr>
              <w:t>出现第四对永久门齿</w:t>
            </w:r>
          </w:p>
        </w:tc>
        <w:tc>
          <w:tcPr>
            <w:tcW w:w="1591" w:type="dxa"/>
            <w:shd w:val="clear" w:color="auto" w:fill="auto"/>
            <w:vAlign w:val="center"/>
          </w:tcPr>
          <w:p>
            <w:pPr>
              <w:pStyle w:val="179"/>
              <w:rPr>
                <w:szCs w:val="18"/>
              </w:rPr>
            </w:pPr>
            <w:r>
              <w:rPr>
                <w:rFonts w:hint="eastAsia"/>
                <w:szCs w:val="18"/>
              </w:rPr>
              <w:t>永久门齿磨损较重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6" w:hRule="atLeast"/>
          <w:jc w:val="center"/>
        </w:trPr>
        <w:tc>
          <w:tcPr>
            <w:tcW w:w="1591" w:type="dxa"/>
            <w:shd w:val="clear" w:color="auto" w:fill="auto"/>
            <w:vAlign w:val="center"/>
          </w:tcPr>
          <w:p>
            <w:pPr>
              <w:pStyle w:val="179"/>
              <w:rPr>
                <w:szCs w:val="18"/>
              </w:rPr>
            </w:pPr>
            <w:r>
              <w:rPr>
                <w:rFonts w:ascii="Times New Roman"/>
                <w:spacing w:val="-2"/>
                <w:szCs w:val="18"/>
              </w:rPr>
              <w:t>荐椎</w:t>
            </w:r>
          </w:p>
        </w:tc>
        <w:tc>
          <w:tcPr>
            <w:tcW w:w="1591" w:type="dxa"/>
          </w:tcPr>
          <w:p>
            <w:pPr>
              <w:spacing w:before="41" w:line="219" w:lineRule="auto"/>
              <w:ind w:left="220"/>
              <w:rPr>
                <w:rFonts w:ascii="Times New Roman" w:hAnsi="Times New Roman"/>
                <w:sz w:val="18"/>
                <w:szCs w:val="18"/>
              </w:rPr>
            </w:pPr>
            <w:r>
              <w:rPr>
                <w:rFonts w:ascii="Times New Roman" w:hAnsi="Times New Roman"/>
                <w:spacing w:val="-3"/>
                <w:sz w:val="18"/>
                <w:szCs w:val="18"/>
              </w:rPr>
              <w:t>明显分开</w:t>
            </w:r>
          </w:p>
        </w:tc>
        <w:tc>
          <w:tcPr>
            <w:tcW w:w="1590" w:type="dxa"/>
          </w:tcPr>
          <w:p>
            <w:pPr>
              <w:spacing w:before="41" w:line="221" w:lineRule="auto"/>
              <w:ind w:left="223"/>
              <w:rPr>
                <w:rFonts w:ascii="Times New Roman" w:hAnsi="Times New Roman"/>
                <w:sz w:val="18"/>
                <w:szCs w:val="18"/>
              </w:rPr>
            </w:pPr>
            <w:r>
              <w:rPr>
                <w:rFonts w:ascii="Times New Roman" w:hAnsi="Times New Roman"/>
                <w:spacing w:val="-1"/>
                <w:sz w:val="18"/>
                <w:szCs w:val="18"/>
              </w:rPr>
              <w:t>开始愈合</w:t>
            </w:r>
          </w:p>
        </w:tc>
        <w:tc>
          <w:tcPr>
            <w:tcW w:w="1590" w:type="dxa"/>
          </w:tcPr>
          <w:p>
            <w:pPr>
              <w:spacing w:before="41" w:line="220" w:lineRule="auto"/>
              <w:ind w:left="124"/>
              <w:rPr>
                <w:rFonts w:ascii="Times New Roman" w:hAnsi="Times New Roman"/>
                <w:sz w:val="18"/>
                <w:szCs w:val="18"/>
              </w:rPr>
            </w:pPr>
            <w:r>
              <w:rPr>
                <w:rFonts w:ascii="Times New Roman" w:hAnsi="Times New Roman"/>
                <w:spacing w:val="-1"/>
                <w:sz w:val="18"/>
                <w:szCs w:val="18"/>
              </w:rPr>
              <w:t>愈合但有轮廓</w:t>
            </w:r>
          </w:p>
        </w:tc>
        <w:tc>
          <w:tcPr>
            <w:tcW w:w="1591" w:type="dxa"/>
          </w:tcPr>
          <w:p>
            <w:pPr>
              <w:spacing w:before="41" w:line="219" w:lineRule="auto"/>
              <w:ind w:left="226"/>
              <w:rPr>
                <w:rFonts w:ascii="Times New Roman" w:hAnsi="Times New Roman"/>
                <w:sz w:val="18"/>
                <w:szCs w:val="18"/>
              </w:rPr>
            </w:pPr>
            <w:r>
              <w:rPr>
                <w:rFonts w:ascii="Times New Roman" w:hAnsi="Times New Roman"/>
                <w:spacing w:val="-1"/>
                <w:sz w:val="18"/>
                <w:szCs w:val="18"/>
              </w:rPr>
              <w:t>完全愈合</w:t>
            </w:r>
          </w:p>
        </w:tc>
        <w:tc>
          <w:tcPr>
            <w:tcW w:w="1591" w:type="dxa"/>
          </w:tcPr>
          <w:p>
            <w:pPr>
              <w:spacing w:before="41" w:line="219" w:lineRule="auto"/>
              <w:ind w:left="268"/>
              <w:rPr>
                <w:rFonts w:ascii="Times New Roman" w:hAnsi="Times New Roman"/>
                <w:sz w:val="18"/>
                <w:szCs w:val="18"/>
              </w:rPr>
            </w:pPr>
            <w:r>
              <w:rPr>
                <w:rFonts w:ascii="Times New Roman" w:hAnsi="Times New Roman"/>
                <w:spacing w:val="-1"/>
                <w:sz w:val="18"/>
                <w:szCs w:val="18"/>
              </w:rPr>
              <w:t>完全愈合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96" w:hRule="atLeast"/>
          <w:jc w:val="center"/>
        </w:trPr>
        <w:tc>
          <w:tcPr>
            <w:tcW w:w="1591" w:type="dxa"/>
            <w:shd w:val="clear" w:color="auto" w:fill="auto"/>
            <w:vAlign w:val="center"/>
          </w:tcPr>
          <w:p>
            <w:pPr>
              <w:pStyle w:val="179"/>
              <w:rPr>
                <w:szCs w:val="18"/>
              </w:rPr>
            </w:pPr>
            <w:r>
              <w:rPr>
                <w:rFonts w:ascii="Times New Roman"/>
                <w:spacing w:val="-1"/>
                <w:szCs w:val="18"/>
              </w:rPr>
              <w:t>腰椎</w:t>
            </w:r>
          </w:p>
        </w:tc>
        <w:tc>
          <w:tcPr>
            <w:tcW w:w="1591" w:type="dxa"/>
          </w:tcPr>
          <w:p>
            <w:pPr>
              <w:spacing w:before="42" w:line="219" w:lineRule="auto"/>
              <w:ind w:left="220"/>
              <w:rPr>
                <w:rFonts w:ascii="Times New Roman" w:hAnsi="Times New Roman"/>
                <w:sz w:val="18"/>
                <w:szCs w:val="18"/>
              </w:rPr>
            </w:pPr>
            <w:r>
              <w:rPr>
                <w:rFonts w:ascii="Times New Roman" w:hAnsi="Times New Roman"/>
                <w:spacing w:val="-2"/>
                <w:sz w:val="18"/>
                <w:szCs w:val="18"/>
              </w:rPr>
              <w:t>未骨质化</w:t>
            </w:r>
          </w:p>
        </w:tc>
        <w:tc>
          <w:tcPr>
            <w:tcW w:w="1590" w:type="dxa"/>
          </w:tcPr>
          <w:p>
            <w:pPr>
              <w:spacing w:before="42" w:line="219" w:lineRule="auto"/>
              <w:ind w:left="172"/>
              <w:rPr>
                <w:rFonts w:ascii="Times New Roman" w:hAnsi="Times New Roman"/>
                <w:sz w:val="18"/>
                <w:szCs w:val="18"/>
              </w:rPr>
            </w:pPr>
            <w:r>
              <w:rPr>
                <w:rFonts w:ascii="Times New Roman" w:hAnsi="Times New Roman"/>
                <w:spacing w:val="-1"/>
                <w:sz w:val="18"/>
                <w:szCs w:val="18"/>
              </w:rPr>
              <w:t>一点骨质化</w:t>
            </w:r>
          </w:p>
        </w:tc>
        <w:tc>
          <w:tcPr>
            <w:tcW w:w="1590" w:type="dxa"/>
          </w:tcPr>
          <w:p>
            <w:pPr>
              <w:spacing w:before="42" w:line="219" w:lineRule="auto"/>
              <w:ind w:left="174"/>
              <w:rPr>
                <w:rFonts w:ascii="Times New Roman" w:hAnsi="Times New Roman"/>
                <w:sz w:val="18"/>
                <w:szCs w:val="18"/>
              </w:rPr>
            </w:pPr>
            <w:r>
              <w:rPr>
                <w:rFonts w:ascii="Times New Roman" w:hAnsi="Times New Roman"/>
                <w:spacing w:val="-1"/>
                <w:sz w:val="18"/>
                <w:szCs w:val="18"/>
              </w:rPr>
              <w:t>部分骨质化</w:t>
            </w:r>
          </w:p>
        </w:tc>
        <w:tc>
          <w:tcPr>
            <w:tcW w:w="1591" w:type="dxa"/>
          </w:tcPr>
          <w:p>
            <w:pPr>
              <w:spacing w:before="42" w:line="219" w:lineRule="auto"/>
              <w:ind w:left="126"/>
              <w:rPr>
                <w:rFonts w:ascii="Times New Roman" w:hAnsi="Times New Roman"/>
                <w:sz w:val="18"/>
                <w:szCs w:val="18"/>
              </w:rPr>
            </w:pPr>
            <w:r>
              <w:rPr>
                <w:rFonts w:ascii="Times New Roman" w:hAnsi="Times New Roman"/>
                <w:spacing w:val="-1"/>
                <w:sz w:val="18"/>
                <w:szCs w:val="18"/>
              </w:rPr>
              <w:t>近完全骨质化</w:t>
            </w:r>
          </w:p>
        </w:tc>
        <w:tc>
          <w:tcPr>
            <w:tcW w:w="1591" w:type="dxa"/>
          </w:tcPr>
          <w:p>
            <w:pPr>
              <w:spacing w:before="42" w:line="219" w:lineRule="auto"/>
              <w:ind w:left="218"/>
              <w:rPr>
                <w:rFonts w:ascii="Times New Roman" w:hAnsi="Times New Roman"/>
                <w:sz w:val="18"/>
                <w:szCs w:val="18"/>
              </w:rPr>
            </w:pPr>
            <w:r>
              <w:rPr>
                <w:rFonts w:ascii="Times New Roman" w:hAnsi="Times New Roman"/>
                <w:spacing w:val="-1"/>
                <w:sz w:val="18"/>
                <w:szCs w:val="18"/>
              </w:rPr>
              <w:t>完全骨质化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76" w:hRule="atLeast"/>
          <w:jc w:val="center"/>
        </w:trPr>
        <w:tc>
          <w:tcPr>
            <w:tcW w:w="1591" w:type="dxa"/>
            <w:shd w:val="clear" w:color="auto" w:fill="auto"/>
            <w:vAlign w:val="center"/>
          </w:tcPr>
          <w:p>
            <w:pPr>
              <w:pStyle w:val="179"/>
              <w:rPr>
                <w:szCs w:val="18"/>
              </w:rPr>
            </w:pPr>
            <w:r>
              <w:rPr>
                <w:rFonts w:ascii="Times New Roman"/>
                <w:spacing w:val="-1"/>
                <w:szCs w:val="18"/>
              </w:rPr>
              <w:t>胸椎</w:t>
            </w:r>
          </w:p>
        </w:tc>
        <w:tc>
          <w:tcPr>
            <w:tcW w:w="1591" w:type="dxa"/>
          </w:tcPr>
          <w:p>
            <w:pPr>
              <w:spacing w:before="43" w:line="219" w:lineRule="auto"/>
              <w:ind w:left="220"/>
              <w:rPr>
                <w:rFonts w:ascii="Times New Roman" w:hAnsi="Times New Roman"/>
                <w:sz w:val="18"/>
                <w:szCs w:val="18"/>
              </w:rPr>
            </w:pPr>
            <w:r>
              <w:rPr>
                <w:rFonts w:ascii="Times New Roman" w:hAnsi="Times New Roman"/>
                <w:spacing w:val="-2"/>
                <w:sz w:val="18"/>
                <w:szCs w:val="18"/>
              </w:rPr>
              <w:t>未骨质化</w:t>
            </w:r>
          </w:p>
        </w:tc>
        <w:tc>
          <w:tcPr>
            <w:tcW w:w="1590" w:type="dxa"/>
          </w:tcPr>
          <w:p>
            <w:pPr>
              <w:spacing w:before="43" w:line="219" w:lineRule="auto"/>
              <w:ind w:left="223"/>
              <w:rPr>
                <w:rFonts w:ascii="Times New Roman" w:hAnsi="Times New Roman"/>
                <w:sz w:val="18"/>
                <w:szCs w:val="18"/>
              </w:rPr>
            </w:pPr>
            <w:r>
              <w:rPr>
                <w:rFonts w:ascii="Times New Roman" w:hAnsi="Times New Roman"/>
                <w:spacing w:val="-2"/>
                <w:sz w:val="18"/>
                <w:szCs w:val="18"/>
              </w:rPr>
              <w:t>未骨质化</w:t>
            </w:r>
          </w:p>
        </w:tc>
        <w:tc>
          <w:tcPr>
            <w:tcW w:w="1590" w:type="dxa"/>
          </w:tcPr>
          <w:p>
            <w:pPr>
              <w:spacing w:before="43" w:line="219" w:lineRule="auto"/>
              <w:ind w:left="124"/>
              <w:rPr>
                <w:rFonts w:ascii="Times New Roman" w:hAnsi="Times New Roman"/>
                <w:sz w:val="18"/>
                <w:szCs w:val="18"/>
              </w:rPr>
            </w:pPr>
            <w:r>
              <w:rPr>
                <w:rFonts w:ascii="Times New Roman" w:hAnsi="Times New Roman"/>
                <w:spacing w:val="-1"/>
                <w:sz w:val="18"/>
                <w:szCs w:val="18"/>
              </w:rPr>
              <w:t>小部分骨质化</w:t>
            </w:r>
          </w:p>
        </w:tc>
        <w:tc>
          <w:tcPr>
            <w:tcW w:w="1591" w:type="dxa"/>
          </w:tcPr>
          <w:p>
            <w:pPr>
              <w:spacing w:before="43" w:line="219" w:lineRule="auto"/>
              <w:ind w:left="126"/>
              <w:rPr>
                <w:rFonts w:ascii="Times New Roman" w:hAnsi="Times New Roman"/>
                <w:sz w:val="18"/>
                <w:szCs w:val="18"/>
              </w:rPr>
            </w:pPr>
            <w:r>
              <w:rPr>
                <w:rFonts w:ascii="Times New Roman" w:hAnsi="Times New Roman"/>
                <w:spacing w:val="-1"/>
                <w:sz w:val="18"/>
                <w:szCs w:val="18"/>
              </w:rPr>
              <w:t>大部分骨质化</w:t>
            </w:r>
          </w:p>
        </w:tc>
        <w:tc>
          <w:tcPr>
            <w:tcW w:w="1591" w:type="dxa"/>
          </w:tcPr>
          <w:p>
            <w:pPr>
              <w:spacing w:before="43" w:line="219" w:lineRule="auto"/>
              <w:ind w:left="218"/>
              <w:rPr>
                <w:rFonts w:ascii="Times New Roman" w:hAnsi="Times New Roman"/>
                <w:sz w:val="18"/>
                <w:szCs w:val="18"/>
              </w:rPr>
            </w:pPr>
            <w:r>
              <w:rPr>
                <w:rFonts w:ascii="Times New Roman" w:hAnsi="Times New Roman"/>
                <w:spacing w:val="-1"/>
                <w:sz w:val="18"/>
                <w:szCs w:val="18"/>
              </w:rPr>
              <w:t>完全骨质化</w:t>
            </w:r>
          </w:p>
        </w:tc>
      </w:tr>
    </w:tbl>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sectPr>
          <w:headerReference r:id="rId31" w:type="default"/>
          <w:footerReference r:id="rId33" w:type="default"/>
          <w:headerReference r:id="rId32" w:type="even"/>
          <w:footerReference r:id="rId34" w:type="even"/>
          <w:pgSz w:w="11906" w:h="16838"/>
          <w:pgMar w:top="1928" w:right="1134" w:bottom="1134" w:left="1134" w:header="1418" w:footer="1134" w:gutter="284"/>
          <w:cols w:space="425" w:num="1"/>
          <w:formProt w:val="0"/>
          <w:docGrid w:linePitch="312" w:charSpace="0"/>
        </w:sectPr>
      </w:pPr>
    </w:p>
    <w:p>
      <w:pPr>
        <w:pStyle w:val="199"/>
        <w:rPr>
          <w:vanish w:val="0"/>
        </w:rPr>
      </w:pPr>
    </w:p>
    <w:p>
      <w:pPr>
        <w:pStyle w:val="200"/>
        <w:rPr>
          <w:vanish w:val="0"/>
        </w:rPr>
      </w:pPr>
    </w:p>
    <w:p>
      <w:pPr>
        <w:pStyle w:val="77"/>
        <w:spacing w:after="120"/>
      </w:pPr>
      <w:r>
        <w:br w:type="textWrapping"/>
      </w:r>
      <w:r>
        <w:rPr>
          <w:rFonts w:hint="eastAsia"/>
        </w:rPr>
        <w:t>（规范性）</w:t>
      </w:r>
      <w:r>
        <w:br w:type="textWrapping"/>
      </w:r>
      <w:r>
        <w:rPr>
          <w:rFonts w:hint="eastAsia"/>
        </w:rPr>
        <w:t>牛胴体等级划分</w:t>
      </w:r>
      <w:r>
        <w:rPr>
          <w:rFonts w:hint="eastAsia"/>
          <w:lang w:val="en-US" w:eastAsia="zh-CN"/>
        </w:rPr>
        <w:t>表</w:t>
      </w:r>
    </w:p>
    <w:p>
      <w:pPr>
        <w:pStyle w:val="57"/>
        <w:ind w:left="0" w:leftChars="0" w:firstLine="420" w:firstLineChars="200"/>
        <w:rPr>
          <w:rFonts w:hint="eastAsia"/>
        </w:rPr>
      </w:pPr>
      <w:r>
        <w:rPr>
          <w:rFonts w:hint="eastAsia"/>
        </w:rPr>
        <w:t>牛胴体等级划分</w:t>
      </w:r>
      <w:r>
        <w:rPr>
          <w:rFonts w:hint="eastAsia"/>
          <w:lang w:val="en-US" w:eastAsia="zh-CN"/>
        </w:rPr>
        <w:t>表</w:t>
      </w:r>
      <w:r>
        <w:rPr>
          <w:rFonts w:hint="eastAsia"/>
        </w:rPr>
        <w:t>见下</w:t>
      </w:r>
      <w:r>
        <w:rPr>
          <w:rFonts w:hint="eastAsia"/>
          <w:lang w:val="en-US" w:eastAsia="zh-CN"/>
        </w:rPr>
        <w:t>表E</w:t>
      </w:r>
      <w:r>
        <w:rPr>
          <w:rFonts w:hint="eastAsia"/>
        </w:rPr>
        <w:t>.1。</w:t>
      </w:r>
    </w:p>
    <w:p>
      <w:pPr>
        <w:pStyle w:val="57"/>
        <w:jc w:val="center"/>
        <w:rPr>
          <w:rFonts w:hint="eastAsia" w:ascii="黑体" w:hAnsi="黑体" w:eastAsia="黑体" w:cs="黑体"/>
          <w:b w:val="0"/>
          <w:bCs w:val="0"/>
        </w:rPr>
      </w:pPr>
      <w:r>
        <w:rPr>
          <w:rFonts w:hint="eastAsia" w:ascii="黑体" w:hAnsi="黑体" w:eastAsia="黑体" w:cs="黑体"/>
          <w:b w:val="0"/>
          <w:bCs w:val="0"/>
        </w:rPr>
        <w:t>表</w:t>
      </w:r>
      <w:r>
        <w:rPr>
          <w:rFonts w:hint="eastAsia" w:ascii="黑体" w:hAnsi="黑体" w:eastAsia="黑体" w:cs="黑体"/>
          <w:b w:val="0"/>
          <w:bCs w:val="0"/>
          <w:lang w:val="en-US" w:eastAsia="zh-CN"/>
        </w:rPr>
        <w:t>E</w:t>
      </w:r>
      <w:r>
        <w:rPr>
          <w:rFonts w:hint="eastAsia" w:ascii="黑体" w:hAnsi="黑体" w:eastAsia="黑体" w:cs="黑体"/>
          <w:b w:val="0"/>
          <w:bCs w:val="0"/>
        </w:rPr>
        <w:t>.1</w:t>
      </w:r>
      <w:r>
        <w:rPr>
          <w:rFonts w:hint="eastAsia" w:ascii="黑体" w:hAnsi="黑体" w:eastAsia="黑体" w:cs="黑体"/>
          <w:b w:val="0"/>
          <w:bCs w:val="0"/>
          <w:lang w:val="en-US" w:eastAsia="zh-CN"/>
        </w:rPr>
        <w:t xml:space="preserve"> </w:t>
      </w:r>
      <w:r>
        <w:rPr>
          <w:rFonts w:hint="eastAsia" w:ascii="黑体" w:hAnsi="黑体" w:eastAsia="黑体" w:cs="黑体"/>
          <w:b w:val="0"/>
          <w:bCs w:val="0"/>
        </w:rPr>
        <w:t>牛胴体等级划分表</w:t>
      </w:r>
    </w:p>
    <w:tbl>
      <w:tblPr>
        <w:tblStyle w:val="28"/>
        <w:tblW w:w="937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24"/>
        <w:gridCol w:w="3126"/>
        <w:gridCol w:w="312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02" w:hRule="atLeast"/>
          <w:tblHeader/>
          <w:jc w:val="center"/>
        </w:trPr>
        <w:tc>
          <w:tcPr>
            <w:tcW w:w="3124" w:type="dxa"/>
            <w:vMerge w:val="restart"/>
            <w:tcBorders>
              <w:bottom w:val="nil"/>
            </w:tcBorders>
            <w:vAlign w:val="center"/>
          </w:tcPr>
          <w:p>
            <w:pPr>
              <w:spacing w:before="35" w:line="219" w:lineRule="auto"/>
              <w:jc w:val="center"/>
              <w:rPr>
                <w:rFonts w:ascii="Times New Roman" w:hAnsi="Times New Roman"/>
                <w:sz w:val="18"/>
                <w:szCs w:val="18"/>
              </w:rPr>
            </w:pPr>
            <w:r>
              <w:rPr>
                <w:rFonts w:ascii="Times New Roman" w:hAnsi="Times New Roman"/>
                <w:spacing w:val="-1"/>
                <w:sz w:val="18"/>
                <w:szCs w:val="18"/>
              </w:rPr>
              <w:t>大理石花纹等级</w:t>
            </w:r>
          </w:p>
        </w:tc>
        <w:tc>
          <w:tcPr>
            <w:tcW w:w="6253" w:type="dxa"/>
            <w:gridSpan w:val="2"/>
            <w:vAlign w:val="center"/>
          </w:tcPr>
          <w:p>
            <w:pPr>
              <w:spacing w:before="79" w:line="219" w:lineRule="auto"/>
              <w:jc w:val="center"/>
              <w:rPr>
                <w:rFonts w:ascii="Times New Roman" w:hAnsi="Times New Roman"/>
                <w:sz w:val="18"/>
                <w:szCs w:val="18"/>
              </w:rPr>
            </w:pPr>
            <w:r>
              <w:rPr>
                <w:rFonts w:ascii="Times New Roman" w:hAnsi="Times New Roman"/>
                <w:sz w:val="18"/>
                <w:szCs w:val="18"/>
              </w:rPr>
              <w:t>肉色、脂肪颜色、生理成熟度等级</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423" w:hRule="atLeast"/>
          <w:jc w:val="center"/>
        </w:trPr>
        <w:tc>
          <w:tcPr>
            <w:tcW w:w="3124" w:type="dxa"/>
            <w:vMerge w:val="continue"/>
            <w:tcBorders>
              <w:top w:val="nil"/>
            </w:tcBorders>
            <w:vAlign w:val="center"/>
          </w:tcPr>
          <w:p>
            <w:pPr>
              <w:pStyle w:val="179"/>
              <w:rPr>
                <w:szCs w:val="18"/>
              </w:rPr>
            </w:pPr>
          </w:p>
        </w:tc>
        <w:tc>
          <w:tcPr>
            <w:tcW w:w="3126" w:type="dxa"/>
            <w:vAlign w:val="center"/>
          </w:tcPr>
          <w:p>
            <w:pPr>
              <w:spacing w:before="106" w:line="219" w:lineRule="auto"/>
              <w:jc w:val="center"/>
              <w:rPr>
                <w:rFonts w:ascii="Times New Roman" w:hAnsi="Times New Roman"/>
                <w:sz w:val="18"/>
                <w:szCs w:val="18"/>
              </w:rPr>
            </w:pPr>
            <w:r>
              <w:rPr>
                <w:rFonts w:ascii="Times New Roman" w:hAnsi="Times New Roman"/>
                <w:sz w:val="18"/>
                <w:szCs w:val="18"/>
              </w:rPr>
              <w:t>肉色等级：3级～7级</w:t>
            </w:r>
          </w:p>
          <w:p>
            <w:pPr>
              <w:pStyle w:val="179"/>
              <w:rPr>
                <w:rFonts w:ascii="Times New Roman"/>
                <w:spacing w:val="2"/>
                <w:szCs w:val="18"/>
              </w:rPr>
            </w:pPr>
            <w:r>
              <w:rPr>
                <w:rFonts w:ascii="Times New Roman"/>
                <w:spacing w:val="-1"/>
                <w:szCs w:val="18"/>
              </w:rPr>
              <w:t>脂肪颜色等级：1级~4级</w:t>
            </w:r>
          </w:p>
          <w:p>
            <w:pPr>
              <w:pStyle w:val="179"/>
              <w:rPr>
                <w:szCs w:val="18"/>
              </w:rPr>
            </w:pPr>
            <w:r>
              <w:rPr>
                <w:rFonts w:ascii="Times New Roman"/>
                <w:spacing w:val="-1"/>
                <w:szCs w:val="18"/>
              </w:rPr>
              <w:t>生理成熟度等级：A级~B级</w:t>
            </w:r>
          </w:p>
        </w:tc>
        <w:tc>
          <w:tcPr>
            <w:tcW w:w="3126" w:type="dxa"/>
            <w:vAlign w:val="center"/>
          </w:tcPr>
          <w:p>
            <w:pPr>
              <w:spacing w:before="106" w:line="219" w:lineRule="auto"/>
              <w:jc w:val="center"/>
              <w:rPr>
                <w:rFonts w:ascii="Times New Roman" w:hAnsi="Times New Roman"/>
                <w:sz w:val="18"/>
                <w:szCs w:val="18"/>
              </w:rPr>
            </w:pPr>
            <w:r>
              <w:rPr>
                <w:rFonts w:ascii="Times New Roman" w:hAnsi="Times New Roman"/>
                <w:sz w:val="18"/>
                <w:szCs w:val="18"/>
              </w:rPr>
              <w:t>肉色等级：1级、2级或8级</w:t>
            </w:r>
          </w:p>
          <w:p>
            <w:pPr>
              <w:spacing w:before="106" w:line="219" w:lineRule="auto"/>
              <w:jc w:val="center"/>
              <w:rPr>
                <w:rFonts w:ascii="Times New Roman" w:hAnsi="Times New Roman"/>
                <w:sz w:val="18"/>
                <w:szCs w:val="18"/>
              </w:rPr>
            </w:pPr>
            <w:r>
              <w:rPr>
                <w:rFonts w:ascii="Times New Roman" w:hAnsi="Times New Roman"/>
                <w:sz w:val="18"/>
                <w:szCs w:val="18"/>
              </w:rPr>
              <w:t>脂肪颜色等级：5级~8级</w:t>
            </w:r>
          </w:p>
          <w:p>
            <w:pPr>
              <w:spacing w:before="106" w:line="219" w:lineRule="auto"/>
              <w:jc w:val="center"/>
              <w:rPr>
                <w:rFonts w:ascii="Times New Roman" w:hAnsi="Times New Roman"/>
                <w:spacing w:val="2"/>
                <w:sz w:val="18"/>
                <w:szCs w:val="18"/>
              </w:rPr>
            </w:pPr>
            <w:r>
              <w:rPr>
                <w:rFonts w:ascii="Times New Roman" w:hAnsi="Times New Roman"/>
                <w:sz w:val="18"/>
                <w:szCs w:val="18"/>
              </w:rPr>
              <w:t>生理成熟度等级</w:t>
            </w:r>
            <w:r>
              <w:rPr>
                <w:rFonts w:hint="eastAsia" w:ascii="Times New Roman" w:hAnsi="Times New Roman"/>
                <w:sz w:val="18"/>
                <w:szCs w:val="18"/>
              </w:rPr>
              <w:t>：</w:t>
            </w:r>
            <w:r>
              <w:rPr>
                <w:rFonts w:ascii="Times New Roman" w:hAnsi="Times New Roman"/>
                <w:sz w:val="18"/>
                <w:szCs w:val="18"/>
              </w:rPr>
              <w:t>C级～E级</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02" w:hRule="atLeast"/>
          <w:jc w:val="center"/>
        </w:trPr>
        <w:tc>
          <w:tcPr>
            <w:tcW w:w="3124" w:type="dxa"/>
            <w:vAlign w:val="center"/>
          </w:tcPr>
          <w:p>
            <w:pPr>
              <w:spacing w:before="80" w:line="220" w:lineRule="auto"/>
              <w:jc w:val="center"/>
              <w:rPr>
                <w:rFonts w:ascii="Times New Roman" w:hAnsi="Times New Roman"/>
                <w:sz w:val="18"/>
                <w:szCs w:val="18"/>
              </w:rPr>
            </w:pPr>
            <w:r>
              <w:rPr>
                <w:rFonts w:ascii="Times New Roman" w:hAnsi="Times New Roman"/>
                <w:spacing w:val="2"/>
                <w:sz w:val="18"/>
                <w:szCs w:val="18"/>
              </w:rPr>
              <w:t>5级(极丰富)</w:t>
            </w:r>
          </w:p>
        </w:tc>
        <w:tc>
          <w:tcPr>
            <w:tcW w:w="3126" w:type="dxa"/>
            <w:vMerge w:val="restart"/>
            <w:tcBorders>
              <w:bottom w:val="nil"/>
            </w:tcBorders>
            <w:vAlign w:val="center"/>
          </w:tcPr>
          <w:p>
            <w:pPr>
              <w:spacing w:before="210" w:line="219" w:lineRule="auto"/>
              <w:jc w:val="center"/>
              <w:rPr>
                <w:rFonts w:ascii="Times New Roman" w:hAnsi="Times New Roman"/>
                <w:sz w:val="18"/>
                <w:szCs w:val="18"/>
              </w:rPr>
            </w:pPr>
            <w:r>
              <w:rPr>
                <w:rFonts w:ascii="Times New Roman" w:hAnsi="Times New Roman"/>
                <w:spacing w:val="-2"/>
                <w:sz w:val="18"/>
                <w:szCs w:val="18"/>
              </w:rPr>
              <w:t>特级</w:t>
            </w:r>
          </w:p>
        </w:tc>
        <w:tc>
          <w:tcPr>
            <w:tcW w:w="3126" w:type="dxa"/>
            <w:vMerge w:val="restart"/>
            <w:tcBorders>
              <w:bottom w:val="nil"/>
            </w:tcBorders>
            <w:vAlign w:val="center"/>
          </w:tcPr>
          <w:p>
            <w:pPr>
              <w:spacing w:before="210" w:line="219" w:lineRule="auto"/>
              <w:jc w:val="center"/>
              <w:rPr>
                <w:rFonts w:ascii="Times New Roman" w:hAnsi="Times New Roman"/>
                <w:sz w:val="18"/>
                <w:szCs w:val="18"/>
              </w:rPr>
            </w:pPr>
            <w:r>
              <w:rPr>
                <w:rFonts w:ascii="Times New Roman" w:hAnsi="Times New Roman"/>
                <w:spacing w:val="-1"/>
                <w:sz w:val="18"/>
                <w:szCs w:val="18"/>
              </w:rPr>
              <w:t>优级</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24" w:hRule="atLeast"/>
          <w:jc w:val="center"/>
        </w:trPr>
        <w:tc>
          <w:tcPr>
            <w:tcW w:w="3124" w:type="dxa"/>
            <w:vAlign w:val="center"/>
          </w:tcPr>
          <w:p>
            <w:pPr>
              <w:pStyle w:val="179"/>
              <w:rPr>
                <w:szCs w:val="18"/>
              </w:rPr>
            </w:pPr>
            <w:r>
              <w:rPr>
                <w:rFonts w:ascii="Times New Roman"/>
                <w:spacing w:val="4"/>
                <w:szCs w:val="18"/>
              </w:rPr>
              <w:t>4级(丰富)</w:t>
            </w:r>
          </w:p>
        </w:tc>
        <w:tc>
          <w:tcPr>
            <w:tcW w:w="3126" w:type="dxa"/>
            <w:vMerge w:val="continue"/>
            <w:tcBorders>
              <w:top w:val="nil"/>
            </w:tcBorders>
            <w:vAlign w:val="center"/>
          </w:tcPr>
          <w:p>
            <w:pPr>
              <w:pStyle w:val="179"/>
              <w:rPr>
                <w:szCs w:val="18"/>
              </w:rPr>
            </w:pPr>
          </w:p>
        </w:tc>
        <w:tc>
          <w:tcPr>
            <w:tcW w:w="3126" w:type="dxa"/>
            <w:vMerge w:val="continue"/>
            <w:tcBorders>
              <w:top w:val="nil"/>
            </w:tcBorders>
            <w:vAlign w:val="center"/>
          </w:tcPr>
          <w:p>
            <w:pPr>
              <w:pStyle w:val="179"/>
              <w:rPr>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02" w:hRule="atLeast"/>
          <w:jc w:val="center"/>
        </w:trPr>
        <w:tc>
          <w:tcPr>
            <w:tcW w:w="3124" w:type="dxa"/>
            <w:vAlign w:val="center"/>
          </w:tcPr>
          <w:p>
            <w:pPr>
              <w:spacing w:before="82" w:line="220" w:lineRule="auto"/>
              <w:jc w:val="center"/>
              <w:rPr>
                <w:rFonts w:ascii="Times New Roman" w:hAnsi="Times New Roman"/>
                <w:sz w:val="18"/>
                <w:szCs w:val="18"/>
              </w:rPr>
            </w:pPr>
            <w:r>
              <w:rPr>
                <w:rFonts w:ascii="Times New Roman" w:hAnsi="Times New Roman"/>
                <w:spacing w:val="2"/>
                <w:sz w:val="18"/>
                <w:szCs w:val="18"/>
              </w:rPr>
              <w:t>3级(较丰富)</w:t>
            </w:r>
          </w:p>
        </w:tc>
        <w:tc>
          <w:tcPr>
            <w:tcW w:w="3126" w:type="dxa"/>
            <w:vMerge w:val="restart"/>
            <w:tcBorders>
              <w:bottom w:val="nil"/>
            </w:tcBorders>
            <w:vAlign w:val="center"/>
          </w:tcPr>
          <w:p>
            <w:pPr>
              <w:spacing w:before="212" w:line="219" w:lineRule="auto"/>
              <w:jc w:val="center"/>
              <w:rPr>
                <w:rFonts w:ascii="Times New Roman" w:hAnsi="Times New Roman"/>
                <w:sz w:val="18"/>
                <w:szCs w:val="18"/>
              </w:rPr>
            </w:pPr>
            <w:r>
              <w:rPr>
                <w:rFonts w:ascii="Times New Roman" w:hAnsi="Times New Roman"/>
                <w:spacing w:val="-1"/>
                <w:sz w:val="18"/>
                <w:szCs w:val="18"/>
              </w:rPr>
              <w:t>优级</w:t>
            </w:r>
          </w:p>
        </w:tc>
        <w:tc>
          <w:tcPr>
            <w:tcW w:w="3126" w:type="dxa"/>
            <w:vMerge w:val="restart"/>
            <w:tcBorders>
              <w:bottom w:val="nil"/>
            </w:tcBorders>
            <w:vAlign w:val="center"/>
          </w:tcPr>
          <w:p>
            <w:pPr>
              <w:spacing w:before="212" w:line="219" w:lineRule="auto"/>
              <w:jc w:val="center"/>
              <w:rPr>
                <w:rFonts w:ascii="Times New Roman" w:hAnsi="Times New Roman"/>
                <w:sz w:val="18"/>
                <w:szCs w:val="18"/>
              </w:rPr>
            </w:pPr>
            <w:r>
              <w:rPr>
                <w:rFonts w:ascii="Times New Roman" w:hAnsi="Times New Roman"/>
                <w:spacing w:val="2"/>
                <w:sz w:val="18"/>
                <w:szCs w:val="18"/>
              </w:rPr>
              <w:t>良好级</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24" w:hRule="atLeast"/>
          <w:jc w:val="center"/>
        </w:trPr>
        <w:tc>
          <w:tcPr>
            <w:tcW w:w="3124" w:type="dxa"/>
            <w:vAlign w:val="center"/>
          </w:tcPr>
          <w:p>
            <w:pPr>
              <w:pStyle w:val="179"/>
              <w:rPr>
                <w:szCs w:val="18"/>
              </w:rPr>
            </w:pPr>
            <w:r>
              <w:rPr>
                <w:rFonts w:ascii="Times New Roman"/>
                <w:spacing w:val="4"/>
                <w:szCs w:val="18"/>
              </w:rPr>
              <w:t>2级(少量)</w:t>
            </w:r>
          </w:p>
        </w:tc>
        <w:tc>
          <w:tcPr>
            <w:tcW w:w="3126" w:type="dxa"/>
            <w:vMerge w:val="continue"/>
            <w:tcBorders>
              <w:top w:val="nil"/>
            </w:tcBorders>
            <w:vAlign w:val="center"/>
          </w:tcPr>
          <w:p>
            <w:pPr>
              <w:pStyle w:val="179"/>
              <w:rPr>
                <w:szCs w:val="18"/>
              </w:rPr>
            </w:pPr>
          </w:p>
        </w:tc>
        <w:tc>
          <w:tcPr>
            <w:tcW w:w="3126" w:type="dxa"/>
            <w:vMerge w:val="continue"/>
            <w:tcBorders>
              <w:top w:val="nil"/>
            </w:tcBorders>
            <w:vAlign w:val="center"/>
          </w:tcPr>
          <w:p>
            <w:pPr>
              <w:pStyle w:val="179"/>
              <w:rPr>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86" w:hRule="atLeast"/>
          <w:jc w:val="center"/>
        </w:trPr>
        <w:tc>
          <w:tcPr>
            <w:tcW w:w="3124" w:type="dxa"/>
            <w:vAlign w:val="center"/>
          </w:tcPr>
          <w:p>
            <w:pPr>
              <w:spacing w:before="73" w:line="219" w:lineRule="auto"/>
              <w:jc w:val="center"/>
              <w:rPr>
                <w:rFonts w:ascii="Times New Roman" w:hAnsi="Times New Roman"/>
                <w:sz w:val="18"/>
                <w:szCs w:val="18"/>
              </w:rPr>
            </w:pPr>
            <w:r>
              <w:rPr>
                <w:rFonts w:ascii="Times New Roman" w:hAnsi="Times New Roman"/>
                <w:spacing w:val="3"/>
                <w:sz w:val="18"/>
                <w:szCs w:val="18"/>
              </w:rPr>
              <w:t>1级(几乎没有)</w:t>
            </w:r>
          </w:p>
        </w:tc>
        <w:tc>
          <w:tcPr>
            <w:tcW w:w="3126" w:type="dxa"/>
            <w:vAlign w:val="center"/>
          </w:tcPr>
          <w:p>
            <w:pPr>
              <w:spacing w:before="74" w:line="219" w:lineRule="auto"/>
              <w:jc w:val="center"/>
              <w:rPr>
                <w:rFonts w:ascii="Times New Roman" w:hAnsi="Times New Roman"/>
                <w:sz w:val="18"/>
                <w:szCs w:val="18"/>
              </w:rPr>
            </w:pPr>
            <w:r>
              <w:rPr>
                <w:rFonts w:ascii="Times New Roman" w:hAnsi="Times New Roman"/>
                <w:spacing w:val="2"/>
                <w:sz w:val="18"/>
                <w:szCs w:val="18"/>
              </w:rPr>
              <w:t>良好级</w:t>
            </w:r>
          </w:p>
        </w:tc>
        <w:tc>
          <w:tcPr>
            <w:tcW w:w="3126" w:type="dxa"/>
            <w:vAlign w:val="center"/>
          </w:tcPr>
          <w:p>
            <w:pPr>
              <w:spacing w:before="74" w:line="219" w:lineRule="auto"/>
              <w:jc w:val="center"/>
              <w:rPr>
                <w:rFonts w:ascii="Times New Roman" w:hAnsi="Times New Roman"/>
                <w:sz w:val="18"/>
                <w:szCs w:val="18"/>
              </w:rPr>
            </w:pPr>
            <w:r>
              <w:rPr>
                <w:rFonts w:ascii="Times New Roman" w:hAnsi="Times New Roman"/>
                <w:spacing w:val="-1"/>
                <w:sz w:val="18"/>
                <w:szCs w:val="18"/>
              </w:rPr>
              <w:t>普通级</w:t>
            </w:r>
          </w:p>
        </w:tc>
      </w:tr>
    </w:tbl>
    <w:p>
      <w:pPr>
        <w:pStyle w:val="57"/>
        <w:ind w:firstLine="420"/>
      </w:pPr>
    </w:p>
    <w:p>
      <w:pPr>
        <w:pStyle w:val="57"/>
        <w:ind w:firstLine="420"/>
      </w:pPr>
    </w:p>
    <w:p>
      <w:pPr>
        <w:pStyle w:val="57"/>
        <w:ind w:firstLine="420"/>
      </w:pPr>
    </w:p>
    <w:p>
      <w:pPr>
        <w:pStyle w:val="57"/>
        <w:ind w:firstLine="420"/>
      </w:pPr>
    </w:p>
    <w:p>
      <w:pPr>
        <w:pStyle w:val="57"/>
        <w:ind w:firstLine="420"/>
      </w:pPr>
    </w:p>
    <w:bookmarkEnd w:id="43"/>
    <w:p>
      <w:pPr>
        <w:pStyle w:val="57"/>
        <w:ind w:firstLine="0" w:firstLineChars="0"/>
        <w:jc w:val="center"/>
      </w:pPr>
      <w:bookmarkStart w:id="44" w:name="BookMark8"/>
      <w:r>
        <w:rPr>
          <w:rFonts w:hint="eastAsia"/>
        </w:rPr>
        <w:drawing>
          <wp:inline distT="0" distB="0" distL="0" distR="0">
            <wp:extent cx="1485900" cy="317500"/>
            <wp:effectExtent l="0" t="0" r="0" b="6350"/>
            <wp:docPr id="7" name="图片 7"/>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4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4"/>
    </w:p>
    <w:sectPr>
      <w:headerReference r:id="rId35" w:type="default"/>
      <w:footerReference r:id="rId37" w:type="default"/>
      <w:headerReference r:id="rId36" w:type="even"/>
      <w:footerReference r:id="rId38" w:type="even"/>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 PAGE   \* MERGEFORMAT \* MERGEFORMAT </w:instrText>
    </w:r>
    <w:r>
      <w:fldChar w:fldCharType="separate"/>
    </w:r>
    <w:r>
      <w:t>1</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1</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 PAGE   \* MERGEFORMAT \* MERGEFORMAT </w:instrText>
    </w:r>
    <w:r>
      <w:fldChar w:fldCharType="separate"/>
    </w:r>
    <w:r>
      <w:t>1</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1</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 PAGE   \* MERGEFORMAT \* MERGEFORMAT </w:instrText>
    </w:r>
    <w:r>
      <w:fldChar w:fldCharType="separate"/>
    </w:r>
    <w:r>
      <w:t>1</w:t>
    </w:r>
    <w: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1</w:t>
    </w:r>
    <w: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 PAGE   \* MERGEFORMAT \* MERGEFORMAT </w:instrText>
    </w:r>
    <w:r>
      <w:fldChar w:fldCharType="separate"/>
    </w:r>
    <w: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 PAGE   \* MERGEFORMAT \* MERGEFORMAT </w:instrText>
    </w:r>
    <w:r>
      <w:fldChar w:fldCharType="separate"/>
    </w:r>
    <w: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 PAGE   \* MERGEFORMAT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T/GXAS XXXX—2024</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T/GXAS XXXX—2024</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T/GXAS XXXX—2024</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T/GXAS XXXX—2024</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T/GXAS XXXX—2024</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T/GXAS XXXX—2024</w:t>
    </w:r>
    <w: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T/GXAS XXXX—2024</w:t>
    </w:r>
    <w: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T/GXAS XXXX—2024</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T/GXAS 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T/GXAS XXXX—2024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T/GXAS XXXX—2024</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T/GXAS XXXX—2024</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T/GXAS XXXX—2024</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T/GXAS XXXX—2024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dit="forms" w:enforcement="1" w:cryptProviderType="rsaAES" w:cryptAlgorithmClass="hash" w:cryptAlgorithmType="typeAny" w:cryptAlgorithmSid="14" w:cryptSpinCount="100000" w:hash="4e9Ne+WnUlYDegpsPGwhxMZsXdWvUfNUT4tI+TcdDQxMiiaMTc+XBothranTi9ttoGSqZFNF+I/J57aPcoBgHg==" w:salt="uBd36MR55k8rmKcB8pe9DQ=="/>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M0YzYxOTVmMzE1NTQ1NjhmMDY1Nzc4YzM5ZDUwZGQifQ=="/>
  </w:docVars>
  <w:rsids>
    <w:rsidRoot w:val="00714C2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096B"/>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4B87"/>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5FEE"/>
    <w:rsid w:val="001C680C"/>
    <w:rsid w:val="001C7FEA"/>
    <w:rsid w:val="001D0499"/>
    <w:rsid w:val="001D0BBE"/>
    <w:rsid w:val="001D0ED4"/>
    <w:rsid w:val="001D212F"/>
    <w:rsid w:val="001D29D7"/>
    <w:rsid w:val="001D2DE7"/>
    <w:rsid w:val="001D34F9"/>
    <w:rsid w:val="001D411C"/>
    <w:rsid w:val="001E1B6A"/>
    <w:rsid w:val="001E2484"/>
    <w:rsid w:val="001E3CC4"/>
    <w:rsid w:val="001E4882"/>
    <w:rsid w:val="001E73AB"/>
    <w:rsid w:val="001E7FD4"/>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2D2C"/>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0CA9"/>
    <w:rsid w:val="00441AE7"/>
    <w:rsid w:val="00445574"/>
    <w:rsid w:val="004467FB"/>
    <w:rsid w:val="00452D6B"/>
    <w:rsid w:val="00454484"/>
    <w:rsid w:val="0045472D"/>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75004"/>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14AB"/>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16E4"/>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C20"/>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0E9"/>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55E1"/>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97562"/>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6D36"/>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A878D1"/>
    <w:rsid w:val="03C230FA"/>
    <w:rsid w:val="06130D19"/>
    <w:rsid w:val="09622C8A"/>
    <w:rsid w:val="10B07E41"/>
    <w:rsid w:val="11A42091"/>
    <w:rsid w:val="12AE1373"/>
    <w:rsid w:val="152C5324"/>
    <w:rsid w:val="15D232F3"/>
    <w:rsid w:val="16B1570E"/>
    <w:rsid w:val="16DB5ED5"/>
    <w:rsid w:val="1E1218B4"/>
    <w:rsid w:val="1EE4761C"/>
    <w:rsid w:val="213C3D26"/>
    <w:rsid w:val="23713D9D"/>
    <w:rsid w:val="24C148B0"/>
    <w:rsid w:val="24E84DAB"/>
    <w:rsid w:val="29A1514E"/>
    <w:rsid w:val="2D745507"/>
    <w:rsid w:val="2DFB2F98"/>
    <w:rsid w:val="303348B4"/>
    <w:rsid w:val="309561E5"/>
    <w:rsid w:val="30DC4F4C"/>
    <w:rsid w:val="34153486"/>
    <w:rsid w:val="35BC70FA"/>
    <w:rsid w:val="364B3521"/>
    <w:rsid w:val="3797716F"/>
    <w:rsid w:val="38757EE3"/>
    <w:rsid w:val="3B9520D2"/>
    <w:rsid w:val="3EDC5D05"/>
    <w:rsid w:val="3FE94F8F"/>
    <w:rsid w:val="47F700BA"/>
    <w:rsid w:val="4A451311"/>
    <w:rsid w:val="4B652D44"/>
    <w:rsid w:val="4B8A32E1"/>
    <w:rsid w:val="4DBD2740"/>
    <w:rsid w:val="4E613D5F"/>
    <w:rsid w:val="519B6306"/>
    <w:rsid w:val="53851865"/>
    <w:rsid w:val="53B61FCD"/>
    <w:rsid w:val="554F7B33"/>
    <w:rsid w:val="56FF402F"/>
    <w:rsid w:val="5AA65B38"/>
    <w:rsid w:val="5E50596B"/>
    <w:rsid w:val="5E7D055B"/>
    <w:rsid w:val="5F032C0B"/>
    <w:rsid w:val="5FE84E0C"/>
    <w:rsid w:val="62206ADF"/>
    <w:rsid w:val="64ED07CF"/>
    <w:rsid w:val="67112D32"/>
    <w:rsid w:val="68105C95"/>
    <w:rsid w:val="6FAE166B"/>
    <w:rsid w:val="74220809"/>
    <w:rsid w:val="75CD2682"/>
    <w:rsid w:val="780B7492"/>
    <w:rsid w:val="7B1D7C08"/>
    <w:rsid w:val="7BFD6BDB"/>
    <w:rsid w:val="7F6630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8"/>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autoRedefine/>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autoRedefine/>
    <w:semiHidden/>
    <w:unhideWhenUsed/>
    <w:qFormat/>
    <w:uiPriority w:val="1"/>
  </w:style>
  <w:style w:type="table" w:default="1" w:styleId="27">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Body Text"/>
    <w:basedOn w:val="1"/>
    <w:link w:val="87"/>
    <w:autoRedefine/>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6"/>
    <w:autoRedefine/>
    <w:semiHidden/>
    <w:unhideWhenUsed/>
    <w:qFormat/>
    <w:uiPriority w:val="99"/>
    <w:rPr>
      <w:sz w:val="18"/>
      <w:szCs w:val="18"/>
    </w:rPr>
  </w:style>
  <w:style w:type="paragraph" w:styleId="17">
    <w:name w:val="footer"/>
    <w:basedOn w:val="1"/>
    <w:link w:val="45"/>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autoRedefine/>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Normal (Web)"/>
    <w:basedOn w:val="1"/>
    <w:autoRedefine/>
    <w:unhideWhenUsed/>
    <w:qFormat/>
    <w:uiPriority w:val="99"/>
    <w:rPr>
      <w:sz w:val="24"/>
    </w:rPr>
  </w:style>
  <w:style w:type="paragraph" w:styleId="26">
    <w:name w:val="Title"/>
    <w:basedOn w:val="1"/>
    <w:link w:val="49"/>
    <w:autoRedefine/>
    <w:qFormat/>
    <w:uiPriority w:val="0"/>
    <w:pPr>
      <w:spacing w:before="240" w:after="60"/>
      <w:jc w:val="center"/>
      <w:outlineLvl w:val="0"/>
    </w:pPr>
    <w:rPr>
      <w:rFonts w:ascii="Arial" w:hAnsi="Arial" w:cs="Arial"/>
      <w:b/>
      <w:bCs/>
      <w:sz w:val="32"/>
      <w:szCs w:val="32"/>
    </w:rPr>
  </w:style>
  <w:style w:type="table" w:styleId="28">
    <w:name w:val="Table Grid"/>
    <w:basedOn w:val="2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autoRedefine/>
    <w:qFormat/>
    <w:uiPriority w:val="22"/>
    <w:rPr>
      <w:b/>
      <w:bCs/>
    </w:rPr>
  </w:style>
  <w:style w:type="character" w:styleId="31">
    <w:name w:val="page number"/>
    <w:autoRedefine/>
    <w:qFormat/>
    <w:uiPriority w:val="0"/>
    <w:rPr>
      <w:rFonts w:ascii="宋体" w:hAnsi="Times New Roman" w:eastAsia="宋体"/>
      <w:sz w:val="18"/>
    </w:rPr>
  </w:style>
  <w:style w:type="character" w:styleId="32">
    <w:name w:val="Emphasis"/>
    <w:autoRedefine/>
    <w:qFormat/>
    <w:uiPriority w:val="20"/>
    <w:rPr>
      <w:i/>
      <w:iCs/>
    </w:rPr>
  </w:style>
  <w:style w:type="character" w:styleId="33">
    <w:name w:val="Hyperlink"/>
    <w:autoRedefine/>
    <w:qFormat/>
    <w:uiPriority w:val="99"/>
    <w:rPr>
      <w:rFonts w:ascii="宋体" w:hAnsi="Times New Roman" w:eastAsia="宋体"/>
      <w:color w:val="auto"/>
      <w:spacing w:val="0"/>
      <w:w w:val="100"/>
      <w:position w:val="0"/>
      <w:sz w:val="21"/>
      <w:u w:val="none"/>
      <w:vertAlign w:val="baseline"/>
    </w:rPr>
  </w:style>
  <w:style w:type="character" w:styleId="34">
    <w:name w:val="footnote reference"/>
    <w:autoRedefine/>
    <w:semiHidden/>
    <w:qFormat/>
    <w:uiPriority w:val="0"/>
    <w:rPr>
      <w:rFonts w:ascii="宋体" w:hAnsi="宋体" w:eastAsia="宋体" w:cs="Times New Roman"/>
      <w:spacing w:val="0"/>
      <w:sz w:val="18"/>
      <w:vertAlign w:val="superscript"/>
    </w:rPr>
  </w:style>
  <w:style w:type="character" w:customStyle="1" w:styleId="35">
    <w:name w:val="标题 1 字符"/>
    <w:link w:val="2"/>
    <w:autoRedefine/>
    <w:qFormat/>
    <w:uiPriority w:val="0"/>
    <w:rPr>
      <w:b/>
      <w:bCs/>
      <w:kern w:val="44"/>
      <w:sz w:val="44"/>
      <w:szCs w:val="44"/>
    </w:rPr>
  </w:style>
  <w:style w:type="character" w:customStyle="1" w:styleId="36">
    <w:name w:val="标题 2 字符"/>
    <w:link w:val="3"/>
    <w:autoRedefine/>
    <w:qFormat/>
    <w:uiPriority w:val="0"/>
    <w:rPr>
      <w:rFonts w:ascii="Arial" w:hAnsi="Arial" w:eastAsia="黑体"/>
      <w:b/>
      <w:bCs/>
      <w:kern w:val="2"/>
      <w:sz w:val="32"/>
      <w:szCs w:val="32"/>
    </w:rPr>
  </w:style>
  <w:style w:type="character" w:customStyle="1" w:styleId="37">
    <w:name w:val="标题 3 字符"/>
    <w:link w:val="4"/>
    <w:autoRedefine/>
    <w:qFormat/>
    <w:uiPriority w:val="0"/>
    <w:rPr>
      <w:b/>
      <w:bCs/>
      <w:kern w:val="2"/>
      <w:sz w:val="32"/>
      <w:szCs w:val="32"/>
    </w:rPr>
  </w:style>
  <w:style w:type="character" w:customStyle="1" w:styleId="38">
    <w:name w:val="标题 4 字符"/>
    <w:link w:val="5"/>
    <w:autoRedefine/>
    <w:qFormat/>
    <w:uiPriority w:val="0"/>
    <w:rPr>
      <w:rFonts w:ascii="Arial" w:hAnsi="Arial" w:eastAsia="黑体"/>
      <w:b/>
      <w:bCs/>
      <w:kern w:val="2"/>
      <w:sz w:val="28"/>
      <w:szCs w:val="28"/>
    </w:rPr>
  </w:style>
  <w:style w:type="character" w:customStyle="1" w:styleId="39">
    <w:name w:val="标题 5 字符"/>
    <w:link w:val="6"/>
    <w:autoRedefine/>
    <w:qFormat/>
    <w:uiPriority w:val="0"/>
    <w:rPr>
      <w:b/>
      <w:bCs/>
      <w:kern w:val="2"/>
      <w:sz w:val="28"/>
      <w:szCs w:val="28"/>
    </w:rPr>
  </w:style>
  <w:style w:type="character" w:customStyle="1" w:styleId="40">
    <w:name w:val="标题 6 字符"/>
    <w:link w:val="7"/>
    <w:autoRedefine/>
    <w:qFormat/>
    <w:uiPriority w:val="0"/>
    <w:rPr>
      <w:rFonts w:ascii="Arial" w:hAnsi="Arial" w:eastAsia="黑体"/>
      <w:b/>
      <w:bCs/>
      <w:kern w:val="2"/>
      <w:sz w:val="24"/>
      <w:szCs w:val="24"/>
    </w:rPr>
  </w:style>
  <w:style w:type="character" w:customStyle="1" w:styleId="41">
    <w:name w:val="标题 7 字符"/>
    <w:link w:val="8"/>
    <w:autoRedefine/>
    <w:qFormat/>
    <w:uiPriority w:val="0"/>
    <w:rPr>
      <w:b/>
      <w:bCs/>
      <w:kern w:val="2"/>
      <w:sz w:val="24"/>
      <w:szCs w:val="24"/>
    </w:rPr>
  </w:style>
  <w:style w:type="character" w:customStyle="1" w:styleId="42">
    <w:name w:val="标题 8 字符"/>
    <w:link w:val="9"/>
    <w:autoRedefine/>
    <w:qFormat/>
    <w:uiPriority w:val="0"/>
    <w:rPr>
      <w:rFonts w:ascii="Arial" w:hAnsi="Arial" w:eastAsia="黑体"/>
      <w:kern w:val="2"/>
      <w:sz w:val="24"/>
      <w:szCs w:val="24"/>
    </w:rPr>
  </w:style>
  <w:style w:type="character" w:customStyle="1" w:styleId="43">
    <w:name w:val="标题 9 字符"/>
    <w:link w:val="10"/>
    <w:autoRedefine/>
    <w:qFormat/>
    <w:uiPriority w:val="0"/>
    <w:rPr>
      <w:rFonts w:ascii="Arial" w:hAnsi="Arial" w:eastAsia="黑体"/>
      <w:kern w:val="2"/>
      <w:sz w:val="21"/>
      <w:szCs w:val="21"/>
    </w:rPr>
  </w:style>
  <w:style w:type="character" w:customStyle="1" w:styleId="44">
    <w:name w:val="页眉 字符"/>
    <w:link w:val="18"/>
    <w:autoRedefine/>
    <w:qFormat/>
    <w:uiPriority w:val="99"/>
    <w:rPr>
      <w:kern w:val="2"/>
      <w:sz w:val="18"/>
      <w:szCs w:val="18"/>
    </w:rPr>
  </w:style>
  <w:style w:type="character" w:customStyle="1" w:styleId="45">
    <w:name w:val="页脚 字符"/>
    <w:link w:val="17"/>
    <w:autoRedefine/>
    <w:qFormat/>
    <w:uiPriority w:val="99"/>
    <w:rPr>
      <w:rFonts w:ascii="宋体"/>
      <w:kern w:val="2"/>
      <w:sz w:val="18"/>
      <w:szCs w:val="18"/>
    </w:rPr>
  </w:style>
  <w:style w:type="character" w:customStyle="1" w:styleId="46">
    <w:name w:val="批注框文本 字符"/>
    <w:link w:val="16"/>
    <w:autoRedefine/>
    <w:semiHidden/>
    <w:qFormat/>
    <w:uiPriority w:val="99"/>
    <w:rPr>
      <w:kern w:val="2"/>
      <w:sz w:val="18"/>
      <w:szCs w:val="18"/>
    </w:rPr>
  </w:style>
  <w:style w:type="paragraph" w:styleId="47">
    <w:name w:val="Quote"/>
    <w:basedOn w:val="1"/>
    <w:next w:val="1"/>
    <w:link w:val="48"/>
    <w:autoRedefine/>
    <w:qFormat/>
    <w:uiPriority w:val="29"/>
    <w:rPr>
      <w:i/>
      <w:iCs/>
      <w:color w:val="000000"/>
    </w:rPr>
  </w:style>
  <w:style w:type="character" w:customStyle="1" w:styleId="48">
    <w:name w:val="引用 字符"/>
    <w:link w:val="47"/>
    <w:autoRedefine/>
    <w:qFormat/>
    <w:uiPriority w:val="29"/>
    <w:rPr>
      <w:i/>
      <w:iCs/>
      <w:color w:val="000000"/>
      <w:kern w:val="2"/>
      <w:sz w:val="21"/>
      <w:szCs w:val="21"/>
    </w:rPr>
  </w:style>
  <w:style w:type="character" w:customStyle="1" w:styleId="49">
    <w:name w:val="标题 字符"/>
    <w:link w:val="26"/>
    <w:autoRedefine/>
    <w:qFormat/>
    <w:uiPriority w:val="0"/>
    <w:rPr>
      <w:rFonts w:ascii="Arial" w:hAnsi="Arial" w:cs="Arial"/>
      <w:b/>
      <w:bCs/>
      <w:kern w:val="2"/>
      <w:sz w:val="32"/>
      <w:szCs w:val="32"/>
    </w:rPr>
  </w:style>
  <w:style w:type="paragraph" w:customStyle="1" w:styleId="50">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autoRedefine/>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autoRedefine/>
    <w:qFormat/>
    <w:uiPriority w:val="0"/>
    <w:pPr>
      <w:spacing w:line="0" w:lineRule="atLeast"/>
    </w:pPr>
    <w:rPr>
      <w:rFonts w:ascii="黑体" w:hAnsi="宋体" w:eastAsia="黑体"/>
    </w:rPr>
  </w:style>
  <w:style w:type="paragraph" w:customStyle="1" w:styleId="56">
    <w:name w:val="标准文件_标准正文"/>
    <w:basedOn w:val="1"/>
    <w:next w:val="57"/>
    <w:autoRedefine/>
    <w:qFormat/>
    <w:uiPriority w:val="0"/>
    <w:pPr>
      <w:snapToGrid w:val="0"/>
      <w:ind w:firstLine="200" w:firstLineChars="200"/>
    </w:pPr>
    <w:rPr>
      <w:kern w:val="0"/>
    </w:rPr>
  </w:style>
  <w:style w:type="paragraph" w:customStyle="1" w:styleId="57">
    <w:name w:val="标准文件_段"/>
    <w:link w:val="185"/>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autoRedefine/>
    <w:qFormat/>
    <w:uiPriority w:val="0"/>
    <w:pPr>
      <w:adjustRightInd/>
      <w:snapToGrid/>
      <w:ind w:firstLine="0" w:firstLineChars="0"/>
    </w:pPr>
    <w:rPr>
      <w:rFonts w:ascii="宋体" w:hAnsi="宋体"/>
      <w:kern w:val="2"/>
    </w:rPr>
  </w:style>
  <w:style w:type="paragraph" w:customStyle="1" w:styleId="59">
    <w:name w:val="标准文件_标准部门"/>
    <w:basedOn w:val="1"/>
    <w:autoRedefine/>
    <w:qFormat/>
    <w:uiPriority w:val="0"/>
    <w:pPr>
      <w:jc w:val="center"/>
    </w:pPr>
    <w:rPr>
      <w:rFonts w:ascii="黑体" w:eastAsia="黑体"/>
      <w:kern w:val="0"/>
      <w:sz w:val="44"/>
    </w:rPr>
  </w:style>
  <w:style w:type="paragraph" w:customStyle="1" w:styleId="60">
    <w:name w:val="标准文件_标准代替"/>
    <w:basedOn w:val="1"/>
    <w:next w:val="1"/>
    <w:autoRedefine/>
    <w:qFormat/>
    <w:uiPriority w:val="0"/>
    <w:pPr>
      <w:spacing w:line="310" w:lineRule="exact"/>
      <w:jc w:val="right"/>
    </w:pPr>
    <w:rPr>
      <w:rFonts w:ascii="宋体" w:hAnsi="宋体"/>
      <w:kern w:val="0"/>
    </w:rPr>
  </w:style>
  <w:style w:type="paragraph" w:customStyle="1" w:styleId="61">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autoRedefine/>
    <w:qFormat/>
    <w:uiPriority w:val="0"/>
    <w:pPr>
      <w:jc w:val="left"/>
    </w:pPr>
  </w:style>
  <w:style w:type="paragraph" w:customStyle="1" w:styleId="64">
    <w:name w:val="标准文件_参考文献标题"/>
    <w:basedOn w:val="1"/>
    <w:next w:val="1"/>
    <w:autoRedefine/>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5">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autoRedefine/>
    <w:qFormat/>
    <w:uiPriority w:val="0"/>
    <w:rPr>
      <w:rFonts w:ascii="黑体" w:eastAsia="黑体"/>
      <w:spacing w:val="0"/>
      <w:w w:val="100"/>
      <w:position w:val="3"/>
      <w:sz w:val="28"/>
    </w:rPr>
  </w:style>
  <w:style w:type="paragraph" w:customStyle="1" w:styleId="68">
    <w:name w:val="标准文件_方框数字列项"/>
    <w:basedOn w:val="57"/>
    <w:autoRedefine/>
    <w:qFormat/>
    <w:uiPriority w:val="0"/>
    <w:pPr>
      <w:numPr>
        <w:ilvl w:val="0"/>
        <w:numId w:val="3"/>
      </w:numPr>
      <w:ind w:firstLine="0" w:firstLineChars="0"/>
    </w:pPr>
  </w:style>
  <w:style w:type="paragraph" w:customStyle="1" w:styleId="69">
    <w:name w:val="标准文件_封面标准编号"/>
    <w:basedOn w:val="1"/>
    <w:next w:val="60"/>
    <w:autoRedefine/>
    <w:qFormat/>
    <w:uiPriority w:val="0"/>
    <w:pPr>
      <w:spacing w:line="310" w:lineRule="exact"/>
      <w:jc w:val="right"/>
    </w:pPr>
    <w:rPr>
      <w:rFonts w:ascii="黑体" w:eastAsia="黑体"/>
      <w:kern w:val="0"/>
      <w:sz w:val="28"/>
    </w:rPr>
  </w:style>
  <w:style w:type="paragraph" w:customStyle="1" w:styleId="70">
    <w:name w:val="标准文件_封面标准分类号"/>
    <w:basedOn w:val="1"/>
    <w:autoRedefine/>
    <w:qFormat/>
    <w:uiPriority w:val="0"/>
    <w:rPr>
      <w:rFonts w:ascii="黑体" w:eastAsia="黑体"/>
      <w:b/>
      <w:kern w:val="0"/>
      <w:sz w:val="28"/>
    </w:rPr>
  </w:style>
  <w:style w:type="paragraph" w:customStyle="1" w:styleId="71">
    <w:name w:val="标准文件_封面标准名称"/>
    <w:basedOn w:val="1"/>
    <w:autoRedefine/>
    <w:qFormat/>
    <w:uiPriority w:val="0"/>
    <w:pPr>
      <w:spacing w:line="240" w:lineRule="auto"/>
      <w:jc w:val="center"/>
    </w:pPr>
    <w:rPr>
      <w:rFonts w:ascii="黑体" w:eastAsia="黑体"/>
      <w:kern w:val="0"/>
      <w:sz w:val="52"/>
    </w:rPr>
  </w:style>
  <w:style w:type="paragraph" w:customStyle="1" w:styleId="72">
    <w:name w:val="标准文件_封面标准英文名称"/>
    <w:basedOn w:val="1"/>
    <w:autoRedefine/>
    <w:qFormat/>
    <w:uiPriority w:val="0"/>
    <w:pPr>
      <w:spacing w:line="240" w:lineRule="auto"/>
      <w:jc w:val="center"/>
    </w:pPr>
    <w:rPr>
      <w:rFonts w:ascii="黑体" w:eastAsia="黑体"/>
      <w:b/>
      <w:sz w:val="28"/>
    </w:rPr>
  </w:style>
  <w:style w:type="paragraph" w:customStyle="1" w:styleId="73">
    <w:name w:val="标准文件_封面发布日期"/>
    <w:basedOn w:val="1"/>
    <w:autoRedefine/>
    <w:qFormat/>
    <w:uiPriority w:val="0"/>
    <w:pPr>
      <w:spacing w:line="310" w:lineRule="exact"/>
    </w:pPr>
    <w:rPr>
      <w:rFonts w:ascii="黑体" w:eastAsia="黑体"/>
      <w:kern w:val="0"/>
      <w:sz w:val="28"/>
    </w:rPr>
  </w:style>
  <w:style w:type="paragraph" w:customStyle="1" w:styleId="74">
    <w:name w:val="标准文件_封面密级"/>
    <w:basedOn w:val="1"/>
    <w:autoRedefine/>
    <w:qFormat/>
    <w:uiPriority w:val="0"/>
    <w:rPr>
      <w:rFonts w:eastAsia="黑体"/>
      <w:sz w:val="32"/>
    </w:rPr>
  </w:style>
  <w:style w:type="paragraph" w:customStyle="1" w:styleId="75">
    <w:name w:val="标准文件_封面实施日期"/>
    <w:basedOn w:val="1"/>
    <w:autoRedefine/>
    <w:qFormat/>
    <w:uiPriority w:val="0"/>
    <w:pPr>
      <w:spacing w:line="310" w:lineRule="exact"/>
      <w:jc w:val="right"/>
    </w:pPr>
    <w:rPr>
      <w:rFonts w:ascii="黑体" w:eastAsia="黑体"/>
      <w:sz w:val="28"/>
    </w:rPr>
  </w:style>
  <w:style w:type="paragraph" w:customStyle="1" w:styleId="76">
    <w:name w:val="标准文件_封面抬头"/>
    <w:basedOn w:val="57"/>
    <w:autoRedefine/>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autoRedefine/>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autoRedefine/>
    <w:qFormat/>
    <w:uiPriority w:val="0"/>
    <w:rPr>
      <w:kern w:val="2"/>
      <w:sz w:val="21"/>
      <w:szCs w:val="21"/>
    </w:rPr>
  </w:style>
  <w:style w:type="paragraph" w:customStyle="1" w:styleId="88">
    <w:name w:val="标准文件_附录章标题"/>
    <w:next w:val="57"/>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autoRedefine/>
    <w:qFormat/>
    <w:uiPriority w:val="0"/>
    <w:pPr>
      <w:ind w:left="488" w:leftChars="200" w:hanging="289" w:hangingChars="290"/>
    </w:pPr>
  </w:style>
  <w:style w:type="paragraph" w:customStyle="1" w:styleId="90">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autoRedefine/>
    <w:qFormat/>
    <w:uiPriority w:val="0"/>
    <w:pPr>
      <w:spacing w:line="460" w:lineRule="exact"/>
      <w:ind w:left="0" w:firstLine="0"/>
    </w:pPr>
  </w:style>
  <w:style w:type="paragraph" w:customStyle="1" w:styleId="92">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3">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autoRedefine/>
    <w:qFormat/>
    <w:uiPriority w:val="0"/>
    <w:pPr>
      <w:numPr>
        <w:numId w:val="10"/>
      </w:numPr>
    </w:pPr>
  </w:style>
  <w:style w:type="paragraph" w:customStyle="1" w:styleId="95">
    <w:name w:val="标准文件_三级条标题"/>
    <w:basedOn w:val="66"/>
    <w:next w:val="57"/>
    <w:autoRedefine/>
    <w:qFormat/>
    <w:uiPriority w:val="0"/>
    <w:pPr>
      <w:widowControl/>
      <w:numPr>
        <w:ilvl w:val="4"/>
      </w:numPr>
      <w:outlineLvl w:val="3"/>
    </w:pPr>
  </w:style>
  <w:style w:type="character" w:customStyle="1" w:styleId="96">
    <w:name w:val="Subtle Reference"/>
    <w:autoRedefine/>
    <w:qFormat/>
    <w:uiPriority w:val="31"/>
    <w:rPr>
      <w:smallCaps/>
      <w:color w:val="C0504D"/>
      <w:u w:val="single"/>
    </w:rPr>
  </w:style>
  <w:style w:type="paragraph" w:customStyle="1" w:styleId="97">
    <w:name w:val="标准文件_示例后续"/>
    <w:basedOn w:val="1"/>
    <w:autoRedefine/>
    <w:qFormat/>
    <w:uiPriority w:val="0"/>
    <w:pPr>
      <w:adjustRightInd/>
      <w:spacing w:line="240" w:lineRule="auto"/>
      <w:ind w:firstLine="200" w:firstLineChars="200"/>
    </w:pPr>
    <w:rPr>
      <w:sz w:val="18"/>
      <w:szCs w:val="24"/>
    </w:rPr>
  </w:style>
  <w:style w:type="paragraph" w:customStyle="1" w:styleId="98">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autoRedefine/>
    <w:semiHidden/>
    <w:qFormat/>
    <w:uiPriority w:val="0"/>
    <w:rPr>
      <w:rFonts w:ascii="宋体"/>
      <w:kern w:val="2"/>
      <w:sz w:val="18"/>
      <w:szCs w:val="18"/>
    </w:rPr>
  </w:style>
  <w:style w:type="paragraph" w:customStyle="1" w:styleId="101">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autoRedefine/>
    <w:qFormat/>
    <w:uiPriority w:val="0"/>
    <w:pPr>
      <w:numPr>
        <w:ilvl w:val="0"/>
        <w:numId w:val="12"/>
      </w:numPr>
      <w:spacing w:line="240" w:lineRule="auto"/>
      <w:jc w:val="left"/>
    </w:pPr>
    <w:rPr>
      <w:rFonts w:ascii="宋体" w:hAnsi="宋体"/>
      <w:sz w:val="18"/>
    </w:rPr>
  </w:style>
  <w:style w:type="character" w:customStyle="1" w:styleId="103">
    <w:name w:val="标准文件_图表脚注内容"/>
    <w:autoRedefine/>
    <w:qFormat/>
    <w:uiPriority w:val="0"/>
    <w:rPr>
      <w:rFonts w:ascii="宋体" w:hAnsi="宋体" w:eastAsia="宋体" w:cs="Times New Roman"/>
      <w:spacing w:val="0"/>
      <w:sz w:val="18"/>
      <w:vertAlign w:val="superscript"/>
    </w:rPr>
  </w:style>
  <w:style w:type="paragraph" w:customStyle="1" w:styleId="104">
    <w:name w:val="标准文件_五级条标题"/>
    <w:next w:val="57"/>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autoRedefine/>
    <w:qFormat/>
    <w:uiPriority w:val="0"/>
    <w:pPr>
      <w:numPr>
        <w:ilvl w:val="2"/>
      </w:numPr>
      <w:spacing w:before="50" w:beforeLines="50" w:after="50" w:afterLines="50"/>
      <w:outlineLvl w:val="1"/>
    </w:pPr>
  </w:style>
  <w:style w:type="paragraph" w:customStyle="1" w:styleId="107">
    <w:name w:val="标准文件_一致程度"/>
    <w:basedOn w:val="1"/>
    <w:autoRedefine/>
    <w:qFormat/>
    <w:uiPriority w:val="0"/>
    <w:pPr>
      <w:spacing w:line="440" w:lineRule="exact"/>
      <w:jc w:val="center"/>
    </w:pPr>
    <w:rPr>
      <w:sz w:val="28"/>
    </w:rPr>
  </w:style>
  <w:style w:type="paragraph" w:customStyle="1" w:styleId="108">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autoRedefine/>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autoRedefine/>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20">
    <w:name w:val="发布部门"/>
    <w:next w:val="57"/>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autoRedefine/>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autoRedefine/>
    <w:qFormat/>
    <w:uiPriority w:val="0"/>
    <w:pPr>
      <w:outlineLvl w:val="4"/>
    </w:pPr>
  </w:style>
  <w:style w:type="paragraph" w:customStyle="1" w:styleId="131">
    <w:name w:val="附录四级无标题条"/>
    <w:basedOn w:val="130"/>
    <w:next w:val="57"/>
    <w:autoRedefine/>
    <w:qFormat/>
    <w:uiPriority w:val="0"/>
    <w:pPr>
      <w:outlineLvl w:val="5"/>
    </w:pPr>
  </w:style>
  <w:style w:type="paragraph" w:customStyle="1" w:styleId="132">
    <w:name w:val="附录图"/>
    <w:next w:val="57"/>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autoRedefine/>
    <w:qFormat/>
    <w:uiPriority w:val="0"/>
    <w:pPr>
      <w:outlineLvl w:val="6"/>
    </w:pPr>
  </w:style>
  <w:style w:type="paragraph" w:customStyle="1" w:styleId="135">
    <w:name w:val="附录性质"/>
    <w:basedOn w:val="1"/>
    <w:autoRedefine/>
    <w:qFormat/>
    <w:uiPriority w:val="0"/>
    <w:pPr>
      <w:widowControl/>
      <w:adjustRightInd/>
      <w:jc w:val="center"/>
    </w:pPr>
    <w:rPr>
      <w:rFonts w:ascii="黑体" w:eastAsia="黑体"/>
    </w:rPr>
  </w:style>
  <w:style w:type="paragraph" w:customStyle="1" w:styleId="136">
    <w:name w:val="附录一级无标题条"/>
    <w:basedOn w:val="88"/>
    <w:next w:val="57"/>
    <w:autoRedefine/>
    <w:qFormat/>
    <w:uiPriority w:val="0"/>
    <w:pPr>
      <w:autoSpaceDN w:val="0"/>
      <w:outlineLvl w:val="2"/>
    </w:pPr>
    <w:rPr>
      <w:rFonts w:ascii="宋体" w:hAnsi="宋体" w:eastAsia="宋体"/>
    </w:rPr>
  </w:style>
  <w:style w:type="character" w:customStyle="1" w:styleId="137">
    <w:name w:val="个人答复风格"/>
    <w:autoRedefine/>
    <w:qFormat/>
    <w:uiPriority w:val="0"/>
    <w:rPr>
      <w:rFonts w:ascii="Arial" w:hAnsi="Arial" w:eastAsia="宋体" w:cs="Arial"/>
      <w:color w:val="auto"/>
      <w:spacing w:val="0"/>
      <w:sz w:val="20"/>
    </w:rPr>
  </w:style>
  <w:style w:type="character" w:customStyle="1" w:styleId="138">
    <w:name w:val="个人撰写风格"/>
    <w:autoRedefine/>
    <w:qFormat/>
    <w:uiPriority w:val="0"/>
    <w:rPr>
      <w:rFonts w:ascii="Arial" w:hAnsi="Arial" w:eastAsia="宋体" w:cs="Arial"/>
      <w:color w:val="auto"/>
      <w:spacing w:val="0"/>
      <w:sz w:val="20"/>
    </w:rPr>
  </w:style>
  <w:style w:type="paragraph" w:customStyle="1" w:styleId="139">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autoRedefine/>
    <w:qFormat/>
    <w:uiPriority w:val="0"/>
    <w:pPr>
      <w:tabs>
        <w:tab w:val="left" w:pos="840"/>
      </w:tabs>
    </w:pPr>
  </w:style>
  <w:style w:type="paragraph" w:customStyle="1" w:styleId="142">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autoRedefine/>
    <w:semiHidden/>
    <w:qFormat/>
    <w:uiPriority w:val="0"/>
    <w:pPr>
      <w:spacing w:line="240" w:lineRule="auto"/>
    </w:pPr>
    <w:rPr>
      <w:rFonts w:ascii="宋体" w:hAnsi="宋体"/>
      <w:iCs/>
    </w:rPr>
  </w:style>
  <w:style w:type="paragraph" w:customStyle="1" w:styleId="145">
    <w:name w:val="目录 41"/>
    <w:basedOn w:val="1"/>
    <w:next w:val="1"/>
    <w:autoRedefine/>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autoRedefine/>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autoRedefine/>
    <w:semiHidden/>
    <w:qFormat/>
    <w:uiPriority w:val="0"/>
    <w:pPr>
      <w:ind w:left="1680"/>
    </w:pPr>
  </w:style>
  <w:style w:type="paragraph" w:customStyle="1" w:styleId="151">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autoRedefine/>
    <w:qFormat/>
    <w:uiPriority w:val="0"/>
    <w:pPr>
      <w:framePr w:wrap="around"/>
      <w:spacing w:line="0" w:lineRule="atLeast"/>
    </w:pPr>
    <w:rPr>
      <w:rFonts w:ascii="黑体" w:eastAsia="黑体"/>
      <w:b w:val="0"/>
    </w:rPr>
  </w:style>
  <w:style w:type="paragraph" w:customStyle="1" w:styleId="153">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5">
    <w:name w:val="实施日期"/>
    <w:basedOn w:val="121"/>
    <w:autoRedefine/>
    <w:qFormat/>
    <w:uiPriority w:val="0"/>
    <w:pPr>
      <w:framePr w:hSpace="0" w:wrap="around" w:xAlign="right"/>
      <w:jc w:val="right"/>
    </w:pPr>
  </w:style>
  <w:style w:type="paragraph" w:customStyle="1" w:styleId="156">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7">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autoRedefine/>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autoRedefine/>
    <w:qFormat/>
    <w:uiPriority w:val="0"/>
    <w:pPr>
      <w:numPr>
        <w:ilvl w:val="6"/>
        <w:numId w:val="20"/>
      </w:numPr>
      <w:adjustRightInd/>
    </w:pPr>
    <w:rPr>
      <w:szCs w:val="24"/>
    </w:rPr>
  </w:style>
  <w:style w:type="paragraph" w:customStyle="1" w:styleId="160">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1">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autoRedefine/>
    <w:qFormat/>
    <w:uiPriority w:val="0"/>
    <w:pPr>
      <w:ind w:left="1406" w:leftChars="0" w:hanging="499" w:firstLineChars="0"/>
    </w:pPr>
  </w:style>
  <w:style w:type="paragraph" w:customStyle="1" w:styleId="163">
    <w:name w:val="标准文件_一级无标题"/>
    <w:basedOn w:val="106"/>
    <w:autoRedefine/>
    <w:qFormat/>
    <w:uiPriority w:val="0"/>
    <w:pPr>
      <w:spacing w:before="0" w:beforeLines="0" w:after="0" w:afterLines="0"/>
      <w:outlineLvl w:val="9"/>
    </w:pPr>
    <w:rPr>
      <w:rFonts w:ascii="宋体" w:eastAsia="宋体"/>
    </w:rPr>
  </w:style>
  <w:style w:type="paragraph" w:customStyle="1" w:styleId="164">
    <w:name w:val="标准文件_五级无标题"/>
    <w:basedOn w:val="104"/>
    <w:autoRedefine/>
    <w:qFormat/>
    <w:uiPriority w:val="0"/>
    <w:pPr>
      <w:spacing w:before="0" w:beforeLines="0" w:after="0" w:afterLines="0"/>
      <w:outlineLvl w:val="9"/>
    </w:pPr>
    <w:rPr>
      <w:rFonts w:ascii="宋体" w:eastAsia="宋体"/>
    </w:rPr>
  </w:style>
  <w:style w:type="paragraph" w:customStyle="1" w:styleId="165">
    <w:name w:val="标准文件_三级无标题"/>
    <w:basedOn w:val="95"/>
    <w:autoRedefine/>
    <w:qFormat/>
    <w:uiPriority w:val="0"/>
    <w:pPr>
      <w:spacing w:before="0" w:beforeLines="0" w:after="0" w:afterLines="0"/>
      <w:outlineLvl w:val="9"/>
    </w:pPr>
    <w:rPr>
      <w:rFonts w:ascii="宋体" w:eastAsia="宋体"/>
    </w:rPr>
  </w:style>
  <w:style w:type="paragraph" w:customStyle="1" w:styleId="166">
    <w:name w:val="标准文件_二级无标题"/>
    <w:basedOn w:val="66"/>
    <w:autoRedefine/>
    <w:qFormat/>
    <w:uiPriority w:val="0"/>
    <w:pPr>
      <w:spacing w:before="0" w:beforeLines="0" w:after="0" w:afterLines="0"/>
      <w:outlineLvl w:val="9"/>
    </w:pPr>
    <w:rPr>
      <w:rFonts w:ascii="宋体" w:eastAsia="宋体"/>
    </w:rPr>
  </w:style>
  <w:style w:type="paragraph" w:customStyle="1" w:styleId="167">
    <w:name w:val="标准_四级无标题"/>
    <w:basedOn w:val="99"/>
    <w:next w:val="57"/>
    <w:autoRedefine/>
    <w:qFormat/>
    <w:uiPriority w:val="0"/>
    <w:rPr>
      <w:rFonts w:eastAsia="宋体"/>
    </w:rPr>
  </w:style>
  <w:style w:type="paragraph" w:customStyle="1" w:styleId="168">
    <w:name w:val="标准文件_四级无标题"/>
    <w:basedOn w:val="99"/>
    <w:autoRedefine/>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autoRedefine/>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autoRedefine/>
    <w:qFormat/>
    <w:uiPriority w:val="0"/>
    <w:pPr>
      <w:numPr>
        <w:ilvl w:val="0"/>
        <w:numId w:val="24"/>
      </w:numPr>
      <w:ind w:firstLine="0" w:firstLineChars="0"/>
    </w:pPr>
    <w:rPr>
      <w:rFonts w:cs="Arial"/>
      <w:szCs w:val="28"/>
    </w:rPr>
  </w:style>
  <w:style w:type="paragraph" w:customStyle="1" w:styleId="171">
    <w:name w:val="标准文件_附录标题"/>
    <w:basedOn w:val="77"/>
    <w:autoRedefine/>
    <w:qFormat/>
    <w:uiPriority w:val="0"/>
    <w:pPr>
      <w:numPr>
        <w:numId w:val="0"/>
      </w:numPr>
      <w:spacing w:after="280"/>
      <w:outlineLvl w:val="9"/>
    </w:pPr>
  </w:style>
  <w:style w:type="paragraph" w:customStyle="1" w:styleId="172">
    <w:name w:val="标准文件_二级项"/>
    <w:autoRedefine/>
    <w:qFormat/>
    <w:uiPriority w:val="0"/>
    <w:rPr>
      <w:rFonts w:ascii="宋体" w:hAnsi="Times New Roman" w:eastAsia="宋体" w:cs="Times New Roman"/>
      <w:sz w:val="21"/>
      <w:lang w:val="en-US" w:eastAsia="zh-CN" w:bidi="ar-SA"/>
    </w:rPr>
  </w:style>
  <w:style w:type="paragraph" w:customStyle="1" w:styleId="173">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autoRedefine/>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autoRedefine/>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autoRedefine/>
    <w:qFormat/>
    <w:uiPriority w:val="0"/>
    <w:pPr>
      <w:ind w:firstLine="0" w:firstLineChars="0"/>
      <w:jc w:val="center"/>
    </w:pPr>
    <w:rPr>
      <w:sz w:val="18"/>
    </w:rPr>
  </w:style>
  <w:style w:type="paragraph" w:customStyle="1" w:styleId="180">
    <w:name w:val="标准文件_注："/>
    <w:next w:val="57"/>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autoRedefine/>
    <w:qFormat/>
    <w:uiPriority w:val="0"/>
    <w:pPr>
      <w:ind w:firstLine="420"/>
    </w:pPr>
    <w:rPr>
      <w:sz w:val="18"/>
    </w:rPr>
  </w:style>
  <w:style w:type="paragraph" w:customStyle="1" w:styleId="184">
    <w:name w:val="标准文件_示例×："/>
    <w:basedOn w:val="1"/>
    <w:next w:val="183"/>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autoRedefine/>
    <w:qFormat/>
    <w:uiPriority w:val="0"/>
    <w:rPr>
      <w:rFonts w:ascii="宋体" w:hAnsi="Times New Roman"/>
      <w:sz w:val="21"/>
    </w:rPr>
  </w:style>
  <w:style w:type="paragraph" w:customStyle="1" w:styleId="186">
    <w:name w:val="标准文件_表格续"/>
    <w:basedOn w:val="57"/>
    <w:next w:val="57"/>
    <w:autoRedefine/>
    <w:qFormat/>
    <w:uiPriority w:val="0"/>
    <w:pPr>
      <w:jc w:val="center"/>
    </w:pPr>
    <w:rPr>
      <w:rFonts w:ascii="黑体" w:hAnsi="黑体" w:eastAsia="黑体"/>
    </w:rPr>
  </w:style>
  <w:style w:type="character" w:styleId="187">
    <w:name w:val="Placeholder Text"/>
    <w:basedOn w:val="29"/>
    <w:autoRedefine/>
    <w:semiHidden/>
    <w:qFormat/>
    <w:uiPriority w:val="99"/>
    <w:rPr>
      <w:color w:val="808080"/>
    </w:rPr>
  </w:style>
  <w:style w:type="paragraph" w:customStyle="1" w:styleId="188">
    <w:name w:val="标准文件_二级项2"/>
    <w:basedOn w:val="57"/>
    <w:autoRedefine/>
    <w:qFormat/>
    <w:uiPriority w:val="0"/>
    <w:pPr>
      <w:numPr>
        <w:ilvl w:val="1"/>
        <w:numId w:val="21"/>
      </w:numPr>
      <w:ind w:firstLine="0" w:firstLineChars="0"/>
    </w:pPr>
  </w:style>
  <w:style w:type="paragraph" w:customStyle="1" w:styleId="189">
    <w:name w:val="标准文件_三级项2"/>
    <w:basedOn w:val="57"/>
    <w:autoRedefine/>
    <w:qFormat/>
    <w:uiPriority w:val="0"/>
    <w:pPr>
      <w:numPr>
        <w:ilvl w:val="0"/>
        <w:numId w:val="30"/>
      </w:numPr>
      <w:spacing w:line="300" w:lineRule="exact"/>
      <w:ind w:firstLineChars="0"/>
    </w:pPr>
    <w:rPr>
      <w:rFonts w:ascii="Times New Roman"/>
    </w:rPr>
  </w:style>
  <w:style w:type="paragraph" w:customStyle="1" w:styleId="190">
    <w:name w:val="标准文件_一级项2"/>
    <w:basedOn w:val="57"/>
    <w:autoRedefine/>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autoRedefine/>
    <w:qFormat/>
    <w:uiPriority w:val="0"/>
    <w:pPr>
      <w:ind w:firstLine="420"/>
    </w:pPr>
    <w:rPr>
      <w:rFonts w:ascii="黑体" w:eastAsia="黑体"/>
    </w:rPr>
  </w:style>
  <w:style w:type="character" w:customStyle="1" w:styleId="192">
    <w:name w:val="标准文件_来源"/>
    <w:basedOn w:val="29"/>
    <w:autoRedefine/>
    <w:qFormat/>
    <w:uiPriority w:val="1"/>
    <w:rPr>
      <w:rFonts w:eastAsia="宋体"/>
      <w:sz w:val="21"/>
    </w:rPr>
  </w:style>
  <w:style w:type="paragraph" w:customStyle="1" w:styleId="193">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autoRedefine/>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autoRedefine/>
    <w:qFormat/>
    <w:uiPriority w:val="0"/>
    <w:pPr>
      <w:spacing w:before="57"/>
    </w:pPr>
    <w:rPr>
      <w:sz w:val="21"/>
    </w:rPr>
  </w:style>
  <w:style w:type="paragraph" w:customStyle="1" w:styleId="198">
    <w:name w:val="标准文件_文件名称"/>
    <w:basedOn w:val="57"/>
    <w:next w:val="57"/>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autoRedefine/>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autoRedefine/>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autoRedefine/>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autoRedefine/>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autoRedefine/>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autoRedefine/>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autoRedefine/>
    <w:qFormat/>
    <w:uiPriority w:val="0"/>
    <w:pPr>
      <w:ind w:left="811" w:firstLine="0" w:firstLineChars="0"/>
    </w:pPr>
    <w:rPr>
      <w:sz w:val="18"/>
    </w:rPr>
  </w:style>
  <w:style w:type="paragraph" w:customStyle="1" w:styleId="207">
    <w:name w:val="标准文件_注X后"/>
    <w:basedOn w:val="57"/>
    <w:autoRedefine/>
    <w:qFormat/>
    <w:uiPriority w:val="0"/>
    <w:pPr>
      <w:ind w:left="811" w:firstLine="0" w:firstLineChars="0"/>
    </w:pPr>
    <w:rPr>
      <w:sz w:val="18"/>
    </w:rPr>
  </w:style>
  <w:style w:type="paragraph" w:customStyle="1" w:styleId="208">
    <w:name w:val="标准文件_示例后"/>
    <w:basedOn w:val="57"/>
    <w:autoRedefine/>
    <w:qFormat/>
    <w:uiPriority w:val="0"/>
    <w:pPr>
      <w:ind w:left="964" w:firstLine="0" w:firstLineChars="0"/>
    </w:pPr>
    <w:rPr>
      <w:sz w:val="18"/>
    </w:rPr>
  </w:style>
  <w:style w:type="paragraph" w:customStyle="1" w:styleId="209">
    <w:name w:val="标准文件_示例X后"/>
    <w:basedOn w:val="57"/>
    <w:link w:val="210"/>
    <w:autoRedefine/>
    <w:qFormat/>
    <w:uiPriority w:val="0"/>
    <w:pPr>
      <w:ind w:left="1049" w:firstLine="0" w:firstLineChars="0"/>
    </w:pPr>
    <w:rPr>
      <w:sz w:val="18"/>
    </w:rPr>
  </w:style>
  <w:style w:type="character" w:customStyle="1" w:styleId="210">
    <w:name w:val="标准文件_示例X后 字符"/>
    <w:basedOn w:val="185"/>
    <w:link w:val="209"/>
    <w:autoRedefine/>
    <w:qFormat/>
    <w:uiPriority w:val="0"/>
    <w:rPr>
      <w:rFonts w:ascii="宋体" w:hAnsi="Times New Roman"/>
      <w:sz w:val="18"/>
    </w:rPr>
  </w:style>
  <w:style w:type="paragraph" w:customStyle="1" w:styleId="211">
    <w:name w:val="标准文件_索引项"/>
    <w:basedOn w:val="57"/>
    <w:next w:val="57"/>
    <w:autoRedefine/>
    <w:qFormat/>
    <w:uiPriority w:val="0"/>
    <w:pPr>
      <w:tabs>
        <w:tab w:val="right" w:leader="dot" w:pos="9356"/>
      </w:tabs>
      <w:ind w:left="210" w:hanging="210" w:firstLineChars="0"/>
      <w:jc w:val="left"/>
    </w:pPr>
  </w:style>
  <w:style w:type="paragraph" w:customStyle="1" w:styleId="212">
    <w:name w:val="标准文件_附录一级无标题"/>
    <w:basedOn w:val="79"/>
    <w:autoRedefine/>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autoRedefine/>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autoRedefine/>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autoRedefine/>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autoRedefine/>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autoRedefine/>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autoRedefine/>
    <w:qFormat/>
    <w:uiPriority w:val="0"/>
    <w:pPr>
      <w:spacing w:before="0" w:beforeLines="0" w:after="0" w:afterLines="0" w:line="276" w:lineRule="auto"/>
    </w:pPr>
    <w:rPr>
      <w:rFonts w:ascii="宋体" w:eastAsia="宋体"/>
    </w:rPr>
  </w:style>
  <w:style w:type="paragraph" w:customStyle="1" w:styleId="219">
    <w:name w:val="标准文件_引言三级无标题"/>
    <w:basedOn w:val="203"/>
    <w:autoRedefine/>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autoRedefine/>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autoRedefine/>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autoRedefine/>
    <w:qFormat/>
    <w:uiPriority w:val="0"/>
    <w:rPr>
      <w:rFonts w:hAnsi="黑体"/>
    </w:rPr>
  </w:style>
  <w:style w:type="paragraph" w:customStyle="1" w:styleId="223">
    <w:name w:val="标准文件_脚注内容"/>
    <w:basedOn w:val="57"/>
    <w:autoRedefine/>
    <w:qFormat/>
    <w:uiPriority w:val="0"/>
    <w:pPr>
      <w:ind w:left="400" w:leftChars="200" w:hanging="200" w:hangingChars="200"/>
    </w:pPr>
    <w:rPr>
      <w:sz w:val="15"/>
    </w:rPr>
  </w:style>
  <w:style w:type="paragraph" w:customStyle="1" w:styleId="224">
    <w:name w:val="标准文件_术语条一"/>
    <w:basedOn w:val="163"/>
    <w:next w:val="57"/>
    <w:autoRedefine/>
    <w:qFormat/>
    <w:uiPriority w:val="0"/>
  </w:style>
  <w:style w:type="paragraph" w:customStyle="1" w:styleId="225">
    <w:name w:val="标准文件_术语条二"/>
    <w:basedOn w:val="166"/>
    <w:next w:val="57"/>
    <w:autoRedefine/>
    <w:qFormat/>
    <w:uiPriority w:val="0"/>
  </w:style>
  <w:style w:type="paragraph" w:customStyle="1" w:styleId="226">
    <w:name w:val="标准文件_术语条三"/>
    <w:basedOn w:val="165"/>
    <w:next w:val="57"/>
    <w:autoRedefine/>
    <w:qFormat/>
    <w:uiPriority w:val="0"/>
  </w:style>
  <w:style w:type="paragraph" w:customStyle="1" w:styleId="227">
    <w:name w:val="标准文件_术语条四"/>
    <w:basedOn w:val="168"/>
    <w:next w:val="57"/>
    <w:autoRedefine/>
    <w:qFormat/>
    <w:uiPriority w:val="0"/>
  </w:style>
  <w:style w:type="paragraph" w:customStyle="1" w:styleId="228">
    <w:name w:val="标准文件_术语条五"/>
    <w:basedOn w:val="164"/>
    <w:next w:val="57"/>
    <w:autoRedefine/>
    <w:qFormat/>
    <w:uiPriority w:val="0"/>
  </w:style>
  <w:style w:type="paragraph" w:customStyle="1" w:styleId="229">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autoRedefine/>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0" Type="http://schemas.openxmlformats.org/officeDocument/2006/relationships/glossaryDocument" Target="glossary/document.xml"/><Relationship Id="rId5" Type="http://schemas.openxmlformats.org/officeDocument/2006/relationships/header" Target="header1.xml"/><Relationship Id="rId49" Type="http://schemas.openxmlformats.org/officeDocument/2006/relationships/fontTable" Target="fontTable.xml"/><Relationship Id="rId48" Type="http://schemas.openxmlformats.org/officeDocument/2006/relationships/customXml" Target="../customXml/item2.xml"/><Relationship Id="rId47" Type="http://schemas.openxmlformats.org/officeDocument/2006/relationships/numbering" Target="numbering.xml"/><Relationship Id="rId46" Type="http://schemas.openxmlformats.org/officeDocument/2006/relationships/customXml" Target="../customXml/item1.xml"/><Relationship Id="rId45" Type="http://schemas.openxmlformats.org/officeDocument/2006/relationships/image" Target="media/image6.jpeg"/><Relationship Id="rId44" Type="http://schemas.openxmlformats.org/officeDocument/2006/relationships/image" Target="media/image5.png"/><Relationship Id="rId43" Type="http://schemas.openxmlformats.org/officeDocument/2006/relationships/image" Target="media/image4.png"/><Relationship Id="rId42" Type="http://schemas.openxmlformats.org/officeDocument/2006/relationships/image" Target="media/image3.png"/><Relationship Id="rId41" Type="http://schemas.openxmlformats.org/officeDocument/2006/relationships/image" Target="media/image2.png"/><Relationship Id="rId40" Type="http://schemas.openxmlformats.org/officeDocument/2006/relationships/image" Target="media/image1.png"/><Relationship Id="rId4" Type="http://schemas.openxmlformats.org/officeDocument/2006/relationships/endnotes" Target="endnotes.xml"/><Relationship Id="rId39" Type="http://schemas.openxmlformats.org/officeDocument/2006/relationships/theme" Target="theme/theme1.xml"/><Relationship Id="rId38" Type="http://schemas.openxmlformats.org/officeDocument/2006/relationships/footer" Target="footer17.xml"/><Relationship Id="rId37" Type="http://schemas.openxmlformats.org/officeDocument/2006/relationships/footer" Target="footer16.xml"/><Relationship Id="rId36" Type="http://schemas.openxmlformats.org/officeDocument/2006/relationships/header" Target="header17.xml"/><Relationship Id="rId35" Type="http://schemas.openxmlformats.org/officeDocument/2006/relationships/header" Target="header16.xml"/><Relationship Id="rId34" Type="http://schemas.openxmlformats.org/officeDocument/2006/relationships/footer" Target="footer15.xml"/><Relationship Id="rId33" Type="http://schemas.openxmlformats.org/officeDocument/2006/relationships/footer" Target="footer14.xml"/><Relationship Id="rId32" Type="http://schemas.openxmlformats.org/officeDocument/2006/relationships/header" Target="header15.xml"/><Relationship Id="rId31" Type="http://schemas.openxmlformats.org/officeDocument/2006/relationships/header" Target="header14.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header" Target="header13.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BA4AE13AF634731934C05CA7FD62860"/>
        <w:style w:val=""/>
        <w:category>
          <w:name w:val="常规"/>
          <w:gallery w:val="placeholder"/>
        </w:category>
        <w:types>
          <w:type w:val="bbPlcHdr"/>
        </w:types>
        <w:behaviors>
          <w:behavior w:val="content"/>
        </w:behaviors>
        <w:description w:val=""/>
        <w:guid w:val="{EA8165AB-81AA-4BA5-8578-21A9FF8FE396}"/>
      </w:docPartPr>
      <w:docPartBody>
        <w:p>
          <w:pPr>
            <w:pStyle w:val="5"/>
          </w:pPr>
          <w:r>
            <w:rPr>
              <w:rStyle w:val="4"/>
              <w:rFonts w:hint="eastAsia"/>
            </w:rPr>
            <w:t>单击或点击此处输入文字。</w:t>
          </w:r>
        </w:p>
      </w:docPartBody>
    </w:docPart>
    <w:docPart>
      <w:docPartPr>
        <w:name w:val="86A9C9AF070E4CF9893173F6C9DF33E8"/>
        <w:style w:val=""/>
        <w:category>
          <w:name w:val="常规"/>
          <w:gallery w:val="placeholder"/>
        </w:category>
        <w:types>
          <w:type w:val="bbPlcHdr"/>
        </w:types>
        <w:behaviors>
          <w:behavior w:val="content"/>
        </w:behaviors>
        <w:description w:val=""/>
        <w:guid w:val="{C450B9D2-8FAD-4259-9F7C-93A074623998}"/>
      </w:docPartPr>
      <w:docPartBody>
        <w:p>
          <w:pPr>
            <w:pStyle w:val="6"/>
          </w:pPr>
          <w:r>
            <w:rPr>
              <w:rStyle w:val="4"/>
              <w:rFonts w:hint="eastAsia"/>
            </w:rPr>
            <w:t>选择一项。</w:t>
          </w:r>
        </w:p>
      </w:docPartBody>
    </w:docPart>
    <w:docPart>
      <w:docPartPr>
        <w:name w:val="C44073BD54AB4E059A06FAB1E0FA71B3"/>
        <w:style w:val=""/>
        <w:category>
          <w:name w:val="常规"/>
          <w:gallery w:val="placeholder"/>
        </w:category>
        <w:types>
          <w:type w:val="bbPlcHdr"/>
        </w:types>
        <w:behaviors>
          <w:behavior w:val="content"/>
        </w:behaviors>
        <w:description w:val=""/>
        <w:guid w:val="{C6BA4F89-FD58-4387-9B90-7F06336A0799}"/>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3CE9"/>
    <w:rsid w:val="004D0A43"/>
    <w:rsid w:val="006135E5"/>
    <w:rsid w:val="00913CE9"/>
    <w:rsid w:val="00B67B37"/>
    <w:rsid w:val="00CD65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autoRedefine/>
    <w:semiHidden/>
    <w:unhideWhenUsed/>
    <w:qFormat/>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EBA4AE13AF634731934C05CA7FD62860"/>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86A9C9AF070E4CF9893173F6C9DF33E8"/>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C44073BD54AB4E059A06FAB1E0FA71B3"/>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96137A-151B-4330-8F5A-2A0749020EFF}">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12</Pages>
  <Words>2372</Words>
  <Characters>2700</Characters>
  <Lines>21</Lines>
  <Paragraphs>6</Paragraphs>
  <TotalTime>0</TotalTime>
  <ScaleCrop>false</ScaleCrop>
  <LinksUpToDate>false</LinksUpToDate>
  <CharactersWithSpaces>2840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2024-03-29T07:26:00Z</dcterms:created>
  <dc:creator>ptd</dc:creator>
  <dc:description>&lt;config cover="true" show_menu="true" version="1.0.0" doctype="SDKXY"&gt;_x000d_
&lt;/config&gt;</dc:description>
  <cp:lastModifiedBy>lenovo</cp:lastModifiedBy>
  <cp:lastPrinted>2021-02-02T08:22:00Z</cp:lastPrinted>
  <dcterms:modified xsi:type="dcterms:W3CDTF">2024-05-11T07:23:53Z</dcterms:modified>
  <dc:title>团体标准</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2052-12.1.0.16729</vt:lpwstr>
  </property>
  <property fmtid="{D5CDD505-2E9C-101B-9397-08002B2CF9AE}" pid="16" name="ICV">
    <vt:lpwstr>99B1FA1B92E740C0BFE133BACB4457F9_13</vt:lpwstr>
  </property>
</Properties>
</file>