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4E0B" w:rsidRDefault="0080563C">
      <w:pPr>
        <w:ind w:firstLine="756"/>
        <w:jc w:val="center"/>
        <w:rPr>
          <w:rFonts w:ascii="方正小标宋简体" w:eastAsia="方正小标宋简体" w:cs="仿宋_GB2312"/>
          <w:bCs/>
          <w:color w:val="000000"/>
          <w:sz w:val="36"/>
          <w:szCs w:val="32"/>
        </w:rPr>
      </w:pPr>
      <w:r>
        <w:rPr>
          <w:rFonts w:ascii="方正小标宋简体" w:eastAsia="方正小标宋简体" w:cs="仿宋_GB2312" w:hint="eastAsia"/>
          <w:bCs/>
          <w:color w:val="000000"/>
          <w:sz w:val="36"/>
          <w:szCs w:val="32"/>
        </w:rPr>
        <w:t>团体标准《</w:t>
      </w:r>
      <w:r w:rsidR="004E0167">
        <w:rPr>
          <w:rFonts w:ascii="方正小标宋简体" w:eastAsia="方正小标宋简体" w:cs="仿宋_GB2312" w:hint="eastAsia"/>
          <w:bCs/>
          <w:color w:val="000000"/>
          <w:sz w:val="36"/>
          <w:szCs w:val="32"/>
        </w:rPr>
        <w:t>水运建设项目突发环境事件应急预案编制规范</w:t>
      </w:r>
      <w:r>
        <w:rPr>
          <w:rFonts w:ascii="方正小标宋简体" w:eastAsia="方正小标宋简体" w:cs="仿宋_GB2312" w:hint="eastAsia"/>
          <w:bCs/>
          <w:color w:val="000000"/>
          <w:sz w:val="36"/>
          <w:szCs w:val="32"/>
        </w:rPr>
        <w:t>》（征求意见稿）编制说明</w:t>
      </w:r>
    </w:p>
    <w:p w:rsidR="00B94E0B" w:rsidRDefault="00B94E0B">
      <w:pPr>
        <w:ind w:firstLine="378"/>
        <w:jc w:val="center"/>
        <w:rPr>
          <w:rFonts w:ascii="方正小标宋简体" w:eastAsia="方正小标宋简体" w:cs="仿宋_GB2312"/>
          <w:bCs/>
          <w:color w:val="000000"/>
          <w:sz w:val="18"/>
          <w:szCs w:val="18"/>
        </w:rPr>
      </w:pPr>
    </w:p>
    <w:p w:rsidR="00B94E0B" w:rsidRDefault="0080563C">
      <w:pPr>
        <w:spacing w:line="520" w:lineRule="exact"/>
        <w:rPr>
          <w:rFonts w:ascii="黑体" w:eastAsia="黑体" w:cs="仿宋_GB2312"/>
          <w:bCs/>
          <w:sz w:val="32"/>
          <w:szCs w:val="32"/>
        </w:rPr>
      </w:pPr>
      <w:r>
        <w:rPr>
          <w:rFonts w:ascii="黑体" w:eastAsia="黑体" w:cs="仿宋_GB2312" w:hint="eastAsia"/>
          <w:sz w:val="32"/>
          <w:szCs w:val="32"/>
        </w:rPr>
        <w:t>一、任务来源、起草单位、主要起草人</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根据《广西标准化协会关于下达202</w:t>
      </w:r>
      <w:r w:rsidR="00FB2B02">
        <w:rPr>
          <w:rFonts w:ascii="仿宋" w:eastAsia="仿宋" w:hAnsi="仿宋" w:hint="eastAsia"/>
          <w:sz w:val="32"/>
          <w:szCs w:val="32"/>
        </w:rPr>
        <w:t>3</w:t>
      </w:r>
      <w:r>
        <w:rPr>
          <w:rFonts w:ascii="仿宋" w:eastAsia="仿宋" w:hAnsi="仿宋" w:hint="eastAsia"/>
          <w:sz w:val="32"/>
          <w:szCs w:val="32"/>
        </w:rPr>
        <w:t>年第</w:t>
      </w:r>
      <w:r w:rsidR="00FB2B02">
        <w:rPr>
          <w:rFonts w:ascii="仿宋" w:eastAsia="仿宋" w:hAnsi="仿宋" w:hint="eastAsia"/>
          <w:sz w:val="32"/>
          <w:szCs w:val="32"/>
        </w:rPr>
        <w:t>七十三</w:t>
      </w:r>
      <w:r>
        <w:rPr>
          <w:rFonts w:ascii="仿宋" w:eastAsia="仿宋" w:hAnsi="仿宋" w:hint="eastAsia"/>
          <w:sz w:val="32"/>
          <w:szCs w:val="32"/>
        </w:rPr>
        <w:t>批团体标准制修订项目计划的通知》（桂标协〔202</w:t>
      </w:r>
      <w:r w:rsidR="00FB2B02">
        <w:rPr>
          <w:rFonts w:ascii="仿宋" w:eastAsia="仿宋" w:hAnsi="仿宋" w:hint="eastAsia"/>
          <w:sz w:val="32"/>
          <w:szCs w:val="32"/>
        </w:rPr>
        <w:t>3</w:t>
      </w:r>
      <w:r>
        <w:rPr>
          <w:rFonts w:ascii="仿宋" w:eastAsia="仿宋" w:hAnsi="仿宋" w:hint="eastAsia"/>
          <w:sz w:val="32"/>
          <w:szCs w:val="32"/>
        </w:rPr>
        <w:t>〕</w:t>
      </w:r>
      <w:r w:rsidR="00FB2B02">
        <w:rPr>
          <w:rFonts w:ascii="仿宋" w:eastAsia="仿宋" w:hAnsi="仿宋" w:hint="eastAsia"/>
          <w:sz w:val="32"/>
          <w:szCs w:val="32"/>
        </w:rPr>
        <w:t>245</w:t>
      </w:r>
      <w:r>
        <w:rPr>
          <w:rFonts w:ascii="仿宋" w:eastAsia="仿宋" w:hAnsi="仿宋" w:hint="eastAsia"/>
          <w:sz w:val="32"/>
          <w:szCs w:val="32"/>
        </w:rPr>
        <w:t>号）文件精神，由</w:t>
      </w:r>
      <w:r w:rsidR="00FB2B02" w:rsidRPr="00FB2B02">
        <w:rPr>
          <w:rFonts w:ascii="仿宋" w:eastAsia="仿宋" w:hAnsi="仿宋" w:hint="eastAsia"/>
          <w:sz w:val="32"/>
          <w:szCs w:val="32"/>
        </w:rPr>
        <w:t>广西壮族自治区环境保护产业协会</w:t>
      </w:r>
      <w:r>
        <w:rPr>
          <w:rFonts w:ascii="仿宋" w:eastAsia="仿宋" w:hAnsi="仿宋" w:hint="eastAsia"/>
          <w:sz w:val="32"/>
          <w:szCs w:val="32"/>
        </w:rPr>
        <w:t>提出，</w:t>
      </w:r>
      <w:r w:rsidR="00FB2B02" w:rsidRPr="00FB2B02">
        <w:rPr>
          <w:rFonts w:ascii="仿宋" w:eastAsia="仿宋" w:hAnsi="仿宋" w:hint="eastAsia"/>
          <w:sz w:val="32"/>
          <w:szCs w:val="32"/>
        </w:rPr>
        <w:t>广西交科集团有限公司、北部湾港股份有限公司、广西壮族自治区环境保护科学研究院、广西珠委南宁勘测设计院有限公司</w:t>
      </w:r>
      <w:r w:rsidR="00FB2B02">
        <w:rPr>
          <w:rFonts w:ascii="仿宋" w:eastAsia="仿宋" w:hAnsi="仿宋" w:hint="eastAsia"/>
          <w:sz w:val="32"/>
          <w:szCs w:val="32"/>
        </w:rPr>
        <w:t>等单位</w:t>
      </w:r>
      <w:r>
        <w:rPr>
          <w:rFonts w:ascii="仿宋" w:eastAsia="仿宋" w:hAnsi="仿宋" w:hint="eastAsia"/>
          <w:sz w:val="32"/>
          <w:szCs w:val="32"/>
        </w:rPr>
        <w:t>共同起草的团体标准《</w:t>
      </w:r>
      <w:r w:rsidR="004E0167">
        <w:rPr>
          <w:rFonts w:ascii="仿宋" w:eastAsia="仿宋" w:hAnsi="仿宋" w:hint="eastAsia"/>
          <w:sz w:val="32"/>
          <w:szCs w:val="32"/>
        </w:rPr>
        <w:t>水运建设项目突发环境事件应急预案编制规范</w:t>
      </w:r>
      <w:r>
        <w:rPr>
          <w:rFonts w:ascii="仿宋" w:eastAsia="仿宋" w:hAnsi="仿宋" w:hint="eastAsia"/>
          <w:sz w:val="32"/>
          <w:szCs w:val="32"/>
        </w:rPr>
        <w:t>》（项目编号：202</w:t>
      </w:r>
      <w:r w:rsidR="00FB2B02">
        <w:rPr>
          <w:rFonts w:ascii="仿宋" w:eastAsia="仿宋" w:hAnsi="仿宋" w:hint="eastAsia"/>
          <w:sz w:val="32"/>
          <w:szCs w:val="32"/>
        </w:rPr>
        <w:t>3</w:t>
      </w:r>
      <w:r>
        <w:rPr>
          <w:rFonts w:ascii="仿宋" w:eastAsia="仿宋" w:hAnsi="仿宋" w:hint="eastAsia"/>
          <w:sz w:val="32"/>
          <w:szCs w:val="32"/>
        </w:rPr>
        <w:t>-</w:t>
      </w:r>
      <w:r w:rsidR="00FB2B02">
        <w:rPr>
          <w:rFonts w:ascii="仿宋" w:eastAsia="仿宋" w:hAnsi="仿宋" w:hint="eastAsia"/>
          <w:sz w:val="32"/>
          <w:szCs w:val="32"/>
        </w:rPr>
        <w:t>7302</w:t>
      </w:r>
      <w:r>
        <w:rPr>
          <w:rFonts w:ascii="仿宋" w:eastAsia="仿宋" w:hAnsi="仿宋" w:hint="eastAsia"/>
          <w:sz w:val="32"/>
          <w:szCs w:val="32"/>
        </w:rPr>
        <w:t>），已获立项。</w:t>
      </w:r>
    </w:p>
    <w:p w:rsidR="00B94E0B" w:rsidRPr="00FB2B02" w:rsidRDefault="0080563C">
      <w:pPr>
        <w:spacing w:line="520" w:lineRule="exact"/>
        <w:ind w:firstLineChars="200" w:firstLine="640"/>
        <w:rPr>
          <w:rFonts w:ascii="宋体" w:hAnsi="宋体" w:cs="宋体"/>
          <w:sz w:val="32"/>
          <w:szCs w:val="32"/>
        </w:rPr>
      </w:pPr>
      <w:r>
        <w:rPr>
          <w:rFonts w:ascii="仿宋" w:eastAsia="仿宋" w:hAnsi="仿宋" w:hint="eastAsia"/>
          <w:sz w:val="32"/>
          <w:szCs w:val="32"/>
        </w:rPr>
        <w:t>为高质量编制团体标准《</w:t>
      </w:r>
      <w:r w:rsidR="004E0167">
        <w:rPr>
          <w:rFonts w:ascii="仿宋" w:eastAsia="仿宋" w:hAnsi="仿宋" w:hint="eastAsia"/>
          <w:sz w:val="32"/>
          <w:szCs w:val="32"/>
        </w:rPr>
        <w:t>水运建设项目突发环境事件应急预案编制规范</w:t>
      </w:r>
      <w:r>
        <w:rPr>
          <w:rFonts w:ascii="仿宋" w:eastAsia="仿宋" w:hAnsi="仿宋" w:hint="eastAsia"/>
          <w:sz w:val="32"/>
          <w:szCs w:val="32"/>
        </w:rPr>
        <w:t>》，由起草单位成立标准编制工作组并进行如下分工：</w:t>
      </w:r>
      <w:r w:rsidR="00380969" w:rsidRPr="00FB2B02">
        <w:rPr>
          <w:rFonts w:ascii="宋体" w:hAnsi="宋体" w:cs="宋体"/>
          <w:sz w:val="32"/>
          <w:szCs w:val="32"/>
        </w:rPr>
        <w:t xml:space="preserve"> </w:t>
      </w:r>
    </w:p>
    <w:tbl>
      <w:tblPr>
        <w:tblW w:w="9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8"/>
        <w:gridCol w:w="1134"/>
        <w:gridCol w:w="1134"/>
        <w:gridCol w:w="2268"/>
        <w:gridCol w:w="3494"/>
      </w:tblGrid>
      <w:tr w:rsidR="00B94E0B">
        <w:trPr>
          <w:trHeight w:val="438"/>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80563C">
            <w:pPr>
              <w:jc w:val="center"/>
              <w:rPr>
                <w:rFonts w:ascii="仿宋" w:eastAsia="仿宋" w:hAnsi="仿宋" w:cs="仿宋"/>
                <w:b/>
                <w:color w:val="000000" w:themeColor="text1"/>
                <w:sz w:val="24"/>
              </w:rPr>
            </w:pPr>
            <w:r>
              <w:rPr>
                <w:rFonts w:ascii="仿宋" w:eastAsia="仿宋" w:hAnsi="仿宋" w:cs="仿宋" w:hint="eastAsia"/>
                <w:b/>
                <w:color w:val="000000" w:themeColor="text1"/>
                <w:sz w:val="24"/>
              </w:rPr>
              <w:t>姓名</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80563C">
            <w:pPr>
              <w:jc w:val="center"/>
              <w:rPr>
                <w:rFonts w:ascii="仿宋" w:eastAsia="仿宋" w:hAnsi="仿宋" w:cs="仿宋"/>
                <w:b/>
                <w:color w:val="000000" w:themeColor="text1"/>
                <w:sz w:val="24"/>
              </w:rPr>
            </w:pPr>
            <w:r>
              <w:rPr>
                <w:rFonts w:ascii="仿宋" w:eastAsia="仿宋" w:hAnsi="仿宋" w:cs="仿宋" w:hint="eastAsia"/>
                <w:b/>
                <w:color w:val="000000" w:themeColor="text1"/>
                <w:sz w:val="24"/>
              </w:rPr>
              <w:t>职务/职称</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80563C">
            <w:pPr>
              <w:jc w:val="center"/>
              <w:rPr>
                <w:rFonts w:ascii="仿宋" w:eastAsia="仿宋" w:hAnsi="仿宋" w:cs="仿宋"/>
                <w:b/>
                <w:color w:val="000000" w:themeColor="text1"/>
                <w:sz w:val="24"/>
              </w:rPr>
            </w:pPr>
            <w:r>
              <w:rPr>
                <w:rFonts w:ascii="仿宋" w:eastAsia="仿宋" w:hAnsi="仿宋" w:cs="仿宋" w:hint="eastAsia"/>
                <w:b/>
                <w:color w:val="000000" w:themeColor="text1"/>
                <w:sz w:val="24"/>
              </w:rPr>
              <w:t>从事</w:t>
            </w:r>
          </w:p>
          <w:p w:rsidR="00B94E0B" w:rsidRDefault="0080563C">
            <w:pPr>
              <w:jc w:val="center"/>
              <w:rPr>
                <w:rFonts w:ascii="仿宋" w:eastAsia="仿宋" w:hAnsi="仿宋" w:cs="仿宋"/>
                <w:b/>
                <w:color w:val="000000" w:themeColor="text1"/>
                <w:sz w:val="24"/>
              </w:rPr>
            </w:pPr>
            <w:r>
              <w:rPr>
                <w:rFonts w:ascii="仿宋" w:eastAsia="仿宋" w:hAnsi="仿宋" w:cs="仿宋" w:hint="eastAsia"/>
                <w:b/>
                <w:color w:val="000000" w:themeColor="text1"/>
                <w:sz w:val="24"/>
              </w:rPr>
              <w:t>专业</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80563C">
            <w:pPr>
              <w:jc w:val="center"/>
              <w:rPr>
                <w:rFonts w:ascii="仿宋" w:eastAsia="仿宋" w:hAnsi="仿宋" w:cs="仿宋"/>
                <w:b/>
                <w:color w:val="000000" w:themeColor="text1"/>
                <w:sz w:val="24"/>
              </w:rPr>
            </w:pPr>
            <w:r>
              <w:rPr>
                <w:rFonts w:ascii="仿宋" w:eastAsia="仿宋" w:hAnsi="仿宋" w:cs="仿宋" w:hint="eastAsia"/>
                <w:b/>
                <w:color w:val="000000" w:themeColor="text1"/>
                <w:sz w:val="24"/>
              </w:rPr>
              <w:t>工作单位</w:t>
            </w:r>
          </w:p>
        </w:tc>
        <w:tc>
          <w:tcPr>
            <w:tcW w:w="3494" w:type="dxa"/>
            <w:tcBorders>
              <w:top w:val="single" w:sz="4" w:space="0" w:color="auto"/>
              <w:left w:val="single" w:sz="4" w:space="0" w:color="auto"/>
              <w:bottom w:val="single" w:sz="4" w:space="0" w:color="auto"/>
              <w:right w:val="single" w:sz="4" w:space="0" w:color="auto"/>
            </w:tcBorders>
            <w:vAlign w:val="center"/>
          </w:tcPr>
          <w:p w:rsidR="00B94E0B" w:rsidRDefault="0080563C">
            <w:pPr>
              <w:jc w:val="center"/>
              <w:rPr>
                <w:rFonts w:ascii="仿宋" w:eastAsia="仿宋" w:hAnsi="仿宋" w:cs="仿宋"/>
                <w:b/>
                <w:color w:val="0000FF"/>
                <w:sz w:val="24"/>
              </w:rPr>
            </w:pPr>
            <w:r>
              <w:rPr>
                <w:rFonts w:ascii="仿宋" w:eastAsia="仿宋" w:hAnsi="仿宋" w:cs="仿宋" w:hint="eastAsia"/>
                <w:b/>
                <w:sz w:val="24"/>
              </w:rPr>
              <w:t>主要负责工作</w:t>
            </w:r>
          </w:p>
        </w:tc>
      </w:tr>
      <w:tr w:rsidR="00B94E0B">
        <w:trPr>
          <w:trHeight w:val="628"/>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陆豫</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交通环保</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广西交科集团有限公司</w:t>
            </w:r>
          </w:p>
        </w:tc>
        <w:tc>
          <w:tcPr>
            <w:tcW w:w="3494" w:type="dxa"/>
            <w:tcBorders>
              <w:top w:val="single" w:sz="4" w:space="0" w:color="auto"/>
              <w:left w:val="single" w:sz="4" w:space="0" w:color="auto"/>
              <w:bottom w:val="single" w:sz="4" w:space="0" w:color="auto"/>
              <w:right w:val="single" w:sz="4" w:space="0" w:color="auto"/>
            </w:tcBorders>
            <w:vAlign w:val="center"/>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统筹主持标准编制工作</w:t>
            </w:r>
          </w:p>
        </w:tc>
      </w:tr>
      <w:tr w:rsidR="00B94E0B">
        <w:trPr>
          <w:trHeight w:val="628"/>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张建球</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广西交科集团有限公司</w:t>
            </w:r>
          </w:p>
        </w:tc>
        <w:tc>
          <w:tcPr>
            <w:tcW w:w="3494" w:type="dxa"/>
            <w:tcBorders>
              <w:top w:val="single" w:sz="4" w:space="0" w:color="auto"/>
              <w:left w:val="single" w:sz="4" w:space="0" w:color="auto"/>
              <w:bottom w:val="single" w:sz="4" w:space="0" w:color="auto"/>
              <w:right w:val="single" w:sz="4" w:space="0" w:color="auto"/>
            </w:tcBorders>
            <w:vAlign w:val="center"/>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参与标准编制工作，组织人员进行标准发布后的宣贯培训</w:t>
            </w:r>
          </w:p>
        </w:tc>
      </w:tr>
      <w:tr w:rsidR="00B94E0B">
        <w:trPr>
          <w:trHeight w:val="628"/>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刘国亮</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交通环保</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广西交科集团有限公司</w:t>
            </w:r>
          </w:p>
        </w:tc>
        <w:tc>
          <w:tcPr>
            <w:tcW w:w="3494" w:type="dxa"/>
            <w:tcBorders>
              <w:top w:val="single" w:sz="4" w:space="0" w:color="auto"/>
              <w:left w:val="single" w:sz="4" w:space="0" w:color="auto"/>
              <w:bottom w:val="single" w:sz="4" w:space="0" w:color="auto"/>
              <w:right w:val="single" w:sz="4" w:space="0" w:color="auto"/>
            </w:tcBorders>
            <w:vAlign w:val="center"/>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参与标准文本及编制说明编写，质量控制</w:t>
            </w:r>
          </w:p>
        </w:tc>
      </w:tr>
      <w:tr w:rsidR="00B94E0B">
        <w:trPr>
          <w:trHeight w:val="644"/>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04224B" w:rsidP="00FB2B02">
            <w:pPr>
              <w:rPr>
                <w:rFonts w:ascii="仿宋" w:eastAsia="仿宋" w:hAnsi="仿宋" w:cs="仿宋_GB2312"/>
                <w:sz w:val="24"/>
                <w:lang w:bidi="ar"/>
              </w:rPr>
            </w:pPr>
            <w:r>
              <w:rPr>
                <w:rFonts w:ascii="仿宋" w:eastAsia="仿宋" w:hAnsi="仿宋" w:cs="仿宋_GB2312" w:hint="eastAsia"/>
                <w:sz w:val="24"/>
                <w:lang w:bidi="ar"/>
              </w:rPr>
              <w:t>刘陈鸿</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交通环保</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广西交科集团有限公司</w:t>
            </w:r>
          </w:p>
        </w:tc>
        <w:tc>
          <w:tcPr>
            <w:tcW w:w="3494" w:type="dxa"/>
            <w:tcBorders>
              <w:top w:val="single" w:sz="4" w:space="0" w:color="auto"/>
              <w:left w:val="single" w:sz="4" w:space="0" w:color="auto"/>
              <w:bottom w:val="single" w:sz="4" w:space="0" w:color="auto"/>
              <w:right w:val="single" w:sz="4" w:space="0" w:color="auto"/>
            </w:tcBorders>
            <w:vAlign w:val="center"/>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石柳</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交通环保</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广西交科集团有限公司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潘新恩</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广西交科集团有限公司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t>秦丹</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交通环保</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广西交科集团有限公司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04224B">
            <w:pPr>
              <w:jc w:val="center"/>
              <w:rPr>
                <w:rFonts w:ascii="仿宋" w:eastAsia="仿宋" w:hAnsi="仿宋" w:cs="仿宋_GB2312"/>
                <w:sz w:val="24"/>
                <w:lang w:bidi="ar"/>
              </w:rPr>
            </w:pPr>
            <w:r>
              <w:rPr>
                <w:rFonts w:ascii="仿宋" w:eastAsia="仿宋" w:hAnsi="仿宋" w:cs="仿宋_GB2312" w:hint="eastAsia"/>
                <w:sz w:val="24"/>
                <w:lang w:bidi="ar"/>
              </w:rPr>
              <w:lastRenderedPageBreak/>
              <w:t>夏旖琪</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工程地质</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广西交科集团有限公司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纪懿桓</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北部湾港股份有限公司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80563C">
            <w:pPr>
              <w:rPr>
                <w:rFonts w:ascii="仿宋" w:eastAsia="仿宋" w:hAnsi="仿宋" w:cs="Times New Roman"/>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黎肇虎</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北部湾港股份有限公司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80563C">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274"/>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林荫叶</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北部湾港股份有限公司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80563C">
            <w:pPr>
              <w:rPr>
                <w:rFonts w:ascii="仿宋" w:eastAsia="仿宋" w:hAnsi="仿宋" w:cs="Times New Roman"/>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邓翰京</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Pr="00FB2B02" w:rsidRDefault="006835DA">
            <w:pPr>
              <w:jc w:val="center"/>
              <w:rPr>
                <w:rFonts w:ascii="仿宋" w:eastAsia="仿宋" w:hAnsi="仿宋" w:cs="仿宋_GB2312"/>
                <w:sz w:val="24"/>
                <w:lang w:bidi="ar"/>
              </w:rPr>
            </w:pPr>
            <w:r>
              <w:rPr>
                <w:rFonts w:ascii="仿宋" w:eastAsia="仿宋" w:hAnsi="仿宋" w:cs="仿宋_GB2312" w:hint="eastAsia"/>
                <w:sz w:val="24"/>
                <w:lang w:bidi="ar"/>
              </w:rPr>
              <w:t>北部湾港股份有限公司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80563C">
            <w:pPr>
              <w:rPr>
                <w:rFonts w:ascii="仿宋" w:eastAsia="仿宋" w:hAnsi="仿宋" w:cs="Times New Roman"/>
              </w:rPr>
            </w:pPr>
            <w:r>
              <w:rPr>
                <w:rFonts w:ascii="仿宋" w:eastAsia="仿宋" w:hAnsi="仿宋" w:cs="仿宋_GB2312" w:hint="eastAsia"/>
                <w:sz w:val="24"/>
                <w:lang w:bidi="ar"/>
              </w:rPr>
              <w:t>参与标准文本及编制说明的编写；对标准实施情况进行总结分析，不断对标准提出修正意见</w:t>
            </w:r>
          </w:p>
        </w:tc>
      </w:tr>
      <w:tr w:rsidR="00B94E0B">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秦勤</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B94E0B" w:rsidRDefault="006835DA">
            <w:pPr>
              <w:jc w:val="center"/>
              <w:rPr>
                <w:rFonts w:ascii="仿宋" w:eastAsia="仿宋" w:hAnsi="仿宋" w:cs="仿宋_GB2312"/>
                <w:sz w:val="24"/>
                <w:lang w:bidi="ar"/>
              </w:rPr>
            </w:pPr>
            <w:r>
              <w:rPr>
                <w:rFonts w:ascii="仿宋" w:eastAsia="仿宋" w:hAnsi="仿宋" w:cs="仿宋_GB2312" w:hint="eastAsia"/>
                <w:sz w:val="24"/>
                <w:lang w:bidi="ar"/>
              </w:rPr>
              <w:t>北部湾港股份有限公司</w:t>
            </w:r>
          </w:p>
        </w:tc>
        <w:tc>
          <w:tcPr>
            <w:tcW w:w="3494" w:type="dxa"/>
            <w:tcBorders>
              <w:top w:val="single" w:sz="4" w:space="0" w:color="auto"/>
              <w:left w:val="single" w:sz="4" w:space="0" w:color="auto"/>
              <w:bottom w:val="single" w:sz="4" w:space="0" w:color="auto"/>
              <w:right w:val="single" w:sz="4" w:space="0" w:color="auto"/>
            </w:tcBorders>
          </w:tcPr>
          <w:p w:rsidR="00B94E0B" w:rsidRDefault="006835DA">
            <w:pPr>
              <w:rPr>
                <w:rFonts w:ascii="仿宋" w:eastAsia="仿宋" w:hAnsi="仿宋" w:cs="Times New Roman"/>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郑力华</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北部湾港股份有限公司</w:t>
            </w:r>
          </w:p>
        </w:tc>
        <w:tc>
          <w:tcPr>
            <w:tcW w:w="3494" w:type="dxa"/>
            <w:tcBorders>
              <w:top w:val="single" w:sz="4" w:space="0" w:color="auto"/>
              <w:left w:val="single" w:sz="4" w:space="0" w:color="auto"/>
              <w:bottom w:val="single" w:sz="4" w:space="0" w:color="auto"/>
              <w:right w:val="single" w:sz="4" w:space="0" w:color="auto"/>
            </w:tcBorders>
          </w:tcPr>
          <w:p w:rsidR="006835DA" w:rsidRDefault="006835DA">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骆千珺</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港口航道与海岸工程</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北部湾港股份有限公司</w:t>
            </w:r>
          </w:p>
        </w:tc>
        <w:tc>
          <w:tcPr>
            <w:tcW w:w="3494" w:type="dxa"/>
            <w:tcBorders>
              <w:top w:val="single" w:sz="4" w:space="0" w:color="auto"/>
              <w:left w:val="single" w:sz="4" w:space="0" w:color="auto"/>
              <w:bottom w:val="single" w:sz="4" w:space="0" w:color="auto"/>
              <w:right w:val="single" w:sz="4" w:space="0" w:color="auto"/>
            </w:tcBorders>
          </w:tcPr>
          <w:p w:rsidR="006835DA" w:rsidRDefault="006835DA">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吴开庆</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6835DA">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赵侣璇</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正高级工程师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6835DA">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冯媛</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6835DA">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李丽</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6835DA">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梁静</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6835DA">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何彦芳</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6835DA">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lastRenderedPageBreak/>
              <w:t>刘冰燕</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9B7AD4">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黄俊凯</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9B7AD4">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梁明奇</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助理工程师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9B7AD4">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翁锐</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助理工程师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环境科学</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广西壮族自治区环境保护科学研究院</w:t>
            </w:r>
          </w:p>
        </w:tc>
        <w:tc>
          <w:tcPr>
            <w:tcW w:w="3494" w:type="dxa"/>
            <w:tcBorders>
              <w:top w:val="single" w:sz="4" w:space="0" w:color="auto"/>
              <w:left w:val="single" w:sz="4" w:space="0" w:color="auto"/>
              <w:bottom w:val="single" w:sz="4" w:space="0" w:color="auto"/>
              <w:right w:val="single" w:sz="4" w:space="0" w:color="auto"/>
            </w:tcBorders>
          </w:tcPr>
          <w:p w:rsidR="006835DA" w:rsidRDefault="009B7AD4">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韦志成</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水利工程</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广西珠委南宁勘测设计院有限公司</w:t>
            </w:r>
          </w:p>
        </w:tc>
        <w:tc>
          <w:tcPr>
            <w:tcW w:w="3494" w:type="dxa"/>
            <w:tcBorders>
              <w:top w:val="single" w:sz="4" w:space="0" w:color="auto"/>
              <w:left w:val="single" w:sz="4" w:space="0" w:color="auto"/>
              <w:bottom w:val="single" w:sz="4" w:space="0" w:color="auto"/>
              <w:right w:val="single" w:sz="4" w:space="0" w:color="auto"/>
            </w:tcBorders>
          </w:tcPr>
          <w:p w:rsidR="006835DA" w:rsidRDefault="009B7AD4">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李栋</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水利工程及水土保持</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广西珠委南宁勘测设计院有限公司</w:t>
            </w:r>
          </w:p>
        </w:tc>
        <w:tc>
          <w:tcPr>
            <w:tcW w:w="3494" w:type="dxa"/>
            <w:tcBorders>
              <w:top w:val="single" w:sz="4" w:space="0" w:color="auto"/>
              <w:left w:val="single" w:sz="4" w:space="0" w:color="auto"/>
              <w:bottom w:val="single" w:sz="4" w:space="0" w:color="auto"/>
              <w:right w:val="single" w:sz="4" w:space="0" w:color="auto"/>
            </w:tcBorders>
          </w:tcPr>
          <w:p w:rsidR="006835DA" w:rsidRDefault="009B7AD4">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张益源</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水利工程及水土保持</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广西珠委南宁勘测设计院有限公司</w:t>
            </w:r>
          </w:p>
        </w:tc>
        <w:tc>
          <w:tcPr>
            <w:tcW w:w="3494" w:type="dxa"/>
            <w:tcBorders>
              <w:top w:val="single" w:sz="4" w:space="0" w:color="auto"/>
              <w:left w:val="single" w:sz="4" w:space="0" w:color="auto"/>
              <w:bottom w:val="single" w:sz="4" w:space="0" w:color="auto"/>
              <w:right w:val="single" w:sz="4" w:space="0" w:color="auto"/>
            </w:tcBorders>
          </w:tcPr>
          <w:p w:rsidR="006835DA" w:rsidRDefault="009B7AD4">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r w:rsidR="006835DA">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农丽薇</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高级工程师</w:t>
            </w:r>
          </w:p>
        </w:tc>
        <w:tc>
          <w:tcPr>
            <w:tcW w:w="1134" w:type="dxa"/>
            <w:tcBorders>
              <w:top w:val="single" w:sz="4" w:space="0" w:color="auto"/>
              <w:left w:val="single" w:sz="4" w:space="0" w:color="auto"/>
              <w:bottom w:val="single" w:sz="4" w:space="0" w:color="auto"/>
              <w:right w:val="single" w:sz="4" w:space="0" w:color="auto"/>
            </w:tcBorders>
            <w:vAlign w:val="center"/>
          </w:tcPr>
          <w:p w:rsidR="006835DA" w:rsidRDefault="006835DA">
            <w:pPr>
              <w:jc w:val="center"/>
              <w:rPr>
                <w:rFonts w:ascii="仿宋" w:eastAsia="仿宋" w:hAnsi="仿宋" w:cs="仿宋_GB2312"/>
                <w:sz w:val="24"/>
                <w:lang w:bidi="ar"/>
              </w:rPr>
            </w:pPr>
            <w:r>
              <w:rPr>
                <w:rFonts w:ascii="仿宋" w:eastAsia="仿宋" w:hAnsi="仿宋" w:cs="仿宋_GB2312" w:hint="eastAsia"/>
                <w:sz w:val="24"/>
                <w:lang w:bidi="ar"/>
              </w:rPr>
              <w:t>生态环境保护</w:t>
            </w:r>
          </w:p>
        </w:tc>
        <w:tc>
          <w:tcPr>
            <w:tcW w:w="2268" w:type="dxa"/>
            <w:tcBorders>
              <w:top w:val="single" w:sz="4" w:space="0" w:color="auto"/>
              <w:left w:val="single" w:sz="4" w:space="0" w:color="auto"/>
              <w:bottom w:val="single" w:sz="4" w:space="0" w:color="auto"/>
              <w:right w:val="single" w:sz="4" w:space="0" w:color="auto"/>
            </w:tcBorders>
            <w:vAlign w:val="center"/>
          </w:tcPr>
          <w:p w:rsidR="006835DA" w:rsidRDefault="009B7AD4">
            <w:pPr>
              <w:jc w:val="center"/>
              <w:rPr>
                <w:rFonts w:ascii="仿宋" w:eastAsia="仿宋" w:hAnsi="仿宋" w:cs="仿宋_GB2312"/>
                <w:sz w:val="24"/>
                <w:lang w:bidi="ar"/>
              </w:rPr>
            </w:pPr>
            <w:r>
              <w:rPr>
                <w:rFonts w:ascii="仿宋" w:eastAsia="仿宋" w:hAnsi="仿宋" w:cs="仿宋_GB2312" w:hint="eastAsia"/>
                <w:sz w:val="24"/>
                <w:lang w:bidi="ar"/>
              </w:rPr>
              <w:t>广西珠委南宁勘测设计院有限公司</w:t>
            </w:r>
          </w:p>
        </w:tc>
        <w:tc>
          <w:tcPr>
            <w:tcW w:w="3494" w:type="dxa"/>
            <w:tcBorders>
              <w:top w:val="single" w:sz="4" w:space="0" w:color="auto"/>
              <w:left w:val="single" w:sz="4" w:space="0" w:color="auto"/>
              <w:bottom w:val="single" w:sz="4" w:space="0" w:color="auto"/>
              <w:right w:val="single" w:sz="4" w:space="0" w:color="auto"/>
            </w:tcBorders>
          </w:tcPr>
          <w:p w:rsidR="006835DA" w:rsidRDefault="009B7AD4">
            <w:pPr>
              <w:rPr>
                <w:rFonts w:ascii="仿宋" w:eastAsia="仿宋" w:hAnsi="仿宋" w:cs="仿宋_GB2312"/>
                <w:sz w:val="24"/>
                <w:lang w:bidi="ar"/>
              </w:rPr>
            </w:pPr>
            <w:r>
              <w:rPr>
                <w:rFonts w:ascii="仿宋" w:eastAsia="仿宋" w:hAnsi="仿宋" w:cs="仿宋_GB2312" w:hint="eastAsia"/>
                <w:sz w:val="24"/>
                <w:lang w:bidi="ar"/>
              </w:rPr>
              <w:t>参与标准文本及编制说明的编写；对标准实施情况进行总结分析，不断对标准提出修正意见</w:t>
            </w:r>
          </w:p>
        </w:tc>
      </w:tr>
    </w:tbl>
    <w:p w:rsidR="00B94E0B" w:rsidRDefault="0080563C">
      <w:pPr>
        <w:spacing w:line="520" w:lineRule="exact"/>
        <w:rPr>
          <w:rFonts w:ascii="黑体" w:eastAsia="黑体" w:cs="仿宋_GB2312"/>
          <w:sz w:val="32"/>
          <w:szCs w:val="32"/>
        </w:rPr>
      </w:pPr>
      <w:r>
        <w:rPr>
          <w:rFonts w:ascii="黑体" w:eastAsia="黑体" w:cs="仿宋_GB2312" w:hint="eastAsia"/>
          <w:sz w:val="32"/>
          <w:szCs w:val="32"/>
        </w:rPr>
        <w:t>二、制定标准的必要性和意义</w:t>
      </w:r>
    </w:p>
    <w:p w:rsidR="00FB2B02" w:rsidRPr="00FB2B02" w:rsidRDefault="00FB2B02" w:rsidP="00FB2B02">
      <w:pPr>
        <w:spacing w:line="520" w:lineRule="exact"/>
        <w:ind w:firstLineChars="200" w:firstLine="640"/>
        <w:rPr>
          <w:rFonts w:ascii="仿宋" w:eastAsia="仿宋" w:hAnsi="仿宋"/>
          <w:sz w:val="32"/>
          <w:szCs w:val="32"/>
        </w:rPr>
      </w:pPr>
      <w:r w:rsidRPr="00FB2B02">
        <w:rPr>
          <w:rFonts w:ascii="仿宋" w:eastAsia="仿宋" w:hAnsi="仿宋" w:hint="eastAsia"/>
          <w:sz w:val="32"/>
          <w:szCs w:val="32"/>
        </w:rPr>
        <w:t>水运工程建设项目在我国经济发展中发挥着重要的作用，对我国的经济贸易以及各项业务往来具有重要的意义。水运工程建设项目是一项复杂的系统工程,在工程建设中，会有众多的施工单位参与，并且施工环节众多。水利工程设施的建设不可避免地对环境产生影响，且这种影响具有复杂性、多层次性和长周期性。水运建设项目主要包括港口工程、航道整治、航道疏浚、航运枢纽、过船建筑物、修造船水工建筑物等及其附属建筑物和设施。随着我国水运建设步伐的加快,项目施工过程中会对环境造成的影响越来越受到重视。水运建设项目施工期的环境影响涉及多个方面，主要包括水、空气、土壤、噪声、固体废物和生态等。</w:t>
      </w:r>
    </w:p>
    <w:p w:rsidR="00FB2B02" w:rsidRPr="00FB2B02" w:rsidRDefault="00FB2B02" w:rsidP="00FB2B02">
      <w:pPr>
        <w:spacing w:line="520" w:lineRule="exact"/>
        <w:ind w:firstLineChars="200" w:firstLine="640"/>
        <w:rPr>
          <w:rFonts w:ascii="仿宋" w:eastAsia="仿宋" w:hAnsi="仿宋"/>
          <w:sz w:val="32"/>
          <w:szCs w:val="32"/>
        </w:rPr>
      </w:pPr>
      <w:r w:rsidRPr="00FB2B02">
        <w:rPr>
          <w:rFonts w:ascii="仿宋" w:eastAsia="仿宋" w:hAnsi="仿宋" w:hint="eastAsia"/>
          <w:sz w:val="32"/>
          <w:szCs w:val="32"/>
        </w:rPr>
        <w:t>近年来，随着水运的发展，水运基础设施建设不断加快，水</w:t>
      </w:r>
      <w:r w:rsidRPr="00FB2B02">
        <w:rPr>
          <w:rFonts w:ascii="仿宋" w:eastAsia="仿宋" w:hAnsi="仿宋" w:hint="eastAsia"/>
          <w:sz w:val="32"/>
          <w:szCs w:val="32"/>
        </w:rPr>
        <w:lastRenderedPageBreak/>
        <w:t>运工程建设项目增多、规模逐渐扩大。据交通运输部统计，至2020年底全国沿海港口万吨级以上泊位达到2576个，综合通过能力91亿吨，其中广西万吨级及以上泊位达到98个，综合通过能力达4亿吨。目前全国20个省（区、市）在建大中型水运工程项目209个，其中沿海港口、沿海航道工程项目103个，建设总投资约1654亿元。2022年8月，西部陆海新通道骨干工程“平陆运河”正式开工建设，运河从南宁市经钦州市沿钦江进入北部湾，全长约135公里，被称为“世纪工程”。为满足大型船舶通航需求，沿海航道也随之进入发展高峰阶段，大量的沿海航道及码头亟需进行增建、扩建。</w:t>
      </w:r>
    </w:p>
    <w:p w:rsidR="00FB2B02" w:rsidRPr="00FB2B02" w:rsidRDefault="00FB2B02" w:rsidP="00FB2B02">
      <w:pPr>
        <w:spacing w:line="520" w:lineRule="exact"/>
        <w:ind w:firstLineChars="200" w:firstLine="640"/>
        <w:rPr>
          <w:rFonts w:ascii="仿宋" w:eastAsia="仿宋" w:hAnsi="仿宋"/>
          <w:sz w:val="32"/>
          <w:szCs w:val="32"/>
        </w:rPr>
      </w:pPr>
      <w:r w:rsidRPr="00FB2B02">
        <w:rPr>
          <w:rFonts w:ascii="仿宋" w:eastAsia="仿宋" w:hAnsi="仿宋" w:hint="eastAsia"/>
          <w:sz w:val="32"/>
          <w:szCs w:val="32"/>
        </w:rPr>
        <w:t>然而，在水运工程施工过程中，突发环境污染事故是不可避免的，其影响因素具有不可控性以及多层次、多角度的特点，往往会由于施工技术、工艺、人为操作等因素限制而对周围生态环境产生破坏影响，导致海洋资源衰减、海洋生态系统退化、生态服务功能下降等环境问题。2021年4月中央第七生态环境保护督察组对广西开展督察发现，北海铁山港东岸榄根作业区由于施工作业不规范，在围堰尚未合拢的情况下强行作业，使得大量含高岭土的污水进入红树林区域，加之施工方案不当造成区域水动力减弱，高岭土悬浮物堆积及粘附在红树林上，影响其呼吸及光合作用，导致红树林大面积死亡，经司法鉴定，该区域红树林受损面积达257.67亩，其中严重退化155.07亩，死亡102.6亩，死亡株数达37988株，区域生态系统受损严重。根据北部湾港总体规划环境影响评价预测分析结果，如不采取有效的环境保护措施、优化施工方案、规范施工作业，广西北部湾近岸海域因港口、航道工程建设导致的生物损失量将达到 12.7万吨，造成经济损失可达19.06亿元。</w:t>
      </w:r>
    </w:p>
    <w:p w:rsidR="00B94E0B" w:rsidRDefault="00FB2B02" w:rsidP="00FB2B02">
      <w:pPr>
        <w:spacing w:line="520" w:lineRule="exact"/>
        <w:ind w:firstLineChars="200" w:firstLine="640"/>
        <w:rPr>
          <w:rFonts w:ascii="仿宋" w:eastAsia="仿宋" w:hAnsi="仿宋"/>
          <w:sz w:val="32"/>
          <w:szCs w:val="32"/>
        </w:rPr>
      </w:pPr>
      <w:r w:rsidRPr="00FB2B02">
        <w:rPr>
          <w:rFonts w:ascii="仿宋" w:eastAsia="仿宋" w:hAnsi="仿宋" w:hint="eastAsia"/>
          <w:sz w:val="32"/>
          <w:szCs w:val="32"/>
        </w:rPr>
        <w:lastRenderedPageBreak/>
        <w:t>突发环境事故是指一些污染物质在存储时因操作失误而发生泄漏，或是因自然灾害而导致环境受到污染。因为具体的污染情况具有一定不确定性,为污染处理带来难度，给人民的人身安全带来巨大的威胁。突发环境事件通常由环境风险引发的，环境风险是可能引起环境污染事故发生,从而对环境或生态系统或其组分产生不利作用的部分。它的内涵不仅包括污染事件对周边敏感受体所产生的危害性影响,还包括环境风险释放的不确定性。相较于其他环境污染事故，突发性环境污染事故具有危险源种类多样，事故发生不可预估性强，应急处理缓冲时间段，处理手段复杂，环境破坏性强且持续时间长等特点。一旦突发性环境污染事故没有得到有效的组织协调处理，所引发的环境破坏作用将难以消除，对生态环境、自然界动植物物种的影响非常深远。水运建设项目一般建设投资较大，对经济社会的发展有着非常重要的影响。如果在项目建设工作开展期间，做好必要的环境保护工作，可有效保证水运建设项目正常发挥作用。</w:t>
      </w:r>
    </w:p>
    <w:p w:rsidR="00B94E0B" w:rsidRDefault="0080563C">
      <w:pPr>
        <w:spacing w:line="520" w:lineRule="exact"/>
        <w:ind w:firstLineChars="200" w:firstLine="640"/>
        <w:rPr>
          <w:rFonts w:ascii="仿宋_GB2312" w:eastAsia="仿宋_GB2312"/>
          <w:sz w:val="28"/>
          <w:szCs w:val="28"/>
        </w:rPr>
      </w:pPr>
      <w:r>
        <w:rPr>
          <w:rFonts w:ascii="仿宋" w:eastAsia="仿宋" w:hAnsi="仿宋" w:hint="eastAsia"/>
          <w:sz w:val="32"/>
          <w:szCs w:val="32"/>
        </w:rPr>
        <w:t>通过制定团体标准《</w:t>
      </w:r>
      <w:r w:rsidR="004E0167">
        <w:rPr>
          <w:rFonts w:ascii="仿宋" w:eastAsia="仿宋" w:hAnsi="仿宋" w:hint="eastAsia"/>
          <w:sz w:val="32"/>
          <w:szCs w:val="32"/>
        </w:rPr>
        <w:t>水运建设项目突发环境事件应急预案编制规范</w:t>
      </w:r>
      <w:r>
        <w:rPr>
          <w:rFonts w:ascii="仿宋" w:eastAsia="仿宋" w:hAnsi="仿宋" w:hint="eastAsia"/>
          <w:sz w:val="32"/>
          <w:szCs w:val="32"/>
        </w:rPr>
        <w:t>》，</w:t>
      </w:r>
      <w:r w:rsidR="00FB2B02" w:rsidRPr="00FB2B02">
        <w:rPr>
          <w:rFonts w:ascii="仿宋" w:eastAsia="仿宋" w:hAnsi="仿宋" w:hint="eastAsia"/>
          <w:sz w:val="32"/>
          <w:szCs w:val="32"/>
        </w:rPr>
        <w:t>规范</w:t>
      </w:r>
      <w:r w:rsidR="004E0167">
        <w:rPr>
          <w:rFonts w:ascii="仿宋" w:eastAsia="仿宋" w:hAnsi="仿宋" w:hint="eastAsia"/>
          <w:sz w:val="32"/>
          <w:szCs w:val="32"/>
        </w:rPr>
        <w:t>水运建设项目突发环境事件应急预案</w:t>
      </w:r>
      <w:r w:rsidR="00FB2B02" w:rsidRPr="00FB2B02">
        <w:rPr>
          <w:rFonts w:ascii="仿宋" w:eastAsia="仿宋" w:hAnsi="仿宋" w:hint="eastAsia"/>
          <w:sz w:val="32"/>
          <w:szCs w:val="32"/>
        </w:rPr>
        <w:t>的编制，统一规范预案编制程序、预案编写、预案管理以及预案主要内容等编制要求等，对保护环境和生态系统、促进可持续发展、保障公众参与权益，以及提高评价的透明度和可信度有重要意义</w:t>
      </w:r>
      <w:r>
        <w:rPr>
          <w:rFonts w:ascii="仿宋" w:eastAsia="仿宋" w:hAnsi="仿宋" w:hint="eastAsia"/>
          <w:sz w:val="32"/>
          <w:szCs w:val="32"/>
        </w:rPr>
        <w:t>。</w:t>
      </w:r>
    </w:p>
    <w:p w:rsidR="00B94E0B" w:rsidRDefault="0080563C">
      <w:pPr>
        <w:autoSpaceDE w:val="0"/>
        <w:autoSpaceDN w:val="0"/>
        <w:adjustRightInd w:val="0"/>
        <w:spacing w:line="520" w:lineRule="exact"/>
        <w:jc w:val="left"/>
        <w:rPr>
          <w:rFonts w:ascii="黑体" w:eastAsia="黑体" w:cs="仿宋_GB2312"/>
          <w:sz w:val="32"/>
          <w:szCs w:val="32"/>
        </w:rPr>
      </w:pPr>
      <w:r>
        <w:rPr>
          <w:rFonts w:ascii="黑体" w:eastAsia="黑体" w:cs="仿宋_GB2312" w:hint="eastAsia"/>
          <w:sz w:val="32"/>
          <w:szCs w:val="32"/>
        </w:rPr>
        <w:t>三、主要起草过程</w:t>
      </w:r>
    </w:p>
    <w:p w:rsidR="00B94E0B" w:rsidRDefault="0080563C">
      <w:pPr>
        <w:spacing w:line="520" w:lineRule="exact"/>
        <w:ind w:firstLine="675"/>
        <w:rPr>
          <w:rFonts w:ascii="仿宋" w:eastAsia="仿宋" w:hAnsi="仿宋" w:cs="仿宋_GB2312"/>
          <w:b/>
          <w:sz w:val="32"/>
          <w:szCs w:val="32"/>
        </w:rPr>
      </w:pPr>
      <w:r>
        <w:rPr>
          <w:rFonts w:ascii="仿宋" w:eastAsia="仿宋" w:hAnsi="仿宋" w:cs="仿宋_GB2312" w:hint="eastAsia"/>
          <w:b/>
          <w:sz w:val="32"/>
          <w:szCs w:val="32"/>
        </w:rPr>
        <w:t>（一）成立标准编制工作组</w:t>
      </w:r>
    </w:p>
    <w:p w:rsidR="00B94E0B" w:rsidRDefault="0080563C">
      <w:pPr>
        <w:spacing w:line="520" w:lineRule="exact"/>
        <w:ind w:firstLineChars="200" w:firstLine="640"/>
        <w:jc w:val="left"/>
        <w:rPr>
          <w:rFonts w:ascii="仿宋" w:eastAsia="仿宋" w:hAnsi="仿宋"/>
          <w:sz w:val="32"/>
          <w:szCs w:val="32"/>
        </w:rPr>
      </w:pPr>
      <w:r>
        <w:rPr>
          <w:rFonts w:ascii="仿宋" w:eastAsia="仿宋" w:hAnsi="仿宋" w:hint="eastAsia"/>
          <w:sz w:val="32"/>
          <w:szCs w:val="32"/>
        </w:rPr>
        <w:t>团体标准《</w:t>
      </w:r>
      <w:r w:rsidR="004E0167">
        <w:rPr>
          <w:rFonts w:ascii="仿宋" w:eastAsia="仿宋" w:hAnsi="仿宋" w:hint="eastAsia"/>
          <w:sz w:val="32"/>
          <w:szCs w:val="32"/>
        </w:rPr>
        <w:t>水运建设项目突发环境事件应急预案编制规范</w:t>
      </w:r>
      <w:r>
        <w:rPr>
          <w:rFonts w:ascii="仿宋" w:eastAsia="仿宋" w:hAnsi="仿宋" w:hint="eastAsia"/>
          <w:sz w:val="32"/>
          <w:szCs w:val="32"/>
        </w:rPr>
        <w:t>》项目任务下达后，</w:t>
      </w:r>
      <w:r w:rsidR="00361596" w:rsidRPr="00361596">
        <w:rPr>
          <w:rFonts w:ascii="仿宋" w:eastAsia="仿宋" w:hAnsi="仿宋" w:hint="eastAsia"/>
          <w:sz w:val="32"/>
          <w:szCs w:val="32"/>
        </w:rPr>
        <w:t>广西交科集团有限公司、北部湾港股份有限公司、广西壮族自治区环境保护科学研究院、广西珠委南宁勘测设计院有限公司</w:t>
      </w:r>
      <w:r>
        <w:rPr>
          <w:rFonts w:ascii="仿宋" w:eastAsia="仿宋" w:hAnsi="仿宋" w:hint="eastAsia"/>
          <w:sz w:val="32"/>
          <w:szCs w:val="32"/>
        </w:rPr>
        <w:t>成立了标准编制工作组，制定了起草编写方案与进</w:t>
      </w:r>
      <w:r>
        <w:rPr>
          <w:rFonts w:ascii="仿宋" w:eastAsia="仿宋" w:hAnsi="仿宋" w:hint="eastAsia"/>
          <w:sz w:val="32"/>
          <w:szCs w:val="32"/>
        </w:rPr>
        <w:lastRenderedPageBreak/>
        <w:t>度安排，明确任务职责，确定工作技术路线，开展标准研制工作。具体标准编制工作由起草单位相关人员配合完成。</w:t>
      </w:r>
    </w:p>
    <w:p w:rsidR="00B94E0B" w:rsidRDefault="0080563C">
      <w:pPr>
        <w:spacing w:line="520" w:lineRule="exact"/>
        <w:ind w:firstLineChars="200" w:firstLine="640"/>
        <w:rPr>
          <w:rFonts w:ascii="仿宋_GB2312" w:eastAsia="仿宋_GB2312" w:cs="仿宋_GB2312"/>
          <w:sz w:val="28"/>
          <w:szCs w:val="28"/>
        </w:rPr>
      </w:pPr>
      <w:r>
        <w:rPr>
          <w:rFonts w:ascii="仿宋" w:eastAsia="仿宋" w:hAnsi="仿宋" w:hint="eastAsia"/>
          <w:sz w:val="32"/>
          <w:szCs w:val="32"/>
        </w:rPr>
        <w:t>为了明确标准编制的任务职责，确定工作技术路线，开展标准研制工作。标准编制工作组下设二个组，分别是资料收集组、草案编写组。资料收集组负责国内外有关</w:t>
      </w:r>
      <w:r w:rsidR="004E0167">
        <w:rPr>
          <w:rFonts w:ascii="仿宋" w:eastAsia="仿宋" w:hAnsi="仿宋" w:hint="eastAsia"/>
          <w:sz w:val="32"/>
          <w:szCs w:val="32"/>
        </w:rPr>
        <w:t>水运建设项目突发环境事件应急预案</w:t>
      </w:r>
      <w:r w:rsidR="00361596" w:rsidRPr="00361596">
        <w:rPr>
          <w:rFonts w:ascii="仿宋" w:eastAsia="仿宋" w:hAnsi="仿宋" w:hint="eastAsia"/>
          <w:sz w:val="32"/>
          <w:szCs w:val="32"/>
        </w:rPr>
        <w:t>编制</w:t>
      </w:r>
      <w:r>
        <w:rPr>
          <w:rFonts w:ascii="仿宋" w:eastAsia="仿宋" w:hAnsi="仿宋" w:hint="eastAsia"/>
          <w:sz w:val="32"/>
          <w:szCs w:val="32"/>
        </w:rPr>
        <w:t>方面的文献资料的查询、收集和整理工作，查阅前期对</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sz w:val="32"/>
          <w:szCs w:val="32"/>
        </w:rPr>
        <w:t>方面的有关研究情况和目前科学界</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sz w:val="32"/>
          <w:szCs w:val="32"/>
        </w:rPr>
        <w:t>的研究进展；草案编写组负责起草标准草案及后续征求意见稿和标准编制说明、送审稿及编制说明等编写工作，包括后期召开征求意见会、网上征求意见，以及标准的不断修改和完善。</w:t>
      </w:r>
    </w:p>
    <w:p w:rsidR="00B94E0B" w:rsidRDefault="0080563C">
      <w:pPr>
        <w:spacing w:line="520" w:lineRule="exact"/>
        <w:ind w:firstLine="675"/>
        <w:rPr>
          <w:rFonts w:ascii="仿宋" w:eastAsia="仿宋" w:hAnsi="仿宋" w:cs="仿宋_GB2312"/>
          <w:b/>
          <w:sz w:val="32"/>
          <w:szCs w:val="32"/>
        </w:rPr>
      </w:pPr>
      <w:r>
        <w:rPr>
          <w:rFonts w:ascii="仿宋" w:eastAsia="仿宋" w:hAnsi="仿宋" w:cs="仿宋_GB2312" w:hint="eastAsia"/>
          <w:b/>
          <w:sz w:val="32"/>
          <w:szCs w:val="32"/>
        </w:rPr>
        <w:t>（二）收集整理文献资料</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标准编制工作组收集了国内有关</w:t>
      </w:r>
      <w:r w:rsidR="00361596" w:rsidRPr="00361596">
        <w:rPr>
          <w:rFonts w:ascii="仿宋" w:eastAsia="仿宋" w:hAnsi="仿宋" w:hint="eastAsia"/>
          <w:sz w:val="32"/>
          <w:szCs w:val="32"/>
        </w:rPr>
        <w:t>“事故应急预案”、“建设项目…编制规范”</w:t>
      </w:r>
      <w:r>
        <w:rPr>
          <w:rFonts w:ascii="仿宋" w:eastAsia="仿宋" w:hAnsi="仿宋" w:hint="eastAsia"/>
          <w:sz w:val="32"/>
          <w:szCs w:val="32"/>
        </w:rPr>
        <w:t>的相关资料。主要有：</w:t>
      </w:r>
    </w:p>
    <w:p w:rsidR="00361596" w:rsidRDefault="00361596" w:rsidP="00361596">
      <w:pPr>
        <w:spacing w:line="520" w:lineRule="exact"/>
        <w:ind w:firstLineChars="200" w:firstLine="640"/>
        <w:rPr>
          <w:rFonts w:ascii="仿宋" w:eastAsia="仿宋" w:hAnsi="仿宋"/>
          <w:sz w:val="32"/>
          <w:szCs w:val="32"/>
        </w:rPr>
      </w:pPr>
      <w:r w:rsidRPr="00361596">
        <w:rPr>
          <w:rFonts w:ascii="仿宋" w:eastAsia="仿宋" w:hAnsi="仿宋" w:hint="eastAsia"/>
          <w:sz w:val="32"/>
          <w:szCs w:val="32"/>
        </w:rPr>
        <w:t>《JT/T 1405-2022  公路水运工程项目生产安全事故应急预案编制要求》</w:t>
      </w:r>
    </w:p>
    <w:p w:rsidR="00361596" w:rsidRDefault="00361596" w:rsidP="00361596">
      <w:pPr>
        <w:spacing w:line="520" w:lineRule="exact"/>
        <w:ind w:firstLineChars="200" w:firstLine="640"/>
        <w:rPr>
          <w:rFonts w:ascii="仿宋" w:eastAsia="仿宋" w:hAnsi="仿宋"/>
          <w:sz w:val="32"/>
          <w:szCs w:val="32"/>
        </w:rPr>
      </w:pPr>
      <w:r w:rsidRPr="00361596">
        <w:rPr>
          <w:rFonts w:ascii="仿宋" w:eastAsia="仿宋" w:hAnsi="仿宋" w:hint="eastAsia"/>
          <w:sz w:val="32"/>
          <w:szCs w:val="32"/>
        </w:rPr>
        <w:t>《GB/T 29639-2020生产经营单位生产安全事故应急预案编制导则》</w:t>
      </w:r>
    </w:p>
    <w:p w:rsidR="00361596" w:rsidRDefault="00361596" w:rsidP="00361596">
      <w:pPr>
        <w:spacing w:line="520" w:lineRule="exact"/>
        <w:ind w:firstLineChars="200" w:firstLine="640"/>
        <w:rPr>
          <w:rFonts w:ascii="仿宋" w:eastAsia="仿宋" w:hAnsi="仿宋"/>
          <w:sz w:val="32"/>
          <w:szCs w:val="32"/>
        </w:rPr>
      </w:pPr>
      <w:r w:rsidRPr="00361596">
        <w:rPr>
          <w:rFonts w:ascii="仿宋" w:eastAsia="仿宋" w:hAnsi="仿宋" w:hint="eastAsia"/>
          <w:sz w:val="32"/>
          <w:szCs w:val="32"/>
        </w:rPr>
        <w:t>《GB/T 33942-2017 特种设备事故应急预案编制导则》</w:t>
      </w:r>
    </w:p>
    <w:p w:rsidR="00361596" w:rsidRDefault="00361596" w:rsidP="00361596">
      <w:pPr>
        <w:spacing w:line="520" w:lineRule="exact"/>
        <w:ind w:firstLineChars="200" w:firstLine="640"/>
        <w:rPr>
          <w:rFonts w:ascii="仿宋" w:eastAsia="仿宋" w:hAnsi="仿宋"/>
          <w:sz w:val="32"/>
          <w:szCs w:val="32"/>
        </w:rPr>
      </w:pPr>
      <w:r w:rsidRPr="00361596">
        <w:rPr>
          <w:rFonts w:ascii="仿宋" w:eastAsia="仿宋" w:hAnsi="仿宋" w:hint="eastAsia"/>
          <w:sz w:val="32"/>
          <w:szCs w:val="32"/>
        </w:rPr>
        <w:t>《DB11/T 787-2011  建设项目交通影响评价报告编制规范》</w:t>
      </w:r>
    </w:p>
    <w:p w:rsidR="00361596" w:rsidRDefault="00361596" w:rsidP="00361596">
      <w:pPr>
        <w:spacing w:line="520" w:lineRule="exact"/>
        <w:ind w:firstLineChars="200" w:firstLine="640"/>
        <w:rPr>
          <w:rFonts w:ascii="仿宋" w:eastAsia="仿宋" w:hAnsi="仿宋"/>
          <w:sz w:val="32"/>
          <w:szCs w:val="32"/>
        </w:rPr>
      </w:pPr>
      <w:r w:rsidRPr="00361596">
        <w:rPr>
          <w:rFonts w:ascii="仿宋" w:eastAsia="仿宋" w:hAnsi="仿宋" w:hint="eastAsia"/>
          <w:sz w:val="32"/>
          <w:szCs w:val="32"/>
        </w:rPr>
        <w:t>《DB42/T 1655-2021  湖北省建设项目文物影响评估报告编制规范》</w:t>
      </w:r>
    </w:p>
    <w:p w:rsidR="00361596" w:rsidRDefault="00361596" w:rsidP="00361596">
      <w:pPr>
        <w:spacing w:line="520" w:lineRule="exact"/>
        <w:ind w:firstLineChars="200" w:firstLine="640"/>
        <w:rPr>
          <w:rFonts w:ascii="仿宋" w:eastAsia="仿宋" w:hAnsi="仿宋"/>
          <w:sz w:val="32"/>
          <w:szCs w:val="32"/>
        </w:rPr>
      </w:pPr>
      <w:r w:rsidRPr="00361596">
        <w:rPr>
          <w:rFonts w:ascii="仿宋" w:eastAsia="仿宋" w:hAnsi="仿宋" w:hint="eastAsia"/>
          <w:sz w:val="32"/>
          <w:szCs w:val="32"/>
        </w:rPr>
        <w:t>《JT/T 911-2014  危险货物道路运输企业运输事故应急预案编制要求》</w:t>
      </w:r>
    </w:p>
    <w:p w:rsidR="00361596" w:rsidRDefault="00361596" w:rsidP="00361596">
      <w:pPr>
        <w:spacing w:line="520" w:lineRule="exact"/>
        <w:ind w:firstLineChars="200" w:firstLine="640"/>
        <w:rPr>
          <w:rFonts w:ascii="仿宋" w:eastAsia="仿宋" w:hAnsi="仿宋"/>
          <w:sz w:val="32"/>
          <w:szCs w:val="32"/>
        </w:rPr>
      </w:pPr>
      <w:r w:rsidRPr="00361596">
        <w:rPr>
          <w:rFonts w:ascii="仿宋" w:eastAsia="仿宋" w:hAnsi="仿宋" w:hint="eastAsia"/>
          <w:sz w:val="32"/>
          <w:szCs w:val="32"/>
        </w:rPr>
        <w:t>《HJ/T 13-1996  火电厂建设项目环境影响报告书编制规范》</w:t>
      </w:r>
    </w:p>
    <w:p w:rsidR="00B94E0B" w:rsidRDefault="00361596" w:rsidP="00361596">
      <w:pPr>
        <w:spacing w:line="520" w:lineRule="exact"/>
        <w:ind w:firstLineChars="200" w:firstLine="640"/>
        <w:rPr>
          <w:rFonts w:ascii="仿宋_GB2312" w:eastAsia="仿宋_GB2312"/>
          <w:sz w:val="28"/>
          <w:szCs w:val="28"/>
        </w:rPr>
      </w:pPr>
      <w:r w:rsidRPr="00361596">
        <w:rPr>
          <w:rFonts w:ascii="仿宋" w:eastAsia="仿宋" w:hAnsi="仿宋" w:hint="eastAsia"/>
          <w:sz w:val="32"/>
          <w:szCs w:val="32"/>
        </w:rPr>
        <w:t>《JTS/T 105-2021  水运工程建设项目环境影响评价指南》</w:t>
      </w:r>
    </w:p>
    <w:p w:rsidR="00B94E0B" w:rsidRDefault="0080563C">
      <w:pPr>
        <w:spacing w:line="520" w:lineRule="exact"/>
        <w:ind w:firstLine="675"/>
        <w:rPr>
          <w:rFonts w:ascii="仿宋" w:eastAsia="仿宋" w:hAnsi="仿宋" w:cs="仿宋_GB2312"/>
          <w:b/>
          <w:sz w:val="32"/>
          <w:szCs w:val="32"/>
        </w:rPr>
      </w:pPr>
      <w:r>
        <w:rPr>
          <w:rFonts w:ascii="仿宋" w:eastAsia="仿宋" w:hAnsi="仿宋" w:cs="仿宋_GB2312" w:hint="eastAsia"/>
          <w:b/>
          <w:sz w:val="32"/>
          <w:szCs w:val="32"/>
        </w:rPr>
        <w:lastRenderedPageBreak/>
        <w:t>（三）研讨确定标准主体内容</w:t>
      </w:r>
    </w:p>
    <w:p w:rsidR="00B94E0B" w:rsidRDefault="0080563C">
      <w:pPr>
        <w:pStyle w:val="afc"/>
      </w:pPr>
      <w:r>
        <w:rPr>
          <w:rFonts w:hint="eastAsia"/>
        </w:rPr>
        <w:t>标准编制工作组在对收集的资料进行整理研究之后，标准编制工作组召开了标准编制会议，对标准的整体框架结构进行了研究，并对标准的关键性内容进行了初步探讨。经过研究，标准的主体内容为术语和定义、基本要求、</w:t>
      </w:r>
      <w:r w:rsidR="00746732">
        <w:rPr>
          <w:rFonts w:hint="eastAsia"/>
        </w:rPr>
        <w:t>预案主要内容</w:t>
      </w:r>
      <w:r>
        <w:rPr>
          <w:rFonts w:hint="eastAsia"/>
        </w:rPr>
        <w:t>。</w:t>
      </w:r>
    </w:p>
    <w:p w:rsidR="00B94E0B" w:rsidRDefault="0080563C">
      <w:pPr>
        <w:spacing w:line="520" w:lineRule="exact"/>
        <w:ind w:firstLine="675"/>
        <w:rPr>
          <w:rFonts w:ascii="仿宋" w:eastAsia="仿宋" w:hAnsi="仿宋" w:cs="仿宋_GB2312"/>
          <w:b/>
          <w:sz w:val="32"/>
          <w:szCs w:val="32"/>
        </w:rPr>
      </w:pPr>
      <w:r>
        <w:rPr>
          <w:rFonts w:ascii="仿宋" w:eastAsia="仿宋" w:hAnsi="仿宋" w:cs="仿宋_GB2312" w:hint="eastAsia"/>
          <w:b/>
          <w:sz w:val="32"/>
          <w:szCs w:val="32"/>
        </w:rPr>
        <w:t>（四）调研及形成草案、征求意见稿</w:t>
      </w:r>
    </w:p>
    <w:p w:rsidR="00B94E0B" w:rsidRDefault="0080563C">
      <w:pPr>
        <w:spacing w:line="520" w:lineRule="exact"/>
        <w:ind w:firstLineChars="200" w:firstLine="640"/>
        <w:rPr>
          <w:rFonts w:ascii="仿宋" w:eastAsia="仿宋" w:hAnsi="仿宋"/>
          <w:kern w:val="0"/>
          <w:sz w:val="32"/>
          <w:szCs w:val="32"/>
        </w:rPr>
      </w:pPr>
      <w:r>
        <w:rPr>
          <w:rFonts w:ascii="仿宋" w:eastAsia="仿宋" w:hAnsi="仿宋" w:hint="eastAsia"/>
          <w:kern w:val="0"/>
          <w:sz w:val="32"/>
          <w:szCs w:val="32"/>
        </w:rPr>
        <w:t>202</w:t>
      </w:r>
      <w:r w:rsidR="00361596">
        <w:rPr>
          <w:rFonts w:ascii="仿宋" w:eastAsia="仿宋" w:hAnsi="仿宋" w:hint="eastAsia"/>
          <w:kern w:val="0"/>
          <w:sz w:val="32"/>
          <w:szCs w:val="32"/>
        </w:rPr>
        <w:t>3</w:t>
      </w:r>
      <w:r>
        <w:rPr>
          <w:rFonts w:ascii="仿宋" w:eastAsia="仿宋" w:hAnsi="仿宋" w:hint="eastAsia"/>
          <w:kern w:val="0"/>
          <w:sz w:val="32"/>
          <w:szCs w:val="32"/>
        </w:rPr>
        <w:t>年</w:t>
      </w:r>
      <w:r w:rsidR="00361596">
        <w:rPr>
          <w:rFonts w:ascii="仿宋" w:eastAsia="仿宋" w:hAnsi="仿宋" w:hint="eastAsia"/>
          <w:kern w:val="0"/>
          <w:sz w:val="32"/>
          <w:szCs w:val="32"/>
        </w:rPr>
        <w:t>10</w:t>
      </w:r>
      <w:r>
        <w:rPr>
          <w:rFonts w:ascii="仿宋" w:eastAsia="仿宋" w:hAnsi="仿宋" w:hint="eastAsia"/>
          <w:kern w:val="0"/>
          <w:sz w:val="32"/>
          <w:szCs w:val="32"/>
        </w:rPr>
        <w:t>月～</w:t>
      </w:r>
      <w:r w:rsidR="00361596">
        <w:rPr>
          <w:rFonts w:ascii="仿宋" w:eastAsia="仿宋" w:hAnsi="仿宋" w:hint="eastAsia"/>
          <w:kern w:val="0"/>
          <w:sz w:val="32"/>
          <w:szCs w:val="32"/>
        </w:rPr>
        <w:t>12</w:t>
      </w:r>
      <w:r>
        <w:rPr>
          <w:rFonts w:ascii="仿宋" w:eastAsia="仿宋" w:hAnsi="仿宋" w:hint="eastAsia"/>
          <w:kern w:val="0"/>
          <w:sz w:val="32"/>
          <w:szCs w:val="32"/>
        </w:rPr>
        <w:t>月，标准编制工作组查阅了大量的国内文献资料，对</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kern w:val="0"/>
          <w:sz w:val="32"/>
          <w:szCs w:val="32"/>
        </w:rPr>
        <w:t>相关的文件进行系统总结。形成了标准的基本构架，对主要内容进行了讨论并对项目的工作进行了部署和安排。</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kern w:val="0"/>
          <w:sz w:val="32"/>
          <w:szCs w:val="32"/>
        </w:rPr>
        <w:t>2024年</w:t>
      </w:r>
      <w:r w:rsidR="00CE618C">
        <w:rPr>
          <w:rFonts w:ascii="仿宋" w:eastAsia="仿宋" w:hAnsi="仿宋" w:hint="eastAsia"/>
          <w:kern w:val="0"/>
          <w:sz w:val="32"/>
          <w:szCs w:val="32"/>
        </w:rPr>
        <w:t>1</w:t>
      </w:r>
      <w:r>
        <w:rPr>
          <w:rFonts w:ascii="仿宋" w:eastAsia="仿宋" w:hAnsi="仿宋" w:hint="eastAsia"/>
          <w:kern w:val="0"/>
          <w:sz w:val="32"/>
          <w:szCs w:val="32"/>
        </w:rPr>
        <w:t>月</w:t>
      </w:r>
      <w:r w:rsidR="00CE618C">
        <w:rPr>
          <w:rFonts w:ascii="仿宋" w:eastAsia="仿宋" w:hAnsi="仿宋" w:hint="eastAsia"/>
          <w:kern w:val="0"/>
          <w:sz w:val="32"/>
          <w:szCs w:val="32"/>
        </w:rPr>
        <w:t>～2月</w:t>
      </w:r>
      <w:r>
        <w:rPr>
          <w:rFonts w:ascii="仿宋" w:eastAsia="仿宋" w:hAnsi="仿宋" w:hint="eastAsia"/>
          <w:kern w:val="0"/>
          <w:sz w:val="32"/>
          <w:szCs w:val="32"/>
        </w:rPr>
        <w:t>，在前期工作的基础之上，通过理清逻辑脉络，整合已有参考资料中有关</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kern w:val="0"/>
          <w:sz w:val="32"/>
          <w:szCs w:val="32"/>
        </w:rPr>
        <w:t>的要求，并在目前</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kern w:val="0"/>
          <w:sz w:val="32"/>
          <w:szCs w:val="32"/>
        </w:rPr>
        <w:t>实际操作的基础上，按照简化、统一等原则编制完成团体标准《</w:t>
      </w:r>
      <w:r w:rsidR="004E0167">
        <w:rPr>
          <w:rFonts w:ascii="仿宋" w:eastAsia="仿宋" w:hAnsi="仿宋" w:hint="eastAsia"/>
          <w:kern w:val="0"/>
          <w:sz w:val="32"/>
          <w:szCs w:val="32"/>
        </w:rPr>
        <w:t>水运建设项目突发环境事件应急预案编制规范</w:t>
      </w:r>
      <w:r>
        <w:rPr>
          <w:rFonts w:ascii="仿宋" w:eastAsia="仿宋" w:hAnsi="仿宋" w:hint="eastAsia"/>
          <w:kern w:val="0"/>
          <w:sz w:val="32"/>
          <w:szCs w:val="32"/>
        </w:rPr>
        <w:t>》（草案）。</w:t>
      </w:r>
    </w:p>
    <w:p w:rsidR="00B94E0B" w:rsidRDefault="0080563C">
      <w:pPr>
        <w:spacing w:line="520" w:lineRule="exact"/>
        <w:ind w:firstLineChars="200" w:firstLine="640"/>
        <w:rPr>
          <w:rFonts w:ascii="仿宋" w:eastAsia="仿宋" w:hAnsi="仿宋"/>
          <w:color w:val="FF0000"/>
          <w:kern w:val="0"/>
          <w:sz w:val="32"/>
          <w:szCs w:val="32"/>
          <w:highlight w:val="yellow"/>
        </w:rPr>
      </w:pPr>
      <w:r w:rsidRPr="00AA4E65">
        <w:rPr>
          <w:rFonts w:ascii="仿宋" w:eastAsia="仿宋" w:hAnsi="仿宋" w:hint="eastAsia"/>
          <w:kern w:val="0"/>
          <w:sz w:val="32"/>
          <w:szCs w:val="32"/>
        </w:rPr>
        <w:t>2024年3月～2024年4月，标准编制工作组深入</w:t>
      </w:r>
      <w:r w:rsidR="00CE618C" w:rsidRPr="00CE618C">
        <w:rPr>
          <w:rFonts w:ascii="仿宋" w:eastAsia="仿宋" w:hAnsi="仿宋" w:hint="eastAsia"/>
          <w:kern w:val="0"/>
          <w:sz w:val="32"/>
          <w:szCs w:val="32"/>
        </w:rPr>
        <w:t>各地进行实地调研</w:t>
      </w:r>
      <w:r w:rsidR="00CE618C">
        <w:rPr>
          <w:rFonts w:ascii="仿宋" w:eastAsia="仿宋" w:hAnsi="仿宋" w:hint="eastAsia"/>
          <w:kern w:val="0"/>
          <w:sz w:val="32"/>
          <w:szCs w:val="32"/>
        </w:rPr>
        <w:t>，并</w:t>
      </w:r>
      <w:r>
        <w:rPr>
          <w:rFonts w:ascii="仿宋" w:eastAsia="仿宋" w:hAnsi="仿宋" w:hint="eastAsia"/>
          <w:kern w:val="0"/>
          <w:sz w:val="32"/>
          <w:szCs w:val="32"/>
        </w:rPr>
        <w:t>组织相关主管单位等召开标准研讨会，收集反馈了大量意见，对标准草案进行了反复修改和研究讨论，掌握了</w:t>
      </w:r>
      <w:r w:rsidR="004E0167">
        <w:rPr>
          <w:rFonts w:ascii="仿宋" w:eastAsia="仿宋" w:hAnsi="仿宋" w:hint="eastAsia"/>
          <w:kern w:val="0"/>
          <w:sz w:val="32"/>
          <w:szCs w:val="32"/>
        </w:rPr>
        <w:t>水运建设项目突发环境事件应急预案</w:t>
      </w:r>
      <w:r w:rsidR="00361596">
        <w:rPr>
          <w:rFonts w:ascii="仿宋" w:eastAsia="仿宋" w:hAnsi="仿宋" w:hint="eastAsia"/>
          <w:kern w:val="0"/>
          <w:sz w:val="32"/>
          <w:szCs w:val="32"/>
        </w:rPr>
        <w:t>编制</w:t>
      </w:r>
      <w:r>
        <w:rPr>
          <w:rFonts w:ascii="仿宋" w:eastAsia="仿宋" w:hAnsi="仿宋" w:hint="eastAsia"/>
          <w:kern w:val="0"/>
          <w:sz w:val="32"/>
          <w:szCs w:val="32"/>
        </w:rPr>
        <w:t>的基本情况以及要求，最终形成了</w:t>
      </w:r>
      <w:bookmarkStart w:id="0" w:name="_Hlk120181503"/>
      <w:r>
        <w:rPr>
          <w:rFonts w:ascii="仿宋" w:eastAsia="仿宋" w:hAnsi="仿宋" w:hint="eastAsia"/>
          <w:kern w:val="0"/>
          <w:sz w:val="32"/>
          <w:szCs w:val="32"/>
        </w:rPr>
        <w:t>团体标准《</w:t>
      </w:r>
      <w:r w:rsidR="004E0167">
        <w:rPr>
          <w:rFonts w:ascii="仿宋" w:eastAsia="仿宋" w:hAnsi="仿宋" w:hint="eastAsia"/>
          <w:kern w:val="0"/>
          <w:sz w:val="32"/>
          <w:szCs w:val="32"/>
        </w:rPr>
        <w:t>水运建设项目突发环境事件应急预案编制规范</w:t>
      </w:r>
      <w:r>
        <w:rPr>
          <w:rFonts w:ascii="仿宋" w:eastAsia="仿宋" w:hAnsi="仿宋" w:hint="eastAsia"/>
          <w:kern w:val="0"/>
          <w:sz w:val="32"/>
          <w:szCs w:val="32"/>
        </w:rPr>
        <w:t>》（征求意见稿）及其编制说明。</w:t>
      </w:r>
      <w:bookmarkEnd w:id="0"/>
    </w:p>
    <w:p w:rsidR="00B94E0B" w:rsidRDefault="0080563C">
      <w:pPr>
        <w:autoSpaceDE w:val="0"/>
        <w:autoSpaceDN w:val="0"/>
        <w:adjustRightInd w:val="0"/>
        <w:spacing w:line="520" w:lineRule="exact"/>
        <w:jc w:val="left"/>
        <w:rPr>
          <w:rFonts w:ascii="黑体" w:eastAsia="黑体" w:cs="仿宋_GB2312"/>
          <w:sz w:val="32"/>
          <w:szCs w:val="32"/>
        </w:rPr>
      </w:pPr>
      <w:r>
        <w:rPr>
          <w:rFonts w:ascii="黑体" w:eastAsia="黑体" w:cs="仿宋_GB2312" w:hint="eastAsia"/>
          <w:sz w:val="32"/>
          <w:szCs w:val="32"/>
        </w:rPr>
        <w:t>四、制定标准的原则和依据，与现行法律、法规的关系，与有关国家标准、行业标准的协调情况</w:t>
      </w:r>
    </w:p>
    <w:p w:rsidR="00B94E0B" w:rsidRDefault="0080563C">
      <w:pPr>
        <w:widowControl/>
        <w:tabs>
          <w:tab w:val="center" w:pos="4201"/>
          <w:tab w:val="right" w:leader="dot" w:pos="9298"/>
        </w:tabs>
        <w:autoSpaceDE w:val="0"/>
        <w:autoSpaceDN w:val="0"/>
        <w:spacing w:line="520" w:lineRule="exact"/>
        <w:ind w:firstLine="675"/>
        <w:outlineLvl w:val="1"/>
        <w:rPr>
          <w:rFonts w:ascii="仿宋" w:eastAsia="仿宋" w:hAnsi="仿宋"/>
          <w:b/>
          <w:bCs/>
          <w:kern w:val="0"/>
          <w:sz w:val="32"/>
          <w:szCs w:val="32"/>
        </w:rPr>
      </w:pPr>
      <w:r>
        <w:rPr>
          <w:rFonts w:ascii="仿宋" w:eastAsia="仿宋" w:hAnsi="仿宋" w:hint="eastAsia"/>
          <w:b/>
          <w:bCs/>
          <w:kern w:val="0"/>
          <w:sz w:val="32"/>
          <w:szCs w:val="32"/>
        </w:rPr>
        <w:t>（一）编制原则</w:t>
      </w:r>
    </w:p>
    <w:p w:rsidR="00B94E0B" w:rsidRDefault="0080563C" w:rsidP="00AA4E65">
      <w:pPr>
        <w:spacing w:line="520" w:lineRule="exact"/>
        <w:ind w:firstLineChars="200" w:firstLine="643"/>
        <w:rPr>
          <w:rFonts w:ascii="仿宋" w:eastAsia="仿宋" w:hAnsi="仿宋"/>
          <w:b/>
          <w:sz w:val="32"/>
          <w:szCs w:val="32"/>
        </w:rPr>
      </w:pPr>
      <w:r>
        <w:rPr>
          <w:rFonts w:ascii="仿宋" w:eastAsia="仿宋" w:hAnsi="仿宋" w:hint="eastAsia"/>
          <w:b/>
          <w:sz w:val="32"/>
          <w:szCs w:val="32"/>
        </w:rPr>
        <w:t>1、实用性原则</w:t>
      </w:r>
    </w:p>
    <w:p w:rsidR="00B94E0B" w:rsidRDefault="0080563C">
      <w:pPr>
        <w:spacing w:line="520" w:lineRule="exact"/>
        <w:ind w:firstLineChars="200" w:firstLine="640"/>
        <w:rPr>
          <w:rFonts w:ascii="仿宋" w:eastAsia="仿宋" w:hAnsi="仿宋" w:cs="仿宋"/>
          <w:sz w:val="32"/>
          <w:szCs w:val="32"/>
        </w:rPr>
      </w:pPr>
      <w:r>
        <w:rPr>
          <w:rFonts w:ascii="仿宋" w:eastAsia="仿宋" w:hAnsi="仿宋" w:cs="仿宋" w:hint="eastAsia"/>
          <w:sz w:val="32"/>
          <w:szCs w:val="32"/>
        </w:rPr>
        <w:t>本标准是在充分收集国内外相关资料和文献、调研分析</w:t>
      </w:r>
      <w:r w:rsidR="004E0167">
        <w:rPr>
          <w:rFonts w:ascii="仿宋" w:eastAsia="仿宋" w:hAnsi="仿宋" w:hint="eastAsia"/>
          <w:kern w:val="0"/>
          <w:sz w:val="32"/>
          <w:szCs w:val="32"/>
        </w:rPr>
        <w:t>水运</w:t>
      </w:r>
      <w:r w:rsidR="004E0167">
        <w:rPr>
          <w:rFonts w:ascii="仿宋" w:eastAsia="仿宋" w:hAnsi="仿宋" w:hint="eastAsia"/>
          <w:kern w:val="0"/>
          <w:sz w:val="32"/>
          <w:szCs w:val="32"/>
        </w:rPr>
        <w:lastRenderedPageBreak/>
        <w:t>建设项目突发环境事件应急预案</w:t>
      </w:r>
      <w:r w:rsidR="00361596">
        <w:rPr>
          <w:rFonts w:ascii="仿宋" w:eastAsia="仿宋" w:hAnsi="仿宋" w:hint="eastAsia"/>
          <w:kern w:val="0"/>
          <w:sz w:val="32"/>
          <w:szCs w:val="32"/>
        </w:rPr>
        <w:t>编制</w:t>
      </w:r>
      <w:r>
        <w:rPr>
          <w:rFonts w:ascii="仿宋" w:eastAsia="仿宋" w:hAnsi="仿宋" w:cs="仿宋" w:hint="eastAsia"/>
          <w:sz w:val="32"/>
          <w:szCs w:val="32"/>
        </w:rPr>
        <w:t>现状，结合起草单位前期研究工作取得的研究成果及积累的实践经验，并借鉴国内</w:t>
      </w:r>
      <w:r w:rsidR="004E0167">
        <w:rPr>
          <w:rFonts w:ascii="仿宋" w:eastAsia="仿宋" w:hAnsi="仿宋" w:hint="eastAsia"/>
          <w:kern w:val="0"/>
          <w:sz w:val="32"/>
          <w:szCs w:val="32"/>
        </w:rPr>
        <w:t>水运建设项目突发环境事件应急预案</w:t>
      </w:r>
      <w:r w:rsidR="00361596">
        <w:rPr>
          <w:rFonts w:ascii="仿宋" w:eastAsia="仿宋" w:hAnsi="仿宋" w:hint="eastAsia"/>
          <w:kern w:val="0"/>
          <w:sz w:val="32"/>
          <w:szCs w:val="32"/>
        </w:rPr>
        <w:t>编制</w:t>
      </w:r>
      <w:r>
        <w:rPr>
          <w:rFonts w:ascii="仿宋" w:eastAsia="仿宋" w:hAnsi="仿宋" w:cs="仿宋" w:hint="eastAsia"/>
          <w:sz w:val="32"/>
          <w:szCs w:val="32"/>
        </w:rPr>
        <w:t>进行总结起草的，符合工作实际，有利于</w:t>
      </w:r>
      <w:r w:rsidR="004E0167">
        <w:rPr>
          <w:rFonts w:ascii="仿宋" w:eastAsia="仿宋" w:hAnsi="仿宋" w:hint="eastAsia"/>
          <w:kern w:val="0"/>
          <w:sz w:val="32"/>
          <w:szCs w:val="32"/>
        </w:rPr>
        <w:t>水运建设项目突发环境事件应急预案</w:t>
      </w:r>
      <w:r w:rsidR="00361596">
        <w:rPr>
          <w:rFonts w:ascii="仿宋" w:eastAsia="仿宋" w:hAnsi="仿宋" w:hint="eastAsia"/>
          <w:kern w:val="0"/>
          <w:sz w:val="32"/>
          <w:szCs w:val="32"/>
        </w:rPr>
        <w:t>编制</w:t>
      </w:r>
      <w:r>
        <w:rPr>
          <w:rFonts w:ascii="仿宋" w:eastAsia="仿宋" w:hAnsi="仿宋" w:cs="仿宋" w:hint="eastAsia"/>
          <w:sz w:val="32"/>
          <w:szCs w:val="32"/>
        </w:rPr>
        <w:t>的实施与推广，具有可操作性和实用性。</w:t>
      </w:r>
    </w:p>
    <w:p w:rsidR="00B94E0B" w:rsidRDefault="0080563C" w:rsidP="00AA4E65">
      <w:pPr>
        <w:spacing w:line="520" w:lineRule="exact"/>
        <w:ind w:firstLineChars="200" w:firstLine="643"/>
        <w:rPr>
          <w:rFonts w:ascii="仿宋" w:eastAsia="仿宋" w:hAnsi="仿宋"/>
          <w:b/>
          <w:sz w:val="32"/>
          <w:szCs w:val="32"/>
        </w:rPr>
      </w:pPr>
      <w:r>
        <w:rPr>
          <w:rFonts w:ascii="仿宋" w:eastAsia="仿宋" w:hAnsi="仿宋" w:hint="eastAsia"/>
          <w:b/>
          <w:sz w:val="32"/>
          <w:szCs w:val="32"/>
        </w:rPr>
        <w:t>2、协调性原则</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本文件编写过程中注意了与</w:t>
      </w:r>
      <w:r w:rsidR="004E0167">
        <w:rPr>
          <w:rFonts w:ascii="仿宋" w:eastAsia="仿宋" w:hAnsi="仿宋" w:hint="eastAsia"/>
          <w:kern w:val="0"/>
          <w:sz w:val="32"/>
          <w:szCs w:val="32"/>
        </w:rPr>
        <w:t>水运建设项目突发环境事件应急预案</w:t>
      </w:r>
      <w:r w:rsidR="00361596">
        <w:rPr>
          <w:rFonts w:ascii="仿宋" w:eastAsia="仿宋" w:hAnsi="仿宋" w:hint="eastAsia"/>
          <w:kern w:val="0"/>
          <w:sz w:val="32"/>
          <w:szCs w:val="32"/>
        </w:rPr>
        <w:t>编制</w:t>
      </w:r>
      <w:r>
        <w:rPr>
          <w:rFonts w:ascii="仿宋" w:eastAsia="仿宋" w:hAnsi="仿宋" w:hint="eastAsia"/>
          <w:sz w:val="32"/>
          <w:szCs w:val="32"/>
        </w:rPr>
        <w:t>相关法律法规的协调问题，在内容上与现行法律法规、标准协调一致。</w:t>
      </w:r>
    </w:p>
    <w:p w:rsidR="00B94E0B" w:rsidRDefault="0080563C" w:rsidP="00AA4E65">
      <w:pPr>
        <w:spacing w:line="520" w:lineRule="exact"/>
        <w:ind w:firstLineChars="200" w:firstLine="643"/>
        <w:rPr>
          <w:rFonts w:ascii="仿宋" w:eastAsia="仿宋" w:hAnsi="仿宋"/>
          <w:b/>
          <w:sz w:val="32"/>
          <w:szCs w:val="32"/>
        </w:rPr>
      </w:pPr>
      <w:r>
        <w:rPr>
          <w:rFonts w:ascii="仿宋" w:eastAsia="仿宋" w:hAnsi="仿宋" w:hint="eastAsia"/>
          <w:b/>
          <w:sz w:val="32"/>
          <w:szCs w:val="32"/>
        </w:rPr>
        <w:t>3、规范性原则</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本文件严格按照GB/T 1.1—2020《标准化工作规范  第1部分：标准化文件的结构和起草规则》编写本标准的内容，保证标准的编写质量。</w:t>
      </w:r>
    </w:p>
    <w:p w:rsidR="00B94E0B" w:rsidRDefault="0080563C" w:rsidP="00AA4E65">
      <w:pPr>
        <w:spacing w:line="520" w:lineRule="exact"/>
        <w:ind w:firstLineChars="200" w:firstLine="643"/>
        <w:rPr>
          <w:rFonts w:ascii="仿宋" w:eastAsia="仿宋" w:hAnsi="仿宋"/>
          <w:b/>
          <w:sz w:val="32"/>
          <w:szCs w:val="32"/>
        </w:rPr>
      </w:pPr>
      <w:r>
        <w:rPr>
          <w:rFonts w:ascii="仿宋" w:eastAsia="仿宋" w:hAnsi="仿宋" w:hint="eastAsia"/>
          <w:b/>
          <w:sz w:val="32"/>
          <w:szCs w:val="32"/>
        </w:rPr>
        <w:t>4、前瞻性原则</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本文件在兼顾当前区内</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sz w:val="32"/>
          <w:szCs w:val="32"/>
        </w:rPr>
        <w:t>现实情况的同时，还考虑到了</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sz w:val="32"/>
          <w:szCs w:val="32"/>
        </w:rPr>
        <w:t>的需要，在标准中体现了个别特色性、前瞻性和先进性条款，作为对</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sz w:val="32"/>
          <w:szCs w:val="32"/>
        </w:rPr>
        <w:t>的指导。</w:t>
      </w:r>
    </w:p>
    <w:p w:rsidR="00B94E0B" w:rsidRDefault="0080563C">
      <w:pPr>
        <w:spacing w:line="520" w:lineRule="exact"/>
        <w:ind w:firstLine="675"/>
        <w:rPr>
          <w:rFonts w:ascii="仿宋" w:eastAsia="仿宋" w:hAnsi="仿宋"/>
          <w:b/>
          <w:bCs/>
          <w:sz w:val="32"/>
          <w:szCs w:val="32"/>
        </w:rPr>
      </w:pPr>
      <w:r>
        <w:rPr>
          <w:rFonts w:ascii="仿宋" w:eastAsia="仿宋" w:hAnsi="仿宋" w:hint="eastAsia"/>
          <w:b/>
          <w:bCs/>
          <w:sz w:val="32"/>
          <w:szCs w:val="32"/>
        </w:rPr>
        <w:t>（二）编制依据</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本标准严格按照GB/T 1.1—2020《标准化工作规范  第1部分：标准化文件的结构和起草规则》的规则起草，标准主要内容依据起草单位在</w:t>
      </w:r>
      <w:r w:rsidR="004E0167">
        <w:rPr>
          <w:rFonts w:ascii="仿宋" w:eastAsia="仿宋" w:hAnsi="仿宋" w:hint="eastAsia"/>
          <w:sz w:val="32"/>
          <w:szCs w:val="32"/>
        </w:rPr>
        <w:t>水运建设项目突发环境事件应急预案</w:t>
      </w:r>
      <w:r w:rsidR="00361596">
        <w:rPr>
          <w:rFonts w:ascii="仿宋" w:eastAsia="仿宋" w:hAnsi="仿宋" w:hint="eastAsia"/>
          <w:sz w:val="32"/>
          <w:szCs w:val="32"/>
        </w:rPr>
        <w:t>编制</w:t>
      </w:r>
      <w:r>
        <w:rPr>
          <w:rFonts w:ascii="仿宋" w:eastAsia="仿宋" w:hAnsi="仿宋" w:hint="eastAsia"/>
          <w:sz w:val="32"/>
          <w:szCs w:val="32"/>
        </w:rPr>
        <w:t>过程中的实践经验确定。</w:t>
      </w:r>
    </w:p>
    <w:p w:rsidR="00B94E0B" w:rsidRDefault="0080563C">
      <w:pPr>
        <w:spacing w:line="520" w:lineRule="exact"/>
        <w:ind w:firstLine="675"/>
        <w:rPr>
          <w:rFonts w:ascii="仿宋" w:eastAsia="仿宋" w:hAnsi="仿宋"/>
          <w:b/>
          <w:bCs/>
          <w:sz w:val="32"/>
          <w:szCs w:val="32"/>
        </w:rPr>
      </w:pPr>
      <w:r>
        <w:rPr>
          <w:rFonts w:ascii="仿宋" w:eastAsia="仿宋" w:hAnsi="仿宋" w:hint="eastAsia"/>
          <w:b/>
          <w:bCs/>
          <w:sz w:val="32"/>
          <w:szCs w:val="32"/>
        </w:rPr>
        <w:t>（三）与现行法律、法规的关系，与有关国家标准、行业标准的协调情况</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lastRenderedPageBreak/>
        <w:t>本标准与相关法律法规、强制性标准协调一致，无冲突。</w:t>
      </w:r>
    </w:p>
    <w:p w:rsidR="00CE618C" w:rsidRPr="00CE618C" w:rsidRDefault="00CE618C" w:rsidP="00CE618C">
      <w:pPr>
        <w:spacing w:line="520" w:lineRule="exact"/>
        <w:ind w:firstLineChars="200" w:firstLine="640"/>
        <w:rPr>
          <w:rFonts w:ascii="仿宋" w:eastAsia="仿宋" w:hAnsi="仿宋"/>
          <w:sz w:val="32"/>
          <w:szCs w:val="32"/>
        </w:rPr>
      </w:pPr>
      <w:r w:rsidRPr="00CE618C">
        <w:rPr>
          <w:rFonts w:ascii="仿宋" w:eastAsia="仿宋" w:hAnsi="仿宋" w:hint="eastAsia"/>
          <w:sz w:val="32"/>
          <w:szCs w:val="32"/>
        </w:rPr>
        <w:t>经查阅，截至目前，与“事故应急预案”、“建设项目…编制规范”相关的标准有：《JT/T 1405-2022  公路水运工程项目生产安全事故应急预案编制要求》、《GB/T 29639-2020生产经营单位生产安全事故应急预案编制导则》、《GB/T 33942-2017 特种设备事故应急预案编制导则》、《DB11/T 787-2011  建设项目交通影响评价报告编制规范》、《DB42/T 1655-2021  湖北省建设项目文物影响评估报告编制规范》、《JT/T 911-2014  危险货物道路运输企业运输事故应急预案编制要求》、《HJ/T 13-1996  火电厂建设项目环境影响报告书编制规范》、《JTS/T 105-2021  水运工程建设项目环境影响评价指南》。其中，《JT/T 1405-2022  公路水运工程项目生产安全事故应急预案编制要求》规定了公路水运工程项目生产安全事故应急预案的体系和项目综合应急预案、合同段施工专项应急预案、现场处置方案的编制要求,适用于公路水运工程新建、改建、扩建项目的生产安全事故应急预案的编制；《GB/T 29639-2020生产经营单位生产安全事故应急预案编制导则》规定了生产经营单位生产安全事故应急预案的编制程序、体系构成和综合应急预案、专项应急预案、现场处置方案的主要内容以及附件信息，适用于生产经营单位生产安全事故应急预案；《GB/T 33942-2017 特种设备事故应急预案编制导则》规定了特种设备事故应急预案(以下简称“应急预案”)的编制程序、主要内容、格式和要求，适用于特种设备安装、修理、改造、充装、经营、使用、检测单位的特种设备事故应急预案编制工作；《DB11/T 787-2011  建设项目交通影响评价报告编制规范》规定了建设项目交通影响评价报告编制的基本要求、报告格式要求与正文内容要求,并给出了有关表述样式，适用于</w:t>
      </w:r>
      <w:r w:rsidRPr="00CE618C">
        <w:rPr>
          <w:rFonts w:ascii="仿宋" w:eastAsia="仿宋" w:hAnsi="仿宋" w:hint="eastAsia"/>
          <w:sz w:val="32"/>
          <w:szCs w:val="32"/>
        </w:rPr>
        <w:lastRenderedPageBreak/>
        <w:t>建设项目交通影响评价报告的编制和管理；《DB42/T 1655-2021  湖北省建设项目文物影响评估报告编制规范》规定了建设项目文物影响评估的编制原则、工作流程、报告内容、编排格式要求,适用于湖北省境内各级文物保护单位保护区划内各类建设项目的文物影响评估；《JT/T 911-2014  危险货物道路运输企业运输事故应急预案编制要求》规定了危险货物道路运输企业运输事故应急预案的编制步骤、预案内容以及文本格式与要求，适用于指导危险货物道路运输企业编制危险货物运输过程中的事故应急预案；《HJ/T 13-1996  火电厂建设项目环境影响报告书编制规范》规定了火电厂建设项目环评工作的基本原则和内容,适用于全国火电厂建设项目；《JTS/T 105-2021  水运工程建设项目环境影响评价指南》适用于水运工程建设项目新建、改建和扩建项目的环境影响评价。</w:t>
      </w:r>
    </w:p>
    <w:p w:rsidR="00B94E0B" w:rsidRDefault="00CE618C" w:rsidP="00CE618C">
      <w:pPr>
        <w:spacing w:line="520" w:lineRule="exact"/>
        <w:ind w:firstLineChars="200" w:firstLine="640"/>
        <w:rPr>
          <w:rFonts w:ascii="仿宋" w:eastAsia="仿宋" w:hAnsi="仿宋"/>
          <w:sz w:val="32"/>
          <w:szCs w:val="32"/>
        </w:rPr>
      </w:pPr>
      <w:r w:rsidRPr="00CE618C">
        <w:rPr>
          <w:rFonts w:ascii="仿宋" w:eastAsia="仿宋" w:hAnsi="仿宋" w:hint="eastAsia"/>
          <w:sz w:val="32"/>
          <w:szCs w:val="32"/>
        </w:rPr>
        <w:t>本团体标准主要针对营运期因突发环境（如危险品泄露等）事件编制应急预案，上述标准均无法体现</w:t>
      </w:r>
      <w:r w:rsidR="004E0167">
        <w:rPr>
          <w:rFonts w:ascii="仿宋" w:eastAsia="仿宋" w:hAnsi="仿宋" w:hint="eastAsia"/>
          <w:sz w:val="32"/>
          <w:szCs w:val="32"/>
        </w:rPr>
        <w:t>水运建设项目突发环境事件应急预案</w:t>
      </w:r>
      <w:r w:rsidR="006E2449">
        <w:rPr>
          <w:rFonts w:ascii="仿宋" w:eastAsia="仿宋" w:hAnsi="仿宋" w:hint="eastAsia"/>
          <w:sz w:val="32"/>
          <w:szCs w:val="32"/>
        </w:rPr>
        <w:t>的编制要求，不能指导</w:t>
      </w:r>
      <w:r w:rsidR="004E0167">
        <w:rPr>
          <w:rFonts w:ascii="仿宋" w:eastAsia="仿宋" w:hAnsi="仿宋" w:hint="eastAsia"/>
          <w:sz w:val="32"/>
          <w:szCs w:val="32"/>
        </w:rPr>
        <w:t>水运建设项目突发环境事件应急预案</w:t>
      </w:r>
      <w:r w:rsidRPr="00CE618C">
        <w:rPr>
          <w:rFonts w:ascii="仿宋" w:eastAsia="仿宋" w:hAnsi="仿宋" w:hint="eastAsia"/>
          <w:sz w:val="32"/>
          <w:szCs w:val="32"/>
        </w:rPr>
        <w:t>的编制，也未制定有</w:t>
      </w:r>
      <w:r w:rsidR="004E0167">
        <w:rPr>
          <w:rFonts w:ascii="仿宋" w:eastAsia="仿宋" w:hAnsi="仿宋" w:hint="eastAsia"/>
          <w:sz w:val="32"/>
          <w:szCs w:val="32"/>
        </w:rPr>
        <w:t>水运建设项目突发环境事件应急预案</w:t>
      </w:r>
      <w:r w:rsidRPr="00CE618C">
        <w:rPr>
          <w:rFonts w:ascii="仿宋" w:eastAsia="仿宋" w:hAnsi="仿宋" w:hint="eastAsia"/>
          <w:sz w:val="32"/>
          <w:szCs w:val="32"/>
        </w:rPr>
        <w:t>相关的标准。</w:t>
      </w:r>
    </w:p>
    <w:p w:rsidR="00B94E0B" w:rsidRDefault="0080563C">
      <w:pPr>
        <w:spacing w:before="156" w:after="156" w:line="520" w:lineRule="exact"/>
        <w:jc w:val="left"/>
        <w:outlineLvl w:val="0"/>
        <w:rPr>
          <w:rFonts w:ascii="黑体" w:eastAsia="黑体"/>
          <w:bCs/>
          <w:sz w:val="32"/>
          <w:szCs w:val="32"/>
        </w:rPr>
      </w:pPr>
      <w:r>
        <w:rPr>
          <w:rFonts w:ascii="黑体" w:eastAsia="黑体" w:hint="eastAsia"/>
          <w:bCs/>
          <w:sz w:val="32"/>
          <w:szCs w:val="32"/>
        </w:rPr>
        <w:t>五、主要条款的说明</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团体标准《</w:t>
      </w:r>
      <w:r w:rsidR="004E0167">
        <w:rPr>
          <w:rFonts w:ascii="仿宋" w:eastAsia="仿宋" w:hAnsi="仿宋" w:hint="eastAsia"/>
          <w:sz w:val="32"/>
          <w:szCs w:val="32"/>
        </w:rPr>
        <w:t>水运建设项目突发环境事件应急预案编制规范</w:t>
      </w:r>
      <w:r>
        <w:rPr>
          <w:rFonts w:ascii="仿宋" w:eastAsia="仿宋" w:hAnsi="仿宋" w:hint="eastAsia"/>
          <w:sz w:val="32"/>
          <w:szCs w:val="32"/>
        </w:rPr>
        <w:t>》的主要章节内容包括：</w:t>
      </w:r>
      <w:r w:rsidR="00CE618C" w:rsidRPr="00CE618C">
        <w:rPr>
          <w:rFonts w:ascii="仿宋" w:eastAsia="仿宋" w:hAnsi="仿宋" w:hint="eastAsia"/>
          <w:sz w:val="32"/>
          <w:szCs w:val="32"/>
        </w:rPr>
        <w:t>术语和定义、基本要求、预案</w:t>
      </w:r>
      <w:r w:rsidR="00746732">
        <w:rPr>
          <w:rFonts w:ascii="仿宋" w:eastAsia="仿宋" w:hAnsi="仿宋" w:hint="eastAsia"/>
          <w:sz w:val="32"/>
          <w:szCs w:val="32"/>
        </w:rPr>
        <w:t>主要内容</w:t>
      </w:r>
      <w:r>
        <w:rPr>
          <w:rFonts w:ascii="仿宋" w:eastAsia="仿宋" w:hAnsi="仿宋" w:hint="eastAsia"/>
          <w:sz w:val="32"/>
          <w:szCs w:val="32"/>
        </w:rPr>
        <w:t>。本文件主要内容及依据来源说明如下：</w:t>
      </w:r>
    </w:p>
    <w:p w:rsidR="00B94E0B" w:rsidRDefault="0080563C">
      <w:pPr>
        <w:spacing w:line="520" w:lineRule="exact"/>
        <w:ind w:firstLine="675"/>
        <w:rPr>
          <w:rFonts w:ascii="仿宋" w:eastAsia="仿宋" w:hAnsi="仿宋"/>
          <w:b/>
          <w:sz w:val="32"/>
          <w:szCs w:val="32"/>
        </w:rPr>
      </w:pPr>
      <w:r>
        <w:rPr>
          <w:rFonts w:ascii="仿宋" w:eastAsia="仿宋" w:hAnsi="仿宋" w:hint="eastAsia"/>
          <w:b/>
          <w:sz w:val="32"/>
          <w:szCs w:val="32"/>
        </w:rPr>
        <w:t>（一）术语和定义</w:t>
      </w:r>
    </w:p>
    <w:p w:rsidR="00B94E0B" w:rsidRPr="00746732" w:rsidRDefault="006E2449" w:rsidP="00746732">
      <w:pPr>
        <w:spacing w:line="520" w:lineRule="exact"/>
        <w:ind w:firstLineChars="200" w:firstLine="643"/>
        <w:rPr>
          <w:rFonts w:ascii="仿宋" w:eastAsia="仿宋" w:hAnsi="仿宋"/>
        </w:rPr>
      </w:pPr>
      <w:r>
        <w:rPr>
          <w:rFonts w:ascii="仿宋" w:eastAsia="仿宋" w:hAnsi="仿宋" w:hint="eastAsia"/>
          <w:b/>
          <w:sz w:val="32"/>
          <w:szCs w:val="32"/>
        </w:rPr>
        <w:t>水运建设项目</w:t>
      </w:r>
      <w:r w:rsidR="00746732">
        <w:rPr>
          <w:rFonts w:ascii="仿宋" w:eastAsia="仿宋" w:hAnsi="仿宋" w:hint="eastAsia"/>
          <w:sz w:val="32"/>
          <w:szCs w:val="32"/>
        </w:rPr>
        <w:t>的定义主要依据水运建设项目所涉及的工程项目类型及附属设施进行定义，并经过编制工作组不断讨论修改完善，明确其定义为：</w:t>
      </w:r>
      <w:r w:rsidR="00746732" w:rsidRPr="00746732">
        <w:rPr>
          <w:rFonts w:ascii="仿宋" w:eastAsia="仿宋" w:hAnsi="仿宋" w:hint="eastAsia"/>
          <w:sz w:val="32"/>
          <w:szCs w:val="32"/>
        </w:rPr>
        <w:t>包含港口工程、航道工程、航运枢纽工程、</w:t>
      </w:r>
      <w:r w:rsidR="00746732" w:rsidRPr="00746732">
        <w:rPr>
          <w:rFonts w:ascii="仿宋" w:eastAsia="仿宋" w:hAnsi="仿宋" w:hint="eastAsia"/>
          <w:sz w:val="32"/>
          <w:szCs w:val="32"/>
        </w:rPr>
        <w:lastRenderedPageBreak/>
        <w:t>通航建筑物工程、修造船水工建筑物工程等工程项目及上述工程附属设施的统称</w:t>
      </w:r>
      <w:r w:rsidR="00746732">
        <w:rPr>
          <w:rFonts w:ascii="仿宋" w:eastAsia="仿宋" w:hAnsi="仿宋" w:hint="eastAsia"/>
          <w:sz w:val="32"/>
          <w:szCs w:val="32"/>
        </w:rPr>
        <w:t>。</w:t>
      </w:r>
    </w:p>
    <w:p w:rsidR="00B94E0B" w:rsidRDefault="0080563C">
      <w:pPr>
        <w:autoSpaceDE w:val="0"/>
        <w:autoSpaceDN w:val="0"/>
        <w:adjustRightInd w:val="0"/>
        <w:spacing w:beforeLines="50" w:before="120" w:afterLines="50" w:after="120" w:line="560" w:lineRule="exact"/>
        <w:jc w:val="left"/>
        <w:rPr>
          <w:rFonts w:ascii="仿宋" w:eastAsia="仿宋" w:hAnsi="仿宋"/>
          <w:b/>
          <w:sz w:val="32"/>
          <w:szCs w:val="32"/>
          <w:lang w:val="zh-CN"/>
        </w:rPr>
      </w:pPr>
      <w:r>
        <w:rPr>
          <w:rFonts w:ascii="仿宋" w:eastAsia="仿宋" w:hAnsi="仿宋" w:hint="eastAsia"/>
          <w:b/>
          <w:sz w:val="32"/>
          <w:szCs w:val="32"/>
          <w:lang w:val="zh-CN"/>
        </w:rPr>
        <w:t>（二）基本要求</w:t>
      </w:r>
    </w:p>
    <w:p w:rsidR="00B94E0B" w:rsidRDefault="00854417" w:rsidP="00F35993">
      <w:pPr>
        <w:pStyle w:val="BodyText2"/>
        <w:spacing w:line="560" w:lineRule="exact"/>
        <w:ind w:firstLineChars="150" w:firstLine="480"/>
        <w:rPr>
          <w:rFonts w:ascii="仿宋" w:eastAsia="仿宋" w:hAnsi="仿宋" w:cs="Calibri"/>
        </w:rPr>
      </w:pPr>
      <w:r>
        <w:rPr>
          <w:rFonts w:ascii="仿宋" w:eastAsia="仿宋" w:hAnsi="仿宋" w:cs="Calibri" w:hint="eastAsia"/>
        </w:rPr>
        <w:t>基本要求</w:t>
      </w:r>
      <w:r w:rsidR="00B3527B">
        <w:rPr>
          <w:rFonts w:ascii="仿宋" w:eastAsia="仿宋" w:hAnsi="仿宋" w:cs="Calibri" w:hint="eastAsia"/>
        </w:rPr>
        <w:t>主要参考</w:t>
      </w:r>
      <w:r w:rsidR="00B3527B" w:rsidRPr="00B3527B">
        <w:rPr>
          <w:rFonts w:ascii="仿宋" w:eastAsia="仿宋" w:hAnsi="仿宋" w:cs="Calibri" w:hint="eastAsia"/>
        </w:rPr>
        <w:t>广西壮族自治区交通运输行业指南</w:t>
      </w:r>
      <w:r w:rsidR="00B3527B">
        <w:rPr>
          <w:rFonts w:ascii="仿宋" w:eastAsia="仿宋" w:hAnsi="仿宋" w:cs="Calibri" w:hint="eastAsia"/>
        </w:rPr>
        <w:t>《</w:t>
      </w:r>
      <w:r w:rsidR="00B3527B" w:rsidRPr="00B3527B">
        <w:rPr>
          <w:rFonts w:ascii="仿宋" w:eastAsia="仿宋" w:hAnsi="仿宋" w:cs="Calibri" w:hint="eastAsia"/>
        </w:rPr>
        <w:t>DBJT 45/T 009—2020 公路运营管理企事业单位危险化学品公路运输突发环境事件应急预案编制指南</w:t>
      </w:r>
      <w:r w:rsidR="00B3527B">
        <w:rPr>
          <w:rFonts w:ascii="仿宋" w:eastAsia="仿宋" w:hAnsi="仿宋" w:cs="Calibri" w:hint="eastAsia"/>
        </w:rPr>
        <w:t>》中“5.1 总体要求”（图1）并结合编制单位在水运建设项目的实际工作经验进行修改完善。明确了</w:t>
      </w:r>
      <w:r w:rsidR="00F35993">
        <w:rPr>
          <w:rFonts w:ascii="仿宋" w:eastAsia="仿宋" w:hAnsi="仿宋" w:cs="Calibri" w:hint="eastAsia"/>
        </w:rPr>
        <w:t>：</w:t>
      </w:r>
      <w:r w:rsidR="00F35993" w:rsidRPr="00F35993">
        <w:rPr>
          <w:rFonts w:ascii="仿宋" w:eastAsia="仿宋" w:hAnsi="仿宋" w:cs="Calibri" w:hint="eastAsia"/>
        </w:rPr>
        <w:t>应急预案草案编制前，应按《企业事业单位突发环境事件应急预案备案管理办法（试行）》要求完成项目环境风险评估、环境应急资源调查及报告编制。应急预案应根据涉及的环境风险保护目标编制典型情景现场处置预案。应急预案编制应遵循以人为本、依法依规、符合实际、注重实效的原则，做到职责明确、程序规范、措施科学，编制内容应简明化、卡片化、程式化、图表化。</w:t>
      </w:r>
    </w:p>
    <w:p w:rsidR="00A4305D" w:rsidRDefault="00B3527B" w:rsidP="00B3527B">
      <w:pPr>
        <w:rPr>
          <w:rFonts w:ascii="仿宋" w:eastAsia="仿宋" w:hAnsi="仿宋"/>
        </w:rPr>
      </w:pPr>
      <w:r>
        <w:rPr>
          <w:noProof/>
        </w:rPr>
        <w:drawing>
          <wp:inline distT="0" distB="0" distL="0" distR="0" wp14:anchorId="089E4DB5" wp14:editId="4EEDAA9D">
            <wp:extent cx="5486400" cy="2070100"/>
            <wp:effectExtent l="19050" t="19050" r="19050" b="254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86400" cy="2070100"/>
                    </a:xfrm>
                    <a:prstGeom prst="rect">
                      <a:avLst/>
                    </a:prstGeom>
                    <a:ln>
                      <a:solidFill>
                        <a:schemeClr val="tx1"/>
                      </a:solidFill>
                    </a:ln>
                  </pic:spPr>
                </pic:pic>
              </a:graphicData>
            </a:graphic>
          </wp:inline>
        </w:drawing>
      </w:r>
    </w:p>
    <w:p w:rsidR="00B3527B" w:rsidRPr="00B3527B" w:rsidRDefault="00A4305D" w:rsidP="00EB1AFF">
      <w:pPr>
        <w:pStyle w:val="BodyText2"/>
        <w:spacing w:after="0" w:line="560" w:lineRule="exact"/>
        <w:jc w:val="center"/>
        <w:rPr>
          <w:rFonts w:ascii="仿宋" w:eastAsia="仿宋" w:hAnsi="仿宋" w:cs="Calibri"/>
        </w:rPr>
      </w:pPr>
      <w:r w:rsidRPr="00B3527B">
        <w:rPr>
          <w:rFonts w:ascii="仿宋" w:eastAsia="仿宋" w:hAnsi="仿宋" w:cs="Calibri" w:hint="eastAsia"/>
        </w:rPr>
        <w:t>图1 摘自《DBJT 45/T 009—2020 公路运营管理企事业单位危险化学品公路 运输突发环境事件应急预案编制指南》</w:t>
      </w:r>
    </w:p>
    <w:p w:rsidR="0056706B" w:rsidRDefault="0080563C" w:rsidP="00BA785A">
      <w:pPr>
        <w:autoSpaceDE w:val="0"/>
        <w:autoSpaceDN w:val="0"/>
        <w:adjustRightInd w:val="0"/>
        <w:spacing w:beforeLines="50" w:before="120" w:afterLines="50" w:after="120" w:line="560" w:lineRule="exact"/>
        <w:jc w:val="left"/>
        <w:rPr>
          <w:rFonts w:ascii="仿宋" w:eastAsia="仿宋" w:hAnsi="仿宋"/>
          <w:b/>
          <w:bCs/>
          <w:sz w:val="32"/>
          <w:szCs w:val="28"/>
        </w:rPr>
      </w:pPr>
      <w:r>
        <w:rPr>
          <w:rFonts w:ascii="仿宋" w:eastAsia="仿宋" w:hAnsi="仿宋" w:hint="eastAsia"/>
          <w:b/>
          <w:bCs/>
          <w:sz w:val="32"/>
          <w:szCs w:val="28"/>
        </w:rPr>
        <w:t>（三</w:t>
      </w:r>
      <w:r>
        <w:rPr>
          <w:rFonts w:ascii="仿宋" w:eastAsia="仿宋" w:hAnsi="仿宋"/>
          <w:b/>
          <w:bCs/>
          <w:sz w:val="32"/>
          <w:szCs w:val="28"/>
        </w:rPr>
        <w:t>）</w:t>
      </w:r>
      <w:r w:rsidR="0056706B">
        <w:rPr>
          <w:rFonts w:ascii="仿宋" w:eastAsia="仿宋" w:hAnsi="仿宋" w:hint="eastAsia"/>
          <w:b/>
          <w:bCs/>
          <w:sz w:val="32"/>
          <w:szCs w:val="28"/>
        </w:rPr>
        <w:t>预案</w:t>
      </w:r>
      <w:r w:rsidR="00BA785A">
        <w:rPr>
          <w:rFonts w:ascii="仿宋" w:eastAsia="仿宋" w:hAnsi="仿宋" w:hint="eastAsia"/>
          <w:b/>
          <w:bCs/>
          <w:sz w:val="32"/>
          <w:szCs w:val="28"/>
        </w:rPr>
        <w:t>主要内容</w:t>
      </w:r>
    </w:p>
    <w:p w:rsidR="00BA785A" w:rsidRPr="00BA785A" w:rsidRDefault="00BA785A" w:rsidP="00BA785A">
      <w:pPr>
        <w:pStyle w:val="BodyText2"/>
        <w:spacing w:after="0" w:line="560" w:lineRule="exact"/>
        <w:ind w:firstLineChars="100" w:firstLine="321"/>
        <w:rPr>
          <w:rFonts w:ascii="仿宋" w:eastAsia="仿宋" w:hAnsi="仿宋" w:cs="Calibri"/>
          <w:b/>
        </w:rPr>
      </w:pPr>
      <w:r w:rsidRPr="00BA785A">
        <w:rPr>
          <w:rFonts w:ascii="仿宋" w:eastAsia="仿宋" w:hAnsi="仿宋" w:cs="Calibri" w:hint="eastAsia"/>
          <w:b/>
        </w:rPr>
        <w:lastRenderedPageBreak/>
        <w:t>1、总则</w:t>
      </w:r>
    </w:p>
    <w:p w:rsidR="00BA785A" w:rsidRPr="00BA785A" w:rsidRDefault="00BA785A" w:rsidP="00796CB0">
      <w:pPr>
        <w:pStyle w:val="BodyText2"/>
        <w:spacing w:after="0" w:line="560" w:lineRule="exact"/>
        <w:ind w:firstLineChars="200" w:firstLine="640"/>
        <w:rPr>
          <w:rFonts w:ascii="仿宋" w:eastAsia="仿宋" w:hAnsi="仿宋" w:cs="Calibri"/>
        </w:rPr>
      </w:pPr>
      <w:r>
        <w:rPr>
          <w:rFonts w:ascii="仿宋" w:eastAsia="仿宋" w:hAnsi="仿宋" w:cs="Calibri" w:hint="eastAsia"/>
        </w:rPr>
        <w:t>总则部分的内容主要参考</w:t>
      </w:r>
      <w:r w:rsidRPr="00B3527B">
        <w:rPr>
          <w:rFonts w:ascii="仿宋" w:eastAsia="仿宋" w:hAnsi="仿宋" w:cs="Calibri" w:hint="eastAsia"/>
        </w:rPr>
        <w:t>广西壮族自治区交通运输行业指南</w:t>
      </w:r>
      <w:r>
        <w:rPr>
          <w:rFonts w:ascii="仿宋" w:eastAsia="仿宋" w:hAnsi="仿宋" w:cs="Calibri" w:hint="eastAsia"/>
        </w:rPr>
        <w:t>《</w:t>
      </w:r>
      <w:r w:rsidRPr="00B3527B">
        <w:rPr>
          <w:rFonts w:ascii="仿宋" w:eastAsia="仿宋" w:hAnsi="仿宋" w:cs="Calibri" w:hint="eastAsia"/>
        </w:rPr>
        <w:t>DBJT 45/T 009—2020 公路运营管理企事业单位危险化学品公路运输突发环境事件应急预案编制指南</w:t>
      </w:r>
      <w:r>
        <w:rPr>
          <w:rFonts w:ascii="仿宋" w:eastAsia="仿宋" w:hAnsi="仿宋" w:cs="Calibri" w:hint="eastAsia"/>
        </w:rPr>
        <w:t>》中“</w:t>
      </w:r>
      <w:r w:rsidR="00EA6DA7">
        <w:rPr>
          <w:rFonts w:ascii="仿宋" w:eastAsia="仿宋" w:hAnsi="仿宋" w:cs="Calibri" w:hint="eastAsia"/>
        </w:rPr>
        <w:t>7.1</w:t>
      </w:r>
      <w:r>
        <w:rPr>
          <w:rFonts w:ascii="仿宋" w:eastAsia="仿宋" w:hAnsi="仿宋" w:cs="Calibri" w:hint="eastAsia"/>
        </w:rPr>
        <w:t xml:space="preserve"> 总</w:t>
      </w:r>
      <w:r w:rsidR="00EA6DA7">
        <w:rPr>
          <w:rFonts w:ascii="仿宋" w:eastAsia="仿宋" w:hAnsi="仿宋" w:cs="Calibri" w:hint="eastAsia"/>
        </w:rPr>
        <w:t>则</w:t>
      </w:r>
      <w:r>
        <w:rPr>
          <w:rFonts w:ascii="仿宋" w:eastAsia="仿宋" w:hAnsi="仿宋" w:cs="Calibri" w:hint="eastAsia"/>
        </w:rPr>
        <w:t>”（图</w:t>
      </w:r>
      <w:r w:rsidR="00EA6DA7">
        <w:rPr>
          <w:rFonts w:ascii="仿宋" w:eastAsia="仿宋" w:hAnsi="仿宋" w:cs="Calibri" w:hint="eastAsia"/>
        </w:rPr>
        <w:t>2</w:t>
      </w:r>
      <w:r>
        <w:rPr>
          <w:rFonts w:ascii="仿宋" w:eastAsia="仿宋" w:hAnsi="仿宋" w:cs="Calibri" w:hint="eastAsia"/>
        </w:rPr>
        <w:t>）</w:t>
      </w:r>
      <w:r w:rsidR="00EA6DA7">
        <w:rPr>
          <w:rFonts w:ascii="仿宋" w:eastAsia="仿宋" w:hAnsi="仿宋" w:cs="Calibri" w:hint="eastAsia"/>
        </w:rPr>
        <w:t>并结合编制单位在水运建设项目应急预案编制中的实际工作经验进行修改完善。</w:t>
      </w:r>
    </w:p>
    <w:p w:rsidR="00BA785A" w:rsidRPr="00BA785A" w:rsidRDefault="00BA785A" w:rsidP="00877A74">
      <w:pPr>
        <w:jc w:val="center"/>
      </w:pPr>
      <w:r>
        <w:rPr>
          <w:noProof/>
        </w:rPr>
        <w:drawing>
          <wp:inline distT="0" distB="0" distL="0" distR="0" wp14:anchorId="37E1A0C4" wp14:editId="65E15631">
            <wp:extent cx="4851396" cy="4727864"/>
            <wp:effectExtent l="19050" t="19050" r="26035" b="158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852787" cy="4729220"/>
                    </a:xfrm>
                    <a:prstGeom prst="rect">
                      <a:avLst/>
                    </a:prstGeom>
                    <a:ln>
                      <a:solidFill>
                        <a:schemeClr val="tx1"/>
                      </a:solidFill>
                    </a:ln>
                  </pic:spPr>
                </pic:pic>
              </a:graphicData>
            </a:graphic>
          </wp:inline>
        </w:drawing>
      </w:r>
    </w:p>
    <w:p w:rsidR="0056706B" w:rsidRPr="0056706B" w:rsidRDefault="00EA6DA7" w:rsidP="00EB1AFF">
      <w:pPr>
        <w:pStyle w:val="BodyText2"/>
        <w:spacing w:after="0" w:line="560" w:lineRule="exact"/>
        <w:jc w:val="center"/>
        <w:rPr>
          <w:rFonts w:ascii="仿宋" w:eastAsia="仿宋" w:hAnsi="仿宋" w:cs="Calibri"/>
        </w:rPr>
      </w:pPr>
      <w:r w:rsidRPr="00B3527B">
        <w:rPr>
          <w:rFonts w:ascii="仿宋" w:eastAsia="仿宋" w:hAnsi="仿宋" w:cs="Calibri" w:hint="eastAsia"/>
        </w:rPr>
        <w:t>图</w:t>
      </w:r>
      <w:r>
        <w:rPr>
          <w:rFonts w:ascii="仿宋" w:eastAsia="仿宋" w:hAnsi="仿宋" w:cs="Calibri" w:hint="eastAsia"/>
        </w:rPr>
        <w:t>2</w:t>
      </w:r>
      <w:r w:rsidRPr="00B3527B">
        <w:rPr>
          <w:rFonts w:ascii="仿宋" w:eastAsia="仿宋" w:hAnsi="仿宋" w:cs="Calibri" w:hint="eastAsia"/>
        </w:rPr>
        <w:t xml:space="preserve"> 摘自《DBJT 45/T 009—2020 公路运营管理企事业单位危险化学品公路 运输突发环境事件应急预案编制指南》</w:t>
      </w:r>
    </w:p>
    <w:p w:rsidR="00B94E0B" w:rsidRDefault="00796CB0" w:rsidP="00796CB0">
      <w:pPr>
        <w:pStyle w:val="afc"/>
      </w:pPr>
      <w:r>
        <w:rPr>
          <w:rFonts w:hint="eastAsia"/>
        </w:rPr>
        <w:t>所参考的行业指南主要针对公路</w:t>
      </w:r>
      <w:r w:rsidRPr="007F2A76">
        <w:rPr>
          <w:rFonts w:hint="eastAsia"/>
        </w:rPr>
        <w:t>运营管理企事业单位危险化学品公路运输突发环境事件应急预案编制</w:t>
      </w:r>
      <w:r>
        <w:rPr>
          <w:rFonts w:hint="eastAsia"/>
        </w:rPr>
        <w:t>的，与该指南相对比，本文件是针对为水运建设项目</w:t>
      </w:r>
      <w:r w:rsidRPr="00CE618C">
        <w:rPr>
          <w:rFonts w:hint="eastAsia"/>
        </w:rPr>
        <w:t>营运期因突发环境（如危险品泄露</w:t>
      </w:r>
      <w:r w:rsidRPr="00CE618C">
        <w:rPr>
          <w:rFonts w:hint="eastAsia"/>
        </w:rPr>
        <w:lastRenderedPageBreak/>
        <w:t>等）事件编制应急预案</w:t>
      </w:r>
      <w:r>
        <w:rPr>
          <w:rFonts w:hint="eastAsia"/>
        </w:rPr>
        <w:t>，因此，在相关前言、编制目的、工作原则及预案体系构成上与行业标准在主要对象上不同。同时，水运建设项目在总则部分增加了“事件分级”的内容，在水运建设项目的实际应急预案编制中，需要先</w:t>
      </w:r>
      <w:r w:rsidRPr="00796CB0">
        <w:rPr>
          <w:rFonts w:hint="eastAsia"/>
        </w:rPr>
        <w:t>依据水运建设项目突发环境事件可能造成的危害程度，波及范围、影响大小，视人员及财产损失的情况进行分级</w:t>
      </w:r>
      <w:r>
        <w:rPr>
          <w:rFonts w:hint="eastAsia"/>
        </w:rPr>
        <w:t>。</w:t>
      </w:r>
    </w:p>
    <w:p w:rsidR="00796CB0" w:rsidRDefault="00796CB0" w:rsidP="00796CB0">
      <w:pPr>
        <w:pStyle w:val="afc"/>
        <w:ind w:firstLine="643"/>
        <w:rPr>
          <w:b/>
        </w:rPr>
      </w:pPr>
      <w:r>
        <w:rPr>
          <w:rFonts w:hint="eastAsia"/>
          <w:b/>
        </w:rPr>
        <w:t>2</w:t>
      </w:r>
      <w:r w:rsidRPr="00BA785A">
        <w:rPr>
          <w:rFonts w:hint="eastAsia"/>
          <w:b/>
        </w:rPr>
        <w:t>、</w:t>
      </w:r>
      <w:r>
        <w:rPr>
          <w:rFonts w:hint="eastAsia"/>
          <w:b/>
        </w:rPr>
        <w:t>运营单位及水运建设项目概况</w:t>
      </w:r>
    </w:p>
    <w:p w:rsidR="00796CB0" w:rsidRPr="00796CB0" w:rsidRDefault="00796CB0" w:rsidP="00796CB0">
      <w:pPr>
        <w:pStyle w:val="afc"/>
        <w:rPr>
          <w:bCs/>
          <w:szCs w:val="28"/>
        </w:rPr>
      </w:pPr>
      <w:r w:rsidRPr="00796CB0">
        <w:rPr>
          <w:rFonts w:hint="eastAsia"/>
          <w:bCs/>
          <w:szCs w:val="28"/>
        </w:rPr>
        <w:t>运营单位及水运建设项目概况主要</w:t>
      </w:r>
      <w:r>
        <w:rPr>
          <w:rFonts w:hint="eastAsia"/>
          <w:bCs/>
          <w:szCs w:val="28"/>
        </w:rPr>
        <w:t>参考</w:t>
      </w:r>
      <w:r w:rsidR="00877A74" w:rsidRPr="00877A74">
        <w:rPr>
          <w:rFonts w:hint="eastAsia"/>
          <w:bCs/>
          <w:szCs w:val="28"/>
        </w:rPr>
        <w:t>广西壮族自治区交通运输行业指南《DBJT 45/T 009—2020 公路运营管理企事业单位危险化学品公路运输突发环境事件应急预案编制指南》中“7.</w:t>
      </w:r>
      <w:r w:rsidR="00877A74">
        <w:rPr>
          <w:rFonts w:hint="eastAsia"/>
          <w:bCs/>
          <w:szCs w:val="28"/>
        </w:rPr>
        <w:t>2</w:t>
      </w:r>
      <w:r w:rsidR="00877A74" w:rsidRPr="00877A74">
        <w:rPr>
          <w:rFonts w:hint="eastAsia"/>
          <w:bCs/>
          <w:szCs w:val="28"/>
        </w:rPr>
        <w:t xml:space="preserve"> </w:t>
      </w:r>
      <w:r w:rsidR="00877A74">
        <w:rPr>
          <w:rFonts w:hint="eastAsia"/>
          <w:bCs/>
          <w:szCs w:val="28"/>
        </w:rPr>
        <w:t>企事业单位及公路项目概况</w:t>
      </w:r>
      <w:r w:rsidR="00877A74" w:rsidRPr="00877A74">
        <w:rPr>
          <w:rFonts w:hint="eastAsia"/>
          <w:bCs/>
          <w:szCs w:val="28"/>
        </w:rPr>
        <w:t>”（图</w:t>
      </w:r>
      <w:r w:rsidR="00877A74">
        <w:rPr>
          <w:rFonts w:hint="eastAsia"/>
          <w:bCs/>
          <w:szCs w:val="28"/>
        </w:rPr>
        <w:t>3</w:t>
      </w:r>
      <w:r w:rsidR="00877A74" w:rsidRPr="00877A74">
        <w:rPr>
          <w:rFonts w:hint="eastAsia"/>
          <w:bCs/>
          <w:szCs w:val="28"/>
        </w:rPr>
        <w:t>）</w:t>
      </w:r>
      <w:r w:rsidR="002074C3">
        <w:rPr>
          <w:rFonts w:hint="eastAsia"/>
          <w:bCs/>
          <w:szCs w:val="28"/>
        </w:rPr>
        <w:t>并结合水运建设项目在实际应急预案编写的运营单位概况进行修改。</w:t>
      </w:r>
    </w:p>
    <w:p w:rsidR="00796CB0" w:rsidRDefault="00796CB0" w:rsidP="00877A74">
      <w:pPr>
        <w:rPr>
          <w:b/>
          <w:bCs/>
          <w:szCs w:val="28"/>
        </w:rPr>
      </w:pPr>
      <w:r>
        <w:rPr>
          <w:noProof/>
        </w:rPr>
        <w:drawing>
          <wp:inline distT="0" distB="0" distL="0" distR="0" wp14:anchorId="48F8CB6E" wp14:editId="0BA1073E">
            <wp:extent cx="5486400" cy="2992120"/>
            <wp:effectExtent l="19050" t="19050" r="19050" b="177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86400" cy="2992120"/>
                    </a:xfrm>
                    <a:prstGeom prst="rect">
                      <a:avLst/>
                    </a:prstGeom>
                    <a:ln>
                      <a:solidFill>
                        <a:schemeClr val="tx1"/>
                      </a:solidFill>
                    </a:ln>
                  </pic:spPr>
                </pic:pic>
              </a:graphicData>
            </a:graphic>
          </wp:inline>
        </w:drawing>
      </w:r>
    </w:p>
    <w:p w:rsidR="00877A74" w:rsidRDefault="008F23A8" w:rsidP="00EB1AFF">
      <w:pPr>
        <w:pStyle w:val="afc"/>
        <w:ind w:firstLineChars="0" w:firstLine="0"/>
        <w:jc w:val="center"/>
        <w:rPr>
          <w:b/>
          <w:bCs/>
          <w:szCs w:val="28"/>
        </w:rPr>
      </w:pPr>
      <w:r w:rsidRPr="00B3527B">
        <w:rPr>
          <w:rFonts w:hint="eastAsia"/>
        </w:rPr>
        <w:t>图</w:t>
      </w:r>
      <w:r>
        <w:rPr>
          <w:rFonts w:hint="eastAsia"/>
        </w:rPr>
        <w:t>3</w:t>
      </w:r>
      <w:r w:rsidRPr="00B3527B">
        <w:rPr>
          <w:rFonts w:hint="eastAsia"/>
        </w:rPr>
        <w:t xml:space="preserve"> 摘自《DBJT 45/T 009—2020 公路运营管理企事业单位危险化学品公路 运输突发环境事件应急预案编制指南》</w:t>
      </w:r>
    </w:p>
    <w:p w:rsidR="00877A74" w:rsidRDefault="0065760F" w:rsidP="002074C3">
      <w:pPr>
        <w:pStyle w:val="afc"/>
      </w:pPr>
      <w:r>
        <w:rPr>
          <w:rFonts w:hint="eastAsia"/>
          <w:bCs/>
          <w:szCs w:val="28"/>
        </w:rPr>
        <w:t>所参考的行业指南公路运输强调的是企事业单位，而水运建设项目是针对的是</w:t>
      </w:r>
      <w:r>
        <w:rPr>
          <w:rFonts w:hint="eastAsia"/>
        </w:rPr>
        <w:t>运营单位，公路项目需要对沿线环境的自然环境概况做出说明，而水运建设项目是对项目的主要环境风险保护</w:t>
      </w:r>
      <w:r>
        <w:rPr>
          <w:rFonts w:hint="eastAsia"/>
        </w:rPr>
        <w:lastRenderedPageBreak/>
        <w:t>目标概况做出说明，包括</w:t>
      </w:r>
      <w:r w:rsidRPr="0065760F">
        <w:rPr>
          <w:rFonts w:hint="eastAsia"/>
        </w:rPr>
        <w:t>水运建设项目调查范围内的环境空气、水环境、生态环境等风险保护目标</w:t>
      </w:r>
      <w:r>
        <w:rPr>
          <w:rFonts w:hint="eastAsia"/>
        </w:rPr>
        <w:t>。在环境风险源分析上，公路运输和水运建设项目突发环境事件也各不相同，</w:t>
      </w:r>
      <w:r w:rsidR="00B82604">
        <w:rPr>
          <w:rFonts w:hint="eastAsia"/>
        </w:rPr>
        <w:t>主要是结合项目环境风险评估报告进行说明。</w:t>
      </w:r>
    </w:p>
    <w:p w:rsidR="00B82604" w:rsidRDefault="00B82604" w:rsidP="00B82604">
      <w:pPr>
        <w:pStyle w:val="afc"/>
        <w:ind w:firstLine="643"/>
        <w:rPr>
          <w:b/>
        </w:rPr>
      </w:pPr>
      <w:r>
        <w:rPr>
          <w:rFonts w:hint="eastAsia"/>
          <w:b/>
        </w:rPr>
        <w:t>3</w:t>
      </w:r>
      <w:r w:rsidRPr="00BA785A">
        <w:rPr>
          <w:rFonts w:hint="eastAsia"/>
          <w:b/>
        </w:rPr>
        <w:t>、</w:t>
      </w:r>
      <w:r>
        <w:rPr>
          <w:rFonts w:hint="eastAsia"/>
          <w:b/>
        </w:rPr>
        <w:t>应急组织机构与指挥</w:t>
      </w:r>
    </w:p>
    <w:p w:rsidR="00B82604" w:rsidRPr="00EB0539" w:rsidRDefault="00EB0539" w:rsidP="00EB0539">
      <w:pPr>
        <w:pStyle w:val="afc"/>
      </w:pPr>
      <w:r w:rsidRPr="00EB0539">
        <w:rPr>
          <w:rFonts w:hint="eastAsia"/>
        </w:rPr>
        <w:t>应急组织机构与指挥</w:t>
      </w:r>
      <w:r w:rsidR="00902827">
        <w:rPr>
          <w:rFonts w:hint="eastAsia"/>
        </w:rPr>
        <w:t>主要包括应急组织体系、内部应急组织机构与职责和政府或有关部门主导应急处置后的配合职责。</w:t>
      </w:r>
      <w:r w:rsidR="00B95DEA">
        <w:rPr>
          <w:rFonts w:hint="eastAsia"/>
        </w:rPr>
        <w:t>主要参考</w:t>
      </w:r>
      <w:r w:rsidR="00B95DEA" w:rsidRPr="00877A74">
        <w:rPr>
          <w:rFonts w:hint="eastAsia"/>
          <w:bCs/>
          <w:szCs w:val="28"/>
        </w:rPr>
        <w:t>广西壮族自治区交通运输行业指南《DBJT 45/T 009—2020 公路运营管理企事业单位危险化学品公路运输突发环境事件应急预案编制指南》中“7.</w:t>
      </w:r>
      <w:r w:rsidR="00B95DEA">
        <w:rPr>
          <w:rFonts w:hint="eastAsia"/>
          <w:bCs/>
          <w:szCs w:val="28"/>
        </w:rPr>
        <w:t>3</w:t>
      </w:r>
      <w:r w:rsidR="00B95DEA" w:rsidRPr="00877A74">
        <w:rPr>
          <w:rFonts w:hint="eastAsia"/>
          <w:bCs/>
          <w:szCs w:val="28"/>
        </w:rPr>
        <w:t xml:space="preserve"> </w:t>
      </w:r>
      <w:r w:rsidR="00B95DEA">
        <w:rPr>
          <w:rFonts w:hint="eastAsia"/>
          <w:bCs/>
          <w:szCs w:val="28"/>
        </w:rPr>
        <w:t>应急组织机构与指挥</w:t>
      </w:r>
      <w:r w:rsidR="00B95DEA" w:rsidRPr="00877A74">
        <w:rPr>
          <w:rFonts w:hint="eastAsia"/>
          <w:bCs/>
          <w:szCs w:val="28"/>
        </w:rPr>
        <w:t>”（图</w:t>
      </w:r>
      <w:r w:rsidR="00B95DEA">
        <w:rPr>
          <w:rFonts w:hint="eastAsia"/>
          <w:bCs/>
          <w:szCs w:val="28"/>
        </w:rPr>
        <w:t>4</w:t>
      </w:r>
      <w:r w:rsidR="00B95DEA" w:rsidRPr="00877A74">
        <w:rPr>
          <w:rFonts w:hint="eastAsia"/>
          <w:bCs/>
          <w:szCs w:val="28"/>
        </w:rPr>
        <w:t>）</w:t>
      </w:r>
      <w:r w:rsidR="00B95DEA">
        <w:rPr>
          <w:rFonts w:hint="eastAsia"/>
          <w:bCs/>
          <w:szCs w:val="28"/>
        </w:rPr>
        <w:t>并结合水运建设项目应急组织机构与指挥的特点进行修改。</w:t>
      </w:r>
    </w:p>
    <w:p w:rsidR="00B82604" w:rsidRPr="00B82604" w:rsidRDefault="00EB0539" w:rsidP="00EB0539">
      <w:pPr>
        <w:jc w:val="center"/>
        <w:rPr>
          <w:bCs/>
          <w:szCs w:val="28"/>
        </w:rPr>
      </w:pPr>
      <w:r>
        <w:rPr>
          <w:noProof/>
        </w:rPr>
        <w:drawing>
          <wp:inline distT="0" distB="0" distL="0" distR="0" wp14:anchorId="5EEDA7C2" wp14:editId="5E49A660">
            <wp:extent cx="5486400" cy="2871470"/>
            <wp:effectExtent l="19050" t="19050" r="19050" b="241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86400" cy="2871470"/>
                    </a:xfrm>
                    <a:prstGeom prst="rect">
                      <a:avLst/>
                    </a:prstGeom>
                    <a:ln>
                      <a:solidFill>
                        <a:schemeClr val="tx1"/>
                      </a:solidFill>
                    </a:ln>
                  </pic:spPr>
                </pic:pic>
              </a:graphicData>
            </a:graphic>
          </wp:inline>
        </w:drawing>
      </w:r>
    </w:p>
    <w:p w:rsidR="00877A74" w:rsidRPr="0065760F" w:rsidRDefault="00B95DEA" w:rsidP="001F1BB1">
      <w:pPr>
        <w:pStyle w:val="afc"/>
        <w:ind w:firstLineChars="0" w:firstLine="0"/>
        <w:jc w:val="center"/>
        <w:rPr>
          <w:bCs/>
          <w:szCs w:val="28"/>
        </w:rPr>
      </w:pPr>
      <w:r w:rsidRPr="00B3527B">
        <w:rPr>
          <w:rFonts w:hint="eastAsia"/>
        </w:rPr>
        <w:t>图</w:t>
      </w:r>
      <w:r>
        <w:rPr>
          <w:rFonts w:hint="eastAsia"/>
        </w:rPr>
        <w:t>4</w:t>
      </w:r>
      <w:r w:rsidRPr="00B3527B">
        <w:rPr>
          <w:rFonts w:hint="eastAsia"/>
        </w:rPr>
        <w:t xml:space="preserve"> 摘自《DBJT 45/T 009—2020 公路运营管理企事业单位危险化学品公路 运输突发环境事件应急预案编制指南》</w:t>
      </w:r>
    </w:p>
    <w:p w:rsidR="00877A74" w:rsidRDefault="00902827" w:rsidP="00B95DEA">
      <w:pPr>
        <w:pStyle w:val="afc"/>
        <w:ind w:firstLine="643"/>
        <w:rPr>
          <w:b/>
        </w:rPr>
      </w:pPr>
      <w:r>
        <w:rPr>
          <w:rFonts w:hint="eastAsia"/>
          <w:b/>
        </w:rPr>
        <w:t>4</w:t>
      </w:r>
      <w:r w:rsidR="00B95DEA" w:rsidRPr="00BA785A">
        <w:rPr>
          <w:rFonts w:hint="eastAsia"/>
          <w:b/>
        </w:rPr>
        <w:t>、</w:t>
      </w:r>
      <w:r>
        <w:rPr>
          <w:rFonts w:hint="eastAsia"/>
          <w:b/>
        </w:rPr>
        <w:t>预防与预警</w:t>
      </w:r>
    </w:p>
    <w:p w:rsidR="00B95DEA" w:rsidRDefault="001F1BB1" w:rsidP="001F1BB1">
      <w:pPr>
        <w:pStyle w:val="afc"/>
        <w:rPr>
          <w:bCs/>
          <w:szCs w:val="28"/>
        </w:rPr>
      </w:pPr>
      <w:r w:rsidRPr="001F1BB1">
        <w:rPr>
          <w:rFonts w:hint="eastAsia"/>
        </w:rPr>
        <w:t>预防与预警主要包括</w:t>
      </w:r>
      <w:r>
        <w:rPr>
          <w:rFonts w:hint="eastAsia"/>
        </w:rPr>
        <w:t>预防、预警监控、接警及报警、预警分级、预警研判、预警启动、预警预防行动和预警级别调整与终止等8个部分。主要参考</w:t>
      </w:r>
      <w:r w:rsidRPr="00877A74">
        <w:rPr>
          <w:rFonts w:hint="eastAsia"/>
          <w:bCs/>
          <w:szCs w:val="28"/>
        </w:rPr>
        <w:t xml:space="preserve">广西壮族自治区交通运输行业指南《DBJT </w:t>
      </w:r>
      <w:r w:rsidRPr="00877A74">
        <w:rPr>
          <w:rFonts w:hint="eastAsia"/>
          <w:bCs/>
          <w:szCs w:val="28"/>
        </w:rPr>
        <w:lastRenderedPageBreak/>
        <w:t>45/T 009—2020 公路运营管理企事业单位危险化学品公路运输突发环境事件应急预案编制指南》中“7.</w:t>
      </w:r>
      <w:r>
        <w:rPr>
          <w:rFonts w:hint="eastAsia"/>
          <w:bCs/>
          <w:szCs w:val="28"/>
        </w:rPr>
        <w:t>4</w:t>
      </w:r>
      <w:r w:rsidRPr="00877A74">
        <w:rPr>
          <w:rFonts w:hint="eastAsia"/>
          <w:bCs/>
          <w:szCs w:val="28"/>
        </w:rPr>
        <w:t xml:space="preserve"> </w:t>
      </w:r>
      <w:r>
        <w:rPr>
          <w:rFonts w:hint="eastAsia"/>
          <w:bCs/>
          <w:szCs w:val="28"/>
        </w:rPr>
        <w:t>预防与预警</w:t>
      </w:r>
      <w:r w:rsidRPr="00877A74">
        <w:rPr>
          <w:rFonts w:hint="eastAsia"/>
          <w:bCs/>
          <w:szCs w:val="28"/>
        </w:rPr>
        <w:t>”（图</w:t>
      </w:r>
      <w:r>
        <w:rPr>
          <w:rFonts w:hint="eastAsia"/>
          <w:bCs/>
          <w:szCs w:val="28"/>
        </w:rPr>
        <w:t>5</w:t>
      </w:r>
      <w:r w:rsidRPr="00877A74">
        <w:rPr>
          <w:rFonts w:hint="eastAsia"/>
          <w:bCs/>
          <w:szCs w:val="28"/>
        </w:rPr>
        <w:t>）</w:t>
      </w:r>
      <w:r>
        <w:rPr>
          <w:rFonts w:hint="eastAsia"/>
          <w:bCs/>
          <w:szCs w:val="28"/>
        </w:rPr>
        <w:t>并结合编制单位在水运建设项目的实际突发环境事件应急预案编写工作经验修改完善。</w:t>
      </w:r>
    </w:p>
    <w:p w:rsidR="00BB65C7" w:rsidRPr="004214BC" w:rsidRDefault="00B65D47" w:rsidP="004214BC">
      <w:pPr>
        <w:pStyle w:val="afc"/>
      </w:pPr>
      <w:r>
        <w:rPr>
          <w:rFonts w:hint="eastAsia"/>
          <w:bCs/>
          <w:szCs w:val="28"/>
        </w:rPr>
        <w:t>在</w:t>
      </w:r>
      <w:r w:rsidRPr="006B1FC8">
        <w:rPr>
          <w:rFonts w:hint="eastAsia"/>
          <w:b/>
          <w:bCs/>
          <w:szCs w:val="28"/>
        </w:rPr>
        <w:t>预防和预警监控</w:t>
      </w:r>
      <w:r>
        <w:rPr>
          <w:rFonts w:hint="eastAsia"/>
          <w:bCs/>
          <w:szCs w:val="28"/>
        </w:rPr>
        <w:t>方面，与参考的行业指南相比，</w:t>
      </w:r>
      <w:r w:rsidR="006B1FC8">
        <w:rPr>
          <w:rFonts w:hint="eastAsia"/>
          <w:bCs/>
          <w:szCs w:val="28"/>
        </w:rPr>
        <w:t>预防和预警监控内容基本一致，不同点在于本文件突出的是水运建设项目运营单位而非企事业单位。在</w:t>
      </w:r>
      <w:r w:rsidR="006B1FC8" w:rsidRPr="006B1FC8">
        <w:rPr>
          <w:rFonts w:hint="eastAsia"/>
          <w:b/>
          <w:bCs/>
          <w:szCs w:val="28"/>
        </w:rPr>
        <w:t>接警及报警</w:t>
      </w:r>
      <w:r w:rsidR="006B1FC8">
        <w:rPr>
          <w:rFonts w:hint="eastAsia"/>
          <w:bCs/>
          <w:szCs w:val="28"/>
        </w:rPr>
        <w:t>方面，水运建设项目突发环境事件的预警信息获取途径与行业指南有所不同，主要不同在于水运建设项目不存在</w:t>
      </w:r>
      <w:r w:rsidR="006B1FC8">
        <w:rPr>
          <w:rFonts w:hint="eastAsia"/>
        </w:rPr>
        <w:t>事故车辆司乘人员报告、过往司乘人员报告及</w:t>
      </w:r>
      <w:r w:rsidR="006B1FC8" w:rsidRPr="00843B32">
        <w:rPr>
          <w:rFonts w:hint="eastAsia"/>
        </w:rPr>
        <w:t>巡路工作人员报告</w:t>
      </w:r>
      <w:r w:rsidR="006B1FC8">
        <w:rPr>
          <w:rFonts w:hint="eastAsia"/>
        </w:rPr>
        <w:t>，水运建设项目的预警信息是通过巡查人员报告、事故船舶及经过船舶人员报告。在</w:t>
      </w:r>
      <w:r w:rsidR="006B1FC8" w:rsidRPr="006B1FC8">
        <w:rPr>
          <w:rFonts w:hint="eastAsia"/>
          <w:b/>
        </w:rPr>
        <w:t>预警分级</w:t>
      </w:r>
      <w:r w:rsidR="006B1FC8">
        <w:rPr>
          <w:rFonts w:hint="eastAsia"/>
        </w:rPr>
        <w:t>方面，与所参考的行业指南不同，水运建设项目的预警分级主要根据水运建设项目不同</w:t>
      </w:r>
      <w:r w:rsidR="00C4408C">
        <w:rPr>
          <w:rFonts w:hint="eastAsia"/>
        </w:rPr>
        <w:t>工程类型进行分级，包括航运枢纽工程、港口工程和航道工程</w:t>
      </w:r>
      <w:r w:rsidR="000E0E61">
        <w:rPr>
          <w:rFonts w:hint="eastAsia"/>
        </w:rPr>
        <w:t>，分级的标准主要根据水运建设</w:t>
      </w:r>
      <w:r w:rsidR="000E0E61" w:rsidRPr="00577192">
        <w:rPr>
          <w:rFonts w:hint="eastAsia"/>
        </w:rPr>
        <w:t>项目运营期突发环境事件类型、危害程度、影响范围、周围环境风险敏感目标分布和中心应急响应能力等</w:t>
      </w:r>
      <w:r w:rsidR="000E0E61">
        <w:rPr>
          <w:rFonts w:hint="eastAsia"/>
        </w:rPr>
        <w:t>进行确定，</w:t>
      </w:r>
      <w:r w:rsidR="007042A5">
        <w:rPr>
          <w:rFonts w:hint="eastAsia"/>
        </w:rPr>
        <w:t>并将预警分级标准按突发环境事件的事件情形整理形成了分级标准附录，</w:t>
      </w:r>
      <w:r w:rsidR="000E0E61">
        <w:rPr>
          <w:rFonts w:hint="eastAsia"/>
        </w:rPr>
        <w:t>这些分级标准是通过编制单位多年的水运建设项目突发环境事件应急预案编制的经验总结而来。在</w:t>
      </w:r>
      <w:r w:rsidR="000E0E61" w:rsidRPr="000E0E61">
        <w:rPr>
          <w:rFonts w:hint="eastAsia"/>
          <w:b/>
        </w:rPr>
        <w:t>预警研判</w:t>
      </w:r>
      <w:r w:rsidR="000E0E61">
        <w:rPr>
          <w:rFonts w:hint="eastAsia"/>
        </w:rPr>
        <w:t>方面，应</w:t>
      </w:r>
      <w:r w:rsidR="000E0E61" w:rsidRPr="00994CA9">
        <w:rPr>
          <w:rFonts w:hint="eastAsia"/>
        </w:rPr>
        <w:t>明确预警信息研判的责任人、程序、时限和内容等。预警研判内容重点为预警信息真伪确认、预警级别确定以及</w:t>
      </w:r>
      <w:r w:rsidR="000E0E61" w:rsidRPr="00994CA9">
        <w:t>预估可能的影响范围和危害程度</w:t>
      </w:r>
      <w:r w:rsidR="00137C19">
        <w:rPr>
          <w:rFonts w:hint="eastAsia"/>
        </w:rPr>
        <w:t>等。在</w:t>
      </w:r>
      <w:r w:rsidR="00137C19" w:rsidRPr="00137C19">
        <w:rPr>
          <w:rFonts w:hint="eastAsia"/>
          <w:b/>
        </w:rPr>
        <w:t>预警启动</w:t>
      </w:r>
      <w:r w:rsidR="00137C19">
        <w:rPr>
          <w:rFonts w:hint="eastAsia"/>
        </w:rPr>
        <w:t>方面，应</w:t>
      </w:r>
      <w:r w:rsidR="00137C19" w:rsidRPr="00E31CDB">
        <w:rPr>
          <w:rFonts w:hint="eastAsia"/>
        </w:rPr>
        <w:t>明确发布预警责任人、程序、时限、发布对象和行动内容。</w:t>
      </w:r>
    </w:p>
    <w:p w:rsidR="001F1BB1" w:rsidRPr="001F1BB1" w:rsidRDefault="001F1BB1" w:rsidP="001F1BB1">
      <w:pPr>
        <w:jc w:val="center"/>
      </w:pPr>
      <w:r w:rsidRPr="001F1BB1">
        <w:rPr>
          <w:noProof/>
        </w:rPr>
        <w:lastRenderedPageBreak/>
        <w:drawing>
          <wp:inline distT="0" distB="0" distL="0" distR="0" wp14:anchorId="73AEF8F5" wp14:editId="1A91CFBC">
            <wp:extent cx="4499264" cy="6759771"/>
            <wp:effectExtent l="19050" t="19050" r="15875" b="22225"/>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00845" cy="6762146"/>
                    </a:xfrm>
                    <a:prstGeom prst="rect">
                      <a:avLst/>
                    </a:prstGeom>
                    <a:noFill/>
                    <a:ln w="9525">
                      <a:solidFill>
                        <a:schemeClr val="tx1"/>
                      </a:solidFill>
                      <a:miter lim="800000"/>
                      <a:headEnd/>
                      <a:tailEnd/>
                    </a:ln>
                    <a:effectLst/>
                    <a:extLst/>
                  </pic:spPr>
                </pic:pic>
              </a:graphicData>
            </a:graphic>
          </wp:inline>
        </w:drawing>
      </w:r>
    </w:p>
    <w:p w:rsidR="001F1BB1" w:rsidRPr="001F1BB1" w:rsidRDefault="001F1BB1" w:rsidP="001F1BB1">
      <w:pPr>
        <w:pStyle w:val="afc"/>
        <w:ind w:firstLineChars="0" w:firstLine="0"/>
        <w:jc w:val="center"/>
        <w:rPr>
          <w:bCs/>
          <w:szCs w:val="28"/>
        </w:rPr>
      </w:pPr>
      <w:r w:rsidRPr="00B3527B">
        <w:rPr>
          <w:rFonts w:hint="eastAsia"/>
        </w:rPr>
        <w:t>图</w:t>
      </w:r>
      <w:r w:rsidR="00BB65C7">
        <w:rPr>
          <w:rFonts w:hint="eastAsia"/>
        </w:rPr>
        <w:t>5</w:t>
      </w:r>
      <w:r w:rsidRPr="00B3527B">
        <w:rPr>
          <w:rFonts w:hint="eastAsia"/>
        </w:rPr>
        <w:t xml:space="preserve"> 摘自《DBJT 45/T 009—2020 公路运营管理企事业单位危险化学品公路 运输突发环境事件应急预案编制指南》</w:t>
      </w:r>
    </w:p>
    <w:p w:rsidR="00B95DEA" w:rsidRDefault="004214BC" w:rsidP="002074C3">
      <w:pPr>
        <w:pStyle w:val="afc"/>
        <w:rPr>
          <w:bCs/>
          <w:szCs w:val="28"/>
        </w:rPr>
      </w:pPr>
      <w:r>
        <w:rPr>
          <w:rFonts w:hint="eastAsia"/>
        </w:rPr>
        <w:t>在</w:t>
      </w:r>
      <w:r w:rsidRPr="00137C19">
        <w:rPr>
          <w:rFonts w:hint="eastAsia"/>
          <w:b/>
        </w:rPr>
        <w:t>预警预防行动</w:t>
      </w:r>
      <w:r>
        <w:rPr>
          <w:rFonts w:hint="eastAsia"/>
        </w:rPr>
        <w:t>方面，与所参考的行业指南不同，水运建设项目突发环境时间的预警预防行动需结合项目的实际进行调整，水运建设项目不存在收费站及绕行避让信息、事故路段、路勤或巡查部门对事故路段巡查等内容，因此，根据水运建设项目突发</w:t>
      </w:r>
      <w:r>
        <w:rPr>
          <w:rFonts w:hint="eastAsia"/>
        </w:rPr>
        <w:lastRenderedPageBreak/>
        <w:t>环境事件应急预案编制的特点进行修改，明确了预警行动应包括但不限于：签署启动预警命令；通知预警涉及部门和人员进入待命状态做好应急准备；利用可变信息情报板发布事故信息；监控部门对风险区域实施重点监控和巡查；调集应急物资和设备，做好应急保障；做好事故信息上报和通报及相关准备工作；做好协助政府疏散事故影响区域人员准备工作。在预警级别调整与终止上，预警级别调整和终止按预案预警分级标准执行。明确预警级别调整与终止</w:t>
      </w:r>
      <w:r w:rsidRPr="00222C26">
        <w:rPr>
          <w:rFonts w:hint="eastAsia"/>
        </w:rPr>
        <w:t>责任人、程序、时限和内容等。</w:t>
      </w:r>
      <w:r w:rsidRPr="00BD0D1E">
        <w:rPr>
          <w:rFonts w:hint="eastAsia"/>
        </w:rPr>
        <w:t>其中预警级别调整应包含升级和降级调整</w:t>
      </w:r>
      <w:r>
        <w:rPr>
          <w:rFonts w:hint="eastAsia"/>
        </w:rPr>
        <w:t>。</w:t>
      </w:r>
    </w:p>
    <w:p w:rsidR="001F1BB1" w:rsidRDefault="002268A6" w:rsidP="002268A6">
      <w:pPr>
        <w:pStyle w:val="afc"/>
        <w:ind w:firstLine="643"/>
        <w:rPr>
          <w:bCs/>
          <w:szCs w:val="28"/>
        </w:rPr>
      </w:pPr>
      <w:r>
        <w:rPr>
          <w:rFonts w:hint="eastAsia"/>
          <w:b/>
        </w:rPr>
        <w:t>5</w:t>
      </w:r>
      <w:r w:rsidRPr="00BA785A">
        <w:rPr>
          <w:rFonts w:hint="eastAsia"/>
          <w:b/>
        </w:rPr>
        <w:t>、</w:t>
      </w:r>
      <w:r>
        <w:rPr>
          <w:rFonts w:hint="eastAsia"/>
          <w:b/>
        </w:rPr>
        <w:t>应急处置</w:t>
      </w:r>
    </w:p>
    <w:p w:rsidR="004214BC" w:rsidRDefault="00335BBE" w:rsidP="002074C3">
      <w:pPr>
        <w:pStyle w:val="afc"/>
        <w:rPr>
          <w:bCs/>
          <w:szCs w:val="28"/>
        </w:rPr>
      </w:pPr>
      <w:r>
        <w:rPr>
          <w:rFonts w:hint="eastAsia"/>
          <w:bCs/>
          <w:szCs w:val="28"/>
        </w:rPr>
        <w:t>应急处置包括应急响应流程、分级响应、信息报告及应急监测</w:t>
      </w:r>
      <w:r w:rsidR="00BA5390">
        <w:rPr>
          <w:rFonts w:hint="eastAsia"/>
          <w:bCs/>
          <w:szCs w:val="28"/>
        </w:rPr>
        <w:t>，主要参考</w:t>
      </w:r>
      <w:r w:rsidR="00BA5390" w:rsidRPr="00877A74">
        <w:rPr>
          <w:rFonts w:hint="eastAsia"/>
          <w:bCs/>
          <w:szCs w:val="28"/>
        </w:rPr>
        <w:t>广西壮族自治区交通运输行业指南《DBJT 45/T 009—2020 公路运营管理企事业单位危险化学品公路运输突发环境事件应急预案编制指南》中“7.</w:t>
      </w:r>
      <w:r w:rsidR="00BA5390">
        <w:rPr>
          <w:rFonts w:hint="eastAsia"/>
          <w:bCs/>
          <w:szCs w:val="28"/>
        </w:rPr>
        <w:t>5</w:t>
      </w:r>
      <w:r w:rsidR="00BA5390" w:rsidRPr="00877A74">
        <w:rPr>
          <w:rFonts w:hint="eastAsia"/>
          <w:bCs/>
          <w:szCs w:val="28"/>
        </w:rPr>
        <w:t xml:space="preserve"> </w:t>
      </w:r>
      <w:r w:rsidR="00A1042A">
        <w:rPr>
          <w:rFonts w:hint="eastAsia"/>
          <w:bCs/>
          <w:szCs w:val="28"/>
        </w:rPr>
        <w:t>应急处置</w:t>
      </w:r>
      <w:r w:rsidR="00BA5390" w:rsidRPr="00877A74">
        <w:rPr>
          <w:rFonts w:hint="eastAsia"/>
          <w:bCs/>
          <w:szCs w:val="28"/>
        </w:rPr>
        <w:t>”（图</w:t>
      </w:r>
      <w:r w:rsidR="00BA5390">
        <w:rPr>
          <w:rFonts w:hint="eastAsia"/>
          <w:bCs/>
          <w:szCs w:val="28"/>
        </w:rPr>
        <w:t>6</w:t>
      </w:r>
      <w:r w:rsidR="00BA5390" w:rsidRPr="00877A74">
        <w:rPr>
          <w:rFonts w:hint="eastAsia"/>
          <w:bCs/>
          <w:szCs w:val="28"/>
        </w:rPr>
        <w:t>）</w:t>
      </w:r>
    </w:p>
    <w:p w:rsidR="00BA5390" w:rsidRPr="00BA5390" w:rsidRDefault="00BA5390" w:rsidP="00BA5390">
      <w:pPr>
        <w:jc w:val="center"/>
        <w:rPr>
          <w:bCs/>
          <w:szCs w:val="28"/>
        </w:rPr>
      </w:pPr>
      <w:r>
        <w:rPr>
          <w:noProof/>
        </w:rPr>
        <w:drawing>
          <wp:inline distT="0" distB="0" distL="0" distR="0" wp14:anchorId="23F3F183" wp14:editId="6084F146">
            <wp:extent cx="4769427" cy="3266837"/>
            <wp:effectExtent l="19050" t="19050" r="12700" b="1016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769427" cy="3266837"/>
                    </a:xfrm>
                    <a:prstGeom prst="rect">
                      <a:avLst/>
                    </a:prstGeom>
                    <a:ln>
                      <a:solidFill>
                        <a:schemeClr val="tx1"/>
                      </a:solidFill>
                    </a:ln>
                  </pic:spPr>
                </pic:pic>
              </a:graphicData>
            </a:graphic>
          </wp:inline>
        </w:drawing>
      </w:r>
    </w:p>
    <w:p w:rsidR="001F1BB1" w:rsidRPr="001F1BB1" w:rsidRDefault="00BA5390" w:rsidP="00BA5390">
      <w:pPr>
        <w:pStyle w:val="afc"/>
        <w:ind w:firstLineChars="0" w:firstLine="0"/>
        <w:jc w:val="center"/>
        <w:rPr>
          <w:bCs/>
          <w:szCs w:val="28"/>
        </w:rPr>
      </w:pPr>
      <w:r w:rsidRPr="00B3527B">
        <w:rPr>
          <w:rFonts w:hint="eastAsia"/>
        </w:rPr>
        <w:t>图</w:t>
      </w:r>
      <w:r>
        <w:rPr>
          <w:rFonts w:hint="eastAsia"/>
        </w:rPr>
        <w:t>6</w:t>
      </w:r>
      <w:r w:rsidRPr="00B3527B">
        <w:rPr>
          <w:rFonts w:hint="eastAsia"/>
        </w:rPr>
        <w:t xml:space="preserve"> 摘自《DBJT 45/T 009—2020 公路运营管理企事业单位危险化学品公路 运输突发环境事件应急预案编制指南》</w:t>
      </w:r>
    </w:p>
    <w:p w:rsidR="00B95DEA" w:rsidRDefault="00077304" w:rsidP="00990D08">
      <w:pPr>
        <w:pStyle w:val="afc"/>
        <w:rPr>
          <w:bCs/>
          <w:szCs w:val="28"/>
        </w:rPr>
      </w:pPr>
      <w:r>
        <w:rPr>
          <w:rFonts w:hint="eastAsia"/>
          <w:bCs/>
          <w:szCs w:val="28"/>
        </w:rPr>
        <w:lastRenderedPageBreak/>
        <w:t>在</w:t>
      </w:r>
      <w:r w:rsidRPr="00077304">
        <w:rPr>
          <w:rFonts w:hint="eastAsia"/>
          <w:b/>
          <w:bCs/>
          <w:szCs w:val="28"/>
        </w:rPr>
        <w:t>应急响应流程</w:t>
      </w:r>
      <w:r>
        <w:rPr>
          <w:rFonts w:hint="eastAsia"/>
          <w:bCs/>
          <w:szCs w:val="28"/>
        </w:rPr>
        <w:t>方面，</w:t>
      </w:r>
      <w:r w:rsidR="007042A5">
        <w:rPr>
          <w:rFonts w:hint="eastAsia"/>
          <w:bCs/>
          <w:szCs w:val="28"/>
        </w:rPr>
        <w:t>主要结合水运建设项目突发环境事件对应的情形进行规定，主要根据项目环境风险评估报告</w:t>
      </w:r>
      <w:r w:rsidR="007042A5" w:rsidRPr="007042A5">
        <w:rPr>
          <w:rFonts w:hint="eastAsia"/>
          <w:bCs/>
          <w:szCs w:val="28"/>
        </w:rPr>
        <w:t>设定的突发环境事件情景，给出事件情景下的应对流程、措施。制定的应对流程、措施应体现控制污染源-研判污染范围-控制污染扩散-</w:t>
      </w:r>
      <w:r w:rsidR="00990D08">
        <w:rPr>
          <w:rFonts w:hint="eastAsia"/>
          <w:bCs/>
          <w:szCs w:val="28"/>
        </w:rPr>
        <w:t>污染应急处置的全过程完整的应对流程和措施：对于</w:t>
      </w:r>
      <w:r w:rsidR="007042A5" w:rsidRPr="007042A5">
        <w:rPr>
          <w:rFonts w:hint="eastAsia"/>
          <w:bCs/>
          <w:szCs w:val="28"/>
        </w:rPr>
        <w:t>可能引发大气污染的，应重点说明不同受威胁范围或污染物特性条件下，组织公众避险的原则性措施；</w:t>
      </w:r>
      <w:r w:rsidR="00990D08">
        <w:rPr>
          <w:rFonts w:hint="eastAsia"/>
          <w:bCs/>
          <w:szCs w:val="28"/>
        </w:rPr>
        <w:t>对于</w:t>
      </w:r>
      <w:r w:rsidR="007042A5" w:rsidRPr="007042A5">
        <w:rPr>
          <w:rFonts w:hint="eastAsia"/>
          <w:bCs/>
          <w:szCs w:val="28"/>
        </w:rPr>
        <w:t>可能引发水环境污染的，应重点说明泄漏危险化学品及事故水收集、拦截和暂存的原则性措施。</w:t>
      </w:r>
      <w:r w:rsidR="00990D08">
        <w:rPr>
          <w:rFonts w:hint="eastAsia"/>
          <w:bCs/>
          <w:szCs w:val="28"/>
        </w:rPr>
        <w:t>此外，还</w:t>
      </w:r>
      <w:r w:rsidR="007042A5">
        <w:rPr>
          <w:rFonts w:hint="eastAsia"/>
          <w:bCs/>
          <w:szCs w:val="28"/>
        </w:rPr>
        <w:t>明确</w:t>
      </w:r>
      <w:r w:rsidR="00990D08">
        <w:rPr>
          <w:rFonts w:hint="eastAsia"/>
          <w:bCs/>
          <w:szCs w:val="28"/>
        </w:rPr>
        <w:t>了</w:t>
      </w:r>
      <w:r w:rsidR="007042A5">
        <w:rPr>
          <w:rFonts w:hint="eastAsia"/>
          <w:bCs/>
          <w:szCs w:val="28"/>
        </w:rPr>
        <w:t>水运建设项目主要涉及</w:t>
      </w:r>
      <w:r w:rsidR="007042A5" w:rsidRPr="007042A5">
        <w:rPr>
          <w:rFonts w:hint="eastAsia"/>
          <w:bCs/>
          <w:szCs w:val="28"/>
        </w:rPr>
        <w:t>饮用水水源保护区、涉水自然保护地、鱼类“三场”和人员密集区</w:t>
      </w:r>
      <w:r w:rsidR="007042A5">
        <w:rPr>
          <w:rFonts w:hint="eastAsia"/>
          <w:bCs/>
          <w:szCs w:val="28"/>
        </w:rPr>
        <w:t>等</w:t>
      </w:r>
      <w:r w:rsidR="00990D08">
        <w:rPr>
          <w:rFonts w:hint="eastAsia"/>
          <w:bCs/>
          <w:szCs w:val="28"/>
        </w:rPr>
        <w:t>重要</w:t>
      </w:r>
      <w:r w:rsidR="00990D08">
        <w:rPr>
          <w:rFonts w:hint="eastAsia"/>
          <w:bCs/>
          <w:szCs w:val="28"/>
        </w:rPr>
        <w:t>环境风险保护目标</w:t>
      </w:r>
      <w:r w:rsidR="00990D08">
        <w:rPr>
          <w:rFonts w:hint="eastAsia"/>
          <w:bCs/>
          <w:szCs w:val="28"/>
        </w:rPr>
        <w:t>，有潜在环境风险影响的，应编制典型突发环境事件现场处置预案及处置卡。在</w:t>
      </w:r>
      <w:r w:rsidR="00990D08" w:rsidRPr="00990D08">
        <w:rPr>
          <w:rFonts w:hint="eastAsia"/>
          <w:b/>
          <w:bCs/>
          <w:szCs w:val="28"/>
        </w:rPr>
        <w:t>分级响应</w:t>
      </w:r>
      <w:r w:rsidR="00990D08">
        <w:rPr>
          <w:rFonts w:hint="eastAsia"/>
          <w:bCs/>
          <w:szCs w:val="28"/>
        </w:rPr>
        <w:t>方面，</w:t>
      </w:r>
      <w:r w:rsidR="001168F2" w:rsidRPr="007E01E9">
        <w:rPr>
          <w:rFonts w:hint="eastAsia"/>
        </w:rPr>
        <w:t>综合考虑突发环境事件的危</w:t>
      </w:r>
      <w:r w:rsidR="001168F2">
        <w:rPr>
          <w:rFonts w:hint="eastAsia"/>
        </w:rPr>
        <w:t>害程度、影响范围、周边环境风险敏感目标、单位应急响应能力等因素</w:t>
      </w:r>
      <w:r w:rsidR="001168F2">
        <w:rPr>
          <w:rFonts w:hint="eastAsia"/>
        </w:rPr>
        <w:t>给出了分级响应标准。在</w:t>
      </w:r>
      <w:r w:rsidR="001168F2" w:rsidRPr="001168F2">
        <w:rPr>
          <w:rFonts w:hint="eastAsia"/>
          <w:b/>
        </w:rPr>
        <w:t>信息报告</w:t>
      </w:r>
      <w:r w:rsidR="001168F2">
        <w:rPr>
          <w:rFonts w:hint="eastAsia"/>
        </w:rPr>
        <w:t>方面，参照行业指南</w:t>
      </w:r>
      <w:r w:rsidR="001168F2" w:rsidRPr="001168F2">
        <w:t>DBJT 45/T 009—2020</w:t>
      </w:r>
      <w:r w:rsidR="001168F2">
        <w:rPr>
          <w:rFonts w:hint="eastAsia"/>
        </w:rPr>
        <w:t>明确了相关规定。在</w:t>
      </w:r>
      <w:r w:rsidR="001168F2" w:rsidRPr="001168F2">
        <w:rPr>
          <w:rFonts w:hint="eastAsia"/>
          <w:b/>
        </w:rPr>
        <w:t>应急监测</w:t>
      </w:r>
      <w:r w:rsidR="001168F2">
        <w:rPr>
          <w:rFonts w:hint="eastAsia"/>
        </w:rPr>
        <w:t>方面，</w:t>
      </w:r>
      <w:r w:rsidR="00472820">
        <w:rPr>
          <w:rFonts w:hint="eastAsia"/>
        </w:rPr>
        <w:t>与行业指南相比，由于水运建设项目涉及到航运枢纽、航道、港口等</w:t>
      </w:r>
      <w:r w:rsidR="00A30A20">
        <w:rPr>
          <w:rFonts w:hint="eastAsia"/>
        </w:rPr>
        <w:t>水环境相关的工程项目，在水体环境中，污染的程度和范围会很广，需要进行跟踪监测，因此，</w:t>
      </w:r>
      <w:r w:rsidR="00472820">
        <w:rPr>
          <w:rFonts w:hint="eastAsia"/>
        </w:rPr>
        <w:t>根据编制单位在实际水运建设项目突发环境事件应急预案的编制经验</w:t>
      </w:r>
      <w:r w:rsidR="00472820">
        <w:rPr>
          <w:rFonts w:hint="eastAsia"/>
        </w:rPr>
        <w:t>，本文件增加了应急监测的内容，</w:t>
      </w:r>
      <w:r w:rsidR="001168F2">
        <w:rPr>
          <w:rFonts w:hint="eastAsia"/>
        </w:rPr>
        <w:t>，明确了应</w:t>
      </w:r>
      <w:r w:rsidR="001168F2" w:rsidRPr="00F26249">
        <w:rPr>
          <w:rFonts w:hint="eastAsia"/>
        </w:rPr>
        <w:t>根据</w:t>
      </w:r>
      <w:r w:rsidR="001168F2">
        <w:rPr>
          <w:rFonts w:hint="eastAsia"/>
        </w:rPr>
        <w:t>水运建设项目突发环境事件的实际情况，</w:t>
      </w:r>
      <w:r w:rsidR="001168F2" w:rsidRPr="00F26249">
        <w:rPr>
          <w:rFonts w:hint="eastAsia"/>
        </w:rPr>
        <w:t>确定监测方案</w:t>
      </w:r>
      <w:r w:rsidR="001168F2">
        <w:rPr>
          <w:rFonts w:hint="eastAsia"/>
        </w:rPr>
        <w:t>（内容包括监测点位、监测因子、监测频率等）</w:t>
      </w:r>
      <w:r w:rsidR="001168F2" w:rsidRPr="00F26249">
        <w:rPr>
          <w:rFonts w:hint="eastAsia"/>
        </w:rPr>
        <w:t>，</w:t>
      </w:r>
      <w:r w:rsidR="001168F2">
        <w:rPr>
          <w:rFonts w:hint="eastAsia"/>
        </w:rPr>
        <w:t>并</w:t>
      </w:r>
      <w:r w:rsidR="001168F2" w:rsidRPr="00F26249">
        <w:rPr>
          <w:rFonts w:hint="eastAsia"/>
        </w:rPr>
        <w:t>开展针对环境污染事件的环境应急监测工作</w:t>
      </w:r>
      <w:r w:rsidR="001168F2">
        <w:rPr>
          <w:rFonts w:hint="eastAsia"/>
        </w:rPr>
        <w:t>。</w:t>
      </w:r>
    </w:p>
    <w:p w:rsidR="00BA5390" w:rsidRPr="00990D08" w:rsidRDefault="001168F2" w:rsidP="001168F2">
      <w:pPr>
        <w:pStyle w:val="afc"/>
        <w:ind w:firstLine="643"/>
        <w:rPr>
          <w:bCs/>
          <w:szCs w:val="28"/>
        </w:rPr>
      </w:pPr>
      <w:r>
        <w:rPr>
          <w:rFonts w:hint="eastAsia"/>
          <w:b/>
        </w:rPr>
        <w:t>6</w:t>
      </w:r>
      <w:r w:rsidRPr="00BA785A">
        <w:rPr>
          <w:rFonts w:hint="eastAsia"/>
          <w:b/>
        </w:rPr>
        <w:t>、</w:t>
      </w:r>
      <w:r>
        <w:rPr>
          <w:rFonts w:hint="eastAsia"/>
          <w:b/>
        </w:rPr>
        <w:t>应急</w:t>
      </w:r>
      <w:r>
        <w:rPr>
          <w:rFonts w:hint="eastAsia"/>
          <w:b/>
        </w:rPr>
        <w:t>终止、后期处置、保障</w:t>
      </w:r>
    </w:p>
    <w:p w:rsidR="00BA5390" w:rsidRPr="001168F2" w:rsidRDefault="001168F2" w:rsidP="001168F2">
      <w:pPr>
        <w:pStyle w:val="afc"/>
        <w:rPr>
          <w:bCs/>
          <w:szCs w:val="28"/>
        </w:rPr>
      </w:pPr>
      <w:r w:rsidRPr="001168F2">
        <w:rPr>
          <w:rFonts w:hint="eastAsia"/>
        </w:rPr>
        <w:t>应急终止、后期处置、保障</w:t>
      </w:r>
      <w:r>
        <w:rPr>
          <w:rFonts w:hint="eastAsia"/>
        </w:rPr>
        <w:t>主要内容</w:t>
      </w:r>
      <w:r w:rsidR="0097123F">
        <w:rPr>
          <w:rFonts w:hint="eastAsia"/>
        </w:rPr>
        <w:t>分别</w:t>
      </w:r>
      <w:r>
        <w:rPr>
          <w:rFonts w:hint="eastAsia"/>
        </w:rPr>
        <w:t>为参考</w:t>
      </w:r>
      <w:r w:rsidR="0097123F" w:rsidRPr="00877A74">
        <w:rPr>
          <w:rFonts w:hint="eastAsia"/>
          <w:bCs/>
          <w:szCs w:val="28"/>
        </w:rPr>
        <w:t>广西壮族自治区交通运输行业指南《DBJT 45/T 009—2020 公路运营管理企事业单位危险化学品公路运输突发环境事件应急预案编制指南》</w:t>
      </w:r>
      <w:r w:rsidR="0097123F" w:rsidRPr="00877A74">
        <w:rPr>
          <w:rFonts w:hint="eastAsia"/>
          <w:bCs/>
          <w:szCs w:val="28"/>
        </w:rPr>
        <w:lastRenderedPageBreak/>
        <w:t>中“7.</w:t>
      </w:r>
      <w:r w:rsidR="0097123F">
        <w:rPr>
          <w:rFonts w:hint="eastAsia"/>
          <w:bCs/>
          <w:szCs w:val="28"/>
        </w:rPr>
        <w:t>6</w:t>
      </w:r>
      <w:r w:rsidR="0097123F" w:rsidRPr="00877A74">
        <w:rPr>
          <w:rFonts w:hint="eastAsia"/>
          <w:bCs/>
          <w:szCs w:val="28"/>
        </w:rPr>
        <w:t xml:space="preserve"> </w:t>
      </w:r>
      <w:r w:rsidR="0097123F">
        <w:rPr>
          <w:rFonts w:hint="eastAsia"/>
          <w:bCs/>
          <w:szCs w:val="28"/>
        </w:rPr>
        <w:t>应急终止</w:t>
      </w:r>
      <w:r w:rsidR="0097123F" w:rsidRPr="00877A74">
        <w:rPr>
          <w:rFonts w:hint="eastAsia"/>
          <w:bCs/>
          <w:szCs w:val="28"/>
        </w:rPr>
        <w:t>”</w:t>
      </w:r>
      <w:r w:rsidR="0097123F">
        <w:rPr>
          <w:rFonts w:hint="eastAsia"/>
          <w:bCs/>
          <w:szCs w:val="28"/>
        </w:rPr>
        <w:t>“7.7 后期处置”和“7.8 保障措施”（图7）并结合水运建设项目突发环境事件的特点进行修改完善。</w:t>
      </w:r>
    </w:p>
    <w:p w:rsidR="0097123F" w:rsidRPr="0097123F" w:rsidRDefault="0097123F" w:rsidP="0097123F">
      <w:pPr>
        <w:jc w:val="center"/>
        <w:rPr>
          <w:rFonts w:hint="eastAsia"/>
          <w:bCs/>
          <w:szCs w:val="28"/>
        </w:rPr>
      </w:pPr>
      <w:r>
        <w:rPr>
          <w:noProof/>
        </w:rPr>
        <w:drawing>
          <wp:inline distT="0" distB="0" distL="0" distR="0" wp14:anchorId="15DA5AED" wp14:editId="74DEFAF4">
            <wp:extent cx="3855027" cy="5136021"/>
            <wp:effectExtent l="19050" t="19050" r="12700" b="266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857495" cy="5139309"/>
                    </a:xfrm>
                    <a:prstGeom prst="rect">
                      <a:avLst/>
                    </a:prstGeom>
                    <a:ln>
                      <a:solidFill>
                        <a:schemeClr val="tx1"/>
                      </a:solidFill>
                    </a:ln>
                  </pic:spPr>
                </pic:pic>
              </a:graphicData>
            </a:graphic>
          </wp:inline>
        </w:drawing>
      </w:r>
    </w:p>
    <w:p w:rsidR="001168F2" w:rsidRDefault="0097123F" w:rsidP="0097123F">
      <w:pPr>
        <w:pStyle w:val="afc"/>
        <w:ind w:firstLineChars="0" w:firstLine="0"/>
        <w:jc w:val="center"/>
        <w:rPr>
          <w:rFonts w:hint="eastAsia"/>
          <w:bCs/>
          <w:szCs w:val="28"/>
        </w:rPr>
      </w:pPr>
      <w:r w:rsidRPr="00B3527B">
        <w:rPr>
          <w:rFonts w:hint="eastAsia"/>
        </w:rPr>
        <w:t>图</w:t>
      </w:r>
      <w:r>
        <w:rPr>
          <w:rFonts w:hint="eastAsia"/>
        </w:rPr>
        <w:t>7</w:t>
      </w:r>
      <w:r w:rsidRPr="00B3527B">
        <w:rPr>
          <w:rFonts w:hint="eastAsia"/>
        </w:rPr>
        <w:t xml:space="preserve"> 摘自《DBJT 45/T 009—2020 公路运营管理企事业单位危险化学品公路 运输突发环境事件应急预案编制指南》</w:t>
      </w:r>
    </w:p>
    <w:p w:rsidR="001168F2" w:rsidRDefault="0097123F" w:rsidP="0097123F">
      <w:pPr>
        <w:pStyle w:val="afc"/>
        <w:ind w:firstLine="643"/>
        <w:rPr>
          <w:rFonts w:hint="eastAsia"/>
          <w:bCs/>
          <w:szCs w:val="28"/>
        </w:rPr>
      </w:pPr>
      <w:r>
        <w:rPr>
          <w:rFonts w:hint="eastAsia"/>
          <w:b/>
        </w:rPr>
        <w:t>7</w:t>
      </w:r>
      <w:r w:rsidRPr="00BA785A">
        <w:rPr>
          <w:rFonts w:hint="eastAsia"/>
          <w:b/>
        </w:rPr>
        <w:t>、</w:t>
      </w:r>
      <w:r>
        <w:rPr>
          <w:rFonts w:hint="eastAsia"/>
          <w:b/>
        </w:rPr>
        <w:t>预案管理</w:t>
      </w:r>
    </w:p>
    <w:p w:rsidR="0097123F" w:rsidRDefault="00472820" w:rsidP="002074C3">
      <w:pPr>
        <w:pStyle w:val="afc"/>
        <w:rPr>
          <w:rFonts w:hint="eastAsia"/>
          <w:bCs/>
          <w:szCs w:val="28"/>
        </w:rPr>
      </w:pPr>
      <w:r>
        <w:rPr>
          <w:rFonts w:hint="eastAsia"/>
          <w:bCs/>
          <w:szCs w:val="28"/>
        </w:rPr>
        <w:t>预案管理</w:t>
      </w:r>
      <w:r w:rsidR="00A30A20">
        <w:rPr>
          <w:rFonts w:hint="eastAsia"/>
          <w:bCs/>
          <w:szCs w:val="28"/>
        </w:rPr>
        <w:t>包括预案宣传和培训、预案演练、预案回顾和修订</w:t>
      </w:r>
      <w:r w:rsidR="00473CEB">
        <w:rPr>
          <w:rFonts w:hint="eastAsia"/>
          <w:bCs/>
          <w:szCs w:val="28"/>
        </w:rPr>
        <w:t>，主要内容为参考</w:t>
      </w:r>
      <w:r w:rsidR="00473CEB" w:rsidRPr="00877A74">
        <w:rPr>
          <w:rFonts w:hint="eastAsia"/>
          <w:bCs/>
          <w:szCs w:val="28"/>
        </w:rPr>
        <w:t>广西壮族自治区交通运输行业指南《DBJT 45/T 009—2020 公路运营管理企事业单位危险化学品公路运输突发环境事件应急预案编制指南》</w:t>
      </w:r>
      <w:r w:rsidR="00473CEB">
        <w:rPr>
          <w:rFonts w:hint="eastAsia"/>
          <w:bCs/>
          <w:szCs w:val="28"/>
        </w:rPr>
        <w:t>“5.9 预案管理”（图8）并结合编制单位在水运建设项目突发环境事件应急预案的编制经验修改完善。</w:t>
      </w:r>
    </w:p>
    <w:p w:rsidR="00473CEB" w:rsidRPr="00473CEB" w:rsidRDefault="00473CEB" w:rsidP="00473CEB">
      <w:pPr>
        <w:jc w:val="center"/>
        <w:rPr>
          <w:rFonts w:hint="eastAsia"/>
          <w:bCs/>
          <w:szCs w:val="28"/>
        </w:rPr>
      </w:pPr>
      <w:r>
        <w:rPr>
          <w:noProof/>
        </w:rPr>
        <w:lastRenderedPageBreak/>
        <w:drawing>
          <wp:inline distT="0" distB="0" distL="0" distR="0" wp14:anchorId="7D1647BA" wp14:editId="5ACA9591">
            <wp:extent cx="4665518" cy="5126669"/>
            <wp:effectExtent l="19050" t="19050" r="20955" b="171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667038" cy="5128339"/>
                    </a:xfrm>
                    <a:prstGeom prst="rect">
                      <a:avLst/>
                    </a:prstGeom>
                    <a:ln>
                      <a:solidFill>
                        <a:schemeClr val="tx1"/>
                      </a:solidFill>
                    </a:ln>
                  </pic:spPr>
                </pic:pic>
              </a:graphicData>
            </a:graphic>
          </wp:inline>
        </w:drawing>
      </w:r>
    </w:p>
    <w:p w:rsidR="0097123F" w:rsidRPr="0097123F" w:rsidRDefault="00473CEB" w:rsidP="00473CEB">
      <w:pPr>
        <w:pStyle w:val="afc"/>
        <w:ind w:firstLineChars="0" w:firstLine="0"/>
        <w:jc w:val="center"/>
        <w:rPr>
          <w:rFonts w:hint="eastAsia"/>
          <w:bCs/>
          <w:szCs w:val="28"/>
        </w:rPr>
      </w:pPr>
      <w:r w:rsidRPr="00B3527B">
        <w:rPr>
          <w:rFonts w:hint="eastAsia"/>
        </w:rPr>
        <w:t>图</w:t>
      </w:r>
      <w:r>
        <w:rPr>
          <w:rFonts w:hint="eastAsia"/>
        </w:rPr>
        <w:t>8</w:t>
      </w:r>
      <w:r w:rsidRPr="00B3527B">
        <w:rPr>
          <w:rFonts w:hint="eastAsia"/>
        </w:rPr>
        <w:t xml:space="preserve"> 摘自《DBJT 45/T 009—2020 公路运营管理企事业单位危险化学品公路 运输突发环境事件应急预案编制指南》</w:t>
      </w:r>
    </w:p>
    <w:p w:rsidR="001168F2" w:rsidRPr="00BA357F" w:rsidRDefault="00BA357F" w:rsidP="00BA357F">
      <w:pPr>
        <w:pStyle w:val="afc"/>
        <w:rPr>
          <w:rFonts w:hint="eastAsia"/>
        </w:rPr>
      </w:pPr>
      <w:r>
        <w:rPr>
          <w:rFonts w:hint="eastAsia"/>
          <w:bCs/>
          <w:szCs w:val="28"/>
        </w:rPr>
        <w:t>与行业指南相比，在</w:t>
      </w:r>
      <w:r w:rsidRPr="00BA357F">
        <w:rPr>
          <w:rFonts w:hint="eastAsia"/>
          <w:b/>
          <w:bCs/>
          <w:szCs w:val="28"/>
        </w:rPr>
        <w:t>预案演练</w:t>
      </w:r>
      <w:r>
        <w:rPr>
          <w:rFonts w:hint="eastAsia"/>
          <w:bCs/>
          <w:szCs w:val="28"/>
        </w:rPr>
        <w:t>部分，演练的重点根据水运建设项目突发环境事件的主要环境风险保护目标进行明确，演练的</w:t>
      </w:r>
      <w:r w:rsidRPr="00E775D6">
        <w:rPr>
          <w:rFonts w:hint="eastAsia"/>
        </w:rPr>
        <w:t>重点内容一般应包括突发饮用水水源保护区（地）污染、突发大规模水质污染和有毒有害气体泄漏污染，演练情景应</w:t>
      </w:r>
      <w:r w:rsidRPr="006C1371">
        <w:rPr>
          <w:rFonts w:hint="eastAsia"/>
        </w:rPr>
        <w:t>包括水路运输有毒有害物品船只在穿（跨）越饮用水水源保护区、</w:t>
      </w:r>
      <w:r w:rsidRPr="00462278">
        <w:rPr>
          <w:rFonts w:hint="eastAsia"/>
        </w:rPr>
        <w:t>涉水自然保护区地、鱼类“三场”</w:t>
      </w:r>
      <w:r>
        <w:rPr>
          <w:rFonts w:hint="eastAsia"/>
        </w:rPr>
        <w:t>、</w:t>
      </w:r>
      <w:r w:rsidRPr="006C1371">
        <w:rPr>
          <w:rFonts w:hint="eastAsia"/>
        </w:rPr>
        <w:t>沿河路段事故泄漏等情景</w:t>
      </w:r>
      <w:r>
        <w:rPr>
          <w:rFonts w:hint="eastAsia"/>
        </w:rPr>
        <w:t>。在预案回顾和修订部分，根据水运建设项目的特点明确了需要进行环境应急预案回顾和修订的情形：</w:t>
      </w:r>
      <w:r>
        <w:rPr>
          <w:rFonts w:hint="eastAsia"/>
        </w:rPr>
        <w:t>面临的环境风险发生重大变化，如新增重大环境风险源或环境风险敏感保护目标等，需要重新进行环</w:t>
      </w:r>
      <w:r>
        <w:rPr>
          <w:rFonts w:hint="eastAsia"/>
        </w:rPr>
        <w:lastRenderedPageBreak/>
        <w:t>境风险评估的；港口、船舶运输货种增加危险化学品时；应急管理组织指挥体系与职责发生重大变化的；重要应急资源发生重大变化的；在突发事件实际应对和应急演练中发现问题，需要对环境应急预案作出重大调整的；其他需要修订的情况。</w:t>
      </w:r>
    </w:p>
    <w:p w:rsidR="00473CEB" w:rsidRPr="00463969" w:rsidRDefault="00463969" w:rsidP="00463969">
      <w:pPr>
        <w:pStyle w:val="afc"/>
        <w:ind w:firstLine="643"/>
        <w:rPr>
          <w:rFonts w:hint="eastAsia"/>
          <w:b/>
        </w:rPr>
      </w:pPr>
      <w:r w:rsidRPr="00463969">
        <w:rPr>
          <w:rFonts w:hint="eastAsia"/>
          <w:b/>
        </w:rPr>
        <w:t>7、</w:t>
      </w:r>
      <w:r w:rsidRPr="00463969">
        <w:rPr>
          <w:rFonts w:hint="eastAsia"/>
          <w:b/>
        </w:rPr>
        <w:t>责任与奖惩、附则、附图</w:t>
      </w:r>
    </w:p>
    <w:p w:rsidR="00463969" w:rsidRPr="00463969" w:rsidRDefault="00463969" w:rsidP="00463969">
      <w:pPr>
        <w:pStyle w:val="afc"/>
        <w:spacing w:line="560" w:lineRule="exact"/>
        <w:rPr>
          <w:rFonts w:hint="eastAsia"/>
          <w:bCs/>
          <w:szCs w:val="28"/>
        </w:rPr>
      </w:pPr>
      <w:r w:rsidRPr="00463969">
        <w:rPr>
          <w:rFonts w:hint="eastAsia"/>
        </w:rPr>
        <w:t>主要参考</w:t>
      </w:r>
      <w:r>
        <w:rPr>
          <w:rFonts w:hint="eastAsia"/>
        </w:rPr>
        <w:t>行业指南</w:t>
      </w:r>
      <w:r w:rsidRPr="00B3527B">
        <w:rPr>
          <w:rFonts w:hint="eastAsia"/>
        </w:rPr>
        <w:t>DBJT 45/T 009—2020</w:t>
      </w:r>
      <w:r>
        <w:rPr>
          <w:rFonts w:hint="eastAsia"/>
        </w:rPr>
        <w:t>并结合编制单位在水运建设项目突发环境应急预案的实际编制经验进行规定。</w:t>
      </w:r>
    </w:p>
    <w:p w:rsidR="00B94E0B" w:rsidRDefault="0080563C">
      <w:pPr>
        <w:pStyle w:val="a5"/>
        <w:numPr>
          <w:ilvl w:val="0"/>
          <w:numId w:val="0"/>
        </w:numPr>
        <w:spacing w:beforeLines="0" w:afterLines="0" w:line="360" w:lineRule="auto"/>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rsidR="00B94E0B" w:rsidRDefault="0080563C">
      <w:pPr>
        <w:spacing w:line="520" w:lineRule="exact"/>
        <w:ind w:firstLineChars="200" w:firstLine="640"/>
        <w:rPr>
          <w:rFonts w:ascii="仿宋_GB2312" w:eastAsia="仿宋_GB2312"/>
          <w:sz w:val="28"/>
          <w:szCs w:val="28"/>
        </w:rPr>
      </w:pPr>
      <w:r>
        <w:rPr>
          <w:rFonts w:ascii="仿宋" w:eastAsia="仿宋" w:hAnsi="仿宋" w:hint="eastAsia"/>
          <w:sz w:val="32"/>
          <w:szCs w:val="32"/>
        </w:rPr>
        <w:t>本标准研制过程中无重大分歧意见。</w:t>
      </w:r>
    </w:p>
    <w:p w:rsidR="00B94E0B" w:rsidRDefault="0080563C">
      <w:pPr>
        <w:autoSpaceDE w:val="0"/>
        <w:autoSpaceDN w:val="0"/>
        <w:adjustRightInd w:val="0"/>
        <w:spacing w:beforeLines="50" w:before="120" w:afterLines="50" w:after="120" w:line="520" w:lineRule="exact"/>
        <w:outlineLvl w:val="0"/>
        <w:rPr>
          <w:rFonts w:eastAsia="黑体"/>
          <w:sz w:val="32"/>
          <w:szCs w:val="32"/>
        </w:rPr>
      </w:pPr>
      <w:r>
        <w:rPr>
          <w:rFonts w:ascii="黑体" w:eastAsia="黑体" w:hint="eastAsia"/>
          <w:bCs/>
          <w:sz w:val="32"/>
          <w:szCs w:val="32"/>
        </w:rPr>
        <w:t>七、</w:t>
      </w:r>
      <w:r>
        <w:rPr>
          <w:rFonts w:eastAsia="黑体" w:hint="eastAsia"/>
          <w:sz w:val="32"/>
          <w:szCs w:val="32"/>
        </w:rPr>
        <w:t>实施标准的措施</w:t>
      </w:r>
    </w:p>
    <w:p w:rsidR="00B94E0B" w:rsidRDefault="0080563C">
      <w:pPr>
        <w:spacing w:line="500" w:lineRule="exact"/>
        <w:ind w:firstLine="675"/>
        <w:rPr>
          <w:rFonts w:ascii="仿宋" w:eastAsia="仿宋" w:hAnsi="仿宋" w:cs="仿宋_GB2312"/>
          <w:b/>
          <w:sz w:val="32"/>
          <w:szCs w:val="32"/>
        </w:rPr>
      </w:pPr>
      <w:r>
        <w:rPr>
          <w:rFonts w:ascii="仿宋" w:eastAsia="仿宋" w:hAnsi="仿宋" w:cs="仿宋_GB2312" w:hint="eastAsia"/>
          <w:b/>
          <w:sz w:val="32"/>
          <w:szCs w:val="32"/>
        </w:rPr>
        <w:t>（一）标准报批发布后，成立标准宣贯工作组</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rsidR="00B94E0B" w:rsidRDefault="0080563C">
      <w:pPr>
        <w:spacing w:line="500" w:lineRule="exact"/>
        <w:ind w:firstLine="675"/>
        <w:rPr>
          <w:rFonts w:ascii="仿宋" w:eastAsia="仿宋" w:hAnsi="仿宋"/>
          <w:b/>
          <w:sz w:val="32"/>
          <w:szCs w:val="32"/>
        </w:rPr>
      </w:pPr>
      <w:r>
        <w:rPr>
          <w:rFonts w:ascii="仿宋" w:eastAsia="仿宋" w:hAnsi="仿宋" w:hint="eastAsia"/>
          <w:b/>
          <w:sz w:val="32"/>
          <w:szCs w:val="32"/>
        </w:rPr>
        <w:t>（二）组织开展标准宣贯培训</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助力标准实施落地，推动建设绿色、可持续发展城市。</w:t>
      </w:r>
    </w:p>
    <w:p w:rsidR="00B94E0B" w:rsidRDefault="0080563C">
      <w:pPr>
        <w:spacing w:line="500" w:lineRule="exact"/>
        <w:ind w:firstLine="675"/>
        <w:rPr>
          <w:rFonts w:ascii="仿宋" w:eastAsia="仿宋" w:hAnsi="仿宋"/>
          <w:b/>
          <w:sz w:val="32"/>
          <w:szCs w:val="32"/>
        </w:rPr>
      </w:pPr>
      <w:r>
        <w:rPr>
          <w:rFonts w:ascii="仿宋" w:eastAsia="仿宋" w:hAnsi="仿宋" w:hint="eastAsia"/>
          <w:b/>
          <w:sz w:val="32"/>
          <w:szCs w:val="32"/>
        </w:rPr>
        <w:t>（三）开展标准实施交流会，收集标准实施反馈信息</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标准起草小组深入各市县相关机构技术人员召开标准实施交流会，听取标准实施过程中存在的问题并做好记录和解答，对存在的问题组织专家团队进行研讨，为标准的复审修订做准备。</w:t>
      </w:r>
    </w:p>
    <w:p w:rsidR="00B94E0B" w:rsidRDefault="0080563C">
      <w:pPr>
        <w:spacing w:line="500" w:lineRule="exact"/>
        <w:ind w:firstLine="675"/>
        <w:rPr>
          <w:rFonts w:ascii="仿宋_GB2312" w:eastAsia="仿宋_GB2312"/>
          <w:b/>
          <w:sz w:val="28"/>
          <w:szCs w:val="28"/>
        </w:rPr>
      </w:pPr>
      <w:r>
        <w:rPr>
          <w:rFonts w:ascii="仿宋" w:eastAsia="仿宋" w:hAnsi="仿宋" w:hint="eastAsia"/>
          <w:b/>
          <w:sz w:val="32"/>
          <w:szCs w:val="32"/>
        </w:rPr>
        <w:lastRenderedPageBreak/>
        <w:t>（四）开展标准实施效果评估</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rsidR="00B94E0B" w:rsidRDefault="0080563C">
      <w:pPr>
        <w:spacing w:before="156" w:after="156" w:line="520" w:lineRule="exact"/>
        <w:outlineLvl w:val="0"/>
        <w:rPr>
          <w:rFonts w:ascii="黑体" w:eastAsia="黑体"/>
          <w:bCs/>
          <w:sz w:val="32"/>
          <w:szCs w:val="32"/>
        </w:rPr>
      </w:pPr>
      <w:r>
        <w:rPr>
          <w:rFonts w:ascii="黑体" w:eastAsia="黑体" w:hint="eastAsia"/>
          <w:bCs/>
          <w:sz w:val="32"/>
          <w:szCs w:val="32"/>
        </w:rPr>
        <w:t>八、其他应当说明的事项</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无。</w:t>
      </w:r>
    </w:p>
    <w:p w:rsidR="00B94E0B" w:rsidRDefault="0080563C">
      <w:pPr>
        <w:autoSpaceDE w:val="0"/>
        <w:autoSpaceDN w:val="0"/>
        <w:adjustRightInd w:val="0"/>
        <w:spacing w:beforeLines="50" w:before="120" w:afterLines="50" w:after="120" w:line="520" w:lineRule="exact"/>
        <w:outlineLvl w:val="0"/>
        <w:rPr>
          <w:rFonts w:eastAsia="黑体"/>
          <w:sz w:val="32"/>
          <w:szCs w:val="32"/>
        </w:rPr>
      </w:pPr>
      <w:r>
        <w:rPr>
          <w:rFonts w:eastAsia="黑体" w:hint="eastAsia"/>
          <w:sz w:val="32"/>
          <w:szCs w:val="32"/>
        </w:rPr>
        <w:t>九、自我承诺</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该标准的内容符合国家相关法律法规，技术要求不低于强制性国家标准的相关技术要求，与相关的国家、行业推荐性标准协调一致，标准的编写符合GB/T 1.1-2020的要求。</w:t>
      </w:r>
    </w:p>
    <w:p w:rsidR="00B94E0B" w:rsidRDefault="00B94E0B">
      <w:pPr>
        <w:pStyle w:val="-1"/>
        <w:rPr>
          <w:rFonts w:ascii="仿宋_GB2312" w:eastAsia="仿宋_GB2312"/>
          <w:sz w:val="28"/>
          <w:szCs w:val="28"/>
        </w:rPr>
      </w:pPr>
    </w:p>
    <w:p w:rsidR="00B94E0B" w:rsidRDefault="00B94E0B">
      <w:pPr>
        <w:pStyle w:val="-1"/>
        <w:rPr>
          <w:rFonts w:ascii="仿宋_GB2312" w:eastAsia="仿宋_GB2312"/>
          <w:sz w:val="28"/>
          <w:szCs w:val="28"/>
        </w:rPr>
      </w:pPr>
    </w:p>
    <w:p w:rsidR="00B94E0B" w:rsidRDefault="00B94E0B">
      <w:pPr>
        <w:pStyle w:val="-1"/>
        <w:rPr>
          <w:rFonts w:ascii="仿宋_GB2312" w:eastAsia="仿宋_GB2312"/>
          <w:sz w:val="28"/>
          <w:szCs w:val="28"/>
        </w:rPr>
      </w:pPr>
    </w:p>
    <w:p w:rsidR="00B94E0B" w:rsidRDefault="0080563C">
      <w:pPr>
        <w:spacing w:line="520" w:lineRule="exact"/>
        <w:ind w:firstLineChars="200" w:firstLine="640"/>
        <w:jc w:val="right"/>
        <w:rPr>
          <w:rFonts w:ascii="仿宋" w:eastAsia="仿宋" w:hAnsi="仿宋"/>
          <w:sz w:val="32"/>
          <w:szCs w:val="32"/>
        </w:rPr>
      </w:pPr>
      <w:r>
        <w:rPr>
          <w:rFonts w:ascii="仿宋" w:eastAsia="仿宋" w:hAnsi="仿宋" w:hint="eastAsia"/>
          <w:sz w:val="32"/>
          <w:szCs w:val="32"/>
        </w:rPr>
        <w:t>团体标准《</w:t>
      </w:r>
      <w:r w:rsidR="004E0167">
        <w:rPr>
          <w:rFonts w:ascii="仿宋" w:eastAsia="仿宋" w:hAnsi="仿宋" w:hint="eastAsia"/>
          <w:sz w:val="32"/>
          <w:szCs w:val="32"/>
        </w:rPr>
        <w:t>水运建设项目突发环境事件应急预案编制规范</w:t>
      </w:r>
      <w:r>
        <w:rPr>
          <w:rFonts w:ascii="仿宋" w:eastAsia="仿宋" w:hAnsi="仿宋" w:hint="eastAsia"/>
          <w:sz w:val="32"/>
          <w:szCs w:val="32"/>
        </w:rPr>
        <w:t>》</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 xml:space="preserve">                             标准编制工作组</w:t>
      </w:r>
    </w:p>
    <w:p w:rsidR="00B94E0B" w:rsidRDefault="0080563C">
      <w:pPr>
        <w:spacing w:line="520" w:lineRule="exact"/>
        <w:ind w:firstLineChars="200" w:firstLine="640"/>
        <w:rPr>
          <w:rFonts w:ascii="仿宋" w:eastAsia="仿宋" w:hAnsi="仿宋"/>
          <w:sz w:val="32"/>
          <w:szCs w:val="32"/>
        </w:rPr>
      </w:pPr>
      <w:r>
        <w:rPr>
          <w:rFonts w:ascii="仿宋" w:eastAsia="仿宋" w:hAnsi="仿宋" w:hint="eastAsia"/>
          <w:sz w:val="32"/>
          <w:szCs w:val="32"/>
        </w:rPr>
        <w:t xml:space="preserve">                             2024年</w:t>
      </w:r>
      <w:r w:rsidR="00AD7603">
        <w:rPr>
          <w:rFonts w:ascii="仿宋" w:eastAsia="仿宋" w:hAnsi="仿宋" w:hint="eastAsia"/>
          <w:sz w:val="32"/>
          <w:szCs w:val="32"/>
        </w:rPr>
        <w:t>5</w:t>
      </w:r>
      <w:r>
        <w:rPr>
          <w:rFonts w:ascii="仿宋" w:eastAsia="仿宋" w:hAnsi="仿宋" w:hint="eastAsia"/>
          <w:sz w:val="32"/>
          <w:szCs w:val="32"/>
        </w:rPr>
        <w:t>月</w:t>
      </w:r>
      <w:r w:rsidR="00AD7603">
        <w:rPr>
          <w:rFonts w:ascii="仿宋" w:eastAsia="仿宋" w:hAnsi="仿宋" w:hint="eastAsia"/>
          <w:sz w:val="32"/>
          <w:szCs w:val="32"/>
        </w:rPr>
        <w:t>11</w:t>
      </w:r>
      <w:bookmarkStart w:id="1" w:name="_GoBack"/>
      <w:bookmarkEnd w:id="1"/>
      <w:r>
        <w:rPr>
          <w:rFonts w:ascii="仿宋" w:eastAsia="仿宋" w:hAnsi="仿宋" w:hint="eastAsia"/>
          <w:sz w:val="32"/>
          <w:szCs w:val="32"/>
        </w:rPr>
        <w:t>日</w:t>
      </w:r>
    </w:p>
    <w:sectPr w:rsidR="00B94E0B">
      <w:footerReference w:type="default" r:id="rId17"/>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4F3F" w:rsidRDefault="002E4F3F">
      <w:r>
        <w:separator/>
      </w:r>
    </w:p>
  </w:endnote>
  <w:endnote w:type="continuationSeparator" w:id="0">
    <w:p w:rsidR="002E4F3F" w:rsidRDefault="002E4F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E53B5779-10EF-43E5-BB48-26638B22952F}"/>
    <w:embedBold r:id="rId2" w:subsetted="1" w:fontKey="{F2B06D55-6827-44EA-A7E0-9B3ED525DFC2}"/>
  </w:font>
  <w:font w:name="Calibri">
    <w:panose1 w:val="020F0502020204030204"/>
    <w:charset w:val="00"/>
    <w:family w:val="swiss"/>
    <w:pitch w:val="variable"/>
    <w:sig w:usb0="E00002FF" w:usb1="4000ACFF" w:usb2="00000001" w:usb3="00000000" w:csb0="0000019F" w:csb1="00000000"/>
    <w:embedRegular r:id="rId3" w:subsetted="1" w:fontKey="{C83636C5-9B72-42F5-B3BA-2D6FBAE1F7E6}"/>
  </w:font>
  <w:font w:name="仿宋">
    <w:panose1 w:val="02010609060101010101"/>
    <w:charset w:val="86"/>
    <w:family w:val="modern"/>
    <w:pitch w:val="fixed"/>
    <w:sig w:usb0="800002BF" w:usb1="38CF7CFA" w:usb2="00000016" w:usb3="00000000" w:csb0="00040001" w:csb1="00000000"/>
    <w:embedRegular r:id="rId4" w:subsetted="1" w:fontKey="{0CD417BB-DC65-489D-AE0E-77207A941685}"/>
    <w:embedBold r:id="rId5" w:subsetted="1" w:fontKey="{F936A313-064E-42D9-B38D-02A328E475FF}"/>
  </w:font>
  <w:font w:name="等线">
    <w:altName w:val="宋体"/>
    <w:panose1 w:val="00000000000000000000"/>
    <w:charset w:val="86"/>
    <w:family w:val="roman"/>
    <w:notTrueType/>
    <w:pitch w:val="default"/>
  </w:font>
  <w:font w:name="方正小标宋简体">
    <w:panose1 w:val="03000509000000000000"/>
    <w:charset w:val="86"/>
    <w:family w:val="script"/>
    <w:pitch w:val="fixed"/>
    <w:sig w:usb0="00000001" w:usb1="080E0000" w:usb2="00000010" w:usb3="00000000" w:csb0="00040000" w:csb1="00000000"/>
    <w:embedRegular r:id="rId6" w:subsetted="1" w:fontKey="{B753CAB9-40AA-4D36-8E3A-746E95B25139}"/>
  </w:font>
  <w:font w:name="仿宋_GB2312">
    <w:altName w:val="仿宋"/>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4C3" w:rsidRDefault="002074C3">
    <w:pPr>
      <w:pStyle w:val="af1"/>
      <w:ind w:firstLine="378"/>
    </w:pPr>
    <w:r>
      <w:rPr>
        <w:noProof/>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rsidR="002074C3" w:rsidRDefault="002074C3">
                          <w:pPr>
                            <w:pStyle w:val="af1"/>
                          </w:pPr>
                          <w:r>
                            <w:rPr>
                              <w:rFonts w:hint="eastAsia"/>
                            </w:rPr>
                            <w:fldChar w:fldCharType="begin"/>
                          </w:r>
                          <w:r>
                            <w:rPr>
                              <w:rFonts w:hint="eastAsia"/>
                            </w:rPr>
                            <w:instrText xml:space="preserve"> PAGE  \* MERGEFORMAT </w:instrText>
                          </w:r>
                          <w:r>
                            <w:rPr>
                              <w:rFonts w:hint="eastAsia"/>
                            </w:rPr>
                            <w:fldChar w:fldCharType="separate"/>
                          </w:r>
                          <w:r w:rsidR="00AD7603">
                            <w:rPr>
                              <w:noProof/>
                            </w:rPr>
                            <w:t>22</w:t>
                          </w:r>
                          <w:r>
                            <w:rPr>
                              <w:rFonts w:hint="eastAsia"/>
                            </w:rPr>
                            <w:fldChar w:fldCharType="end"/>
                          </w:r>
                        </w:p>
                      </w:txbxContent>
                    </wps:txbx>
                    <wps:bodyPr wrap="none" lIns="0" tIns="0" rIns="0" bIns="0" upright="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rsidR="002074C3" w:rsidRDefault="002074C3">
                    <w:pPr>
                      <w:pStyle w:val="af1"/>
                    </w:pPr>
                    <w:r>
                      <w:rPr>
                        <w:rFonts w:hint="eastAsia"/>
                      </w:rPr>
                      <w:fldChar w:fldCharType="begin"/>
                    </w:r>
                    <w:r>
                      <w:rPr>
                        <w:rFonts w:hint="eastAsia"/>
                      </w:rPr>
                      <w:instrText xml:space="preserve"> PAGE  \* MERGEFORMAT </w:instrText>
                    </w:r>
                    <w:r>
                      <w:rPr>
                        <w:rFonts w:hint="eastAsia"/>
                      </w:rPr>
                      <w:fldChar w:fldCharType="separate"/>
                    </w:r>
                    <w:r w:rsidR="00AD7603">
                      <w:rPr>
                        <w:noProof/>
                      </w:rPr>
                      <w:t>22</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4F3F" w:rsidRDefault="002E4F3F">
      <w:r>
        <w:separator/>
      </w:r>
    </w:p>
  </w:footnote>
  <w:footnote w:type="continuationSeparator" w:id="0">
    <w:p w:rsidR="002E4F3F" w:rsidRDefault="002E4F3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1">
    <w:nsid w:val="2C5917C3"/>
    <w:multiLevelType w:val="multilevel"/>
    <w:tmpl w:val="2C5917C3"/>
    <w:lvl w:ilvl="0">
      <w:start w:val="1"/>
      <w:numFmt w:val="none"/>
      <w:pStyle w:val="a0"/>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2">
    <w:nsid w:val="44C50F90"/>
    <w:multiLevelType w:val="multilevel"/>
    <w:tmpl w:val="44C50F90"/>
    <w:lvl w:ilvl="0">
      <w:start w:val="1"/>
      <w:numFmt w:val="lowerLetter"/>
      <w:pStyle w:val="a1"/>
      <w:lvlText w:val="%1)"/>
      <w:lvlJc w:val="left"/>
      <w:pPr>
        <w:tabs>
          <w:tab w:val="left" w:pos="851"/>
        </w:tabs>
        <w:ind w:left="851" w:hanging="426"/>
      </w:pPr>
      <w:rPr>
        <w:rFonts w:ascii="宋体" w:eastAsia="宋体" w:hAnsi="Times New Roman" w:hint="eastAsia"/>
        <w:sz w:val="21"/>
      </w:rPr>
    </w:lvl>
    <w:lvl w:ilvl="1">
      <w:start w:val="1"/>
      <w:numFmt w:val="decimal"/>
      <w:pStyle w:val="a2"/>
      <w:lvlText w:val="%2)"/>
      <w:lvlJc w:val="left"/>
      <w:pPr>
        <w:tabs>
          <w:tab w:val="left" w:pos="1276"/>
        </w:tabs>
        <w:ind w:left="1276" w:hanging="425"/>
      </w:pPr>
      <w:rPr>
        <w:rFonts w:ascii="宋体" w:eastAsia="宋体" w:hAnsi="Times New Roman" w:hint="eastAsia"/>
        <w:sz w:val="21"/>
      </w:rPr>
    </w:lvl>
    <w:lvl w:ilvl="2">
      <w:start w:val="1"/>
      <w:numFmt w:val="decimal"/>
      <w:pStyle w:val="a3"/>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3">
    <w:nsid w:val="5A9B6960"/>
    <w:multiLevelType w:val="multilevel"/>
    <w:tmpl w:val="5A9B6960"/>
    <w:lvl w:ilvl="0">
      <w:start w:val="1"/>
      <w:numFmt w:val="none"/>
      <w:pStyle w:val="a4"/>
      <w:suff w:val="nothing"/>
      <w:lvlText w:val="%1"/>
      <w:legacy w:legacy="1" w:legacySpace="0" w:legacyIndent="0"/>
      <w:lvlJc w:val="left"/>
      <w:pPr>
        <w:ind w:left="0" w:firstLine="0"/>
      </w:pPr>
      <w:rPr>
        <w:rFonts w:hint="eastAsia"/>
      </w:rPr>
    </w:lvl>
    <w:lvl w:ilvl="1">
      <w:start w:val="1"/>
      <w:numFmt w:val="decimal"/>
      <w:pStyle w:val="a5"/>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6"/>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7"/>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8"/>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9"/>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4">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a"/>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abstractNumId w:val="3"/>
  </w:num>
  <w:num w:numId="2">
    <w:abstractNumId w:val="0"/>
  </w:num>
  <w:num w:numId="3">
    <w:abstractNumId w:val="2"/>
  </w:num>
  <w:num w:numId="4">
    <w:abstractNumId w:val="1"/>
  </w:num>
  <w:num w:numId="5">
    <w:abstractNumId w:val="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周世武">
    <w15:presenceInfo w15:providerId="None" w15:userId="周世武"/>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2"/>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D9BF3AD6"/>
    <w:rsid w:val="E7FFD9D9"/>
    <w:rsid w:val="000068A2"/>
    <w:rsid w:val="00014983"/>
    <w:rsid w:val="000178C8"/>
    <w:rsid w:val="00021AEF"/>
    <w:rsid w:val="0004224B"/>
    <w:rsid w:val="00051F5E"/>
    <w:rsid w:val="00055442"/>
    <w:rsid w:val="0006459C"/>
    <w:rsid w:val="00072103"/>
    <w:rsid w:val="00075653"/>
    <w:rsid w:val="00077304"/>
    <w:rsid w:val="00082613"/>
    <w:rsid w:val="000B3320"/>
    <w:rsid w:val="000C517B"/>
    <w:rsid w:val="000D75AA"/>
    <w:rsid w:val="000E0E61"/>
    <w:rsid w:val="000E53EA"/>
    <w:rsid w:val="000F2861"/>
    <w:rsid w:val="001133E6"/>
    <w:rsid w:val="001168F2"/>
    <w:rsid w:val="00137C19"/>
    <w:rsid w:val="00152CB3"/>
    <w:rsid w:val="001655CC"/>
    <w:rsid w:val="0018012C"/>
    <w:rsid w:val="001821C9"/>
    <w:rsid w:val="001A7570"/>
    <w:rsid w:val="001B0030"/>
    <w:rsid w:val="001B3580"/>
    <w:rsid w:val="001D3156"/>
    <w:rsid w:val="001E2D73"/>
    <w:rsid w:val="001F1BB1"/>
    <w:rsid w:val="001F251A"/>
    <w:rsid w:val="001F4D35"/>
    <w:rsid w:val="0020127F"/>
    <w:rsid w:val="00205352"/>
    <w:rsid w:val="002074C3"/>
    <w:rsid w:val="002210B4"/>
    <w:rsid w:val="0022236C"/>
    <w:rsid w:val="002268A6"/>
    <w:rsid w:val="002324B6"/>
    <w:rsid w:val="00234F7D"/>
    <w:rsid w:val="00236909"/>
    <w:rsid w:val="00236EB4"/>
    <w:rsid w:val="00241F8A"/>
    <w:rsid w:val="00242E52"/>
    <w:rsid w:val="00263E80"/>
    <w:rsid w:val="00281F39"/>
    <w:rsid w:val="0028500C"/>
    <w:rsid w:val="002879F6"/>
    <w:rsid w:val="00292F73"/>
    <w:rsid w:val="0029554A"/>
    <w:rsid w:val="002A3479"/>
    <w:rsid w:val="002B7C92"/>
    <w:rsid w:val="002C176B"/>
    <w:rsid w:val="002C3627"/>
    <w:rsid w:val="002D2273"/>
    <w:rsid w:val="002E357A"/>
    <w:rsid w:val="002E4F3F"/>
    <w:rsid w:val="002E5273"/>
    <w:rsid w:val="002F0D8E"/>
    <w:rsid w:val="002F5C0C"/>
    <w:rsid w:val="00317091"/>
    <w:rsid w:val="00320CB4"/>
    <w:rsid w:val="00321E92"/>
    <w:rsid w:val="003259AF"/>
    <w:rsid w:val="00325F9F"/>
    <w:rsid w:val="003332BA"/>
    <w:rsid w:val="00335BBE"/>
    <w:rsid w:val="00340D9B"/>
    <w:rsid w:val="00346534"/>
    <w:rsid w:val="003517E7"/>
    <w:rsid w:val="00361596"/>
    <w:rsid w:val="00367D5E"/>
    <w:rsid w:val="00372E66"/>
    <w:rsid w:val="00375933"/>
    <w:rsid w:val="00380969"/>
    <w:rsid w:val="00382E35"/>
    <w:rsid w:val="00396F2C"/>
    <w:rsid w:val="003A5862"/>
    <w:rsid w:val="003B0042"/>
    <w:rsid w:val="003D485E"/>
    <w:rsid w:val="003E080C"/>
    <w:rsid w:val="00405301"/>
    <w:rsid w:val="004214BC"/>
    <w:rsid w:val="00422CC8"/>
    <w:rsid w:val="00426DC5"/>
    <w:rsid w:val="004373E9"/>
    <w:rsid w:val="0044036C"/>
    <w:rsid w:val="0044065E"/>
    <w:rsid w:val="00463969"/>
    <w:rsid w:val="00472820"/>
    <w:rsid w:val="00473CEB"/>
    <w:rsid w:val="004805DB"/>
    <w:rsid w:val="0048511D"/>
    <w:rsid w:val="004A75FF"/>
    <w:rsid w:val="004B4D68"/>
    <w:rsid w:val="004C181C"/>
    <w:rsid w:val="004C445A"/>
    <w:rsid w:val="004C4477"/>
    <w:rsid w:val="004C78DD"/>
    <w:rsid w:val="004D3C4E"/>
    <w:rsid w:val="004E0167"/>
    <w:rsid w:val="004F29B4"/>
    <w:rsid w:val="005020DE"/>
    <w:rsid w:val="00515B82"/>
    <w:rsid w:val="0051608A"/>
    <w:rsid w:val="0051755E"/>
    <w:rsid w:val="00533B2A"/>
    <w:rsid w:val="0053635F"/>
    <w:rsid w:val="00537853"/>
    <w:rsid w:val="00554B7D"/>
    <w:rsid w:val="00564A0C"/>
    <w:rsid w:val="00564F91"/>
    <w:rsid w:val="0056706B"/>
    <w:rsid w:val="00571BCB"/>
    <w:rsid w:val="00573DE7"/>
    <w:rsid w:val="00575C51"/>
    <w:rsid w:val="005777D1"/>
    <w:rsid w:val="005C07C8"/>
    <w:rsid w:val="005C5B2E"/>
    <w:rsid w:val="005D6C2D"/>
    <w:rsid w:val="005E3C13"/>
    <w:rsid w:val="005E7B33"/>
    <w:rsid w:val="005F1668"/>
    <w:rsid w:val="005F2769"/>
    <w:rsid w:val="005F2AD0"/>
    <w:rsid w:val="005F2FD2"/>
    <w:rsid w:val="005F4961"/>
    <w:rsid w:val="00617B08"/>
    <w:rsid w:val="00627AB4"/>
    <w:rsid w:val="006335ED"/>
    <w:rsid w:val="006343EC"/>
    <w:rsid w:val="0063539D"/>
    <w:rsid w:val="00637F53"/>
    <w:rsid w:val="00650FD7"/>
    <w:rsid w:val="006511A8"/>
    <w:rsid w:val="00654C80"/>
    <w:rsid w:val="0065760F"/>
    <w:rsid w:val="0067378F"/>
    <w:rsid w:val="006835DA"/>
    <w:rsid w:val="00685738"/>
    <w:rsid w:val="00691000"/>
    <w:rsid w:val="006A4226"/>
    <w:rsid w:val="006B0BA0"/>
    <w:rsid w:val="006B12C0"/>
    <w:rsid w:val="006B1FC8"/>
    <w:rsid w:val="006E2449"/>
    <w:rsid w:val="007042A5"/>
    <w:rsid w:val="00714DDE"/>
    <w:rsid w:val="00731B29"/>
    <w:rsid w:val="00733795"/>
    <w:rsid w:val="007351D6"/>
    <w:rsid w:val="0074491A"/>
    <w:rsid w:val="00746732"/>
    <w:rsid w:val="00754D85"/>
    <w:rsid w:val="007557E4"/>
    <w:rsid w:val="00756356"/>
    <w:rsid w:val="00757FD8"/>
    <w:rsid w:val="00774434"/>
    <w:rsid w:val="007756AB"/>
    <w:rsid w:val="007811F6"/>
    <w:rsid w:val="00781D6C"/>
    <w:rsid w:val="007845E1"/>
    <w:rsid w:val="007936EA"/>
    <w:rsid w:val="007940A9"/>
    <w:rsid w:val="00795E0A"/>
    <w:rsid w:val="00796CB0"/>
    <w:rsid w:val="007A149B"/>
    <w:rsid w:val="007C244C"/>
    <w:rsid w:val="007C66E4"/>
    <w:rsid w:val="007F2A76"/>
    <w:rsid w:val="00801A7F"/>
    <w:rsid w:val="0080563C"/>
    <w:rsid w:val="00812DC4"/>
    <w:rsid w:val="00814260"/>
    <w:rsid w:val="00815F39"/>
    <w:rsid w:val="008206EE"/>
    <w:rsid w:val="008247C4"/>
    <w:rsid w:val="00826611"/>
    <w:rsid w:val="00826BFA"/>
    <w:rsid w:val="00831A18"/>
    <w:rsid w:val="00853F5C"/>
    <w:rsid w:val="00854417"/>
    <w:rsid w:val="00856862"/>
    <w:rsid w:val="00874BB5"/>
    <w:rsid w:val="008779C2"/>
    <w:rsid w:val="00877A74"/>
    <w:rsid w:val="00887632"/>
    <w:rsid w:val="00895F4A"/>
    <w:rsid w:val="008973E6"/>
    <w:rsid w:val="008B3416"/>
    <w:rsid w:val="008B6B5F"/>
    <w:rsid w:val="008C2552"/>
    <w:rsid w:val="008C50FF"/>
    <w:rsid w:val="008D02D8"/>
    <w:rsid w:val="008E1EB5"/>
    <w:rsid w:val="008F23A8"/>
    <w:rsid w:val="00902827"/>
    <w:rsid w:val="00913E57"/>
    <w:rsid w:val="00926E1B"/>
    <w:rsid w:val="00932BA3"/>
    <w:rsid w:val="00947EBA"/>
    <w:rsid w:val="00953891"/>
    <w:rsid w:val="0097123F"/>
    <w:rsid w:val="009718CC"/>
    <w:rsid w:val="00975641"/>
    <w:rsid w:val="00990D08"/>
    <w:rsid w:val="009A4141"/>
    <w:rsid w:val="009B7AD4"/>
    <w:rsid w:val="009C5B24"/>
    <w:rsid w:val="009D2D7E"/>
    <w:rsid w:val="009E3161"/>
    <w:rsid w:val="009F0F09"/>
    <w:rsid w:val="00A05C7B"/>
    <w:rsid w:val="00A1042A"/>
    <w:rsid w:val="00A16A3E"/>
    <w:rsid w:val="00A263D3"/>
    <w:rsid w:val="00A30A20"/>
    <w:rsid w:val="00A365A2"/>
    <w:rsid w:val="00A37FDF"/>
    <w:rsid w:val="00A42C5E"/>
    <w:rsid w:val="00A4305D"/>
    <w:rsid w:val="00A52D71"/>
    <w:rsid w:val="00A75476"/>
    <w:rsid w:val="00A86090"/>
    <w:rsid w:val="00A87F41"/>
    <w:rsid w:val="00AA4E65"/>
    <w:rsid w:val="00AC3575"/>
    <w:rsid w:val="00AC57C3"/>
    <w:rsid w:val="00AD0172"/>
    <w:rsid w:val="00AD7603"/>
    <w:rsid w:val="00AF11A3"/>
    <w:rsid w:val="00B046DF"/>
    <w:rsid w:val="00B07A8A"/>
    <w:rsid w:val="00B23C80"/>
    <w:rsid w:val="00B3527B"/>
    <w:rsid w:val="00B65D47"/>
    <w:rsid w:val="00B66676"/>
    <w:rsid w:val="00B708B2"/>
    <w:rsid w:val="00B73416"/>
    <w:rsid w:val="00B77477"/>
    <w:rsid w:val="00B82604"/>
    <w:rsid w:val="00B94E0B"/>
    <w:rsid w:val="00B94EFE"/>
    <w:rsid w:val="00B954B8"/>
    <w:rsid w:val="00B95DEA"/>
    <w:rsid w:val="00BA357F"/>
    <w:rsid w:val="00BA5390"/>
    <w:rsid w:val="00BA570D"/>
    <w:rsid w:val="00BA785A"/>
    <w:rsid w:val="00BB14F3"/>
    <w:rsid w:val="00BB2599"/>
    <w:rsid w:val="00BB65C7"/>
    <w:rsid w:val="00BB6932"/>
    <w:rsid w:val="00BB7B52"/>
    <w:rsid w:val="00BC2838"/>
    <w:rsid w:val="00BC75E3"/>
    <w:rsid w:val="00BD2990"/>
    <w:rsid w:val="00BD50BC"/>
    <w:rsid w:val="00BE2434"/>
    <w:rsid w:val="00BE4828"/>
    <w:rsid w:val="00BE7E1C"/>
    <w:rsid w:val="00BF2633"/>
    <w:rsid w:val="00C07069"/>
    <w:rsid w:val="00C123EE"/>
    <w:rsid w:val="00C13CB6"/>
    <w:rsid w:val="00C20386"/>
    <w:rsid w:val="00C3071D"/>
    <w:rsid w:val="00C34EF5"/>
    <w:rsid w:val="00C4408C"/>
    <w:rsid w:val="00C556A8"/>
    <w:rsid w:val="00C5603B"/>
    <w:rsid w:val="00C877FA"/>
    <w:rsid w:val="00C91BC6"/>
    <w:rsid w:val="00CC71EF"/>
    <w:rsid w:val="00CD641B"/>
    <w:rsid w:val="00CE3911"/>
    <w:rsid w:val="00CE618C"/>
    <w:rsid w:val="00CE7CD2"/>
    <w:rsid w:val="00CF4569"/>
    <w:rsid w:val="00D0457A"/>
    <w:rsid w:val="00D35977"/>
    <w:rsid w:val="00D43F5A"/>
    <w:rsid w:val="00D45014"/>
    <w:rsid w:val="00D82669"/>
    <w:rsid w:val="00D830DE"/>
    <w:rsid w:val="00D87F07"/>
    <w:rsid w:val="00D9142A"/>
    <w:rsid w:val="00D9558F"/>
    <w:rsid w:val="00D9735E"/>
    <w:rsid w:val="00DA50C3"/>
    <w:rsid w:val="00DB7F6F"/>
    <w:rsid w:val="00DD2CE2"/>
    <w:rsid w:val="00DD60DE"/>
    <w:rsid w:val="00DD642A"/>
    <w:rsid w:val="00DF4FB8"/>
    <w:rsid w:val="00E1061C"/>
    <w:rsid w:val="00E1479A"/>
    <w:rsid w:val="00E206A3"/>
    <w:rsid w:val="00E27034"/>
    <w:rsid w:val="00E32D4B"/>
    <w:rsid w:val="00E41116"/>
    <w:rsid w:val="00E414EF"/>
    <w:rsid w:val="00E455A5"/>
    <w:rsid w:val="00E50A82"/>
    <w:rsid w:val="00E5722D"/>
    <w:rsid w:val="00E62643"/>
    <w:rsid w:val="00E62938"/>
    <w:rsid w:val="00E702F6"/>
    <w:rsid w:val="00E73C17"/>
    <w:rsid w:val="00E77A0F"/>
    <w:rsid w:val="00E835A1"/>
    <w:rsid w:val="00E83E2D"/>
    <w:rsid w:val="00E8739B"/>
    <w:rsid w:val="00E96570"/>
    <w:rsid w:val="00EA31DB"/>
    <w:rsid w:val="00EA65BB"/>
    <w:rsid w:val="00EA6DA7"/>
    <w:rsid w:val="00EB0539"/>
    <w:rsid w:val="00EB1AFF"/>
    <w:rsid w:val="00ED41E5"/>
    <w:rsid w:val="00EE332B"/>
    <w:rsid w:val="00EF2C61"/>
    <w:rsid w:val="00EF4610"/>
    <w:rsid w:val="00EF6CB2"/>
    <w:rsid w:val="00F01A5C"/>
    <w:rsid w:val="00F35993"/>
    <w:rsid w:val="00F40513"/>
    <w:rsid w:val="00F41C5C"/>
    <w:rsid w:val="00F424A9"/>
    <w:rsid w:val="00F5729F"/>
    <w:rsid w:val="00F65587"/>
    <w:rsid w:val="00F65B62"/>
    <w:rsid w:val="00F77E06"/>
    <w:rsid w:val="00F9021F"/>
    <w:rsid w:val="00FA7D60"/>
    <w:rsid w:val="00FB260A"/>
    <w:rsid w:val="00FB2B02"/>
    <w:rsid w:val="00FB6664"/>
    <w:rsid w:val="00FC7CE6"/>
    <w:rsid w:val="00FD3A37"/>
    <w:rsid w:val="00FD577E"/>
    <w:rsid w:val="00FD6497"/>
    <w:rsid w:val="00FE031D"/>
    <w:rsid w:val="00FF2EC3"/>
    <w:rsid w:val="00FF66DC"/>
    <w:rsid w:val="012A4E2C"/>
    <w:rsid w:val="02DC2156"/>
    <w:rsid w:val="03CC3F79"/>
    <w:rsid w:val="05CD222A"/>
    <w:rsid w:val="06084616"/>
    <w:rsid w:val="06A9292B"/>
    <w:rsid w:val="08EF7A39"/>
    <w:rsid w:val="0A5844F0"/>
    <w:rsid w:val="0EE41D10"/>
    <w:rsid w:val="11386E78"/>
    <w:rsid w:val="11B73ED3"/>
    <w:rsid w:val="12277661"/>
    <w:rsid w:val="133D4C82"/>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E0C3040"/>
    <w:rsid w:val="2E40384E"/>
    <w:rsid w:val="2F083808"/>
    <w:rsid w:val="2F0B058C"/>
    <w:rsid w:val="2F7C5FA4"/>
    <w:rsid w:val="344833B2"/>
    <w:rsid w:val="3D6C58AA"/>
    <w:rsid w:val="3E799816"/>
    <w:rsid w:val="403F2E01"/>
    <w:rsid w:val="431A1904"/>
    <w:rsid w:val="45413951"/>
    <w:rsid w:val="46E47FFF"/>
    <w:rsid w:val="4779601E"/>
    <w:rsid w:val="493E1AE1"/>
    <w:rsid w:val="4B2238EC"/>
    <w:rsid w:val="4C6C7CEB"/>
    <w:rsid w:val="4DDD59C1"/>
    <w:rsid w:val="4EAE0286"/>
    <w:rsid w:val="51FB0B52"/>
    <w:rsid w:val="531F075A"/>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FDD1529"/>
    <w:rsid w:val="710B6BAC"/>
    <w:rsid w:val="71CC633B"/>
    <w:rsid w:val="71F238C8"/>
    <w:rsid w:val="738A5B9F"/>
    <w:rsid w:val="741F6AAA"/>
    <w:rsid w:val="74A0585D"/>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semiHidden="0" w:uiPriority="39" w:qFormat="1"/>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uiPriority="0" w:unhideWhenUsed="0" w:qFormat="1"/>
    <w:lsdException w:name="footer" w:semiHidden="0" w:unhideWhenUsed="0" w:qFormat="1"/>
    <w:lsdException w:name="caption" w:uiPriority="35" w:qFormat="1"/>
    <w:lsdException w:name="envelope return" w:semiHidden="0" w:uiPriority="0" w:unhideWhenUsed="0" w:qFormat="1"/>
    <w:lsdException w:name="footnote reference" w:semiHidden="0" w:uiPriority="0" w:unhideWhenUsed="0" w:qFormat="1"/>
    <w:lsdException w:name="annotation reference" w:semiHidden="0" w:unhideWhenUsed="0" w:qFormat="1"/>
    <w:lsdException w:name="line number" w:semiHidden="0" w:uiPriority="0" w:unhideWhenUsed="0"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Balloon Text" w:semiHidden="0" w:qFormat="1"/>
    <w:lsdException w:name="Table Grid" w:semiHidden="0" w:uiPriority="39" w:unhideWhenUsed="0" w:qFormat="1"/>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b">
    <w:name w:val="Normal"/>
    <w:next w:val="BodyText2"/>
    <w:qFormat/>
    <w:pPr>
      <w:widowControl w:val="0"/>
      <w:jc w:val="both"/>
    </w:pPr>
    <w:rPr>
      <w:rFonts w:ascii="Calibri" w:hAnsi="Calibri" w:cs="Calibri"/>
      <w:kern w:val="2"/>
      <w:sz w:val="21"/>
      <w:szCs w:val="24"/>
    </w:rPr>
  </w:style>
  <w:style w:type="paragraph" w:styleId="1">
    <w:name w:val="heading 1"/>
    <w:basedOn w:val="ab"/>
    <w:next w:val="ab"/>
    <w:qFormat/>
    <w:pPr>
      <w:keepNext/>
      <w:keepLines/>
      <w:spacing w:before="340" w:after="330" w:line="578" w:lineRule="auto"/>
      <w:outlineLvl w:val="0"/>
    </w:pPr>
    <w:rPr>
      <w:b/>
      <w:bCs/>
      <w:kern w:val="44"/>
      <w:sz w:val="44"/>
    </w:rPr>
  </w:style>
  <w:style w:type="paragraph" w:styleId="2">
    <w:name w:val="heading 2"/>
    <w:basedOn w:val="ab"/>
    <w:next w:val="ab"/>
    <w:qFormat/>
    <w:pPr>
      <w:keepNext/>
      <w:keepLines/>
      <w:spacing w:before="260" w:after="260" w:line="415" w:lineRule="auto"/>
      <w:outlineLvl w:val="1"/>
    </w:pPr>
    <w:rPr>
      <w:rFonts w:ascii="Times New Roman" w:eastAsia="黑体" w:hAnsi="Times New Roman"/>
      <w:b/>
      <w:sz w:val="32"/>
    </w:rPr>
  </w:style>
  <w:style w:type="paragraph" w:styleId="3">
    <w:name w:val="heading 3"/>
    <w:basedOn w:val="ab"/>
    <w:next w:val="ab"/>
    <w:qFormat/>
    <w:pPr>
      <w:keepNext/>
      <w:keepLines/>
      <w:spacing w:before="260" w:after="260" w:line="415" w:lineRule="auto"/>
      <w:outlineLvl w:val="2"/>
    </w:pPr>
    <w:rPr>
      <w:b/>
      <w:sz w:val="32"/>
    </w:rPr>
  </w:style>
  <w:style w:type="paragraph" w:styleId="7">
    <w:name w:val="heading 7"/>
    <w:basedOn w:val="ab"/>
    <w:next w:val="ab"/>
    <w:link w:val="7Char"/>
    <w:uiPriority w:val="9"/>
    <w:qFormat/>
    <w:pPr>
      <w:keepNext/>
      <w:keepLines/>
      <w:spacing w:before="240" w:after="64" w:line="320" w:lineRule="auto"/>
      <w:outlineLvl w:val="6"/>
    </w:pPr>
    <w:rPr>
      <w:b/>
      <w:bCs/>
      <w:sz w:val="24"/>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paragraph" w:customStyle="1" w:styleId="BodyText2">
    <w:name w:val="BodyText2"/>
    <w:basedOn w:val="ab"/>
    <w:qFormat/>
    <w:pPr>
      <w:spacing w:after="120" w:line="480" w:lineRule="auto"/>
      <w:textAlignment w:val="baseline"/>
    </w:pPr>
    <w:rPr>
      <w:rFonts w:cs="Times New Roman"/>
      <w:sz w:val="32"/>
      <w:szCs w:val="32"/>
    </w:rPr>
  </w:style>
  <w:style w:type="paragraph" w:styleId="af">
    <w:name w:val="annotation text"/>
    <w:basedOn w:val="ab"/>
    <w:link w:val="Char"/>
    <w:uiPriority w:val="99"/>
    <w:unhideWhenUsed/>
    <w:qFormat/>
    <w:pPr>
      <w:adjustRightInd w:val="0"/>
      <w:spacing w:line="400" w:lineRule="exact"/>
      <w:jc w:val="left"/>
    </w:pPr>
    <w:rPr>
      <w:szCs w:val="21"/>
    </w:rPr>
  </w:style>
  <w:style w:type="paragraph" w:styleId="af0">
    <w:name w:val="Balloon Text"/>
    <w:basedOn w:val="ab"/>
    <w:link w:val="Char0"/>
    <w:uiPriority w:val="99"/>
    <w:unhideWhenUsed/>
    <w:qFormat/>
    <w:rPr>
      <w:sz w:val="18"/>
      <w:szCs w:val="18"/>
    </w:rPr>
  </w:style>
  <w:style w:type="paragraph" w:styleId="af1">
    <w:name w:val="footer"/>
    <w:basedOn w:val="ab"/>
    <w:link w:val="Char1"/>
    <w:uiPriority w:val="99"/>
    <w:qFormat/>
    <w:pPr>
      <w:tabs>
        <w:tab w:val="center" w:pos="4153"/>
        <w:tab w:val="right" w:pos="8306"/>
      </w:tabs>
      <w:snapToGrid w:val="0"/>
      <w:jc w:val="left"/>
    </w:pPr>
    <w:rPr>
      <w:sz w:val="18"/>
      <w:szCs w:val="18"/>
    </w:rPr>
  </w:style>
  <w:style w:type="paragraph" w:styleId="af2">
    <w:name w:val="envelope return"/>
    <w:basedOn w:val="ab"/>
    <w:qFormat/>
    <w:pPr>
      <w:snapToGrid w:val="0"/>
    </w:pPr>
    <w:rPr>
      <w:rFonts w:ascii="Times New Roman" w:hAnsi="Times New Roman"/>
    </w:rPr>
  </w:style>
  <w:style w:type="paragraph" w:styleId="af3">
    <w:name w:val="header"/>
    <w:basedOn w:val="ab"/>
    <w:link w:val="Char2"/>
    <w:qFormat/>
    <w:pPr>
      <w:pBdr>
        <w:bottom w:val="single" w:sz="6" w:space="1" w:color="auto"/>
      </w:pBdr>
      <w:tabs>
        <w:tab w:val="center" w:pos="4153"/>
        <w:tab w:val="right" w:pos="8306"/>
      </w:tabs>
      <w:snapToGrid w:val="0"/>
      <w:jc w:val="center"/>
    </w:pPr>
    <w:rPr>
      <w:sz w:val="18"/>
      <w:szCs w:val="18"/>
    </w:rPr>
  </w:style>
  <w:style w:type="paragraph" w:styleId="4">
    <w:name w:val="toc 4"/>
    <w:basedOn w:val="ab"/>
    <w:next w:val="ab"/>
    <w:uiPriority w:val="39"/>
    <w:unhideWhenUsed/>
    <w:qFormat/>
    <w:pPr>
      <w:tabs>
        <w:tab w:val="right" w:leader="dot" w:pos="9344"/>
      </w:tabs>
      <w:adjustRightInd w:val="0"/>
      <w:spacing w:line="300" w:lineRule="exact"/>
      <w:ind w:left="629"/>
    </w:pPr>
    <w:rPr>
      <w:rFonts w:ascii="宋体"/>
      <w:szCs w:val="21"/>
    </w:rPr>
  </w:style>
  <w:style w:type="paragraph" w:styleId="af4">
    <w:name w:val="Normal (Web)"/>
    <w:basedOn w:val="ab"/>
    <w:uiPriority w:val="99"/>
    <w:semiHidden/>
    <w:unhideWhenUsed/>
    <w:qFormat/>
    <w:rPr>
      <w:sz w:val="24"/>
    </w:rPr>
  </w:style>
  <w:style w:type="table" w:styleId="af5">
    <w:name w:val="Table Grid"/>
    <w:basedOn w:val="ad"/>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Strong"/>
    <w:basedOn w:val="ac"/>
    <w:uiPriority w:val="22"/>
    <w:qFormat/>
    <w:rPr>
      <w:b/>
    </w:rPr>
  </w:style>
  <w:style w:type="character" w:styleId="af7">
    <w:name w:val="line number"/>
    <w:qFormat/>
  </w:style>
  <w:style w:type="character" w:styleId="af8">
    <w:name w:val="Hyperlink"/>
    <w:qFormat/>
    <w:rPr>
      <w:rFonts w:ascii="宋体" w:eastAsia="宋体"/>
      <w:color w:val="auto"/>
      <w:spacing w:val="0"/>
      <w:w w:val="100"/>
      <w:position w:val="0"/>
      <w:sz w:val="21"/>
      <w:u w:val="none"/>
      <w:vertAlign w:val="baseline"/>
    </w:rPr>
  </w:style>
  <w:style w:type="character" w:styleId="af9">
    <w:name w:val="annotation reference"/>
    <w:uiPriority w:val="99"/>
    <w:qFormat/>
    <w:rPr>
      <w:sz w:val="21"/>
    </w:rPr>
  </w:style>
  <w:style w:type="character" w:styleId="afa">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Char">
    <w:name w:val="标题 7 Char"/>
    <w:link w:val="7"/>
    <w:qFormat/>
    <w:rPr>
      <w:rFonts w:eastAsia="宋体"/>
      <w:b/>
      <w:bCs/>
      <w:kern w:val="2"/>
      <w:sz w:val="24"/>
      <w:szCs w:val="24"/>
    </w:rPr>
  </w:style>
  <w:style w:type="character" w:customStyle="1" w:styleId="Char">
    <w:name w:val="批注文字 Char"/>
    <w:link w:val="af"/>
    <w:uiPriority w:val="99"/>
    <w:semiHidden/>
    <w:qFormat/>
    <w:rPr>
      <w:rFonts w:ascii="Calibri" w:eastAsia="宋体" w:hAnsi="Calibri"/>
      <w:kern w:val="2"/>
      <w:sz w:val="21"/>
      <w:szCs w:val="21"/>
    </w:rPr>
  </w:style>
  <w:style w:type="character" w:customStyle="1" w:styleId="Char0">
    <w:name w:val="批注框文本 Char"/>
    <w:link w:val="af0"/>
    <w:uiPriority w:val="99"/>
    <w:semiHidden/>
    <w:qFormat/>
    <w:rPr>
      <w:rFonts w:eastAsia="宋体"/>
      <w:kern w:val="2"/>
      <w:sz w:val="18"/>
      <w:szCs w:val="18"/>
    </w:rPr>
  </w:style>
  <w:style w:type="character" w:customStyle="1" w:styleId="Char1">
    <w:name w:val="页脚 Char"/>
    <w:link w:val="af1"/>
    <w:uiPriority w:val="99"/>
    <w:qFormat/>
    <w:locked/>
    <w:rPr>
      <w:rFonts w:eastAsia="宋体"/>
      <w:kern w:val="2"/>
      <w:sz w:val="18"/>
      <w:szCs w:val="18"/>
    </w:rPr>
  </w:style>
  <w:style w:type="paragraph" w:customStyle="1" w:styleId="afb">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c">
    <w:name w:val="标准文件_段"/>
    <w:link w:val="Char3"/>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3">
    <w:name w:val="标准文件_段 Char"/>
    <w:link w:val="afc"/>
    <w:qFormat/>
    <w:rPr>
      <w:rFonts w:ascii="仿宋" w:eastAsia="仿宋" w:hAnsi="仿宋" w:cs="Calibri"/>
      <w:kern w:val="2"/>
      <w:sz w:val="32"/>
      <w:szCs w:val="32"/>
    </w:rPr>
  </w:style>
  <w:style w:type="paragraph" w:customStyle="1" w:styleId="a5">
    <w:name w:val="标准文件_章标题"/>
    <w:next w:val="afc"/>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d">
    <w:name w:val="标准文件_二级条标题"/>
    <w:next w:val="afc"/>
    <w:qFormat/>
    <w:pPr>
      <w:widowControl w:val="0"/>
      <w:spacing w:beforeLines="50" w:before="50" w:afterLines="50" w:after="50"/>
      <w:jc w:val="both"/>
      <w:outlineLvl w:val="2"/>
    </w:pPr>
    <w:rPr>
      <w:rFonts w:ascii="黑体" w:eastAsia="黑体" w:hAnsi="Calibri" w:cs="Calibri"/>
      <w:sz w:val="21"/>
    </w:rPr>
  </w:style>
  <w:style w:type="paragraph" w:customStyle="1" w:styleId="a6">
    <w:name w:val="标准文件_一级条标题"/>
    <w:basedOn w:val="a5"/>
    <w:next w:val="afc"/>
    <w:qFormat/>
    <w:pPr>
      <w:numPr>
        <w:ilvl w:val="2"/>
      </w:numPr>
      <w:spacing w:beforeLines="0" w:before="50" w:afterLines="0" w:after="50"/>
      <w:outlineLvl w:val="1"/>
    </w:pPr>
  </w:style>
  <w:style w:type="paragraph" w:customStyle="1" w:styleId="afe">
    <w:name w:val="标准文件_三级条标题"/>
    <w:basedOn w:val="afd"/>
    <w:next w:val="afc"/>
    <w:qFormat/>
    <w:pPr>
      <w:outlineLvl w:val="3"/>
    </w:pPr>
  </w:style>
  <w:style w:type="paragraph" w:customStyle="1" w:styleId="aff">
    <w:name w:val="标准文件_四级条标题"/>
    <w:next w:val="afc"/>
    <w:qFormat/>
    <w:pPr>
      <w:widowControl w:val="0"/>
      <w:spacing w:beforeLines="50" w:before="50" w:afterLines="50" w:after="50"/>
      <w:jc w:val="both"/>
      <w:outlineLvl w:val="4"/>
    </w:pPr>
    <w:rPr>
      <w:rFonts w:ascii="黑体" w:eastAsia="黑体" w:hAnsi="Calibri" w:cs="Calibri"/>
      <w:sz w:val="21"/>
    </w:rPr>
  </w:style>
  <w:style w:type="paragraph" w:customStyle="1" w:styleId="a9">
    <w:name w:val="标准文件_五级条标题"/>
    <w:next w:val="afd"/>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4">
    <w:name w:val="前言标题"/>
    <w:next w:val="ab"/>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8">
    <w:name w:val="标准文件_四级无标题"/>
    <w:basedOn w:val="aff"/>
    <w:qFormat/>
    <w:pPr>
      <w:numPr>
        <w:ilvl w:val="5"/>
        <w:numId w:val="1"/>
      </w:numPr>
    </w:pPr>
    <w:rPr>
      <w:rFonts w:ascii="宋体" w:eastAsia="宋体"/>
      <w:szCs w:val="52"/>
    </w:rPr>
  </w:style>
  <w:style w:type="paragraph" w:customStyle="1" w:styleId="a7">
    <w:name w:val="标准文件_三级无标题"/>
    <w:basedOn w:val="afe"/>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0">
    <w:name w:val="段"/>
    <w:qFormat/>
    <w:pPr>
      <w:autoSpaceDE w:val="0"/>
      <w:autoSpaceDN w:val="0"/>
      <w:ind w:firstLineChars="200" w:firstLine="200"/>
      <w:jc w:val="both"/>
    </w:pPr>
    <w:rPr>
      <w:rFonts w:ascii="宋体" w:hAnsi="Calibri" w:cs="Calibri"/>
      <w:sz w:val="21"/>
    </w:rPr>
  </w:style>
  <w:style w:type="paragraph" w:customStyle="1" w:styleId="aff1">
    <w:name w:val="二级无"/>
    <w:basedOn w:val="ab"/>
    <w:qFormat/>
    <w:pPr>
      <w:widowControl/>
      <w:tabs>
        <w:tab w:val="left" w:pos="780"/>
      </w:tabs>
      <w:ind w:left="780" w:hanging="360"/>
      <w:jc w:val="left"/>
      <w:outlineLvl w:val="3"/>
    </w:pPr>
    <w:rPr>
      <w:rFonts w:ascii="宋体"/>
      <w:kern w:val="0"/>
      <w:szCs w:val="21"/>
    </w:rPr>
  </w:style>
  <w:style w:type="paragraph" w:customStyle="1" w:styleId="aff2">
    <w:name w:val="标准文件_二级无标题"/>
    <w:basedOn w:val="afd"/>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b"/>
    <w:qFormat/>
  </w:style>
  <w:style w:type="paragraph" w:customStyle="1" w:styleId="a2">
    <w:name w:val="标准文件_数字编号列项（二级）"/>
    <w:qFormat/>
    <w:pPr>
      <w:numPr>
        <w:ilvl w:val="1"/>
        <w:numId w:val="3"/>
      </w:numPr>
      <w:jc w:val="both"/>
    </w:pPr>
    <w:rPr>
      <w:rFonts w:ascii="宋体" w:hAnsi="Calibri" w:cs="Calibri"/>
      <w:sz w:val="21"/>
    </w:rPr>
  </w:style>
  <w:style w:type="paragraph" w:customStyle="1" w:styleId="a3">
    <w:name w:val="标准文件_编号列项（三级）"/>
    <w:qFormat/>
    <w:pPr>
      <w:numPr>
        <w:ilvl w:val="2"/>
        <w:numId w:val="3"/>
      </w:numPr>
    </w:pPr>
    <w:rPr>
      <w:rFonts w:ascii="宋体" w:hAnsi="Calibri" w:cs="Calibri"/>
      <w:sz w:val="21"/>
    </w:rPr>
  </w:style>
  <w:style w:type="paragraph" w:customStyle="1" w:styleId="a1">
    <w:name w:val="标准文件_字母编号列项（一级）"/>
    <w:qFormat/>
    <w:pPr>
      <w:numPr>
        <w:numId w:val="3"/>
      </w:numPr>
      <w:jc w:val="both"/>
    </w:pPr>
    <w:rPr>
      <w:rFonts w:ascii="宋体" w:hAnsi="Calibri" w:cs="Calibri"/>
      <w:sz w:val="21"/>
    </w:rPr>
  </w:style>
  <w:style w:type="paragraph" w:customStyle="1" w:styleId="aff3">
    <w:name w:val="标准文件_术语条一"/>
    <w:basedOn w:val="ab"/>
    <w:next w:val="afc"/>
    <w:qFormat/>
    <w:pPr>
      <w:widowControl/>
    </w:pPr>
    <w:rPr>
      <w:rFonts w:ascii="宋体"/>
      <w:kern w:val="0"/>
      <w:szCs w:val="20"/>
    </w:rPr>
  </w:style>
  <w:style w:type="paragraph" w:customStyle="1" w:styleId="abstract">
    <w:name w:val="abstract"/>
    <w:basedOn w:val="ab"/>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b"/>
    <w:qFormat/>
    <w:pPr>
      <w:widowControl/>
      <w:spacing w:before="100" w:beforeAutospacing="1" w:after="100" w:afterAutospacing="1"/>
      <w:jc w:val="left"/>
    </w:pPr>
    <w:rPr>
      <w:rFonts w:ascii="宋体" w:hAnsi="宋体" w:cs="宋体"/>
      <w:kern w:val="0"/>
      <w:sz w:val="24"/>
    </w:rPr>
  </w:style>
  <w:style w:type="paragraph" w:styleId="aff4">
    <w:name w:val="No Spacing"/>
    <w:uiPriority w:val="99"/>
    <w:qFormat/>
    <w:pPr>
      <w:widowControl w:val="0"/>
      <w:jc w:val="both"/>
    </w:pPr>
    <w:rPr>
      <w:rFonts w:ascii="Calibri" w:hAnsi="Calibri"/>
      <w:kern w:val="2"/>
      <w:sz w:val="21"/>
      <w:szCs w:val="24"/>
    </w:rPr>
  </w:style>
  <w:style w:type="paragraph" w:customStyle="1" w:styleId="a0">
    <w:name w:val="标准文件_一级项"/>
    <w:qFormat/>
    <w:pPr>
      <w:numPr>
        <w:numId w:val="4"/>
      </w:numPr>
    </w:pPr>
    <w:rPr>
      <w:rFonts w:ascii="宋体"/>
      <w:sz w:val="21"/>
    </w:rPr>
  </w:style>
  <w:style w:type="paragraph" w:customStyle="1" w:styleId="aa">
    <w:name w:val="附录表标题"/>
    <w:basedOn w:val="ab"/>
    <w:next w:val="aff0"/>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5">
    <w:name w:val="List Paragraph"/>
    <w:basedOn w:val="ab"/>
    <w:uiPriority w:val="34"/>
    <w:unhideWhenUsed/>
    <w:qFormat/>
    <w:pPr>
      <w:ind w:firstLineChars="200" w:firstLine="420"/>
    </w:pPr>
    <w:rPr>
      <w:rFonts w:ascii="Times New Roman" w:hAnsi="Times New Roman" w:cs="Times New Roman"/>
    </w:rPr>
  </w:style>
  <w:style w:type="character" w:customStyle="1" w:styleId="Char2">
    <w:name w:val="页眉 Char"/>
    <w:basedOn w:val="ac"/>
    <w:link w:val="af3"/>
    <w:qFormat/>
    <w:rPr>
      <w:rFonts w:ascii="Calibri" w:hAnsi="Calibri" w:cs="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semiHidden="0" w:uiPriority="39" w:qFormat="1"/>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uiPriority="0" w:unhideWhenUsed="0" w:qFormat="1"/>
    <w:lsdException w:name="footer" w:semiHidden="0" w:unhideWhenUsed="0" w:qFormat="1"/>
    <w:lsdException w:name="caption" w:uiPriority="35" w:qFormat="1"/>
    <w:lsdException w:name="envelope return" w:semiHidden="0" w:uiPriority="0" w:unhideWhenUsed="0" w:qFormat="1"/>
    <w:lsdException w:name="footnote reference" w:semiHidden="0" w:uiPriority="0" w:unhideWhenUsed="0" w:qFormat="1"/>
    <w:lsdException w:name="annotation reference" w:semiHidden="0" w:unhideWhenUsed="0" w:qFormat="1"/>
    <w:lsdException w:name="line number" w:semiHidden="0" w:uiPriority="0" w:unhideWhenUsed="0"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Balloon Text" w:semiHidden="0" w:qFormat="1"/>
    <w:lsdException w:name="Table Grid" w:semiHidden="0" w:uiPriority="39" w:unhideWhenUsed="0" w:qFormat="1"/>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b">
    <w:name w:val="Normal"/>
    <w:next w:val="BodyText2"/>
    <w:qFormat/>
    <w:pPr>
      <w:widowControl w:val="0"/>
      <w:jc w:val="both"/>
    </w:pPr>
    <w:rPr>
      <w:rFonts w:ascii="Calibri" w:hAnsi="Calibri" w:cs="Calibri"/>
      <w:kern w:val="2"/>
      <w:sz w:val="21"/>
      <w:szCs w:val="24"/>
    </w:rPr>
  </w:style>
  <w:style w:type="paragraph" w:styleId="1">
    <w:name w:val="heading 1"/>
    <w:basedOn w:val="ab"/>
    <w:next w:val="ab"/>
    <w:qFormat/>
    <w:pPr>
      <w:keepNext/>
      <w:keepLines/>
      <w:spacing w:before="340" w:after="330" w:line="578" w:lineRule="auto"/>
      <w:outlineLvl w:val="0"/>
    </w:pPr>
    <w:rPr>
      <w:b/>
      <w:bCs/>
      <w:kern w:val="44"/>
      <w:sz w:val="44"/>
    </w:rPr>
  </w:style>
  <w:style w:type="paragraph" w:styleId="2">
    <w:name w:val="heading 2"/>
    <w:basedOn w:val="ab"/>
    <w:next w:val="ab"/>
    <w:qFormat/>
    <w:pPr>
      <w:keepNext/>
      <w:keepLines/>
      <w:spacing w:before="260" w:after="260" w:line="415" w:lineRule="auto"/>
      <w:outlineLvl w:val="1"/>
    </w:pPr>
    <w:rPr>
      <w:rFonts w:ascii="Times New Roman" w:eastAsia="黑体" w:hAnsi="Times New Roman"/>
      <w:b/>
      <w:sz w:val="32"/>
    </w:rPr>
  </w:style>
  <w:style w:type="paragraph" w:styleId="3">
    <w:name w:val="heading 3"/>
    <w:basedOn w:val="ab"/>
    <w:next w:val="ab"/>
    <w:qFormat/>
    <w:pPr>
      <w:keepNext/>
      <w:keepLines/>
      <w:spacing w:before="260" w:after="260" w:line="415" w:lineRule="auto"/>
      <w:outlineLvl w:val="2"/>
    </w:pPr>
    <w:rPr>
      <w:b/>
      <w:sz w:val="32"/>
    </w:rPr>
  </w:style>
  <w:style w:type="paragraph" w:styleId="7">
    <w:name w:val="heading 7"/>
    <w:basedOn w:val="ab"/>
    <w:next w:val="ab"/>
    <w:link w:val="7Char"/>
    <w:uiPriority w:val="9"/>
    <w:qFormat/>
    <w:pPr>
      <w:keepNext/>
      <w:keepLines/>
      <w:spacing w:before="240" w:after="64" w:line="320" w:lineRule="auto"/>
      <w:outlineLvl w:val="6"/>
    </w:pPr>
    <w:rPr>
      <w:b/>
      <w:bCs/>
      <w:sz w:val="24"/>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paragraph" w:customStyle="1" w:styleId="BodyText2">
    <w:name w:val="BodyText2"/>
    <w:basedOn w:val="ab"/>
    <w:qFormat/>
    <w:pPr>
      <w:spacing w:after="120" w:line="480" w:lineRule="auto"/>
      <w:textAlignment w:val="baseline"/>
    </w:pPr>
    <w:rPr>
      <w:rFonts w:cs="Times New Roman"/>
      <w:sz w:val="32"/>
      <w:szCs w:val="32"/>
    </w:rPr>
  </w:style>
  <w:style w:type="paragraph" w:styleId="af">
    <w:name w:val="annotation text"/>
    <w:basedOn w:val="ab"/>
    <w:link w:val="Char"/>
    <w:uiPriority w:val="99"/>
    <w:unhideWhenUsed/>
    <w:qFormat/>
    <w:pPr>
      <w:adjustRightInd w:val="0"/>
      <w:spacing w:line="400" w:lineRule="exact"/>
      <w:jc w:val="left"/>
    </w:pPr>
    <w:rPr>
      <w:szCs w:val="21"/>
    </w:rPr>
  </w:style>
  <w:style w:type="paragraph" w:styleId="af0">
    <w:name w:val="Balloon Text"/>
    <w:basedOn w:val="ab"/>
    <w:link w:val="Char0"/>
    <w:uiPriority w:val="99"/>
    <w:unhideWhenUsed/>
    <w:qFormat/>
    <w:rPr>
      <w:sz w:val="18"/>
      <w:szCs w:val="18"/>
    </w:rPr>
  </w:style>
  <w:style w:type="paragraph" w:styleId="af1">
    <w:name w:val="footer"/>
    <w:basedOn w:val="ab"/>
    <w:link w:val="Char1"/>
    <w:uiPriority w:val="99"/>
    <w:qFormat/>
    <w:pPr>
      <w:tabs>
        <w:tab w:val="center" w:pos="4153"/>
        <w:tab w:val="right" w:pos="8306"/>
      </w:tabs>
      <w:snapToGrid w:val="0"/>
      <w:jc w:val="left"/>
    </w:pPr>
    <w:rPr>
      <w:sz w:val="18"/>
      <w:szCs w:val="18"/>
    </w:rPr>
  </w:style>
  <w:style w:type="paragraph" w:styleId="af2">
    <w:name w:val="envelope return"/>
    <w:basedOn w:val="ab"/>
    <w:qFormat/>
    <w:pPr>
      <w:snapToGrid w:val="0"/>
    </w:pPr>
    <w:rPr>
      <w:rFonts w:ascii="Times New Roman" w:hAnsi="Times New Roman"/>
    </w:rPr>
  </w:style>
  <w:style w:type="paragraph" w:styleId="af3">
    <w:name w:val="header"/>
    <w:basedOn w:val="ab"/>
    <w:link w:val="Char2"/>
    <w:qFormat/>
    <w:pPr>
      <w:pBdr>
        <w:bottom w:val="single" w:sz="6" w:space="1" w:color="auto"/>
      </w:pBdr>
      <w:tabs>
        <w:tab w:val="center" w:pos="4153"/>
        <w:tab w:val="right" w:pos="8306"/>
      </w:tabs>
      <w:snapToGrid w:val="0"/>
      <w:jc w:val="center"/>
    </w:pPr>
    <w:rPr>
      <w:sz w:val="18"/>
      <w:szCs w:val="18"/>
    </w:rPr>
  </w:style>
  <w:style w:type="paragraph" w:styleId="4">
    <w:name w:val="toc 4"/>
    <w:basedOn w:val="ab"/>
    <w:next w:val="ab"/>
    <w:uiPriority w:val="39"/>
    <w:unhideWhenUsed/>
    <w:qFormat/>
    <w:pPr>
      <w:tabs>
        <w:tab w:val="right" w:leader="dot" w:pos="9344"/>
      </w:tabs>
      <w:adjustRightInd w:val="0"/>
      <w:spacing w:line="300" w:lineRule="exact"/>
      <w:ind w:left="629"/>
    </w:pPr>
    <w:rPr>
      <w:rFonts w:ascii="宋体"/>
      <w:szCs w:val="21"/>
    </w:rPr>
  </w:style>
  <w:style w:type="paragraph" w:styleId="af4">
    <w:name w:val="Normal (Web)"/>
    <w:basedOn w:val="ab"/>
    <w:uiPriority w:val="99"/>
    <w:semiHidden/>
    <w:unhideWhenUsed/>
    <w:qFormat/>
    <w:rPr>
      <w:sz w:val="24"/>
    </w:rPr>
  </w:style>
  <w:style w:type="table" w:styleId="af5">
    <w:name w:val="Table Grid"/>
    <w:basedOn w:val="ad"/>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Strong"/>
    <w:basedOn w:val="ac"/>
    <w:uiPriority w:val="22"/>
    <w:qFormat/>
    <w:rPr>
      <w:b/>
    </w:rPr>
  </w:style>
  <w:style w:type="character" w:styleId="af7">
    <w:name w:val="line number"/>
    <w:qFormat/>
  </w:style>
  <w:style w:type="character" w:styleId="af8">
    <w:name w:val="Hyperlink"/>
    <w:qFormat/>
    <w:rPr>
      <w:rFonts w:ascii="宋体" w:eastAsia="宋体"/>
      <w:color w:val="auto"/>
      <w:spacing w:val="0"/>
      <w:w w:val="100"/>
      <w:position w:val="0"/>
      <w:sz w:val="21"/>
      <w:u w:val="none"/>
      <w:vertAlign w:val="baseline"/>
    </w:rPr>
  </w:style>
  <w:style w:type="character" w:styleId="af9">
    <w:name w:val="annotation reference"/>
    <w:uiPriority w:val="99"/>
    <w:qFormat/>
    <w:rPr>
      <w:sz w:val="21"/>
    </w:rPr>
  </w:style>
  <w:style w:type="character" w:styleId="afa">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Char">
    <w:name w:val="标题 7 Char"/>
    <w:link w:val="7"/>
    <w:qFormat/>
    <w:rPr>
      <w:rFonts w:eastAsia="宋体"/>
      <w:b/>
      <w:bCs/>
      <w:kern w:val="2"/>
      <w:sz w:val="24"/>
      <w:szCs w:val="24"/>
    </w:rPr>
  </w:style>
  <w:style w:type="character" w:customStyle="1" w:styleId="Char">
    <w:name w:val="批注文字 Char"/>
    <w:link w:val="af"/>
    <w:uiPriority w:val="99"/>
    <w:semiHidden/>
    <w:qFormat/>
    <w:rPr>
      <w:rFonts w:ascii="Calibri" w:eastAsia="宋体" w:hAnsi="Calibri"/>
      <w:kern w:val="2"/>
      <w:sz w:val="21"/>
      <w:szCs w:val="21"/>
    </w:rPr>
  </w:style>
  <w:style w:type="character" w:customStyle="1" w:styleId="Char0">
    <w:name w:val="批注框文本 Char"/>
    <w:link w:val="af0"/>
    <w:uiPriority w:val="99"/>
    <w:semiHidden/>
    <w:qFormat/>
    <w:rPr>
      <w:rFonts w:eastAsia="宋体"/>
      <w:kern w:val="2"/>
      <w:sz w:val="18"/>
      <w:szCs w:val="18"/>
    </w:rPr>
  </w:style>
  <w:style w:type="character" w:customStyle="1" w:styleId="Char1">
    <w:name w:val="页脚 Char"/>
    <w:link w:val="af1"/>
    <w:uiPriority w:val="99"/>
    <w:qFormat/>
    <w:locked/>
    <w:rPr>
      <w:rFonts w:eastAsia="宋体"/>
      <w:kern w:val="2"/>
      <w:sz w:val="18"/>
      <w:szCs w:val="18"/>
    </w:rPr>
  </w:style>
  <w:style w:type="paragraph" w:customStyle="1" w:styleId="afb">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c">
    <w:name w:val="标准文件_段"/>
    <w:link w:val="Char3"/>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3">
    <w:name w:val="标准文件_段 Char"/>
    <w:link w:val="afc"/>
    <w:qFormat/>
    <w:rPr>
      <w:rFonts w:ascii="仿宋" w:eastAsia="仿宋" w:hAnsi="仿宋" w:cs="Calibri"/>
      <w:kern w:val="2"/>
      <w:sz w:val="32"/>
      <w:szCs w:val="32"/>
    </w:rPr>
  </w:style>
  <w:style w:type="paragraph" w:customStyle="1" w:styleId="a5">
    <w:name w:val="标准文件_章标题"/>
    <w:next w:val="afc"/>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d">
    <w:name w:val="标准文件_二级条标题"/>
    <w:next w:val="afc"/>
    <w:qFormat/>
    <w:pPr>
      <w:widowControl w:val="0"/>
      <w:spacing w:beforeLines="50" w:before="50" w:afterLines="50" w:after="50"/>
      <w:jc w:val="both"/>
      <w:outlineLvl w:val="2"/>
    </w:pPr>
    <w:rPr>
      <w:rFonts w:ascii="黑体" w:eastAsia="黑体" w:hAnsi="Calibri" w:cs="Calibri"/>
      <w:sz w:val="21"/>
    </w:rPr>
  </w:style>
  <w:style w:type="paragraph" w:customStyle="1" w:styleId="a6">
    <w:name w:val="标准文件_一级条标题"/>
    <w:basedOn w:val="a5"/>
    <w:next w:val="afc"/>
    <w:qFormat/>
    <w:pPr>
      <w:numPr>
        <w:ilvl w:val="2"/>
      </w:numPr>
      <w:spacing w:beforeLines="0" w:before="50" w:afterLines="0" w:after="50"/>
      <w:outlineLvl w:val="1"/>
    </w:pPr>
  </w:style>
  <w:style w:type="paragraph" w:customStyle="1" w:styleId="afe">
    <w:name w:val="标准文件_三级条标题"/>
    <w:basedOn w:val="afd"/>
    <w:next w:val="afc"/>
    <w:qFormat/>
    <w:pPr>
      <w:outlineLvl w:val="3"/>
    </w:pPr>
  </w:style>
  <w:style w:type="paragraph" w:customStyle="1" w:styleId="aff">
    <w:name w:val="标准文件_四级条标题"/>
    <w:next w:val="afc"/>
    <w:qFormat/>
    <w:pPr>
      <w:widowControl w:val="0"/>
      <w:spacing w:beforeLines="50" w:before="50" w:afterLines="50" w:after="50"/>
      <w:jc w:val="both"/>
      <w:outlineLvl w:val="4"/>
    </w:pPr>
    <w:rPr>
      <w:rFonts w:ascii="黑体" w:eastAsia="黑体" w:hAnsi="Calibri" w:cs="Calibri"/>
      <w:sz w:val="21"/>
    </w:rPr>
  </w:style>
  <w:style w:type="paragraph" w:customStyle="1" w:styleId="a9">
    <w:name w:val="标准文件_五级条标题"/>
    <w:next w:val="afd"/>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4">
    <w:name w:val="前言标题"/>
    <w:next w:val="ab"/>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8">
    <w:name w:val="标准文件_四级无标题"/>
    <w:basedOn w:val="aff"/>
    <w:qFormat/>
    <w:pPr>
      <w:numPr>
        <w:ilvl w:val="5"/>
        <w:numId w:val="1"/>
      </w:numPr>
    </w:pPr>
    <w:rPr>
      <w:rFonts w:ascii="宋体" w:eastAsia="宋体"/>
      <w:szCs w:val="52"/>
    </w:rPr>
  </w:style>
  <w:style w:type="paragraph" w:customStyle="1" w:styleId="a7">
    <w:name w:val="标准文件_三级无标题"/>
    <w:basedOn w:val="afe"/>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0">
    <w:name w:val="段"/>
    <w:qFormat/>
    <w:pPr>
      <w:autoSpaceDE w:val="0"/>
      <w:autoSpaceDN w:val="0"/>
      <w:ind w:firstLineChars="200" w:firstLine="200"/>
      <w:jc w:val="both"/>
    </w:pPr>
    <w:rPr>
      <w:rFonts w:ascii="宋体" w:hAnsi="Calibri" w:cs="Calibri"/>
      <w:sz w:val="21"/>
    </w:rPr>
  </w:style>
  <w:style w:type="paragraph" w:customStyle="1" w:styleId="aff1">
    <w:name w:val="二级无"/>
    <w:basedOn w:val="ab"/>
    <w:qFormat/>
    <w:pPr>
      <w:widowControl/>
      <w:tabs>
        <w:tab w:val="left" w:pos="780"/>
      </w:tabs>
      <w:ind w:left="780" w:hanging="360"/>
      <w:jc w:val="left"/>
      <w:outlineLvl w:val="3"/>
    </w:pPr>
    <w:rPr>
      <w:rFonts w:ascii="宋体"/>
      <w:kern w:val="0"/>
      <w:szCs w:val="21"/>
    </w:rPr>
  </w:style>
  <w:style w:type="paragraph" w:customStyle="1" w:styleId="aff2">
    <w:name w:val="标准文件_二级无标题"/>
    <w:basedOn w:val="afd"/>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b"/>
    <w:qFormat/>
  </w:style>
  <w:style w:type="paragraph" w:customStyle="1" w:styleId="a2">
    <w:name w:val="标准文件_数字编号列项（二级）"/>
    <w:qFormat/>
    <w:pPr>
      <w:numPr>
        <w:ilvl w:val="1"/>
        <w:numId w:val="3"/>
      </w:numPr>
      <w:jc w:val="both"/>
    </w:pPr>
    <w:rPr>
      <w:rFonts w:ascii="宋体" w:hAnsi="Calibri" w:cs="Calibri"/>
      <w:sz w:val="21"/>
    </w:rPr>
  </w:style>
  <w:style w:type="paragraph" w:customStyle="1" w:styleId="a3">
    <w:name w:val="标准文件_编号列项（三级）"/>
    <w:qFormat/>
    <w:pPr>
      <w:numPr>
        <w:ilvl w:val="2"/>
        <w:numId w:val="3"/>
      </w:numPr>
    </w:pPr>
    <w:rPr>
      <w:rFonts w:ascii="宋体" w:hAnsi="Calibri" w:cs="Calibri"/>
      <w:sz w:val="21"/>
    </w:rPr>
  </w:style>
  <w:style w:type="paragraph" w:customStyle="1" w:styleId="a1">
    <w:name w:val="标准文件_字母编号列项（一级）"/>
    <w:qFormat/>
    <w:pPr>
      <w:numPr>
        <w:numId w:val="3"/>
      </w:numPr>
      <w:jc w:val="both"/>
    </w:pPr>
    <w:rPr>
      <w:rFonts w:ascii="宋体" w:hAnsi="Calibri" w:cs="Calibri"/>
      <w:sz w:val="21"/>
    </w:rPr>
  </w:style>
  <w:style w:type="paragraph" w:customStyle="1" w:styleId="aff3">
    <w:name w:val="标准文件_术语条一"/>
    <w:basedOn w:val="ab"/>
    <w:next w:val="afc"/>
    <w:qFormat/>
    <w:pPr>
      <w:widowControl/>
    </w:pPr>
    <w:rPr>
      <w:rFonts w:ascii="宋体"/>
      <w:kern w:val="0"/>
      <w:szCs w:val="20"/>
    </w:rPr>
  </w:style>
  <w:style w:type="paragraph" w:customStyle="1" w:styleId="abstract">
    <w:name w:val="abstract"/>
    <w:basedOn w:val="ab"/>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b"/>
    <w:qFormat/>
    <w:pPr>
      <w:widowControl/>
      <w:spacing w:before="100" w:beforeAutospacing="1" w:after="100" w:afterAutospacing="1"/>
      <w:jc w:val="left"/>
    </w:pPr>
    <w:rPr>
      <w:rFonts w:ascii="宋体" w:hAnsi="宋体" w:cs="宋体"/>
      <w:kern w:val="0"/>
      <w:sz w:val="24"/>
    </w:rPr>
  </w:style>
  <w:style w:type="paragraph" w:styleId="aff4">
    <w:name w:val="No Spacing"/>
    <w:uiPriority w:val="99"/>
    <w:qFormat/>
    <w:pPr>
      <w:widowControl w:val="0"/>
      <w:jc w:val="both"/>
    </w:pPr>
    <w:rPr>
      <w:rFonts w:ascii="Calibri" w:hAnsi="Calibri"/>
      <w:kern w:val="2"/>
      <w:sz w:val="21"/>
      <w:szCs w:val="24"/>
    </w:rPr>
  </w:style>
  <w:style w:type="paragraph" w:customStyle="1" w:styleId="a0">
    <w:name w:val="标准文件_一级项"/>
    <w:qFormat/>
    <w:pPr>
      <w:numPr>
        <w:numId w:val="4"/>
      </w:numPr>
    </w:pPr>
    <w:rPr>
      <w:rFonts w:ascii="宋体"/>
      <w:sz w:val="21"/>
    </w:rPr>
  </w:style>
  <w:style w:type="paragraph" w:customStyle="1" w:styleId="aa">
    <w:name w:val="附录表标题"/>
    <w:basedOn w:val="ab"/>
    <w:next w:val="aff0"/>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5">
    <w:name w:val="List Paragraph"/>
    <w:basedOn w:val="ab"/>
    <w:uiPriority w:val="34"/>
    <w:unhideWhenUsed/>
    <w:qFormat/>
    <w:pPr>
      <w:ind w:firstLineChars="200" w:firstLine="420"/>
    </w:pPr>
    <w:rPr>
      <w:rFonts w:ascii="Times New Roman" w:hAnsi="Times New Roman" w:cs="Times New Roman"/>
    </w:rPr>
  </w:style>
  <w:style w:type="character" w:customStyle="1" w:styleId="Char2">
    <w:name w:val="页眉 Char"/>
    <w:basedOn w:val="ac"/>
    <w:link w:val="af3"/>
    <w:qFormat/>
    <w:rPr>
      <w:rFonts w:ascii="Calibri" w:hAnsi="Calibri" w:cs="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198</TotalTime>
  <Pages>22</Pages>
  <Words>1850</Words>
  <Characters>10547</Characters>
  <Application>Microsoft Office Word</Application>
  <DocSecurity>0</DocSecurity>
  <Lines>87</Lines>
  <Paragraphs>24</Paragraphs>
  <ScaleCrop>false</ScaleCrop>
  <Company>微软中国</Company>
  <LinksUpToDate>false</LinksUpToDate>
  <CharactersWithSpaces>12373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Administrator</cp:lastModifiedBy>
  <cp:revision>131</cp:revision>
  <dcterms:created xsi:type="dcterms:W3CDTF">2023-11-08T07:48:00Z</dcterms:created>
  <dcterms:modified xsi:type="dcterms:W3CDTF">2024-05-14T01:19:00Z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2052-11.8.2.10125</vt:lpwstr>
  </property>
  <property fmtid="{D5CDD505-2E9C-101B-9397-08002B2CF9AE}" pid="3" name="ICV">
    <vt:lpwstr>A922D90BF3B641DA8C66AE267C36FA1E_13</vt:lpwstr>
  </property>
</Properties>
</file>