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方正小标宋简体" w:eastAsia="方正小标宋简体" w:cs="仿宋_GB2312"/>
          <w:bCs/>
          <w:color w:val="000000"/>
          <w:sz w:val="36"/>
          <w:szCs w:val="32"/>
        </w:rPr>
      </w:pPr>
      <w:r>
        <w:rPr>
          <w:rFonts w:hint="eastAsia" w:ascii="方正小标宋简体" w:eastAsia="方正小标宋简体" w:cs="仿宋_GB2312"/>
          <w:bCs/>
          <w:color w:val="000000"/>
          <w:sz w:val="36"/>
          <w:szCs w:val="32"/>
        </w:rPr>
        <w:t>团体标准《体外反搏治疗操作技术规范》</w:t>
      </w:r>
    </w:p>
    <w:p>
      <w:pPr>
        <w:jc w:val="center"/>
        <w:rPr>
          <w:rFonts w:ascii="方正小标宋简体" w:eastAsia="方正小标宋简体" w:cs="仿宋_GB2312"/>
          <w:bCs/>
          <w:color w:val="000000"/>
          <w:sz w:val="36"/>
          <w:szCs w:val="32"/>
        </w:rPr>
      </w:pPr>
      <w:r>
        <w:rPr>
          <w:rFonts w:hint="eastAsia" w:ascii="方正小标宋简体" w:eastAsia="方正小标宋简体" w:cs="仿宋_GB2312"/>
          <w:bCs/>
          <w:color w:val="000000"/>
          <w:sz w:val="36"/>
          <w:szCs w:val="32"/>
        </w:rPr>
        <w:t>（征求意见稿）编制说明</w:t>
      </w:r>
    </w:p>
    <w:p>
      <w:pPr>
        <w:pStyle w:val="20"/>
        <w:ind w:firstLine="3520"/>
      </w:pPr>
    </w:p>
    <w:p>
      <w:pPr>
        <w:pStyle w:val="53"/>
        <w:ind w:firstLine="640"/>
      </w:pPr>
      <w:r>
        <w:rPr>
          <w:rFonts w:hint="eastAsia"/>
        </w:rPr>
        <w:t>一、任务来源、起草单位、主要起草人</w:t>
      </w:r>
    </w:p>
    <w:p>
      <w:pPr>
        <w:spacing w:line="520" w:lineRule="exact"/>
        <w:ind w:firstLine="560" w:firstLineChars="200"/>
        <w:rPr>
          <w:rFonts w:ascii="仿宋_GB2312" w:eastAsia="仿宋_GB2312"/>
          <w:sz w:val="28"/>
          <w:szCs w:val="28"/>
        </w:rPr>
      </w:pPr>
      <w:r>
        <w:rPr>
          <w:rFonts w:hint="eastAsia" w:ascii="仿宋_GB2312" w:eastAsia="仿宋_GB2312"/>
          <w:sz w:val="28"/>
          <w:szCs w:val="28"/>
        </w:rPr>
        <w:t>根据《关于下达2024年第五批团体标准制修订项目计划的通知》（桂标协〔2024〕37号）文件精神，由广西医科大学第一附属医院提出，广西医科大学第一附属医院、哈尔滨医科大学附属第二医院、玉林市第一人民医院、广西医科大学第二附属医院、上海市同济医院、中山大学附属第一医院广西医院、广西医科大学附属武鸣医院、柳州市人民医院、百色市人民医院、南宁市第一人民医院、南宁市第二人民医院、桂林市人民医院、广西壮族自治区民族医院、河池市人民医院、崇左市人民医院等单位共同起草的团体标准《体外反搏治疗操作技术规范》（项目编号：2024-0506），已获立项。</w:t>
      </w:r>
    </w:p>
    <w:p>
      <w:pPr>
        <w:spacing w:line="520" w:lineRule="exact"/>
        <w:ind w:firstLine="560" w:firstLineChars="200"/>
        <w:rPr>
          <w:rFonts w:ascii="仿宋_GB2312" w:eastAsia="仿宋_GB2312"/>
          <w:sz w:val="32"/>
          <w:szCs w:val="32"/>
        </w:rPr>
      </w:pPr>
      <w:r>
        <w:rPr>
          <w:rFonts w:hint="eastAsia" w:ascii="仿宋_GB2312" w:eastAsia="仿宋_GB2312"/>
          <w:sz w:val="28"/>
          <w:szCs w:val="28"/>
        </w:rPr>
        <w:t>为高质量编制团体标准《体外反搏治疗操作技术规范》，由起草单位成立标准编制工作组并进行如下分工:</w:t>
      </w:r>
    </w:p>
    <w:tbl>
      <w:tblPr>
        <w:tblStyle w:val="1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0"/>
        <w:gridCol w:w="1416"/>
        <w:gridCol w:w="1418"/>
        <w:gridCol w:w="1567"/>
        <w:gridCol w:w="38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b/>
              </w:rPr>
            </w:pPr>
            <w:r>
              <w:rPr>
                <w:rFonts w:hint="eastAsia"/>
                <w:b/>
              </w:rPr>
              <w:t>姓名</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b/>
              </w:rPr>
            </w:pPr>
            <w:r>
              <w:rPr>
                <w:rFonts w:hint="eastAsia"/>
                <w:b/>
              </w:rPr>
              <w:t>职务/职称</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b/>
              </w:rPr>
            </w:pPr>
            <w:r>
              <w:rPr>
                <w:rFonts w:hint="eastAsia"/>
                <w:b/>
              </w:rPr>
              <w:t>从事专业</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b/>
              </w:rPr>
            </w:pPr>
            <w:r>
              <w:rPr>
                <w:rFonts w:hint="eastAsia"/>
                <w:b/>
              </w:rPr>
              <w:t>工作单位</w:t>
            </w:r>
          </w:p>
        </w:tc>
        <w:tc>
          <w:tcPr>
            <w:tcW w:w="2078" w:type="pct"/>
            <w:tcBorders>
              <w:top w:val="single" w:color="auto" w:sz="4" w:space="0"/>
              <w:left w:val="single" w:color="auto" w:sz="4" w:space="0"/>
              <w:bottom w:val="single" w:color="auto" w:sz="4" w:space="0"/>
              <w:right w:val="single" w:color="auto" w:sz="4" w:space="0"/>
            </w:tcBorders>
            <w:vAlign w:val="center"/>
          </w:tcPr>
          <w:p>
            <w:pPr>
              <w:pStyle w:val="54"/>
              <w:rPr>
                <w:b/>
              </w:rPr>
            </w:pPr>
            <w:r>
              <w:rPr>
                <w:rFonts w:hint="eastAsia"/>
                <w:b/>
              </w:rPr>
              <w:t>主要负责工作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b/>
                <w:lang w:bidi="ar"/>
              </w:rPr>
              <w:t>曾志</w:t>
            </w:r>
            <w:r>
              <w:rPr>
                <w:rFonts w:hint="eastAsia" w:ascii="仿宋_GB2312" w:hAnsi="仿宋_GB2312" w:cs="仿宋_GB2312"/>
                <w:lang w:bidi="ar"/>
              </w:rPr>
              <w:t>羽</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校长/教授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老年心血管内科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广西医科大学</w:t>
            </w:r>
          </w:p>
        </w:tc>
        <w:tc>
          <w:tcPr>
            <w:tcW w:w="2078"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统筹主持标准编制工作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韦恒</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副主任医师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广西医科大学第一附属医院</w:t>
            </w:r>
          </w:p>
        </w:tc>
        <w:tc>
          <w:tcPr>
            <w:tcW w:w="2078"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参与标准编制工作，组织人员进行标准发布后的宣贯培训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吴孝军</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副主任治疗师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康复医学与理疗学</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哈尔滨医科大学附属第二医院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ascii="仿宋_GB2312" w:hAnsi="仿宋_GB2312" w:cs="仿宋_GB2312"/>
                <w:lang w:bidi="ar"/>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谢文超</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副院长/主任医师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玉林市第一人民医院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ascii="仿宋_GB2312" w:hAnsi="仿宋_GB2312" w:cs="仿宋_GB2312"/>
                <w:lang w:bidi="ar"/>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黄锋</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科研部主任、心内科三病区副主任/主任医师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广西医科大学第一附属医院</w:t>
            </w:r>
          </w:p>
        </w:tc>
        <w:tc>
          <w:tcPr>
            <w:tcW w:w="2078"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参与标准文本及编制说明编写，质量控制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何燕</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老年病学心血管内科主任/主任医师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广西医科大学第一附属医院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cs="Times New Roman"/>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龙曼云</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主任医师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广西医科大学第一附属医院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cs="Times New Roman"/>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黄巧娟</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主任医师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广西医科大学第二附属医院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cs="Times New Roman"/>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车琳</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主任医师/副教授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上海市同济医院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cs="Times New Roman"/>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甘剑超</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心血管科支部书记/主任医师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中山大学附属第一医院广西医院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cs="Times New Roman"/>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黄流强</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主任/主任医师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广西医科大学附属武鸣医院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cs="Times New Roman"/>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刘艳丽</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心血管内科主任</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柳州市人民医院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cs="Times New Roman"/>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黄照河</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教授/主任医师，院长</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百色市人民医院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cs="Times New Roman"/>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刘杰</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心内科主任/主任医师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南宁市第一人民医院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ascii="仿宋_GB2312" w:hAnsi="仿宋_GB2312" w:cs="仿宋_GB2312"/>
                <w:lang w:bidi="ar"/>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张景昌</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科主任/主任医师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南宁市第二人民医院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ascii="仿宋_GB2312" w:hAnsi="仿宋_GB2312" w:cs="仿宋_GB2312"/>
                <w:lang w:bidi="ar"/>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潘迪光</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ascii="仿宋_GB2312" w:hAnsi="仿宋_GB2312" w:cs="仿宋_GB2312"/>
                <w:lang w:bidi="ar"/>
              </w:rPr>
              <w:t>科主任/主任医师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桂林市人民医院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ascii="仿宋_GB2312" w:hAnsi="仿宋_GB2312" w:cs="仿宋_GB2312"/>
                <w:lang w:bidi="ar"/>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苏晓琳</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心内一区主任/副主任医师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广西壮族自治区民族医院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ascii="仿宋_GB2312" w:hAnsi="仿宋_GB2312" w:cs="仿宋_GB2312"/>
                <w:lang w:bidi="ar"/>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杨德志</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科主任/副主任医师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河池市人民医院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ascii="仿宋_GB2312" w:hAnsi="仿宋_GB2312" w:cs="仿宋_GB2312"/>
                <w:lang w:bidi="ar"/>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黄斌</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党委委员、心血管内科一区主任/主任医师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临床医学</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崇左市人民医院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ascii="仿宋_GB2312" w:hAnsi="仿宋_GB2312" w:cs="仿宋_GB2312"/>
                <w:lang w:bidi="ar"/>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李高叶</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副主任护师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护理学</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广西医科大学第一附属医院</w:t>
            </w:r>
          </w:p>
        </w:tc>
        <w:tc>
          <w:tcPr>
            <w:tcW w:w="2078"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罗海彬</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主管护师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护理学</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广西医科大学第一附属医院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ascii="仿宋_GB2312" w:hAnsi="仿宋_GB2312" w:cs="仿宋_GB2312"/>
                <w:lang w:bidi="ar"/>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郑静</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副主任医师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心血管内科</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广西医科大学第一附属医院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ascii="仿宋_GB2312" w:hAnsi="仿宋_GB2312" w:cs="仿宋_GB2312"/>
                <w:lang w:bidi="ar"/>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路华</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护士长/副主任护师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护理学</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桂林市人民医院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ascii="仿宋_GB2312" w:hAnsi="仿宋_GB2312" w:cs="仿宋_GB2312"/>
                <w:lang w:bidi="ar"/>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52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郑梅</w:t>
            </w:r>
          </w:p>
        </w:tc>
        <w:tc>
          <w:tcPr>
            <w:tcW w:w="772"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护士长/副主任护师</w:t>
            </w:r>
          </w:p>
        </w:tc>
        <w:tc>
          <w:tcPr>
            <w:tcW w:w="773"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护理学</w:t>
            </w:r>
          </w:p>
        </w:tc>
        <w:tc>
          <w:tcPr>
            <w:tcW w:w="854" w:type="pct"/>
            <w:tcBorders>
              <w:top w:val="single" w:color="auto" w:sz="4" w:space="0"/>
              <w:left w:val="single" w:color="auto" w:sz="4" w:space="0"/>
              <w:bottom w:val="single" w:color="auto" w:sz="4" w:space="0"/>
              <w:right w:val="single" w:color="auto" w:sz="4" w:space="0"/>
            </w:tcBorders>
            <w:vAlign w:val="center"/>
          </w:tcPr>
          <w:p>
            <w:pPr>
              <w:pStyle w:val="54"/>
              <w:rPr>
                <w:rFonts w:ascii="仿宋_GB2312" w:hAnsi="仿宋_GB2312" w:cs="仿宋_GB2312"/>
                <w:lang w:bidi="ar"/>
              </w:rPr>
            </w:pPr>
            <w:r>
              <w:rPr>
                <w:rFonts w:hint="eastAsia" w:ascii="仿宋_GB2312" w:hAnsi="仿宋_GB2312" w:cs="仿宋_GB2312"/>
                <w:lang w:bidi="ar"/>
              </w:rPr>
              <w:t>广西医科大学第一附属医院</w:t>
            </w:r>
          </w:p>
        </w:tc>
        <w:tc>
          <w:tcPr>
            <w:tcW w:w="2078" w:type="pct"/>
            <w:tcBorders>
              <w:top w:val="single" w:color="auto" w:sz="4" w:space="0"/>
              <w:left w:val="single" w:color="auto" w:sz="4" w:space="0"/>
              <w:bottom w:val="single" w:color="auto" w:sz="4" w:space="0"/>
              <w:right w:val="single" w:color="auto" w:sz="4" w:space="0"/>
            </w:tcBorders>
          </w:tcPr>
          <w:p>
            <w:pPr>
              <w:pStyle w:val="54"/>
              <w:rPr>
                <w:rFonts w:ascii="仿宋_GB2312" w:hAnsi="仿宋_GB2312" w:cs="仿宋_GB2312"/>
                <w:lang w:bidi="ar"/>
              </w:rPr>
            </w:pPr>
            <w:r>
              <w:rPr>
                <w:rFonts w:hint="eastAsia" w:ascii="仿宋_GB2312" w:hAnsi="仿宋_GB2312" w:cs="仿宋_GB2312"/>
                <w:lang w:bidi="ar"/>
              </w:rPr>
              <w:t>参与标准文本及编制说明的编写；组织开展标准征求意见会；对标准实施情况进行总结分析，不断对团体标准提出修正意见</w:t>
            </w:r>
          </w:p>
        </w:tc>
      </w:tr>
    </w:tbl>
    <w:p>
      <w:pPr>
        <w:pStyle w:val="53"/>
        <w:ind w:firstLine="640"/>
      </w:pPr>
      <w:r>
        <w:rPr>
          <w:rFonts w:hint="eastAsia"/>
        </w:rPr>
        <w:t>二、制定标准的必要性和意义</w:t>
      </w:r>
    </w:p>
    <w:p>
      <w:pPr>
        <w:spacing w:line="520" w:lineRule="exact"/>
        <w:ind w:firstLine="560" w:firstLineChars="200"/>
        <w:rPr>
          <w:rFonts w:ascii="仿宋_GB2312" w:eastAsia="仿宋_GB2312"/>
          <w:sz w:val="28"/>
          <w:szCs w:val="28"/>
        </w:rPr>
      </w:pPr>
      <w:r>
        <w:rPr>
          <w:rFonts w:hint="eastAsia" w:ascii="仿宋_GB2312" w:eastAsia="仿宋_GB2312"/>
          <w:sz w:val="28"/>
          <w:szCs w:val="28"/>
        </w:rPr>
        <w:t>根据2022年中国心血管健康与疾病报告，中国心血管疾病现患人数3.3亿，占全国总人口的近10%，其中卒中1300万，冠心病1139万，心力衰竭890万，肺源性心脏病500万，心房颤动487万，风湿性心脏病250万，先天性心脏病200万，外周动脉疾病4530万，高血压2.45亿。中国心血管疾病患病率仍处于持续上升阶段，心血管病死亡占我国城乡居民总死亡原因的首位，广西心血管病高风险居民比例为8.0%。心力衰竭是多种心脏疾患的终末阶段，具有患病率高、反复住院率高、病死率高的特点预后不佳，是各年龄段心血管死亡的首要原因，严重威胁人民生命健康，给国家经济社会带来巨大的负担，是目前面临的重大公共卫生问题。近年来，冠心病发病率也日益升高，已成为心力衰竭的主要病因之一。有研究显示，缺血性心脏病是心力衰竭重要的病因，30%～40%的冠心病病人发展为心力衰竭。因此，延缓并抑制心脏病进展为心力衰竭是治疗的关键阶段，是临床医生关注的重点和治疗的难点。近年来，随着心脏康复的开展，心脏体外反搏(EECP)作为一种增加血流灌注的无创性治疗手段，具有改善内皮功能、增强侧支循环建立、提高心肌收缩力及减少心脏做功的协同作用，已作为心血管疾病预防和康复的新手段。</w:t>
      </w:r>
    </w:p>
    <w:p>
      <w:pPr>
        <w:spacing w:line="520" w:lineRule="exact"/>
        <w:ind w:firstLine="560" w:firstLineChars="200"/>
        <w:rPr>
          <w:rFonts w:ascii="仿宋_GB2312" w:eastAsia="仿宋_GB2312"/>
          <w:sz w:val="28"/>
          <w:szCs w:val="28"/>
        </w:rPr>
      </w:pPr>
      <w:r>
        <w:rPr>
          <w:rFonts w:hint="eastAsia" w:ascii="仿宋_GB2312" w:eastAsia="仿宋_GB2312"/>
          <w:sz w:val="28"/>
          <w:szCs w:val="28"/>
        </w:rPr>
        <w:t>目前被广泛应用的体外反搏装置是在病人的小腿及臀部分段包裹特制的气囊套，由电子控制系统检出病人的心电图R波，通过电子计算机实时推算心脏的收缩期和舒张期，据此指令对包扎在小腿、大腿、臀部的３组气囊进行充气、排气，在心脏舒张早期由下至上序贯加压，将躯体下部动脉血液被动驱返至胸腹主动脉内，增加胸腹主动脉舒张期压力，从而增加心脑肾及肝胆脾胰等重要脏器的血供，为心脏增加血流，降低心脏后负荷；并在心脏收缩期气囊迅速排气，压力解除，促使主动脉内收缩压下降，最大限度减轻心脏射血期阻力，血液加速流向远端，从而达到反搏效应。</w:t>
      </w:r>
    </w:p>
    <w:p>
      <w:pPr>
        <w:spacing w:line="520" w:lineRule="exact"/>
        <w:ind w:firstLine="560" w:firstLineChars="200"/>
        <w:rPr>
          <w:rFonts w:ascii="仿宋_GB2312" w:eastAsia="仿宋_GB2312"/>
          <w:sz w:val="28"/>
          <w:szCs w:val="28"/>
        </w:rPr>
      </w:pPr>
      <w:r>
        <w:rPr>
          <w:rFonts w:hint="eastAsia" w:ascii="仿宋_GB2312" w:eastAsia="仿宋_GB2312"/>
          <w:sz w:val="28"/>
          <w:szCs w:val="28"/>
        </w:rPr>
        <w:t>体外反搏治疗的独特之处在于它是无创性的治疗，避免了侵入性治疗所产生的副作用，同时操作简便、易于推广普及。这种治疗不需要病人住院，在门诊即可完成。我国开展体外反搏技术的基础与临床研究将近60年，应用于心力衰竭、冠心病、心绞痛和心功能不全等心血管疾病或非心血管疾病的治疗，积累了丰富的基础研究资料和实践经验。鉴于体外反搏的确切的临床疗效，且生物医学工程的快速发展，在临床应用日益增多。</w:t>
      </w:r>
    </w:p>
    <w:p>
      <w:pPr>
        <w:spacing w:line="520" w:lineRule="exact"/>
        <w:ind w:firstLine="560" w:firstLineChars="200"/>
        <w:rPr>
          <w:rFonts w:ascii="仿宋_GB2312" w:eastAsia="仿宋_GB2312"/>
          <w:sz w:val="28"/>
          <w:szCs w:val="28"/>
        </w:rPr>
      </w:pPr>
      <w:r>
        <w:rPr>
          <w:rFonts w:hint="eastAsia" w:ascii="仿宋_GB2312" w:eastAsia="仿宋_GB2312"/>
          <w:sz w:val="28"/>
          <w:szCs w:val="28"/>
        </w:rPr>
        <w:t>通过制定团体标准《体外反搏治疗操作技术规范》，以标准为抓手，统一规范体外反搏治疗操作技术要求，对促进体外反搏治疗操作技术推广，提高体外反搏治疗技术操作水平，防治心脑血管疾病，促进医疗事业健康发展具有重要意义。</w:t>
      </w:r>
    </w:p>
    <w:p>
      <w:pPr>
        <w:pStyle w:val="53"/>
        <w:ind w:firstLine="640"/>
      </w:pPr>
      <w:r>
        <w:rPr>
          <w:rFonts w:hint="eastAsia"/>
        </w:rPr>
        <w:t>三、主要起草过程</w:t>
      </w:r>
    </w:p>
    <w:p>
      <w:pPr>
        <w:spacing w:line="520" w:lineRule="exact"/>
        <w:ind w:firstLine="562" w:firstLineChars="200"/>
        <w:rPr>
          <w:rFonts w:ascii="仿宋_GB2312" w:eastAsia="仿宋_GB2312"/>
          <w:sz w:val="28"/>
          <w:szCs w:val="28"/>
        </w:rPr>
      </w:pPr>
      <w:r>
        <w:rPr>
          <w:rFonts w:hint="eastAsia" w:ascii="仿宋_GB2312" w:eastAsia="仿宋_GB2312" w:cs="仿宋_GB2312"/>
          <w:b/>
          <w:sz w:val="28"/>
          <w:szCs w:val="28"/>
        </w:rPr>
        <w:t>（一）成立标准编制工作组</w:t>
      </w:r>
    </w:p>
    <w:p>
      <w:pPr>
        <w:spacing w:line="520" w:lineRule="exact"/>
        <w:ind w:firstLine="560" w:firstLineChars="200"/>
        <w:rPr>
          <w:rFonts w:ascii="仿宋_GB2312" w:eastAsia="仿宋_GB2312"/>
          <w:sz w:val="28"/>
          <w:szCs w:val="28"/>
        </w:rPr>
      </w:pPr>
      <w:r>
        <w:rPr>
          <w:rFonts w:hint="eastAsia" w:ascii="仿宋_GB2312" w:eastAsia="仿宋_GB2312"/>
          <w:sz w:val="28"/>
          <w:szCs w:val="28"/>
        </w:rPr>
        <w:t>团体标准《体外反搏治疗操作技术规范》项目任务下达后，广西医科大学第一附属医院成立了标准编制工作组，制定了起草编写方案与进度安排，明确任务职责，确定工作技术路线，开展标准研制工作。具体标准编制工作由起草单位相关人员配合完成。</w:t>
      </w:r>
    </w:p>
    <w:p>
      <w:pPr>
        <w:spacing w:line="520" w:lineRule="exact"/>
        <w:ind w:firstLine="560" w:firstLineChars="200"/>
        <w:rPr>
          <w:rFonts w:ascii="仿宋_GB2312" w:eastAsia="仿宋_GB2312" w:cs="仿宋_GB2312"/>
          <w:sz w:val="28"/>
          <w:szCs w:val="28"/>
        </w:rPr>
      </w:pPr>
      <w:r>
        <w:rPr>
          <w:rFonts w:hint="eastAsia" w:ascii="仿宋_GB2312" w:eastAsia="仿宋_GB2312"/>
          <w:sz w:val="28"/>
          <w:szCs w:val="28"/>
        </w:rPr>
        <w:t>为了明确标准编制的任务职责，确定工作技术路线，开展标准研制工作。标准编制工作组下设二个组，分别是资料收集组、草案编写组。资料收集组负责国内外有关体外反搏治疗操作方面的文献资料的查询、收集和整理工作，查阅前期对体外反搏治疗操作技术方面的有关研究情况和目前科学界体外反搏治疗的研究进展；草案编写组负责起草标准草案及后续征求意见稿和标准编制说明、送审稿及编制说明等编写工作，包括后期召开征求意见会、网上征求意见，以及标准的不断修改和完善。</w:t>
      </w:r>
    </w:p>
    <w:p>
      <w:pPr>
        <w:spacing w:line="520" w:lineRule="exact"/>
        <w:ind w:firstLine="562" w:firstLineChars="200"/>
        <w:rPr>
          <w:rFonts w:ascii="仿宋_GB2312" w:eastAsia="仿宋_GB2312" w:cs="仿宋_GB2312"/>
          <w:b/>
          <w:sz w:val="28"/>
          <w:szCs w:val="28"/>
        </w:rPr>
      </w:pPr>
      <w:r>
        <w:rPr>
          <w:rFonts w:hint="eastAsia" w:ascii="仿宋_GB2312" w:eastAsia="仿宋_GB2312" w:cs="仿宋_GB2312"/>
          <w:b/>
          <w:sz w:val="28"/>
          <w:szCs w:val="28"/>
        </w:rPr>
        <w:t>（二）收集整理文献资料</w:t>
      </w:r>
    </w:p>
    <w:p>
      <w:pPr>
        <w:spacing w:line="520" w:lineRule="exact"/>
        <w:ind w:firstLine="560" w:firstLineChars="200"/>
        <w:rPr>
          <w:rFonts w:ascii="仿宋_GB2312" w:eastAsia="仿宋_GB2312"/>
          <w:sz w:val="28"/>
          <w:szCs w:val="36"/>
        </w:rPr>
      </w:pPr>
      <w:r>
        <w:rPr>
          <w:rFonts w:hint="eastAsia" w:ascii="仿宋_GB2312" w:eastAsia="仿宋_GB2312"/>
          <w:sz w:val="28"/>
          <w:szCs w:val="28"/>
        </w:rPr>
        <w:t>标准编制工作组收集了国内有关体外反搏治疗操作的相关文献资料。主要有：</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蔡大卫</w:t>
      </w:r>
      <w:r>
        <w:rPr>
          <w:rFonts w:ascii="仿宋_GB2312" w:eastAsia="仿宋_GB2312"/>
          <w:sz w:val="28"/>
          <w:szCs w:val="36"/>
        </w:rPr>
        <w:t>.体外反搏[M].上海：科学与技术出版社，2004.</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伍贵富，杜志民</w:t>
      </w:r>
      <w:r>
        <w:rPr>
          <w:rFonts w:ascii="仿宋_GB2312" w:eastAsia="仿宋_GB2312"/>
          <w:sz w:val="28"/>
          <w:szCs w:val="36"/>
        </w:rPr>
        <w:t>.增强型体外反搏：理论与实践[M].北京：人民卫生出版社，2012:1-5.</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刘洋</w:t>
      </w:r>
      <w:r>
        <w:rPr>
          <w:rFonts w:ascii="仿宋_GB2312" w:eastAsia="仿宋_GB2312"/>
          <w:sz w:val="28"/>
          <w:szCs w:val="36"/>
        </w:rPr>
        <w:t>,伍贵富.增强型体外反搏治疗冠心病的新机制[J].心血管病学进展,2016,37(02):185-188.</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姜崴</w:t>
      </w:r>
      <w:r>
        <w:rPr>
          <w:rFonts w:ascii="仿宋_GB2312" w:eastAsia="仿宋_GB2312"/>
          <w:sz w:val="28"/>
          <w:szCs w:val="36"/>
        </w:rPr>
        <w:t>,赵冬云,栗印军主编.心血管疾病临床护理问题集萃.沈阳:辽宁科学技术出版社.2020</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中国体外反搏临床应用专家共识起草专家委员会.中国体外反搏临床应用专家共识[J].中国心血管病研究,2012,10(2):81-92.</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国际体外反搏学会,中国康复医学会心血管病专业委员会,中国老年学学会心脑血管病专业委员会.心血管疾病康复处方——增强型体外反搏应用国际专家共识[J].中华内科杂志,2014,53(7):587-90.</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潘萌,张新霞.体外反搏在心脏康复中的应用进展[J].中国心血管杂志,2016,21(2):158-61.</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徐玲,赵威,崔鸣.增强型体外反搏治疗改善血流切应力的研究进展[J].心血管病学进展,2017,38(5):527-31.</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余意君,刘涛,邹武松,等.体外反搏改善缺血性心力衰竭患者疗效及无创心功能检测指标[J].重庆医学,2017,46(31):4360-3,6.</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郭娇,侯明杰,吴艳婷.增强型体外反搏术治疗不稳定型心绞痛的临床疗效系统评价[J].中国循证心血管医学杂志,2018,10(6):657-60.</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高丽华,马光朋,费运微,等.体外反搏在冠心病诊疗中的机制及研究进展[J].中国实验诊断学,2019,23(7):1269-71.</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贾晓云.增强型体外反搏在冠心病康复治疗中的应用研究进展[J].系统医学,2019,4(20):193-5.</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中华医学会老年医学分会心血管病学组,《中华老年医学杂志》编辑委员会,中国生物医学工程学会体外反搏分会老年学组.老年人体外反搏临床应用中国专家共识(2019)[J].中华老年医学杂志,2019,38(9):953-61.</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梁塑臻,钱孝贤.增强型体外反搏在心血管疾病康复中的应用与研究进展[J].新医学,2022,53(4):229-33.</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骆艳茹,刘伟静,车文良,等.增强型体外反搏在心血管疾病中的研究进展[J].医学综述,2022,28(4):748-53.</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许键,贾晓云.增强型体外反搏技术在慢性心力衰竭治疗中应用的研究进展[J].当代医药论丛,2022,20(22):45-8.</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郑宇峰,杨昊翔.增强型体外反搏治疗急性缺血性脑卒中的研究进展[J].吉林医学,2022,43(7):1971-4.</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中国医师协会心血管内科医师分会,中国医院协会心脏康复管理专业委员会,上海市康复医学会体外反搏专业委员会.慢性冠状动脉综合征增强型体外反搏治疗中国专家共识[J].中国介入心脏病学杂志,2022,30(2):81-7.</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李慧,贡亦军.增强型体外反搏在心血管疾病患者心脏康复中的研究进展[J].临床护理进展,2023,2(1).</w:t>
      </w:r>
    </w:p>
    <w:p>
      <w:pPr>
        <w:pStyle w:val="52"/>
        <w:numPr>
          <w:ilvl w:val="0"/>
          <w:numId w:val="7"/>
        </w:numPr>
        <w:wordWrap w:val="0"/>
        <w:spacing w:line="520" w:lineRule="exact"/>
        <w:ind w:left="560" w:hanging="560" w:hangingChars="200"/>
        <w:jc w:val="both"/>
        <w:rPr>
          <w:rFonts w:ascii="仿宋_GB2312" w:eastAsia="仿宋_GB2312"/>
          <w:sz w:val="28"/>
          <w:szCs w:val="36"/>
        </w:rPr>
      </w:pPr>
      <w:r>
        <w:rPr>
          <w:rFonts w:hint="eastAsia" w:ascii="仿宋_GB2312" w:eastAsia="仿宋_GB2312"/>
          <w:sz w:val="28"/>
          <w:szCs w:val="36"/>
        </w:rPr>
        <w:t>肖智超,胡雅涵,唐雪杨,等.增强型体外反搏治疗冠心病心力衰竭的研究进展[J].赣南医学院学报,2023,43(12):1209-13.</w:t>
      </w:r>
    </w:p>
    <w:p>
      <w:pPr>
        <w:spacing w:line="520" w:lineRule="exact"/>
        <w:ind w:firstLine="562" w:firstLineChars="200"/>
        <w:rPr>
          <w:rFonts w:ascii="仿宋_GB2312" w:eastAsia="仿宋_GB2312" w:cs="仿宋_GB2312"/>
          <w:b/>
          <w:sz w:val="28"/>
          <w:szCs w:val="28"/>
        </w:rPr>
      </w:pPr>
      <w:r>
        <w:rPr>
          <w:rFonts w:hint="eastAsia" w:ascii="仿宋_GB2312" w:eastAsia="仿宋_GB2312" w:cs="仿宋_GB2312"/>
          <w:b/>
          <w:sz w:val="28"/>
          <w:szCs w:val="28"/>
        </w:rPr>
        <w:t>（三）研讨确定标准主体内容</w:t>
      </w:r>
    </w:p>
    <w:p>
      <w:pPr>
        <w:spacing w:line="520" w:lineRule="exact"/>
        <w:ind w:firstLine="560" w:firstLineChars="200"/>
        <w:rPr>
          <w:rFonts w:ascii="仿宋_GB2312" w:eastAsia="仿宋_GB2312"/>
          <w:kern w:val="0"/>
          <w:sz w:val="28"/>
          <w:szCs w:val="28"/>
        </w:rPr>
      </w:pPr>
      <w:r>
        <w:rPr>
          <w:rFonts w:hint="eastAsia" w:ascii="仿宋_GB2312" w:eastAsia="仿宋_GB2312"/>
          <w:kern w:val="0"/>
          <w:sz w:val="28"/>
          <w:szCs w:val="28"/>
        </w:rPr>
        <w:t>标准编制工作组在对收集的资料进行整理研究之后，标准编制工作组召开了标准编制会议，对标准的整体框架结构进行了研究，并对标准的关键性内容进行了初步探讨。经过研究，标准的主体内容为界定了体外反搏治疗操作涉及的术语和定义，规定了适应症和禁忌症、操作要求、注意事项、体外反搏患者伴随疾病的处理建议等内容。</w:t>
      </w:r>
    </w:p>
    <w:p>
      <w:pPr>
        <w:spacing w:line="520" w:lineRule="exact"/>
        <w:ind w:firstLine="562" w:firstLineChars="200"/>
        <w:rPr>
          <w:rFonts w:ascii="仿宋_GB2312" w:eastAsia="仿宋_GB2312" w:cs="仿宋_GB2312"/>
          <w:b/>
          <w:sz w:val="28"/>
          <w:szCs w:val="28"/>
        </w:rPr>
      </w:pPr>
      <w:r>
        <w:rPr>
          <w:rFonts w:hint="eastAsia" w:ascii="仿宋_GB2312" w:eastAsia="仿宋_GB2312" w:cs="仿宋_GB2312"/>
          <w:b/>
          <w:sz w:val="28"/>
          <w:szCs w:val="28"/>
        </w:rPr>
        <w:t>（四）调研及形成草案、征求意见稿</w:t>
      </w:r>
    </w:p>
    <w:p>
      <w:pPr>
        <w:spacing w:line="520" w:lineRule="exact"/>
        <w:ind w:firstLine="560" w:firstLineChars="200"/>
        <w:rPr>
          <w:rFonts w:ascii="仿宋_GB2312" w:eastAsia="仿宋_GB2312"/>
          <w:kern w:val="0"/>
          <w:sz w:val="28"/>
          <w:szCs w:val="28"/>
        </w:rPr>
      </w:pPr>
      <w:r>
        <w:rPr>
          <w:rFonts w:hint="eastAsia" w:ascii="仿宋_GB2312" w:eastAsia="仿宋_GB2312"/>
          <w:kern w:val="0"/>
          <w:sz w:val="28"/>
          <w:szCs w:val="28"/>
        </w:rPr>
        <w:t>2024年1月～</w:t>
      </w:r>
      <w:r>
        <w:rPr>
          <w:rFonts w:ascii="仿宋_GB2312" w:eastAsia="仿宋_GB2312"/>
          <w:kern w:val="0"/>
          <w:sz w:val="28"/>
          <w:szCs w:val="28"/>
        </w:rPr>
        <w:t>2</w:t>
      </w:r>
      <w:r>
        <w:rPr>
          <w:rFonts w:hint="eastAsia" w:ascii="仿宋_GB2312" w:eastAsia="仿宋_GB2312"/>
          <w:kern w:val="0"/>
          <w:sz w:val="28"/>
          <w:szCs w:val="28"/>
        </w:rPr>
        <w:t>月，标准编制工作组查阅了大量的国内文献资料，对</w:t>
      </w:r>
      <w:r>
        <w:rPr>
          <w:rFonts w:hint="eastAsia" w:ascii="仿宋_GB2312" w:eastAsia="仿宋_GB2312"/>
          <w:sz w:val="28"/>
          <w:szCs w:val="28"/>
        </w:rPr>
        <w:t>体外反搏治疗操作</w:t>
      </w:r>
      <w:r>
        <w:rPr>
          <w:rFonts w:hint="eastAsia" w:ascii="仿宋_GB2312" w:eastAsia="仿宋_GB2312"/>
          <w:kern w:val="0"/>
          <w:sz w:val="28"/>
          <w:szCs w:val="28"/>
        </w:rPr>
        <w:t>相关的文件进行系统总结。形成了标准的基本构架，对主要内容进行了讨论并对项目的工作进行了部署和安排。</w:t>
      </w:r>
    </w:p>
    <w:p>
      <w:pPr>
        <w:spacing w:line="520" w:lineRule="exact"/>
        <w:ind w:firstLine="560" w:firstLineChars="200"/>
        <w:rPr>
          <w:rFonts w:ascii="仿宋_GB2312" w:eastAsia="仿宋_GB2312"/>
          <w:kern w:val="0"/>
          <w:sz w:val="28"/>
          <w:szCs w:val="28"/>
        </w:rPr>
      </w:pPr>
      <w:r>
        <w:rPr>
          <w:rFonts w:hint="eastAsia" w:ascii="仿宋_GB2312" w:eastAsia="仿宋_GB2312"/>
          <w:kern w:val="0"/>
          <w:sz w:val="28"/>
          <w:szCs w:val="28"/>
        </w:rPr>
        <w:t>2024年</w:t>
      </w:r>
      <w:r>
        <w:rPr>
          <w:rFonts w:ascii="仿宋_GB2312" w:eastAsia="仿宋_GB2312"/>
          <w:kern w:val="0"/>
          <w:sz w:val="28"/>
          <w:szCs w:val="28"/>
        </w:rPr>
        <w:t>3</w:t>
      </w:r>
      <w:r>
        <w:rPr>
          <w:rFonts w:hint="eastAsia" w:ascii="仿宋_GB2312" w:eastAsia="仿宋_GB2312"/>
          <w:kern w:val="0"/>
          <w:sz w:val="28"/>
          <w:szCs w:val="28"/>
        </w:rPr>
        <w:t>月，在前期工作的基础之上，通过理清逻辑脉络，整合已有参考资料中有关</w:t>
      </w:r>
      <w:r>
        <w:rPr>
          <w:rFonts w:hint="eastAsia" w:ascii="仿宋_GB2312" w:eastAsia="仿宋_GB2312"/>
          <w:sz w:val="28"/>
          <w:szCs w:val="28"/>
        </w:rPr>
        <w:t>体外反搏治疗操作技术</w:t>
      </w:r>
      <w:r>
        <w:rPr>
          <w:rFonts w:hint="eastAsia" w:ascii="仿宋_GB2312" w:eastAsia="仿宋_GB2312"/>
          <w:kern w:val="0"/>
          <w:sz w:val="28"/>
          <w:szCs w:val="28"/>
        </w:rPr>
        <w:t>的要求，并在</w:t>
      </w:r>
      <w:r>
        <w:rPr>
          <w:rFonts w:hint="eastAsia" w:ascii="仿宋_GB2312" w:eastAsia="仿宋_GB2312"/>
          <w:sz w:val="28"/>
          <w:szCs w:val="28"/>
        </w:rPr>
        <w:t>体外反搏治疗操作</w:t>
      </w:r>
      <w:r>
        <w:rPr>
          <w:rFonts w:hint="eastAsia" w:ascii="仿宋_GB2312" w:eastAsia="仿宋_GB2312"/>
          <w:kern w:val="0"/>
          <w:sz w:val="28"/>
          <w:szCs w:val="28"/>
        </w:rPr>
        <w:t>的实际基础上，按照简化、统一等原则编制完成团体标准《</w:t>
      </w:r>
      <w:r>
        <w:rPr>
          <w:rFonts w:hint="eastAsia" w:ascii="仿宋_GB2312" w:eastAsia="仿宋_GB2312"/>
          <w:sz w:val="28"/>
          <w:szCs w:val="28"/>
        </w:rPr>
        <w:t>体外反搏治疗操作技术规范</w:t>
      </w:r>
      <w:r>
        <w:rPr>
          <w:rFonts w:hint="eastAsia" w:ascii="仿宋_GB2312" w:eastAsia="仿宋_GB2312"/>
          <w:kern w:val="0"/>
          <w:sz w:val="28"/>
          <w:szCs w:val="28"/>
        </w:rPr>
        <w:t>》（草案）。</w:t>
      </w:r>
    </w:p>
    <w:p>
      <w:pPr>
        <w:spacing w:line="520" w:lineRule="exact"/>
        <w:ind w:firstLine="560" w:firstLineChars="200"/>
        <w:rPr>
          <w:rFonts w:ascii="仿宋_GB2312" w:eastAsia="仿宋_GB2312"/>
          <w:kern w:val="0"/>
          <w:sz w:val="28"/>
          <w:szCs w:val="28"/>
        </w:rPr>
      </w:pPr>
      <w:r>
        <w:rPr>
          <w:rFonts w:hint="eastAsia" w:ascii="仿宋_GB2312" w:eastAsia="仿宋_GB2312"/>
          <w:kern w:val="0"/>
          <w:sz w:val="28"/>
          <w:szCs w:val="28"/>
        </w:rPr>
        <w:t>2024年4月，标准编制工作组深入标准编制工作组深入</w:t>
      </w:r>
      <w:r>
        <w:rPr>
          <w:rFonts w:hint="eastAsia" w:ascii="仿宋_GB2312" w:hAnsi="宋体" w:eastAsia="仿宋_GB2312"/>
          <w:sz w:val="28"/>
          <w:szCs w:val="28"/>
        </w:rPr>
        <w:t>各地涉及</w:t>
      </w:r>
      <w:r>
        <w:rPr>
          <w:rFonts w:hint="eastAsia" w:ascii="仿宋_GB2312" w:eastAsia="仿宋_GB2312"/>
          <w:sz w:val="28"/>
          <w:szCs w:val="28"/>
        </w:rPr>
        <w:t>体外反搏治疗</w:t>
      </w:r>
      <w:r>
        <w:rPr>
          <w:rFonts w:hint="eastAsia" w:ascii="仿宋_GB2312" w:hAnsi="宋体" w:eastAsia="仿宋_GB2312"/>
          <w:sz w:val="28"/>
          <w:szCs w:val="28"/>
        </w:rPr>
        <w:t>的医院</w:t>
      </w:r>
      <w:r>
        <w:rPr>
          <w:rFonts w:hint="eastAsia" w:ascii="仿宋_GB2312" w:eastAsia="仿宋_GB2312"/>
          <w:kern w:val="0"/>
          <w:sz w:val="28"/>
          <w:szCs w:val="28"/>
        </w:rPr>
        <w:t>进行实地调研，深入广西医科大学第一附属医院、哈尔滨医科大学附属第二医院、玉林市第一人民医院、广西医科大学第二附属医院、上海市同济医院、中山大学附属第一医院广西医院、广西医科大学附属武鸣医院、柳州市人民医院、百色市人民医院、南宁市第一人民医院、南宁市第二人民医院、桂林市人民医院、广西壮族自治区民族医院、河池市人民医院、崇左市人民医院等机构进行调研，对各医疗机构开展体外反搏诊疗服务的实践情况进行系统总结。并组织相关主管单位、医疗机构等召开标准研讨会，收集反馈了大量意见，对标准草案进行了反复修改和研究讨论，掌握了</w:t>
      </w:r>
      <w:r>
        <w:rPr>
          <w:rFonts w:hint="eastAsia" w:ascii="仿宋_GB2312" w:eastAsia="仿宋_GB2312"/>
          <w:sz w:val="28"/>
          <w:szCs w:val="28"/>
        </w:rPr>
        <w:t>体外反搏治疗</w:t>
      </w:r>
      <w:r>
        <w:rPr>
          <w:rFonts w:hint="eastAsia" w:ascii="仿宋_GB2312" w:eastAsia="仿宋_GB2312"/>
          <w:kern w:val="0"/>
          <w:sz w:val="28"/>
          <w:szCs w:val="28"/>
        </w:rPr>
        <w:t>的基本情况以及操作要求，最终形成了</w:t>
      </w:r>
      <w:bookmarkStart w:id="0" w:name="_Hlk120181503"/>
      <w:r>
        <w:rPr>
          <w:rFonts w:hint="eastAsia" w:ascii="仿宋_GB2312" w:eastAsia="仿宋_GB2312"/>
          <w:kern w:val="0"/>
          <w:sz w:val="28"/>
          <w:szCs w:val="28"/>
        </w:rPr>
        <w:t>团体标准《</w:t>
      </w:r>
      <w:r>
        <w:rPr>
          <w:rFonts w:hint="eastAsia" w:ascii="仿宋_GB2312" w:eastAsia="仿宋_GB2312"/>
          <w:sz w:val="28"/>
          <w:szCs w:val="28"/>
        </w:rPr>
        <w:t>体外反搏治疗操作技术规范</w:t>
      </w:r>
      <w:r>
        <w:rPr>
          <w:rFonts w:hint="eastAsia" w:ascii="仿宋_GB2312" w:eastAsia="仿宋_GB2312"/>
          <w:kern w:val="0"/>
          <w:sz w:val="28"/>
          <w:szCs w:val="28"/>
        </w:rPr>
        <w:t>》（征求意见稿）及其编制说明。</w:t>
      </w:r>
      <w:bookmarkEnd w:id="0"/>
    </w:p>
    <w:p>
      <w:pPr>
        <w:pStyle w:val="53"/>
        <w:ind w:firstLine="640"/>
      </w:pPr>
      <w:r>
        <w:rPr>
          <w:rFonts w:hint="eastAsia"/>
        </w:rPr>
        <w:t>四、制定标准的原则和依据，与现行法律、法规的关系，与有关国家标准、行业标准的协调情况</w:t>
      </w:r>
    </w:p>
    <w:p>
      <w:pPr>
        <w:pStyle w:val="56"/>
        <w:ind w:firstLine="562"/>
      </w:pPr>
      <w:r>
        <w:rPr>
          <w:rFonts w:hint="eastAsia"/>
        </w:rPr>
        <w:t>（一）编制原则</w:t>
      </w:r>
    </w:p>
    <w:p>
      <w:pPr>
        <w:spacing w:line="520" w:lineRule="exact"/>
        <w:ind w:firstLine="562" w:firstLineChars="200"/>
        <w:rPr>
          <w:rFonts w:ascii="仿宋_GB2312" w:eastAsia="仿宋_GB2312"/>
          <w:b/>
          <w:sz w:val="28"/>
          <w:szCs w:val="28"/>
        </w:rPr>
      </w:pPr>
      <w:r>
        <w:rPr>
          <w:rFonts w:hint="eastAsia" w:ascii="仿宋_GB2312" w:eastAsia="仿宋_GB2312"/>
          <w:b/>
          <w:sz w:val="28"/>
          <w:szCs w:val="28"/>
        </w:rPr>
        <w:t>1、实用性原则</w:t>
      </w:r>
    </w:p>
    <w:p>
      <w:pPr>
        <w:spacing w:line="520" w:lineRule="exact"/>
        <w:ind w:firstLine="560" w:firstLineChars="200"/>
        <w:rPr>
          <w:rFonts w:ascii="仿宋_GB2312" w:eastAsia="仿宋_GB2312" w:cs="仿宋"/>
          <w:sz w:val="28"/>
          <w:szCs w:val="28"/>
        </w:rPr>
      </w:pPr>
      <w:r>
        <w:rPr>
          <w:rFonts w:hint="eastAsia" w:ascii="仿宋_GB2312" w:eastAsia="仿宋_GB2312" w:cs="仿宋"/>
          <w:sz w:val="28"/>
          <w:szCs w:val="28"/>
        </w:rPr>
        <w:t>本标准是在充分收集国内外相关资料和文献、调研分析</w:t>
      </w:r>
      <w:r>
        <w:rPr>
          <w:rFonts w:hint="eastAsia" w:ascii="仿宋_GB2312" w:eastAsia="仿宋_GB2312"/>
          <w:sz w:val="28"/>
          <w:szCs w:val="28"/>
        </w:rPr>
        <w:t>体外反搏治疗操作技术</w:t>
      </w:r>
      <w:r>
        <w:rPr>
          <w:rFonts w:hint="eastAsia" w:ascii="仿宋_GB2312" w:eastAsia="仿宋_GB2312" w:cs="仿宋"/>
          <w:sz w:val="28"/>
          <w:szCs w:val="28"/>
        </w:rPr>
        <w:t>现状，结合起草单位前期研究工作取得的研究成果及积累的临床实践经验，并借鉴国内</w:t>
      </w:r>
      <w:r>
        <w:rPr>
          <w:rFonts w:hint="eastAsia" w:ascii="仿宋_GB2312" w:eastAsia="仿宋_GB2312"/>
          <w:sz w:val="28"/>
          <w:szCs w:val="28"/>
        </w:rPr>
        <w:t>体外反搏治疗操作技术</w:t>
      </w:r>
      <w:r>
        <w:rPr>
          <w:rFonts w:hint="eastAsia" w:ascii="仿宋_GB2312" w:eastAsia="仿宋_GB2312" w:cs="仿宋"/>
          <w:sz w:val="28"/>
          <w:szCs w:val="28"/>
        </w:rPr>
        <w:t>进行总结起草的，符合工作实际，有利于</w:t>
      </w:r>
      <w:r>
        <w:rPr>
          <w:rFonts w:hint="eastAsia" w:ascii="仿宋_GB2312" w:eastAsia="仿宋_GB2312"/>
          <w:sz w:val="28"/>
          <w:szCs w:val="28"/>
        </w:rPr>
        <w:t>体外反搏治疗操作技术</w:t>
      </w:r>
      <w:r>
        <w:rPr>
          <w:rFonts w:hint="eastAsia" w:ascii="仿宋_GB2312" w:eastAsia="仿宋_GB2312" w:cs="仿宋"/>
          <w:sz w:val="28"/>
          <w:szCs w:val="28"/>
        </w:rPr>
        <w:t>的实施与推广，</w:t>
      </w:r>
      <w:r>
        <w:rPr>
          <w:rFonts w:hint="eastAsia" w:ascii="仿宋_GB2312" w:eastAsia="仿宋_GB2312"/>
          <w:sz w:val="28"/>
          <w:szCs w:val="28"/>
        </w:rPr>
        <w:t>防治心脑血管疾病，促进医疗事业健康发展，</w:t>
      </w:r>
      <w:r>
        <w:rPr>
          <w:rFonts w:hint="eastAsia" w:ascii="仿宋_GB2312" w:eastAsia="仿宋_GB2312" w:cs="仿宋"/>
          <w:sz w:val="28"/>
          <w:szCs w:val="28"/>
        </w:rPr>
        <w:t>具有可操作性和实用性。</w:t>
      </w:r>
    </w:p>
    <w:p>
      <w:pPr>
        <w:spacing w:line="520" w:lineRule="exact"/>
        <w:ind w:firstLine="562" w:firstLineChars="200"/>
        <w:rPr>
          <w:rFonts w:ascii="仿宋_GB2312" w:eastAsia="仿宋_GB2312"/>
          <w:b/>
          <w:sz w:val="28"/>
          <w:szCs w:val="28"/>
        </w:rPr>
      </w:pPr>
      <w:r>
        <w:rPr>
          <w:rFonts w:hint="eastAsia" w:ascii="仿宋_GB2312" w:eastAsia="仿宋_GB2312"/>
          <w:b/>
          <w:sz w:val="28"/>
          <w:szCs w:val="28"/>
        </w:rPr>
        <w:t>2、协调性原则</w:t>
      </w:r>
    </w:p>
    <w:p>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本文件编写过程中注意了与体外反搏治疗操作技术相关法律法规的协调问题，在内容上与现行法律法规、标准协调一致。</w:t>
      </w:r>
    </w:p>
    <w:p>
      <w:pPr>
        <w:spacing w:line="520" w:lineRule="exact"/>
        <w:ind w:firstLine="562" w:firstLineChars="200"/>
        <w:rPr>
          <w:rFonts w:ascii="仿宋_GB2312" w:eastAsia="仿宋_GB2312"/>
          <w:b/>
          <w:sz w:val="28"/>
          <w:szCs w:val="28"/>
        </w:rPr>
      </w:pPr>
      <w:r>
        <w:rPr>
          <w:rFonts w:hint="eastAsia" w:ascii="仿宋_GB2312" w:eastAsia="仿宋_GB2312"/>
          <w:b/>
          <w:sz w:val="28"/>
          <w:szCs w:val="28"/>
        </w:rPr>
        <w:t>3、规范性原则</w:t>
      </w:r>
    </w:p>
    <w:p>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本文件严格按照GB/T 1.1—2020《标准化工作导则  第1部分：标准化文件的结构和起草规则》</w:t>
      </w:r>
      <w:r>
        <w:rPr>
          <w:rFonts w:hint="eastAsia" w:ascii="仿宋_GB2312" w:hAnsi="宋体" w:eastAsia="仿宋_GB2312"/>
          <w:sz w:val="28"/>
          <w:szCs w:val="28"/>
        </w:rPr>
        <w:t>的要求和规定</w:t>
      </w:r>
      <w:r>
        <w:rPr>
          <w:rFonts w:hint="eastAsia" w:ascii="仿宋_GB2312" w:eastAsia="仿宋_GB2312"/>
          <w:sz w:val="28"/>
          <w:szCs w:val="28"/>
        </w:rPr>
        <w:t>编写本标准的内容，保证标准的编写质量。</w:t>
      </w:r>
    </w:p>
    <w:p>
      <w:pPr>
        <w:spacing w:line="520" w:lineRule="exact"/>
        <w:ind w:firstLine="562" w:firstLineChars="200"/>
        <w:rPr>
          <w:rFonts w:ascii="仿宋_GB2312" w:eastAsia="仿宋_GB2312"/>
          <w:b/>
          <w:sz w:val="28"/>
          <w:szCs w:val="28"/>
        </w:rPr>
      </w:pPr>
      <w:r>
        <w:rPr>
          <w:rFonts w:hint="eastAsia" w:ascii="仿宋_GB2312" w:eastAsia="仿宋_GB2312"/>
          <w:b/>
          <w:sz w:val="28"/>
          <w:szCs w:val="28"/>
        </w:rPr>
        <w:t>4、前瞻性原则</w:t>
      </w:r>
    </w:p>
    <w:p>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本文件在兼顾当前区内体外反搏治疗操作技术现实情况的同时，还考虑到了反搏治疗技术的</w:t>
      </w:r>
      <w:r>
        <w:rPr>
          <w:rFonts w:hint="eastAsia" w:ascii="仿宋_GB2312" w:hAnsi="宋体" w:eastAsia="仿宋_GB2312"/>
          <w:sz w:val="28"/>
          <w:szCs w:val="28"/>
        </w:rPr>
        <w:t>稳定发展的趋势和需要</w:t>
      </w:r>
      <w:r>
        <w:rPr>
          <w:rFonts w:hint="eastAsia" w:ascii="仿宋_GB2312" w:eastAsia="仿宋_GB2312"/>
          <w:sz w:val="28"/>
          <w:szCs w:val="28"/>
        </w:rPr>
        <w:t>，在标准中体现了个别特色性、前瞻性和先进性条款，作为对体外反搏治疗操作技术发展的指导。</w:t>
      </w:r>
    </w:p>
    <w:p>
      <w:pPr>
        <w:pStyle w:val="56"/>
        <w:ind w:firstLine="562"/>
      </w:pPr>
      <w:r>
        <w:rPr>
          <w:rFonts w:hint="eastAsia"/>
        </w:rPr>
        <w:t>（二）编制依据</w:t>
      </w:r>
    </w:p>
    <w:p>
      <w:pPr>
        <w:spacing w:line="520" w:lineRule="exact"/>
        <w:ind w:firstLine="560" w:firstLineChars="200"/>
        <w:rPr>
          <w:rFonts w:ascii="仿宋_GB2312" w:eastAsia="仿宋_GB2312"/>
          <w:sz w:val="28"/>
          <w:szCs w:val="28"/>
        </w:rPr>
      </w:pPr>
      <w:r>
        <w:rPr>
          <w:rFonts w:hint="eastAsia" w:ascii="仿宋_GB2312" w:eastAsia="仿宋_GB2312"/>
          <w:sz w:val="28"/>
          <w:szCs w:val="28"/>
        </w:rPr>
        <w:t>本标准严格按照GB/T 1.1—2020《标准化工作导则  第1部分：标准化文件的结构和起草规则》的规则起草，标准主要内容依据起草单位在体外反搏治疗操作技术研究应用过程中的实践经验确定。</w:t>
      </w:r>
    </w:p>
    <w:p>
      <w:pPr>
        <w:pStyle w:val="56"/>
        <w:ind w:firstLine="562"/>
      </w:pPr>
      <w:r>
        <w:rPr>
          <w:rFonts w:hint="eastAsia"/>
        </w:rPr>
        <w:t>（三）与现行法律、法规的关系，与有关国家标准、行业标准的协调情况</w:t>
      </w:r>
    </w:p>
    <w:p>
      <w:pPr>
        <w:spacing w:line="520" w:lineRule="exact"/>
        <w:ind w:firstLine="560" w:firstLineChars="200"/>
        <w:rPr>
          <w:rFonts w:ascii="仿宋_GB2312" w:eastAsia="仿宋_GB2312"/>
          <w:sz w:val="28"/>
          <w:szCs w:val="28"/>
        </w:rPr>
      </w:pPr>
      <w:r>
        <w:rPr>
          <w:rFonts w:hint="eastAsia" w:ascii="仿宋_GB2312" w:eastAsia="仿宋_GB2312"/>
          <w:sz w:val="28"/>
          <w:szCs w:val="28"/>
        </w:rPr>
        <w:t>本标准与相关法律法规、强制性标准协调一致，无冲突。</w:t>
      </w:r>
    </w:p>
    <w:p>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经查阅，截至目前，国内暂无与“体外反搏治疗操作”相关的标准。</w:t>
      </w:r>
    </w:p>
    <w:p>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与“体外”“反搏”“心脏起搏”相关的国标有：《GB 10035-2017  气囊式体外反搏装置》《GB 16174.2-2015  手术植入物 有源植入式医疗器械 第2部分：心脏起搏器》《YY 9706.231-2023  医用电气设备 第2-31部分：带内部电源的体外心脏起搏器的基本安全和基本性能专用要求》《YY/T 1874-2023  有源植入式医疗器械  电磁兼容  植入式心脏起搏器、植入式心律转复除颤器和心脏再同步器械的电磁兼容测试细则》《20221506-Q-464  手术植入物 有源植入式医疗器械第2部分：心脏起搏器（正在审查）》《YY/T 0491-2004  心脏起搏器第3部分：植入式心脏起搏器用的小截面连接器》《YY/T 0492-2017  植入式心脏起搏器电极导线》。其中，《GB 10035-2017  气囊式体外反搏装置》标准规定了气囊式体外反搏装置的术语和定义、分类与结构、要求、试验方法、标志、使用说明书、包装、运输、贮存；适用于气囊式体外反搏装置(以下简称反搏装置)。目前该反搏装置在医疗单位供患者用于缺血性疾病的治疗与康复，为产品标准，不适用于体外反搏治疗操作。</w:t>
      </w:r>
    </w:p>
    <w:p>
      <w:pPr>
        <w:pStyle w:val="53"/>
        <w:ind w:firstLine="640"/>
      </w:pPr>
      <w:r>
        <w:rPr>
          <w:rFonts w:hint="eastAsia"/>
        </w:rPr>
        <w:t>五、主要条款的说明</w:t>
      </w:r>
    </w:p>
    <w:p>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广西医科大学第一附属医院早年将体外反搏技术引入临床，应用于冠心病、心绞痛和心功能不全等疾病的治疗，取得了显著的疗效和丰富的临床经验。在体外反搏技术方面进行了大量的基础研究，深入理解了该技术的原理和机制，并通过临床实践不断优化和改进治疗效果。体外反搏治疗可以根据患者的具体情况进行个性化调整</w:t>
      </w:r>
      <w:r>
        <w:rPr>
          <w:rFonts w:hint="eastAsia" w:ascii="仿宋_GB2312" w:eastAsia="仿宋_GB2312"/>
          <w:sz w:val="28"/>
          <w:szCs w:val="28"/>
          <w:lang w:eastAsia="zh-CN"/>
        </w:rPr>
        <w:t>，属于标准空白，本文件主要核心技术在于规定了</w:t>
      </w:r>
      <w:r>
        <w:rPr>
          <w:rFonts w:hint="eastAsia" w:ascii="仿宋_GB2312" w:eastAsia="仿宋_GB2312"/>
          <w:sz w:val="28"/>
          <w:szCs w:val="28"/>
          <w:lang w:val="en-US" w:eastAsia="zh-CN"/>
        </w:rPr>
        <w:t>体外反搏操作规范流程（设备检查、线路连接、气囊位置、参数调整），治疗过程中参的数的调整（充气压力、充排气时间、保压时间）</w:t>
      </w:r>
      <w:r>
        <w:rPr>
          <w:rFonts w:hint="eastAsia" w:ascii="仿宋_GB2312" w:eastAsia="仿宋_GB2312"/>
          <w:sz w:val="28"/>
          <w:szCs w:val="28"/>
        </w:rPr>
        <w:t>包括压力、频率等参数的调节，以实现最佳的治疗效果</w:t>
      </w:r>
      <w:bookmarkStart w:id="10" w:name="_GoBack"/>
      <w:bookmarkEnd w:id="10"/>
      <w:r>
        <w:rPr>
          <w:rFonts w:hint="eastAsia" w:ascii="仿宋_GB2312" w:eastAsia="仿宋_GB2312"/>
          <w:sz w:val="28"/>
          <w:szCs w:val="28"/>
        </w:rPr>
        <w:t>。</w:t>
      </w:r>
    </w:p>
    <w:p>
      <w:pPr>
        <w:pStyle w:val="27"/>
      </w:pPr>
      <w:r>
        <w:rPr>
          <w:rFonts w:hint="eastAsia" w:hAnsi="Calibri" w:eastAsia="仿宋_GB2312"/>
          <w:kern w:val="2"/>
        </w:rPr>
        <w:t>标准技术内容界定了体外反搏治疗操作涉及的术语和定义，规定了诊断、适应症和禁忌症、操作要求等内容，描述了对应的不良反应及处理。</w:t>
      </w:r>
    </w:p>
    <w:p>
      <w:pPr>
        <w:pStyle w:val="56"/>
        <w:ind w:firstLine="562"/>
      </w:pPr>
      <w:r>
        <w:rPr>
          <w:rFonts w:hint="eastAsia"/>
        </w:rPr>
        <w:t>（一）术语和定义</w:t>
      </w:r>
    </w:p>
    <w:p>
      <w:pPr>
        <w:pStyle w:val="52"/>
        <w:numPr>
          <w:ilvl w:val="0"/>
          <w:numId w:val="0"/>
        </w:numPr>
        <w:wordWrap w:val="0"/>
        <w:adjustRightInd w:val="0"/>
        <w:snapToGrid w:val="0"/>
        <w:spacing w:line="520" w:lineRule="exact"/>
        <w:ind w:leftChars="-200" w:firstLine="560" w:firstLineChars="20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体外反搏术语</w:t>
      </w:r>
      <w:r>
        <w:rPr>
          <w:rFonts w:hint="eastAsia" w:ascii="仿宋_GB2312" w:eastAsia="仿宋_GB2312"/>
          <w:color w:val="000000" w:themeColor="text1"/>
          <w:sz w:val="28"/>
          <w:szCs w:val="28"/>
          <w:lang w:eastAsia="zh-CN"/>
          <w14:textFill>
            <w14:solidFill>
              <w14:schemeClr w14:val="tx1"/>
            </w14:solidFill>
          </w14:textFill>
        </w:rPr>
        <w:t>，主要参考书籍：</w:t>
      </w:r>
      <w:r>
        <w:rPr>
          <w:rFonts w:hint="eastAsia" w:ascii="仿宋_GB2312" w:eastAsia="仿宋_GB2312" w:cs="仿宋"/>
          <w:bCs/>
          <w:color w:val="000000" w:themeColor="text1"/>
          <w:sz w:val="28"/>
          <w:szCs w:val="28"/>
          <w14:textFill>
            <w14:solidFill>
              <w14:schemeClr w14:val="tx1"/>
            </w14:solidFill>
          </w14:textFill>
        </w:rPr>
        <w:t>伍贵富，杜志民.增强型体外反搏：理论与实践[M].北京：人民卫生出版社，2012:1-5.</w:t>
      </w:r>
    </w:p>
    <w:p>
      <w:pPr>
        <w:adjustRightInd w:val="0"/>
        <w:snapToGrid w:val="0"/>
        <w:spacing w:line="520" w:lineRule="exact"/>
        <w:jc w:val="center"/>
        <w:rPr>
          <w:rFonts w:hint="eastAsia" w:ascii="仿宋_GB2312" w:eastAsia="仿宋_GB2312" w:cs="仿宋"/>
          <w:b/>
          <w:bCs/>
          <w:color w:val="000000" w:themeColor="text1"/>
          <w:sz w:val="22"/>
          <w:szCs w:val="22"/>
          <w14:textFill>
            <w14:solidFill>
              <w14:schemeClr w14:val="tx1"/>
            </w14:solidFill>
          </w14:textFill>
        </w:rPr>
      </w:pPr>
      <w:r>
        <w:rPr>
          <w:b/>
          <w:bCs/>
          <w:sz w:val="22"/>
          <w:szCs w:val="22"/>
        </w:rPr>
        <w:drawing>
          <wp:anchor distT="0" distB="0" distL="114300" distR="114300" simplePos="0" relativeHeight="251659264" behindDoc="0" locked="0" layoutInCell="1" allowOverlap="1">
            <wp:simplePos x="0" y="0"/>
            <wp:positionH relativeFrom="column">
              <wp:posOffset>1301115</wp:posOffset>
            </wp:positionH>
            <wp:positionV relativeFrom="paragraph">
              <wp:posOffset>98425</wp:posOffset>
            </wp:positionV>
            <wp:extent cx="3150870" cy="1519555"/>
            <wp:effectExtent l="0" t="0" r="11430" b="4445"/>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3150870" cy="1519555"/>
                    </a:xfrm>
                    <a:prstGeom prst="rect">
                      <a:avLst/>
                    </a:prstGeom>
                    <a:noFill/>
                    <a:ln>
                      <a:noFill/>
                    </a:ln>
                  </pic:spPr>
                </pic:pic>
              </a:graphicData>
            </a:graphic>
          </wp:anchor>
        </w:drawing>
      </w:r>
      <w:r>
        <w:rPr>
          <w:rFonts w:hint="eastAsia" w:ascii="仿宋_GB2312" w:eastAsia="仿宋_GB2312" w:cs="仿宋"/>
          <w:b/>
          <w:bCs/>
          <w:color w:val="000000" w:themeColor="text1"/>
          <w:sz w:val="22"/>
          <w:szCs w:val="22"/>
          <w:lang w:eastAsia="zh-CN"/>
          <w14:textFill>
            <w14:solidFill>
              <w14:schemeClr w14:val="tx1"/>
            </w14:solidFill>
          </w14:textFill>
        </w:rPr>
        <w:t>《</w:t>
      </w:r>
      <w:r>
        <w:rPr>
          <w:rFonts w:hint="eastAsia" w:ascii="仿宋_GB2312" w:eastAsia="仿宋_GB2312" w:cs="仿宋"/>
          <w:b/>
          <w:bCs/>
          <w:color w:val="000000" w:themeColor="text1"/>
          <w:sz w:val="22"/>
          <w:szCs w:val="22"/>
          <w14:textFill>
            <w14:solidFill>
              <w14:schemeClr w14:val="tx1"/>
            </w14:solidFill>
          </w14:textFill>
        </w:rPr>
        <w:t>增强型体外反搏：理论与实践</w:t>
      </w:r>
      <w:r>
        <w:rPr>
          <w:rFonts w:hint="eastAsia" w:ascii="仿宋_GB2312" w:eastAsia="仿宋_GB2312" w:cs="仿宋"/>
          <w:b/>
          <w:bCs/>
          <w:color w:val="000000" w:themeColor="text1"/>
          <w:sz w:val="22"/>
          <w:szCs w:val="22"/>
          <w:lang w:eastAsia="zh-CN"/>
          <w14:textFill>
            <w14:solidFill>
              <w14:schemeClr w14:val="tx1"/>
            </w14:solidFill>
          </w14:textFill>
        </w:rPr>
        <w:t>》</w:t>
      </w:r>
    </w:p>
    <w:p>
      <w:pPr>
        <w:adjustRightInd w:val="0"/>
        <w:snapToGrid w:val="0"/>
        <w:spacing w:line="520" w:lineRule="exact"/>
        <w:ind w:firstLine="560" w:firstLineChars="200"/>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1．体外反搏  Extracorporeal counterpulsation，ECP</w:t>
      </w:r>
    </w:p>
    <w:p>
      <w:pPr>
        <w:adjustRightInd w:val="0"/>
        <w:snapToGrid w:val="0"/>
        <w:spacing w:line="520" w:lineRule="exact"/>
        <w:ind w:firstLine="560" w:firstLineChars="200"/>
        <w:rPr>
          <w:rFonts w:hint="eastAsia"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是通过包裹在四肢和臀部的气囊，在心脏舒张期对气囊充气加压，促使肢体动脉的血液驱返至主动脉，使舒张压明显增高，为心脏增加血流，降低心脏后负荷；在心脏收缩期气囊迅速排气，压力解除，促使主动脉内收缩压下降，最大限度减轻心脏射血期阻力，血液加速流向远端，从而达到反搏效应的一种辅助循环方法。</w:t>
      </w:r>
    </w:p>
    <w:p>
      <w:pPr>
        <w:adjustRightInd w:val="0"/>
        <w:snapToGrid w:val="0"/>
        <w:spacing w:line="520" w:lineRule="exact"/>
        <w:ind w:firstLine="420"/>
        <w:rPr>
          <w:rFonts w:ascii="仿宋_GB2312" w:eastAsia="仿宋_GB2312" w:cs="仿宋"/>
          <w:b/>
          <w:color w:val="000000" w:themeColor="text1"/>
          <w:sz w:val="28"/>
          <w:szCs w:val="28"/>
          <w14:textFill>
            <w14:solidFill>
              <w14:schemeClr w14:val="tx1"/>
            </w14:solidFill>
          </w14:textFill>
        </w:rPr>
      </w:pPr>
      <w:r>
        <w:rPr>
          <w:rFonts w:hint="eastAsia" w:ascii="仿宋_GB2312" w:eastAsia="仿宋_GB2312" w:cs="仿宋"/>
          <w:b/>
          <w:color w:val="000000" w:themeColor="text1"/>
          <w:sz w:val="28"/>
          <w:szCs w:val="28"/>
          <w14:textFill>
            <w14:solidFill>
              <w14:schemeClr w14:val="tx1"/>
            </w14:solidFill>
          </w14:textFill>
        </w:rPr>
        <w:t>参考资料：</w:t>
      </w:r>
    </w:p>
    <w:p>
      <w:pPr>
        <w:pStyle w:val="52"/>
        <w:numPr>
          <w:ilvl w:val="0"/>
          <w:numId w:val="8"/>
        </w:numPr>
        <w:wordWrap w:val="0"/>
        <w:adjustRightInd w:val="0"/>
        <w:snapToGrid w:val="0"/>
        <w:spacing w:line="520" w:lineRule="exact"/>
        <w:ind w:left="560" w:hanging="560" w:hangingChars="20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GB 10035-2017, 气囊式体外反搏装置[S].</w:t>
      </w:r>
    </w:p>
    <w:p>
      <w:pPr>
        <w:pStyle w:val="52"/>
        <w:numPr>
          <w:ilvl w:val="0"/>
          <w:numId w:val="8"/>
        </w:numPr>
        <w:wordWrap w:val="0"/>
        <w:adjustRightInd w:val="0"/>
        <w:snapToGrid w:val="0"/>
        <w:spacing w:line="520" w:lineRule="exact"/>
        <w:ind w:left="560" w:hanging="560" w:hangingChars="200"/>
        <w:jc w:val="both"/>
        <w:rPr>
          <w:rFonts w:ascii="仿宋_GB2312" w:eastAsia="仿宋_GB2312" w:cs="仿宋"/>
          <w:bCs/>
          <w:color w:val="000000" w:themeColor="text1"/>
          <w:sz w:val="28"/>
          <w:szCs w:val="28"/>
          <w14:textFill>
            <w14:solidFill>
              <w14:schemeClr w14:val="tx1"/>
            </w14:solidFill>
          </w14:textFill>
        </w:rPr>
      </w:pPr>
      <w:r>
        <w:rPr>
          <w:rFonts w:ascii="仿宋_GB2312" w:eastAsia="仿宋_GB2312" w:cs="仿宋"/>
          <w:bCs/>
          <w:color w:val="000000" w:themeColor="text1"/>
          <w:sz w:val="28"/>
          <w:szCs w:val="28"/>
          <w14:textFill>
            <w14:solidFill>
              <w14:schemeClr w14:val="tx1"/>
            </w14:solidFill>
          </w14:textFill>
        </w:rPr>
        <w:t>Conti CR.EECP-enhanced external counterpulsation. J Am Coll Cardiol. 1999 Jun;33(7):1841-2.</w:t>
      </w:r>
    </w:p>
    <w:p>
      <w:pPr>
        <w:pStyle w:val="52"/>
        <w:numPr>
          <w:ilvl w:val="0"/>
          <w:numId w:val="8"/>
        </w:numPr>
        <w:wordWrap w:val="0"/>
        <w:adjustRightInd w:val="0"/>
        <w:snapToGrid w:val="0"/>
        <w:spacing w:line="520" w:lineRule="exact"/>
        <w:ind w:left="560" w:hanging="560" w:hangingChars="200"/>
        <w:jc w:val="both"/>
        <w:rPr>
          <w:rFonts w:ascii="仿宋_GB2312" w:eastAsia="仿宋_GB2312" w:cs="仿宋"/>
          <w:bCs/>
          <w:color w:val="000000" w:themeColor="text1"/>
          <w:sz w:val="28"/>
          <w:szCs w:val="28"/>
          <w14:textFill>
            <w14:solidFill>
              <w14:schemeClr w14:val="tx1"/>
            </w14:solidFill>
          </w14:textFill>
        </w:rPr>
      </w:pPr>
      <w:bookmarkStart w:id="1" w:name="_Hlk165965079"/>
      <w:r>
        <w:rPr>
          <w:rFonts w:hint="eastAsia" w:ascii="仿宋_GB2312" w:eastAsia="仿宋_GB2312" w:cs="仿宋"/>
          <w:bCs/>
          <w:color w:val="000000" w:themeColor="text1"/>
          <w:sz w:val="28"/>
          <w:szCs w:val="28"/>
          <w14:textFill>
            <w14:solidFill>
              <w14:schemeClr w14:val="tx1"/>
            </w14:solidFill>
          </w14:textFill>
        </w:rPr>
        <w:t>伍贵富，杜志民.增强型体外反搏：理论与实践[M].北京：人民卫生出版社，2012:1-5.</w:t>
      </w:r>
    </w:p>
    <w:bookmarkEnd w:id="1"/>
    <w:p>
      <w:pPr>
        <w:pStyle w:val="52"/>
        <w:numPr>
          <w:ilvl w:val="0"/>
          <w:numId w:val="8"/>
        </w:numPr>
        <w:wordWrap w:val="0"/>
        <w:adjustRightInd w:val="0"/>
        <w:snapToGrid w:val="0"/>
        <w:spacing w:line="520" w:lineRule="exact"/>
        <w:ind w:left="560" w:hanging="560" w:hangingChars="200"/>
        <w:jc w:val="both"/>
        <w:rPr>
          <w:rFonts w:ascii="仿宋_GB2312" w:eastAsia="仿宋_GB2312" w:cs="仿宋"/>
          <w:bCs/>
          <w:color w:val="000000" w:themeColor="text1"/>
          <w:sz w:val="28"/>
          <w:szCs w:val="28"/>
          <w14:textFill>
            <w14:solidFill>
              <w14:schemeClr w14:val="tx1"/>
            </w14:solidFill>
          </w14:textFill>
        </w:rPr>
      </w:pPr>
      <w:bookmarkStart w:id="2" w:name="_Hlk165965103"/>
      <w:r>
        <w:rPr>
          <w:rFonts w:hint="eastAsia" w:ascii="仿宋_GB2312" w:eastAsia="仿宋_GB2312" w:cs="仿宋"/>
          <w:bCs/>
          <w:color w:val="000000" w:themeColor="text1"/>
          <w:sz w:val="28"/>
          <w:szCs w:val="28"/>
          <w14:textFill>
            <w14:solidFill>
              <w14:schemeClr w14:val="tx1"/>
            </w14:solidFill>
          </w14:textFill>
        </w:rPr>
        <w:t>刘洋,伍贵富. 增强型体外反搏治疗冠心病的新机制 [J]. 心血管病学进展, 2016, 37 (02): 185-188.</w:t>
      </w:r>
    </w:p>
    <w:bookmarkEnd w:id="2"/>
    <w:p>
      <w:pPr>
        <w:pStyle w:val="52"/>
        <w:numPr>
          <w:ilvl w:val="0"/>
          <w:numId w:val="8"/>
        </w:numPr>
        <w:wordWrap w:val="0"/>
        <w:adjustRightInd w:val="0"/>
        <w:snapToGrid w:val="0"/>
        <w:spacing w:line="520" w:lineRule="exact"/>
        <w:ind w:left="560" w:hanging="560" w:hangingChars="20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弭守玲,钱菊英,吴永健,等. 慢性冠状动脉综合征增强型体外反搏治疗中国专家共识 [J]. 中国介入心脏病学杂志, 2022, 30 (02): 81-87.</w:t>
      </w:r>
    </w:p>
    <w:p>
      <w:pPr>
        <w:pStyle w:val="27"/>
        <w:numPr>
          <w:ilvl w:val="0"/>
          <w:numId w:val="8"/>
        </w:numPr>
        <w:wordWrap w:val="0"/>
        <w:spacing w:line="520" w:lineRule="exact"/>
        <w:ind w:left="560" w:hanging="560" w:hangingChars="200"/>
        <w:rPr>
          <w:rFonts w:eastAsia="仿宋_GB2312" w:cs="仿宋"/>
          <w:bCs/>
          <w:color w:val="000000" w:themeColor="text1"/>
          <w14:textFill>
            <w14:solidFill>
              <w14:schemeClr w14:val="tx1"/>
            </w14:solidFill>
          </w14:textFill>
        </w:rPr>
      </w:pPr>
      <w:bookmarkStart w:id="3" w:name="_Hlk165965115"/>
      <w:r>
        <w:rPr>
          <w:rFonts w:hint="eastAsia" w:eastAsia="仿宋_GB2312" w:cs="仿宋"/>
          <w:bCs/>
          <w:color w:val="000000" w:themeColor="text1"/>
          <w14:textFill>
            <w14:solidFill>
              <w14:schemeClr w14:val="tx1"/>
            </w14:solidFill>
          </w14:textFill>
        </w:rPr>
        <w:t>姜崴,赵冬云,栗印军主编</w:t>
      </w:r>
      <w:r>
        <w:rPr>
          <w:rFonts w:hint="eastAsia" w:eastAsia="仿宋_GB2312" w:cs="仿宋"/>
          <w:bCs/>
          <w:color w:val="000000" w:themeColor="text1"/>
          <w:highlight w:val="none"/>
          <w14:textFill>
            <w14:solidFill>
              <w14:schemeClr w14:val="tx1"/>
            </w14:solidFill>
          </w14:textFill>
        </w:rPr>
        <w:t>.心血管疾病临床护理问题集萃.</w:t>
      </w:r>
      <w:r>
        <w:rPr>
          <w:rFonts w:hint="eastAsia" w:eastAsia="仿宋_GB2312" w:cs="仿宋"/>
          <w:bCs/>
          <w:color w:val="000000" w:themeColor="text1"/>
          <w14:textFill>
            <w14:solidFill>
              <w14:schemeClr w14:val="tx1"/>
            </w14:solidFill>
          </w14:textFill>
        </w:rPr>
        <w:t>沈阳:辽宁科学技术出版社.2020</w:t>
      </w:r>
    </w:p>
    <w:bookmarkEnd w:id="3"/>
    <w:p>
      <w:pPr>
        <w:pStyle w:val="52"/>
        <w:numPr>
          <w:ilvl w:val="0"/>
          <w:numId w:val="8"/>
        </w:numPr>
        <w:wordWrap w:val="0"/>
        <w:adjustRightInd w:val="0"/>
        <w:snapToGrid w:val="0"/>
        <w:spacing w:line="520" w:lineRule="exact"/>
        <w:ind w:left="560" w:hanging="560" w:hangingChars="20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王碧天,孙竺君,王亚伟,等. 体外反搏对典型冠状动脉疾病作用效果的集中参数建模仿真 [J]. 医用生物力学</w:t>
      </w:r>
      <w:r>
        <w:rPr>
          <w:rFonts w:hint="eastAsia" w:ascii="仿宋_GB2312" w:eastAsia="仿宋_GB2312" w:cs="仿宋"/>
          <w:bCs/>
          <w:color w:val="000000" w:themeColor="text1"/>
          <w:sz w:val="28"/>
          <w:szCs w:val="28"/>
          <w:lang w:eastAsia="zh-CN"/>
          <w14:textFill>
            <w14:solidFill>
              <w14:schemeClr w14:val="tx1"/>
            </w14:solidFill>
          </w14:textFill>
        </w:rPr>
        <w:t>，</w:t>
      </w:r>
      <w:r>
        <w:rPr>
          <w:rFonts w:hint="eastAsia" w:ascii="仿宋_GB2312" w:eastAsia="仿宋_GB2312" w:cs="仿宋"/>
          <w:bCs/>
          <w:color w:val="000000" w:themeColor="text1"/>
          <w:sz w:val="28"/>
          <w:szCs w:val="28"/>
          <w14:textFill>
            <w14:solidFill>
              <w14:schemeClr w14:val="tx1"/>
            </w14:solidFill>
          </w14:textFill>
        </w:rPr>
        <w:t>2024,39(01):24-31.</w:t>
      </w:r>
    </w:p>
    <w:p>
      <w:pPr>
        <w:pStyle w:val="52"/>
        <w:numPr>
          <w:ilvl w:val="0"/>
          <w:numId w:val="0"/>
        </w:numPr>
        <w:wordWrap w:val="0"/>
        <w:adjustRightInd w:val="0"/>
        <w:snapToGrid w:val="0"/>
        <w:spacing w:line="520" w:lineRule="exact"/>
        <w:ind w:leftChars="-200"/>
        <w:jc w:val="both"/>
        <w:rPr>
          <w:rFonts w:ascii="仿宋_GB2312" w:eastAsia="仿宋_GB2312" w:cs="仿宋"/>
          <w:bCs/>
          <w:color w:val="000000" w:themeColor="text1"/>
          <w:sz w:val="28"/>
          <w:szCs w:val="28"/>
          <w14:textFill>
            <w14:solidFill>
              <w14:schemeClr w14:val="tx1"/>
            </w14:solidFill>
          </w14:textFill>
        </w:rPr>
      </w:pPr>
    </w:p>
    <w:p>
      <w:pPr>
        <w:pStyle w:val="56"/>
        <w:numPr>
          <w:ilvl w:val="0"/>
          <w:numId w:val="0"/>
        </w:numPr>
        <w:ind w:firstLine="562" w:firstLineChars="200"/>
        <w:rPr>
          <w:rFonts w:hint="eastAsia"/>
          <w:color w:val="000000" w:themeColor="text1"/>
          <w14:textFill>
            <w14:solidFill>
              <w14:schemeClr w14:val="tx1"/>
            </w14:solidFill>
          </w14:textFill>
        </w:rPr>
      </w:pPr>
      <w:bookmarkStart w:id="4" w:name="_Toc129855049"/>
      <w:bookmarkStart w:id="5" w:name="_Toc130001751"/>
      <w:bookmarkStart w:id="6" w:name="_Toc130001592"/>
      <w:bookmarkStart w:id="7" w:name="_Toc129855215"/>
      <w:bookmarkStart w:id="8" w:name="_Toc130001562"/>
      <w:r>
        <w:rPr>
          <w:rFonts w:hint="eastAsia" w:ascii="仿宋_GB2312" w:hAnsi="Calibri" w:eastAsia="仿宋_GB2312" w:cs="Calibri"/>
          <w:b/>
          <w:bCs/>
          <w:color w:val="000000" w:themeColor="text1"/>
          <w:kern w:val="0"/>
          <w:sz w:val="28"/>
          <w:szCs w:val="28"/>
          <w:lang w:val="en-US" w:eastAsia="zh-CN" w:bidi="ar-SA"/>
          <w14:textFill>
            <w14:solidFill>
              <w14:schemeClr w14:val="tx1"/>
            </w14:solidFill>
          </w14:textFill>
        </w:rPr>
        <w:t>（二）</w:t>
      </w:r>
      <w:r>
        <w:rPr>
          <w:rFonts w:hint="eastAsia"/>
          <w:color w:val="000000" w:themeColor="text1"/>
          <w14:textFill>
            <w14:solidFill>
              <w14:schemeClr w14:val="tx1"/>
            </w14:solidFill>
          </w14:textFill>
        </w:rPr>
        <w:t>适应症和禁忌症</w:t>
      </w:r>
    </w:p>
    <w:p>
      <w:pPr>
        <w:ind w:firstLine="560" w:firstLineChars="200"/>
        <w:jc w:val="left"/>
        <w:rPr>
          <w:rFonts w:hint="eastAsia"/>
          <w:lang w:val="en-US" w:eastAsia="zh-CN"/>
        </w:rPr>
      </w:pPr>
      <w:r>
        <w:rPr>
          <w:rFonts w:hint="eastAsia" w:cs="仿宋"/>
          <w:b w:val="0"/>
          <w:bCs/>
          <w:color w:val="000000" w:themeColor="text1"/>
          <w:kern w:val="2"/>
          <w:sz w:val="28"/>
          <w:szCs w:val="28"/>
          <w:lang w:val="en-US" w:eastAsia="zh-CN" w:bidi="ar-SA"/>
          <w14:textFill>
            <w14:solidFill>
              <w14:schemeClr w14:val="tx1"/>
            </w14:solidFill>
          </w14:textFill>
        </w:rPr>
        <w:t>主要依据中国体外反搏临床应用专家共识起草专家委员会. 中国体外反搏临床应用专家共识[J]. 中国心血管病研究,2012.中提到的目标人群、禁忌症和注意事项。</w:t>
      </w:r>
      <w:r>
        <w:rPr>
          <w:rFonts w:hint="eastAsia" w:ascii="仿宋_GB2312" w:hAnsi="Calibri" w:eastAsia="仿宋_GB2312" w:cs="仿宋"/>
          <w:b w:val="0"/>
          <w:bCs/>
          <w:color w:val="000000" w:themeColor="text1"/>
          <w:kern w:val="2"/>
          <w:sz w:val="28"/>
          <w:szCs w:val="28"/>
          <w:lang w:val="en-US" w:eastAsia="zh-CN" w:bidi="ar-SA"/>
          <w14:textFill>
            <w14:solidFill>
              <w14:schemeClr w14:val="tx1"/>
            </w14:solidFill>
          </w14:textFill>
        </w:rPr>
        <w:t>禁忌证</w:t>
      </w:r>
      <w:r>
        <w:rPr>
          <w:rFonts w:hint="eastAsia" w:cs="仿宋"/>
          <w:b w:val="0"/>
          <w:bCs/>
          <w:color w:val="000000" w:themeColor="text1"/>
          <w:kern w:val="2"/>
          <w:sz w:val="28"/>
          <w:szCs w:val="28"/>
          <w:lang w:val="en-US" w:eastAsia="zh-CN" w:bidi="ar-SA"/>
          <w14:textFill>
            <w14:solidFill>
              <w14:schemeClr w14:val="tx1"/>
            </w14:solidFill>
          </w14:textFill>
        </w:rPr>
        <w:t>：</w:t>
      </w:r>
      <w:r>
        <w:rPr>
          <w:rFonts w:hint="eastAsia" w:ascii="仿宋_GB2312" w:hAnsi="Calibri" w:eastAsia="仿宋_GB2312" w:cs="仿宋"/>
          <w:b w:val="0"/>
          <w:bCs/>
          <w:color w:val="000000" w:themeColor="text1"/>
          <w:kern w:val="2"/>
          <w:sz w:val="28"/>
          <w:szCs w:val="28"/>
          <w:lang w:val="en-US" w:eastAsia="zh-CN" w:bidi="ar-SA"/>
          <w14:textFill>
            <w14:solidFill>
              <w14:schemeClr w14:val="tx1"/>
            </w14:solidFill>
          </w14:textFill>
        </w:rPr>
        <w:t>⑴中至重度的主动脉瓣关闭不全；⑵夹层动脉瘤；⑶显著的肺动脉高压（目前还没有体外反搏对肺动脉高压影响的研究报告）；⑷各种出血性疾病或出血倾向，或用抗凝剂，ＩＮＲ＞</w:t>
      </w:r>
      <w:r>
        <w:rPr>
          <w:rFonts w:hint="eastAsia" w:cs="仿宋"/>
          <w:b w:val="0"/>
          <w:bCs/>
          <w:color w:val="000000" w:themeColor="text1"/>
          <w:kern w:val="2"/>
          <w:sz w:val="28"/>
          <w:szCs w:val="28"/>
          <w:lang w:val="en-US" w:eastAsia="zh-CN" w:bidi="ar-SA"/>
          <w14:textFill>
            <w14:solidFill>
              <w14:schemeClr w14:val="tx1"/>
            </w14:solidFill>
          </w14:textFill>
        </w:rPr>
        <w:t>2.0</w:t>
      </w:r>
      <w:r>
        <w:rPr>
          <w:rFonts w:hint="eastAsia" w:ascii="仿宋_GB2312" w:hAnsi="Calibri" w:eastAsia="仿宋_GB2312" w:cs="仿宋"/>
          <w:b w:val="0"/>
          <w:bCs/>
          <w:color w:val="000000" w:themeColor="text1"/>
          <w:kern w:val="2"/>
          <w:sz w:val="28"/>
          <w:szCs w:val="28"/>
          <w:lang w:val="en-US" w:eastAsia="zh-CN" w:bidi="ar-SA"/>
          <w14:textFill>
            <w14:solidFill>
              <w14:schemeClr w14:val="tx1"/>
            </w14:solidFill>
          </w14:textFill>
        </w:rPr>
        <w:t>；⑸瓣膜病、先天性心脏病、心肌病；⑹活动性静脉炎、静脉血栓形成；⑺反搏肢体有感染灶；⑻未控制的过高血压（</w:t>
      </w:r>
      <w:r>
        <w:rPr>
          <w:rFonts w:hint="eastAsia" w:cs="仿宋"/>
          <w:b w:val="0"/>
          <w:bCs/>
          <w:color w:val="000000" w:themeColor="text1"/>
          <w:kern w:val="2"/>
          <w:sz w:val="28"/>
          <w:szCs w:val="28"/>
          <w:lang w:val="en-US" w:eastAsia="zh-CN" w:bidi="ar-SA"/>
          <w14:textFill>
            <w14:solidFill>
              <w14:schemeClr w14:val="tx1"/>
            </w14:solidFill>
          </w14:textFill>
        </w:rPr>
        <w:t>＞170</w:t>
      </w:r>
      <w:r>
        <w:rPr>
          <w:rFonts w:hint="eastAsia" w:ascii="仿宋_GB2312" w:hAnsi="Calibri" w:eastAsia="仿宋_GB2312" w:cs="仿宋"/>
          <w:b w:val="0"/>
          <w:bCs/>
          <w:color w:val="000000" w:themeColor="text1"/>
          <w:kern w:val="2"/>
          <w:sz w:val="28"/>
          <w:szCs w:val="28"/>
          <w:lang w:val="en-US" w:eastAsia="zh-CN" w:bidi="ar-SA"/>
          <w14:textFill>
            <w14:solidFill>
              <w14:schemeClr w14:val="tx1"/>
            </w14:solidFill>
          </w14:textFill>
        </w:rPr>
        <w:t>/</w:t>
      </w:r>
      <w:r>
        <w:rPr>
          <w:rFonts w:hint="eastAsia" w:cs="仿宋"/>
          <w:b w:val="0"/>
          <w:bCs/>
          <w:color w:val="000000" w:themeColor="text1"/>
          <w:kern w:val="2"/>
          <w:sz w:val="28"/>
          <w:szCs w:val="28"/>
          <w:lang w:val="en-US" w:eastAsia="zh-CN" w:bidi="ar-SA"/>
          <w14:textFill>
            <w14:solidFill>
              <w14:schemeClr w14:val="tx1"/>
            </w14:solidFill>
          </w14:textFill>
        </w:rPr>
        <w:t>110mmHGg</w:t>
      </w:r>
      <w:r>
        <w:rPr>
          <w:rFonts w:hint="eastAsia" w:ascii="仿宋_GB2312" w:hAnsi="Calibri" w:eastAsia="仿宋_GB2312" w:cs="仿宋"/>
          <w:b w:val="0"/>
          <w:bCs/>
          <w:color w:val="000000" w:themeColor="text1"/>
          <w:kern w:val="2"/>
          <w:sz w:val="28"/>
          <w:szCs w:val="28"/>
          <w:lang w:val="en-US" w:eastAsia="zh-CN" w:bidi="ar-SA"/>
          <w14:textFill>
            <w14:solidFill>
              <w14:schemeClr w14:val="tx1"/>
            </w14:solidFill>
          </w14:textFill>
        </w:rPr>
        <w:t>）；⑼未控制的心律失常.包括频发过早搏动，但房颤患者仍可获益；⑽严重的左心衰竭（尚在采用经静脉血管活性药物或正性肌力药物，ＮＹＨＡ 分级在Ⅲ～Ⅳ级者）；⑾妊娠。</w:t>
      </w:r>
    </w:p>
    <w:bookmarkEnd w:id="4"/>
    <w:bookmarkEnd w:id="5"/>
    <w:bookmarkEnd w:id="6"/>
    <w:bookmarkEnd w:id="7"/>
    <w:bookmarkEnd w:id="8"/>
    <w:p>
      <w:pPr>
        <w:ind w:firstLine="482" w:firstLineChars="200"/>
        <w:jc w:val="center"/>
        <w:rPr>
          <w:rFonts w:hint="default"/>
          <w:b/>
          <w:bCs/>
          <w:sz w:val="24"/>
          <w:szCs w:val="24"/>
          <w:lang w:val="en-US"/>
        </w:rPr>
      </w:pPr>
      <w:r>
        <w:rPr>
          <w:b/>
          <w:bCs/>
          <w:sz w:val="24"/>
          <w:szCs w:val="24"/>
        </w:rPr>
        <w:drawing>
          <wp:anchor distT="0" distB="0" distL="114300" distR="114300" simplePos="0" relativeHeight="251661312" behindDoc="0" locked="0" layoutInCell="1" allowOverlap="1">
            <wp:simplePos x="0" y="0"/>
            <wp:positionH relativeFrom="column">
              <wp:posOffset>1606550</wp:posOffset>
            </wp:positionH>
            <wp:positionV relativeFrom="paragraph">
              <wp:posOffset>1640840</wp:posOffset>
            </wp:positionV>
            <wp:extent cx="2818130" cy="1699895"/>
            <wp:effectExtent l="0" t="0" r="1270" b="14605"/>
            <wp:wrapTopAndBottom/>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tretch>
                      <a:fillRect/>
                    </a:stretch>
                  </pic:blipFill>
                  <pic:spPr>
                    <a:xfrm>
                      <a:off x="0" y="0"/>
                      <a:ext cx="2818130" cy="1699895"/>
                    </a:xfrm>
                    <a:prstGeom prst="rect">
                      <a:avLst/>
                    </a:prstGeom>
                    <a:noFill/>
                    <a:ln>
                      <a:noFill/>
                    </a:ln>
                  </pic:spPr>
                </pic:pic>
              </a:graphicData>
            </a:graphic>
          </wp:anchor>
        </w:drawing>
      </w:r>
      <w:r>
        <w:rPr>
          <w:b/>
          <w:bCs/>
          <w:sz w:val="24"/>
          <w:szCs w:val="24"/>
        </w:rPr>
        <w:drawing>
          <wp:anchor distT="0" distB="0" distL="114300" distR="114300" simplePos="0" relativeHeight="251660288" behindDoc="0" locked="0" layoutInCell="1" allowOverlap="1">
            <wp:simplePos x="0" y="0"/>
            <wp:positionH relativeFrom="column">
              <wp:posOffset>1539875</wp:posOffset>
            </wp:positionH>
            <wp:positionV relativeFrom="paragraph">
              <wp:posOffset>160655</wp:posOffset>
            </wp:positionV>
            <wp:extent cx="2967990" cy="1543685"/>
            <wp:effectExtent l="0" t="0" r="3810" b="18415"/>
            <wp:wrapTopAndBottom/>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2967990" cy="1543685"/>
                    </a:xfrm>
                    <a:prstGeom prst="rect">
                      <a:avLst/>
                    </a:prstGeom>
                    <a:noFill/>
                    <a:ln>
                      <a:noFill/>
                    </a:ln>
                  </pic:spPr>
                </pic:pic>
              </a:graphicData>
            </a:graphic>
          </wp:anchor>
        </w:drawing>
      </w:r>
      <w:r>
        <w:rPr>
          <w:rFonts w:hint="eastAsia"/>
          <w:b/>
          <w:bCs/>
          <w:sz w:val="24"/>
          <w:szCs w:val="24"/>
          <w:lang w:eastAsia="zh-CN"/>
        </w:rPr>
        <w:t>《中国体外反搏临床应用专家共识》</w:t>
      </w:r>
      <w:r>
        <w:rPr>
          <w:rFonts w:hint="eastAsia"/>
          <w:b/>
          <w:bCs/>
          <w:sz w:val="24"/>
          <w:szCs w:val="24"/>
          <w:lang w:val="en-US" w:eastAsia="zh-CN"/>
        </w:rPr>
        <w:t>(2012)</w:t>
      </w:r>
    </w:p>
    <w:p>
      <w:pPr>
        <w:pStyle w:val="27"/>
        <w:spacing w:line="520" w:lineRule="exact"/>
        <w:ind w:firstLine="419" w:firstLineChars="149"/>
        <w:rPr>
          <w:rFonts w:eastAsia="仿宋_GB2312" w:cs="仿宋"/>
          <w:b/>
          <w:color w:val="000000" w:themeColor="text1"/>
          <w14:textFill>
            <w14:solidFill>
              <w14:schemeClr w14:val="tx1"/>
            </w14:solidFill>
          </w14:textFill>
        </w:rPr>
      </w:pPr>
      <w:r>
        <w:rPr>
          <w:rFonts w:hint="eastAsia" w:eastAsia="仿宋_GB2312" w:cs="仿宋"/>
          <w:b/>
          <w:color w:val="000000" w:themeColor="text1"/>
          <w14:textFill>
            <w14:solidFill>
              <w14:schemeClr w14:val="tx1"/>
            </w14:solidFill>
          </w14:textFill>
        </w:rPr>
        <w:t>参考资料：</w:t>
      </w:r>
    </w:p>
    <w:p>
      <w:pPr>
        <w:pStyle w:val="52"/>
        <w:numPr>
          <w:ilvl w:val="0"/>
          <w:numId w:val="9"/>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 xml:space="preserve">中国体外反搏临床应用专家共识起草专家委员会.中国体外反搏临床应用专家共识[J]. 中国心血管病研究,2012,10(2):81-92. </w:t>
      </w:r>
    </w:p>
    <w:p>
      <w:pPr>
        <w:pStyle w:val="52"/>
        <w:numPr>
          <w:ilvl w:val="0"/>
          <w:numId w:val="9"/>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伍贵富，杜志民.增强型体外反搏：理论与实践[M].北京：人民卫生出版社，2012:1-5.</w:t>
      </w:r>
    </w:p>
    <w:p>
      <w:pPr>
        <w:pStyle w:val="52"/>
        <w:numPr>
          <w:ilvl w:val="0"/>
          <w:numId w:val="9"/>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王磊主编.心脏运动康复：从运动生理到临床实践.南京:东南大学出版社.2014</w:t>
      </w:r>
    </w:p>
    <w:p>
      <w:pPr>
        <w:pStyle w:val="52"/>
        <w:numPr>
          <w:ilvl w:val="0"/>
          <w:numId w:val="9"/>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国际体外反搏学会,中国康复医学会心血管病专业委员会,中国老年学学会心脑血管病专业委员会. 心血管疾病康复处方——增强型体外反搏应用国际专家共识[J]. 中华内科杂志,2014,53(7):587-590.</w:t>
      </w:r>
    </w:p>
    <w:p>
      <w:pPr>
        <w:pStyle w:val="52"/>
        <w:numPr>
          <w:ilvl w:val="0"/>
          <w:numId w:val="9"/>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 xml:space="preserve">中华医学会老年医学分会心血管病学组,《中华老年医学杂志》编辑委员会,中国生物医学工程学会体外反搏分会老年学组. 老年人体外反搏临床应用中国专家共识(2019)[J]. 中华老年医学杂志,2019,38(9):953-961. </w:t>
      </w:r>
    </w:p>
    <w:p>
      <w:pPr>
        <w:pStyle w:val="52"/>
        <w:numPr>
          <w:ilvl w:val="0"/>
          <w:numId w:val="9"/>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姜崴,赵冬云,栗印军主编.</w:t>
      </w:r>
      <w:r>
        <w:rPr>
          <w:rFonts w:hint="eastAsia" w:ascii="仿宋_GB2312" w:eastAsia="仿宋_GB2312" w:cs="仿宋"/>
          <w:bCs/>
          <w:color w:val="000000" w:themeColor="text1"/>
          <w:sz w:val="28"/>
          <w:szCs w:val="28"/>
          <w:highlight w:val="none"/>
          <w14:textFill>
            <w14:solidFill>
              <w14:schemeClr w14:val="tx1"/>
            </w14:solidFill>
          </w14:textFill>
        </w:rPr>
        <w:t>心血管疾病临床护理问题集萃.</w:t>
      </w:r>
      <w:r>
        <w:rPr>
          <w:rFonts w:hint="eastAsia" w:ascii="仿宋_GB2312" w:eastAsia="仿宋_GB2312" w:cs="仿宋"/>
          <w:bCs/>
          <w:color w:val="000000" w:themeColor="text1"/>
          <w:sz w:val="28"/>
          <w:szCs w:val="28"/>
          <w14:textFill>
            <w14:solidFill>
              <w14:schemeClr w14:val="tx1"/>
            </w14:solidFill>
          </w14:textFill>
        </w:rPr>
        <w:t>沈阳:辽宁科学技术出版社.2020</w:t>
      </w:r>
      <w:r>
        <w:rPr>
          <w:rFonts w:ascii="仿宋_GB2312" w:eastAsia="仿宋_GB2312" w:cs="仿宋"/>
          <w:bCs/>
          <w:color w:val="000000" w:themeColor="text1"/>
          <w:sz w:val="28"/>
          <w:szCs w:val="28"/>
          <w14:textFill>
            <w14:solidFill>
              <w14:schemeClr w14:val="tx1"/>
            </w14:solidFill>
          </w14:textFill>
        </w:rPr>
        <w:t>.</w:t>
      </w:r>
    </w:p>
    <w:p>
      <w:pPr>
        <w:pStyle w:val="52"/>
        <w:numPr>
          <w:ilvl w:val="0"/>
          <w:numId w:val="9"/>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弭守玲,钱菊英,吴永健,等. 慢性冠状动脉综合征增强型体外反搏治疗中国专家共识 [J]. 中国介入心脏病学杂志, 2022, 30 (02): 81-87.</w:t>
      </w:r>
    </w:p>
    <w:p>
      <w:pPr>
        <w:pStyle w:val="56"/>
        <w:ind w:firstLine="562"/>
      </w:pPr>
      <w:r>
        <w:rPr>
          <w:rFonts w:hint="eastAsia"/>
        </w:rPr>
        <w:t>（三）操作方法</w:t>
      </w:r>
    </w:p>
    <w:p>
      <w:pPr>
        <w:adjustRightInd w:val="0"/>
        <w:snapToGrid w:val="0"/>
        <w:spacing w:line="520" w:lineRule="exact"/>
        <w:ind w:firstLine="420"/>
        <w:rPr>
          <w:rFonts w:ascii="仿宋_GB2312" w:eastAsia="仿宋_GB2312"/>
          <w:b/>
          <w:bCs/>
          <w:sz w:val="28"/>
          <w:szCs w:val="28"/>
        </w:rPr>
      </w:pPr>
      <w:r>
        <w:rPr>
          <w:rFonts w:hint="eastAsia" w:ascii="仿宋_GB2312" w:eastAsia="仿宋_GB2312"/>
          <w:b/>
          <w:bCs/>
          <w:sz w:val="28"/>
          <w:szCs w:val="28"/>
        </w:rPr>
        <w:t>1.操作前准备</w:t>
      </w:r>
    </w:p>
    <w:p>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（1）评估：对患者进行适应症及禁忌症评估，包括现病史、既往病史、生命体征等。患者有明确的适应症，无禁忌症。辅助检查：包括实验室检查和器械检查。</w:t>
      </w:r>
    </w:p>
    <w:p>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实验室检查：血常规、肝肾功能、电解质、心肌酶学标志物、凝血功能、D-二聚体、BNP、血糖、血脂等。</w:t>
      </w:r>
    </w:p>
    <w:p>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器械检查：心电图、心脏超声、双下肢动静脉血管超声，根据情况，必要时经食管超声心动图、冠脉CTA或造影、胸腹主动CTA或造影等。</w:t>
      </w:r>
    </w:p>
    <w:p>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（2）引导患者准备</w:t>
      </w:r>
    </w:p>
    <w:p>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对于初次接受ECP治疗的患者要进行充分的宣教，安抚患者紧张情绪，取得患者的理解及主动配合。患者接受ECP治疗前不应摄入茶、烟、酒、咖啡等易致兴奋的食物；并排尿，避免反搏过程因排尿导致治疗中断。</w:t>
      </w:r>
    </w:p>
    <w:p>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（3）设备准备</w:t>
      </w:r>
    </w:p>
    <w:p>
      <w:pPr>
        <w:adjustRightInd w:val="0"/>
        <w:snapToGrid w:val="0"/>
        <w:spacing w:line="520" w:lineRule="exact"/>
        <w:ind w:firstLine="560" w:firstLineChars="200"/>
        <w:rPr>
          <w:rFonts w:ascii="仿宋_GB2312" w:eastAsia="仿宋_GB2312" w:cs="仿宋"/>
          <w:b/>
          <w:bCs/>
          <w:color w:val="FF0000"/>
          <w:sz w:val="28"/>
          <w:szCs w:val="28"/>
        </w:rPr>
      </w:pPr>
      <w:r>
        <w:rPr>
          <w:rFonts w:hint="eastAsia" w:ascii="仿宋_GB2312" w:eastAsia="仿宋_GB2312"/>
          <w:sz w:val="28"/>
          <w:szCs w:val="28"/>
        </w:rPr>
        <w:t>体外反搏治疗设备由控制系统和压力袖组成，根据患者的具体情况选择合适的压力袖，并将其连接到控制系统上。在确保设备正常工作之后，调整设备参数，包括压力强度和节律等，以适应患者的病情和治疗需求。</w:t>
      </w:r>
    </w:p>
    <w:p>
      <w:pPr>
        <w:adjustRightInd w:val="0"/>
        <w:snapToGrid w:val="0"/>
        <w:spacing w:line="520" w:lineRule="exact"/>
        <w:ind w:firstLine="562" w:firstLineChars="200"/>
        <w:rPr>
          <w:rFonts w:ascii="仿宋_GB2312" w:eastAsia="仿宋_GB2312" w:cs="仿宋"/>
          <w:b/>
          <w:bCs/>
          <w:color w:val="000000" w:themeColor="text1"/>
          <w:sz w:val="28"/>
          <w:szCs w:val="28"/>
          <w14:textFill>
            <w14:solidFill>
              <w14:schemeClr w14:val="tx1"/>
            </w14:solidFill>
          </w14:textFill>
        </w:rPr>
      </w:pPr>
      <w:r>
        <w:rPr>
          <w:rFonts w:hint="eastAsia" w:ascii="仿宋_GB2312" w:eastAsia="仿宋_GB2312" w:cs="仿宋"/>
          <w:b/>
          <w:bCs/>
          <w:color w:val="000000" w:themeColor="text1"/>
          <w:sz w:val="28"/>
          <w:szCs w:val="28"/>
          <w14:textFill>
            <w14:solidFill>
              <w14:schemeClr w14:val="tx1"/>
            </w14:solidFill>
          </w14:textFill>
        </w:rPr>
        <w:t>参考资料：</w:t>
      </w:r>
    </w:p>
    <w:p>
      <w:pPr>
        <w:pStyle w:val="52"/>
        <w:numPr>
          <w:ilvl w:val="0"/>
          <w:numId w:val="10"/>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弭守玲,钱菊英,吴永健,等. 慢性冠状动脉综合征增强型体外反搏治疗中国专家共识 [J]. 中国介入心脏病学杂志, 2022, 30 (02): 81-87.</w:t>
      </w:r>
    </w:p>
    <w:p>
      <w:pPr>
        <w:pStyle w:val="27"/>
        <w:ind w:firstLine="420" w:firstLineChars="0"/>
        <w:rPr>
          <w:rFonts w:eastAsia="仿宋_GB2312" w:cs="仿宋"/>
          <w:bCs/>
          <w:color w:val="FF0000"/>
        </w:rPr>
      </w:pPr>
      <w:r>
        <w:rPr>
          <w:rFonts w:hint="eastAsia"/>
          <w:b/>
          <w:bCs/>
        </w:rPr>
        <w:t>2.操作要点及要求</w:t>
      </w:r>
    </w:p>
    <w:p>
      <w:pPr>
        <w:adjustRightInd w:val="0"/>
        <w:snapToGrid w:val="0"/>
        <w:spacing w:line="520" w:lineRule="exact"/>
        <w:ind w:firstLine="420" w:firstLineChars="200"/>
        <w:rPr>
          <w:rFonts w:ascii="仿宋_GB2312" w:eastAsia="仿宋_GB2312"/>
          <w:b/>
          <w:bCs/>
          <w:sz w:val="28"/>
          <w:szCs w:val="28"/>
        </w:rPr>
      </w:pPr>
      <w:r>
        <w:drawing>
          <wp:anchor distT="0" distB="0" distL="114300" distR="114300" simplePos="0" relativeHeight="251663360" behindDoc="0" locked="0" layoutInCell="1" allowOverlap="1">
            <wp:simplePos x="0" y="0"/>
            <wp:positionH relativeFrom="column">
              <wp:posOffset>232410</wp:posOffset>
            </wp:positionH>
            <wp:positionV relativeFrom="paragraph">
              <wp:posOffset>140335</wp:posOffset>
            </wp:positionV>
            <wp:extent cx="5681980" cy="1405890"/>
            <wp:effectExtent l="0" t="0" r="13970" b="3810"/>
            <wp:wrapTopAndBottom/>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8"/>
                    <a:stretch>
                      <a:fillRect/>
                    </a:stretch>
                  </pic:blipFill>
                  <pic:spPr>
                    <a:xfrm>
                      <a:off x="0" y="0"/>
                      <a:ext cx="5681980" cy="1405890"/>
                    </a:xfrm>
                    <a:prstGeom prst="rect">
                      <a:avLst/>
                    </a:prstGeom>
                    <a:noFill/>
                    <a:ln>
                      <a:noFill/>
                    </a:ln>
                  </pic:spPr>
                </pic:pic>
              </a:graphicData>
            </a:graphic>
          </wp:anchor>
        </w:drawing>
      </w:r>
      <w:r>
        <w:rPr>
          <w:rFonts w:hint="eastAsia" w:ascii="仿宋_GB2312" w:eastAsia="仿宋_GB2312"/>
          <w:b/>
          <w:bCs/>
          <w:sz w:val="28"/>
          <w:szCs w:val="28"/>
        </w:rPr>
        <w:t>（1）</w:t>
      </w:r>
      <w:r>
        <w:rPr>
          <w:rFonts w:ascii="仿宋_GB2312" w:eastAsia="仿宋_GB2312"/>
          <w:b/>
          <w:bCs/>
          <w:sz w:val="28"/>
          <w:szCs w:val="28"/>
        </w:rPr>
        <w:t>上机</w:t>
      </w:r>
    </w:p>
    <w:p>
      <w:pPr>
        <w:adjustRightInd w:val="0"/>
        <w:snapToGrid w:val="0"/>
        <w:spacing w:line="520" w:lineRule="exact"/>
        <w:ind w:firstLine="560" w:firstLineChars="200"/>
        <w:rPr>
          <w:rFonts w:hint="eastAsia" w:ascii="仿宋_GB2312" w:eastAsia="仿宋_GB2312"/>
          <w:sz w:val="28"/>
          <w:szCs w:val="28"/>
          <w:lang w:eastAsia="zh-CN"/>
        </w:rPr>
      </w:pPr>
      <w:r>
        <w:rPr>
          <w:rFonts w:ascii="仿宋_GB2312" w:eastAsia="仿宋_GB2312"/>
          <w:sz w:val="28"/>
          <w:szCs w:val="28"/>
        </w:rPr>
        <w:t>按顺序开机，摆好囊套位置，然后平躺于治疗床上</w:t>
      </w:r>
      <w:r>
        <w:rPr>
          <w:rFonts w:hint="eastAsia" w:ascii="仿宋_GB2312" w:eastAsia="仿宋_GB2312"/>
          <w:sz w:val="28"/>
          <w:szCs w:val="28"/>
        </w:rPr>
        <w:t>，确保囊套位置正确，并且患者的身体位置合适，具体要求遵照所使用体外反搏治疗床和气囊的设计说明。</w:t>
      </w:r>
      <w:r>
        <w:rPr>
          <w:rFonts w:hint="eastAsia" w:ascii="仿宋_GB2312" w:eastAsia="仿宋_GB2312"/>
          <w:sz w:val="28"/>
          <w:szCs w:val="28"/>
          <w:lang w:eastAsia="zh-CN"/>
        </w:rPr>
        <w:t>主要依据《</w:t>
      </w:r>
      <w:r>
        <w:rPr>
          <w:rFonts w:ascii="仿宋_GB2312" w:eastAsia="仿宋_GB2312" w:cs="仿宋"/>
          <w:bCs/>
          <w:color w:val="000000" w:themeColor="text1"/>
          <w:sz w:val="28"/>
          <w:szCs w:val="28"/>
          <w14:textFill>
            <w14:solidFill>
              <w14:schemeClr w14:val="tx1"/>
            </w14:solidFill>
          </w14:textFill>
        </w:rPr>
        <w:t>增强型体外反搏理论与实践</w:t>
      </w:r>
      <w:r>
        <w:rPr>
          <w:rFonts w:hint="eastAsia" w:ascii="仿宋_GB2312" w:eastAsia="仿宋_GB2312"/>
          <w:sz w:val="28"/>
          <w:szCs w:val="28"/>
          <w:lang w:eastAsia="zh-CN"/>
        </w:rPr>
        <w:t>》中来操作。</w:t>
      </w:r>
    </w:p>
    <w:p>
      <w:pPr>
        <w:adjustRightInd w:val="0"/>
        <w:snapToGrid w:val="0"/>
        <w:spacing w:line="520" w:lineRule="exact"/>
        <w:ind w:firstLine="562" w:firstLineChars="200"/>
        <w:rPr>
          <w:rFonts w:ascii="仿宋_GB2312" w:eastAsia="仿宋_GB2312"/>
          <w:b/>
          <w:bCs/>
          <w:sz w:val="28"/>
          <w:szCs w:val="28"/>
        </w:rPr>
      </w:pPr>
      <w:r>
        <w:rPr>
          <w:rFonts w:hint="eastAsia" w:ascii="仿宋_GB2312" w:eastAsia="仿宋_GB2312"/>
          <w:b/>
          <w:bCs/>
          <w:sz w:val="28"/>
          <w:szCs w:val="28"/>
        </w:rPr>
        <w:t>（2）</w:t>
      </w:r>
      <w:r>
        <w:rPr>
          <w:rFonts w:ascii="仿宋_GB2312" w:eastAsia="仿宋_GB2312"/>
          <w:b/>
          <w:bCs/>
          <w:sz w:val="28"/>
          <w:szCs w:val="28"/>
        </w:rPr>
        <w:t>贴电极</w:t>
      </w:r>
    </w:p>
    <w:p>
      <w:pPr>
        <w:adjustRightInd w:val="0"/>
        <w:snapToGrid w:val="0"/>
        <w:spacing w:line="520" w:lineRule="exact"/>
        <w:ind w:firstLine="560" w:firstLineChars="200"/>
        <w:rPr>
          <w:rFonts w:ascii="仿宋_GB2312" w:eastAsia="仿宋_GB2312"/>
          <w:sz w:val="28"/>
          <w:szCs w:val="28"/>
        </w:rPr>
      </w:pPr>
      <w:r>
        <w:rPr>
          <w:rFonts w:ascii="仿宋_GB2312" w:eastAsia="仿宋_GB2312"/>
          <w:sz w:val="28"/>
          <w:szCs w:val="28"/>
        </w:rPr>
        <w:t>清洁皮肤，负极贴在左侧锁骨下附近，正极贴在V3-V6之间的任何位置，第三个电极贴在右侧乳房下任意位置。如安装有心脏起搏器患者电极应远离起搏器位置。</w:t>
      </w:r>
    </w:p>
    <w:p>
      <w:pPr>
        <w:adjustRightInd w:val="0"/>
        <w:snapToGrid w:val="0"/>
        <w:spacing w:line="520" w:lineRule="exact"/>
        <w:ind w:firstLine="560" w:firstLineChars="200"/>
        <w:rPr>
          <w:rFonts w:hint="eastAsia"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主要依据：粘贴电极遵循以下原则：1、保证心电波形R波主波向上2、心电波不发生或少发生漏、误触发3、不影响包扎气囊4、选择不受振动或少受振动处5、不增加患者痛苦6、红、白电极彼此不靠近。从临床经验看，选择这些部位粘贴电极，符合《增强型体外反搏-理论与实践》粘贴电极的原则，也可以减少因为电极导线运动造成心电干扰。不同患者贴心电电极的位置可能有差异,但只要符合上述6项原则,把心电电极贴在哪里都可以。</w:t>
      </w:r>
    </w:p>
    <w:p>
      <w:pPr>
        <w:adjustRightInd w:val="0"/>
        <w:snapToGrid w:val="0"/>
        <w:spacing w:line="520" w:lineRule="exact"/>
        <w:ind w:firstLine="560" w:firstLineChars="200"/>
        <w:rPr>
          <w:rFonts w:hint="eastAsia"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具体操作时,心电电极片一定要贴牢、固定,最好在心电电极片上加一点导电胶,因反搏治疗时间长达1小时,由于心电信号弱和心电电极可能会因为贴不牢,受充、排气振动的影响而松脱,使心电图产生失真漂移或消失而造成漏触发、误触发,甚至出现假早搏、假心电混乱等现象,使反搏治疗没法进行下去。提倡用一块较长较宽的胶布固定心电电极,这比贴两条(十字)胶布要好,用双面胶环的效果比胶布好,一次性心电电极片则较容易贴牢。若负向心电波形(R 波主波向下)触发正常时,则红、白电极位置不用调换:若触发不正常时,则可调换红、白电极位置后再作对比选择。</w:t>
      </w:r>
    </w:p>
    <w:p>
      <w:pPr>
        <w:adjustRightInd w:val="0"/>
        <w:snapToGrid w:val="0"/>
        <w:spacing w:line="520" w:lineRule="exact"/>
        <w:ind w:firstLine="562" w:firstLineChars="200"/>
        <w:rPr>
          <w:rFonts w:ascii="仿宋_GB2312" w:eastAsia="仿宋_GB2312" w:cs="仿宋"/>
          <w:b/>
          <w:bCs/>
          <w:color w:val="000000" w:themeColor="text1"/>
          <w:sz w:val="28"/>
          <w:szCs w:val="28"/>
          <w14:textFill>
            <w14:solidFill>
              <w14:schemeClr w14:val="tx1"/>
            </w14:solidFill>
          </w14:textFill>
        </w:rPr>
      </w:pPr>
      <w:r>
        <w:rPr>
          <w:rFonts w:hint="eastAsia" w:ascii="仿宋_GB2312" w:eastAsia="仿宋_GB2312" w:cs="仿宋"/>
          <w:b/>
          <w:bCs/>
          <w:color w:val="000000" w:themeColor="text1"/>
          <w:sz w:val="28"/>
          <w:szCs w:val="28"/>
          <w14:textFill>
            <w14:solidFill>
              <w14:schemeClr w14:val="tx1"/>
            </w14:solidFill>
          </w14:textFill>
        </w:rPr>
        <w:t>参考资料：</w:t>
      </w:r>
    </w:p>
    <w:p>
      <w:pPr>
        <w:pStyle w:val="52"/>
        <w:numPr>
          <w:ilvl w:val="0"/>
          <w:numId w:val="11"/>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ascii="仿宋_GB2312" w:eastAsia="仿宋_GB2312" w:cs="仿宋"/>
          <w:bCs/>
          <w:color w:val="000000" w:themeColor="text1"/>
          <w:sz w:val="28"/>
          <w:szCs w:val="28"/>
          <w14:textFill>
            <w14:solidFill>
              <w14:schemeClr w14:val="tx1"/>
            </w14:solidFill>
          </w14:textFill>
        </w:rPr>
        <w:t>伍贵富，杜志民.增强型体外反搏理论与实践[M].北京：人民卫生出版社，2012.</w:t>
      </w:r>
    </w:p>
    <w:p>
      <w:pPr>
        <w:adjustRightInd w:val="0"/>
        <w:snapToGrid w:val="0"/>
        <w:spacing w:line="520" w:lineRule="exact"/>
        <w:ind w:firstLine="562" w:firstLineChars="200"/>
        <w:rPr>
          <w:rFonts w:ascii="仿宋_GB2312" w:eastAsia="仿宋_GB2312"/>
          <w:b/>
          <w:bCs/>
          <w:sz w:val="28"/>
          <w:szCs w:val="28"/>
        </w:rPr>
      </w:pPr>
      <w:r>
        <w:rPr>
          <w:rFonts w:hint="eastAsia" w:ascii="仿宋_GB2312" w:eastAsia="仿宋_GB2312"/>
          <w:b/>
          <w:bCs/>
          <w:sz w:val="28"/>
          <w:szCs w:val="28"/>
        </w:rPr>
        <w:t>（3）</w:t>
      </w:r>
      <w:r>
        <w:rPr>
          <w:rFonts w:ascii="仿宋_GB2312" w:eastAsia="仿宋_GB2312"/>
          <w:b/>
          <w:bCs/>
          <w:sz w:val="28"/>
          <w:szCs w:val="28"/>
        </w:rPr>
        <w:t>包扎气囊</w:t>
      </w:r>
    </w:p>
    <w:p>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必须强调的是,体外反搏的气囊包扎是获得满意临床疗效的关键。必须遵循的总体原则:气囊要尽量往躯干方向包扎,先大腿后小腿再臀部,稍紧勿松,囊套表面无皱褶,气囊连接管无扭曲。</w:t>
      </w:r>
      <w:r>
        <w:rPr>
          <w:rFonts w:ascii="仿宋_GB2312" w:eastAsia="仿宋_GB2312"/>
          <w:sz w:val="28"/>
          <w:szCs w:val="28"/>
        </w:rPr>
        <w:t>要求气囊稍紧勿松（以仅能放进一只手指为宜），囊套表面无褶皱，气囊连接管无扭曲。男性患者勿将阴茎及阴囊包扎至气囊内。</w:t>
      </w:r>
    </w:p>
    <w:p>
      <w:pPr>
        <w:adjustRightInd w:val="0"/>
        <w:snapToGrid w:val="0"/>
        <w:spacing w:line="520" w:lineRule="exact"/>
        <w:ind w:firstLine="562" w:firstLineChars="200"/>
        <w:rPr>
          <w:rFonts w:ascii="仿宋_GB2312" w:eastAsia="仿宋_GB2312"/>
          <w:b/>
          <w:bCs/>
          <w:sz w:val="28"/>
          <w:szCs w:val="28"/>
        </w:rPr>
      </w:pPr>
      <w:r>
        <w:rPr>
          <w:rFonts w:hint="eastAsia" w:ascii="仿宋_GB2312" w:eastAsia="仿宋_GB2312"/>
          <w:b/>
          <w:bCs/>
          <w:sz w:val="28"/>
          <w:szCs w:val="28"/>
        </w:rPr>
        <w:t>（4）</w:t>
      </w:r>
      <w:r>
        <w:rPr>
          <w:rFonts w:ascii="仿宋_GB2312" w:eastAsia="仿宋_GB2312"/>
          <w:b/>
          <w:bCs/>
          <w:sz w:val="28"/>
          <w:szCs w:val="28"/>
        </w:rPr>
        <w:t>指脉氧监测</w:t>
      </w:r>
    </w:p>
    <w:p>
      <w:pPr>
        <w:adjustRightInd w:val="0"/>
        <w:snapToGrid w:val="0"/>
        <w:spacing w:line="520" w:lineRule="exact"/>
        <w:ind w:firstLine="560" w:firstLineChars="200"/>
        <w:rPr>
          <w:rFonts w:hint="eastAsia" w:ascii="仿宋_GB2312" w:eastAsia="仿宋_GB2312"/>
          <w:color w:val="000000" w:themeColor="text1"/>
          <w:sz w:val="28"/>
          <w:szCs w:val="28"/>
          <w:lang w:eastAsia="zh-CN"/>
          <w14:textFill>
            <w14:solidFill>
              <w14:schemeClr w14:val="tx1"/>
            </w14:solidFill>
          </w14:textFill>
        </w:rPr>
      </w:pPr>
      <w:r>
        <w:rPr>
          <w:rFonts w:ascii="仿宋_GB2312" w:eastAsia="仿宋_GB2312"/>
          <w:color w:val="000000" w:themeColor="text1"/>
          <w:sz w:val="28"/>
          <w:szCs w:val="28"/>
          <w14:textFill>
            <w14:solidFill>
              <w14:schemeClr w14:val="tx1"/>
            </w14:solidFill>
          </w14:textFill>
        </w:rPr>
        <w:t>宜选择食指、中指或无名指放进指脉氧监测夹中，注意保持指甲面朝上。避免使用涂有指甲油、美甲的手指。</w:t>
      </w:r>
      <w:r>
        <w:rPr>
          <w:rFonts w:hint="eastAsia" w:ascii="仿宋_GB2312" w:eastAsia="仿宋_GB2312"/>
          <w:color w:val="000000" w:themeColor="text1"/>
          <w:sz w:val="28"/>
          <w:szCs w:val="28"/>
          <w14:textFill>
            <w14:solidFill>
              <w14:schemeClr w14:val="tx1"/>
            </w14:solidFill>
          </w14:textFill>
        </w:rPr>
        <w:t>主要依据：监测仪对指甲油的辨认及识别能力有所差别，指甲油颜色可对部分监测仪SpO</w:t>
      </w:r>
      <w:r>
        <w:rPr>
          <w:rFonts w:hint="eastAsia" w:ascii="仿宋_GB2312" w:eastAsia="仿宋_GB2312"/>
          <w:color w:val="000000" w:themeColor="text1"/>
          <w:sz w:val="28"/>
          <w:szCs w:val="28"/>
          <w:vertAlign w:val="subscript"/>
          <w14:textFill>
            <w14:solidFill>
              <w14:schemeClr w14:val="tx1"/>
            </w14:solidFill>
          </w14:textFill>
        </w:rPr>
        <w:t>2</w:t>
      </w:r>
      <w:r>
        <w:rPr>
          <w:rFonts w:hint="eastAsia" w:ascii="仿宋_GB2312" w:eastAsia="仿宋_GB2312"/>
          <w:color w:val="000000" w:themeColor="text1"/>
          <w:sz w:val="28"/>
          <w:szCs w:val="28"/>
          <w14:textFill>
            <w14:solidFill>
              <w14:schemeClr w14:val="tx1"/>
            </w14:solidFill>
          </w14:textFill>
        </w:rPr>
        <w:t>监测数值及显示时间产生影响。</w:t>
      </w:r>
      <w:r>
        <w:rPr>
          <w:rFonts w:hint="eastAsia" w:ascii="仿宋_GB2312" w:eastAsia="仿宋_GB2312"/>
          <w:color w:val="000000" w:themeColor="text1"/>
          <w:sz w:val="28"/>
          <w:szCs w:val="28"/>
          <w:lang w:eastAsia="zh-CN"/>
          <w14:textFill>
            <w14:solidFill>
              <w14:schemeClr w14:val="tx1"/>
            </w14:solidFill>
          </w14:textFill>
        </w:rPr>
        <w:t>主要依据《</w:t>
      </w:r>
      <w:r>
        <w:rPr>
          <w:rFonts w:hint="eastAsia" w:ascii="仿宋_GB2312" w:eastAsia="仿宋_GB2312" w:cs="仿宋"/>
          <w:bCs/>
          <w:color w:val="000000" w:themeColor="text1"/>
          <w:sz w:val="28"/>
          <w:szCs w:val="28"/>
          <w14:textFill>
            <w14:solidFill>
              <w14:schemeClr w14:val="tx1"/>
            </w14:solidFill>
          </w14:textFill>
        </w:rPr>
        <w:t>指甲油对不同品牌监测仪测定健康志愿者脉搏血氧饱和度的影响</w:t>
      </w:r>
      <w:r>
        <w:rPr>
          <w:rFonts w:hint="eastAsia" w:ascii="仿宋_GB2312" w:eastAsia="仿宋_GB2312"/>
          <w:color w:val="000000" w:themeColor="text1"/>
          <w:sz w:val="28"/>
          <w:szCs w:val="28"/>
          <w:lang w:eastAsia="zh-CN"/>
          <w14:textFill>
            <w14:solidFill>
              <w14:schemeClr w14:val="tx1"/>
            </w14:solidFill>
          </w14:textFill>
        </w:rPr>
        <w:t>》。</w:t>
      </w:r>
    </w:p>
    <w:p>
      <w:pPr>
        <w:adjustRightInd w:val="0"/>
        <w:snapToGrid w:val="0"/>
        <w:spacing w:line="520" w:lineRule="exact"/>
        <w:ind w:firstLine="562" w:firstLineChars="200"/>
        <w:rPr>
          <w:rFonts w:ascii="仿宋_GB2312" w:eastAsia="仿宋_GB2312"/>
          <w:b/>
          <w:bCs/>
          <w:color w:val="000000" w:themeColor="text1"/>
          <w:sz w:val="28"/>
          <w:szCs w:val="28"/>
          <w14:textFill>
            <w14:solidFill>
              <w14:schemeClr w14:val="tx1"/>
            </w14:solidFill>
          </w14:textFill>
        </w:rPr>
      </w:pPr>
      <w:r>
        <w:rPr>
          <w:rFonts w:hint="eastAsia" w:ascii="仿宋_GB2312" w:eastAsia="仿宋_GB2312"/>
          <w:b/>
          <w:bCs/>
          <w:color w:val="000000" w:themeColor="text1"/>
          <w:sz w:val="28"/>
          <w:szCs w:val="28"/>
          <w14:textFill>
            <w14:solidFill>
              <w14:schemeClr w14:val="tx1"/>
            </w14:solidFill>
          </w14:textFill>
        </w:rPr>
        <w:t>参考资料：</w:t>
      </w:r>
    </w:p>
    <w:p>
      <w:pPr>
        <w:pStyle w:val="52"/>
        <w:numPr>
          <w:ilvl w:val="0"/>
          <w:numId w:val="12"/>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陈洁,徐鑫,汪小海,等.指甲油对不同品牌监测仪测定健康志愿者脉搏血氧饱和度的影响[J].中华麻醉学杂志,2013,33(11):1372-1375.</w:t>
      </w:r>
    </w:p>
    <w:p>
      <w:pPr>
        <w:adjustRightInd w:val="0"/>
        <w:snapToGrid w:val="0"/>
        <w:spacing w:line="520" w:lineRule="exact"/>
        <w:ind w:firstLine="562" w:firstLineChars="200"/>
        <w:rPr>
          <w:rFonts w:ascii="仿宋_GB2312" w:eastAsia="仿宋_GB2312"/>
          <w:b/>
          <w:bCs/>
          <w:sz w:val="28"/>
          <w:szCs w:val="28"/>
        </w:rPr>
      </w:pPr>
      <w:r>
        <w:rPr>
          <w:rFonts w:hint="eastAsia" w:ascii="仿宋_GB2312" w:eastAsia="仿宋_GB2312"/>
          <w:b/>
          <w:bCs/>
          <w:sz w:val="28"/>
          <w:szCs w:val="28"/>
        </w:rPr>
        <w:t>（5）</w:t>
      </w:r>
      <w:r>
        <w:rPr>
          <w:rFonts w:ascii="仿宋_GB2312" w:eastAsia="仿宋_GB2312"/>
          <w:b/>
          <w:bCs/>
          <w:sz w:val="28"/>
          <w:szCs w:val="28"/>
        </w:rPr>
        <w:t>充、排气时间点</w:t>
      </w:r>
    </w:p>
    <w:p>
      <w:pPr>
        <w:adjustRightInd w:val="0"/>
        <w:snapToGrid w:val="0"/>
        <w:spacing w:line="520" w:lineRule="exact"/>
        <w:ind w:firstLine="560" w:firstLineChars="200"/>
        <w:rPr>
          <w:rFonts w:ascii="仿宋_GB2312" w:eastAsia="仿宋_GB2312"/>
          <w:sz w:val="28"/>
          <w:szCs w:val="28"/>
        </w:rPr>
      </w:pPr>
      <w:r>
        <w:rPr>
          <w:rFonts w:ascii="仿宋_GB2312" w:eastAsia="仿宋_GB2312"/>
          <w:sz w:val="28"/>
          <w:szCs w:val="28"/>
        </w:rPr>
        <w:t>充气时间点</w:t>
      </w:r>
      <w:r>
        <w:rPr>
          <w:rFonts w:hint="eastAsia" w:ascii="仿宋_GB2312" w:eastAsia="仿宋_GB2312"/>
          <w:sz w:val="28"/>
          <w:szCs w:val="28"/>
        </w:rPr>
        <w:t>：套包扎好后,取好心电信号,然后将充气信号置于心电图T波(呈直立时)的顶峰;若T波呈倒置时,则将充气信号置于倒置T波的最低点;若T波呈正负或负正双向时,则将充气信号置于T波正负或负正双向的中点。将排气信号置于心电图P波顶峰或P波之前(保压时间视患者情况而定),见</w:t>
      </w:r>
      <w:r>
        <w:rPr>
          <w:rFonts w:hint="eastAsia" w:ascii="仿宋_GB2312" w:eastAsia="仿宋_GB2312"/>
          <w:sz w:val="28"/>
          <w:szCs w:val="28"/>
          <w:lang w:eastAsia="zh-CN"/>
        </w:rPr>
        <w:t>下图</w:t>
      </w:r>
      <w:r>
        <w:rPr>
          <w:rFonts w:hint="eastAsia" w:ascii="仿宋_GB2312" w:eastAsia="仿宋_GB2312"/>
          <w:sz w:val="28"/>
          <w:szCs w:val="28"/>
          <w:lang w:val="en-US" w:eastAsia="zh-CN"/>
        </w:rPr>
        <w:t>2</w:t>
      </w:r>
      <w:r>
        <w:rPr>
          <w:rFonts w:hint="eastAsia" w:ascii="仿宋_GB2312" w:eastAsia="仿宋_GB2312"/>
          <w:sz w:val="28"/>
          <w:szCs w:val="28"/>
          <w:lang w:eastAsia="zh-CN"/>
        </w:rPr>
        <w:t>所示</w:t>
      </w:r>
      <w:r>
        <w:rPr>
          <w:rFonts w:ascii="仿宋_GB2312" w:eastAsia="仿宋_GB2312"/>
          <w:sz w:val="28"/>
          <w:szCs w:val="28"/>
        </w:rPr>
        <w:t>。</w:t>
      </w:r>
    </w:p>
    <w:p>
      <w:pPr>
        <w:adjustRightInd w:val="0"/>
        <w:snapToGrid w:val="0"/>
        <w:spacing w:line="520" w:lineRule="exact"/>
        <w:ind w:firstLine="420" w:firstLineChars="200"/>
        <w:jc w:val="center"/>
        <w:rPr>
          <w:rFonts w:hint="default" w:ascii="仿宋_GB2312" w:eastAsia="仿宋_GB2312"/>
          <w:sz w:val="28"/>
          <w:szCs w:val="28"/>
          <w:lang w:val="en-US"/>
        </w:rPr>
      </w:pPr>
      <w:r>
        <w:drawing>
          <wp:anchor distT="0" distB="0" distL="114300" distR="114300" simplePos="0" relativeHeight="251664384" behindDoc="0" locked="0" layoutInCell="1" allowOverlap="1">
            <wp:simplePos x="0" y="0"/>
            <wp:positionH relativeFrom="column">
              <wp:posOffset>1647825</wp:posOffset>
            </wp:positionH>
            <wp:positionV relativeFrom="paragraph">
              <wp:posOffset>79375</wp:posOffset>
            </wp:positionV>
            <wp:extent cx="2705100" cy="2009775"/>
            <wp:effectExtent l="0" t="0" r="0" b="9525"/>
            <wp:wrapTopAndBottom/>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9"/>
                    <a:stretch>
                      <a:fillRect/>
                    </a:stretch>
                  </pic:blipFill>
                  <pic:spPr>
                    <a:xfrm>
                      <a:off x="0" y="0"/>
                      <a:ext cx="2705100" cy="2009775"/>
                    </a:xfrm>
                    <a:prstGeom prst="rect">
                      <a:avLst/>
                    </a:prstGeom>
                    <a:noFill/>
                    <a:ln>
                      <a:noFill/>
                    </a:ln>
                  </pic:spPr>
                </pic:pic>
              </a:graphicData>
            </a:graphic>
          </wp:anchor>
        </w:drawing>
      </w:r>
      <w:r>
        <w:rPr>
          <w:rFonts w:hint="eastAsia" w:ascii="仿宋_GB2312" w:eastAsia="仿宋_GB2312"/>
          <w:sz w:val="28"/>
          <w:szCs w:val="28"/>
          <w:lang w:eastAsia="zh-CN"/>
        </w:rPr>
        <w:t>图</w:t>
      </w:r>
      <w:r>
        <w:rPr>
          <w:rFonts w:hint="eastAsia" w:ascii="仿宋_GB2312" w:eastAsia="仿宋_GB2312"/>
          <w:sz w:val="28"/>
          <w:szCs w:val="28"/>
          <w:lang w:val="en-US" w:eastAsia="zh-CN"/>
        </w:rPr>
        <w:t>2</w:t>
      </w:r>
    </w:p>
    <w:p>
      <w:pPr>
        <w:adjustRightInd w:val="0"/>
        <w:snapToGrid w:val="0"/>
        <w:spacing w:line="520" w:lineRule="exact"/>
        <w:ind w:firstLine="560" w:firstLineChars="200"/>
        <w:rPr>
          <w:rFonts w:hint="eastAsia" w:ascii="仿宋_GB2312" w:eastAsia="仿宋_GB2312"/>
          <w:sz w:val="28"/>
          <w:szCs w:val="28"/>
          <w:lang w:eastAsia="zh-CN"/>
        </w:rPr>
      </w:pPr>
      <w:r>
        <w:rPr>
          <w:rFonts w:hint="eastAsia" w:ascii="仿宋_GB2312" w:eastAsia="仿宋_GB2312"/>
          <w:sz w:val="28"/>
          <w:szCs w:val="28"/>
        </w:rPr>
        <w:t>依据如下：反搏气囊加压必须在主动脉瓣完全关闭之后，否则会增加左心室射血阻力、形成主动脉瓣反流，增加心脏负荷，产生不利的作用。同时，EECP 反搏气囊加压的时间尽量提前，使主动脉内反流的血液在主动脉瓣关闭后紧接着到达主动脉根部，使主动脉舒张压显著提高，增加冠脉的血液灌注。</w:t>
      </w:r>
      <w:r>
        <w:rPr>
          <w:rFonts w:hint="eastAsia" w:ascii="仿宋_GB2312" w:eastAsia="仿宋_GB2312"/>
          <w:sz w:val="28"/>
          <w:szCs w:val="28"/>
          <w:lang w:eastAsia="zh-CN"/>
        </w:rPr>
        <w:t>主要参考《</w:t>
      </w:r>
      <w:r>
        <w:rPr>
          <w:rFonts w:ascii="仿宋_GB2312" w:eastAsia="仿宋_GB2312" w:cs="仿宋"/>
          <w:bCs/>
          <w:color w:val="000000" w:themeColor="text1"/>
          <w:sz w:val="28"/>
          <w:szCs w:val="28"/>
          <w14:textFill>
            <w14:solidFill>
              <w14:schemeClr w14:val="tx1"/>
            </w14:solidFill>
          </w14:textFill>
        </w:rPr>
        <w:t>增强型体外反搏理论与实践</w:t>
      </w:r>
      <w:r>
        <w:rPr>
          <w:rFonts w:hint="eastAsia" w:ascii="仿宋_GB2312" w:eastAsia="仿宋_GB2312"/>
          <w:sz w:val="28"/>
          <w:szCs w:val="28"/>
          <w:lang w:eastAsia="zh-CN"/>
        </w:rPr>
        <w:t>》并结合本院临床经验来编写。</w:t>
      </w:r>
    </w:p>
    <w:p>
      <w:pPr>
        <w:adjustRightInd w:val="0"/>
        <w:snapToGrid w:val="0"/>
        <w:spacing w:line="520" w:lineRule="exact"/>
        <w:ind w:firstLine="560" w:firstLineChars="200"/>
        <w:rPr>
          <w:rFonts w:ascii="仿宋_GB2312" w:eastAsia="仿宋_GB2312"/>
          <w:sz w:val="28"/>
          <w:szCs w:val="28"/>
        </w:rPr>
      </w:pPr>
      <w:r>
        <w:rPr>
          <w:rFonts w:ascii="仿宋_GB2312" w:eastAsia="仿宋_GB2312"/>
          <w:sz w:val="28"/>
          <w:szCs w:val="28"/>
        </w:rPr>
        <w:t>排气时间点</w:t>
      </w:r>
      <w:r>
        <w:rPr>
          <w:rFonts w:hint="eastAsia" w:ascii="仿宋_GB2312" w:eastAsia="仿宋_GB2312"/>
          <w:sz w:val="28"/>
          <w:szCs w:val="28"/>
        </w:rPr>
        <w:t>：</w:t>
      </w:r>
      <w:r>
        <w:rPr>
          <w:rFonts w:ascii="仿宋_GB2312" w:eastAsia="仿宋_GB2312"/>
          <w:sz w:val="28"/>
          <w:szCs w:val="28"/>
        </w:rPr>
        <w:t>排气信号置于心电图P波顶峰或P波之前。</w:t>
      </w:r>
    </w:p>
    <w:p>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依据如下：排气在主动脉瓣开启之前，否则会增加心脏后负荷，影响治疗效果。当排气减压正好落在主动脉瓣打开之前时，主动脉内压降低显著，更有效的降低左室后负荷</w:t>
      </w:r>
      <w:r>
        <w:rPr>
          <w:rFonts w:hint="eastAsia" w:ascii="仿宋_GB2312" w:eastAsia="仿宋_GB2312"/>
          <w:sz w:val="28"/>
          <w:szCs w:val="28"/>
          <w:lang w:eastAsia="zh-CN"/>
        </w:rPr>
        <w:t>。</w:t>
      </w:r>
    </w:p>
    <w:p>
      <w:pPr>
        <w:adjustRightInd w:val="0"/>
        <w:snapToGrid w:val="0"/>
        <w:spacing w:line="520" w:lineRule="exact"/>
        <w:ind w:firstLine="562" w:firstLineChars="200"/>
        <w:rPr>
          <w:rFonts w:ascii="仿宋_GB2312" w:eastAsia="仿宋_GB2312"/>
          <w:b/>
          <w:bCs/>
          <w:sz w:val="28"/>
          <w:szCs w:val="28"/>
        </w:rPr>
      </w:pPr>
      <w:r>
        <w:rPr>
          <w:rFonts w:hint="eastAsia" w:ascii="仿宋_GB2312" w:eastAsia="仿宋_GB2312"/>
          <w:b/>
          <w:bCs/>
          <w:sz w:val="28"/>
          <w:szCs w:val="28"/>
        </w:rPr>
        <w:t>参考资料：</w:t>
      </w:r>
    </w:p>
    <w:p>
      <w:pPr>
        <w:pStyle w:val="52"/>
        <w:numPr>
          <w:ilvl w:val="0"/>
          <w:numId w:val="13"/>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弭守玲,钱菊英,吴永健,等. 慢性冠状动脉综合征增强型体外反搏治疗中国专家共识 [J]. 中国介入心脏病学杂志, 2022, 30 (02): 81-87.</w:t>
      </w:r>
    </w:p>
    <w:p>
      <w:pPr>
        <w:pStyle w:val="52"/>
        <w:numPr>
          <w:ilvl w:val="0"/>
          <w:numId w:val="13"/>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中华医学会老年医学分会心血管病学组,《中华老年医学杂志》编辑委员会,中国生物医学工程学会体外反搏分会老年学组. 老年人体外反搏临床应用中国专家共识(2019)[J]. 中华老年医学杂志,2019,38(9):953-961.</w:t>
      </w:r>
    </w:p>
    <w:p>
      <w:pPr>
        <w:pStyle w:val="52"/>
        <w:numPr>
          <w:ilvl w:val="0"/>
          <w:numId w:val="13"/>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bookmarkStart w:id="9" w:name="_Hlk165965168"/>
      <w:r>
        <w:rPr>
          <w:rFonts w:ascii="仿宋_GB2312" w:eastAsia="仿宋_GB2312" w:cs="仿宋"/>
          <w:bCs/>
          <w:color w:val="000000" w:themeColor="text1"/>
          <w:sz w:val="28"/>
          <w:szCs w:val="28"/>
          <w14:textFill>
            <w14:solidFill>
              <w14:schemeClr w14:val="tx1"/>
            </w14:solidFill>
          </w14:textFill>
        </w:rPr>
        <w:t>蔡大卫</w:t>
      </w:r>
      <w:r>
        <w:rPr>
          <w:rFonts w:ascii="仿宋_GB2312" w:eastAsia="仿宋_GB2312" w:cs="仿宋"/>
          <w:bCs/>
          <w:color w:val="000000" w:themeColor="text1"/>
          <w:sz w:val="28"/>
          <w:szCs w:val="28"/>
          <w:highlight w:val="none"/>
          <w14:textFill>
            <w14:solidFill>
              <w14:schemeClr w14:val="tx1"/>
            </w14:solidFill>
          </w14:textFill>
        </w:rPr>
        <w:t>.体外反搏[M</w:t>
      </w:r>
      <w:r>
        <w:rPr>
          <w:rFonts w:ascii="仿宋_GB2312" w:eastAsia="仿宋_GB2312" w:cs="仿宋"/>
          <w:bCs/>
          <w:color w:val="000000" w:themeColor="text1"/>
          <w:sz w:val="28"/>
          <w:szCs w:val="28"/>
          <w14:textFill>
            <w14:solidFill>
              <w14:schemeClr w14:val="tx1"/>
            </w14:solidFill>
          </w14:textFill>
        </w:rPr>
        <w:t>].上海：科学与技术出版社，2004.</w:t>
      </w:r>
    </w:p>
    <w:bookmarkEnd w:id="9"/>
    <w:p>
      <w:pPr>
        <w:pStyle w:val="52"/>
        <w:numPr>
          <w:ilvl w:val="0"/>
          <w:numId w:val="13"/>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ascii="仿宋_GB2312" w:eastAsia="仿宋_GB2312" w:cs="仿宋"/>
          <w:bCs/>
          <w:color w:val="000000" w:themeColor="text1"/>
          <w:sz w:val="28"/>
          <w:szCs w:val="28"/>
          <w14:textFill>
            <w14:solidFill>
              <w14:schemeClr w14:val="tx1"/>
            </w14:solidFill>
          </w14:textFill>
        </w:rPr>
        <w:t>伍贵富，杜志民.增强型体外反搏理论与实践[M].北京：人民卫生出版社，2012.</w:t>
      </w:r>
    </w:p>
    <w:p>
      <w:pPr>
        <w:adjustRightInd w:val="0"/>
        <w:snapToGrid w:val="0"/>
        <w:spacing w:line="520" w:lineRule="exact"/>
        <w:ind w:firstLine="562" w:firstLineChars="200"/>
        <w:rPr>
          <w:rFonts w:ascii="仿宋_GB2312" w:eastAsia="仿宋_GB2312"/>
          <w:b/>
          <w:bCs/>
          <w:sz w:val="28"/>
          <w:szCs w:val="28"/>
        </w:rPr>
      </w:pPr>
      <w:r>
        <w:rPr>
          <w:rFonts w:hint="eastAsia" w:ascii="仿宋_GB2312" w:eastAsia="仿宋_GB2312"/>
          <w:b/>
          <w:bCs/>
          <w:sz w:val="28"/>
          <w:szCs w:val="28"/>
        </w:rPr>
        <w:t>（6）</w:t>
      </w:r>
      <w:r>
        <w:rPr>
          <w:rFonts w:ascii="仿宋_GB2312" w:eastAsia="仿宋_GB2312"/>
          <w:b/>
          <w:bCs/>
          <w:sz w:val="28"/>
          <w:szCs w:val="28"/>
        </w:rPr>
        <w:t>压力调节</w:t>
      </w:r>
    </w:p>
    <w:p>
      <w:pPr>
        <w:adjustRightInd w:val="0"/>
        <w:snapToGrid w:val="0"/>
        <w:spacing w:line="520" w:lineRule="exact"/>
        <w:ind w:firstLine="560" w:firstLineChars="200"/>
        <w:rPr>
          <w:rFonts w:ascii="仿宋_GB2312" w:eastAsia="仿宋_GB2312"/>
          <w:color w:val="000000" w:themeColor="text1"/>
          <w:sz w:val="28"/>
          <w:szCs w:val="28"/>
          <w14:textFill>
            <w14:solidFill>
              <w14:schemeClr w14:val="tx1"/>
            </w14:solidFill>
          </w14:textFill>
        </w:rPr>
      </w:pPr>
      <w:r>
        <w:rPr>
          <w:rFonts w:ascii="仿宋_GB2312" w:eastAsia="仿宋_GB2312"/>
          <w:color w:val="000000" w:themeColor="text1"/>
          <w:sz w:val="28"/>
          <w:szCs w:val="28"/>
          <w14:textFill>
            <w14:solidFill>
              <w14:schemeClr w14:val="tx1"/>
            </w14:solidFill>
          </w14:textFill>
        </w:rPr>
        <w:t>将压力调至0.03 MPa，然后开启电磁阀及气泵，待患者适应反搏压力后再逐渐加大压力。常规反搏压力一般为0.03 MPa～0.045 MPa之间。</w:t>
      </w:r>
      <w:r>
        <w:rPr>
          <w:rFonts w:hint="eastAsia" w:ascii="仿宋_GB2312" w:eastAsia="仿宋_GB2312"/>
          <w:color w:val="000000" w:themeColor="text1"/>
          <w:sz w:val="28"/>
          <w:szCs w:val="28"/>
          <w14:textFill>
            <w14:solidFill>
              <w14:schemeClr w14:val="tx1"/>
            </w14:solidFill>
          </w14:textFill>
        </w:rPr>
        <w:t>压力指标主要依据相关临床研究及实践经验而确定，充气压过低，难以驱动血流达到体外反搏的血流动力学效果；压力过高，患者难以耐受。</w:t>
      </w:r>
    </w:p>
    <w:p>
      <w:pPr>
        <w:adjustRightInd w:val="0"/>
        <w:snapToGrid w:val="0"/>
        <w:spacing w:line="520" w:lineRule="exact"/>
        <w:ind w:firstLine="560" w:firstLineChars="200"/>
        <w:rPr>
          <w:rFonts w:hint="eastAsia" w:ascii="仿宋_GB2312" w:hAnsi="仿宋_GB2312" w:eastAsia="仿宋_GB2312" w:cs="仿宋_GB2312"/>
          <w:color w:val="000000" w:themeColor="text1"/>
          <w:sz w:val="28"/>
          <w:szCs w:val="28"/>
          <w:lang w:eastAsia="zh-CN"/>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治疗压力宜从最小有效压力开始，逐渐增加压力，经3～5次治疗后达到标准治疗参数｡不同疾病类型对治疗压力要求不同，老年心绞痛患者0.03 MPa～0.045 MPa的压力可能更大程度地改善心肌供血；对缺血性脑血管病患者，能获得更好的脑血流灌注｡同时，设定压力时要考虑患者皮下脂肪和肌肉水平｡肥胖者适当增加压力，消瘦者适当减小压力｡</w:t>
      </w:r>
      <w:r>
        <w:rPr>
          <w:rFonts w:hint="eastAsia" w:ascii="仿宋_GB2312" w:hAnsi="仿宋_GB2312" w:eastAsia="仿宋_GB2312" w:cs="仿宋_GB2312"/>
          <w:color w:val="000000" w:themeColor="text1"/>
          <w:sz w:val="28"/>
          <w:szCs w:val="28"/>
          <w:lang w:eastAsia="zh-CN"/>
          <w14:textFill>
            <w14:solidFill>
              <w14:schemeClr w14:val="tx1"/>
            </w14:solidFill>
          </w14:textFill>
        </w:rPr>
        <w:t>主要参照</w:t>
      </w: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bCs/>
          <w:color w:val="000000" w:themeColor="text1"/>
          <w:sz w:val="28"/>
          <w:szCs w:val="28"/>
          <w14:textFill>
            <w14:solidFill>
              <w14:schemeClr w14:val="tx1"/>
            </w14:solidFill>
          </w14:textFill>
        </w:rPr>
        <w:t>增强型体外反搏理论与实践</w:t>
      </w:r>
      <w:r>
        <w:rPr>
          <w:rFonts w:hint="eastAsia" w:ascii="仿宋_GB2312" w:hAnsi="仿宋_GB2312" w:eastAsia="仿宋_GB2312" w:cs="仿宋_GB2312"/>
          <w:sz w:val="28"/>
          <w:szCs w:val="28"/>
          <w:lang w:eastAsia="zh-CN"/>
        </w:rPr>
        <w:t>》和《</w:t>
      </w:r>
      <w:r>
        <w:rPr>
          <w:rFonts w:hint="eastAsia" w:ascii="仿宋_GB2312" w:hAnsi="仿宋_GB2312" w:eastAsia="仿宋_GB2312" w:cs="仿宋_GB2312"/>
          <w:bCs/>
          <w:color w:val="000000" w:themeColor="text1"/>
          <w:sz w:val="28"/>
          <w:szCs w:val="28"/>
          <w14:textFill>
            <w14:solidFill>
              <w14:schemeClr w14:val="tx1"/>
            </w14:solidFill>
          </w14:textFill>
        </w:rPr>
        <w:t>老年人体外反搏临床应用中国专家共识</w:t>
      </w:r>
      <w:r>
        <w:rPr>
          <w:rFonts w:hint="eastAsia" w:ascii="仿宋_GB2312" w:hAnsi="仿宋_GB2312" w:eastAsia="仿宋_GB2312" w:cs="仿宋_GB2312"/>
          <w:sz w:val="28"/>
          <w:szCs w:val="28"/>
          <w:lang w:eastAsia="zh-CN"/>
        </w:rPr>
        <w:t>》及临床经验来编制制定。</w:t>
      </w:r>
    </w:p>
    <w:p>
      <w:pPr>
        <w:adjustRightInd w:val="0"/>
        <w:snapToGrid w:val="0"/>
        <w:spacing w:line="520" w:lineRule="exact"/>
        <w:ind w:firstLine="562" w:firstLineChars="200"/>
        <w:rPr>
          <w:rFonts w:ascii="仿宋_GB2312" w:eastAsia="仿宋_GB2312"/>
          <w:b/>
          <w:bCs/>
          <w:color w:val="000000" w:themeColor="text1"/>
          <w:sz w:val="28"/>
          <w:szCs w:val="28"/>
          <w14:textFill>
            <w14:solidFill>
              <w14:schemeClr w14:val="tx1"/>
            </w14:solidFill>
          </w14:textFill>
        </w:rPr>
      </w:pPr>
      <w:r>
        <w:rPr>
          <w:rFonts w:hint="eastAsia" w:ascii="仿宋_GB2312" w:eastAsia="仿宋_GB2312"/>
          <w:b/>
          <w:bCs/>
          <w:color w:val="000000" w:themeColor="text1"/>
          <w:sz w:val="28"/>
          <w:szCs w:val="28"/>
          <w14:textFill>
            <w14:solidFill>
              <w14:schemeClr w14:val="tx1"/>
            </w14:solidFill>
          </w14:textFill>
        </w:rPr>
        <w:t>参考资料：</w:t>
      </w:r>
    </w:p>
    <w:p>
      <w:pPr>
        <w:pStyle w:val="52"/>
        <w:numPr>
          <w:ilvl w:val="0"/>
          <w:numId w:val="14"/>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中华医学会老年医学分会心血管病学组,《中华老年医学杂志》编辑委员会,中国生物医学工程学会体外反搏分会老年学组. 老年人体外反搏临床应用中国专家共识(2019)[J]. 中华老年医学杂志,2019,38(9):953-961.</w:t>
      </w:r>
    </w:p>
    <w:p>
      <w:pPr>
        <w:adjustRightInd w:val="0"/>
        <w:snapToGrid w:val="0"/>
        <w:spacing w:line="520" w:lineRule="exact"/>
        <w:ind w:firstLine="562" w:firstLineChars="200"/>
        <w:rPr>
          <w:rFonts w:ascii="仿宋_GB2312" w:eastAsia="仿宋_GB2312"/>
          <w:b/>
          <w:bCs/>
          <w:sz w:val="28"/>
          <w:szCs w:val="28"/>
        </w:rPr>
      </w:pPr>
      <w:r>
        <w:rPr>
          <w:rFonts w:hint="eastAsia" w:ascii="仿宋_GB2312" w:eastAsia="仿宋_GB2312"/>
          <w:b/>
          <w:bCs/>
          <w:sz w:val="28"/>
          <w:szCs w:val="28"/>
        </w:rPr>
        <w:t>（7）</w:t>
      </w:r>
      <w:r>
        <w:rPr>
          <w:rFonts w:ascii="仿宋_GB2312" w:eastAsia="仿宋_GB2312"/>
          <w:b/>
          <w:bCs/>
          <w:sz w:val="28"/>
          <w:szCs w:val="28"/>
        </w:rPr>
        <w:t>观察指标</w:t>
      </w:r>
    </w:p>
    <w:p>
      <w:pPr>
        <w:ind w:firstLine="560" w:firstLineChars="200"/>
        <w:rPr>
          <w:rFonts w:hint="eastAsia"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主要观察3个指标：</w:t>
      </w:r>
      <w:r>
        <w:rPr>
          <w:rFonts w:ascii="仿宋_GB2312" w:eastAsia="仿宋_GB2312"/>
          <w:color w:val="000000" w:themeColor="text1"/>
          <w:sz w:val="28"/>
          <w:szCs w:val="28"/>
          <w14:textFill>
            <w14:solidFill>
              <w14:schemeClr w14:val="tx1"/>
            </w14:solidFill>
          </w14:textFill>
        </w:rPr>
        <w:t>充气压力</w:t>
      </w:r>
      <w:r>
        <w:rPr>
          <w:rFonts w:hint="eastAsia" w:ascii="仿宋_GB2312" w:eastAsia="仿宋_GB2312"/>
          <w:color w:val="000000" w:themeColor="text1"/>
          <w:sz w:val="28"/>
          <w:szCs w:val="28"/>
          <w14:textFill>
            <w14:solidFill>
              <w14:schemeClr w14:val="tx1"/>
            </w14:solidFill>
          </w14:textFill>
        </w:rPr>
        <w:t>、</w:t>
      </w:r>
      <w:r>
        <w:rPr>
          <w:rFonts w:ascii="仿宋_GB2312" w:eastAsia="仿宋_GB2312"/>
          <w:color w:val="000000" w:themeColor="text1"/>
          <w:sz w:val="28"/>
          <w:szCs w:val="28"/>
          <w14:textFill>
            <w14:solidFill>
              <w14:schemeClr w14:val="tx1"/>
            </w14:solidFill>
          </w14:textFill>
        </w:rPr>
        <w:t>充、排气时间</w:t>
      </w:r>
      <w:r>
        <w:rPr>
          <w:rFonts w:hint="eastAsia" w:ascii="仿宋_GB2312" w:eastAsia="仿宋_GB2312"/>
          <w:color w:val="000000" w:themeColor="text1"/>
          <w:sz w:val="28"/>
          <w:szCs w:val="28"/>
          <w14:textFill>
            <w14:solidFill>
              <w14:schemeClr w14:val="tx1"/>
            </w14:solidFill>
          </w14:textFill>
        </w:rPr>
        <w:t>、</w:t>
      </w:r>
      <w:r>
        <w:rPr>
          <w:rFonts w:ascii="仿宋_GB2312" w:eastAsia="仿宋_GB2312"/>
          <w:color w:val="000000" w:themeColor="text1"/>
          <w:sz w:val="28"/>
          <w:szCs w:val="28"/>
          <w14:textFill>
            <w14:solidFill>
              <w14:schemeClr w14:val="tx1"/>
            </w14:solidFill>
          </w14:textFill>
        </w:rPr>
        <w:t>保压时间</w:t>
      </w:r>
      <w:r>
        <w:rPr>
          <w:rFonts w:hint="eastAsia" w:ascii="仿宋_GB2312" w:eastAsia="仿宋_GB2312"/>
          <w:color w:val="000000" w:themeColor="text1"/>
          <w:sz w:val="28"/>
          <w:szCs w:val="28"/>
          <w14:textFill>
            <w14:solidFill>
              <w14:schemeClr w14:val="tx1"/>
            </w14:solidFill>
          </w14:textFill>
        </w:rPr>
        <w:t>主要依据临床教材、指南及实践经验而确定。其理论依据如下：（1）充气时间：反搏气囊加压必须在主动脉瓣完全关闭之后，否则会增加左心室射血阻力、形成主动脉瓣反流，增加心脏负荷，产生不利的作用。同时，EECP 反搏气囊加压的时间尽量提前，使主动脉内反流的血液在主动脉瓣关闭后紧接着到达主动脉根部，使主动脉舒张压显著提高，增加冠脉的血液灌注。（2）排气时间：排气在主动脉瓣开启之前，否则会增加心脏后负荷，影响治疗效果。当排气减压正好落在主动脉瓣打开之前时，主动脉内压降低显著，更有效的降低左室后负荷。（3）充气压力：具有个体差异，充气压过低，难以驱动血流达到体外反搏的血流动力学效果；压力过高，患者难以耐受。</w:t>
      </w:r>
    </w:p>
    <w:p>
      <w:pPr>
        <w:ind w:firstLine="420" w:firstLineChars="200"/>
        <w:jc w:val="center"/>
      </w:pPr>
      <w:r>
        <w:drawing>
          <wp:inline distT="0" distB="0" distL="114300" distR="114300">
            <wp:extent cx="2775585" cy="2110105"/>
            <wp:effectExtent l="0" t="0" r="5715" b="444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0"/>
                    <a:srcRect b="1917"/>
                    <a:stretch>
                      <a:fillRect/>
                    </a:stretch>
                  </pic:blipFill>
                  <pic:spPr>
                    <a:xfrm>
                      <a:off x="0" y="0"/>
                      <a:ext cx="2775585" cy="2110105"/>
                    </a:xfrm>
                    <a:prstGeom prst="rect">
                      <a:avLst/>
                    </a:prstGeom>
                    <a:noFill/>
                    <a:ln>
                      <a:noFill/>
                    </a:ln>
                  </pic:spPr>
                </pic:pic>
              </a:graphicData>
            </a:graphic>
          </wp:inline>
        </w:drawing>
      </w:r>
    </w:p>
    <w:p>
      <w:pPr>
        <w:ind w:firstLine="420" w:firstLineChars="200"/>
        <w:jc w:val="center"/>
      </w:pPr>
      <w:r>
        <w:drawing>
          <wp:inline distT="0" distB="0" distL="114300" distR="114300">
            <wp:extent cx="2741295" cy="1071245"/>
            <wp:effectExtent l="0" t="0" r="1905" b="1460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1"/>
                    <a:srcRect t="4251"/>
                    <a:stretch>
                      <a:fillRect/>
                    </a:stretch>
                  </pic:blipFill>
                  <pic:spPr>
                    <a:xfrm>
                      <a:off x="0" y="0"/>
                      <a:ext cx="2741295" cy="107124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120" w:lineRule="auto"/>
        <w:ind w:firstLine="420" w:firstLineChars="200"/>
        <w:jc w:val="center"/>
        <w:textAlignment w:val="auto"/>
      </w:pPr>
    </w:p>
    <w:p>
      <w:pPr>
        <w:ind w:firstLine="422" w:firstLineChars="200"/>
        <w:jc w:val="center"/>
        <w:rPr>
          <w:rFonts w:hint="eastAsia"/>
          <w:b/>
          <w:bCs/>
          <w:lang w:eastAsia="zh-CN"/>
        </w:rPr>
      </w:pPr>
      <w:r>
        <w:rPr>
          <w:rFonts w:hint="eastAsia"/>
          <w:b/>
          <w:bCs/>
          <w:lang w:eastAsia="zh-CN"/>
        </w:rPr>
        <w:t>《慢性冠状动脉综合征增强型体外反搏治疗中国专家共识》</w:t>
      </w:r>
    </w:p>
    <w:p>
      <w:pPr>
        <w:ind w:firstLine="560" w:firstLineChars="200"/>
        <w:jc w:val="both"/>
        <w:rPr>
          <w:rFonts w:hint="eastAsia" w:ascii="仿宋_GB2312" w:eastAsia="仿宋_GB2312" w:cs="仿宋"/>
          <w:bCs/>
          <w:color w:val="000000" w:themeColor="text1"/>
          <w:kern w:val="2"/>
          <w:sz w:val="28"/>
          <w:szCs w:val="28"/>
          <w:lang w:val="en-US" w:eastAsia="zh-CN" w:bidi="ar-SA"/>
          <w14:textFill>
            <w14:solidFill>
              <w14:schemeClr w14:val="tx1"/>
            </w14:solidFill>
          </w14:textFill>
        </w:rPr>
      </w:pPr>
      <w:r>
        <w:rPr>
          <w:rFonts w:hint="eastAsia" w:ascii="仿宋_GB2312" w:eastAsia="仿宋_GB2312"/>
          <w:sz w:val="28"/>
          <w:szCs w:val="28"/>
          <w:lang w:eastAsia="zh-CN"/>
        </w:rPr>
        <w:t>《</w:t>
      </w:r>
      <w:r>
        <w:rPr>
          <w:rFonts w:ascii="仿宋_GB2312" w:eastAsia="仿宋_GB2312" w:cs="仿宋"/>
          <w:bCs/>
          <w:color w:val="000000" w:themeColor="text1"/>
          <w:sz w:val="28"/>
          <w:szCs w:val="28"/>
          <w14:textFill>
            <w14:solidFill>
              <w14:schemeClr w14:val="tx1"/>
            </w14:solidFill>
          </w14:textFill>
        </w:rPr>
        <w:t>增强型体外反搏理论与实践</w:t>
      </w:r>
      <w:r>
        <w:rPr>
          <w:rFonts w:hint="eastAsia" w:ascii="仿宋_GB2312" w:eastAsia="仿宋_GB2312"/>
          <w:sz w:val="28"/>
          <w:szCs w:val="28"/>
          <w:lang w:eastAsia="zh-CN"/>
        </w:rPr>
        <w:t>》：“</w:t>
      </w:r>
      <w:r>
        <w:rPr>
          <w:rFonts w:hint="eastAsia" w:ascii="仿宋_GB2312" w:hAnsi="Calibri" w:eastAsia="仿宋_GB2312" w:cs="仿宋"/>
          <w:bCs/>
          <w:color w:val="000000" w:themeColor="text1"/>
          <w:kern w:val="2"/>
          <w:sz w:val="28"/>
          <w:szCs w:val="28"/>
          <w:lang w:val="en-US" w:eastAsia="zh-CN" w:bidi="ar-SA"/>
          <w14:textFill>
            <w14:solidFill>
              <w14:schemeClr w14:val="tx1"/>
            </w14:solidFill>
          </w14:textFill>
        </w:rPr>
        <w:t>压力、保压时间调节的原则:①调节治疗压力使反搏治疗时的增压波达到最高。②在保持最高增压波的原则下,选用最小治疗压力,就应选用 0.045MPa,因治疗压力超过 0.045MPa后增压波不再增高(如反搏治疗压力再增加只会增加患者的不适,而不会提高反搏治疗效果)。③根据患者耐受情况(包括肢体及病情情况)调整治疗压力,对经多次反搏治疗的成人患者,如果没有特殊情况,一般选用的反搏治疗压力不能少于0.030MPa(正压装置为0.035MPa)。④)根据患者心率快慢(T波到P波间距)和患者耐受情况,保持最高增压波情况下调整保压时间。⑤考虑到反搏治疗压力过低,可能对患者心功能产生负面的影响,禁止使用低于0.025MPa(正压反搏0.030MPa)压力治疗。</w:t>
      </w:r>
      <w:r>
        <w:rPr>
          <w:rFonts w:hint="eastAsia" w:ascii="仿宋_GB2312" w:eastAsia="仿宋_GB2312" w:cs="仿宋"/>
          <w:bCs/>
          <w:color w:val="000000" w:themeColor="text1"/>
          <w:kern w:val="2"/>
          <w:sz w:val="28"/>
          <w:szCs w:val="28"/>
          <w:lang w:val="en-US" w:eastAsia="zh-CN" w:bidi="ar-SA"/>
          <w14:textFill>
            <w14:solidFill>
              <w14:schemeClr w14:val="tx1"/>
            </w14:solidFill>
          </w14:textFill>
        </w:rPr>
        <w:t>”当反搏治疗压力达到患者能接受的大小或常规压力(0.03~0.045MPa)后,就可以调节充排气的起始时间点,这两个时间点的调节都需要通过观察指脉波形而定;这两个时间点因人而异,随心率的变化而变化,但它还是有规律可循的。如图 3-1-3,拐点过深,是因为充、排气的起始时间晚了,首先将充气时间向左调(即提前),同样也将排气时间往左调,就能调到更理想的反搏波形,如图 3-1-4所示。又如图 3-1-5所示,为拐点过浅,是因为充、排气的时间过早,则要将充、排气的时间向右调(即往后调),同样也将排气时间往右调,就能调到更理想的反搏波形,如图 3-1-6。</w:t>
      </w:r>
    </w:p>
    <w:p>
      <w:pPr>
        <w:ind w:firstLine="420" w:firstLineChars="200"/>
        <w:jc w:val="center"/>
        <w:rPr>
          <w:rFonts w:hint="eastAsia" w:ascii="仿宋_GB2312" w:eastAsia="仿宋_GB2312" w:cs="仿宋"/>
          <w:bCs/>
          <w:color w:val="000000" w:themeColor="text1"/>
          <w:kern w:val="2"/>
          <w:sz w:val="28"/>
          <w:szCs w:val="28"/>
          <w:lang w:val="en-US" w:eastAsia="zh-CN" w:bidi="ar-SA"/>
          <w14:textFill>
            <w14:solidFill>
              <w14:schemeClr w14:val="tx1"/>
            </w14:solidFill>
          </w14:textFill>
        </w:rPr>
      </w:pPr>
      <w:r>
        <w:drawing>
          <wp:inline distT="0" distB="0" distL="114300" distR="114300">
            <wp:extent cx="4161790" cy="3021330"/>
            <wp:effectExtent l="0" t="0" r="10160" b="762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2"/>
                    <a:stretch>
                      <a:fillRect/>
                    </a:stretch>
                  </pic:blipFill>
                  <pic:spPr>
                    <a:xfrm>
                      <a:off x="0" y="0"/>
                      <a:ext cx="4161790" cy="3021330"/>
                    </a:xfrm>
                    <a:prstGeom prst="rect">
                      <a:avLst/>
                    </a:prstGeom>
                    <a:noFill/>
                    <a:ln>
                      <a:noFill/>
                    </a:ln>
                  </pic:spPr>
                </pic:pic>
              </a:graphicData>
            </a:graphic>
          </wp:inline>
        </w:drawing>
      </w:r>
    </w:p>
    <w:p>
      <w:pPr>
        <w:ind w:firstLine="562" w:firstLineChars="200"/>
        <w:rPr>
          <w:rFonts w:ascii="仿宋_GB2312" w:eastAsia="仿宋_GB2312" w:cs="仿宋"/>
          <w:b/>
          <w:color w:val="000000" w:themeColor="text1"/>
          <w:sz w:val="28"/>
          <w:szCs w:val="28"/>
          <w14:textFill>
            <w14:solidFill>
              <w14:schemeClr w14:val="tx1"/>
            </w14:solidFill>
          </w14:textFill>
        </w:rPr>
      </w:pPr>
      <w:r>
        <w:rPr>
          <w:rFonts w:hint="eastAsia" w:ascii="仿宋_GB2312" w:eastAsia="仿宋_GB2312" w:cs="仿宋"/>
          <w:b/>
          <w:color w:val="000000" w:themeColor="text1"/>
          <w:sz w:val="28"/>
          <w:szCs w:val="28"/>
          <w14:textFill>
            <w14:solidFill>
              <w14:schemeClr w14:val="tx1"/>
            </w14:solidFill>
          </w14:textFill>
        </w:rPr>
        <w:t>参考资料：</w:t>
      </w:r>
    </w:p>
    <w:p>
      <w:pPr>
        <w:pStyle w:val="52"/>
        <w:numPr>
          <w:ilvl w:val="0"/>
          <w:numId w:val="15"/>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弭守玲,钱菊英,吴永健,等. 慢性冠状动脉综合征增强型体外反搏治疗中国专家共识 [J]. 中国介入心脏病学杂志, 2022, 30 (02): 81-87.</w:t>
      </w:r>
    </w:p>
    <w:p>
      <w:pPr>
        <w:pStyle w:val="52"/>
        <w:numPr>
          <w:ilvl w:val="0"/>
          <w:numId w:val="15"/>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中华医学会老年医学分会心血管病学组,《中华老年医学杂志》编辑委员会,中国生物医学工程学会体外反搏分会老年学组. 老年人体外反搏临床应用中国专家共识(2019)[J]. 中华老年医学杂志,2019,38(9):953-961.</w:t>
      </w:r>
    </w:p>
    <w:p>
      <w:pPr>
        <w:pStyle w:val="52"/>
        <w:numPr>
          <w:ilvl w:val="0"/>
          <w:numId w:val="15"/>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ascii="仿宋_GB2312" w:eastAsia="仿宋_GB2312" w:cs="仿宋"/>
          <w:bCs/>
          <w:color w:val="000000" w:themeColor="text1"/>
          <w:sz w:val="28"/>
          <w:szCs w:val="28"/>
          <w14:textFill>
            <w14:solidFill>
              <w14:schemeClr w14:val="tx1"/>
            </w14:solidFill>
          </w14:textFill>
        </w:rPr>
        <w:t>蔡大卫.体外反搏[M].上海：科学与技术出版社，2004.</w:t>
      </w:r>
    </w:p>
    <w:p>
      <w:pPr>
        <w:pStyle w:val="52"/>
        <w:numPr>
          <w:ilvl w:val="0"/>
          <w:numId w:val="15"/>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ascii="仿宋_GB2312" w:eastAsia="仿宋_GB2312" w:cs="仿宋"/>
          <w:bCs/>
          <w:color w:val="000000" w:themeColor="text1"/>
          <w:sz w:val="28"/>
          <w:szCs w:val="28"/>
          <w14:textFill>
            <w14:solidFill>
              <w14:schemeClr w14:val="tx1"/>
            </w14:solidFill>
          </w14:textFill>
        </w:rPr>
        <w:t>伍贵富，杜志民.增强型体外反搏理论与实践[M].北京：人民卫生出版社，2012.</w:t>
      </w:r>
    </w:p>
    <w:p>
      <w:pPr>
        <w:adjustRightInd w:val="0"/>
        <w:snapToGrid w:val="0"/>
        <w:spacing w:line="520" w:lineRule="exact"/>
        <w:ind w:firstLine="420"/>
        <w:rPr>
          <w:rFonts w:ascii="仿宋_GB2312" w:eastAsia="仿宋_GB2312"/>
          <w:b/>
          <w:bCs/>
          <w:sz w:val="28"/>
          <w:szCs w:val="28"/>
        </w:rPr>
      </w:pPr>
      <w:r>
        <w:rPr>
          <w:rFonts w:hint="eastAsia" w:ascii="仿宋_GB2312" w:eastAsia="仿宋_GB2312"/>
          <w:b/>
          <w:bCs/>
          <w:sz w:val="28"/>
          <w:szCs w:val="28"/>
        </w:rPr>
        <w:t>（8）</w:t>
      </w:r>
      <w:r>
        <w:rPr>
          <w:rFonts w:ascii="仿宋_GB2312" w:eastAsia="仿宋_GB2312"/>
          <w:b/>
          <w:bCs/>
          <w:sz w:val="28"/>
          <w:szCs w:val="28"/>
        </w:rPr>
        <w:t>治疗疗程</w:t>
      </w:r>
    </w:p>
    <w:p>
      <w:pPr>
        <w:adjustRightInd w:val="0"/>
        <w:snapToGrid w:val="0"/>
        <w:spacing w:line="520" w:lineRule="exact"/>
        <w:ind w:firstLine="560" w:firstLineChars="200"/>
        <w:rPr>
          <w:rFonts w:ascii="仿宋_GB2312" w:eastAsia="仿宋_GB2312"/>
          <w:sz w:val="28"/>
          <w:szCs w:val="28"/>
        </w:rPr>
      </w:pPr>
      <w:r>
        <w:rPr>
          <w:rFonts w:ascii="仿宋_GB2312" w:eastAsia="仿宋_GB2312"/>
          <w:sz w:val="28"/>
          <w:szCs w:val="28"/>
        </w:rPr>
        <w:t>每天治疗1 h，一疗程总治疗时长为35 h～36 h；如果患者耐受性差，可适当减少每次治疗时长，每天治疗1～2次；每周治疗天数和治疗疗程数可根据患者实际情况适当调整。</w:t>
      </w:r>
    </w:p>
    <w:p>
      <w:pPr>
        <w:adjustRightInd w:val="0"/>
        <w:snapToGrid w:val="0"/>
        <w:spacing w:line="520" w:lineRule="exact"/>
        <w:ind w:firstLine="420"/>
        <w:rPr>
          <w:rFonts w:ascii="仿宋_GB2312" w:eastAsia="仿宋_GB2312"/>
          <w:sz w:val="28"/>
          <w:szCs w:val="28"/>
        </w:rPr>
      </w:pPr>
      <w:r>
        <w:rPr>
          <w:rFonts w:hint="eastAsia" w:ascii="仿宋_GB2312" w:eastAsia="仿宋_GB2312"/>
          <w:b/>
          <w:bCs/>
          <w:sz w:val="28"/>
          <w:szCs w:val="28"/>
        </w:rPr>
        <w:t>（9）</w:t>
      </w:r>
      <w:r>
        <w:rPr>
          <w:rFonts w:ascii="仿宋_GB2312" w:eastAsia="仿宋_GB2312"/>
          <w:b/>
          <w:bCs/>
          <w:sz w:val="28"/>
          <w:szCs w:val="28"/>
        </w:rPr>
        <w:t>治疗有效指标</w:t>
      </w:r>
      <w:r>
        <w:rPr>
          <w:rFonts w:hint="eastAsia" w:ascii="仿宋_GB2312" w:eastAsia="仿宋_GB2312"/>
          <w:sz w:val="28"/>
          <w:szCs w:val="28"/>
        </w:rPr>
        <w:t>：</w:t>
      </w:r>
      <w:r>
        <w:rPr>
          <w:rFonts w:ascii="仿宋_GB2312" w:eastAsia="仿宋_GB2312"/>
          <w:sz w:val="28"/>
          <w:szCs w:val="28"/>
        </w:rPr>
        <w:t>D／S＞1.2</w:t>
      </w:r>
      <w:r>
        <w:rPr>
          <w:rFonts w:hint="eastAsia" w:ascii="仿宋_GB2312" w:eastAsia="仿宋_GB2312"/>
          <w:sz w:val="28"/>
          <w:szCs w:val="28"/>
        </w:rPr>
        <w:t>；</w:t>
      </w:r>
      <w:r>
        <w:rPr>
          <w:rFonts w:ascii="仿宋_GB2312" w:eastAsia="仿宋_GB2312"/>
          <w:sz w:val="28"/>
          <w:szCs w:val="28"/>
        </w:rPr>
        <w:t>左室功能增加</w:t>
      </w:r>
      <w:r>
        <w:rPr>
          <w:rFonts w:hint="eastAsia" w:ascii="仿宋_GB2312" w:eastAsia="仿宋_GB2312"/>
          <w:sz w:val="28"/>
          <w:szCs w:val="28"/>
        </w:rPr>
        <w:t>；</w:t>
      </w:r>
      <w:r>
        <w:rPr>
          <w:rFonts w:ascii="仿宋_GB2312" w:eastAsia="仿宋_GB2312"/>
          <w:sz w:val="28"/>
          <w:szCs w:val="28"/>
        </w:rPr>
        <w:t>冠脉内血流增加</w:t>
      </w:r>
      <w:r>
        <w:rPr>
          <w:rFonts w:hint="eastAsia" w:ascii="仿宋_GB2312" w:eastAsia="仿宋_GB2312"/>
          <w:sz w:val="28"/>
          <w:szCs w:val="28"/>
        </w:rPr>
        <w:t>。</w:t>
      </w:r>
    </w:p>
    <w:p>
      <w:pPr>
        <w:adjustRightInd w:val="0"/>
        <w:snapToGrid w:val="0"/>
        <w:spacing w:line="520" w:lineRule="exact"/>
        <w:ind w:firstLine="560" w:firstLineChars="200"/>
        <w:rPr>
          <w:rFonts w:ascii="仿宋_GB2312" w:eastAsia="仿宋_GB2312"/>
          <w:sz w:val="28"/>
          <w:szCs w:val="28"/>
        </w:rPr>
      </w:pPr>
      <w:r>
        <w:rPr>
          <w:rFonts w:ascii="仿宋_GB2312" w:eastAsia="仿宋_GB2312"/>
          <w:sz w:val="28"/>
          <w:szCs w:val="28"/>
        </w:rPr>
        <w:t>ECP能否充分提高主动脉舒张期血压，是衡量体外反搏能否发挥有效作用的关键性指标之一，一般要求治疗过程中舒张期增压波（D）和收缩波（S）的比值（D／S）＞1.2</w:t>
      </w:r>
      <w:r>
        <w:rPr>
          <w:rFonts w:hint="eastAsia" w:ascii="仿宋_GB2312" w:eastAsia="仿宋_GB2312"/>
          <w:sz w:val="28"/>
          <w:szCs w:val="28"/>
        </w:rPr>
        <w:t>。</w:t>
      </w:r>
      <w:r>
        <w:rPr>
          <w:rFonts w:ascii="仿宋_GB2312" w:eastAsia="仿宋_GB2312"/>
          <w:sz w:val="28"/>
          <w:szCs w:val="28"/>
        </w:rPr>
        <w:t>ECP时静脉回心血量明显增加，同时左心室射血阻力下降，将导致心排血量增加，体现为为每搏输出量、心脏指数增加。ECP可以提高冠状动脉内压力和冠状动脉内多普勒血流速度，是评价心肌缺血改善的重要指标之一。</w:t>
      </w:r>
    </w:p>
    <w:p>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（1）一项纳入1</w:t>
      </w:r>
      <w:r>
        <w:rPr>
          <w:rFonts w:ascii="仿宋_GB2312" w:eastAsia="仿宋_GB2312"/>
          <w:sz w:val="28"/>
          <w:szCs w:val="28"/>
        </w:rPr>
        <w:t>4</w:t>
      </w:r>
      <w:r>
        <w:rPr>
          <w:rFonts w:hint="eastAsia" w:ascii="仿宋_GB2312" w:eastAsia="仿宋_GB2312"/>
          <w:sz w:val="28"/>
          <w:szCs w:val="28"/>
        </w:rPr>
        <w:t>项随机对照试验的Meta分析显示：增强型体外反搏治疗慢性心力衰竭患者的临床疗效较好，左心室射血分数反映左心室收缩功能，为临床心力衰竭治疗后提供客观指标。（2）体外反搏的即时效果是由血流动力学的指标变化来体现的</w:t>
      </w:r>
      <w:r>
        <w:rPr>
          <w:rFonts w:hint="eastAsia" w:ascii="仿宋_GB2312" w:eastAsia="仿宋_GB2312"/>
          <w:sz w:val="28"/>
          <w:szCs w:val="28"/>
          <w:lang w:eastAsia="zh-CN"/>
        </w:rPr>
        <w:t>，</w:t>
      </w:r>
      <w:r>
        <w:rPr>
          <w:rFonts w:hint="eastAsia" w:ascii="仿宋_GB2312" w:eastAsia="仿宋_GB2312"/>
          <w:sz w:val="28"/>
          <w:szCs w:val="28"/>
        </w:rPr>
        <w:t>其中</w:t>
      </w:r>
      <w:r>
        <w:rPr>
          <w:rFonts w:hint="eastAsia" w:ascii="仿宋_GB2312" w:eastAsia="仿宋_GB2312"/>
          <w:sz w:val="28"/>
          <w:szCs w:val="28"/>
          <w:lang w:eastAsia="zh-CN"/>
        </w:rPr>
        <w:t>，</w:t>
      </w:r>
      <w:r>
        <w:rPr>
          <w:rFonts w:hint="eastAsia" w:ascii="仿宋_GB2312" w:eastAsia="仿宋_GB2312"/>
          <w:sz w:val="28"/>
          <w:szCs w:val="28"/>
        </w:rPr>
        <w:t>衡量体外反搏治疗是否有效的关键指标之一是其是否提高主动脉舒张期血压</w:t>
      </w:r>
      <w:r>
        <w:rPr>
          <w:rFonts w:hint="eastAsia" w:ascii="仿宋_GB2312" w:eastAsia="仿宋_GB2312"/>
          <w:sz w:val="28"/>
          <w:szCs w:val="28"/>
          <w:lang w:eastAsia="zh-CN"/>
        </w:rPr>
        <w:t>，</w:t>
      </w:r>
      <w:r>
        <w:rPr>
          <w:rFonts w:hint="eastAsia" w:ascii="仿宋_GB2312" w:eastAsia="仿宋_GB2312"/>
          <w:sz w:val="28"/>
          <w:szCs w:val="28"/>
        </w:rPr>
        <w:t>治疗过程中要求舒张期增压波（即反搏波）与收缩波的比值（D/S)&gt;1.2。（3）冠状动脉血管起自于主动脉根部，心脏舒张期EECP治疗产生的双脉动血流及增压波可明显提高主动脉内压，增加冠状动脉血流及峰值流速，荟萃分析亦发现标准EECP治疗可显著增加冠心病病人的心肌灌注。</w:t>
      </w:r>
    </w:p>
    <w:p>
      <w:pPr>
        <w:ind w:firstLine="420"/>
        <w:rPr>
          <w:rFonts w:ascii="仿宋_GB2312" w:eastAsia="仿宋_GB2312" w:cs="仿宋"/>
          <w:b/>
          <w:sz w:val="28"/>
          <w:szCs w:val="28"/>
        </w:rPr>
      </w:pPr>
      <w:r>
        <w:rPr>
          <w:rFonts w:hint="eastAsia" w:ascii="仿宋_GB2312" w:eastAsia="仿宋_GB2312" w:cs="仿宋"/>
          <w:b/>
          <w:sz w:val="28"/>
          <w:szCs w:val="28"/>
        </w:rPr>
        <w:t>参考资料：</w:t>
      </w:r>
    </w:p>
    <w:p>
      <w:pPr>
        <w:pStyle w:val="52"/>
        <w:numPr>
          <w:ilvl w:val="0"/>
          <w:numId w:val="16"/>
        </w:numPr>
        <w:ind w:firstLineChars="0"/>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李吉旭,郭延林,李允强,等.增强型体外反搏治疗慢性心力衰竭临床疗效的Meta分析[J].心脑血管病防治,2024,24(02):24-30.</w:t>
      </w:r>
    </w:p>
    <w:p>
      <w:pPr>
        <w:pStyle w:val="52"/>
        <w:numPr>
          <w:ilvl w:val="0"/>
          <w:numId w:val="16"/>
        </w:numPr>
        <w:wordWrap w:val="0"/>
        <w:spacing w:line="480" w:lineRule="auto"/>
        <w:ind w:firstLineChars="0"/>
        <w:jc w:val="both"/>
        <w:rPr>
          <w:rFonts w:ascii="仿宋_GB2312" w:eastAsia="仿宋_GB2312"/>
          <w:sz w:val="28"/>
          <w:szCs w:val="36"/>
        </w:rPr>
      </w:pPr>
      <w:r>
        <w:rPr>
          <w:rFonts w:ascii="仿宋_GB2312" w:eastAsia="仿宋_GB2312"/>
          <w:sz w:val="28"/>
          <w:szCs w:val="36"/>
        </w:rPr>
        <w:t>肖智超,胡雅涵,唐雪杨,等.增强型体外反搏治疗冠心病心力衰竭的研究进展[J].赣南医学院学报,2023,43(12):1209-1213.</w:t>
      </w:r>
    </w:p>
    <w:p>
      <w:pPr>
        <w:pStyle w:val="52"/>
        <w:numPr>
          <w:ilvl w:val="0"/>
          <w:numId w:val="16"/>
        </w:numPr>
        <w:wordWrap w:val="0"/>
        <w:spacing w:line="480" w:lineRule="auto"/>
        <w:ind w:firstLineChars="0"/>
        <w:jc w:val="both"/>
        <w:rPr>
          <w:rFonts w:ascii="仿宋_GB2312" w:eastAsia="仿宋_GB2312"/>
          <w:sz w:val="28"/>
          <w:szCs w:val="36"/>
        </w:rPr>
      </w:pPr>
      <w:r>
        <w:rPr>
          <w:rFonts w:ascii="仿宋_GB2312" w:eastAsia="仿宋_GB2312"/>
          <w:sz w:val="28"/>
          <w:szCs w:val="36"/>
        </w:rPr>
        <w:t>顾迎春,韩凌,李杨,等.增强型体外反搏对心血管血流动力学影响的研究进展[J].中西医结合心脑血管病杂志,2023,21(22):4157-4161.</w:t>
      </w:r>
    </w:p>
    <w:p>
      <w:pPr>
        <w:pStyle w:val="56"/>
        <w:ind w:firstLine="562"/>
      </w:pPr>
      <w:r>
        <w:rPr>
          <w:rFonts w:hint="eastAsia"/>
        </w:rPr>
        <w:t>（四）</w:t>
      </w:r>
      <w:r>
        <w:t>注意事项</w:t>
      </w:r>
    </w:p>
    <w:p>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包括</w:t>
      </w:r>
      <w:r>
        <w:rPr>
          <w:rFonts w:ascii="仿宋_GB2312" w:eastAsia="仿宋_GB2312"/>
          <w:sz w:val="28"/>
          <w:szCs w:val="28"/>
        </w:rPr>
        <w:t>反博前注意事项</w:t>
      </w:r>
      <w:r>
        <w:rPr>
          <w:rFonts w:hint="eastAsia" w:ascii="仿宋_GB2312" w:eastAsia="仿宋_GB2312"/>
          <w:sz w:val="28"/>
          <w:szCs w:val="28"/>
        </w:rPr>
        <w:t>、</w:t>
      </w:r>
      <w:r>
        <w:rPr>
          <w:rFonts w:ascii="仿宋_GB2312" w:eastAsia="仿宋_GB2312"/>
          <w:sz w:val="28"/>
          <w:szCs w:val="28"/>
        </w:rPr>
        <w:t>反搏中注意事项</w:t>
      </w:r>
      <w:r>
        <w:rPr>
          <w:rFonts w:hint="eastAsia" w:ascii="仿宋_GB2312" w:eastAsia="仿宋_GB2312"/>
          <w:sz w:val="28"/>
          <w:szCs w:val="28"/>
        </w:rPr>
        <w:t>、</w:t>
      </w:r>
      <w:r>
        <w:rPr>
          <w:rFonts w:ascii="仿宋_GB2312" w:eastAsia="仿宋_GB2312"/>
          <w:sz w:val="28"/>
          <w:szCs w:val="28"/>
        </w:rPr>
        <w:t>反搏后注意事项</w:t>
      </w:r>
      <w:r>
        <w:rPr>
          <w:rFonts w:hint="eastAsia" w:ascii="仿宋_GB2312" w:eastAsia="仿宋_GB2312"/>
          <w:sz w:val="28"/>
          <w:szCs w:val="28"/>
          <w:lang w:eastAsia="zh-CN"/>
        </w:rPr>
        <w:t>。</w:t>
      </w:r>
      <w:r>
        <w:rPr>
          <w:rFonts w:hint="eastAsia" w:ascii="仿宋_GB2312" w:eastAsia="仿宋_GB2312" w:cs="仿宋"/>
          <w:bCs/>
          <w:color w:val="000000" w:themeColor="text1"/>
          <w:sz w:val="28"/>
          <w:szCs w:val="28"/>
          <w:lang w:eastAsia="zh-CN"/>
          <w14:textFill>
            <w14:solidFill>
              <w14:schemeClr w14:val="tx1"/>
            </w14:solidFill>
          </w14:textFill>
        </w:rPr>
        <w:t>主要依据：</w:t>
      </w:r>
      <w:r>
        <w:rPr>
          <w:rFonts w:hint="eastAsia" w:ascii="仿宋_GB2312" w:eastAsia="仿宋_GB2312" w:cs="仿宋"/>
          <w:bCs/>
          <w:color w:val="000000" w:themeColor="text1"/>
          <w:sz w:val="28"/>
          <w:szCs w:val="28"/>
          <w14:textFill>
            <w14:solidFill>
              <w14:schemeClr w14:val="tx1"/>
            </w14:solidFill>
          </w14:textFill>
        </w:rPr>
        <w:t>弭守玲,钱菊英,吴永健,等. 慢性冠状动脉综合征增强型体外反搏治疗中国专家共识 [J]. 中国介入心脏病学杂志, 2022, 30 (02): 81-87.</w:t>
      </w:r>
    </w:p>
    <w:p>
      <w:pPr>
        <w:adjustRightInd w:val="0"/>
        <w:snapToGrid w:val="0"/>
        <w:spacing w:line="520" w:lineRule="exact"/>
        <w:ind w:firstLine="562" w:firstLineChars="200"/>
        <w:jc w:val="center"/>
        <w:rPr>
          <w:rFonts w:hint="eastAsia" w:ascii="仿宋_GB2312" w:eastAsia="仿宋_GB2312" w:cs="仿宋"/>
          <w:b/>
          <w:bCs w:val="0"/>
          <w:color w:val="000000" w:themeColor="text1"/>
          <w:sz w:val="28"/>
          <w:szCs w:val="28"/>
          <w:lang w:eastAsia="zh-CN"/>
          <w14:textFill>
            <w14:solidFill>
              <w14:schemeClr w14:val="tx1"/>
            </w14:solidFill>
          </w14:textFill>
        </w:rPr>
      </w:pPr>
      <w:r>
        <w:rPr>
          <w:rFonts w:hint="eastAsia" w:ascii="仿宋_GB2312" w:eastAsia="仿宋_GB2312" w:cs="仿宋"/>
          <w:b/>
          <w:bCs w:val="0"/>
          <w:color w:val="000000" w:themeColor="text1"/>
          <w:sz w:val="28"/>
          <w:szCs w:val="28"/>
          <w:lang w:eastAsia="zh-CN"/>
          <w14:textFill>
            <w14:solidFill>
              <w14:schemeClr w14:val="tx1"/>
            </w14:solidFill>
          </w14:textFill>
        </w:rPr>
        <w:t>《</w:t>
      </w:r>
      <w:r>
        <w:rPr>
          <w:rFonts w:hint="eastAsia" w:ascii="仿宋_GB2312" w:eastAsia="仿宋_GB2312" w:cs="仿宋"/>
          <w:b/>
          <w:bCs w:val="0"/>
          <w:color w:val="000000" w:themeColor="text1"/>
          <w:sz w:val="28"/>
          <w:szCs w:val="28"/>
          <w14:textFill>
            <w14:solidFill>
              <w14:schemeClr w14:val="tx1"/>
            </w14:solidFill>
          </w14:textFill>
        </w:rPr>
        <w:t>慢性冠状动脉综合征增强型体外反搏治疗中国专家共识</w:t>
      </w:r>
      <w:r>
        <w:rPr>
          <w:b/>
          <w:bCs w:val="0"/>
        </w:rPr>
        <w:drawing>
          <wp:anchor distT="0" distB="0" distL="114300" distR="114300" simplePos="0" relativeHeight="251662336" behindDoc="0" locked="0" layoutInCell="1" allowOverlap="1">
            <wp:simplePos x="0" y="0"/>
            <wp:positionH relativeFrom="column">
              <wp:posOffset>1464310</wp:posOffset>
            </wp:positionH>
            <wp:positionV relativeFrom="paragraph">
              <wp:posOffset>10795</wp:posOffset>
            </wp:positionV>
            <wp:extent cx="2811145" cy="2478405"/>
            <wp:effectExtent l="0" t="0" r="8255" b="17145"/>
            <wp:wrapTopAndBottom/>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3"/>
                    <a:stretch>
                      <a:fillRect/>
                    </a:stretch>
                  </pic:blipFill>
                  <pic:spPr>
                    <a:xfrm>
                      <a:off x="0" y="0"/>
                      <a:ext cx="2811145" cy="2478405"/>
                    </a:xfrm>
                    <a:prstGeom prst="rect">
                      <a:avLst/>
                    </a:prstGeom>
                    <a:noFill/>
                    <a:ln>
                      <a:noFill/>
                    </a:ln>
                  </pic:spPr>
                </pic:pic>
              </a:graphicData>
            </a:graphic>
          </wp:anchor>
        </w:drawing>
      </w:r>
      <w:r>
        <w:rPr>
          <w:rFonts w:hint="eastAsia" w:ascii="仿宋_GB2312" w:eastAsia="仿宋_GB2312" w:cs="仿宋"/>
          <w:b/>
          <w:bCs w:val="0"/>
          <w:color w:val="000000" w:themeColor="text1"/>
          <w:sz w:val="28"/>
          <w:szCs w:val="28"/>
          <w:lang w:eastAsia="zh-CN"/>
          <w14:textFill>
            <w14:solidFill>
              <w14:schemeClr w14:val="tx1"/>
            </w14:solidFill>
          </w14:textFill>
        </w:rPr>
        <w:t>》</w:t>
      </w:r>
    </w:p>
    <w:p>
      <w:pPr>
        <w:pStyle w:val="56"/>
        <w:ind w:firstLine="562"/>
      </w:pPr>
      <w:r>
        <w:rPr>
          <w:rFonts w:hint="eastAsia"/>
        </w:rPr>
        <w:t>（五）</w:t>
      </w:r>
      <w:r>
        <w:t>体外反搏患者伴随疾病的处理建议</w:t>
      </w:r>
    </w:p>
    <w:p>
      <w:pPr>
        <w:adjustRightInd w:val="0"/>
        <w:snapToGrid w:val="0"/>
        <w:spacing w:line="520" w:lineRule="exact"/>
        <w:ind w:firstLine="560" w:firstLineChars="200"/>
        <w:rPr>
          <w:rFonts w:ascii="仿宋_GB2312" w:eastAsia="仿宋_GB2312"/>
          <w:sz w:val="28"/>
          <w:szCs w:val="28"/>
        </w:rPr>
      </w:pPr>
      <w:r>
        <w:rPr>
          <w:rFonts w:ascii="仿宋_GB2312" w:eastAsia="仿宋_GB2312"/>
          <w:sz w:val="28"/>
          <w:szCs w:val="28"/>
        </w:rPr>
        <w:t>心动过速</w:t>
      </w:r>
      <w:r>
        <w:rPr>
          <w:rFonts w:hint="eastAsia" w:ascii="仿宋_GB2312" w:eastAsia="仿宋_GB2312"/>
          <w:sz w:val="28"/>
          <w:szCs w:val="28"/>
        </w:rPr>
        <w:t>：</w:t>
      </w:r>
      <w:r>
        <w:rPr>
          <w:rFonts w:ascii="仿宋_GB2312" w:eastAsia="仿宋_GB2312"/>
          <w:sz w:val="28"/>
          <w:szCs w:val="28"/>
        </w:rPr>
        <w:t>建议控制静息心率在100次/ min以下再考虑行体外反搏治疗。</w:t>
      </w:r>
    </w:p>
    <w:p>
      <w:pPr>
        <w:adjustRightInd w:val="0"/>
        <w:snapToGrid w:val="0"/>
        <w:spacing w:line="520" w:lineRule="exact"/>
        <w:ind w:firstLine="560" w:firstLineChars="200"/>
        <w:rPr>
          <w:rFonts w:ascii="仿宋_GB2312" w:eastAsia="仿宋_GB2312"/>
          <w:sz w:val="28"/>
          <w:szCs w:val="28"/>
        </w:rPr>
      </w:pPr>
      <w:r>
        <w:rPr>
          <w:rFonts w:ascii="仿宋_GB2312" w:eastAsia="仿宋_GB2312"/>
          <w:sz w:val="28"/>
          <w:szCs w:val="28"/>
        </w:rPr>
        <w:t>心房颤动</w:t>
      </w:r>
      <w:r>
        <w:rPr>
          <w:rFonts w:hint="eastAsia" w:ascii="仿宋_GB2312" w:eastAsia="仿宋_GB2312"/>
          <w:sz w:val="28"/>
          <w:szCs w:val="28"/>
        </w:rPr>
        <w:t>：</w:t>
      </w:r>
      <w:r>
        <w:rPr>
          <w:rFonts w:ascii="仿宋_GB2312" w:eastAsia="仿宋_GB2312"/>
          <w:sz w:val="28"/>
          <w:szCs w:val="28"/>
        </w:rPr>
        <w:t>经超声心动图或经食管超声心动图明确心腔内和左心耳无血栓形成，且能够耐受治疗压力高低波动和治疗节律的不规整，可试行体外反搏治疗。</w:t>
      </w:r>
    </w:p>
    <w:p>
      <w:pPr>
        <w:adjustRightInd w:val="0"/>
        <w:snapToGrid w:val="0"/>
        <w:spacing w:line="520" w:lineRule="exact"/>
        <w:ind w:firstLine="560" w:firstLineChars="200"/>
        <w:rPr>
          <w:rFonts w:ascii="仿宋_GB2312" w:eastAsia="仿宋_GB2312"/>
          <w:sz w:val="28"/>
          <w:szCs w:val="28"/>
        </w:rPr>
      </w:pPr>
      <w:r>
        <w:rPr>
          <w:rFonts w:ascii="仿宋_GB2312" w:eastAsia="仿宋_GB2312"/>
          <w:sz w:val="28"/>
          <w:szCs w:val="28"/>
        </w:rPr>
        <w:t>室壁瘤</w:t>
      </w:r>
      <w:r>
        <w:rPr>
          <w:rFonts w:hint="eastAsia" w:ascii="仿宋_GB2312" w:eastAsia="仿宋_GB2312"/>
          <w:sz w:val="28"/>
          <w:szCs w:val="28"/>
        </w:rPr>
        <w:t>：</w:t>
      </w:r>
      <w:r>
        <w:rPr>
          <w:rFonts w:ascii="仿宋_GB2312" w:eastAsia="仿宋_GB2312"/>
          <w:sz w:val="28"/>
          <w:szCs w:val="28"/>
        </w:rPr>
        <w:t>室壁瘤患者是EECP治疗的高危人群，尤其是室壁瘤大、左心功能差、室壁薄的患者。宜选用较小的初始反搏压力，治疗过程中密切关注患者的生命体征。</w:t>
      </w:r>
    </w:p>
    <w:p>
      <w:pPr>
        <w:adjustRightInd w:val="0"/>
        <w:snapToGrid w:val="0"/>
        <w:spacing w:line="520" w:lineRule="exact"/>
        <w:ind w:firstLine="560" w:firstLineChars="200"/>
        <w:rPr>
          <w:rFonts w:ascii="仿宋_GB2312" w:eastAsia="仿宋_GB2312"/>
          <w:sz w:val="28"/>
          <w:szCs w:val="28"/>
        </w:rPr>
      </w:pPr>
      <w:r>
        <w:rPr>
          <w:rFonts w:ascii="仿宋_GB2312" w:eastAsia="仿宋_GB2312"/>
          <w:sz w:val="28"/>
          <w:szCs w:val="28"/>
        </w:rPr>
        <w:t>起搏器植入</w:t>
      </w:r>
      <w:r>
        <w:rPr>
          <w:rFonts w:hint="eastAsia" w:ascii="仿宋_GB2312" w:eastAsia="仿宋_GB2312"/>
          <w:sz w:val="28"/>
          <w:szCs w:val="28"/>
        </w:rPr>
        <w:t>：</w:t>
      </w:r>
      <w:r>
        <w:rPr>
          <w:rFonts w:ascii="仿宋_GB2312" w:eastAsia="仿宋_GB2312"/>
          <w:sz w:val="28"/>
          <w:szCs w:val="28"/>
        </w:rPr>
        <w:t>植入频率应答起搏器的患者行EECP治疗，气囊充排气过程中产生的躯体运动可能导致频率应答触发心动过速，从而影响体外反搏治疗的疗效。</w:t>
      </w:r>
    </w:p>
    <w:p>
      <w:pPr>
        <w:adjustRightInd w:val="0"/>
        <w:snapToGrid w:val="0"/>
        <w:spacing w:line="520" w:lineRule="exact"/>
        <w:ind w:firstLine="560" w:firstLineChars="200"/>
        <w:rPr>
          <w:rFonts w:ascii="仿宋_GB2312" w:eastAsia="仿宋_GB2312"/>
          <w:sz w:val="28"/>
          <w:szCs w:val="28"/>
        </w:rPr>
      </w:pPr>
      <w:r>
        <w:rPr>
          <w:rFonts w:ascii="仿宋_GB2312" w:eastAsia="仿宋_GB2312"/>
          <w:sz w:val="28"/>
          <w:szCs w:val="28"/>
        </w:rPr>
        <w:t>体内埋藏式除颤仪(ICD或CRT-D)</w:t>
      </w:r>
      <w:r>
        <w:rPr>
          <w:rFonts w:hint="eastAsia" w:ascii="仿宋_GB2312" w:eastAsia="仿宋_GB2312"/>
          <w:sz w:val="28"/>
          <w:szCs w:val="28"/>
        </w:rPr>
        <w:t>：</w:t>
      </w:r>
      <w:r>
        <w:rPr>
          <w:rFonts w:ascii="仿宋_GB2312" w:eastAsia="仿宋_GB2312"/>
          <w:sz w:val="28"/>
          <w:szCs w:val="28"/>
        </w:rPr>
        <w:t>此类患者行体外反搏治疗建议参考起搏电生理专家建议后决定，或在病情允许的前提下在治疗前调整起搏器参数。</w:t>
      </w:r>
    </w:p>
    <w:p>
      <w:pPr>
        <w:adjustRightInd w:val="0"/>
        <w:snapToGrid w:val="0"/>
        <w:spacing w:line="520" w:lineRule="exact"/>
        <w:ind w:firstLine="560" w:firstLineChars="200"/>
        <w:rPr>
          <w:rFonts w:ascii="仿宋_GB2312" w:eastAsia="仿宋_GB2312"/>
          <w:sz w:val="28"/>
          <w:szCs w:val="28"/>
        </w:rPr>
      </w:pPr>
      <w:r>
        <w:rPr>
          <w:rFonts w:ascii="仿宋_GB2312" w:eastAsia="仿宋_GB2312"/>
          <w:sz w:val="28"/>
          <w:szCs w:val="28"/>
        </w:rPr>
        <w:t>高血压病</w:t>
      </w:r>
      <w:r>
        <w:rPr>
          <w:rFonts w:hint="eastAsia" w:ascii="仿宋_GB2312" w:eastAsia="仿宋_GB2312"/>
          <w:sz w:val="28"/>
          <w:szCs w:val="28"/>
        </w:rPr>
        <w:t>：</w:t>
      </w:r>
      <w:r>
        <w:rPr>
          <w:rFonts w:ascii="仿宋_GB2312" w:eastAsia="仿宋_GB2312"/>
          <w:sz w:val="28"/>
          <w:szCs w:val="28"/>
        </w:rPr>
        <w:t>建议将血压控制在正常范围内再考虑体外反搏治疗。</w:t>
      </w:r>
    </w:p>
    <w:p>
      <w:pPr>
        <w:adjustRightInd w:val="0"/>
        <w:snapToGrid w:val="0"/>
        <w:spacing w:line="520" w:lineRule="exact"/>
        <w:ind w:firstLine="560" w:firstLineChars="200"/>
        <w:rPr>
          <w:rFonts w:ascii="仿宋_GB2312" w:eastAsia="仿宋_GB2312"/>
          <w:sz w:val="28"/>
          <w:szCs w:val="28"/>
        </w:rPr>
      </w:pPr>
      <w:r>
        <w:rPr>
          <w:rFonts w:ascii="仿宋_GB2312" w:eastAsia="仿宋_GB2312"/>
          <w:sz w:val="28"/>
          <w:szCs w:val="28"/>
        </w:rPr>
        <w:t>糖尿病</w:t>
      </w:r>
      <w:r>
        <w:rPr>
          <w:rFonts w:hint="eastAsia" w:ascii="仿宋_GB2312" w:eastAsia="仿宋_GB2312"/>
          <w:sz w:val="28"/>
          <w:szCs w:val="28"/>
        </w:rPr>
        <w:t>：</w:t>
      </w:r>
      <w:r>
        <w:rPr>
          <w:rFonts w:ascii="仿宋_GB2312" w:eastAsia="仿宋_GB2312"/>
          <w:sz w:val="28"/>
          <w:szCs w:val="28"/>
        </w:rPr>
        <w:t>糖尿病神经病变易导致下肢感觉障碍，应密切观察下肢皮肤是否有治疗引起的磨损等，一旦发现应终止治疗，待皮肤完全愈合后，再评估是否继续治疗。此外在治疗过程中应注意防止低血糖反应。</w:t>
      </w:r>
    </w:p>
    <w:p>
      <w:pPr>
        <w:adjustRightInd w:val="0"/>
        <w:snapToGrid w:val="0"/>
        <w:spacing w:line="520" w:lineRule="exact"/>
        <w:ind w:firstLine="560" w:firstLineChars="200"/>
        <w:rPr>
          <w:rFonts w:ascii="仿宋_GB2312" w:eastAsia="仿宋_GB2312"/>
          <w:sz w:val="28"/>
          <w:szCs w:val="28"/>
        </w:rPr>
      </w:pPr>
      <w:r>
        <w:rPr>
          <w:rFonts w:ascii="仿宋_GB2312" w:eastAsia="仿宋_GB2312"/>
          <w:sz w:val="28"/>
          <w:szCs w:val="28"/>
        </w:rPr>
        <w:t>缺血性脑血管病</w:t>
      </w:r>
      <w:r>
        <w:rPr>
          <w:rFonts w:hint="eastAsia" w:ascii="仿宋_GB2312" w:eastAsia="仿宋_GB2312"/>
          <w:sz w:val="28"/>
          <w:szCs w:val="28"/>
        </w:rPr>
        <w:t>：</w:t>
      </w:r>
      <w:r>
        <w:rPr>
          <w:rFonts w:ascii="仿宋_GB2312" w:eastAsia="仿宋_GB2312"/>
          <w:sz w:val="28"/>
          <w:szCs w:val="28"/>
        </w:rPr>
        <w:t>建议急性缺血性脑血管病患者，在脑水肿减退后再加用体外反搏治疗；慢性缺血性脑血管病患者，启动体外反搏治疗可增加脑血流量，改善脑代谢，但治疗前均应注意排除脑动脉瘤和出血性脑病。</w:t>
      </w:r>
    </w:p>
    <w:p>
      <w:pPr>
        <w:adjustRightInd w:val="0"/>
        <w:snapToGrid w:val="0"/>
        <w:spacing w:line="520" w:lineRule="exact"/>
        <w:ind w:firstLine="560" w:firstLineChars="200"/>
        <w:rPr>
          <w:rFonts w:ascii="仿宋_GB2312" w:eastAsia="仿宋_GB2312"/>
          <w:color w:val="FF0000"/>
          <w:sz w:val="28"/>
          <w:szCs w:val="28"/>
        </w:rPr>
      </w:pPr>
      <w:r>
        <w:rPr>
          <w:rFonts w:ascii="仿宋_GB2312" w:eastAsia="仿宋_GB2312"/>
          <w:sz w:val="28"/>
          <w:szCs w:val="28"/>
        </w:rPr>
        <w:t>下肢动脉疾病</w:t>
      </w:r>
      <w:r>
        <w:rPr>
          <w:rFonts w:hint="eastAsia" w:ascii="仿宋_GB2312" w:eastAsia="仿宋_GB2312"/>
          <w:sz w:val="28"/>
          <w:szCs w:val="28"/>
        </w:rPr>
        <w:t>：</w:t>
      </w:r>
      <w:r>
        <w:rPr>
          <w:rFonts w:ascii="仿宋_GB2312" w:eastAsia="仿宋_GB2312"/>
          <w:sz w:val="28"/>
          <w:szCs w:val="28"/>
        </w:rPr>
        <w:t>下肢动脉硬化性疾病患者在EECP治疗过程中应密切观察下肢动脉搏动、皮肤温度以及是否存在缺血情况等。</w:t>
      </w:r>
    </w:p>
    <w:p>
      <w:pPr>
        <w:pStyle w:val="57"/>
        <w:numPr>
          <w:ilvl w:val="0"/>
          <w:numId w:val="0"/>
        </w:numPr>
        <w:ind w:left="420"/>
        <w:rPr>
          <w:b/>
          <w:bCs w:val="0"/>
          <w:color w:val="000000" w:themeColor="text1"/>
          <w14:textFill>
            <w14:solidFill>
              <w14:schemeClr w14:val="tx1"/>
            </w14:solidFill>
          </w14:textFill>
        </w:rPr>
      </w:pPr>
      <w:r>
        <w:rPr>
          <w:rFonts w:hint="eastAsia"/>
          <w:b/>
          <w:bCs w:val="0"/>
          <w:color w:val="000000" w:themeColor="text1"/>
          <w14:textFill>
            <w14:solidFill>
              <w14:schemeClr w14:val="tx1"/>
            </w14:solidFill>
          </w14:textFill>
        </w:rPr>
        <w:t>参考文献：</w:t>
      </w:r>
    </w:p>
    <w:p>
      <w:pPr>
        <w:pStyle w:val="52"/>
        <w:numPr>
          <w:ilvl w:val="0"/>
          <w:numId w:val="17"/>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ascii="仿宋_GB2312" w:eastAsia="仿宋_GB2312" w:cs="仿宋"/>
          <w:bCs/>
          <w:color w:val="000000" w:themeColor="text1"/>
          <w:sz w:val="28"/>
          <w:szCs w:val="28"/>
          <w14:textFill>
            <w14:solidFill>
              <w14:schemeClr w14:val="tx1"/>
            </w14:solidFill>
          </w14:textFill>
        </w:rPr>
        <w:t>中国体外反搏临床应用专家共识起草专家委员会. 中国体外反搏临床应用专家共识 [J]. 中国心血管病研究, 2012, 10(2): 81-92.</w:t>
      </w:r>
    </w:p>
    <w:p>
      <w:pPr>
        <w:pStyle w:val="52"/>
        <w:numPr>
          <w:ilvl w:val="0"/>
          <w:numId w:val="17"/>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伍贵富,John CK Hui.心血管疾病康复处方——增强型体外反搏应用国际专家共识[J].中华内科杂志,2014,53(07):587-590.</w:t>
      </w:r>
    </w:p>
    <w:p>
      <w:pPr>
        <w:pStyle w:val="52"/>
        <w:numPr>
          <w:ilvl w:val="0"/>
          <w:numId w:val="17"/>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国际体外反搏学会,中国康复医学会心血管病专业委员会,中国老年学学会心脑血管病专业委员会国际体外反搏学会,中国康复医学会心血管病专业委员会,中国老年学学会心脑血管病专业委员会心血管疾病康复处方——增强型体外反搏应用国际专家共识《中华内科杂志》2014，53(07)</w:t>
      </w:r>
    </w:p>
    <w:p>
      <w:pPr>
        <w:pStyle w:val="52"/>
        <w:numPr>
          <w:ilvl w:val="0"/>
          <w:numId w:val="17"/>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ascii="仿宋_GB2312" w:eastAsia="仿宋_GB2312" w:cs="仿宋"/>
          <w:bCs/>
          <w:color w:val="000000" w:themeColor="text1"/>
          <w:sz w:val="28"/>
          <w:szCs w:val="28"/>
          <w14:textFill>
            <w14:solidFill>
              <w14:schemeClr w14:val="tx1"/>
            </w14:solidFill>
          </w14:textFill>
        </w:rPr>
        <w:t>PANDURANGAN H. Role of Enhanced External Counter Pulsation in Cardiovascular Disease [J]. International Journal of Advances in Nursing Management, 2018, 6(3): 258-62.</w:t>
      </w:r>
    </w:p>
    <w:p>
      <w:pPr>
        <w:pStyle w:val="52"/>
        <w:numPr>
          <w:ilvl w:val="0"/>
          <w:numId w:val="17"/>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中华医学会老年医学分会心血管病学组,《中华老年医学杂志》编辑委员会,中国生物医学工程学会体外反搏分会老年学组. 老年人体外反搏临床应用中国专家共识(2019)[J]. 中华老年医学杂志,2019,38(9):953-961.</w:t>
      </w:r>
    </w:p>
    <w:p>
      <w:pPr>
        <w:pStyle w:val="52"/>
        <w:numPr>
          <w:ilvl w:val="0"/>
          <w:numId w:val="17"/>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中国医师协会心血管内科医师分会,中国医院协会心脏康复管理专业委员会,上海市康复医学会体外反搏专业委员会. 慢性冠状动脉综合征增强型体外反搏治疗中国专家共识[J]. 中国介入心脏病学杂志,2022,30(2):81-87.</w:t>
      </w:r>
    </w:p>
    <w:p>
      <w:pPr>
        <w:pStyle w:val="52"/>
        <w:numPr>
          <w:ilvl w:val="0"/>
          <w:numId w:val="17"/>
        </w:numPr>
        <w:wordWrap w:val="0"/>
        <w:adjustRightInd w:val="0"/>
        <w:snapToGrid w:val="0"/>
        <w:spacing w:line="520" w:lineRule="exact"/>
        <w:ind w:firstLineChars="0"/>
        <w:jc w:val="both"/>
        <w:rPr>
          <w:rFonts w:ascii="仿宋_GB2312" w:eastAsia="仿宋_GB2312" w:cs="仿宋"/>
          <w:bCs/>
          <w:color w:val="000000" w:themeColor="text1"/>
          <w:sz w:val="28"/>
          <w:szCs w:val="28"/>
          <w14:textFill>
            <w14:solidFill>
              <w14:schemeClr w14:val="tx1"/>
            </w14:solidFill>
          </w14:textFill>
        </w:rPr>
      </w:pPr>
      <w:r>
        <w:rPr>
          <w:rFonts w:hint="eastAsia" w:ascii="仿宋_GB2312" w:eastAsia="仿宋_GB2312" w:cs="仿宋"/>
          <w:bCs/>
          <w:color w:val="000000" w:themeColor="text1"/>
          <w:sz w:val="28"/>
          <w:szCs w:val="28"/>
          <w14:textFill>
            <w14:solidFill>
              <w14:schemeClr w14:val="tx1"/>
            </w14:solidFill>
          </w14:textFill>
        </w:rPr>
        <w:t>高丽华</w:t>
      </w:r>
      <w:r>
        <w:rPr>
          <w:rFonts w:ascii="仿宋_GB2312" w:eastAsia="仿宋_GB2312" w:cs="仿宋"/>
          <w:bCs/>
          <w:color w:val="000000" w:themeColor="text1"/>
          <w:sz w:val="28"/>
          <w:szCs w:val="28"/>
          <w14:textFill>
            <w14:solidFill>
              <w14:schemeClr w14:val="tx1"/>
            </w14:solidFill>
          </w14:textFill>
        </w:rPr>
        <w:t>,马光朋,费运微,等. 体外反搏在冠心病诊疗中的机制及研究进展 [J]. 中国实验诊断学, 2019, 23(7): 1269-71.</w:t>
      </w:r>
    </w:p>
    <w:p>
      <w:pPr>
        <w:pStyle w:val="53"/>
        <w:ind w:firstLine="643"/>
        <w:rPr>
          <w:bCs/>
        </w:rPr>
      </w:pPr>
      <w:r>
        <w:rPr>
          <w:rFonts w:hint="eastAsia"/>
          <w:b/>
          <w:bCs/>
        </w:rPr>
        <w:t>六</w:t>
      </w:r>
      <w:r>
        <w:rPr>
          <w:rFonts w:hint="eastAsia"/>
          <w:bCs/>
        </w:rPr>
        <w:t>、</w:t>
      </w:r>
      <w:r>
        <w:rPr>
          <w:rFonts w:hint="eastAsia"/>
        </w:rPr>
        <w:t>重大意见分歧的处理依据和结果</w:t>
      </w:r>
    </w:p>
    <w:p>
      <w:pPr>
        <w:spacing w:line="520" w:lineRule="exact"/>
        <w:ind w:firstLine="560" w:firstLineChars="200"/>
        <w:rPr>
          <w:rFonts w:ascii="仿宋_GB2312" w:eastAsia="仿宋_GB2312"/>
          <w:sz w:val="28"/>
          <w:szCs w:val="28"/>
        </w:rPr>
      </w:pPr>
      <w:r>
        <w:rPr>
          <w:rFonts w:hint="eastAsia" w:ascii="仿宋_GB2312" w:eastAsia="仿宋_GB2312"/>
          <w:sz w:val="28"/>
          <w:szCs w:val="28"/>
        </w:rPr>
        <w:t>本标准研制过程中无重大分歧意见。</w:t>
      </w:r>
    </w:p>
    <w:p>
      <w:pPr>
        <w:pStyle w:val="53"/>
        <w:ind w:firstLine="640"/>
      </w:pPr>
      <w:r>
        <w:rPr>
          <w:rFonts w:hint="eastAsia" w:ascii="黑体"/>
          <w:bCs/>
        </w:rPr>
        <w:t>七、</w:t>
      </w:r>
      <w:r>
        <w:rPr>
          <w:rFonts w:hint="eastAsia"/>
        </w:rPr>
        <w:t>实施标准的措施</w:t>
      </w:r>
    </w:p>
    <w:p>
      <w:pPr>
        <w:spacing w:line="500" w:lineRule="exact"/>
        <w:ind w:firstLine="562" w:firstLineChars="200"/>
        <w:rPr>
          <w:rFonts w:ascii="仿宋_GB2312" w:eastAsia="仿宋_GB2312" w:cs="仿宋_GB2312"/>
          <w:b/>
          <w:sz w:val="28"/>
          <w:szCs w:val="28"/>
        </w:rPr>
      </w:pPr>
      <w:r>
        <w:rPr>
          <w:rFonts w:hint="eastAsia" w:ascii="仿宋_GB2312" w:eastAsia="仿宋_GB2312" w:cs="仿宋_GB2312"/>
          <w:b/>
          <w:sz w:val="28"/>
          <w:szCs w:val="28"/>
        </w:rPr>
        <w:t>（一）标准报批发布后，成立标准宣贯工作组</w:t>
      </w:r>
    </w:p>
    <w:p>
      <w:pPr>
        <w:spacing w:line="500" w:lineRule="exact"/>
        <w:ind w:firstLine="560" w:firstLineChars="200"/>
        <w:rPr>
          <w:rFonts w:ascii="仿宋_GB2312" w:eastAsia="仿宋_GB2312"/>
          <w:sz w:val="28"/>
          <w:szCs w:val="28"/>
        </w:rPr>
      </w:pPr>
      <w:r>
        <w:rPr>
          <w:rFonts w:hint="eastAsia" w:ascii="仿宋_GB2312" w:eastAsia="仿宋_GB2312"/>
          <w:sz w:val="28"/>
          <w:szCs w:val="28"/>
        </w:rPr>
        <w:t>本标准发布后，成立以曾志羽医师、韦恒医师、吴孝军医师、谢文超医师、黄锋医师等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pPr>
        <w:spacing w:line="500" w:lineRule="exact"/>
        <w:ind w:firstLine="562" w:firstLineChars="200"/>
        <w:rPr>
          <w:rFonts w:ascii="仿宋_GB2312" w:eastAsia="仿宋_GB2312"/>
          <w:b/>
          <w:sz w:val="28"/>
          <w:szCs w:val="28"/>
        </w:rPr>
      </w:pPr>
      <w:r>
        <w:rPr>
          <w:rFonts w:hint="eastAsia" w:ascii="仿宋_GB2312" w:eastAsia="仿宋_GB2312"/>
          <w:b/>
          <w:sz w:val="28"/>
          <w:szCs w:val="28"/>
        </w:rPr>
        <w:t>（二）组织开展标准宣贯培训</w:t>
      </w:r>
    </w:p>
    <w:p>
      <w:pPr>
        <w:spacing w:line="500" w:lineRule="exact"/>
        <w:ind w:firstLine="560" w:firstLineChars="200"/>
        <w:rPr>
          <w:rFonts w:ascii="仿宋_GB2312" w:eastAsia="仿宋_GB2312"/>
          <w:sz w:val="28"/>
          <w:szCs w:val="28"/>
        </w:rPr>
      </w:pPr>
      <w:r>
        <w:rPr>
          <w:rFonts w:hint="eastAsia" w:ascii="仿宋_GB2312" w:eastAsia="仿宋_GB2312"/>
          <w:sz w:val="28"/>
          <w:szCs w:val="28"/>
        </w:rPr>
        <w:t>标准发布实施后，标准宣贯工作小组制作标准解读宣贯培训PPT课件和标准核心技术明白书，并按标准宣贯培训计划深入各市县医疗机构，对医师和医护人员开展标准宣贯培训，对标准进行逐条解读，让医师和医护人员掌握标准核心技术内容，助力标准实施落地，推动医疗事业健康发展高质量发展。</w:t>
      </w:r>
    </w:p>
    <w:p>
      <w:pPr>
        <w:spacing w:line="500" w:lineRule="exact"/>
        <w:ind w:firstLine="562" w:firstLineChars="200"/>
        <w:rPr>
          <w:rFonts w:ascii="仿宋_GB2312" w:eastAsia="仿宋_GB2312"/>
          <w:b/>
          <w:sz w:val="28"/>
          <w:szCs w:val="28"/>
        </w:rPr>
      </w:pPr>
      <w:r>
        <w:rPr>
          <w:rFonts w:hint="eastAsia" w:ascii="仿宋_GB2312" w:eastAsia="仿宋_GB2312"/>
          <w:b/>
          <w:sz w:val="28"/>
          <w:szCs w:val="28"/>
        </w:rPr>
        <w:t>（三）开展标准实施交流会，收集标准实施反馈信息</w:t>
      </w:r>
    </w:p>
    <w:p>
      <w:pPr>
        <w:spacing w:line="500" w:lineRule="exact"/>
        <w:ind w:firstLine="560" w:firstLineChars="200"/>
        <w:rPr>
          <w:rFonts w:ascii="仿宋_GB2312" w:eastAsia="仿宋_GB2312"/>
          <w:sz w:val="28"/>
          <w:szCs w:val="28"/>
        </w:rPr>
      </w:pPr>
      <w:r>
        <w:rPr>
          <w:rFonts w:hint="eastAsia" w:ascii="仿宋_GB2312" w:eastAsia="仿宋_GB2312"/>
          <w:sz w:val="28"/>
          <w:szCs w:val="28"/>
        </w:rPr>
        <w:t>标准起草小组深入各市县医疗机构组织医师和医护人员召开标准实施交流会，听取标准实施过程中存在的问题并做好记录和解答，对存在的问题组织专家团队进行研讨，为标准的复审修订做准备。</w:t>
      </w:r>
    </w:p>
    <w:p>
      <w:pPr>
        <w:spacing w:line="500" w:lineRule="exact"/>
        <w:ind w:firstLine="562" w:firstLineChars="200"/>
        <w:rPr>
          <w:rFonts w:ascii="仿宋_GB2312" w:eastAsia="仿宋_GB2312"/>
          <w:b/>
          <w:sz w:val="28"/>
          <w:szCs w:val="28"/>
        </w:rPr>
      </w:pPr>
      <w:r>
        <w:rPr>
          <w:rFonts w:hint="eastAsia" w:ascii="仿宋_GB2312" w:eastAsia="仿宋_GB2312"/>
          <w:b/>
          <w:sz w:val="28"/>
          <w:szCs w:val="28"/>
        </w:rPr>
        <w:t>（四）开展标准实施效果评估</w:t>
      </w:r>
    </w:p>
    <w:p>
      <w:pPr>
        <w:spacing w:line="500" w:lineRule="exact"/>
        <w:ind w:firstLine="560" w:firstLineChars="200"/>
        <w:rPr>
          <w:rFonts w:ascii="仿宋_GB2312" w:eastAsia="仿宋_GB2312"/>
          <w:sz w:val="28"/>
          <w:szCs w:val="28"/>
        </w:rPr>
      </w:pPr>
      <w:r>
        <w:rPr>
          <w:rFonts w:hint="eastAsia" w:ascii="仿宋_GB2312" w:eastAsia="仿宋_GB2312"/>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pPr>
        <w:pStyle w:val="53"/>
        <w:ind w:firstLine="640"/>
      </w:pPr>
      <w:r>
        <w:rPr>
          <w:rFonts w:hint="eastAsia"/>
        </w:rPr>
        <w:t>八、其他应当说明的事项</w:t>
      </w:r>
    </w:p>
    <w:p>
      <w:pPr>
        <w:spacing w:line="520" w:lineRule="exact"/>
        <w:ind w:firstLine="560" w:firstLineChars="200"/>
      </w:pPr>
      <w:r>
        <w:rPr>
          <w:rFonts w:hint="eastAsia" w:ascii="仿宋_GB2312" w:eastAsia="仿宋_GB2312"/>
          <w:sz w:val="28"/>
          <w:szCs w:val="28"/>
        </w:rPr>
        <w:t>无。</w:t>
      </w:r>
    </w:p>
    <w:p>
      <w:pPr>
        <w:pStyle w:val="19"/>
      </w:pPr>
    </w:p>
    <w:p>
      <w:pPr>
        <w:pStyle w:val="19"/>
      </w:pPr>
    </w:p>
    <w:p>
      <w:pPr>
        <w:ind w:left="140"/>
        <w:jc w:val="right"/>
        <w:rPr>
          <w:rFonts w:ascii="仿宋_GB2312" w:eastAsia="仿宋_GB2312"/>
          <w:sz w:val="28"/>
          <w:szCs w:val="28"/>
        </w:rPr>
      </w:pPr>
      <w:r>
        <w:rPr>
          <w:rFonts w:hint="eastAsia" w:ascii="仿宋_GB2312" w:eastAsia="仿宋_GB2312"/>
          <w:sz w:val="28"/>
          <w:szCs w:val="28"/>
        </w:rPr>
        <w:t>团体标准《体外反搏治疗操作技术规范》</w:t>
      </w:r>
    </w:p>
    <w:p>
      <w:pPr>
        <w:spacing w:line="520" w:lineRule="exact"/>
        <w:ind w:right="1120"/>
        <w:rPr>
          <w:rFonts w:ascii="仿宋_GB2312" w:eastAsia="仿宋_GB2312"/>
          <w:sz w:val="28"/>
          <w:szCs w:val="28"/>
        </w:rPr>
      </w:pPr>
      <w:r>
        <w:rPr>
          <w:rFonts w:hint="eastAsia" w:ascii="仿宋_GB2312" w:eastAsia="仿宋_GB2312"/>
          <w:sz w:val="28"/>
          <w:szCs w:val="28"/>
        </w:rPr>
        <w:t xml:space="preserve">                                标准编制工作组</w:t>
      </w:r>
    </w:p>
    <w:p>
      <w:pPr>
        <w:spacing w:line="520" w:lineRule="exact"/>
        <w:ind w:firstLine="640" w:firstLineChars="200"/>
        <w:rPr>
          <w:rFonts w:ascii="仿宋_GB2312" w:eastAsia="仿宋_GB2312"/>
          <w:sz w:val="28"/>
          <w:szCs w:val="28"/>
        </w:rPr>
      </w:pPr>
      <w:r>
        <w:rPr>
          <w:rFonts w:hint="eastAsia" w:ascii="仿宋_GB2312" w:eastAsia="仿宋_GB2312"/>
          <w:sz w:val="32"/>
          <w:szCs w:val="28"/>
        </w:rPr>
        <w:t xml:space="preserve">                        </w:t>
      </w:r>
      <w:r>
        <w:rPr>
          <w:rFonts w:hint="eastAsia" w:ascii="仿宋_GB2312" w:eastAsia="仿宋_GB2312"/>
          <w:sz w:val="28"/>
          <w:szCs w:val="28"/>
        </w:rPr>
        <w:t>2024年</w:t>
      </w:r>
      <w:r>
        <w:rPr>
          <w:rFonts w:ascii="仿宋_GB2312" w:eastAsia="仿宋_GB2312"/>
          <w:sz w:val="28"/>
          <w:szCs w:val="28"/>
        </w:rPr>
        <w:t>5</w:t>
      </w:r>
      <w:r>
        <w:rPr>
          <w:rFonts w:hint="eastAsia" w:ascii="仿宋_GB2312" w:eastAsia="仿宋_GB2312"/>
          <w:sz w:val="28"/>
          <w:szCs w:val="28"/>
        </w:rPr>
        <w:t>月</w:t>
      </w:r>
      <w:r>
        <w:rPr>
          <w:rFonts w:ascii="仿宋_GB2312" w:eastAsia="仿宋_GB2312"/>
          <w:sz w:val="28"/>
          <w:szCs w:val="28"/>
        </w:rPr>
        <w:t>6</w:t>
      </w:r>
      <w:r>
        <w:rPr>
          <w:rFonts w:hint="eastAsia" w:ascii="仿宋_GB2312" w:eastAsia="仿宋_GB2312"/>
          <w:sz w:val="28"/>
          <w:szCs w:val="28"/>
        </w:rPr>
        <w:t>日</w:t>
      </w:r>
    </w:p>
    <w:sectPr>
      <w:footerReference r:id="rId3" w:type="default"/>
      <w:pgSz w:w="11906" w:h="16838"/>
      <w:pgMar w:top="1474" w:right="1474" w:bottom="1474" w:left="1474"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4826AD5D-E0F6-4CB6-9E70-5912F5E6A2D8}"/>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embedRegular r:id="rId2" w:fontKey="{4ABB2388-65C1-4635-BC54-8BD72852D2E0}"/>
  </w:font>
  <w:font w:name="仿宋_GB2312">
    <w:panose1 w:val="02010609030101010101"/>
    <w:charset w:val="86"/>
    <w:family w:val="modern"/>
    <w:pitch w:val="default"/>
    <w:sig w:usb0="00000001" w:usb1="080E0000" w:usb2="00000000" w:usb3="00000000" w:csb0="00040000" w:csb1="00000000"/>
    <w:embedRegular r:id="rId3" w:fontKey="{1D5D77CD-4151-4F4C-B2CF-4935819FECC9}"/>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embedRegular r:id="rId4" w:fontKey="{765514CB-81EA-4E0C-AF54-33510E049E01}"/>
  </w:font>
  <w:font w:name="方正小标宋简体">
    <w:panose1 w:val="03000509000000000000"/>
    <w:charset w:val="86"/>
    <w:family w:val="script"/>
    <w:pitch w:val="default"/>
    <w:sig w:usb0="00000001" w:usb1="080E0000" w:usb2="00000000" w:usb3="00000000" w:csb0="00040000" w:csb1="00000000"/>
    <w:embedRegular r:id="rId5" w:fontKey="{267B48B6-C1F3-46DB-BF77-E2F79D45AFB1}"/>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5708951"/>
      <w:docPartObj>
        <w:docPartGallery w:val="autotext"/>
      </w:docPartObj>
    </w:sdtPr>
    <w:sdtContent>
      <w:p>
        <w:pPr>
          <w:pStyle w:val="8"/>
          <w:jc w:val="center"/>
        </w:pPr>
        <w:r>
          <w:fldChar w:fldCharType="begin"/>
        </w:r>
        <w:r>
          <w:instrText xml:space="preserve">PAGE   \* MERGEFORMAT</w:instrText>
        </w:r>
        <w:r>
          <w:fldChar w:fldCharType="separate"/>
        </w:r>
        <w:r>
          <w:rPr>
            <w:lang w:val="zh-CN"/>
          </w:rPr>
          <w:t>11</w:t>
        </w:r>
        <w:r>
          <w:fldChar w:fldCharType="end"/>
        </w:r>
      </w:p>
    </w:sdtContent>
  </w:sdt>
  <w:p>
    <w:pPr>
      <w:pStyle w:val="8"/>
      <w:ind w:firstLine="198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DF8329"/>
    <w:multiLevelType w:val="multilevel"/>
    <w:tmpl w:val="8DDF8329"/>
    <w:lvl w:ilvl="0" w:tentative="0">
      <w:start w:val="1"/>
      <w:numFmt w:val="decimal"/>
      <w:pStyle w:val="38"/>
      <w:suff w:val="nothing"/>
      <w:lvlText w:val="表%1　"/>
      <w:legacy w:legacy="1" w:legacySpace="0" w:legacyIndent="0"/>
      <w:lvlJc w:val="left"/>
      <w:pPr>
        <w:ind w:left="4678" w:firstLine="0"/>
      </w:pPr>
    </w:lvl>
    <w:lvl w:ilvl="1" w:tentative="0">
      <w:start w:val="1"/>
      <w:numFmt w:val="decimal"/>
      <w:lvlText w:val="%1.%2"/>
      <w:legacy w:legacy="1" w:legacySpace="0" w:legacyIndent="567"/>
      <w:lvlJc w:val="left"/>
      <w:pPr>
        <w:ind w:left="5670" w:hanging="567"/>
      </w:pPr>
    </w:lvl>
    <w:lvl w:ilvl="2" w:tentative="0">
      <w:start w:val="1"/>
      <w:numFmt w:val="decimal"/>
      <w:lvlText w:val="%1.%2.%3"/>
      <w:legacy w:legacy="1" w:legacySpace="0" w:legacyIndent="567"/>
      <w:lvlJc w:val="left"/>
      <w:pPr>
        <w:ind w:left="6095" w:hanging="567"/>
      </w:pPr>
    </w:lvl>
    <w:lvl w:ilvl="3" w:tentative="0">
      <w:start w:val="1"/>
      <w:numFmt w:val="decimal"/>
      <w:lvlText w:val="%1.%2.%3.%4"/>
      <w:legacy w:legacy="1" w:legacySpace="0" w:legacyIndent="708"/>
      <w:lvlJc w:val="left"/>
      <w:pPr>
        <w:ind w:left="6662" w:hanging="708"/>
      </w:pPr>
    </w:lvl>
    <w:lvl w:ilvl="4" w:tentative="0">
      <w:start w:val="1"/>
      <w:numFmt w:val="decimal"/>
      <w:lvlText w:val="%1.%2.%3.%4.%5"/>
      <w:legacy w:legacy="1" w:legacySpace="0" w:legacyIndent="850"/>
      <w:lvlJc w:val="left"/>
      <w:pPr>
        <w:ind w:left="7229" w:hanging="850"/>
      </w:pPr>
    </w:lvl>
    <w:lvl w:ilvl="5" w:tentative="0">
      <w:start w:val="1"/>
      <w:numFmt w:val="decimal"/>
      <w:lvlText w:val="%1.%2.%3.%4.%5.%6"/>
      <w:legacy w:legacy="1" w:legacySpace="0" w:legacyIndent="1134"/>
      <w:lvlJc w:val="left"/>
      <w:pPr>
        <w:ind w:left="7938" w:hanging="1134"/>
      </w:pPr>
    </w:lvl>
    <w:lvl w:ilvl="6" w:tentative="0">
      <w:start w:val="1"/>
      <w:numFmt w:val="decimal"/>
      <w:lvlText w:val="%1.%2.%3.%4.%5.%6.%7"/>
      <w:legacy w:legacy="1" w:legacySpace="0" w:legacyIndent="1276"/>
      <w:lvlJc w:val="left"/>
      <w:pPr>
        <w:ind w:left="8505" w:hanging="1276"/>
      </w:pPr>
    </w:lvl>
    <w:lvl w:ilvl="7" w:tentative="0">
      <w:start w:val="1"/>
      <w:numFmt w:val="decimal"/>
      <w:lvlText w:val="%1.%2.%3.%4.%5.%6.%7.%8"/>
      <w:legacy w:legacy="1" w:legacySpace="0" w:legacyIndent="1418"/>
      <w:lvlJc w:val="left"/>
      <w:pPr>
        <w:ind w:left="9072" w:hanging="1418"/>
      </w:pPr>
    </w:lvl>
    <w:lvl w:ilvl="8" w:tentative="0">
      <w:start w:val="1"/>
      <w:numFmt w:val="decimal"/>
      <w:lvlText w:val="%1.%2.%3.%4.%5.%6.%7.%8.%9"/>
      <w:legacy w:legacy="1" w:legacySpace="0" w:legacyIndent="1700"/>
      <w:lvlJc w:val="left"/>
      <w:pPr>
        <w:ind w:left="9780" w:hanging="1700"/>
      </w:pPr>
    </w:lvl>
  </w:abstractNum>
  <w:abstractNum w:abstractNumId="1">
    <w:nsid w:val="0A91079A"/>
    <w:multiLevelType w:val="multilevel"/>
    <w:tmpl w:val="0A91079A"/>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0FFFFF7E"/>
    <w:multiLevelType w:val="singleLevel"/>
    <w:tmpl w:val="0FFFFF7E"/>
    <w:lvl w:ilvl="0" w:tentative="0">
      <w:start w:val="1"/>
      <w:numFmt w:val="decimal"/>
      <w:lvlText w:val="%1."/>
      <w:lvlJc w:val="left"/>
      <w:pPr>
        <w:tabs>
          <w:tab w:val="left" w:pos="1200"/>
        </w:tabs>
        <w:ind w:left="1200" w:hanging="360"/>
      </w:pPr>
    </w:lvl>
  </w:abstractNum>
  <w:abstractNum w:abstractNumId="3">
    <w:nsid w:val="0FFFFF7F"/>
    <w:multiLevelType w:val="singleLevel"/>
    <w:tmpl w:val="0FFFFF7F"/>
    <w:lvl w:ilvl="0" w:tentative="0">
      <w:start w:val="1"/>
      <w:numFmt w:val="decimal"/>
      <w:lvlText w:val="%1."/>
      <w:lvlJc w:val="left"/>
      <w:pPr>
        <w:tabs>
          <w:tab w:val="left" w:pos="780"/>
        </w:tabs>
        <w:ind w:left="780" w:hanging="360"/>
      </w:pPr>
    </w:lvl>
  </w:abstractNum>
  <w:abstractNum w:abstractNumId="4">
    <w:nsid w:val="13A721C2"/>
    <w:multiLevelType w:val="multilevel"/>
    <w:tmpl w:val="13A721C2"/>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
    <w:nsid w:val="15C144F9"/>
    <w:multiLevelType w:val="multilevel"/>
    <w:tmpl w:val="15C144F9"/>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6">
    <w:nsid w:val="29ED1EA3"/>
    <w:multiLevelType w:val="multilevel"/>
    <w:tmpl w:val="29ED1EA3"/>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
    <w:nsid w:val="30D62B70"/>
    <w:multiLevelType w:val="multilevel"/>
    <w:tmpl w:val="30D62B70"/>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8">
    <w:nsid w:val="375F08D5"/>
    <w:multiLevelType w:val="multilevel"/>
    <w:tmpl w:val="375F08D5"/>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9">
    <w:nsid w:val="41BD2E25"/>
    <w:multiLevelType w:val="multilevel"/>
    <w:tmpl w:val="41BD2E25"/>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0">
    <w:nsid w:val="44C50F90"/>
    <w:multiLevelType w:val="multilevel"/>
    <w:tmpl w:val="44C50F90"/>
    <w:lvl w:ilvl="0" w:tentative="0">
      <w:start w:val="1"/>
      <w:numFmt w:val="lowerLetter"/>
      <w:pStyle w:val="47"/>
      <w:lvlText w:val="%1)"/>
      <w:lvlJc w:val="left"/>
      <w:pPr>
        <w:tabs>
          <w:tab w:val="left" w:pos="851"/>
        </w:tabs>
        <w:ind w:left="851" w:hanging="426"/>
      </w:pPr>
      <w:rPr>
        <w:rFonts w:hint="eastAsia" w:ascii="宋体" w:hAnsi="Times New Roman" w:eastAsia="宋体"/>
        <w:sz w:val="21"/>
      </w:rPr>
    </w:lvl>
    <w:lvl w:ilvl="1" w:tentative="0">
      <w:start w:val="1"/>
      <w:numFmt w:val="decimal"/>
      <w:pStyle w:val="45"/>
      <w:lvlText w:val="%2)"/>
      <w:lvlJc w:val="left"/>
      <w:pPr>
        <w:tabs>
          <w:tab w:val="left" w:pos="1276"/>
        </w:tabs>
        <w:ind w:left="1276" w:hanging="425"/>
      </w:pPr>
      <w:rPr>
        <w:rFonts w:hint="eastAsia" w:ascii="宋体" w:hAnsi="Times New Roman" w:eastAsia="宋体"/>
        <w:sz w:val="21"/>
      </w:rPr>
    </w:lvl>
    <w:lvl w:ilvl="2" w:tentative="0">
      <w:start w:val="1"/>
      <w:numFmt w:val="decimal"/>
      <w:pStyle w:val="46"/>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1">
    <w:nsid w:val="463B7E19"/>
    <w:multiLevelType w:val="multilevel"/>
    <w:tmpl w:val="463B7E19"/>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2">
    <w:nsid w:val="5A1057AB"/>
    <w:multiLevelType w:val="multilevel"/>
    <w:tmpl w:val="5A1057AB"/>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3">
    <w:nsid w:val="5A8C0828"/>
    <w:multiLevelType w:val="multilevel"/>
    <w:tmpl w:val="5A8C0828"/>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4">
    <w:nsid w:val="5A9B6960"/>
    <w:multiLevelType w:val="multilevel"/>
    <w:tmpl w:val="5A9B6960"/>
    <w:lvl w:ilvl="0" w:tentative="0">
      <w:start w:val="1"/>
      <w:numFmt w:val="none"/>
      <w:pStyle w:val="35"/>
      <w:suff w:val="nothing"/>
      <w:lvlText w:val="%1"/>
      <w:legacy w:legacy="1" w:legacySpace="0" w:legacyIndent="0"/>
      <w:lvlJc w:val="left"/>
      <w:pPr>
        <w:ind w:left="0" w:firstLine="0"/>
      </w:pPr>
      <w:rPr>
        <w:rFonts w:hint="eastAsia"/>
      </w:rPr>
    </w:lvl>
    <w:lvl w:ilvl="1" w:tentative="0">
      <w:start w:val="1"/>
      <w:numFmt w:val="decimal"/>
      <w:pStyle w:val="29"/>
      <w:suff w:val="nothing"/>
      <w:lvlText w:val="%1%2　"/>
      <w:legacy w:legacy="1" w:legacySpace="0" w:legacyIndent="0"/>
      <w:lvlJc w:val="left"/>
      <w:pPr>
        <w:ind w:left="0" w:firstLine="0"/>
      </w:pPr>
      <w:rPr>
        <w:rFonts w:hint="eastAsia" w:ascii="黑体" w:hAnsi="黑体" w:eastAsia="黑体"/>
        <w:b w:val="0"/>
        <w:i w:val="0"/>
        <w:sz w:val="21"/>
      </w:rPr>
    </w:lvl>
    <w:lvl w:ilvl="2" w:tentative="0">
      <w:start w:val="1"/>
      <w:numFmt w:val="decimal"/>
      <w:pStyle w:val="31"/>
      <w:suff w:val="nothing"/>
      <w:lvlText w:val="%1%2.%3　"/>
      <w:legacy w:legacy="1" w:legacySpace="0" w:legacyIndent="0"/>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egacy w:legacy="1" w:legacySpace="0" w:legacyIndent="0"/>
      <w:lvlJc w:val="left"/>
      <w:pPr>
        <w:ind w:left="0" w:firstLine="0"/>
      </w:pPr>
      <w:rPr>
        <w:rFonts w:hint="eastAsia" w:ascii="黑体" w:hAnsi="黑体" w:eastAsia="黑体"/>
        <w:b w:val="0"/>
        <w:i w:val="0"/>
        <w:sz w:val="21"/>
      </w:rPr>
    </w:lvl>
    <w:lvl w:ilvl="4" w:tentative="0">
      <w:start w:val="1"/>
      <w:numFmt w:val="decimal"/>
      <w:pStyle w:val="37"/>
      <w:suff w:val="nothing"/>
      <w:lvlText w:val="%1%2.%3.%4.%5　"/>
      <w:legacy w:legacy="1" w:legacySpace="0" w:legacyIndent="0"/>
      <w:lvlJc w:val="left"/>
      <w:pPr>
        <w:ind w:left="0" w:firstLine="0"/>
      </w:pPr>
      <w:rPr>
        <w:rFonts w:hint="eastAsia" w:ascii="黑体" w:hAnsi="黑体" w:eastAsia="黑体"/>
        <w:b w:val="0"/>
        <w:i w:val="0"/>
        <w:sz w:val="21"/>
      </w:rPr>
    </w:lvl>
    <w:lvl w:ilvl="5" w:tentative="0">
      <w:start w:val="1"/>
      <w:numFmt w:val="decimal"/>
      <w:pStyle w:val="36"/>
      <w:suff w:val="nothing"/>
      <w:lvlText w:val="%1%2.%3.%4.%5.%6　"/>
      <w:legacy w:legacy="1" w:legacySpace="0" w:legacyIndent="0"/>
      <w:lvlJc w:val="left"/>
      <w:pPr>
        <w:ind w:left="0" w:firstLine="0"/>
      </w:pPr>
      <w:rPr>
        <w:rFonts w:hint="eastAsia" w:ascii="黑体" w:hAnsi="黑体" w:eastAsia="黑体"/>
        <w:b w:val="0"/>
        <w:i w:val="0"/>
        <w:sz w:val="21"/>
      </w:rPr>
    </w:lvl>
    <w:lvl w:ilvl="6" w:tentative="0">
      <w:start w:val="1"/>
      <w:numFmt w:val="decimal"/>
      <w:pStyle w:val="34"/>
      <w:suff w:val="nothing"/>
      <w:lvlText w:val="%1%2.%3.%4.%5.%6.%7　"/>
      <w:legacy w:legacy="1" w:legacySpace="0" w:legacyIndent="0"/>
      <w:lvlJc w:val="left"/>
      <w:pPr>
        <w:ind w:left="0" w:firstLine="0"/>
      </w:pPr>
      <w:rPr>
        <w:rFonts w:hint="eastAsia" w:ascii="黑体" w:hAnsi="黑体" w:eastAsia="黑体"/>
        <w:b w:val="0"/>
        <w:i w:val="0"/>
        <w:sz w:val="21"/>
      </w:rPr>
    </w:lvl>
    <w:lvl w:ilvl="7" w:tentative="0">
      <w:start w:val="1"/>
      <w:numFmt w:val="decimal"/>
      <w:lvlText w:val="%1.%2.%3.%4.%5.%6.%7.%8"/>
      <w:legacy w:legacy="1" w:legacySpace="0" w:legacyIndent="1418"/>
      <w:lvlJc w:val="left"/>
      <w:pPr>
        <w:ind w:left="3969" w:hanging="1418"/>
      </w:pPr>
      <w:rPr>
        <w:rFonts w:hint="eastAsia"/>
      </w:rPr>
    </w:lvl>
    <w:lvl w:ilvl="8" w:tentative="0">
      <w:start w:val="1"/>
      <w:numFmt w:val="decimal"/>
      <w:lvlText w:val="%1.%2.%3.%4.%5.%6.%7.%8.%9"/>
      <w:legacy w:legacy="1" w:legacySpace="0" w:legacyIndent="1700"/>
      <w:lvlJc w:val="left"/>
      <w:pPr>
        <w:ind w:left="4677" w:hanging="1700"/>
      </w:pPr>
      <w:rPr>
        <w:rFonts w:hint="eastAsia"/>
      </w:rPr>
    </w:lvl>
  </w:abstractNum>
  <w:abstractNum w:abstractNumId="15">
    <w:nsid w:val="66871CD6"/>
    <w:multiLevelType w:val="multilevel"/>
    <w:tmpl w:val="66871CD6"/>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6">
    <w:nsid w:val="771529B5"/>
    <w:multiLevelType w:val="multilevel"/>
    <w:tmpl w:val="771529B5"/>
    <w:lvl w:ilvl="0" w:tentative="0">
      <w:start w:val="1"/>
      <w:numFmt w:val="decimal"/>
      <w:pStyle w:val="57"/>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4"/>
  </w:num>
  <w:num w:numId="2">
    <w:abstractNumId w:val="0"/>
  </w:num>
  <w:num w:numId="3">
    <w:abstractNumId w:val="3"/>
  </w:num>
  <w:num w:numId="4">
    <w:abstractNumId w:val="2"/>
  </w:num>
  <w:num w:numId="5">
    <w:abstractNumId w:val="10"/>
  </w:num>
  <w:num w:numId="6">
    <w:abstractNumId w:val="16"/>
  </w:num>
  <w:num w:numId="7">
    <w:abstractNumId w:val="1"/>
  </w:num>
  <w:num w:numId="8">
    <w:abstractNumId w:val="8"/>
  </w:num>
  <w:num w:numId="9">
    <w:abstractNumId w:val="6"/>
  </w:num>
  <w:num w:numId="10">
    <w:abstractNumId w:val="15"/>
  </w:num>
  <w:num w:numId="11">
    <w:abstractNumId w:val="5"/>
  </w:num>
  <w:num w:numId="12">
    <w:abstractNumId w:val="12"/>
  </w:num>
  <w:num w:numId="13">
    <w:abstractNumId w:val="7"/>
  </w:num>
  <w:num w:numId="14">
    <w:abstractNumId w:val="4"/>
  </w:num>
  <w:num w:numId="15">
    <w:abstractNumId w:val="9"/>
  </w:num>
  <w:num w:numId="16">
    <w:abstractNumId w:val="11"/>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U0OWNhMGUyYzc2MTI5ZWY2NzM4MTVkMDAwODg0YzMifQ=="/>
  </w:docVars>
  <w:rsids>
    <w:rsidRoot w:val="000D75AA"/>
    <w:rsid w:val="000068A2"/>
    <w:rsid w:val="00014983"/>
    <w:rsid w:val="000178C8"/>
    <w:rsid w:val="00034E32"/>
    <w:rsid w:val="000440FA"/>
    <w:rsid w:val="00055442"/>
    <w:rsid w:val="000650E7"/>
    <w:rsid w:val="00072103"/>
    <w:rsid w:val="00072B79"/>
    <w:rsid w:val="00075653"/>
    <w:rsid w:val="00082613"/>
    <w:rsid w:val="00093529"/>
    <w:rsid w:val="000C517B"/>
    <w:rsid w:val="000D0144"/>
    <w:rsid w:val="000D75AA"/>
    <w:rsid w:val="000E53EA"/>
    <w:rsid w:val="001133E6"/>
    <w:rsid w:val="00127A50"/>
    <w:rsid w:val="00137F57"/>
    <w:rsid w:val="0015436D"/>
    <w:rsid w:val="00163FE9"/>
    <w:rsid w:val="001655CC"/>
    <w:rsid w:val="001724B3"/>
    <w:rsid w:val="0018012C"/>
    <w:rsid w:val="001821C9"/>
    <w:rsid w:val="001972D8"/>
    <w:rsid w:val="001A6DC2"/>
    <w:rsid w:val="001A7570"/>
    <w:rsid w:val="001B72CC"/>
    <w:rsid w:val="001D05BF"/>
    <w:rsid w:val="001D3156"/>
    <w:rsid w:val="001E1BD1"/>
    <w:rsid w:val="001E2D73"/>
    <w:rsid w:val="001E7A38"/>
    <w:rsid w:val="00200C52"/>
    <w:rsid w:val="0020127F"/>
    <w:rsid w:val="00205352"/>
    <w:rsid w:val="002210B4"/>
    <w:rsid w:val="0022236C"/>
    <w:rsid w:val="002324B6"/>
    <w:rsid w:val="00233959"/>
    <w:rsid w:val="00234F7D"/>
    <w:rsid w:val="00236909"/>
    <w:rsid w:val="00236EB4"/>
    <w:rsid w:val="00241F8A"/>
    <w:rsid w:val="00281F39"/>
    <w:rsid w:val="0028500C"/>
    <w:rsid w:val="00286455"/>
    <w:rsid w:val="002879F6"/>
    <w:rsid w:val="00292F73"/>
    <w:rsid w:val="0029554A"/>
    <w:rsid w:val="002A3479"/>
    <w:rsid w:val="002B7C92"/>
    <w:rsid w:val="002E357A"/>
    <w:rsid w:val="00301E58"/>
    <w:rsid w:val="00321E92"/>
    <w:rsid w:val="003259AF"/>
    <w:rsid w:val="003332BA"/>
    <w:rsid w:val="00340D9B"/>
    <w:rsid w:val="003517E7"/>
    <w:rsid w:val="00372A7E"/>
    <w:rsid w:val="00372E66"/>
    <w:rsid w:val="00375933"/>
    <w:rsid w:val="00382E35"/>
    <w:rsid w:val="00396F2C"/>
    <w:rsid w:val="003C73F2"/>
    <w:rsid w:val="003D485E"/>
    <w:rsid w:val="003D551D"/>
    <w:rsid w:val="00417285"/>
    <w:rsid w:val="00426DC5"/>
    <w:rsid w:val="004373E9"/>
    <w:rsid w:val="0044036C"/>
    <w:rsid w:val="0044065E"/>
    <w:rsid w:val="00461FC5"/>
    <w:rsid w:val="004805DB"/>
    <w:rsid w:val="00484B26"/>
    <w:rsid w:val="0048511D"/>
    <w:rsid w:val="0048779E"/>
    <w:rsid w:val="00494043"/>
    <w:rsid w:val="004A2BDA"/>
    <w:rsid w:val="004A75FF"/>
    <w:rsid w:val="004B4D68"/>
    <w:rsid w:val="004E49BB"/>
    <w:rsid w:val="004F29B4"/>
    <w:rsid w:val="00515B82"/>
    <w:rsid w:val="00515BD0"/>
    <w:rsid w:val="0051755E"/>
    <w:rsid w:val="00526B6E"/>
    <w:rsid w:val="00533B2A"/>
    <w:rsid w:val="00547C53"/>
    <w:rsid w:val="00551C43"/>
    <w:rsid w:val="00554B7D"/>
    <w:rsid w:val="00564A0C"/>
    <w:rsid w:val="00577278"/>
    <w:rsid w:val="005A0F4B"/>
    <w:rsid w:val="005D12DF"/>
    <w:rsid w:val="005D31B9"/>
    <w:rsid w:val="005D62FC"/>
    <w:rsid w:val="005E3C13"/>
    <w:rsid w:val="005E7B33"/>
    <w:rsid w:val="005F1668"/>
    <w:rsid w:val="005F2FD2"/>
    <w:rsid w:val="005F4961"/>
    <w:rsid w:val="006028CD"/>
    <w:rsid w:val="00617B08"/>
    <w:rsid w:val="00623AEB"/>
    <w:rsid w:val="00625273"/>
    <w:rsid w:val="00627AB4"/>
    <w:rsid w:val="006335ED"/>
    <w:rsid w:val="006343EC"/>
    <w:rsid w:val="0063539D"/>
    <w:rsid w:val="00637F53"/>
    <w:rsid w:val="006511A8"/>
    <w:rsid w:val="0067378F"/>
    <w:rsid w:val="00691000"/>
    <w:rsid w:val="006978E1"/>
    <w:rsid w:val="006B0BA0"/>
    <w:rsid w:val="006B0FFB"/>
    <w:rsid w:val="006B12C0"/>
    <w:rsid w:val="006F1092"/>
    <w:rsid w:val="00714DDE"/>
    <w:rsid w:val="0072768D"/>
    <w:rsid w:val="0073245D"/>
    <w:rsid w:val="0074491A"/>
    <w:rsid w:val="00750197"/>
    <w:rsid w:val="007557E4"/>
    <w:rsid w:val="00756356"/>
    <w:rsid w:val="00774434"/>
    <w:rsid w:val="007756AB"/>
    <w:rsid w:val="00781D6C"/>
    <w:rsid w:val="007A149B"/>
    <w:rsid w:val="007B6551"/>
    <w:rsid w:val="007C244C"/>
    <w:rsid w:val="007F1FA1"/>
    <w:rsid w:val="00801A7F"/>
    <w:rsid w:val="008105F0"/>
    <w:rsid w:val="00814260"/>
    <w:rsid w:val="00822356"/>
    <w:rsid w:val="008247C4"/>
    <w:rsid w:val="00826BFA"/>
    <w:rsid w:val="00830514"/>
    <w:rsid w:val="00853F5C"/>
    <w:rsid w:val="008641E7"/>
    <w:rsid w:val="00874BB5"/>
    <w:rsid w:val="008779C2"/>
    <w:rsid w:val="00887632"/>
    <w:rsid w:val="00887924"/>
    <w:rsid w:val="00895F4A"/>
    <w:rsid w:val="008973E6"/>
    <w:rsid w:val="008B338F"/>
    <w:rsid w:val="008B5693"/>
    <w:rsid w:val="008B6B5F"/>
    <w:rsid w:val="008D52AA"/>
    <w:rsid w:val="008E1EB5"/>
    <w:rsid w:val="008E6D32"/>
    <w:rsid w:val="008F6E99"/>
    <w:rsid w:val="00926E1B"/>
    <w:rsid w:val="00932BA3"/>
    <w:rsid w:val="00934D49"/>
    <w:rsid w:val="0094364A"/>
    <w:rsid w:val="00947EBA"/>
    <w:rsid w:val="009524BC"/>
    <w:rsid w:val="009718CC"/>
    <w:rsid w:val="009832A1"/>
    <w:rsid w:val="009A4141"/>
    <w:rsid w:val="009D509C"/>
    <w:rsid w:val="009E3161"/>
    <w:rsid w:val="00A16A3E"/>
    <w:rsid w:val="00A263D3"/>
    <w:rsid w:val="00A365A2"/>
    <w:rsid w:val="00A37FDF"/>
    <w:rsid w:val="00A42C5E"/>
    <w:rsid w:val="00A60021"/>
    <w:rsid w:val="00A73068"/>
    <w:rsid w:val="00A75476"/>
    <w:rsid w:val="00A87F41"/>
    <w:rsid w:val="00A927ED"/>
    <w:rsid w:val="00AC57C3"/>
    <w:rsid w:val="00AD0172"/>
    <w:rsid w:val="00AE6458"/>
    <w:rsid w:val="00B07A8A"/>
    <w:rsid w:val="00B1266B"/>
    <w:rsid w:val="00B13092"/>
    <w:rsid w:val="00B66676"/>
    <w:rsid w:val="00B73416"/>
    <w:rsid w:val="00B77477"/>
    <w:rsid w:val="00B8462B"/>
    <w:rsid w:val="00B94EFE"/>
    <w:rsid w:val="00B954B8"/>
    <w:rsid w:val="00BA570D"/>
    <w:rsid w:val="00BB2BF0"/>
    <w:rsid w:val="00BB6932"/>
    <w:rsid w:val="00BB7B52"/>
    <w:rsid w:val="00BD2990"/>
    <w:rsid w:val="00BD761D"/>
    <w:rsid w:val="00C07069"/>
    <w:rsid w:val="00C123EE"/>
    <w:rsid w:val="00C13CB6"/>
    <w:rsid w:val="00C15D30"/>
    <w:rsid w:val="00C20386"/>
    <w:rsid w:val="00C37FF9"/>
    <w:rsid w:val="00C423A1"/>
    <w:rsid w:val="00C5570F"/>
    <w:rsid w:val="00C66F8B"/>
    <w:rsid w:val="00C74397"/>
    <w:rsid w:val="00C76087"/>
    <w:rsid w:val="00C820D3"/>
    <w:rsid w:val="00C86A3A"/>
    <w:rsid w:val="00C914BA"/>
    <w:rsid w:val="00CC19FD"/>
    <w:rsid w:val="00CC71EF"/>
    <w:rsid w:val="00CE1725"/>
    <w:rsid w:val="00CE7CD2"/>
    <w:rsid w:val="00D017B3"/>
    <w:rsid w:val="00D0457A"/>
    <w:rsid w:val="00D20FDC"/>
    <w:rsid w:val="00D21856"/>
    <w:rsid w:val="00D315FD"/>
    <w:rsid w:val="00D335FD"/>
    <w:rsid w:val="00D35977"/>
    <w:rsid w:val="00D43F5A"/>
    <w:rsid w:val="00D77918"/>
    <w:rsid w:val="00D87F07"/>
    <w:rsid w:val="00D909A9"/>
    <w:rsid w:val="00D9142A"/>
    <w:rsid w:val="00D91B5F"/>
    <w:rsid w:val="00D9735E"/>
    <w:rsid w:val="00DA6487"/>
    <w:rsid w:val="00DB7F6F"/>
    <w:rsid w:val="00DF4FB8"/>
    <w:rsid w:val="00DF68C2"/>
    <w:rsid w:val="00DF6E01"/>
    <w:rsid w:val="00E127A1"/>
    <w:rsid w:val="00E27034"/>
    <w:rsid w:val="00E27825"/>
    <w:rsid w:val="00E32D4B"/>
    <w:rsid w:val="00E33B13"/>
    <w:rsid w:val="00E41116"/>
    <w:rsid w:val="00E414EF"/>
    <w:rsid w:val="00E454FA"/>
    <w:rsid w:val="00E455A5"/>
    <w:rsid w:val="00E835A1"/>
    <w:rsid w:val="00E83E2D"/>
    <w:rsid w:val="00EA6200"/>
    <w:rsid w:val="00EC7405"/>
    <w:rsid w:val="00ED403B"/>
    <w:rsid w:val="00ED41E5"/>
    <w:rsid w:val="00EE332B"/>
    <w:rsid w:val="00EF4610"/>
    <w:rsid w:val="00EF6CB2"/>
    <w:rsid w:val="00F01A5C"/>
    <w:rsid w:val="00F40513"/>
    <w:rsid w:val="00F424A9"/>
    <w:rsid w:val="00F5729F"/>
    <w:rsid w:val="00F65587"/>
    <w:rsid w:val="00F77E06"/>
    <w:rsid w:val="00F84B7E"/>
    <w:rsid w:val="00F9021F"/>
    <w:rsid w:val="00F9720A"/>
    <w:rsid w:val="00FA7D60"/>
    <w:rsid w:val="00FB260A"/>
    <w:rsid w:val="00FC6969"/>
    <w:rsid w:val="00FC7CE6"/>
    <w:rsid w:val="00FD6497"/>
    <w:rsid w:val="00FF2EC3"/>
    <w:rsid w:val="02DC2156"/>
    <w:rsid w:val="03CC3F79"/>
    <w:rsid w:val="03D177E1"/>
    <w:rsid w:val="06084616"/>
    <w:rsid w:val="08EF7A39"/>
    <w:rsid w:val="0A5844F0"/>
    <w:rsid w:val="0FEE34C9"/>
    <w:rsid w:val="13010287"/>
    <w:rsid w:val="132D4308"/>
    <w:rsid w:val="133D4C82"/>
    <w:rsid w:val="15565D98"/>
    <w:rsid w:val="17EE1586"/>
    <w:rsid w:val="187D11CF"/>
    <w:rsid w:val="18CE5C46"/>
    <w:rsid w:val="1E1709DA"/>
    <w:rsid w:val="206E043A"/>
    <w:rsid w:val="22E41AB5"/>
    <w:rsid w:val="25496D80"/>
    <w:rsid w:val="25F63DD1"/>
    <w:rsid w:val="27095D8A"/>
    <w:rsid w:val="2E40384E"/>
    <w:rsid w:val="41FF4F3E"/>
    <w:rsid w:val="45413951"/>
    <w:rsid w:val="456652D4"/>
    <w:rsid w:val="46E47FFF"/>
    <w:rsid w:val="470D3C59"/>
    <w:rsid w:val="47694C08"/>
    <w:rsid w:val="4779601E"/>
    <w:rsid w:val="477E657B"/>
    <w:rsid w:val="493E1AE1"/>
    <w:rsid w:val="4B2238EC"/>
    <w:rsid w:val="4DDD59C1"/>
    <w:rsid w:val="51FB0B52"/>
    <w:rsid w:val="531F075A"/>
    <w:rsid w:val="56524EBB"/>
    <w:rsid w:val="57A57FD6"/>
    <w:rsid w:val="57F01F2D"/>
    <w:rsid w:val="58D367F3"/>
    <w:rsid w:val="59EA41DF"/>
    <w:rsid w:val="5B5C4D58"/>
    <w:rsid w:val="5B904A2D"/>
    <w:rsid w:val="5BFB00CD"/>
    <w:rsid w:val="5EE32AB6"/>
    <w:rsid w:val="5F7F1C04"/>
    <w:rsid w:val="60252B89"/>
    <w:rsid w:val="60980C0D"/>
    <w:rsid w:val="616C2448"/>
    <w:rsid w:val="623E37BE"/>
    <w:rsid w:val="67277FC8"/>
    <w:rsid w:val="677C2407"/>
    <w:rsid w:val="6A6F728A"/>
    <w:rsid w:val="6BF40694"/>
    <w:rsid w:val="6CB06CB1"/>
    <w:rsid w:val="6CC80E6D"/>
    <w:rsid w:val="716F713B"/>
    <w:rsid w:val="71AD37BF"/>
    <w:rsid w:val="74A0585D"/>
    <w:rsid w:val="74D76DA5"/>
    <w:rsid w:val="75976C60"/>
    <w:rsid w:val="774015EC"/>
    <w:rsid w:val="77A7157C"/>
    <w:rsid w:val="79991513"/>
    <w:rsid w:val="7A035425"/>
    <w:rsid w:val="7B215011"/>
    <w:rsid w:val="7EF215D4"/>
    <w:rsid w:val="7F925222"/>
    <w:rsid w:val="7FE42A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nhideWhenUsed="0"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3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pPr>
    <w:rPr>
      <w:rFonts w:ascii="Calibri" w:hAnsi="Calibri" w:eastAsia="宋体" w:cs="Calibri"/>
      <w:kern w:val="2"/>
      <w:sz w:val="21"/>
      <w:szCs w:val="24"/>
      <w:lang w:val="en-US" w:eastAsia="zh-CN" w:bidi="ar-SA"/>
    </w:rPr>
  </w:style>
  <w:style w:type="paragraph" w:styleId="2">
    <w:name w:val="heading 1"/>
    <w:basedOn w:val="1"/>
    <w:next w:val="1"/>
    <w:autoRedefine/>
    <w:qFormat/>
    <w:uiPriority w:val="0"/>
    <w:pPr>
      <w:keepNext/>
      <w:keepLines/>
      <w:spacing w:before="340" w:after="330" w:line="578" w:lineRule="auto"/>
      <w:outlineLvl w:val="0"/>
    </w:pPr>
    <w:rPr>
      <w:b/>
      <w:bCs/>
      <w:kern w:val="44"/>
      <w:sz w:val="44"/>
    </w:rPr>
  </w:style>
  <w:style w:type="paragraph" w:styleId="3">
    <w:name w:val="heading 2"/>
    <w:basedOn w:val="1"/>
    <w:next w:val="1"/>
    <w:autoRedefine/>
    <w:qFormat/>
    <w:uiPriority w:val="0"/>
    <w:pPr>
      <w:keepNext/>
      <w:keepLines/>
      <w:spacing w:before="260" w:after="260" w:line="415" w:lineRule="auto"/>
      <w:outlineLvl w:val="1"/>
    </w:pPr>
    <w:rPr>
      <w:rFonts w:ascii="Times New Roman" w:hAnsi="Times New Roman" w:eastAsia="黑体"/>
      <w:b/>
      <w:sz w:val="32"/>
    </w:rPr>
  </w:style>
  <w:style w:type="paragraph" w:styleId="4">
    <w:name w:val="heading 3"/>
    <w:basedOn w:val="1"/>
    <w:next w:val="1"/>
    <w:autoRedefine/>
    <w:qFormat/>
    <w:uiPriority w:val="0"/>
    <w:pPr>
      <w:keepNext/>
      <w:keepLines/>
      <w:spacing w:before="260" w:after="260" w:line="415" w:lineRule="auto"/>
      <w:outlineLvl w:val="2"/>
    </w:pPr>
    <w:rPr>
      <w:b/>
      <w:sz w:val="32"/>
    </w:rPr>
  </w:style>
  <w:style w:type="paragraph" w:styleId="5">
    <w:name w:val="heading 7"/>
    <w:basedOn w:val="1"/>
    <w:next w:val="1"/>
    <w:link w:val="21"/>
    <w:autoRedefine/>
    <w:qFormat/>
    <w:uiPriority w:val="9"/>
    <w:pPr>
      <w:keepNext/>
      <w:keepLines/>
      <w:spacing w:before="240" w:after="64" w:line="320" w:lineRule="auto"/>
      <w:outlineLvl w:val="6"/>
    </w:pPr>
    <w:rPr>
      <w:b/>
      <w:bCs/>
      <w:sz w:val="24"/>
    </w:rPr>
  </w:style>
  <w:style w:type="character" w:default="1" w:styleId="14">
    <w:name w:val="Default Paragraph Font"/>
    <w:autoRedefine/>
    <w:semiHidden/>
    <w:unhideWhenUsed/>
    <w:qFormat/>
    <w:uiPriority w:val="1"/>
  </w:style>
  <w:style w:type="table" w:default="1" w:styleId="13">
    <w:name w:val="Normal Table"/>
    <w:autoRedefine/>
    <w:semiHidden/>
    <w:unhideWhenUsed/>
    <w:qFormat/>
    <w:uiPriority w:val="99"/>
    <w:tblPr>
      <w:tblCellMar>
        <w:top w:w="0" w:type="dxa"/>
        <w:left w:w="108" w:type="dxa"/>
        <w:bottom w:w="0" w:type="dxa"/>
        <w:right w:w="108" w:type="dxa"/>
      </w:tblCellMar>
    </w:tblPr>
  </w:style>
  <w:style w:type="paragraph" w:styleId="6">
    <w:name w:val="annotation text"/>
    <w:basedOn w:val="1"/>
    <w:link w:val="22"/>
    <w:autoRedefine/>
    <w:unhideWhenUsed/>
    <w:qFormat/>
    <w:uiPriority w:val="99"/>
    <w:pPr>
      <w:adjustRightInd w:val="0"/>
      <w:spacing w:line="400" w:lineRule="exact"/>
    </w:pPr>
    <w:rPr>
      <w:szCs w:val="21"/>
    </w:rPr>
  </w:style>
  <w:style w:type="paragraph" w:styleId="7">
    <w:name w:val="Balloon Text"/>
    <w:basedOn w:val="1"/>
    <w:link w:val="23"/>
    <w:autoRedefine/>
    <w:unhideWhenUsed/>
    <w:qFormat/>
    <w:uiPriority w:val="99"/>
    <w:rPr>
      <w:sz w:val="18"/>
      <w:szCs w:val="18"/>
    </w:rPr>
  </w:style>
  <w:style w:type="paragraph" w:styleId="8">
    <w:name w:val="footer"/>
    <w:basedOn w:val="1"/>
    <w:link w:val="24"/>
    <w:autoRedefine/>
    <w:qFormat/>
    <w:uiPriority w:val="99"/>
    <w:pPr>
      <w:tabs>
        <w:tab w:val="center" w:pos="4153"/>
        <w:tab w:val="right" w:pos="8306"/>
      </w:tabs>
      <w:snapToGrid w:val="0"/>
    </w:pPr>
    <w:rPr>
      <w:sz w:val="18"/>
      <w:szCs w:val="18"/>
    </w:rPr>
  </w:style>
  <w:style w:type="paragraph" w:styleId="9">
    <w:name w:val="envelope return"/>
    <w:basedOn w:val="1"/>
    <w:autoRedefine/>
    <w:qFormat/>
    <w:uiPriority w:val="0"/>
    <w:pPr>
      <w:snapToGrid w:val="0"/>
    </w:pPr>
    <w:rPr>
      <w:rFonts w:ascii="Times New Roman" w:hAnsi="Times New Roman"/>
    </w:rPr>
  </w:style>
  <w:style w:type="paragraph" w:styleId="10">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1">
    <w:name w:val="toc 4"/>
    <w:basedOn w:val="1"/>
    <w:next w:val="1"/>
    <w:autoRedefine/>
    <w:unhideWhenUsed/>
    <w:qFormat/>
    <w:uiPriority w:val="39"/>
    <w:pPr>
      <w:tabs>
        <w:tab w:val="right" w:leader="dot" w:pos="9344"/>
      </w:tabs>
      <w:adjustRightInd w:val="0"/>
      <w:spacing w:line="300" w:lineRule="exact"/>
      <w:ind w:left="629"/>
    </w:pPr>
    <w:rPr>
      <w:rFonts w:ascii="宋体"/>
      <w:szCs w:val="21"/>
    </w:rPr>
  </w:style>
  <w:style w:type="paragraph" w:styleId="12">
    <w:name w:val="Normal (Web)"/>
    <w:basedOn w:val="1"/>
    <w:autoRedefine/>
    <w:semiHidden/>
    <w:unhideWhenUsed/>
    <w:qFormat/>
    <w:uiPriority w:val="99"/>
    <w:rPr>
      <w:sz w:val="24"/>
    </w:rPr>
  </w:style>
  <w:style w:type="character" w:styleId="15">
    <w:name w:val="line number"/>
    <w:autoRedefine/>
    <w:qFormat/>
    <w:uiPriority w:val="0"/>
  </w:style>
  <w:style w:type="character" w:styleId="16">
    <w:name w:val="Hyperlink"/>
    <w:autoRedefine/>
    <w:qFormat/>
    <w:uiPriority w:val="0"/>
    <w:rPr>
      <w:rFonts w:ascii="宋体" w:eastAsia="宋体"/>
      <w:color w:val="auto"/>
      <w:spacing w:val="0"/>
      <w:w w:val="100"/>
      <w:position w:val="0"/>
      <w:sz w:val="21"/>
      <w:u w:val="none"/>
      <w:vertAlign w:val="baseline"/>
    </w:rPr>
  </w:style>
  <w:style w:type="character" w:styleId="17">
    <w:name w:val="annotation reference"/>
    <w:autoRedefine/>
    <w:qFormat/>
    <w:uiPriority w:val="99"/>
    <w:rPr>
      <w:sz w:val="21"/>
    </w:rPr>
  </w:style>
  <w:style w:type="character" w:styleId="18">
    <w:name w:val="footnote reference"/>
    <w:autoRedefine/>
    <w:qFormat/>
    <w:uiPriority w:val="0"/>
    <w:rPr>
      <w:vertAlign w:val="superscript"/>
    </w:rPr>
  </w:style>
  <w:style w:type="paragraph" w:customStyle="1" w:styleId="19">
    <w:name w:val="正文-公1"/>
    <w:autoRedefine/>
    <w:qFormat/>
    <w:uiPriority w:val="99"/>
    <w:pPr>
      <w:widowControl w:val="0"/>
      <w:suppressAutoHyphens/>
      <w:jc w:val="both"/>
    </w:pPr>
    <w:rPr>
      <w:rFonts w:ascii="Calibri" w:hAnsi="Calibri" w:eastAsia="宋体" w:cs="Times New Roman"/>
      <w:kern w:val="2"/>
      <w:sz w:val="28"/>
      <w:szCs w:val="24"/>
      <w:lang w:val="en-US" w:eastAsia="zh-CN" w:bidi="ar-SA"/>
    </w:rPr>
  </w:style>
  <w:style w:type="paragraph" w:customStyle="1" w:styleId="20">
    <w:name w:val="BodyText2"/>
    <w:basedOn w:val="1"/>
    <w:autoRedefine/>
    <w:qFormat/>
    <w:uiPriority w:val="0"/>
    <w:pPr>
      <w:spacing w:after="120" w:line="480" w:lineRule="auto"/>
      <w:textAlignment w:val="baseline"/>
    </w:pPr>
    <w:rPr>
      <w:rFonts w:cs="Times New Roman"/>
      <w:sz w:val="32"/>
      <w:szCs w:val="32"/>
    </w:rPr>
  </w:style>
  <w:style w:type="character" w:customStyle="1" w:styleId="21">
    <w:name w:val="标题 7 字符"/>
    <w:link w:val="5"/>
    <w:autoRedefine/>
    <w:qFormat/>
    <w:uiPriority w:val="0"/>
    <w:rPr>
      <w:rFonts w:eastAsia="宋体"/>
      <w:b/>
      <w:bCs/>
      <w:kern w:val="2"/>
      <w:sz w:val="24"/>
      <w:szCs w:val="24"/>
    </w:rPr>
  </w:style>
  <w:style w:type="character" w:customStyle="1" w:styleId="22">
    <w:name w:val="批注文字 字符"/>
    <w:link w:val="6"/>
    <w:autoRedefine/>
    <w:semiHidden/>
    <w:qFormat/>
    <w:uiPriority w:val="99"/>
    <w:rPr>
      <w:rFonts w:ascii="Calibri" w:hAnsi="Calibri" w:eastAsia="宋体"/>
      <w:kern w:val="2"/>
      <w:sz w:val="21"/>
      <w:szCs w:val="21"/>
    </w:rPr>
  </w:style>
  <w:style w:type="character" w:customStyle="1" w:styleId="23">
    <w:name w:val="批注框文本 字符"/>
    <w:link w:val="7"/>
    <w:autoRedefine/>
    <w:semiHidden/>
    <w:qFormat/>
    <w:uiPriority w:val="99"/>
    <w:rPr>
      <w:rFonts w:eastAsia="宋体"/>
      <w:kern w:val="2"/>
      <w:sz w:val="18"/>
      <w:szCs w:val="18"/>
    </w:rPr>
  </w:style>
  <w:style w:type="character" w:customStyle="1" w:styleId="24">
    <w:name w:val="页脚 字符"/>
    <w:link w:val="8"/>
    <w:autoRedefine/>
    <w:qFormat/>
    <w:locked/>
    <w:uiPriority w:val="99"/>
    <w:rPr>
      <w:rFonts w:eastAsia="宋体"/>
      <w:kern w:val="2"/>
      <w:sz w:val="18"/>
      <w:szCs w:val="18"/>
    </w:rPr>
  </w:style>
  <w:style w:type="paragraph" w:customStyle="1" w:styleId="25">
    <w:name w:val="其他标准称谓"/>
    <w:autoRedefine/>
    <w:qFormat/>
    <w:uiPriority w:val="0"/>
    <w:pPr>
      <w:spacing w:line="0" w:lineRule="atLeast"/>
      <w:jc w:val="distribute"/>
    </w:pPr>
    <w:rPr>
      <w:rFonts w:ascii="黑体" w:hAnsi="Calibri" w:eastAsia="黑体" w:cs="Calibri"/>
      <w:sz w:val="52"/>
      <w:lang w:val="en-US" w:eastAsia="zh-CN" w:bidi="ar-SA"/>
    </w:rPr>
  </w:style>
  <w:style w:type="paragraph" w:customStyle="1" w:styleId="26">
    <w:name w:val="封面标准号1"/>
    <w:autoRedefine/>
    <w:qFormat/>
    <w:uiPriority w:val="0"/>
    <w:pPr>
      <w:widowControl w:val="0"/>
      <w:kinsoku w:val="0"/>
      <w:overflowPunct w:val="0"/>
      <w:autoSpaceDE w:val="0"/>
      <w:autoSpaceDN w:val="0"/>
      <w:spacing w:before="308"/>
      <w:jc w:val="right"/>
      <w:textAlignment w:val="center"/>
    </w:pPr>
    <w:rPr>
      <w:rFonts w:ascii="Calibri" w:hAnsi="Calibri" w:eastAsia="宋体" w:cs="Calibri"/>
      <w:sz w:val="28"/>
      <w:lang w:val="en-US" w:eastAsia="zh-CN" w:bidi="ar-SA"/>
    </w:rPr>
  </w:style>
  <w:style w:type="paragraph" w:customStyle="1" w:styleId="27">
    <w:name w:val="标准文件_段"/>
    <w:link w:val="28"/>
    <w:autoRedefine/>
    <w:qFormat/>
    <w:uiPriority w:val="0"/>
    <w:pPr>
      <w:autoSpaceDE w:val="0"/>
      <w:autoSpaceDN w:val="0"/>
      <w:ind w:firstLine="560" w:firstLineChars="200"/>
      <w:jc w:val="both"/>
    </w:pPr>
    <w:rPr>
      <w:rFonts w:ascii="仿宋_GB2312" w:hAnsi="仿宋_GB2312" w:eastAsia="宋体" w:cs="Calibri"/>
      <w:sz w:val="28"/>
      <w:szCs w:val="28"/>
      <w:lang w:val="en-US" w:eastAsia="zh-CN" w:bidi="ar-SA"/>
    </w:rPr>
  </w:style>
  <w:style w:type="character" w:customStyle="1" w:styleId="28">
    <w:name w:val="标准文件_段 Char"/>
    <w:link w:val="27"/>
    <w:autoRedefine/>
    <w:qFormat/>
    <w:uiPriority w:val="0"/>
    <w:rPr>
      <w:rFonts w:ascii="仿宋_GB2312" w:hAnsi="仿宋_GB2312" w:cs="Calibri"/>
      <w:sz w:val="28"/>
      <w:szCs w:val="28"/>
    </w:rPr>
  </w:style>
  <w:style w:type="paragraph" w:customStyle="1" w:styleId="29">
    <w:name w:val="标准文件_章标题"/>
    <w:next w:val="27"/>
    <w:autoRedefine/>
    <w:qFormat/>
    <w:uiPriority w:val="0"/>
    <w:pPr>
      <w:numPr>
        <w:ilvl w:val="1"/>
        <w:numId w:val="1"/>
      </w:numPr>
      <w:spacing w:before="100" w:beforeLines="100" w:after="100" w:afterLines="100"/>
      <w:jc w:val="both"/>
      <w:outlineLvl w:val="0"/>
    </w:pPr>
    <w:rPr>
      <w:rFonts w:ascii="黑体" w:hAnsi="Calibri" w:eastAsia="黑体" w:cs="Calibri"/>
      <w:sz w:val="21"/>
      <w:lang w:val="en-US" w:eastAsia="zh-CN" w:bidi="ar-SA"/>
    </w:rPr>
  </w:style>
  <w:style w:type="paragraph" w:customStyle="1" w:styleId="30">
    <w:name w:val="标准文件_二级条标题"/>
    <w:next w:val="27"/>
    <w:autoRedefine/>
    <w:qFormat/>
    <w:uiPriority w:val="0"/>
    <w:pPr>
      <w:widowControl w:val="0"/>
      <w:spacing w:before="50" w:beforeLines="50" w:after="50" w:afterLines="50"/>
      <w:jc w:val="both"/>
      <w:outlineLvl w:val="2"/>
    </w:pPr>
    <w:rPr>
      <w:rFonts w:ascii="黑体" w:hAnsi="Calibri" w:eastAsia="黑体" w:cs="Calibri"/>
      <w:sz w:val="21"/>
      <w:lang w:val="en-US" w:eastAsia="zh-CN" w:bidi="ar-SA"/>
    </w:rPr>
  </w:style>
  <w:style w:type="paragraph" w:customStyle="1" w:styleId="31">
    <w:name w:val="标准文件_一级条标题"/>
    <w:basedOn w:val="29"/>
    <w:next w:val="27"/>
    <w:autoRedefine/>
    <w:qFormat/>
    <w:uiPriority w:val="0"/>
    <w:pPr>
      <w:numPr>
        <w:ilvl w:val="2"/>
      </w:numPr>
      <w:spacing w:before="50" w:beforeLines="0" w:after="50" w:afterLines="0"/>
      <w:outlineLvl w:val="1"/>
    </w:pPr>
  </w:style>
  <w:style w:type="paragraph" w:customStyle="1" w:styleId="32">
    <w:name w:val="标准文件_三级条标题"/>
    <w:basedOn w:val="30"/>
    <w:next w:val="27"/>
    <w:autoRedefine/>
    <w:qFormat/>
    <w:uiPriority w:val="0"/>
    <w:pPr>
      <w:outlineLvl w:val="3"/>
    </w:pPr>
  </w:style>
  <w:style w:type="paragraph" w:customStyle="1" w:styleId="33">
    <w:name w:val="标准文件_四级条标题"/>
    <w:next w:val="30"/>
    <w:autoRedefine/>
    <w:qFormat/>
    <w:uiPriority w:val="0"/>
    <w:pPr>
      <w:widowControl w:val="0"/>
      <w:spacing w:before="50" w:beforeLines="50" w:after="50" w:afterLines="50"/>
      <w:jc w:val="both"/>
      <w:outlineLvl w:val="4"/>
    </w:pPr>
    <w:rPr>
      <w:rFonts w:ascii="黑体" w:hAnsi="Calibri" w:eastAsia="黑体" w:cs="Calibri"/>
      <w:sz w:val="21"/>
      <w:lang w:val="en-US" w:eastAsia="zh-CN" w:bidi="ar-SA"/>
    </w:rPr>
  </w:style>
  <w:style w:type="paragraph" w:customStyle="1" w:styleId="34">
    <w:name w:val="标准文件_五级条标题"/>
    <w:next w:val="30"/>
    <w:autoRedefine/>
    <w:qFormat/>
    <w:uiPriority w:val="0"/>
    <w:pPr>
      <w:widowControl w:val="0"/>
      <w:numPr>
        <w:ilvl w:val="6"/>
        <w:numId w:val="1"/>
      </w:numPr>
      <w:spacing w:before="50" w:beforeLines="50" w:after="50" w:afterLines="50"/>
      <w:jc w:val="both"/>
      <w:outlineLvl w:val="5"/>
    </w:pPr>
    <w:rPr>
      <w:rFonts w:ascii="黑体" w:hAnsi="Calibri" w:eastAsia="黑体" w:cs="Calibri"/>
      <w:sz w:val="21"/>
      <w:lang w:val="en-US" w:eastAsia="zh-CN" w:bidi="ar-SA"/>
    </w:rPr>
  </w:style>
  <w:style w:type="paragraph" w:customStyle="1" w:styleId="35">
    <w:name w:val="前言标题"/>
    <w:next w:val="1"/>
    <w:autoRedefine/>
    <w:qFormat/>
    <w:uiPriority w:val="0"/>
    <w:pPr>
      <w:numPr>
        <w:ilvl w:val="0"/>
        <w:numId w:val="1"/>
      </w:numPr>
      <w:shd w:val="clear" w:color="FFFFFF" w:fill="FFFFFF"/>
      <w:spacing w:before="540" w:after="600"/>
      <w:jc w:val="center"/>
      <w:outlineLvl w:val="0"/>
    </w:pPr>
    <w:rPr>
      <w:rFonts w:ascii="黑体" w:hAnsi="Calibri" w:eastAsia="黑体" w:cs="Calibri"/>
      <w:sz w:val="32"/>
      <w:lang w:val="en-US" w:eastAsia="zh-CN" w:bidi="ar-SA"/>
    </w:rPr>
  </w:style>
  <w:style w:type="paragraph" w:customStyle="1" w:styleId="36">
    <w:name w:val="标准文件_四级无标题"/>
    <w:autoRedefine/>
    <w:qFormat/>
    <w:uiPriority w:val="0"/>
    <w:pPr>
      <w:widowControl w:val="0"/>
      <w:numPr>
        <w:ilvl w:val="5"/>
        <w:numId w:val="1"/>
      </w:numPr>
      <w:spacing w:before="50" w:after="50"/>
      <w:jc w:val="both"/>
    </w:pPr>
    <w:rPr>
      <w:rFonts w:ascii="宋体" w:hAnsi="Calibri" w:eastAsia="宋体" w:cs="Calibri"/>
      <w:sz w:val="21"/>
      <w:szCs w:val="52"/>
      <w:lang w:val="en-US" w:eastAsia="zh-CN" w:bidi="ar-SA"/>
    </w:rPr>
  </w:style>
  <w:style w:type="paragraph" w:customStyle="1" w:styleId="37">
    <w:name w:val="标准文件_三级无标题"/>
    <w:basedOn w:val="32"/>
    <w:autoRedefine/>
    <w:qFormat/>
    <w:uiPriority w:val="0"/>
    <w:pPr>
      <w:numPr>
        <w:ilvl w:val="4"/>
        <w:numId w:val="1"/>
      </w:numPr>
    </w:pPr>
    <w:rPr>
      <w:rFonts w:ascii="宋体" w:eastAsia="宋体"/>
    </w:rPr>
  </w:style>
  <w:style w:type="paragraph" w:customStyle="1" w:styleId="38">
    <w:name w:val="标准文件_正文表标题"/>
    <w:autoRedefine/>
    <w:qFormat/>
    <w:uiPriority w:val="0"/>
    <w:pPr>
      <w:numPr>
        <w:ilvl w:val="0"/>
        <w:numId w:val="2"/>
      </w:numPr>
      <w:tabs>
        <w:tab w:val="left" w:pos="0"/>
      </w:tabs>
      <w:spacing w:before="50" w:beforeLines="50" w:after="50" w:afterLines="50"/>
      <w:jc w:val="center"/>
    </w:pPr>
    <w:rPr>
      <w:rFonts w:ascii="黑体" w:hAnsi="Calibri" w:eastAsia="黑体" w:cs="Calibri"/>
      <w:sz w:val="21"/>
      <w:lang w:val="en-US" w:eastAsia="zh-CN" w:bidi="ar-SA"/>
    </w:rPr>
  </w:style>
  <w:style w:type="character" w:customStyle="1" w:styleId="39">
    <w:name w:val="font11"/>
    <w:autoRedefine/>
    <w:qFormat/>
    <w:uiPriority w:val="0"/>
    <w:rPr>
      <w:rFonts w:ascii="等线" w:eastAsia="等线"/>
      <w:b/>
      <w:bCs/>
      <w:color w:val="FF0000"/>
      <w:sz w:val="22"/>
      <w:szCs w:val="22"/>
      <w:u w:val="none"/>
    </w:rPr>
  </w:style>
  <w:style w:type="character" w:customStyle="1" w:styleId="40">
    <w:name w:val="font01"/>
    <w:autoRedefine/>
    <w:qFormat/>
    <w:uiPriority w:val="0"/>
    <w:rPr>
      <w:rFonts w:ascii="等线" w:eastAsia="等线"/>
      <w:color w:val="000000"/>
      <w:sz w:val="22"/>
      <w:szCs w:val="22"/>
      <w:u w:val="none"/>
    </w:rPr>
  </w:style>
  <w:style w:type="paragraph" w:customStyle="1" w:styleId="41">
    <w:name w:val="段"/>
    <w:autoRedefine/>
    <w:qFormat/>
    <w:uiPriority w:val="0"/>
    <w:pPr>
      <w:autoSpaceDE w:val="0"/>
      <w:autoSpaceDN w:val="0"/>
      <w:ind w:firstLine="200" w:firstLineChars="200"/>
      <w:jc w:val="both"/>
    </w:pPr>
    <w:rPr>
      <w:rFonts w:ascii="宋体" w:hAnsi="Calibri" w:eastAsia="宋体" w:cs="Calibri"/>
      <w:sz w:val="21"/>
      <w:lang w:val="en-US" w:eastAsia="zh-CN" w:bidi="ar-SA"/>
    </w:rPr>
  </w:style>
  <w:style w:type="paragraph" w:customStyle="1" w:styleId="42">
    <w:name w:val="二级无"/>
    <w:basedOn w:val="1"/>
    <w:autoRedefine/>
    <w:qFormat/>
    <w:uiPriority w:val="0"/>
    <w:pPr>
      <w:widowControl/>
      <w:numPr>
        <w:ilvl w:val="2"/>
        <w:numId w:val="3"/>
      </w:numPr>
      <w:tabs>
        <w:tab w:val="left" w:pos="780"/>
      </w:tabs>
      <w:outlineLvl w:val="3"/>
    </w:pPr>
    <w:rPr>
      <w:rFonts w:ascii="宋体"/>
      <w:kern w:val="0"/>
      <w:szCs w:val="21"/>
    </w:rPr>
  </w:style>
  <w:style w:type="paragraph" w:customStyle="1" w:styleId="43">
    <w:name w:val="标准文件_二级无标题"/>
    <w:basedOn w:val="30"/>
    <w:autoRedefine/>
    <w:qFormat/>
    <w:uiPriority w:val="0"/>
    <w:pPr>
      <w:numPr>
        <w:ilvl w:val="3"/>
        <w:numId w:val="4"/>
      </w:numPr>
      <w:tabs>
        <w:tab w:val="left" w:pos="1200"/>
      </w:tabs>
      <w:spacing w:before="0" w:beforeLines="0" w:after="0" w:afterLines="0"/>
      <w:outlineLvl w:val="9"/>
    </w:pPr>
    <w:rPr>
      <w:rFonts w:ascii="宋体" w:eastAsia="宋体"/>
    </w:rPr>
  </w:style>
  <w:style w:type="paragraph" w:customStyle="1" w:styleId="44">
    <w:name w:val="Char Char Char Char"/>
    <w:basedOn w:val="1"/>
    <w:autoRedefine/>
    <w:qFormat/>
    <w:uiPriority w:val="0"/>
  </w:style>
  <w:style w:type="paragraph" w:customStyle="1" w:styleId="45">
    <w:name w:val="标准文件_数字编号列项（二级）"/>
    <w:autoRedefine/>
    <w:qFormat/>
    <w:uiPriority w:val="0"/>
    <w:pPr>
      <w:numPr>
        <w:ilvl w:val="1"/>
        <w:numId w:val="5"/>
      </w:numPr>
      <w:jc w:val="both"/>
    </w:pPr>
    <w:rPr>
      <w:rFonts w:ascii="宋体" w:hAnsi="Calibri" w:eastAsia="宋体" w:cs="Calibri"/>
      <w:sz w:val="21"/>
      <w:lang w:val="en-US" w:eastAsia="zh-CN" w:bidi="ar-SA"/>
    </w:rPr>
  </w:style>
  <w:style w:type="paragraph" w:customStyle="1" w:styleId="46">
    <w:name w:val="标准文件_编号列项（三级）"/>
    <w:autoRedefine/>
    <w:qFormat/>
    <w:uiPriority w:val="0"/>
    <w:pPr>
      <w:numPr>
        <w:ilvl w:val="2"/>
        <w:numId w:val="5"/>
      </w:numPr>
    </w:pPr>
    <w:rPr>
      <w:rFonts w:ascii="宋体" w:hAnsi="Calibri" w:eastAsia="宋体" w:cs="Calibri"/>
      <w:sz w:val="21"/>
      <w:lang w:val="en-US" w:eastAsia="zh-CN" w:bidi="ar-SA"/>
    </w:rPr>
  </w:style>
  <w:style w:type="paragraph" w:customStyle="1" w:styleId="47">
    <w:name w:val="标准文件_字母编号列项（一级）"/>
    <w:autoRedefine/>
    <w:qFormat/>
    <w:uiPriority w:val="0"/>
    <w:pPr>
      <w:numPr>
        <w:ilvl w:val="0"/>
        <w:numId w:val="5"/>
      </w:numPr>
      <w:jc w:val="both"/>
    </w:pPr>
    <w:rPr>
      <w:rFonts w:ascii="宋体" w:hAnsi="Calibri" w:eastAsia="宋体" w:cs="Calibri"/>
      <w:sz w:val="21"/>
      <w:lang w:val="en-US" w:eastAsia="zh-CN" w:bidi="ar-SA"/>
    </w:rPr>
  </w:style>
  <w:style w:type="paragraph" w:customStyle="1" w:styleId="48">
    <w:name w:val="标准文件_术语条一"/>
    <w:basedOn w:val="1"/>
    <w:next w:val="27"/>
    <w:autoRedefine/>
    <w:qFormat/>
    <w:uiPriority w:val="0"/>
    <w:pPr>
      <w:widowControl/>
    </w:pPr>
    <w:rPr>
      <w:rFonts w:ascii="宋体"/>
      <w:kern w:val="0"/>
      <w:szCs w:val="20"/>
    </w:rPr>
  </w:style>
  <w:style w:type="paragraph" w:customStyle="1" w:styleId="49">
    <w:name w:val="abstract"/>
    <w:basedOn w:val="1"/>
    <w:autoRedefine/>
    <w:qFormat/>
    <w:uiPriority w:val="0"/>
    <w:pPr>
      <w:widowControl/>
      <w:spacing w:before="100" w:beforeAutospacing="1" w:after="100" w:afterAutospacing="1"/>
    </w:pPr>
    <w:rPr>
      <w:rFonts w:ascii="宋体" w:hAnsi="宋体" w:cs="宋体"/>
      <w:kern w:val="0"/>
      <w:sz w:val="24"/>
    </w:rPr>
  </w:style>
  <w:style w:type="paragraph" w:customStyle="1" w:styleId="50">
    <w:name w:val="abstract_more"/>
    <w:basedOn w:val="1"/>
    <w:autoRedefine/>
    <w:qFormat/>
    <w:uiPriority w:val="0"/>
    <w:pPr>
      <w:widowControl/>
      <w:spacing w:before="100" w:beforeAutospacing="1" w:after="100" w:afterAutospacing="1"/>
    </w:pPr>
    <w:rPr>
      <w:rFonts w:ascii="宋体" w:hAnsi="宋体" w:cs="宋体"/>
      <w:kern w:val="0"/>
      <w:sz w:val="24"/>
    </w:rPr>
  </w:style>
  <w:style w:type="paragraph" w:styleId="51">
    <w:name w:val="No Spacing"/>
    <w:autoRedefine/>
    <w:qFormat/>
    <w:uiPriority w:val="99"/>
    <w:pPr>
      <w:widowControl w:val="0"/>
      <w:jc w:val="both"/>
    </w:pPr>
    <w:rPr>
      <w:rFonts w:ascii="Calibri" w:hAnsi="Calibri" w:eastAsia="宋体" w:cs="Times New Roman"/>
      <w:kern w:val="2"/>
      <w:sz w:val="21"/>
      <w:szCs w:val="24"/>
      <w:lang w:val="en-US" w:eastAsia="zh-CN" w:bidi="ar-SA"/>
    </w:rPr>
  </w:style>
  <w:style w:type="paragraph" w:styleId="52">
    <w:name w:val="List Paragraph"/>
    <w:basedOn w:val="1"/>
    <w:autoRedefine/>
    <w:unhideWhenUsed/>
    <w:qFormat/>
    <w:uiPriority w:val="34"/>
    <w:pPr>
      <w:ind w:firstLine="420" w:firstLineChars="200"/>
    </w:pPr>
  </w:style>
  <w:style w:type="paragraph" w:customStyle="1" w:styleId="53">
    <w:name w:val="一级标题"/>
    <w:basedOn w:val="1"/>
    <w:link w:val="55"/>
    <w:autoRedefine/>
    <w:qFormat/>
    <w:uiPriority w:val="0"/>
    <w:pPr>
      <w:spacing w:line="360" w:lineRule="auto"/>
      <w:ind w:firstLine="200" w:firstLineChars="200"/>
      <w:outlineLvl w:val="0"/>
    </w:pPr>
    <w:rPr>
      <w:rFonts w:eastAsia="黑体"/>
      <w:sz w:val="32"/>
    </w:rPr>
  </w:style>
  <w:style w:type="paragraph" w:customStyle="1" w:styleId="54">
    <w:name w:val="表格内容"/>
    <w:basedOn w:val="1"/>
    <w:autoRedefine/>
    <w:qFormat/>
    <w:uiPriority w:val="0"/>
    <w:pPr>
      <w:jc w:val="center"/>
    </w:pPr>
    <w:rPr>
      <w:rFonts w:ascii="仿宋" w:hAnsi="仿宋" w:eastAsia="仿宋_GB2312" w:cs="仿宋"/>
      <w:sz w:val="24"/>
    </w:rPr>
  </w:style>
  <w:style w:type="character" w:customStyle="1" w:styleId="55">
    <w:name w:val="一级标题 字符"/>
    <w:basedOn w:val="14"/>
    <w:link w:val="53"/>
    <w:autoRedefine/>
    <w:qFormat/>
    <w:uiPriority w:val="0"/>
    <w:rPr>
      <w:rFonts w:ascii="Calibri" w:hAnsi="Calibri" w:eastAsia="黑体" w:cs="Calibri"/>
      <w:kern w:val="2"/>
      <w:sz w:val="32"/>
      <w:szCs w:val="24"/>
    </w:rPr>
  </w:style>
  <w:style w:type="paragraph" w:customStyle="1" w:styleId="56">
    <w:name w:val="二级标题"/>
    <w:basedOn w:val="1"/>
    <w:link w:val="58"/>
    <w:autoRedefine/>
    <w:qFormat/>
    <w:uiPriority w:val="0"/>
    <w:pPr>
      <w:widowControl/>
      <w:tabs>
        <w:tab w:val="center" w:pos="4201"/>
        <w:tab w:val="right" w:leader="dot" w:pos="9298"/>
      </w:tabs>
      <w:autoSpaceDE w:val="0"/>
      <w:autoSpaceDN w:val="0"/>
      <w:spacing w:line="520" w:lineRule="exact"/>
      <w:ind w:firstLine="200" w:firstLineChars="200"/>
      <w:outlineLvl w:val="1"/>
    </w:pPr>
    <w:rPr>
      <w:rFonts w:ascii="仿宋_GB2312" w:eastAsia="仿宋_GB2312"/>
      <w:b/>
      <w:bCs/>
      <w:kern w:val="0"/>
      <w:sz w:val="28"/>
      <w:szCs w:val="28"/>
    </w:rPr>
  </w:style>
  <w:style w:type="paragraph" w:customStyle="1" w:styleId="57">
    <w:name w:val="参考资料"/>
    <w:basedOn w:val="27"/>
    <w:link w:val="59"/>
    <w:autoRedefine/>
    <w:qFormat/>
    <w:uiPriority w:val="0"/>
    <w:pPr>
      <w:numPr>
        <w:ilvl w:val="0"/>
        <w:numId w:val="6"/>
      </w:numPr>
      <w:ind w:firstLine="0" w:firstLineChars="0"/>
    </w:pPr>
    <w:rPr>
      <w:rFonts w:eastAsia="仿宋_GB2312" w:cs="仿宋"/>
      <w:bCs/>
      <w:color w:val="00B050"/>
    </w:rPr>
  </w:style>
  <w:style w:type="character" w:customStyle="1" w:styleId="58">
    <w:name w:val="二级标题 字符"/>
    <w:basedOn w:val="14"/>
    <w:link w:val="56"/>
    <w:autoRedefine/>
    <w:qFormat/>
    <w:uiPriority w:val="0"/>
    <w:rPr>
      <w:rFonts w:ascii="仿宋_GB2312" w:hAnsi="Calibri" w:eastAsia="仿宋_GB2312" w:cs="Calibri"/>
      <w:b/>
      <w:bCs/>
      <w:sz w:val="28"/>
      <w:szCs w:val="28"/>
    </w:rPr>
  </w:style>
  <w:style w:type="character" w:customStyle="1" w:styleId="59">
    <w:name w:val="参考资料 字符"/>
    <w:basedOn w:val="28"/>
    <w:link w:val="57"/>
    <w:autoRedefine/>
    <w:qFormat/>
    <w:uiPriority w:val="0"/>
    <w:rPr>
      <w:rFonts w:ascii="仿宋_GB2312" w:hAnsi="仿宋_GB2312" w:eastAsia="仿宋_GB2312" w:cs="仿宋"/>
      <w:bCs/>
      <w:color w:val="00B050"/>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numbering" Target="numbering.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Version="2005"/>
</file>

<file path=customXml/itemProps1.xml><?xml version="1.0" encoding="utf-8"?>
<ds:datastoreItem xmlns:ds="http://schemas.openxmlformats.org/officeDocument/2006/customXml" ds:itemID="{DA2C0086-B5A2-48AA-9089-2CEF25FF577E}">
  <ds:schemaRefs/>
</ds:datastoreItem>
</file>

<file path=docProps/app.xml><?xml version="1.0" encoding="utf-8"?>
<Properties xmlns="http://schemas.openxmlformats.org/officeDocument/2006/extended-properties" xmlns:vt="http://schemas.openxmlformats.org/officeDocument/2006/docPropsVTypes">
  <Template>Normal.dotm</Template>
  <Company>DoubleOX</Company>
  <Pages>24</Pages>
  <Words>2296</Words>
  <Characters>13089</Characters>
  <Lines>109</Lines>
  <Paragraphs>30</Paragraphs>
  <TotalTime>1</TotalTime>
  <ScaleCrop>false</ScaleCrop>
  <LinksUpToDate>false</LinksUpToDate>
  <CharactersWithSpaces>15355</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2023-11-07T15:48:00Z</dcterms:created>
  <dc:creator>Administrator</dc:creator>
  <cp:lastModifiedBy>新</cp:lastModifiedBy>
  <dcterms:modified xsi:type="dcterms:W3CDTF">2024-05-14T00:35:05Z</dcterms:modified>
  <cp:revision>37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294412C98A334F39B1551B9866440AAC_13</vt:lpwstr>
  </property>
</Properties>
</file>