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 xml:space="preserve">              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团体标准《</w:t>
      </w:r>
      <w:r>
        <w:rPr>
          <w:rFonts w:hint="eastAsia"/>
          <w:b/>
          <w:bCs/>
          <w:sz w:val="28"/>
          <w:szCs w:val="28"/>
          <w:lang w:eastAsia="zh-CN"/>
        </w:rPr>
        <w:t>广西莪术种姜提纯复壮</w:t>
      </w:r>
      <w:r>
        <w:rPr>
          <w:b/>
          <w:bCs/>
          <w:sz w:val="28"/>
          <w:szCs w:val="28"/>
        </w:rPr>
        <w:t>技术规程</w:t>
      </w:r>
      <w:r>
        <w:rPr>
          <w:rFonts w:hint="eastAsia"/>
          <w:b/>
          <w:bCs/>
          <w:sz w:val="28"/>
          <w:szCs w:val="28"/>
        </w:rPr>
        <w:t>》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征求意见处理汇总表</w:t>
      </w:r>
    </w:p>
    <w:p/>
    <w:p>
      <w:pPr>
        <w:rPr>
          <w:rFonts w:hint="eastAsia" w:eastAsiaTheme="minorEastAsia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"/>
        </w:rPr>
        <w:t>标准起草单位：广西壮族自治区药用植物园、广西南药园投资有限责任公司、广西华夏本草医药有限公司、广西三丰现代农业有限公司。</w:t>
      </w:r>
    </w:p>
    <w:tbl>
      <w:tblPr>
        <w:tblStyle w:val="8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854"/>
        <w:gridCol w:w="2640"/>
        <w:gridCol w:w="2550"/>
        <w:gridCol w:w="1125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8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章、条编号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原稿内容（概要）</w:t>
            </w:r>
          </w:p>
        </w:tc>
        <w:tc>
          <w:tcPr>
            <w:tcW w:w="255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修改意见</w:t>
            </w:r>
          </w:p>
        </w:tc>
        <w:tc>
          <w:tcPr>
            <w:tcW w:w="112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提出单位</w:t>
            </w:r>
          </w:p>
        </w:tc>
        <w:tc>
          <w:tcPr>
            <w:tcW w:w="106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封面</w:t>
            </w:r>
          </w:p>
        </w:tc>
        <w:tc>
          <w:tcPr>
            <w:tcW w:w="264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...the purification and rehabilitation of...</w:t>
            </w:r>
          </w:p>
        </w:tc>
        <w:tc>
          <w:tcPr>
            <w:tcW w:w="255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改为：......the purification </w:t>
            </w:r>
            <w:bookmarkStart w:id="2" w:name="_GoBack"/>
            <w:bookmarkEnd w:id="2"/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and Rejuvenation......</w:t>
            </w: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中国科学院广西植物研究所韦霄研究员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封面</w:t>
            </w:r>
          </w:p>
        </w:tc>
        <w:tc>
          <w:tcPr>
            <w:tcW w:w="264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广西莪术种苗提纯复壮技术规程</w:t>
            </w:r>
          </w:p>
        </w:tc>
        <w:tc>
          <w:tcPr>
            <w:tcW w:w="255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题目不够通俗，提纯的表述是否恰当，请斟酌。</w:t>
            </w: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不采纳，本文件是根据起草小组项目研究目的和结果确定的，且广西莪术是通过块茎（种姜）进行无性繁殖的。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引言</w:t>
            </w:r>
          </w:p>
        </w:tc>
        <w:tc>
          <w:tcPr>
            <w:tcW w:w="264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210" w:firstLineChars="1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品种下降</w:t>
            </w:r>
          </w:p>
        </w:tc>
        <w:tc>
          <w:tcPr>
            <w:tcW w:w="255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改为：品质下降。</w:t>
            </w: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广西壮族自治区林业科学研究院黄开顺正高级工程师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引言</w:t>
            </w:r>
          </w:p>
        </w:tc>
        <w:tc>
          <w:tcPr>
            <w:tcW w:w="264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广西莪术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Curcuma kwangsiensis S. G. Lee et C. F. Liang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是广西大宗道地药材，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……</w:t>
            </w:r>
          </w:p>
        </w:tc>
        <w:tc>
          <w:tcPr>
            <w:tcW w:w="255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改为：“广西莪术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Curcuma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kwangsiensis S. G. Lee et C. F. Liang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的干燥根茎和块根为中药材莪术和郁金的基原植物之一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……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”。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引言</w:t>
            </w:r>
          </w:p>
        </w:tc>
        <w:tc>
          <w:tcPr>
            <w:tcW w:w="264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Curcuma kwangsiensis S. G. Lee et C. F. Liang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</w:p>
        </w:tc>
        <w:tc>
          <w:tcPr>
            <w:tcW w:w="255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改为：......</w:t>
            </w:r>
            <w:r>
              <w:rPr>
                <w:rFonts w:hint="default" w:ascii="宋体" w:hAnsi="Times New Roman" w:eastAsia="宋体" w:cs="Times New Roman"/>
                <w:i/>
                <w:iCs/>
                <w:kern w:val="0"/>
                <w:sz w:val="21"/>
                <w:szCs w:val="21"/>
                <w:lang w:val="en-US" w:eastAsia="zh-CN" w:bidi="ar"/>
              </w:rPr>
              <w:t>Curcuma kwangsiensis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S. G. Lee et C. F. Liang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......</w:t>
            </w: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引言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Curcuma kwangsiensis S. G. Lee et C. F. Liang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改为：...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Curcuma kwangsiensis S. G. Lee et C. F. Liang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中国科学院广西植物研究所韦霄研究员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引言</w:t>
            </w:r>
          </w:p>
        </w:tc>
        <w:tc>
          <w:tcPr>
            <w:tcW w:w="264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...“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品种下降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”...</w:t>
            </w:r>
          </w:p>
        </w:tc>
        <w:tc>
          <w:tcPr>
            <w:tcW w:w="255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改为：“品种退化”...</w:t>
            </w: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中国科学院广西植物研究所韦霄研究员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引言</w:t>
            </w:r>
          </w:p>
        </w:tc>
        <w:tc>
          <w:tcPr>
            <w:tcW w:w="264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“广西莪术（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Curcuma kwangsiensis S. G. Lee et C. F. Liang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）是广西大宗道地药材”......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改为：“广西莪术（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Curcuma kwangsiensis S. G. Lee et C. F. Liang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）是广西大宗道地药材莪术和郁金的基原植物之一”......</w:t>
            </w: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广西农业职业技术大学食品药品学院黄浩正高级工程师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前言</w:t>
            </w:r>
          </w:p>
        </w:tc>
        <w:tc>
          <w:tcPr>
            <w:tcW w:w="264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21"/>
                <w:szCs w:val="21"/>
                <w:lang w:val="en-US" w:eastAsia="zh-CN" w:bidi="ar"/>
              </w:rPr>
              <w:t>提交反馈意见时，请将您知道的专利连同支持文件一并附上。</w:t>
            </w:r>
          </w:p>
        </w:tc>
        <w:tc>
          <w:tcPr>
            <w:tcW w:w="255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建议增加：“请注意本文件的某些内容可能涉及专利。本文件的发布机构不承担识别专利的责任。”为地方标准制定中的常规要求。</w:t>
            </w: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采纳，本标准未涉及相关专利。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854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64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本标准规定了广西莪术提纯复壮的术语和定义、品种特征、产地环境条件、提纯复壮技术、种姜贮藏、档案管理等操作规范。</w:t>
            </w:r>
          </w:p>
        </w:tc>
        <w:tc>
          <w:tcPr>
            <w:tcW w:w="255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改为：本标准界定了广西莪术提纯复壮的术语和定义，描述了莪术品种特征和产地环境条件，规定了莪术提纯复壮技术要求，给出了种姜贮藏、档案管理等操作指示。</w:t>
            </w:r>
          </w:p>
        </w:tc>
        <w:tc>
          <w:tcPr>
            <w:tcW w:w="1125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广西农业职业技术大学农业工程学院欧善生教授</w:t>
            </w:r>
          </w:p>
        </w:tc>
        <w:tc>
          <w:tcPr>
            <w:tcW w:w="106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 范围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“本标准”、“本技术规程”</w:t>
            </w: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“本标准”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“本文件”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“本技术规程”改为“本文件”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广西壮族自治区林业科学研究院黄开顺正高级工程师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“…良种提纯复壮”...</w:t>
            </w: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改为....“种质提纯复壮”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......。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3095 环境空气质量标准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5084 农田灌溉水质量标准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15618 土壤环境质量标准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改为：GB 3095—2012 环境空气质量标准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5084—2021 农田灌溉水质量标准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15618—2018 土壤环境质量标准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广西中医院大学黄荣韶教授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3095 环境空气质量标准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5084 农田灌溉水质量标准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15618 土壤环境质量标准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改为：GB 3095—2012 环境空气质量标准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5084—2021 农田灌溉水质量标准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 15618—2018 土壤环境质量标准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3.1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广西莪术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210" w:firstLineChars="1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“姜科姜黄属多年生植物，是广西大宗道地药材”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改为：“姜科姜黄属多年生植物，是广西大宗道地药材莪术和郁金的植物来源”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3.1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Curcuma kwangsiensis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改为：...</w:t>
            </w:r>
            <w:r>
              <w:rPr>
                <w:rFonts w:hint="default" w:ascii="宋体" w:hAnsi="Times New Roman" w:eastAsia="宋体" w:cs="Times New Roman"/>
                <w:i/>
                <w:iCs/>
                <w:kern w:val="0"/>
                <w:sz w:val="21"/>
                <w:szCs w:val="21"/>
                <w:lang w:val="en-US" w:eastAsia="zh-CN" w:bidi="ar"/>
              </w:rPr>
              <w:t>Curcuma kwangsiensis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中国科学院广西壮族自治区药用植物园韦霄研究员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3.1</w:t>
            </w:r>
          </w:p>
        </w:tc>
        <w:tc>
          <w:tcPr>
            <w:tcW w:w="2640" w:type="dxa"/>
            <w:vAlign w:val="center"/>
          </w:tcPr>
          <w:p>
            <w:pPr>
              <w:pStyle w:val="10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/>
              <w:rPr>
                <w:rFonts w:hint="default"/>
                <w:szCs w:val="20"/>
              </w:rPr>
            </w:pPr>
            <w:r>
              <w:rPr>
                <w:rFonts w:hint="eastAsia"/>
                <w:szCs w:val="20"/>
              </w:rPr>
              <w:t>姜科姜黄属多年生</w:t>
            </w:r>
            <w:r>
              <w:rPr>
                <w:rFonts w:hint="default"/>
                <w:szCs w:val="20"/>
              </w:rPr>
              <w:t>植物</w:t>
            </w:r>
            <w:r>
              <w:rPr>
                <w:rFonts w:hint="eastAsia"/>
                <w:szCs w:val="20"/>
              </w:rPr>
              <w:t>，是</w:t>
            </w:r>
            <w:r>
              <w:rPr>
                <w:rFonts w:hint="default"/>
                <w:szCs w:val="20"/>
              </w:rPr>
              <w:t>广西大宗道地药材</w:t>
            </w:r>
            <w:r>
              <w:rPr>
                <w:rFonts w:hint="eastAsia"/>
                <w:szCs w:val="20"/>
              </w:rPr>
              <w:t>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补充“广西莪术”的典型性性状内容，明确章条5.4.1初选中提到的“广西莪术典型性”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广西农业科学院生物技术研究所庾韦花副研究员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3.1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“是广西大宗道地药材。”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改为：“干燥根茎、块根分别是广西大宗道地药材莪术、郁金。”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广西农业职业技术大学食品药品学院黄浩正高级工程师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3.1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leftChars="0" w:right="0" w:rightChars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Curcuma kwangsiensis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rightChars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改为：...</w:t>
            </w:r>
            <w:r>
              <w:rPr>
                <w:rFonts w:hint="default" w:ascii="宋体" w:hAnsi="Times New Roman" w:eastAsia="宋体" w:cs="Times New Roman"/>
                <w:i/>
                <w:iCs/>
                <w:kern w:val="0"/>
                <w:sz w:val="21"/>
                <w:szCs w:val="21"/>
                <w:lang w:val="en-US" w:eastAsia="zh-CN" w:bidi="ar"/>
              </w:rPr>
              <w:t>Curcuma kwangsiensis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...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3.2 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“用于繁殖的根茎或种茎”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改为：“用于广西莪术繁殖的根茎或种茎”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3.2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“用于繁殖的根茎或种茎”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改为：姜科植物用于繁殖的根茎或根种茎。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广西中医院大学黄荣韶教授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3.2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“用于繁殖的根茎或种茎。”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改为：“用于繁殖的根茎。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广西农业职业技术大学食品药品学院黄浩正高级工程师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854" w:type="dxa"/>
            <w:vAlign w:val="center"/>
          </w:tcPr>
          <w:p>
            <w:pPr>
              <w:pStyle w:val="17"/>
              <w:widowControl/>
              <w:numPr>
                <w:ilvl w:val="2"/>
                <w:numId w:val="0"/>
              </w:numPr>
              <w:ind w:left="0" w:leftChars="0" w:firstLine="0" w:firstLineChars="0"/>
              <w:rPr>
                <w:rFonts w:hint="default" w:asci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  <w:t>3.2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“用于繁殖的根茎或种茎。”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种茎改为“根茎”。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根茎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854" w:type="dxa"/>
            <w:vAlign w:val="center"/>
          </w:tcPr>
          <w:p>
            <w:pPr>
              <w:pStyle w:val="17"/>
              <w:widowControl/>
              <w:numPr>
                <w:ilvl w:val="2"/>
                <w:numId w:val="0"/>
              </w:numPr>
              <w:ind w:left="0" w:leftChars="0" w:firstLine="0" w:firstLineChars="0"/>
              <w:rPr>
                <w:rFonts w:hint="default" w:asci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  <w:t>3.3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术语“提纯复壮”需要修改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原稿的“提纯复壮”仅仅是目的意义，不是术语本身的内容。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广西中医院大学黄荣韶教授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854" w:type="dxa"/>
            <w:vAlign w:val="center"/>
          </w:tcPr>
          <w:p>
            <w:pPr>
              <w:pStyle w:val="17"/>
              <w:widowControl/>
              <w:numPr>
                <w:ilvl w:val="2"/>
                <w:numId w:val="0"/>
              </w:numPr>
              <w:ind w:left="0" w:leftChars="0" w:firstLine="0" w:firstLineChars="0"/>
              <w:rPr>
                <w:rFonts w:hint="default" w:asci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品种特征符合DB45/T 773—2011的要求。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改为:品种特征应符合DB45/T 773—2011的要求。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广西农业职业技术大学农业工程学院欧善生教授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854" w:type="dxa"/>
            <w:vAlign w:val="center"/>
          </w:tcPr>
          <w:p>
            <w:pPr>
              <w:pStyle w:val="17"/>
              <w:widowControl/>
              <w:numPr>
                <w:ilvl w:val="2"/>
                <w:numId w:val="0"/>
              </w:numPr>
              <w:ind w:left="0" w:leftChars="0" w:firstLine="0" w:firstLineChars="0"/>
              <w:rPr>
                <w:rFonts w:hint="default" w:asci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  <w:t>5.1.1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空气质量符合GB 3095要求、灌溉水质量符合GB 5084要求、土壤质量符合GB 15681要求。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改为:空气质量应符合GB 3095要求、灌溉水质量应符合GB 5084要求、土壤质量应符合GB 15681要求。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广西农业职业技术大学农业工程学院欧善生教授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854" w:type="dxa"/>
            <w:vAlign w:val="center"/>
          </w:tcPr>
          <w:p>
            <w:pPr>
              <w:pStyle w:val="17"/>
              <w:widowControl/>
              <w:numPr>
                <w:ilvl w:val="2"/>
                <w:numId w:val="0"/>
              </w:numPr>
              <w:ind w:left="0" w:leftChars="0" w:firstLine="0" w:firstLineChars="0"/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cs="Times New Roman"/>
                <w:sz w:val="24"/>
                <w:szCs w:val="24"/>
                <w:lang w:val="en-US" w:eastAsia="zh-CN"/>
              </w:rPr>
              <w:t>5.1.1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480" w:firstLineChars="200"/>
              <w:jc w:val="both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GB 15681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480" w:firstLineChars="200"/>
              <w:jc w:val="both"/>
              <w:outlineLvl w:val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改为：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GB 15618</w:t>
            </w:r>
          </w:p>
        </w:tc>
        <w:tc>
          <w:tcPr>
            <w:tcW w:w="112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sz w:val="24"/>
              </w:rPr>
              <w:t>广西中医院大学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姚绍嫦研究员</w:t>
            </w:r>
          </w:p>
        </w:tc>
        <w:tc>
          <w:tcPr>
            <w:tcW w:w="10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建议把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改为“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产地环境条件”，单独列成一个章标题。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5.1.2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应增加道地产区的经纬度范围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提纯复壮工作应在在莪术道地产区进行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广西中医院大学黄荣韶教授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5.2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“如入选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100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个单株，应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种植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2000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株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植株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。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改为“如入选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100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个单株，应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种植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2000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株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植株以上”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中国科学院广西壮族自治区植物研究所韦霄研究员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854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5.2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建议删去“如入选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100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个单株，应种植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2000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株植株”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更简洁明了。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5.3 栽培管理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“栽培管理按常规”表述不准确。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广西壮族自治区林业科学研究院黄开顺正高级工程师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33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5.3 栽培管理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“栽培管理按常规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,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病虫害防治按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DB45/T 2533-2022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执行”修改为“栽培管理按广西莪术栽培常规执行，病虫害防治按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DB45/T 2533-2022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执行”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该标准中所称的常规应该是指广西莪术栽培的常规要求，而非其他中药材栽培的常规。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江西省中医药研究院虞金宝研究员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34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建议在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条标题下增加“第一年进行单株选择，包括初选、块选和决选。”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 初选、块选和决选均在第一年完成。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35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5.4.1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补充“优良单株”的丰产性指标（是什么？多少？）如何选择优良单株，需要明确相关指标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广西农业科学院生物技术研究所庾韦花副研究员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5.4.1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第1年，从选种圃中选择具有广西莪术典型性、丰产性和一致性的优良单株。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建议具体化、规范化，缺乏可操作性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37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5.4.2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于收获期观察根状茎和块根大小、数量，从初选单株中选择生长强势、无退化表现、并符合原品种特性植株为母株。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补充“无退化表现”具体表现是什么，如何块选的指导性更强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广西农业科学院生物技术研究所庾韦花副研究员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38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5.4.2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于收获期观察根状茎和块根大小、数量，从初选单株中选择生长强势、无退化表现、并符合原品种特性植株为母株。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于收获期观察根状茎和块根大小、数量，从初选单株中选择生长强势、无退化表现,建议具体化、规范化，缺乏可操作性。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39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5.4.2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于收获期观察根状茎和块根大小、数量，从初选单株中选择生长强势、无退化表现、并符合原品种特性植株为母株。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改为：“观察记录优良单株的根状茎和块根大小、数量，从中选出生长强势、无退化表现、并符合原品种特性的植株作为母株。”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5.4.3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将健壮并具有该品种典型结苓特征的单株根茎分别编号、分别采种、分别贮藏，作株系圃种姜。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改为：将健壮并具有该品种典型特征的单株根茎分别编号、采种、贮藏，作株系圃种姜。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41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5.4—5.6</w:t>
            </w:r>
          </w:p>
        </w:tc>
        <w:tc>
          <w:tcPr>
            <w:tcW w:w="264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只写了第1年、第3年的工作内容，第2年干啥，没写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不采纳，第2年工作为分系比较。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42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 圃地选择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5.2 群体规模</w:t>
            </w: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5.1、5.2不属于提纯复壮的关键技术，建议单列放在提纯复壮技术之前；第6章也是提纯复壮的技术关键，建议删去。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广西中医院大学黄荣韶教授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部分采纳，5.1产地环境条件单独成章，圃地选择置于提纯复壮技术内容章节之下。种姜贮藏虽不是提纯复壮的关键技术，但关乎种姜质量，所以保留。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43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5.2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按5%的入选率计算，如入选50个单株则选择圃群体需要1000株以上，如入选100个单株，应种植2000株植株以上。</w:t>
            </w: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入选率应该有一个范围，定5%是不是有点太死了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不采纳，统计和抽样办法通常以5%为宜。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5.4.3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结苓特征描述是否正确？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中国科学院广西壮族自治区植物研究所韦霄研究员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5.5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建议在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5.5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条标题下增加“第二年进行株系比较，包括株系建立和株系比较。”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 株系建立和株系比较均在第二年完成。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85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5.6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第3年，将当选的优良无性系混合栽种，进行高产高倍繁殖，所得到的种姜即为原种，供下一年扩繁生产种。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改为：“将第二年筛选获得的优良无性系进行扩大繁殖，按不同株系进行区分栽种或混合栽种。”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85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5.7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bookmarkStart w:id="0" w:name="_Toc156494634"/>
            <w:bookmarkStart w:id="1" w:name="_Toc156494765"/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生产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种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繁殖</w:t>
            </w:r>
            <w:bookmarkEnd w:id="0"/>
            <w:bookmarkEnd w:id="1"/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建议删去该条内容。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48</w:t>
            </w:r>
          </w:p>
        </w:tc>
        <w:tc>
          <w:tcPr>
            <w:tcW w:w="85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6.1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作种用的根茎，削去侧根，摊放在室内通风处晾3 d～5 d，适当降低种姜水分。</w:t>
            </w: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“适当降低种姜水分”需要数据说明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广西农业科学院生物技术研究所庾韦花副研究员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49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6.1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作种用的根茎，削去侧根，摊放在室内通风处晾3 d～5 d，适当降低种姜水分。</w:t>
            </w: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改为：作种用的根茎，削去侧根，摊放在室内通风处晾3 d～4 d，每天翻动1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vertAlign w:val="superscript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次～2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vertAlign w:val="superscript"/>
                <w:lang w:val="en-US" w:eastAsia="zh-CN" w:bidi="ar"/>
              </w:rPr>
              <w:t xml:space="preserve">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0"/>
                <w:lang w:val="en-US" w:eastAsia="zh-CN" w:bidi="ar"/>
              </w:rPr>
              <w:t>次。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青海省中医院贾守宁主任药师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6.3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将种筐有序排放在室内阴凉干燥处。贮藏期间应经常检查，发现有发热或腐烂现象，要及时摊开，太阳晒1 d，并将腐烂种姜挑出，放凉后再装回种筐内。</w:t>
            </w: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改为：将种筐有序摆放在室内荫凉干燥处。贮藏期间应经常检查，发现有发热或腐烂现象，要及时摊开，太阳晒1 d～2 d，并将腐烂种姜挑出，晾晒1 d～2 d后再装回种筐内。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广西农业职业技术大学农业工程学院欧善生教授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</w:t>
            </w:r>
          </w:p>
        </w:tc>
        <w:tc>
          <w:tcPr>
            <w:tcW w:w="85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所有基础资料及提纯复壮的全过程均按要求建立档案并电子化保存，专人管理，保存期限2年以上。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建议保存期限延长至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年以上。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广西中医院大学姚绍嫦研究员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采纳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54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参考文献</w:t>
            </w:r>
          </w:p>
        </w:tc>
        <w:tc>
          <w:tcPr>
            <w:tcW w:w="264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[1]国家药典委员会.中华人民共和国药典(一 部)[M].北京：中国医药科技出版社，2020：217.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 w:firstLine="420" w:firstLineChars="20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删去参考文献，非必须</w:t>
            </w:r>
          </w:p>
        </w:tc>
        <w:tc>
          <w:tcPr>
            <w:tcW w:w="1125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广西中医院大学黄荣韶教授</w:t>
            </w:r>
          </w:p>
        </w:tc>
        <w:tc>
          <w:tcPr>
            <w:tcW w:w="1062" w:type="dxa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autoSpaceDE w:val="0"/>
              <w:autoSpaceDN w:val="0"/>
              <w:adjustRightInd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不采纳，按照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GB/T 1.1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—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2020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《标准化工作导则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default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部分：标准化文件的结构和起草规则》的规定类似《中国药典》应放于参考文献中。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autoSpaceDE w:val="0"/>
        <w:autoSpaceDN w:val="0"/>
        <w:adjustRightInd/>
        <w:spacing w:before="0" w:beforeAutospacing="0" w:after="0" w:afterAutospacing="0" w:line="240" w:lineRule="auto"/>
        <w:ind w:right="0" w:firstLine="420" w:firstLineChars="200"/>
        <w:jc w:val="both"/>
        <w:rPr>
          <w:highlight w:val="yellow"/>
        </w:rPr>
      </w:pPr>
      <w:r>
        <w:rPr>
          <w:rFonts w:hint="eastAsia" w:ascii="宋体" w:hAnsi="Times New Roman" w:eastAsia="宋体" w:cs="Times New Roman"/>
          <w:kern w:val="0"/>
          <w:sz w:val="21"/>
          <w:szCs w:val="21"/>
          <w:lang w:val="en-US" w:eastAsia="zh-CN" w:bidi="ar"/>
        </w:rPr>
        <w:t>注：共征求7家单位9位专家的意见，收集到51条修改意见，采纳46条，不采纳5条。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29A06A"/>
    <w:multiLevelType w:val="multilevel"/>
    <w:tmpl w:val="0029A06A"/>
    <w:lvl w:ilvl="0" w:tentative="0">
      <w:start w:val="1"/>
      <w:numFmt w:val="none"/>
      <w:suff w:val="nothing"/>
      <w:lvlText w:val="%1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2" w:tentative="0">
      <w:start w:val="1"/>
      <w:numFmt w:val="decimal"/>
      <w:pStyle w:val="17"/>
      <w:suff w:val="nothing"/>
      <w:lvlText w:val="%1%2.%3　"/>
      <w:lvlJc w:val="left"/>
      <w:pPr>
        <w:ind w:left="0" w:firstLine="0"/>
        <w:textAlignment w:val="baseline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7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6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0OGYxZTc3ZmIyNTNkYzVmYWRjZTE3OTFkYWExODAifQ=="/>
  </w:docVars>
  <w:rsids>
    <w:rsidRoot w:val="00267AFF"/>
    <w:rsid w:val="00002E22"/>
    <w:rsid w:val="00014BEA"/>
    <w:rsid w:val="00015578"/>
    <w:rsid w:val="00020233"/>
    <w:rsid w:val="000312AD"/>
    <w:rsid w:val="00031755"/>
    <w:rsid w:val="0007249C"/>
    <w:rsid w:val="000B7DB7"/>
    <w:rsid w:val="000D77B2"/>
    <w:rsid w:val="000E04EE"/>
    <w:rsid w:val="00112411"/>
    <w:rsid w:val="00123CD7"/>
    <w:rsid w:val="001545F3"/>
    <w:rsid w:val="001B7D1C"/>
    <w:rsid w:val="002029D2"/>
    <w:rsid w:val="0020455B"/>
    <w:rsid w:val="00207A39"/>
    <w:rsid w:val="00212442"/>
    <w:rsid w:val="00267AFF"/>
    <w:rsid w:val="00296FA6"/>
    <w:rsid w:val="0031145D"/>
    <w:rsid w:val="00330A29"/>
    <w:rsid w:val="00337EA8"/>
    <w:rsid w:val="003E3CA7"/>
    <w:rsid w:val="00420731"/>
    <w:rsid w:val="00452762"/>
    <w:rsid w:val="00465C07"/>
    <w:rsid w:val="004730AE"/>
    <w:rsid w:val="00477E0F"/>
    <w:rsid w:val="00484D05"/>
    <w:rsid w:val="004E23CF"/>
    <w:rsid w:val="004E7E7E"/>
    <w:rsid w:val="00507C92"/>
    <w:rsid w:val="00531584"/>
    <w:rsid w:val="005450E0"/>
    <w:rsid w:val="005F24F5"/>
    <w:rsid w:val="00611D08"/>
    <w:rsid w:val="006507CF"/>
    <w:rsid w:val="0065646B"/>
    <w:rsid w:val="00686643"/>
    <w:rsid w:val="006A2295"/>
    <w:rsid w:val="006B5EA9"/>
    <w:rsid w:val="006F6DEE"/>
    <w:rsid w:val="007224BE"/>
    <w:rsid w:val="00775C59"/>
    <w:rsid w:val="007A1637"/>
    <w:rsid w:val="007E68C9"/>
    <w:rsid w:val="007E6A63"/>
    <w:rsid w:val="007F1B8A"/>
    <w:rsid w:val="007F4325"/>
    <w:rsid w:val="00831FD2"/>
    <w:rsid w:val="0083210F"/>
    <w:rsid w:val="00834565"/>
    <w:rsid w:val="008C72AA"/>
    <w:rsid w:val="008D14C9"/>
    <w:rsid w:val="0095495B"/>
    <w:rsid w:val="00960367"/>
    <w:rsid w:val="009B7CDC"/>
    <w:rsid w:val="009D40F8"/>
    <w:rsid w:val="00A062F9"/>
    <w:rsid w:val="00A354CB"/>
    <w:rsid w:val="00A36FB6"/>
    <w:rsid w:val="00AE40F2"/>
    <w:rsid w:val="00B33C79"/>
    <w:rsid w:val="00B60400"/>
    <w:rsid w:val="00BC461C"/>
    <w:rsid w:val="00BD27FB"/>
    <w:rsid w:val="00C32397"/>
    <w:rsid w:val="00C76A25"/>
    <w:rsid w:val="00C76AC7"/>
    <w:rsid w:val="00C86131"/>
    <w:rsid w:val="00CB343E"/>
    <w:rsid w:val="00CE4FAE"/>
    <w:rsid w:val="00CE6216"/>
    <w:rsid w:val="00D367D5"/>
    <w:rsid w:val="00E51230"/>
    <w:rsid w:val="00E530C0"/>
    <w:rsid w:val="00E63F81"/>
    <w:rsid w:val="00EA2E5E"/>
    <w:rsid w:val="00EC7FD7"/>
    <w:rsid w:val="00ED50D0"/>
    <w:rsid w:val="00EF2716"/>
    <w:rsid w:val="00F25C2D"/>
    <w:rsid w:val="00F30281"/>
    <w:rsid w:val="00F678EF"/>
    <w:rsid w:val="00F85638"/>
    <w:rsid w:val="00FF00FE"/>
    <w:rsid w:val="010561DE"/>
    <w:rsid w:val="0181113C"/>
    <w:rsid w:val="04162567"/>
    <w:rsid w:val="04F2140A"/>
    <w:rsid w:val="05A21BCF"/>
    <w:rsid w:val="065B2DCB"/>
    <w:rsid w:val="06FB68B7"/>
    <w:rsid w:val="08644D64"/>
    <w:rsid w:val="08B158D7"/>
    <w:rsid w:val="08BC75FB"/>
    <w:rsid w:val="0A167AA3"/>
    <w:rsid w:val="0A317B30"/>
    <w:rsid w:val="0B3A6D97"/>
    <w:rsid w:val="0B9A08F9"/>
    <w:rsid w:val="0BDD550E"/>
    <w:rsid w:val="0C7E047A"/>
    <w:rsid w:val="0C8373CF"/>
    <w:rsid w:val="0C910C0B"/>
    <w:rsid w:val="0CB62800"/>
    <w:rsid w:val="0D6C06B5"/>
    <w:rsid w:val="0FC01164"/>
    <w:rsid w:val="113B2F98"/>
    <w:rsid w:val="11661BF0"/>
    <w:rsid w:val="11E26F4E"/>
    <w:rsid w:val="12047DC0"/>
    <w:rsid w:val="13B41314"/>
    <w:rsid w:val="15AA5EA4"/>
    <w:rsid w:val="17151786"/>
    <w:rsid w:val="175610B2"/>
    <w:rsid w:val="178D148E"/>
    <w:rsid w:val="17B41E3B"/>
    <w:rsid w:val="17C31AF6"/>
    <w:rsid w:val="188C7F28"/>
    <w:rsid w:val="18C63EC9"/>
    <w:rsid w:val="198806EF"/>
    <w:rsid w:val="198B26F2"/>
    <w:rsid w:val="1AE91AD1"/>
    <w:rsid w:val="1B447125"/>
    <w:rsid w:val="1B8807F0"/>
    <w:rsid w:val="1BFC35DD"/>
    <w:rsid w:val="1C5C4C5E"/>
    <w:rsid w:val="1D743B81"/>
    <w:rsid w:val="1D75105D"/>
    <w:rsid w:val="1DA62C80"/>
    <w:rsid w:val="1DB11F51"/>
    <w:rsid w:val="1DD01E1C"/>
    <w:rsid w:val="1DE33DF2"/>
    <w:rsid w:val="1ED21D37"/>
    <w:rsid w:val="1FAD5E96"/>
    <w:rsid w:val="1FB4725F"/>
    <w:rsid w:val="202B62C9"/>
    <w:rsid w:val="207B2B57"/>
    <w:rsid w:val="20C76559"/>
    <w:rsid w:val="210D46DC"/>
    <w:rsid w:val="21ED1E23"/>
    <w:rsid w:val="23665456"/>
    <w:rsid w:val="262E347B"/>
    <w:rsid w:val="27C26642"/>
    <w:rsid w:val="286E23AD"/>
    <w:rsid w:val="293A62BC"/>
    <w:rsid w:val="29536BE2"/>
    <w:rsid w:val="29913A7C"/>
    <w:rsid w:val="29E06E02"/>
    <w:rsid w:val="2AAB41B6"/>
    <w:rsid w:val="2C5A7918"/>
    <w:rsid w:val="2CB3744B"/>
    <w:rsid w:val="2DB14F7A"/>
    <w:rsid w:val="2DF64C15"/>
    <w:rsid w:val="2E0D67B6"/>
    <w:rsid w:val="2E356019"/>
    <w:rsid w:val="2E6E398B"/>
    <w:rsid w:val="2E880A64"/>
    <w:rsid w:val="2ECB2270"/>
    <w:rsid w:val="2ED2519A"/>
    <w:rsid w:val="2EE20EF6"/>
    <w:rsid w:val="31417638"/>
    <w:rsid w:val="315A0D52"/>
    <w:rsid w:val="315C2349"/>
    <w:rsid w:val="317A1E49"/>
    <w:rsid w:val="31D06A58"/>
    <w:rsid w:val="32DB0154"/>
    <w:rsid w:val="33D350F8"/>
    <w:rsid w:val="33EB6090"/>
    <w:rsid w:val="348D7E10"/>
    <w:rsid w:val="36E21904"/>
    <w:rsid w:val="37373D20"/>
    <w:rsid w:val="381B4106"/>
    <w:rsid w:val="38346616"/>
    <w:rsid w:val="3B7845E8"/>
    <w:rsid w:val="3BD15AEA"/>
    <w:rsid w:val="3D2C7D71"/>
    <w:rsid w:val="3D6C4263"/>
    <w:rsid w:val="3EA10D69"/>
    <w:rsid w:val="3EB17956"/>
    <w:rsid w:val="3EC16618"/>
    <w:rsid w:val="3F3E35D4"/>
    <w:rsid w:val="3F8C2A17"/>
    <w:rsid w:val="40C321B1"/>
    <w:rsid w:val="414C583E"/>
    <w:rsid w:val="425E2648"/>
    <w:rsid w:val="42BB7663"/>
    <w:rsid w:val="43987516"/>
    <w:rsid w:val="44350776"/>
    <w:rsid w:val="44A22E18"/>
    <w:rsid w:val="44C06BBC"/>
    <w:rsid w:val="455C566C"/>
    <w:rsid w:val="45FC22C1"/>
    <w:rsid w:val="45FE7E1A"/>
    <w:rsid w:val="46CA01CA"/>
    <w:rsid w:val="46D1767E"/>
    <w:rsid w:val="4759221E"/>
    <w:rsid w:val="47936375"/>
    <w:rsid w:val="47C42AFF"/>
    <w:rsid w:val="48000702"/>
    <w:rsid w:val="48F82539"/>
    <w:rsid w:val="49B41923"/>
    <w:rsid w:val="4A356B2C"/>
    <w:rsid w:val="4B55485B"/>
    <w:rsid w:val="4B6C0A33"/>
    <w:rsid w:val="4B8D464C"/>
    <w:rsid w:val="4BAE667D"/>
    <w:rsid w:val="4C9A1096"/>
    <w:rsid w:val="4E6073BA"/>
    <w:rsid w:val="4F1A1524"/>
    <w:rsid w:val="4F850F23"/>
    <w:rsid w:val="502A2870"/>
    <w:rsid w:val="50B21D2D"/>
    <w:rsid w:val="511300BE"/>
    <w:rsid w:val="525C36BA"/>
    <w:rsid w:val="52D91FEE"/>
    <w:rsid w:val="53FB2DB5"/>
    <w:rsid w:val="55681B0D"/>
    <w:rsid w:val="55A32DCF"/>
    <w:rsid w:val="5612730A"/>
    <w:rsid w:val="57A17356"/>
    <w:rsid w:val="57BD545E"/>
    <w:rsid w:val="58993C22"/>
    <w:rsid w:val="59351EA0"/>
    <w:rsid w:val="5B636B25"/>
    <w:rsid w:val="5CD50732"/>
    <w:rsid w:val="5D105DFA"/>
    <w:rsid w:val="5D826D67"/>
    <w:rsid w:val="5DBA12E7"/>
    <w:rsid w:val="5FB83B29"/>
    <w:rsid w:val="602D3F51"/>
    <w:rsid w:val="60414A81"/>
    <w:rsid w:val="61054A47"/>
    <w:rsid w:val="628277EA"/>
    <w:rsid w:val="629A63ED"/>
    <w:rsid w:val="636E0EBC"/>
    <w:rsid w:val="638C7E2C"/>
    <w:rsid w:val="6394054F"/>
    <w:rsid w:val="674C27D6"/>
    <w:rsid w:val="678F6D0A"/>
    <w:rsid w:val="683F2ACE"/>
    <w:rsid w:val="6A2B43C0"/>
    <w:rsid w:val="6A8A566F"/>
    <w:rsid w:val="6C783B29"/>
    <w:rsid w:val="6D2207C0"/>
    <w:rsid w:val="6DF84247"/>
    <w:rsid w:val="6ECF3987"/>
    <w:rsid w:val="6FA7381A"/>
    <w:rsid w:val="70E84826"/>
    <w:rsid w:val="71357DEB"/>
    <w:rsid w:val="719A45C1"/>
    <w:rsid w:val="71B85B3C"/>
    <w:rsid w:val="72956E8C"/>
    <w:rsid w:val="72D1714D"/>
    <w:rsid w:val="748D4388"/>
    <w:rsid w:val="74A246C3"/>
    <w:rsid w:val="74AB257F"/>
    <w:rsid w:val="752D3794"/>
    <w:rsid w:val="782C6497"/>
    <w:rsid w:val="786657AA"/>
    <w:rsid w:val="788C4FE6"/>
    <w:rsid w:val="78A05845"/>
    <w:rsid w:val="799A3111"/>
    <w:rsid w:val="7A974B62"/>
    <w:rsid w:val="7AB8783B"/>
    <w:rsid w:val="7AC43B50"/>
    <w:rsid w:val="7C141C80"/>
    <w:rsid w:val="7C3539D8"/>
    <w:rsid w:val="7D074C55"/>
    <w:rsid w:val="7DDF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nhideWhenUsed/>
    <w:qFormat/>
    <w:uiPriority w:val="99"/>
    <w:pPr>
      <w:adjustRightInd w:val="0"/>
      <w:spacing w:line="400" w:lineRule="exact"/>
      <w:jc w:val="left"/>
    </w:pPr>
    <w:rPr>
      <w:rFonts w:ascii="Calibri" w:hAnsi="Calibri"/>
      <w:szCs w:val="21"/>
    </w:rPr>
  </w:style>
  <w:style w:type="paragraph" w:styleId="3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paragraph" w:styleId="6">
    <w:name w:val="Title"/>
    <w:basedOn w:val="1"/>
    <w:link w:val="12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标准文件_段"/>
    <w:link w:val="1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1">
    <w:name w:val="标准文件_段 Char"/>
    <w:link w:val="10"/>
    <w:autoRedefine/>
    <w:qFormat/>
    <w:uiPriority w:val="0"/>
    <w:rPr>
      <w:rFonts w:ascii="宋体" w:hAnsi="Times New Roman" w:eastAsia="宋体" w:cs="Times New Roman"/>
      <w:sz w:val="21"/>
    </w:rPr>
  </w:style>
  <w:style w:type="character" w:customStyle="1" w:styleId="12">
    <w:name w:val="标题 Char"/>
    <w:basedOn w:val="9"/>
    <w:link w:val="6"/>
    <w:autoRedefine/>
    <w:qFormat/>
    <w:uiPriority w:val="0"/>
    <w:rPr>
      <w:rFonts w:ascii="Arial" w:hAnsi="Arial" w:eastAsia="宋体" w:cs="Arial"/>
      <w:b/>
      <w:bCs/>
      <w:kern w:val="2"/>
      <w:sz w:val="32"/>
      <w:szCs w:val="32"/>
    </w:rPr>
  </w:style>
  <w:style w:type="paragraph" w:customStyle="1" w:styleId="13">
    <w:name w:val="ly正文"/>
    <w:basedOn w:val="1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kern w:val="0"/>
    </w:rPr>
  </w:style>
  <w:style w:type="character" w:customStyle="1" w:styleId="14">
    <w:name w:val="页脚 Char"/>
    <w:basedOn w:val="9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眉 Char"/>
    <w:basedOn w:val="9"/>
    <w:link w:val="4"/>
    <w:autoRedefine/>
    <w:qFormat/>
    <w:uiPriority w:val="0"/>
    <w:rPr>
      <w:kern w:val="2"/>
      <w:sz w:val="18"/>
      <w:szCs w:val="18"/>
    </w:rPr>
  </w:style>
  <w:style w:type="paragraph" w:customStyle="1" w:styleId="16">
    <w:name w:val="标准文件_二级条标题"/>
    <w:next w:val="10"/>
    <w:autoRedefine/>
    <w:qFormat/>
    <w:uiPriority w:val="0"/>
    <w:pPr>
      <w:widowControl w:val="0"/>
      <w:numPr>
        <w:ilvl w:val="3"/>
        <w:numId w:val="1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7">
    <w:name w:val="标准文件_术语条一"/>
    <w:basedOn w:val="1"/>
    <w:next w:val="1"/>
    <w:autoRedefine/>
    <w:qFormat/>
    <w:uiPriority w:val="0"/>
    <w:pPr>
      <w:keepNext w:val="0"/>
      <w:keepLines w:val="0"/>
      <w:widowControl/>
      <w:numPr>
        <w:ilvl w:val="2"/>
        <w:numId w:val="2"/>
      </w:numPr>
      <w:suppressLineNumbers w:val="0"/>
      <w:spacing w:before="0" w:beforeAutospacing="0" w:after="0" w:afterAutospacing="0"/>
      <w:ind w:left="0" w:right="0" w:firstLine="0"/>
      <w:jc w:val="both"/>
    </w:pPr>
    <w:rPr>
      <w:rFonts w:hint="eastAsia" w:ascii="宋体" w:hAnsi="Times New Roman" w:eastAsia="宋体" w:cs="Times New Roman"/>
      <w:kern w:val="0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8</Pages>
  <Words>588</Words>
  <Characters>3357</Characters>
  <Lines>27</Lines>
  <Paragraphs>7</Paragraphs>
  <TotalTime>124</TotalTime>
  <ScaleCrop>false</ScaleCrop>
  <LinksUpToDate>false</LinksUpToDate>
  <CharactersWithSpaces>3938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2021-03-29T07:05:00Z</dcterms:created>
  <dc:creator>DELL</dc:creator>
  <cp:lastModifiedBy>lenovo</cp:lastModifiedBy>
  <dcterms:modified xsi:type="dcterms:W3CDTF">2024-04-30T10:24:52Z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BE227EF829EE45E1AAD4BA31FC951B5C</vt:lpwstr>
  </property>
</Properties>
</file>