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 xml:space="preserve">              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团体标准《两面针</w:t>
      </w:r>
      <w:r>
        <w:rPr>
          <w:rFonts w:hint="eastAsia"/>
          <w:b/>
          <w:bCs/>
          <w:sz w:val="28"/>
          <w:szCs w:val="28"/>
          <w:lang w:eastAsia="zh-CN"/>
        </w:rPr>
        <w:t>生态种植</w:t>
      </w:r>
      <w:r>
        <w:rPr>
          <w:b/>
          <w:bCs/>
          <w:sz w:val="28"/>
          <w:szCs w:val="28"/>
        </w:rPr>
        <w:t>技术规程</w:t>
      </w:r>
      <w:r>
        <w:rPr>
          <w:rFonts w:hint="eastAsia"/>
          <w:b/>
          <w:bCs/>
          <w:sz w:val="28"/>
          <w:szCs w:val="28"/>
        </w:rPr>
        <w:t>》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征求意见处理汇总表</w:t>
      </w:r>
    </w:p>
    <w:p/>
    <w:p>
      <w:pPr>
        <w:rPr>
          <w:rFonts w:hint="eastAsia" w:eastAsiaTheme="minorEastAsia"/>
          <w:lang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"/>
        </w:rPr>
        <w:t>标准起草单位：广西壮族自治区药用植物园、广西南药园投资有限责任公司、广西华夏本草医药有限公司、柳州两面针股份有限公司。</w:t>
      </w:r>
    </w:p>
    <w:tbl>
      <w:tblPr>
        <w:tblStyle w:val="8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476"/>
        <w:gridCol w:w="2147"/>
        <w:gridCol w:w="1928"/>
        <w:gridCol w:w="1334"/>
        <w:gridCol w:w="1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4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章、条编号</w:t>
            </w:r>
          </w:p>
        </w:tc>
        <w:tc>
          <w:tcPr>
            <w:tcW w:w="214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原稿内容（概要）</w:t>
            </w:r>
          </w:p>
        </w:tc>
        <w:tc>
          <w:tcPr>
            <w:tcW w:w="19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修改意见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提出单位</w:t>
            </w:r>
          </w:p>
        </w:tc>
        <w:tc>
          <w:tcPr>
            <w:tcW w:w="13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4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封面</w:t>
            </w:r>
          </w:p>
        </w:tc>
        <w:tc>
          <w:tcPr>
            <w:tcW w:w="214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Zanthoxylum nididum (Roxb.) DC.</w:t>
            </w:r>
          </w:p>
        </w:tc>
        <w:tc>
          <w:tcPr>
            <w:tcW w:w="1928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改为：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iCs w:val="0"/>
                <w:kern w:val="2"/>
                <w:sz w:val="21"/>
                <w:szCs w:val="21"/>
                <w:lang w:val="en-US" w:eastAsia="zh-CN" w:bidi="ar"/>
              </w:rPr>
              <w:t>“Zanthoxylum nididum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(Roxb.) DC.”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广西农业职业技术大学食品药品学院黄浩正高级工程师</w:t>
            </w:r>
          </w:p>
        </w:tc>
        <w:tc>
          <w:tcPr>
            <w:tcW w:w="13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前言</w:t>
            </w:r>
          </w:p>
        </w:tc>
        <w:tc>
          <w:tcPr>
            <w:tcW w:w="214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420" w:firstLineChars="200"/>
              <w:rPr>
                <w:rFonts w:hint="eastAsia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提交反馈意见时，请将您知道的专利连同支持文件一并附上。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建议增加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请注意本文件的某些内容可能涉及专利。本文件的发布机构不承担识别专利的责任。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，为地方标准制定中的常规要求。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江西省中医药研究院虞金宝研究员。</w:t>
            </w:r>
          </w:p>
        </w:tc>
        <w:tc>
          <w:tcPr>
            <w:tcW w:w="137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采纳。经查阅，本文件内容目前未涉及相关的专利内容。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4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引言</w:t>
            </w:r>
          </w:p>
        </w:tc>
        <w:tc>
          <w:tcPr>
            <w:tcW w:w="214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“两面针，为芸香科植物两面针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”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“为两面针药材质量和安全性提供有效保障。”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修改为“中药材两面针，为芸香科植物两面针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修改“为中药材两面针质量和安全性提供有效保障。”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广西农业职业技术大学食品药品学院黄浩正高级工程师</w:t>
            </w:r>
          </w:p>
        </w:tc>
        <w:tc>
          <w:tcPr>
            <w:tcW w:w="13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4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引言</w:t>
            </w:r>
          </w:p>
        </w:tc>
        <w:tc>
          <w:tcPr>
            <w:tcW w:w="214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......“两面针生态种植研究和实践尚属于探索阶段”......</w:t>
            </w:r>
          </w:p>
        </w:tc>
        <w:tc>
          <w:tcPr>
            <w:tcW w:w="19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改为“两面针生态种植业的发展尚处于起步阶段”。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广西壮族自治区林业科学研究院黄开顺正高级工程师</w:t>
            </w:r>
          </w:p>
        </w:tc>
        <w:tc>
          <w:tcPr>
            <w:tcW w:w="13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4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引言</w:t>
            </w:r>
          </w:p>
        </w:tc>
        <w:tc>
          <w:tcPr>
            <w:tcW w:w="214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两面针，为芸香科植物两面针......为两面针药材质量和安全性提供有效保障。</w:t>
            </w:r>
          </w:p>
        </w:tc>
        <w:tc>
          <w:tcPr>
            <w:tcW w:w="19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删去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/>
                <w:sz w:val="21"/>
                <w:szCs w:val="21"/>
              </w:rPr>
              <w:t>没有特别意义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广西中医药大学</w:t>
            </w:r>
            <w:r>
              <w:rPr>
                <w:rFonts w:hint="eastAsia"/>
                <w:sz w:val="21"/>
                <w:szCs w:val="21"/>
              </w:rPr>
              <w:t>黄荣韶</w:t>
            </w:r>
            <w:r>
              <w:rPr>
                <w:rFonts w:hint="eastAsia"/>
                <w:sz w:val="21"/>
                <w:szCs w:val="21"/>
                <w:lang w:eastAsia="zh-CN"/>
              </w:rPr>
              <w:t>教授</w:t>
            </w:r>
          </w:p>
        </w:tc>
        <w:tc>
          <w:tcPr>
            <w:tcW w:w="13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不采纳，引言是文件固定内容之一。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leftChars="0"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本标准规定了两面针生态种植品种、产地环境条件、种植技术、采收加工、质量要求、包装、贮藏、生产档案等技术要求。</w:t>
            </w:r>
          </w:p>
        </w:tc>
        <w:tc>
          <w:tcPr>
            <w:tcW w:w="19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改为：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本标准描述了两面针生态种植品种、产地环境条件要求，规定了种植技术、采收加工的技术要求，给出了质量要求、包装、贮藏、生产档案等操作指示。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广西农业职业技术大学农业工程学院欧善生教授</w:t>
            </w:r>
          </w:p>
        </w:tc>
        <w:tc>
          <w:tcPr>
            <w:tcW w:w="13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“本标准”</w:t>
            </w: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改为：“本文件”。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广西壮族自治区林业科学研究院黄开顺正高级工程师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476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4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补充引用文件的年份。</w:t>
            </w: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与其它引用文件统一格式。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广西中医药大学姚绍嫦研究员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476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4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 w:firstLine="420" w:firstLineChars="200"/>
              <w:jc w:val="both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DB45/T 1954.4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两面针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第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部分：药材生产技术规程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DB45/T 715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2010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无公害中药材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广金钱草生产技术规程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DB45/T 544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2008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无公害中药材鸡骨草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毛相思子生产技术规程”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修改：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DB45/T 544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2008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无公害中药材鸡骨草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毛相思子生产技术规程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DB45/T 715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2010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无公害中药材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广金钱草生产技术规程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DB45/T 1954.4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两面针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第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部分：药材生产技术规程”是否需按要求序号从小至大列出？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广西农业职业技术大学食品药品学院黄浩正高级工程师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476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4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GB3095 环境空气质量标准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GB5084 农田灌溉水质量标准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GB15618 土壤环境质量标准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改为：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GB3095-2012环境空气质量标准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GB5084-2021农田灌溉水质量标准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GB15618-2018土壤环境质量农用地污染风险管控标准（试行）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广西中医药大学黄荣韶教授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采纳。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1476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4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在章3和章4间增加“生态种植”定义，明确“生态种植”与“常规种植”区别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广西农业科学院生物技术研究所庾韦花副研究员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1476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4.2.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适宜海拔50 m～400 m之间。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改为：海拔50 m～400 m为适宜种植地带。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广西农业职业技术大学农业工程学院欧善生教授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4.2.2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建议删去“适宜年平均降雨量1 500 mm～2 300 mm”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与4.2.4重复。</w:t>
            </w: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删去“适宜年平均降雨量1 500 mm～2 300 mm”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广西中医药大学姚绍嫦研究员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4.2.2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年平均气温20.0 ℃～23.0 ℃，年总积温6 500℃～7 600℃，适宜年平均降雨量1 500 mm～2 300 mm。</w:t>
            </w: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删除“适宜年平均降雨量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1 500 mm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～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2 300 mm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”，该内容与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4.2.3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降雨量重复。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江西省中医药研究院虞金宝研究员。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4.2.2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年平均气温20.0 ℃～23.0 ℃，年总积温6 500℃～7 600℃，适宜年平均降雨量1 500 mm～2 300 mm。</w:t>
            </w: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删除“适宜年平均降雨量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1 500 mm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～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2 300 mm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”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广西壮族自治区林业科学研究院黄开顺正高级工程师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4.2.2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年平均气温20.0</w:t>
            </w:r>
            <w:r>
              <w:rPr>
                <w:rFonts w:hint="eastAsia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℃～23.0</w:t>
            </w:r>
            <w:r>
              <w:rPr>
                <w:rFonts w:hint="eastAsia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℃，年总积温6</w:t>
            </w:r>
            <w:r>
              <w:rPr>
                <w:rFonts w:hint="eastAsia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500℃～7</w:t>
            </w:r>
            <w:r>
              <w:rPr>
                <w:rFonts w:hint="eastAsia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600℃，适宜年平均降雨量1</w:t>
            </w:r>
            <w:r>
              <w:rPr>
                <w:rFonts w:hint="eastAsia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500</w:t>
            </w:r>
            <w:r>
              <w:rPr>
                <w:rFonts w:hint="default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default"/>
                <w:sz w:val="21"/>
                <w:szCs w:val="21"/>
              </w:rPr>
              <w:t>mm</w:t>
            </w:r>
            <w:r>
              <w:rPr>
                <w:rFonts w:hint="eastAsia"/>
                <w:sz w:val="21"/>
                <w:szCs w:val="21"/>
              </w:rPr>
              <w:t>～2</w:t>
            </w:r>
            <w:r>
              <w:rPr>
                <w:rFonts w:hint="eastAsia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300</w:t>
            </w:r>
            <w:r>
              <w:rPr>
                <w:rFonts w:hint="eastAsia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mm。</w:t>
            </w: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删去“适宜年平均降雨量1 500 mm～2 300 mm”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与节题目内容不符，且与4.2.4重复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广西中医药大学黄荣韶教授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right="0" w:rightChars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4.2.4</w:t>
            </w:r>
          </w:p>
        </w:tc>
        <w:tc>
          <w:tcPr>
            <w:tcW w:w="2147" w:type="dxa"/>
            <w:vAlign w:val="center"/>
          </w:tcPr>
          <w:p>
            <w:pPr>
              <w:pStyle w:val="16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120" w:beforeAutospacing="0" w:after="120" w:afterAutospacing="0"/>
              <w:ind w:left="0" w:leftChars="0" w:right="0" w:rightChars="0" w:firstLine="420" w:firstLineChars="200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0"/>
              </w:rPr>
              <w:t>降雨量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”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/>
                <w:lang w:eastAsia="zh-CN"/>
              </w:rPr>
              <w:t>改为：“</w:t>
            </w:r>
            <w:r>
              <w:rPr>
                <w:rFonts w:hint="eastAsia"/>
              </w:rPr>
              <w:t>降雨量</w:t>
            </w:r>
            <w:r>
              <w:rPr>
                <w:rFonts w:hint="eastAsia"/>
                <w:lang w:eastAsia="zh-CN"/>
              </w:rPr>
              <w:t>与湿度”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广西中医药大学姚绍嫦研究员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right="0" w:rightChars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4.2.4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right="0" w:rightChars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“......平均相对湿度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75%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以上”</w:t>
            </w:r>
          </w:p>
        </w:tc>
        <w:tc>
          <w:tcPr>
            <w:tcW w:w="1928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建议删除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广西农业职业技术大学食品药品学院黄浩正高级工程师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right="0" w:rightChars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不采纳，相对湿度是两面针生长的环境指标之一。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leftChars="0" w:right="0" w:rightChars="0"/>
              <w:jc w:val="both"/>
              <w:outlineLvl w:val="0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4.2.5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土层深厚......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leftChars="0" w:right="0" w:rightChars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改为：宜选择土层深厚......</w:t>
            </w:r>
          </w:p>
        </w:tc>
        <w:tc>
          <w:tcPr>
            <w:tcW w:w="133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right="0" w:rightChars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广西农业职业技术大学农业工程学院欧善生教授</w:t>
            </w:r>
          </w:p>
        </w:tc>
        <w:tc>
          <w:tcPr>
            <w:tcW w:w="137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00" w:lineRule="auto"/>
              <w:ind w:left="0" w:right="0" w:rightChars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1476" w:type="dxa"/>
            <w:vAlign w:val="center"/>
          </w:tcPr>
          <w:p>
            <w:pPr>
              <w:pStyle w:val="16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120" w:beforeAutospacing="0" w:after="120" w:afterAutospacing="0"/>
              <w:ind w:left="0" w:leftChars="0" w:right="0"/>
              <w:rPr>
                <w:rFonts w:hint="default"/>
                <w:szCs w:val="20"/>
              </w:rPr>
            </w:pPr>
            <w:r>
              <w:rPr>
                <w:rFonts w:hint="eastAsia"/>
                <w:szCs w:val="20"/>
                <w:lang w:val="en-US" w:eastAsia="zh-CN"/>
              </w:rPr>
              <w:t>4.2.4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7" w:type="dxa"/>
            <w:vAlign w:val="center"/>
          </w:tcPr>
          <w:p>
            <w:pPr>
              <w:pStyle w:val="16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120" w:beforeAutospacing="0" w:after="120" w:afterAutospacing="0"/>
              <w:ind w:left="0" w:leftChars="0" w:right="0" w:firstLine="420" w:firstLineChars="200"/>
              <w:rPr>
                <w:rFonts w:hint="default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0"/>
              </w:rPr>
              <w:t>降雨量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”</w:t>
            </w:r>
          </w:p>
        </w:tc>
        <w:tc>
          <w:tcPr>
            <w:tcW w:w="19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eastAsia="zh-CN"/>
              </w:rPr>
              <w:t>改为：“</w:t>
            </w:r>
            <w:r>
              <w:rPr>
                <w:rFonts w:hint="eastAsia"/>
              </w:rPr>
              <w:t>降雨量</w:t>
            </w:r>
            <w:r>
              <w:rPr>
                <w:rFonts w:hint="eastAsia"/>
                <w:lang w:eastAsia="zh-CN"/>
              </w:rPr>
              <w:t>与湿度”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中国科学院广西植物研究所韦霄研究员</w:t>
            </w:r>
          </w:p>
        </w:tc>
        <w:tc>
          <w:tcPr>
            <w:tcW w:w="13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476" w:type="dxa"/>
            <w:vAlign w:val="top"/>
          </w:tcPr>
          <w:p>
            <w:pPr>
              <w:pStyle w:val="16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120" w:beforeAutospacing="0" w:after="120" w:afterAutospacing="0"/>
              <w:ind w:left="0" w:leftChars="0" w:right="0"/>
              <w:rPr>
                <w:rFonts w:hint="default"/>
                <w:szCs w:val="20"/>
              </w:rPr>
            </w:pPr>
            <w:r>
              <w:rPr>
                <w:rFonts w:hint="eastAsia"/>
                <w:szCs w:val="20"/>
                <w:lang w:val="en-US" w:eastAsia="zh-CN"/>
              </w:rPr>
              <w:t>4.2.4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214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“</w:t>
            </w:r>
            <w:r>
              <w:rPr>
                <w:rFonts w:hint="eastAsia"/>
              </w:rPr>
              <w:t>适宜年平均降雨量1</w:t>
            </w:r>
            <w:r>
              <w:rPr>
                <w:rFonts w:hint="eastAsia"/>
                <w:vertAlign w:val="superscript"/>
              </w:rPr>
              <w:t xml:space="preserve"> </w:t>
            </w:r>
            <w:r>
              <w:rPr>
                <w:rFonts w:hint="eastAsia"/>
              </w:rPr>
              <w:t>500</w:t>
            </w:r>
            <w:r>
              <w:rPr>
                <w:rFonts w:hint="default"/>
                <w:vertAlign w:val="superscript"/>
              </w:rPr>
              <w:t xml:space="preserve"> </w:t>
            </w:r>
            <w:r>
              <w:rPr>
                <w:rFonts w:hint="default"/>
              </w:rPr>
              <w:t>mm</w:t>
            </w:r>
            <w:r>
              <w:rPr>
                <w:rFonts w:hint="eastAsia"/>
              </w:rPr>
              <w:t>～2</w:t>
            </w:r>
            <w:r>
              <w:rPr>
                <w:rFonts w:hint="eastAsia"/>
                <w:vertAlign w:val="superscript"/>
              </w:rPr>
              <w:t xml:space="preserve"> 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  <w:vertAlign w:val="superscript"/>
              </w:rPr>
              <w:t xml:space="preserve"> </w:t>
            </w:r>
            <w:r>
              <w:rPr>
                <w:rFonts w:hint="eastAsia"/>
              </w:rPr>
              <w:t>mm</w:t>
            </w:r>
            <w:r>
              <w:rPr>
                <w:rFonts w:hint="eastAsia"/>
                <w:lang w:eastAsia="zh-CN"/>
              </w:rPr>
              <w:t>”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建议改为”“</w:t>
            </w:r>
            <w:r>
              <w:rPr>
                <w:rFonts w:hint="eastAsia"/>
              </w:rPr>
              <w:t>适宜年平均降雨量1</w:t>
            </w:r>
            <w:r>
              <w:rPr>
                <w:rFonts w:hint="eastAsia"/>
                <w:vertAlign w:val="superscript"/>
              </w:rPr>
              <w:t xml:space="preserve"> </w:t>
            </w:r>
            <w:r>
              <w:rPr>
                <w:rFonts w:hint="eastAsia"/>
              </w:rPr>
              <w:t>500</w:t>
            </w:r>
            <w:r>
              <w:rPr>
                <w:rFonts w:hint="default"/>
                <w:vertAlign w:val="superscript"/>
              </w:rPr>
              <w:t xml:space="preserve"> </w:t>
            </w:r>
            <w:r>
              <w:rPr>
                <w:rFonts w:hint="default"/>
              </w:rPr>
              <w:t>mm</w:t>
            </w:r>
            <w:r>
              <w:rPr>
                <w:rFonts w:hint="eastAsia"/>
                <w:lang w:eastAsia="zh-CN"/>
              </w:rPr>
              <w:t>以上”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中国科学院广西植物研究所韦霄研究员</w:t>
            </w:r>
          </w:p>
        </w:tc>
        <w:tc>
          <w:tcPr>
            <w:tcW w:w="137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1476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4.2.5</w:t>
            </w:r>
          </w:p>
        </w:tc>
        <w:tc>
          <w:tcPr>
            <w:tcW w:w="214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“土壤环境”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改为：“土壤”，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中国科学院广西植物研究所韦霄研究员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4.3.1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“育苗地”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改为：“苗圃地”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中国科学院广西植物研究所韦霄研究员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4.3.1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选择地势平坦、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改为：宜选择地势平坦、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广西农业职业技术大学农业工程学院欧善生教授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4.3.2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“选择400 m以下的低山或丘陵疏林地”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改为：“选择海拔400 m以下的低山或丘陵疏林地”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中国科学院广西植物研究所韦霄研究员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4.3.2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选择400 m以下的低山或丘陵疏林地，地势以湿润、向阳和排灌良好的平地或缓坡种植。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改为：“……地势以湿润、向阳和排灌良好的平地或缓坡种植”修改为“……地势以湿润、向阳和排灌良好的平地或缓坡地种植”，与前面的“平地”相对应，“缓坡”应改为“缓坡地”。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江西省中医药研究院虞金宝研究员。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4.3.2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选择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400 m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以下的低山或丘陵疏林地，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改为:宜选择400 m以下的低山或丘陵疏林地，</w:t>
            </w:r>
          </w:p>
        </w:tc>
        <w:tc>
          <w:tcPr>
            <w:tcW w:w="133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广西农业职业技术大学农业工程学院欧善生教授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5.1.1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525" w:firstLineChars="2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......消除越冬虫卵和病菌，翻耕后作成起高20 cm......。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525" w:firstLineChars="2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改为：......消除越冬虫卵和病菌，翻耕后起高20 cm......。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广西中医药大学姚绍嫦研究员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5.1.1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525" w:firstLineChars="2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......消除越冬虫卵和病菌，翻耕后作成起高20 cm......。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525" w:firstLineChars="2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改为：......消除越冬虫卵和病菌，翻耕后起高20 cm......。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江西省中医药研究院虞金宝研究员。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5.1.1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“育苗翻耕前除去杂草树叶，消除越冬虫卵和病菌，翻耕后作成起高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20 cm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，宽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100 cm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～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130 cm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的畦。”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改为：“育苗翻耕前除去杂草树叶，翻耕后，起高20 cm，宽100 cm～130 cm的畦。”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广西农业职业技术大学食品药品学院黄浩正高级工程师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5.1.1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“消除越冬虫卵和病菌”改为“翻地晒土，减少越冬虫卵和病菌”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改为：“消除越冬虫卵和病菌”改为“翻地晒土，减少越冬虫卵和病菌”。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广西农业科学院生物技术研究所庾韦花副研究员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5.1.1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“翻耕后作成起高20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cm，宽100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cm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～130 cm的畦”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改为：“翻耕后作成高20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cm、100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cm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～130 cm的畦”。删除“起”字，逗号改成顿号。</w:t>
            </w:r>
          </w:p>
        </w:tc>
        <w:tc>
          <w:tcPr>
            <w:tcW w:w="133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广西壮族自治区林业科学研究院黄开顺正高级工程师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“以每坑施腐熟有机肥1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kg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～3 kg”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改为：“每坑施腐熟有机肥1 kg～3 kg”。</w:t>
            </w:r>
          </w:p>
        </w:tc>
        <w:tc>
          <w:tcPr>
            <w:tcW w:w="133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广西壮族自治区林业科学研究院黄开顺正高级工程师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33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5.3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“宜选在1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月～5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月或10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月～11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月阴雨天进行移栽”</w:t>
            </w: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改为：“宜选在1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月～5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月或10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月～11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月阴天进行移栽”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中国科学院广西植物研究所韦霄研究员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34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“一般是每年的春季萌芽前，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6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月～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7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月和冬季进行，冬季除草结合中耕培土一起进行”</w:t>
            </w: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修改：“一般每年的春季萌芽前、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6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月～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7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月和冬季各进行一次，冬季除草结合中耕培土进行”。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江西省中医药研究院虞金宝研究员。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5.4.3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“种植后头2年”</w:t>
            </w: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改为：“种植后前2年”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中国科学院广西植物研究所韦霄研究员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5.4.3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“……培肥后覆土”</w:t>
            </w: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修改：“……施肥后覆土”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江西省中医药研究院虞金宝研究员。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37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5.4.3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“春季结合中耕除草每株施施腐熟有机肥...”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修改：“结合春季中耕除草，每株施腐熟有机肥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广西农业职业技术大学食品药品学院黄浩正高级工程师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38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5.4.3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1.“春季结合中耕除草每株施施腐熟有机肥1kg～1.5 kg”......。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2.“秋季再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施1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次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，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方法同上”。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  1.“春季结合中耕除草每株施腐熟有机肥1kg～1.5 kg”......。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2.“秋季按相同方法再施1次”。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广西壮族自治区林业科学研究院黄开顺正高级工程师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39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5.4.4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“有效叶片”的“有效”难以取量。</w:t>
            </w:r>
          </w:p>
        </w:tc>
        <w:tc>
          <w:tcPr>
            <w:tcW w:w="1928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“有效叶片”说法过于模糊，缺乏可操作性，能否有定量规定？比如保留百分之多少、2/3的枝叶等。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广西壮族自治区林业科学研究院黄开顺正高级工程师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5.4.5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两面针定植后至未封行前，每年3 月～4 月在行间种植广金钱草、鸡骨草等适应性强、生长旺盛的豆科植物。广金钱草、鸡骨草种植分别按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zh-CN" w:eastAsia="zh-CN" w:bidi="ar"/>
              </w:rPr>
              <w:t>DB45/T 715—2010、DB45/T 544—2008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标准执行。</w:t>
            </w: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5.4.5中的行间套种广金钱草、鸡骨草等，需要说明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广西农业科学院生物技术研究所庾韦花副研究员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不采纳，广金钱草、鸡骨草种植技术要点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zh-CN" w:eastAsia="zh-CN" w:bidi="ar"/>
              </w:rPr>
              <w:t>DB45/T 715—2010、DB45/T 544—2008已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有具体说明。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5.4.5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两面针定植后至未封行前，每年3 月～4 月在行间种植广金钱草、鸡骨草等适应性强、生长旺盛的豆科植物。广金钱草、鸡骨草种植分别按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zh-CN" w:eastAsia="zh-CN" w:bidi="ar"/>
              </w:rPr>
              <w:t>DB45/T 715—2010、DB45/T 544—2008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标准执行。</w:t>
            </w: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删去5.4.5，同时删去第2章相应的引用标准，非必须的内容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广西中医药大学黄荣韶教授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不采纳，间种套种是生态种植的主要措施之一，不能缺少。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5.4.5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两面针定植后至未封行前，每年3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vertAlign w:val="superscript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月～4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vertAlign w:val="superscript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月在行间种植广金钱草、鸡骨草等适应性强、生长旺盛的豆科植物。广金钱草、鸡骨草种植分别按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zh-CN" w:eastAsia="zh-CN" w:bidi="ar"/>
              </w:rPr>
              <w:t>DB45/T 715—2010、DB45/T 544—2008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标准执行。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广金钱草、鸡骨草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种植密度具体化，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便于操作。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青海省中医院贾守宁主任药师</w:t>
            </w:r>
          </w:p>
        </w:tc>
        <w:tc>
          <w:tcPr>
            <w:tcW w:w="137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不采纳，标准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DB45/T 715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—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2010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、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DB45/T 544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—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2008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已作明确规定。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43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“……氯化两面针碱含量符合《中华人民共和国药典》（一部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2020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年版）的要求”</w:t>
            </w: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改为：“……氯化两面针碱含量应符合《中华人民共和国药典》（一部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2020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年版）的要求”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江西省中医药研究院虞金宝研究员。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5.5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遵循“预防为主，综合防治”的植保方针，以“农业防治为主，物理和生物防治为辅”，不得使用任何化学杀菌剂防治病、虫、草。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建议增加利用生物农药，或者允许使用的高效低毒低残留化学农药防治病虫害的内容，增加实用性和可操作性。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广西中医药大学黄荣韶教授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不采纳，实践证明：两面针适应性较强，生长旺盛，病虫害较少，病虫害防治以“农业防治为主，物理和生物防治为辅”即可，可以不用化学农药进行防治。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5.5.1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“遵循“预防为主，综合防治”的植保方针，以“农业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防治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为主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，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物理和生物防治为辅”，不得使用任何化学杀菌剂防治病、虫、草。”</w:t>
            </w: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化学杀菌剂只能防治病，不能防治虫、草。建议作适当修改。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中国科学院广西植物研究所韦霄研究员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5.5.2.2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5.5.2.2防治措施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建议把该条标题下的条标题调整为内容，删去条标题。更简洁明了。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广西中医药大学姚绍嫦研究员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不采纳，删除后文本条理不清。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5.5.2.2.3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发病初期摘除发病株、叶，集中烧毁或深埋。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改为：发病初期摘除发病株、叶，集中焚烧或深埋。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48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按DB45/T 1954.4—2019标准执行。</w:t>
            </w: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采收和药用部位的加工具体化，在条目2中未见到DB45/T 1954.4—2019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不采纳，此处内容DB45/T 1954.4-2019已有明确规定。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49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2147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两面针药材的浸出物、水分、总灰分、氯化两面针碱含量符合《中华人民共和国药典》（一部 2020年版）的要求，重金属含量、农药残留应符合WM/T 2的规定。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建议把《中华人民共和国药典》（一部 20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年版）加入到规范性引用文件中。</w:t>
            </w:r>
          </w:p>
        </w:tc>
        <w:tc>
          <w:tcPr>
            <w:tcW w:w="133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广西中医药大学姚绍嫦研究员</w:t>
            </w:r>
          </w:p>
        </w:tc>
        <w:tc>
          <w:tcPr>
            <w:tcW w:w="1377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315" w:firstLineChars="15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不采纳，按照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GB/T 1.1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—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2020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《标准化工作导则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部分：标准化文件的结构和起草规则》的规定类似《中国药典》应放于参考文献中。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1476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outlineLvl w:val="0"/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8.1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包装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将干燥、检验合格的药材按不同商品规格等级分级后包装密封.......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建议增加“两面针”的商品规格等级分级标准或引用标准，该条项下表述为“将干燥、检验合格的药材按不同商品规格等级分级后包装密封”，但文件中缺少商品规格等级分级标准和引用文件。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37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不采纳，目前以统货销售，没有商品规格等级分级标准。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51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8.1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包装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......必须注明产品名称、批号、重量、产地、日期、生产单位、地址、贮存条件、保质期等。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两面针药材是否有保质期要求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？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如果有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，包装上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是否也应该注明保质期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广西壮族自治区林业科学研究院黄开顺正高级工程师</w:t>
            </w:r>
          </w:p>
        </w:tc>
        <w:tc>
          <w:tcPr>
            <w:tcW w:w="137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8.3</w:t>
            </w:r>
          </w:p>
        </w:tc>
        <w:tc>
          <w:tcPr>
            <w:tcW w:w="2147" w:type="dxa"/>
            <w:vAlign w:val="top"/>
          </w:tcPr>
          <w:p>
            <w:pPr>
              <w:pStyle w:val="10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szCs w:val="20"/>
              </w:rPr>
              <w:t>运输工具必须清洁、干燥，遇阴雨天应严防雨防潮，运输时严禁与有害货物混装。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增加与有污染货物混装。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37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53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8.3</w:t>
            </w:r>
          </w:p>
        </w:tc>
        <w:tc>
          <w:tcPr>
            <w:tcW w:w="214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......遇阴雨天应严防雨防潮.......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420" w:firstLineChars="20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改为：“遇阴雨天应防雨防潮.......”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广西农业职业技术大学食品药品学院黄浩正高级工程师</w:t>
            </w:r>
          </w:p>
        </w:tc>
        <w:tc>
          <w:tcPr>
            <w:tcW w:w="137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54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14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删去参考文献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非必须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广西中医药大学黄荣韶教授</w:t>
            </w:r>
          </w:p>
        </w:tc>
        <w:tc>
          <w:tcPr>
            <w:tcW w:w="137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不采纳，按照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GB/T 1.1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—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2020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《标准化工作导则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部分：标准化文件的结构和起草规则》的规定类似《中国药典》应放于参考文献中。</w:t>
            </w:r>
          </w:p>
        </w:tc>
      </w:tr>
    </w:tbl>
    <w:p>
      <w:pPr>
        <w:rPr>
          <w:highlight w:val="yellow"/>
        </w:rPr>
      </w:pPr>
      <w:r>
        <w:rPr>
          <w:rFonts w:hint="eastAsia"/>
          <w:highlight w:val="none"/>
        </w:rPr>
        <w:t>注：共征求</w:t>
      </w:r>
      <w:r>
        <w:rPr>
          <w:rFonts w:hint="eastAsia"/>
          <w:highlight w:val="none"/>
          <w:lang w:val="en-US" w:eastAsia="zh-CN"/>
        </w:rPr>
        <w:t>7</w:t>
      </w:r>
      <w:r>
        <w:rPr>
          <w:rFonts w:hint="eastAsia"/>
          <w:highlight w:val="none"/>
        </w:rPr>
        <w:t>家单位</w:t>
      </w:r>
      <w:r>
        <w:rPr>
          <w:rFonts w:hint="eastAsia"/>
          <w:highlight w:val="none"/>
          <w:lang w:val="en-US" w:eastAsia="zh-CN"/>
        </w:rPr>
        <w:t>9位</w:t>
      </w:r>
      <w:r>
        <w:rPr>
          <w:rFonts w:hint="eastAsia"/>
          <w:highlight w:val="none"/>
        </w:rPr>
        <w:t>专家</w:t>
      </w:r>
      <w:r>
        <w:rPr>
          <w:rFonts w:hint="eastAsia"/>
          <w:highlight w:val="none"/>
          <w:lang w:eastAsia="zh-CN"/>
        </w:rPr>
        <w:t>的</w:t>
      </w:r>
      <w:bookmarkStart w:id="0" w:name="_GoBack"/>
      <w:bookmarkEnd w:id="0"/>
      <w:r>
        <w:rPr>
          <w:rFonts w:hint="eastAsia"/>
          <w:highlight w:val="none"/>
        </w:rPr>
        <w:t>意见，收集到5</w:t>
      </w:r>
      <w:r>
        <w:rPr>
          <w:rFonts w:hint="eastAsia"/>
          <w:highlight w:val="none"/>
          <w:lang w:val="en-US" w:eastAsia="zh-CN"/>
        </w:rPr>
        <w:t>4</w:t>
      </w:r>
      <w:r>
        <w:rPr>
          <w:rFonts w:hint="eastAsia"/>
          <w:highlight w:val="none"/>
        </w:rPr>
        <w:t>条修改意见，采纳4</w:t>
      </w:r>
      <w:r>
        <w:rPr>
          <w:rFonts w:hint="eastAsia"/>
          <w:highlight w:val="none"/>
          <w:lang w:val="en-US" w:eastAsia="zh-CN"/>
        </w:rPr>
        <w:t>3</w:t>
      </w:r>
      <w:r>
        <w:rPr>
          <w:rFonts w:hint="eastAsia"/>
          <w:highlight w:val="none"/>
        </w:rPr>
        <w:t>条，不采纳1</w:t>
      </w:r>
      <w:r>
        <w:rPr>
          <w:rFonts w:hint="eastAsia"/>
          <w:highlight w:val="none"/>
          <w:lang w:val="en-US" w:eastAsia="zh-CN"/>
        </w:rPr>
        <w:t>1</w:t>
      </w:r>
      <w:r>
        <w:rPr>
          <w:rFonts w:hint="eastAsia"/>
          <w:highlight w:val="none"/>
        </w:rPr>
        <w:t>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2F2053"/>
    <w:multiLevelType w:val="multilevel"/>
    <w:tmpl w:val="0E2F2053"/>
    <w:lvl w:ilvl="0" w:tentative="0">
      <w:start w:val="1"/>
      <w:numFmt w:val="none"/>
      <w:suff w:val="nothing"/>
      <w:lvlText w:val="%1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  <w:textAlignment w:val="baseline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5" w:tentative="0">
      <w:start w:val="1"/>
      <w:numFmt w:val="decimal"/>
      <w:pStyle w:val="17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7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6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18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0OGYxZTc3ZmIyNTNkYzVmYWRjZTE3OTFkYWExODAifQ=="/>
  </w:docVars>
  <w:rsids>
    <w:rsidRoot w:val="00267AFF"/>
    <w:rsid w:val="00002E22"/>
    <w:rsid w:val="00014BEA"/>
    <w:rsid w:val="00015578"/>
    <w:rsid w:val="00020233"/>
    <w:rsid w:val="000312AD"/>
    <w:rsid w:val="00031755"/>
    <w:rsid w:val="0007249C"/>
    <w:rsid w:val="000B7DB7"/>
    <w:rsid w:val="000D77B2"/>
    <w:rsid w:val="000E04EE"/>
    <w:rsid w:val="00112411"/>
    <w:rsid w:val="00123CD7"/>
    <w:rsid w:val="001545F3"/>
    <w:rsid w:val="001B7D1C"/>
    <w:rsid w:val="002029D2"/>
    <w:rsid w:val="0020455B"/>
    <w:rsid w:val="00207A39"/>
    <w:rsid w:val="00212442"/>
    <w:rsid w:val="00267AFF"/>
    <w:rsid w:val="00296FA6"/>
    <w:rsid w:val="0031145D"/>
    <w:rsid w:val="00330A29"/>
    <w:rsid w:val="00337EA8"/>
    <w:rsid w:val="003E3CA7"/>
    <w:rsid w:val="00420731"/>
    <w:rsid w:val="00452762"/>
    <w:rsid w:val="00465C07"/>
    <w:rsid w:val="004730AE"/>
    <w:rsid w:val="00477E0F"/>
    <w:rsid w:val="00484D05"/>
    <w:rsid w:val="004E23CF"/>
    <w:rsid w:val="004E7E7E"/>
    <w:rsid w:val="00507C92"/>
    <w:rsid w:val="00531584"/>
    <w:rsid w:val="005450E0"/>
    <w:rsid w:val="005F24F5"/>
    <w:rsid w:val="00611D08"/>
    <w:rsid w:val="006507CF"/>
    <w:rsid w:val="0065646B"/>
    <w:rsid w:val="00686643"/>
    <w:rsid w:val="006A2295"/>
    <w:rsid w:val="006B5EA9"/>
    <w:rsid w:val="006F6DEE"/>
    <w:rsid w:val="007224BE"/>
    <w:rsid w:val="00775C59"/>
    <w:rsid w:val="007A1637"/>
    <w:rsid w:val="007E68C9"/>
    <w:rsid w:val="007E6A63"/>
    <w:rsid w:val="007F1B8A"/>
    <w:rsid w:val="007F4325"/>
    <w:rsid w:val="00831FD2"/>
    <w:rsid w:val="0083210F"/>
    <w:rsid w:val="00834565"/>
    <w:rsid w:val="008C72AA"/>
    <w:rsid w:val="008D14C9"/>
    <w:rsid w:val="0095495B"/>
    <w:rsid w:val="00960367"/>
    <w:rsid w:val="009B7CDC"/>
    <w:rsid w:val="009D40F8"/>
    <w:rsid w:val="00A062F9"/>
    <w:rsid w:val="00A354CB"/>
    <w:rsid w:val="00A36FB6"/>
    <w:rsid w:val="00AE40F2"/>
    <w:rsid w:val="00B33C79"/>
    <w:rsid w:val="00B60400"/>
    <w:rsid w:val="00BC461C"/>
    <w:rsid w:val="00BD27FB"/>
    <w:rsid w:val="00C32397"/>
    <w:rsid w:val="00C76A25"/>
    <w:rsid w:val="00C76AC7"/>
    <w:rsid w:val="00C86131"/>
    <w:rsid w:val="00CB343E"/>
    <w:rsid w:val="00CE4FAE"/>
    <w:rsid w:val="00CE6216"/>
    <w:rsid w:val="00D367D5"/>
    <w:rsid w:val="00E51230"/>
    <w:rsid w:val="00E530C0"/>
    <w:rsid w:val="00E63F81"/>
    <w:rsid w:val="00EA2E5E"/>
    <w:rsid w:val="00EC7FD7"/>
    <w:rsid w:val="00ED50D0"/>
    <w:rsid w:val="00EF2716"/>
    <w:rsid w:val="00F25C2D"/>
    <w:rsid w:val="00F30281"/>
    <w:rsid w:val="00F678EF"/>
    <w:rsid w:val="00F85638"/>
    <w:rsid w:val="00FF00FE"/>
    <w:rsid w:val="010561DE"/>
    <w:rsid w:val="0181113C"/>
    <w:rsid w:val="04162567"/>
    <w:rsid w:val="04F2140A"/>
    <w:rsid w:val="05A21BCF"/>
    <w:rsid w:val="065B2DCB"/>
    <w:rsid w:val="06FB68B7"/>
    <w:rsid w:val="08644D64"/>
    <w:rsid w:val="08B158D7"/>
    <w:rsid w:val="08BC75FB"/>
    <w:rsid w:val="0A167AA3"/>
    <w:rsid w:val="0A317B30"/>
    <w:rsid w:val="0B3A6D97"/>
    <w:rsid w:val="0B9A08F9"/>
    <w:rsid w:val="0BDD550E"/>
    <w:rsid w:val="0C7E047A"/>
    <w:rsid w:val="0C910C0B"/>
    <w:rsid w:val="0CB62800"/>
    <w:rsid w:val="0D6C06B5"/>
    <w:rsid w:val="0FC01164"/>
    <w:rsid w:val="113B2F98"/>
    <w:rsid w:val="11661BF0"/>
    <w:rsid w:val="11E26F4E"/>
    <w:rsid w:val="12047DC0"/>
    <w:rsid w:val="13B41314"/>
    <w:rsid w:val="15AA5EA4"/>
    <w:rsid w:val="15FC6940"/>
    <w:rsid w:val="16A73C41"/>
    <w:rsid w:val="17151786"/>
    <w:rsid w:val="175610B2"/>
    <w:rsid w:val="178D148E"/>
    <w:rsid w:val="17B41E3B"/>
    <w:rsid w:val="17C31AF6"/>
    <w:rsid w:val="18C63EC9"/>
    <w:rsid w:val="18C77BD8"/>
    <w:rsid w:val="198806EF"/>
    <w:rsid w:val="198B26F2"/>
    <w:rsid w:val="1AD32FDC"/>
    <w:rsid w:val="1AE91AD1"/>
    <w:rsid w:val="1B447125"/>
    <w:rsid w:val="1B8807F0"/>
    <w:rsid w:val="1BFC35DD"/>
    <w:rsid w:val="1C5C4C5E"/>
    <w:rsid w:val="1D743B81"/>
    <w:rsid w:val="1D75105D"/>
    <w:rsid w:val="1DA62C80"/>
    <w:rsid w:val="1DB11F51"/>
    <w:rsid w:val="1DD01E1C"/>
    <w:rsid w:val="1DE33DF2"/>
    <w:rsid w:val="1ED21D37"/>
    <w:rsid w:val="1FAD5E96"/>
    <w:rsid w:val="202B62C9"/>
    <w:rsid w:val="20C76559"/>
    <w:rsid w:val="210D46DC"/>
    <w:rsid w:val="21ED1E23"/>
    <w:rsid w:val="23665456"/>
    <w:rsid w:val="262E347B"/>
    <w:rsid w:val="27C26642"/>
    <w:rsid w:val="286E23AD"/>
    <w:rsid w:val="293A62BC"/>
    <w:rsid w:val="29453D02"/>
    <w:rsid w:val="29913A7C"/>
    <w:rsid w:val="29E06E02"/>
    <w:rsid w:val="2AAB41B6"/>
    <w:rsid w:val="2C5A7918"/>
    <w:rsid w:val="2CB3744B"/>
    <w:rsid w:val="2DB14F7A"/>
    <w:rsid w:val="2DF64C15"/>
    <w:rsid w:val="2E0D67B6"/>
    <w:rsid w:val="2E356019"/>
    <w:rsid w:val="2E880A64"/>
    <w:rsid w:val="2ECB2270"/>
    <w:rsid w:val="2ED2519A"/>
    <w:rsid w:val="2EE20EF6"/>
    <w:rsid w:val="2F5730F4"/>
    <w:rsid w:val="31417638"/>
    <w:rsid w:val="315A0D52"/>
    <w:rsid w:val="315C2349"/>
    <w:rsid w:val="317A1E49"/>
    <w:rsid w:val="31D06A58"/>
    <w:rsid w:val="32DB0154"/>
    <w:rsid w:val="33D350F8"/>
    <w:rsid w:val="33EB6090"/>
    <w:rsid w:val="348D7E10"/>
    <w:rsid w:val="366E7927"/>
    <w:rsid w:val="36E21904"/>
    <w:rsid w:val="37373D20"/>
    <w:rsid w:val="381B4106"/>
    <w:rsid w:val="38346616"/>
    <w:rsid w:val="393955FE"/>
    <w:rsid w:val="3BD15AEA"/>
    <w:rsid w:val="3D2C7D71"/>
    <w:rsid w:val="3D6C4263"/>
    <w:rsid w:val="3EA10D69"/>
    <w:rsid w:val="3F3E35D4"/>
    <w:rsid w:val="3F8C2A17"/>
    <w:rsid w:val="40C321B1"/>
    <w:rsid w:val="414C583E"/>
    <w:rsid w:val="425E2648"/>
    <w:rsid w:val="43987516"/>
    <w:rsid w:val="44350776"/>
    <w:rsid w:val="44A22E18"/>
    <w:rsid w:val="44C06BBC"/>
    <w:rsid w:val="455C566C"/>
    <w:rsid w:val="45FE7E1A"/>
    <w:rsid w:val="46CA01CA"/>
    <w:rsid w:val="46D1767E"/>
    <w:rsid w:val="4759221E"/>
    <w:rsid w:val="47936375"/>
    <w:rsid w:val="47C42AFF"/>
    <w:rsid w:val="48000702"/>
    <w:rsid w:val="48F82539"/>
    <w:rsid w:val="49875499"/>
    <w:rsid w:val="49B41923"/>
    <w:rsid w:val="4A356B2C"/>
    <w:rsid w:val="4B55485B"/>
    <w:rsid w:val="4B6C0A33"/>
    <w:rsid w:val="4BAE667D"/>
    <w:rsid w:val="4E6073BA"/>
    <w:rsid w:val="4F1A1524"/>
    <w:rsid w:val="4F850F23"/>
    <w:rsid w:val="502A2870"/>
    <w:rsid w:val="50B21D2D"/>
    <w:rsid w:val="525C36BA"/>
    <w:rsid w:val="52D91FEE"/>
    <w:rsid w:val="53FB2DB5"/>
    <w:rsid w:val="55681B0D"/>
    <w:rsid w:val="55A32DCF"/>
    <w:rsid w:val="5612730A"/>
    <w:rsid w:val="56971259"/>
    <w:rsid w:val="57A17356"/>
    <w:rsid w:val="58993C22"/>
    <w:rsid w:val="59351EA0"/>
    <w:rsid w:val="602D3F51"/>
    <w:rsid w:val="60414A81"/>
    <w:rsid w:val="61054A47"/>
    <w:rsid w:val="628277EA"/>
    <w:rsid w:val="629A63ED"/>
    <w:rsid w:val="636E0EBC"/>
    <w:rsid w:val="6394054F"/>
    <w:rsid w:val="674C27D6"/>
    <w:rsid w:val="678F6D0A"/>
    <w:rsid w:val="683F2ACE"/>
    <w:rsid w:val="6A2B43C0"/>
    <w:rsid w:val="6A8A566F"/>
    <w:rsid w:val="6D2207C0"/>
    <w:rsid w:val="6DF84247"/>
    <w:rsid w:val="6ECF3987"/>
    <w:rsid w:val="6FA7381A"/>
    <w:rsid w:val="70E84826"/>
    <w:rsid w:val="71357DEB"/>
    <w:rsid w:val="72956E8C"/>
    <w:rsid w:val="72D1714D"/>
    <w:rsid w:val="74A246C3"/>
    <w:rsid w:val="74AB257F"/>
    <w:rsid w:val="752D3794"/>
    <w:rsid w:val="786657AA"/>
    <w:rsid w:val="788C4FE6"/>
    <w:rsid w:val="799A3111"/>
    <w:rsid w:val="7A974B62"/>
    <w:rsid w:val="7AB8783B"/>
    <w:rsid w:val="7AC43B50"/>
    <w:rsid w:val="7C141C80"/>
    <w:rsid w:val="7C3539D8"/>
    <w:rsid w:val="7D074C55"/>
    <w:rsid w:val="7DDF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nhideWhenUsed/>
    <w:qFormat/>
    <w:uiPriority w:val="99"/>
    <w:pPr>
      <w:adjustRightInd w:val="0"/>
      <w:spacing w:line="400" w:lineRule="exact"/>
      <w:jc w:val="left"/>
    </w:pPr>
    <w:rPr>
      <w:rFonts w:ascii="Calibri" w:hAnsi="Calibri"/>
      <w:szCs w:val="21"/>
    </w:rPr>
  </w:style>
  <w:style w:type="paragraph" w:styleId="3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paragraph" w:styleId="6">
    <w:name w:val="Title"/>
    <w:basedOn w:val="1"/>
    <w:link w:val="12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标准文件_段"/>
    <w:link w:val="1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1">
    <w:name w:val="标准文件_段 Char"/>
    <w:link w:val="10"/>
    <w:autoRedefine/>
    <w:qFormat/>
    <w:uiPriority w:val="0"/>
    <w:rPr>
      <w:rFonts w:ascii="宋体" w:hAnsi="Times New Roman" w:eastAsia="宋体" w:cs="Times New Roman"/>
      <w:sz w:val="21"/>
    </w:rPr>
  </w:style>
  <w:style w:type="character" w:customStyle="1" w:styleId="12">
    <w:name w:val="标题 Char"/>
    <w:basedOn w:val="9"/>
    <w:link w:val="6"/>
    <w:autoRedefine/>
    <w:qFormat/>
    <w:uiPriority w:val="0"/>
    <w:rPr>
      <w:rFonts w:ascii="Arial" w:hAnsi="Arial" w:eastAsia="宋体" w:cs="Arial"/>
      <w:b/>
      <w:bCs/>
      <w:kern w:val="2"/>
      <w:sz w:val="32"/>
      <w:szCs w:val="32"/>
    </w:rPr>
  </w:style>
  <w:style w:type="paragraph" w:customStyle="1" w:styleId="13">
    <w:name w:val="ly正文"/>
    <w:basedOn w:val="1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kern w:val="0"/>
    </w:rPr>
  </w:style>
  <w:style w:type="character" w:customStyle="1" w:styleId="14">
    <w:name w:val="页脚 Char"/>
    <w:basedOn w:val="9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眉 Char"/>
    <w:basedOn w:val="9"/>
    <w:link w:val="4"/>
    <w:autoRedefine/>
    <w:qFormat/>
    <w:uiPriority w:val="0"/>
    <w:rPr>
      <w:kern w:val="2"/>
      <w:sz w:val="18"/>
      <w:szCs w:val="18"/>
    </w:rPr>
  </w:style>
  <w:style w:type="paragraph" w:customStyle="1" w:styleId="16">
    <w:name w:val="标准文件_二级条标题"/>
    <w:next w:val="10"/>
    <w:autoRedefine/>
    <w:qFormat/>
    <w:uiPriority w:val="0"/>
    <w:pPr>
      <w:widowControl w:val="0"/>
      <w:numPr>
        <w:ilvl w:val="3"/>
        <w:numId w:val="1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7">
    <w:name w:val="标准文件_四级条标题"/>
    <w:basedOn w:val="1"/>
    <w:next w:val="1"/>
    <w:autoRedefine/>
    <w:qFormat/>
    <w:uiPriority w:val="0"/>
    <w:pPr>
      <w:keepNext w:val="0"/>
      <w:keepLines w:val="0"/>
      <w:widowControl w:val="0"/>
      <w:numPr>
        <w:ilvl w:val="5"/>
        <w:numId w:val="2"/>
      </w:numPr>
      <w:suppressLineNumbers w:val="0"/>
      <w:adjustRightInd/>
      <w:spacing w:before="50" w:beforeLines="50" w:beforeAutospacing="0" w:after="50" w:afterLines="50" w:afterAutospacing="0" w:line="240" w:lineRule="auto"/>
      <w:ind w:left="0" w:right="0" w:firstLine="0"/>
      <w:jc w:val="both"/>
      <w:outlineLvl w:val="4"/>
    </w:pPr>
    <w:rPr>
      <w:rFonts w:hint="eastAsia" w:ascii="黑体" w:hAnsi="Times New Roman" w:eastAsia="黑体" w:cs="Times New Roman"/>
      <w:kern w:val="0"/>
      <w:sz w:val="21"/>
      <w:szCs w:val="20"/>
      <w:lang w:val="en-US" w:eastAsia="zh-CN" w:bidi="ar"/>
    </w:rPr>
  </w:style>
  <w:style w:type="paragraph" w:customStyle="1" w:styleId="18">
    <w:name w:val="标准文件_三级条标题"/>
    <w:basedOn w:val="16"/>
    <w:next w:val="10"/>
    <w:autoRedefine/>
    <w:qFormat/>
    <w:uiPriority w:val="0"/>
    <w:pPr>
      <w:widowControl/>
      <w:numPr>
        <w:ilvl w:val="4"/>
      </w:numPr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6</Pages>
  <Words>588</Words>
  <Characters>3357</Characters>
  <Lines>27</Lines>
  <Paragraphs>7</Paragraphs>
  <TotalTime>29</TotalTime>
  <ScaleCrop>false</ScaleCrop>
  <LinksUpToDate>false</LinksUpToDate>
  <CharactersWithSpaces>3938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2021-03-29T07:05:00Z</dcterms:created>
  <dc:creator>DELL</dc:creator>
  <cp:lastModifiedBy>lenovo</cp:lastModifiedBy>
  <dcterms:modified xsi:type="dcterms:W3CDTF">2024-03-07T08:49:16Z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BE227EF829EE45E1AAD4BA31FC951B5C</vt:lpwstr>
  </property>
</Properties>
</file>