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7782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68B6BC57">
            <w:pPr>
              <w:pStyle w:val="18"/>
              <w:framePr w:wrap="notBeside" w:vAnchor="page" w:hAnchor="page" w:x="1372" w:y="568"/>
              <w:tabs>
                <w:tab w:val="clear" w:pos="4153"/>
                <w:tab w:val="clear" w:pos="8306"/>
              </w:tabs>
              <w:spacing w:line="240" w:lineRule="auto"/>
              <w:jc w:val="left"/>
              <w:rPr>
                <w:rFonts w:ascii="黑体" w:hAnsi="黑体" w:eastAsia="黑体"/>
                <w:sz w:val="21"/>
                <w:szCs w:val="21"/>
              </w:rPr>
            </w:pPr>
            <w:bookmarkStart w:id="0" w:name="_Hlk168676868"/>
            <w:bookmarkEnd w:id="0"/>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960E288">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1"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65.020.40</w:t>
            </w:r>
            <w:r>
              <w:rPr>
                <w:rFonts w:ascii="黑体" w:hAnsi="黑体" w:eastAsia="黑体"/>
                <w:sz w:val="21"/>
                <w:szCs w:val="21"/>
              </w:rPr>
              <w:fldChar w:fldCharType="end"/>
            </w:r>
            <w:bookmarkEnd w:id="1"/>
          </w:p>
        </w:tc>
      </w:tr>
      <w:tr w14:paraId="5F3E3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3AD76C0">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7EA1780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5EE8D126">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2" w:name="c1"/>
                  <w:r>
                    <w:instrText xml:space="preserve"> FORMTEXT </w:instrText>
                  </w:r>
                  <w:r>
                    <w:fldChar w:fldCharType="separate"/>
                  </w:r>
                  <w:r>
                    <w:t>GXAS</w:t>
                  </w:r>
                  <w:r>
                    <w:fldChar w:fldCharType="end"/>
                  </w:r>
                  <w:bookmarkEnd w:id="2"/>
                </w:p>
              </w:tc>
            </w:tr>
          </w:tbl>
          <w:p w14:paraId="5FAF862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B 65"/>
                  </w:textInput>
                </w:ffData>
              </w:fldChar>
            </w:r>
            <w:bookmarkStart w:id="3"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65</w:t>
            </w:r>
            <w:r>
              <w:rPr>
                <w:rFonts w:ascii="黑体" w:hAnsi="黑体" w:eastAsia="黑体"/>
                <w:sz w:val="21"/>
                <w:szCs w:val="21"/>
              </w:rPr>
              <w:fldChar w:fldCharType="end"/>
            </w:r>
            <w:bookmarkEnd w:id="3"/>
          </w:p>
        </w:tc>
      </w:tr>
    </w:tbl>
    <w:p w14:paraId="41F3912F">
      <w:pPr>
        <w:pStyle w:val="50"/>
        <w:framePr w:w="9639" w:h="624" w:hRule="exact" w:hSpace="181" w:vSpace="181" w:wrap="around" w:hAnchor="page" w:x="1305" w:y="2269"/>
        <w:rPr>
          <w:rFonts w:ascii="黑体" w:hAnsi="黑体" w:eastAsia="黑体"/>
          <w:b w:val="0"/>
          <w:bCs w:val="0"/>
          <w:w w:val="100"/>
          <w:sz w:val="48"/>
          <w:szCs w:val="48"/>
        </w:rPr>
      </w:pPr>
      <w:bookmarkStart w:id="4"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4"/>
    <w:p w14:paraId="11290BB3">
      <w:pPr>
        <w:pStyle w:val="195"/>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6C065747">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96D92E1">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D533872">
      <w:pPr>
        <w:pStyle w:val="50"/>
        <w:framePr w:w="9639" w:h="6976" w:hRule="exact" w:hSpace="0" w:vSpace="0" w:wrap="around" w:hAnchor="page" w:y="6408"/>
        <w:jc w:val="center"/>
        <w:rPr>
          <w:rFonts w:ascii="黑体" w:hAnsi="黑体" w:eastAsia="黑体"/>
          <w:b w:val="0"/>
          <w:bCs w:val="0"/>
          <w:w w:val="100"/>
        </w:rPr>
      </w:pPr>
    </w:p>
    <w:p w14:paraId="52995360">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岩溶石漠化生态保护修复规划技术导则</w:t>
      </w:r>
      <w:r>
        <w:fldChar w:fldCharType="end"/>
      </w:r>
      <w:bookmarkEnd w:id="9"/>
    </w:p>
    <w:p w14:paraId="2D7E56B5">
      <w:pPr>
        <w:framePr w:w="9639" w:h="6974" w:hRule="exact" w:wrap="around" w:vAnchor="page" w:hAnchor="page" w:x="1419" w:y="6408" w:anchorLock="1"/>
        <w:ind w:left="-1418"/>
      </w:pPr>
    </w:p>
    <w:p w14:paraId="7ECE2870">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guidelines for ecological protection and restoration planning of karst rocky desertification</w:t>
      </w:r>
      <w:r>
        <w:rPr>
          <w:rFonts w:ascii="黑体" w:hAnsi="黑体" w:eastAsia="黑体"/>
          <w:szCs w:val="28"/>
        </w:rPr>
        <w:fldChar w:fldCharType="end"/>
      </w:r>
      <w:bookmarkEnd w:id="10"/>
    </w:p>
    <w:p w14:paraId="6F540846">
      <w:pPr>
        <w:framePr w:w="9639" w:h="6974" w:hRule="exact" w:wrap="around" w:vAnchor="page" w:hAnchor="page" w:x="1419" w:y="6408" w:anchorLock="1"/>
        <w:spacing w:line="760" w:lineRule="exact"/>
        <w:ind w:left="-1418"/>
      </w:pPr>
    </w:p>
    <w:p w14:paraId="6C8D623D">
      <w:pPr>
        <w:pStyle w:val="125"/>
        <w:framePr w:w="9639" w:h="6974" w:hRule="exact" w:wrap="around" w:vAnchor="page" w:hAnchor="page" w:x="1419" w:y="6408" w:anchorLock="1"/>
        <w:textAlignment w:val="bottom"/>
        <w:rPr>
          <w:rFonts w:eastAsia="黑体"/>
          <w:szCs w:val="28"/>
        </w:rPr>
      </w:pPr>
    </w:p>
    <w:p w14:paraId="0B56BF67">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7136C33">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464FD3F3">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503EDA2">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49A45B19">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27461C1">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广</w:t>
      </w:r>
      <w:r>
        <w:rPr>
          <w:rFonts w:hint="eastAsia" w:hAnsi="黑体"/>
          <w:w w:val="100"/>
          <w:sz w:val="28"/>
        </w:rPr>
        <w:t>西标准化协会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9741967">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pgBorders>
            <w:top w:val="none" w:sz="0" w:space="0"/>
            <w:left w:val="none" w:sz="0" w:space="0"/>
            <w:bottom w:val="none" w:sz="0" w:space="0"/>
            <w:right w:val="none" w:sz="0" w:space="0"/>
          </w:pgBorders>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F3C7A72">
      <w:pPr>
        <w:pStyle w:val="89"/>
        <w:spacing w:before="900" w:after="360"/>
      </w:pPr>
      <w:bookmarkStart w:id="21" w:name="BookMark2"/>
      <w:r>
        <w:rPr>
          <w:spacing w:val="320"/>
        </w:rPr>
        <w:t>前</w:t>
      </w:r>
      <w:r>
        <w:t>言</w:t>
      </w:r>
    </w:p>
    <w:p w14:paraId="5E5CA7B9">
      <w:pPr>
        <w:pStyle w:val="56"/>
        <w:ind w:firstLine="420"/>
      </w:pPr>
      <w:r>
        <w:rPr>
          <w:rFonts w:hint="eastAsia"/>
        </w:rPr>
        <w:t>本文件按照GB/T 1.1—2020《标准化工作导则  第1部分：标准化文件的结构和起草规则》的规定起草。</w:t>
      </w:r>
    </w:p>
    <w:p w14:paraId="18819E34">
      <w:pPr>
        <w:pStyle w:val="56"/>
        <w:ind w:firstLine="420"/>
      </w:pPr>
      <w:r>
        <w:rPr>
          <w:rFonts w:hint="eastAsia"/>
        </w:rPr>
        <w:t>请注意本文件的某些内容可能涉及专利。本文件的发布机构不承担识别专利的责任。</w:t>
      </w:r>
    </w:p>
    <w:p w14:paraId="132B5C87">
      <w:pPr>
        <w:pStyle w:val="56"/>
        <w:ind w:firstLine="420"/>
      </w:pPr>
      <w:r>
        <w:rPr>
          <w:rFonts w:hint="eastAsia"/>
        </w:rPr>
        <w:t>本文件由中国地质科学院岩溶地质研究所提出并宣贯。</w:t>
      </w:r>
    </w:p>
    <w:p w14:paraId="344CCE8E">
      <w:pPr>
        <w:pStyle w:val="56"/>
        <w:ind w:firstLine="420"/>
        <w:rPr>
          <w:rFonts w:hint="eastAsia"/>
        </w:rPr>
      </w:pPr>
      <w:r>
        <w:rPr>
          <w:rFonts w:hint="eastAsia"/>
        </w:rPr>
        <w:t>本文件由广西标准化协会归口。</w:t>
      </w:r>
    </w:p>
    <w:p w14:paraId="718703AA">
      <w:pPr>
        <w:pStyle w:val="56"/>
        <w:ind w:firstLine="420"/>
      </w:pPr>
      <w:r>
        <w:rPr>
          <w:rFonts w:hint="eastAsia"/>
        </w:rPr>
        <w:t>本文件起草单位：中国地质科学院岩溶地质研究所、国家林业局和草原局中南调查规划院、中国科学院地理科学与资源研究所、桂林理工大学、南宁师范大学、广西壮族自治区自然资源生态修复中心、广西壮族自治区中国科学院广西植物研究所。</w:t>
      </w:r>
    </w:p>
    <w:p w14:paraId="23E45F11">
      <w:pPr>
        <w:pStyle w:val="56"/>
        <w:ind w:firstLine="420"/>
        <w:sectPr>
          <w:headerReference r:id="rId11" w:type="default"/>
          <w:footerReference r:id="rId13" w:type="default"/>
          <w:headerReference r:id="rId12"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linePitch="312" w:charSpace="0"/>
        </w:sectPr>
      </w:pPr>
      <w:r>
        <w:rPr>
          <w:rFonts w:hint="eastAsia"/>
        </w:rPr>
        <w:t>本文件主要起草人：涂纯、罗为群、蒋忠诚、吴协保、李发东、胡宝清、林志强、刘绍华、覃礼堂、汤庆佳、冷佩芳、张建兵、覃星铭、胡兆鑫、张谭锋、李航、牛勇、吴泽燕、陈雅琪。</w:t>
      </w:r>
    </w:p>
    <w:bookmarkEnd w:id="21"/>
    <w:p w14:paraId="4314FA0E">
      <w:pPr>
        <w:spacing w:line="20" w:lineRule="exact"/>
        <w:jc w:val="center"/>
        <w:rPr>
          <w:rFonts w:ascii="黑体" w:hAnsi="黑体" w:eastAsia="黑体"/>
          <w:sz w:val="32"/>
          <w:szCs w:val="32"/>
        </w:rPr>
      </w:pPr>
      <w:bookmarkStart w:id="22" w:name="BookMark4"/>
    </w:p>
    <w:p w14:paraId="2898B00B">
      <w:pPr>
        <w:spacing w:line="20" w:lineRule="exact"/>
        <w:jc w:val="center"/>
        <w:rPr>
          <w:rFonts w:ascii="黑体" w:hAnsi="黑体" w:eastAsia="黑体"/>
          <w:sz w:val="32"/>
          <w:szCs w:val="32"/>
        </w:rPr>
      </w:pPr>
    </w:p>
    <w:sdt>
      <w:sdtPr>
        <w:tag w:val="NEW_STAND_NAME"/>
        <w:id w:val="595910757"/>
        <w:lock w:val="sdtLocked"/>
        <w:placeholder>
          <w:docPart w:val="026BBD17897B4CB4B409B5CC1052DCE8"/>
        </w:placeholder>
      </w:sdtPr>
      <w:sdtContent>
        <w:p w14:paraId="0C6B0BA5">
          <w:pPr>
            <w:pStyle w:val="177"/>
            <w:spacing w:before="240" w:beforeLines="100" w:after="528" w:afterLines="220"/>
          </w:pPr>
          <w:bookmarkStart w:id="23" w:name="NEW_STAND_NAME"/>
          <w:r>
            <w:rPr>
              <w:rFonts w:hint="eastAsia"/>
            </w:rPr>
            <w:t>岩溶石漠化生态保护修复规划技术导则</w:t>
          </w:r>
        </w:p>
      </w:sdtContent>
    </w:sdt>
    <w:bookmarkEnd w:id="23"/>
    <w:p w14:paraId="21ABFB2F">
      <w:pPr>
        <w:pStyle w:val="104"/>
        <w:spacing w:before="240" w:after="240"/>
      </w:pPr>
      <w:bookmarkStart w:id="24" w:name="_Toc24884211"/>
      <w:bookmarkStart w:id="25" w:name="_Toc26718930"/>
      <w:bookmarkStart w:id="26" w:name="_Toc24884218"/>
      <w:bookmarkStart w:id="27" w:name="_Toc26986530"/>
      <w:bookmarkStart w:id="28" w:name="_Toc17233325"/>
      <w:bookmarkStart w:id="29" w:name="_Toc17233333"/>
      <w:bookmarkStart w:id="30" w:name="_Toc97192964"/>
      <w:bookmarkStart w:id="31" w:name="_Toc26648465"/>
      <w:bookmarkStart w:id="32" w:name="_Toc26986771"/>
      <w:r>
        <w:rPr>
          <w:rFonts w:hint="eastAsia"/>
        </w:rPr>
        <w:t>范围</w:t>
      </w:r>
      <w:bookmarkEnd w:id="24"/>
      <w:bookmarkEnd w:id="25"/>
      <w:bookmarkEnd w:id="26"/>
      <w:bookmarkEnd w:id="27"/>
      <w:bookmarkEnd w:id="28"/>
      <w:bookmarkEnd w:id="29"/>
      <w:bookmarkEnd w:id="30"/>
      <w:bookmarkEnd w:id="31"/>
      <w:bookmarkEnd w:id="32"/>
    </w:p>
    <w:p w14:paraId="22EC367F">
      <w:pPr>
        <w:pStyle w:val="56"/>
        <w:ind w:firstLine="420"/>
      </w:pPr>
      <w:bookmarkStart w:id="33" w:name="_Toc26648466"/>
      <w:bookmarkStart w:id="34" w:name="_Toc24884219"/>
      <w:bookmarkStart w:id="35" w:name="_Toc17233326"/>
      <w:bookmarkStart w:id="36" w:name="_Toc17233334"/>
      <w:bookmarkStart w:id="37" w:name="_Toc24884212"/>
      <w:r>
        <w:rPr>
          <w:rFonts w:hint="eastAsia"/>
        </w:rPr>
        <w:t>本文件规定了西南岩溶地区石漠化生态保护修复规划术语和定义、编制的总则、规划编制程序、现状调查和评价、规划定位和目标任务、投资估算及效益分析、规划成果等要求。岩溶地区石漠化生态保护修复规划应在岩溶生态地质调查基础上编制。</w:t>
      </w:r>
    </w:p>
    <w:p w14:paraId="4B7CC834">
      <w:pPr>
        <w:pStyle w:val="56"/>
        <w:ind w:firstLine="420"/>
      </w:pPr>
      <w:r>
        <w:rPr>
          <w:rFonts w:hint="eastAsia"/>
        </w:rPr>
        <w:t>本文件适用于我国西南岩溶地区市县级或以流域为单元的石漠化生态保护修复规划。</w:t>
      </w:r>
    </w:p>
    <w:p w14:paraId="13D00D22">
      <w:pPr>
        <w:pStyle w:val="104"/>
        <w:spacing w:before="240" w:after="240"/>
      </w:pPr>
      <w:bookmarkStart w:id="38" w:name="_Toc97192965"/>
      <w:bookmarkStart w:id="39" w:name="_Toc26986772"/>
      <w:bookmarkStart w:id="40" w:name="_Toc26718931"/>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963D0033A43042648C5E80D46412C4F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EA24A22">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400A584">
      <w:pPr>
        <w:pStyle w:val="56"/>
        <w:ind w:firstLine="420"/>
      </w:pPr>
      <w:r>
        <w:rPr>
          <w:rFonts w:hint="eastAsia"/>
        </w:rPr>
        <w:t>GB 12329  岩溶地质术语</w:t>
      </w:r>
    </w:p>
    <w:p w14:paraId="38F5C157">
      <w:pPr>
        <w:pStyle w:val="56"/>
        <w:ind w:firstLine="420"/>
      </w:pPr>
      <w:r>
        <w:rPr>
          <w:rFonts w:hint="eastAsia"/>
        </w:rPr>
        <w:t>GB/T 43217  岩溶洞穴基本术语</w:t>
      </w:r>
    </w:p>
    <w:p w14:paraId="7ECCBF69">
      <w:pPr>
        <w:pStyle w:val="56"/>
        <w:ind w:firstLine="420"/>
      </w:pPr>
      <w:r>
        <w:rPr>
          <w:rFonts w:hint="eastAsia"/>
        </w:rPr>
        <w:t>DZ/T 0295  土地质量地球化学评价规范</w:t>
      </w:r>
    </w:p>
    <w:p w14:paraId="77783699">
      <w:pPr>
        <w:pStyle w:val="56"/>
        <w:ind w:firstLine="420"/>
      </w:pPr>
      <w:r>
        <w:rPr>
          <w:rFonts w:hint="eastAsia"/>
        </w:rPr>
        <w:t>DZ/T 0296  地质环境遥感监测技术要求（1：250000）</w:t>
      </w:r>
    </w:p>
    <w:p w14:paraId="405914DD">
      <w:pPr>
        <w:pStyle w:val="56"/>
        <w:ind w:firstLine="420"/>
      </w:pPr>
      <w:r>
        <w:rPr>
          <w:rFonts w:hint="eastAsia"/>
        </w:rPr>
        <w:t>LY/T 1840  喀斯特地区植被恢复技术规程</w:t>
      </w:r>
    </w:p>
    <w:p w14:paraId="3DC5F502">
      <w:pPr>
        <w:pStyle w:val="56"/>
        <w:ind w:firstLine="420"/>
      </w:pPr>
      <w:r>
        <w:rPr>
          <w:rFonts w:hint="eastAsia"/>
        </w:rPr>
        <w:t>LY/T 2250  森林土壤调查技术规程</w:t>
      </w:r>
    </w:p>
    <w:p w14:paraId="655D06C0">
      <w:pPr>
        <w:pStyle w:val="56"/>
        <w:ind w:firstLine="420"/>
      </w:pPr>
      <w:r>
        <w:rPr>
          <w:rFonts w:hint="eastAsia"/>
        </w:rPr>
        <w:t>LY/T 2994  石漠化治理监测与评价规范</w:t>
      </w:r>
    </w:p>
    <w:p w14:paraId="7D21E764">
      <w:pPr>
        <w:pStyle w:val="56"/>
        <w:ind w:firstLine="420"/>
      </w:pPr>
      <w:r>
        <w:rPr>
          <w:rFonts w:hint="eastAsia"/>
        </w:rPr>
        <w:t>LY/T 3258  岩溶石漠生态系统定位观测技术规范</w:t>
      </w:r>
    </w:p>
    <w:p w14:paraId="3CD176CA">
      <w:pPr>
        <w:pStyle w:val="56"/>
        <w:ind w:firstLine="420"/>
      </w:pPr>
      <w:r>
        <w:rPr>
          <w:rFonts w:hint="eastAsia"/>
        </w:rPr>
        <w:t>SL/T 709  河湖生态保护与修复规划导则</w:t>
      </w:r>
    </w:p>
    <w:p w14:paraId="28C0E5D9">
      <w:pPr>
        <w:pStyle w:val="56"/>
        <w:ind w:firstLine="420"/>
      </w:pPr>
      <w:r>
        <w:rPr>
          <w:rFonts w:hint="eastAsia"/>
        </w:rPr>
        <w:t>SL 461  岩溶地区水土流失综合治理技术标准</w:t>
      </w:r>
    </w:p>
    <w:p w14:paraId="2E09EE52">
      <w:pPr>
        <w:pStyle w:val="56"/>
        <w:ind w:firstLine="420"/>
      </w:pPr>
      <w:r>
        <w:rPr>
          <w:rFonts w:hint="eastAsia"/>
        </w:rPr>
        <w:t>DB34/T 4383   市、县级国土空间生态修复规划编制指南</w:t>
      </w:r>
    </w:p>
    <w:p w14:paraId="246D7699">
      <w:pPr>
        <w:pStyle w:val="56"/>
        <w:ind w:firstLine="420"/>
      </w:pPr>
      <w:r>
        <w:rPr>
          <w:rFonts w:hint="eastAsia"/>
        </w:rPr>
        <w:t>DB41/T 1992  山水林田湖草生态保护修复规划技术规范</w:t>
      </w:r>
    </w:p>
    <w:p w14:paraId="572A87BD">
      <w:pPr>
        <w:pStyle w:val="56"/>
        <w:ind w:firstLine="420"/>
      </w:pPr>
      <w:r>
        <w:rPr>
          <w:rFonts w:hint="eastAsia"/>
        </w:rPr>
        <w:t>DB42/T 1261  岩溶区石漠化生态治理技术规程</w:t>
      </w:r>
    </w:p>
    <w:p w14:paraId="1CF601D7">
      <w:pPr>
        <w:pStyle w:val="56"/>
        <w:ind w:firstLine="420"/>
      </w:pPr>
      <w:r>
        <w:rPr>
          <w:rFonts w:hint="eastAsia"/>
        </w:rPr>
        <w:t>DB45/T 2055  岩溶地区栖息地恢复技术导则</w:t>
      </w:r>
    </w:p>
    <w:p w14:paraId="27D578AC">
      <w:pPr>
        <w:pStyle w:val="56"/>
        <w:ind w:firstLine="420"/>
      </w:pPr>
      <w:r>
        <w:rPr>
          <w:rFonts w:hint="eastAsia"/>
        </w:rPr>
        <w:t>DB50/T 674  岩溶峡谷石漠化区植被修复技术规程</w:t>
      </w:r>
    </w:p>
    <w:p w14:paraId="7C1EE1A9">
      <w:pPr>
        <w:pStyle w:val="104"/>
        <w:spacing w:before="240" w:after="240"/>
      </w:pPr>
      <w:bookmarkStart w:id="42" w:name="_Toc97192966"/>
      <w:r>
        <w:rPr>
          <w:rFonts w:hint="eastAsia"/>
          <w:szCs w:val="21"/>
        </w:rPr>
        <w:t>术语和定义</w:t>
      </w:r>
      <w:bookmarkEnd w:id="42"/>
    </w:p>
    <w:sdt>
      <w:sdtPr>
        <w:id w:val="-1909835108"/>
        <w:placeholder>
          <w:docPart w:val="A1547AC6BE014F3AA8BFF4C98E5A041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8ACD238">
          <w:pPr>
            <w:pStyle w:val="56"/>
            <w:ind w:firstLine="420"/>
          </w:pPr>
          <w:bookmarkStart w:id="43" w:name="_Toc26986532"/>
          <w:bookmarkEnd w:id="43"/>
          <w:r>
            <w:t>下列术语和定义适用于本文件。</w:t>
          </w:r>
        </w:p>
      </w:sdtContent>
    </w:sdt>
    <w:p w14:paraId="094A3A06">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岩溶  karst</w:t>
      </w:r>
    </w:p>
    <w:p w14:paraId="03920F0D">
      <w:pPr>
        <w:pStyle w:val="56"/>
        <w:ind w:firstLine="420"/>
      </w:pPr>
      <w:r>
        <w:rPr>
          <w:rFonts w:hint="eastAsia"/>
        </w:rPr>
        <w:t>即喀斯特，水对可溶岩进行的以化学溶蚀为主，物理侵蚀、搬运和沉积，生物作用和岩体重力崩塌作用为辅的地质作用，以及由此所产生的现象。</w:t>
      </w:r>
    </w:p>
    <w:p w14:paraId="542A87F4">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岩溶石漠化  karst rocky desertification</w:t>
      </w:r>
    </w:p>
    <w:p w14:paraId="0EF8BEE1">
      <w:pPr>
        <w:pStyle w:val="56"/>
        <w:ind w:firstLine="420"/>
      </w:pPr>
      <w:r>
        <w:rPr>
          <w:rFonts w:hint="eastAsia"/>
        </w:rPr>
        <w:t>岩溶石漠化是指在热带、亚热带湿润、半湿润气候条件和岩溶极其发育的自然背景下，受人为活动干扰，使地表植被遭受破坏，造成土壤严重侵蚀，基岩大面积裸露，土地退化的现象。</w:t>
      </w:r>
    </w:p>
    <w:p w14:paraId="1F53B696">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石漠化生态问题  e</w:t>
      </w:r>
      <w:r>
        <w:rPr>
          <w:rFonts w:ascii="黑体" w:hAnsi="黑体" w:eastAsia="黑体"/>
        </w:rPr>
        <w:t xml:space="preserve">cological </w:t>
      </w:r>
      <w:r>
        <w:rPr>
          <w:rFonts w:hint="eastAsia" w:ascii="黑体" w:hAnsi="黑体" w:eastAsia="黑体"/>
        </w:rPr>
        <w:t>issues</w:t>
      </w:r>
      <w:r>
        <w:rPr>
          <w:rFonts w:ascii="黑体" w:hAnsi="黑体" w:eastAsia="黑体"/>
        </w:rPr>
        <w:t xml:space="preserve"> of rocky desertification</w:t>
      </w:r>
      <w:r>
        <w:rPr>
          <w:rFonts w:hint="eastAsia" w:ascii="黑体" w:hAnsi="黑体" w:eastAsia="黑体"/>
        </w:rPr>
        <w:t xml:space="preserve">  </w:t>
      </w:r>
    </w:p>
    <w:p w14:paraId="1F4AF46A">
      <w:pPr>
        <w:pStyle w:val="56"/>
        <w:ind w:firstLine="420"/>
      </w:pPr>
      <w:r>
        <w:rPr>
          <w:rFonts w:hint="eastAsia"/>
        </w:rPr>
        <w:t>受石漠化影响而产生的生态环境改变或破坏。主要包括景观石质化、植被破坏、干旱、洪涝、土地资源丧失、生物多样性破坏等。</w:t>
      </w:r>
    </w:p>
    <w:p w14:paraId="3F4DCC3B">
      <w:pPr>
        <w:pStyle w:val="223"/>
        <w:ind w:left="420" w:hanging="420" w:hangingChars="200"/>
        <w:rPr>
          <w:rFonts w:ascii="黑体" w:hAnsi="黑体" w:eastAsia="黑体"/>
        </w:rPr>
      </w:pPr>
      <w:r>
        <w:rPr>
          <w:rFonts w:ascii="黑体" w:hAnsi="黑体" w:eastAsia="黑体"/>
        </w:rPr>
        <w:br w:type="textWrapping"/>
      </w:r>
      <w:bookmarkStart w:id="44" w:name="_Hlk167697999"/>
      <w:r>
        <w:rPr>
          <w:rFonts w:hint="eastAsia" w:ascii="黑体" w:hAnsi="黑体" w:eastAsia="黑体"/>
        </w:rPr>
        <w:t>石漠化生态修复</w:t>
      </w:r>
      <w:bookmarkEnd w:id="44"/>
      <w:r>
        <w:rPr>
          <w:rFonts w:hint="eastAsia" w:ascii="黑体" w:hAnsi="黑体" w:eastAsia="黑体"/>
        </w:rPr>
        <w:t xml:space="preserve">  e</w:t>
      </w:r>
      <w:r>
        <w:rPr>
          <w:rFonts w:ascii="黑体" w:hAnsi="黑体" w:eastAsia="黑体"/>
        </w:rPr>
        <w:t>cological restoration of rocky desertification</w:t>
      </w:r>
    </w:p>
    <w:p w14:paraId="06FA7A08">
      <w:pPr>
        <w:pStyle w:val="56"/>
        <w:ind w:firstLine="420"/>
      </w:pPr>
      <w:r>
        <w:rPr>
          <w:rFonts w:hint="eastAsia"/>
        </w:rPr>
        <w:t>依靠自然力量或通过人工干预等方法，对石漠化地区产生的生态问题进行修复、恢复或改善石漠生态系统，建立新的生态平衡的过程。</w:t>
      </w:r>
    </w:p>
    <w:p w14:paraId="29521E7E">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石漠化生态环境监测  rocky </w:t>
      </w:r>
      <w:r>
        <w:rPr>
          <w:rFonts w:ascii="黑体" w:hAnsi="黑体" w:eastAsia="黑体"/>
        </w:rPr>
        <w:t xml:space="preserve">desertification </w:t>
      </w:r>
      <w:r>
        <w:rPr>
          <w:rFonts w:hint="eastAsia" w:ascii="黑体" w:hAnsi="黑体" w:eastAsia="黑体"/>
        </w:rPr>
        <w:t>e</w:t>
      </w:r>
      <w:r>
        <w:rPr>
          <w:rFonts w:ascii="黑体" w:hAnsi="黑体" w:eastAsia="黑体"/>
        </w:rPr>
        <w:t xml:space="preserve">cological environment monitoring </w:t>
      </w:r>
    </w:p>
    <w:p w14:paraId="6114D89B">
      <w:pPr>
        <w:pStyle w:val="56"/>
        <w:ind w:firstLine="420"/>
      </w:pPr>
      <w:r>
        <w:rPr>
          <w:rFonts w:hint="eastAsia"/>
        </w:rPr>
        <w:t>对石漠化区生态环境要素与生态问题布设监测网点，观测其在时间和空间上的动态变化，及时掌握石漠化区生态环境状况，并预测其发展趋势的活动。</w:t>
      </w:r>
    </w:p>
    <w:p w14:paraId="0F61F91A">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生态功能分区  e</w:t>
      </w:r>
      <w:r>
        <w:rPr>
          <w:rFonts w:ascii="黑体" w:hAnsi="黑体" w:eastAsia="黑体"/>
        </w:rPr>
        <w:t>cological function zoning</w:t>
      </w:r>
    </w:p>
    <w:p w14:paraId="3B8D467D">
      <w:pPr>
        <w:pStyle w:val="56"/>
        <w:ind w:firstLine="420"/>
      </w:pPr>
      <w:r>
        <w:rPr>
          <w:rFonts w:hint="eastAsia"/>
        </w:rPr>
        <w:t>根据岩溶地区生态环境要素、生态环境敏感性与生态系统服务功能空间分异规律，确定不同地域单元的主要生态功能，将区域划分成不同生态功能区的过程。</w:t>
      </w:r>
    </w:p>
    <w:p w14:paraId="439370D0">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生态保护修复分区  e</w:t>
      </w:r>
      <w:r>
        <w:rPr>
          <w:rFonts w:ascii="黑体" w:hAnsi="黑体" w:eastAsia="黑体"/>
        </w:rPr>
        <w:t>cological protection and restoration zoning</w:t>
      </w:r>
    </w:p>
    <w:p w14:paraId="5A4FA259">
      <w:pPr>
        <w:pStyle w:val="56"/>
        <w:ind w:firstLine="420"/>
      </w:pPr>
      <w:r>
        <w:rPr>
          <w:rFonts w:hint="eastAsia"/>
        </w:rPr>
        <w:t>通过石漠化区生态环境现状调查，分析规划区内存在的生态环境问题，结合规划区生态功能类型，制定保护修复目标，划分保护修复区范围。</w:t>
      </w:r>
    </w:p>
    <w:p w14:paraId="4FD5FFB5">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石漠化生态保护修复工程  r</w:t>
      </w:r>
      <w:r>
        <w:rPr>
          <w:rFonts w:ascii="黑体" w:hAnsi="黑体" w:eastAsia="黑体"/>
        </w:rPr>
        <w:t xml:space="preserve">ocky desertification </w:t>
      </w:r>
      <w:r>
        <w:rPr>
          <w:rFonts w:hint="eastAsia" w:ascii="黑体" w:hAnsi="黑体" w:eastAsia="黑体"/>
        </w:rPr>
        <w:t>e</w:t>
      </w:r>
      <w:r>
        <w:rPr>
          <w:rFonts w:ascii="黑体" w:hAnsi="黑体" w:eastAsia="黑体"/>
        </w:rPr>
        <w:t xml:space="preserve">cological protection and restoration project </w:t>
      </w:r>
    </w:p>
    <w:p w14:paraId="1024B7B4">
      <w:pPr>
        <w:pStyle w:val="56"/>
        <w:ind w:firstLine="420"/>
      </w:pPr>
      <w:r>
        <w:rPr>
          <w:rFonts w:hint="eastAsia"/>
        </w:rPr>
        <w:t>按照山水林田湖草是生命共同体理念，依据国土空间总体规划以及国土空间生态保护修复规划等相关专项规划，在一定范围内，为提升石漠化区生态系统自我恢复能力，增强岩溶区生态系统稳定性，促进自然生态系统质量的整体改善和生态产品供应能力的全貌增强，遵循自然生态系统演替规律和内在机理，对受损、退化、服务下降的石漠化生态系统进行整体保护、系统修复、综合治理的过程和活动。</w:t>
      </w:r>
    </w:p>
    <w:p w14:paraId="2137FFA5">
      <w:pPr>
        <w:pStyle w:val="104"/>
        <w:spacing w:before="240" w:after="240"/>
      </w:pPr>
      <w:r>
        <w:rPr>
          <w:rFonts w:hint="eastAsia"/>
        </w:rPr>
        <w:t>总则</w:t>
      </w:r>
    </w:p>
    <w:p w14:paraId="4F2BB68A">
      <w:pPr>
        <w:pStyle w:val="105"/>
        <w:spacing w:before="120" w:after="120"/>
      </w:pPr>
      <w:r>
        <w:rPr>
          <w:rFonts w:hint="eastAsia"/>
        </w:rPr>
        <w:t>规划原则</w:t>
      </w:r>
    </w:p>
    <w:p w14:paraId="13479613">
      <w:pPr>
        <w:pStyle w:val="65"/>
        <w:spacing w:before="0" w:beforeLines="0" w:after="0" w:afterLines="0"/>
        <w:rPr>
          <w:rFonts w:ascii="宋体" w:hAnsi="宋体" w:eastAsia="宋体"/>
        </w:rPr>
      </w:pPr>
      <w:r>
        <w:rPr>
          <w:rFonts w:hint="eastAsia" w:ascii="宋体" w:hAnsi="宋体" w:eastAsia="宋体"/>
        </w:rPr>
        <w:t>生态效益优先原则，坚持节约优先、保护优先、自然恢复为主、人工修复为辅、人与自然和谐共生，充分利用生态优势保护生态环境，兼顾经济效益与社会效益。</w:t>
      </w:r>
    </w:p>
    <w:p w14:paraId="66029267">
      <w:pPr>
        <w:pStyle w:val="65"/>
        <w:spacing w:before="0" w:beforeLines="0" w:after="0" w:afterLines="0"/>
        <w:rPr>
          <w:rFonts w:ascii="宋体" w:hAnsi="宋体" w:eastAsia="宋体"/>
        </w:rPr>
      </w:pPr>
      <w:r>
        <w:rPr>
          <w:rFonts w:hint="eastAsia" w:ascii="宋体" w:hAnsi="宋体" w:eastAsia="宋体"/>
        </w:rPr>
        <w:t>因地制宜原则，充分考虑岩溶区地质地貌背景、水土条件等生态环境特点，以水土保持为核心，根据各地区的生态立地条件，因地制宜开展生态治理原则，集合整体生态空间格局，打造多元共生的生态系统。</w:t>
      </w:r>
    </w:p>
    <w:p w14:paraId="6FFD70A6">
      <w:pPr>
        <w:pStyle w:val="65"/>
        <w:spacing w:before="0" w:beforeLines="0" w:after="0" w:afterLines="0"/>
        <w:rPr>
          <w:rFonts w:ascii="宋体" w:hAnsi="宋体" w:eastAsia="宋体"/>
        </w:rPr>
      </w:pPr>
      <w:r>
        <w:rPr>
          <w:rFonts w:hint="eastAsia" w:ascii="宋体" w:hAnsi="宋体" w:eastAsia="宋体"/>
        </w:rPr>
        <w:t>统一布局原则，以国土空间规划为指导，综合考虑流域上下游的关系、区域间生态功能的互补作用，以及岩溶生态系统的完整性和系统性，统筹规划，突出重点。</w:t>
      </w:r>
    </w:p>
    <w:p w14:paraId="0AEBB0E7">
      <w:pPr>
        <w:pStyle w:val="65"/>
        <w:spacing w:before="0" w:beforeLines="0" w:after="0" w:afterLines="0"/>
        <w:rPr>
          <w:rFonts w:ascii="宋体" w:hAnsi="宋体" w:eastAsia="宋体"/>
        </w:rPr>
      </w:pPr>
      <w:r>
        <w:rPr>
          <w:rFonts w:hint="eastAsia" w:ascii="宋体" w:hAnsi="宋体" w:eastAsia="宋体"/>
        </w:rPr>
        <w:t>协调一致原则：石漠化生态修复保护规划应与当地国土空间总体规划、土地利用总体规划、环境保护规划、地质灾害防治规划、矿山地质环境保护规划等相协调。</w:t>
      </w:r>
    </w:p>
    <w:p w14:paraId="73C12310">
      <w:pPr>
        <w:pStyle w:val="105"/>
        <w:spacing w:before="120" w:after="120"/>
      </w:pPr>
      <w:r>
        <w:rPr>
          <w:rFonts w:hint="eastAsia"/>
        </w:rPr>
        <w:t>规划内容</w:t>
      </w:r>
    </w:p>
    <w:p w14:paraId="564C1D01">
      <w:pPr>
        <w:pStyle w:val="65"/>
        <w:spacing w:before="0" w:beforeLines="0" w:after="0" w:afterLines="0"/>
        <w:rPr>
          <w:rFonts w:ascii="宋体" w:hAnsi="宋体" w:eastAsia="宋体"/>
        </w:rPr>
      </w:pPr>
      <w:r>
        <w:rPr>
          <w:rFonts w:hint="eastAsia" w:ascii="宋体" w:hAnsi="宋体" w:eastAsia="宋体"/>
        </w:rPr>
        <w:t>生态环境条件：包括自然地理、社会经济、资源本底等。</w:t>
      </w:r>
    </w:p>
    <w:p w14:paraId="035870A5">
      <w:pPr>
        <w:pStyle w:val="65"/>
        <w:spacing w:before="0" w:beforeLines="0" w:after="0" w:afterLines="0"/>
        <w:rPr>
          <w:rFonts w:ascii="宋体" w:hAnsi="宋体" w:eastAsia="宋体"/>
        </w:rPr>
      </w:pPr>
      <w:r>
        <w:rPr>
          <w:rFonts w:hint="eastAsia" w:ascii="宋体" w:hAnsi="宋体" w:eastAsia="宋体"/>
        </w:rPr>
        <w:t>以往治理成效：总结已经开展的石漠化生态保护修复工作的主要方法措施及投资、效益情况等。</w:t>
      </w:r>
    </w:p>
    <w:p w14:paraId="03527F81">
      <w:pPr>
        <w:pStyle w:val="65"/>
        <w:spacing w:before="0" w:beforeLines="0" w:after="0" w:afterLines="0"/>
        <w:rPr>
          <w:rFonts w:ascii="宋体" w:hAnsi="宋体" w:eastAsia="宋体"/>
        </w:rPr>
      </w:pPr>
      <w:r>
        <w:rPr>
          <w:rFonts w:hint="eastAsia" w:ascii="宋体" w:hAnsi="宋体" w:eastAsia="宋体"/>
        </w:rPr>
        <w:t>石漠化产生的主要生态环境问题与评价：包括石漠化及水土流失的分布范围、面积、严重程度、产生原因、经济损失等，并对生态环境现状分析评价等。</w:t>
      </w:r>
    </w:p>
    <w:p w14:paraId="18CB3F05">
      <w:pPr>
        <w:pStyle w:val="65"/>
        <w:spacing w:before="0" w:beforeLines="0" w:after="0" w:afterLines="0"/>
        <w:rPr>
          <w:rFonts w:ascii="宋体" w:hAnsi="宋体" w:eastAsia="宋体"/>
        </w:rPr>
      </w:pPr>
      <w:r>
        <w:rPr>
          <w:rFonts w:hint="eastAsia" w:ascii="宋体" w:hAnsi="宋体" w:eastAsia="宋体"/>
        </w:rPr>
        <w:t>规划目标与任务：包括规划定位、规划目标、目标指标、规划任务等。</w:t>
      </w:r>
    </w:p>
    <w:p w14:paraId="5ADC061B">
      <w:pPr>
        <w:pStyle w:val="65"/>
        <w:spacing w:before="0" w:beforeLines="0" w:after="0" w:afterLines="0"/>
        <w:rPr>
          <w:rFonts w:ascii="宋体" w:hAnsi="宋体" w:eastAsia="宋体"/>
        </w:rPr>
      </w:pPr>
      <w:r>
        <w:rPr>
          <w:rFonts w:hint="eastAsia" w:ascii="宋体" w:hAnsi="宋体" w:eastAsia="宋体"/>
        </w:rPr>
        <w:t>总体布局：包括石漠化区生态功能分区、石漠化生态修复分区、工程部署和实施计划等。</w:t>
      </w:r>
    </w:p>
    <w:p w14:paraId="6C532678">
      <w:pPr>
        <w:pStyle w:val="65"/>
        <w:spacing w:before="0" w:beforeLines="0" w:after="0" w:afterLines="0"/>
        <w:rPr>
          <w:rFonts w:ascii="宋体" w:hAnsi="宋体" w:eastAsia="宋体"/>
        </w:rPr>
      </w:pPr>
      <w:r>
        <w:rPr>
          <w:rFonts w:hint="eastAsia" w:ascii="宋体" w:hAnsi="宋体" w:eastAsia="宋体"/>
        </w:rPr>
        <w:t>投资估算与资金筹措。</w:t>
      </w:r>
    </w:p>
    <w:p w14:paraId="28C5DE09">
      <w:pPr>
        <w:pStyle w:val="65"/>
        <w:spacing w:before="0" w:beforeLines="0" w:after="0" w:afterLines="0"/>
        <w:rPr>
          <w:rFonts w:ascii="宋体" w:hAnsi="宋体" w:eastAsia="宋体"/>
        </w:rPr>
      </w:pPr>
      <w:r>
        <w:rPr>
          <w:rFonts w:hint="eastAsia" w:ascii="宋体" w:hAnsi="宋体" w:eastAsia="宋体"/>
        </w:rPr>
        <w:t>效益评价与风险分析。</w:t>
      </w:r>
    </w:p>
    <w:p w14:paraId="2DFD2A2F">
      <w:pPr>
        <w:pStyle w:val="65"/>
        <w:spacing w:before="0" w:beforeLines="0" w:after="0" w:afterLines="0"/>
        <w:rPr>
          <w:rFonts w:ascii="宋体" w:hAnsi="宋体" w:eastAsia="宋体"/>
        </w:rPr>
      </w:pPr>
      <w:r>
        <w:rPr>
          <w:rFonts w:hint="eastAsia" w:ascii="宋体" w:hAnsi="宋体" w:eastAsia="宋体"/>
        </w:rPr>
        <w:t>组织与保障措施。</w:t>
      </w:r>
    </w:p>
    <w:p w14:paraId="1365640E">
      <w:pPr>
        <w:pStyle w:val="105"/>
        <w:spacing w:before="120" w:after="120"/>
      </w:pPr>
      <w:r>
        <w:rPr>
          <w:rFonts w:hint="eastAsia"/>
        </w:rPr>
        <w:t>规划范围</w:t>
      </w:r>
    </w:p>
    <w:p w14:paraId="7B6E6C76">
      <w:pPr>
        <w:pStyle w:val="56"/>
        <w:ind w:firstLine="420"/>
      </w:pPr>
      <w:r>
        <w:rPr>
          <w:rFonts w:hint="eastAsia"/>
        </w:rPr>
        <w:t>综合考虑岩溶区的系统性、生态功能的完整性，以江河湖流域、山体山脉等相对完整的自然地理单元为基础，结合行政区划，统一部署、同步设计、协同推进，科学合理确定生态保护修复实施范围和规模。</w:t>
      </w:r>
    </w:p>
    <w:p w14:paraId="62D53C33">
      <w:pPr>
        <w:pStyle w:val="105"/>
        <w:spacing w:before="120" w:after="120"/>
      </w:pPr>
      <w:r>
        <w:rPr>
          <w:rFonts w:hint="eastAsia"/>
        </w:rPr>
        <w:t>规划年限与分期要求</w:t>
      </w:r>
    </w:p>
    <w:p w14:paraId="32CD00A4">
      <w:pPr>
        <w:pStyle w:val="56"/>
        <w:ind w:firstLine="420"/>
      </w:pPr>
      <w:r>
        <w:rPr>
          <w:rFonts w:hint="eastAsia"/>
        </w:rPr>
        <w:t>应确定规划基准年和规划年限。近期规划宜为5年，长期规划宜为10年。其中近期规划应明确发展目标、工作重点、石漠化生态保护修复总体布局、建设内容，提出具体建设项目、规模、投资估算等。长期规划应提出石漠化生态保护修复的发展目标、工作重点、主要建设内容等。</w:t>
      </w:r>
    </w:p>
    <w:p w14:paraId="507B12A4">
      <w:pPr>
        <w:pStyle w:val="104"/>
        <w:spacing w:before="240" w:after="240"/>
      </w:pPr>
      <w:r>
        <w:rPr>
          <w:rFonts w:hint="eastAsia"/>
        </w:rPr>
        <w:t>规划编制程序</w:t>
      </w:r>
    </w:p>
    <w:p w14:paraId="56F60C05">
      <w:pPr>
        <w:pStyle w:val="105"/>
        <w:spacing w:before="0" w:beforeLines="0" w:after="0" w:afterLines="0"/>
        <w:rPr>
          <w:rFonts w:ascii="宋体" w:hAnsi="宋体" w:eastAsia="宋体"/>
        </w:rPr>
      </w:pPr>
      <w:r>
        <w:rPr>
          <w:rFonts w:hint="eastAsia" w:ascii="宋体" w:hAnsi="宋体" w:eastAsia="宋体"/>
        </w:rPr>
        <w:t>资料收集：收集与区域石漠化生态保护修复规划编制相关的区域自然地理、经济社会、生态环境、相关规划等资料。</w:t>
      </w:r>
    </w:p>
    <w:p w14:paraId="35F36F2A">
      <w:pPr>
        <w:pStyle w:val="105"/>
        <w:spacing w:before="0" w:beforeLines="0" w:after="0" w:afterLines="0"/>
        <w:rPr>
          <w:rFonts w:ascii="宋体" w:hAnsi="宋体" w:eastAsia="宋体"/>
        </w:rPr>
      </w:pPr>
      <w:r>
        <w:rPr>
          <w:rFonts w:hint="eastAsia" w:ascii="宋体" w:hAnsi="宋体" w:eastAsia="宋体"/>
        </w:rPr>
        <w:t>现状调查：通过野外调查与基础资料分析，识别石漠化空间分布，全面摸清石漠化区生态系统存在的主要问题和面临的突出矛盾、确定不同区域石漠化生态保护修复的需求。</w:t>
      </w:r>
    </w:p>
    <w:p w14:paraId="5DB0FEE2">
      <w:pPr>
        <w:pStyle w:val="105"/>
        <w:spacing w:before="0" w:beforeLines="0" w:after="0" w:afterLines="0"/>
        <w:rPr>
          <w:rFonts w:ascii="宋体" w:hAnsi="宋体" w:eastAsia="宋体"/>
        </w:rPr>
      </w:pPr>
      <w:r>
        <w:rPr>
          <w:rFonts w:hint="eastAsia" w:ascii="宋体" w:hAnsi="宋体" w:eastAsia="宋体"/>
        </w:rPr>
        <w:t>规划编写：规划承担单位组织编写规划文本，编绘必要的石漠化生态保护修复规划图件。</w:t>
      </w:r>
    </w:p>
    <w:p w14:paraId="1ACB1883">
      <w:pPr>
        <w:pStyle w:val="105"/>
        <w:spacing w:before="0" w:beforeLines="0" w:after="0" w:afterLines="0"/>
        <w:rPr>
          <w:rFonts w:ascii="宋体" w:hAnsi="宋体" w:eastAsia="宋体"/>
        </w:rPr>
      </w:pPr>
      <w:r>
        <w:rPr>
          <w:rFonts w:hint="eastAsia" w:ascii="宋体" w:hAnsi="宋体" w:eastAsia="宋体"/>
        </w:rPr>
        <w:t>送审与修改：规划承担单位向主管部门提交规划送审材料，包括规划文本、附图、附表以及必要的附件，进行征求意见与审查论证，并根据征求意见与审查论证意见进行规划文本修改，形成报批稿。</w:t>
      </w:r>
    </w:p>
    <w:p w14:paraId="6440C775">
      <w:pPr>
        <w:pStyle w:val="104"/>
        <w:spacing w:before="240" w:after="240"/>
      </w:pPr>
      <w:r>
        <w:rPr>
          <w:rFonts w:hint="eastAsia"/>
        </w:rPr>
        <w:t>现状调查</w:t>
      </w:r>
    </w:p>
    <w:p w14:paraId="64D906B8">
      <w:pPr>
        <w:pStyle w:val="105"/>
        <w:spacing w:before="120" w:after="120"/>
      </w:pPr>
      <w:r>
        <w:rPr>
          <w:rFonts w:hint="eastAsia"/>
        </w:rPr>
        <w:t>资料收集</w:t>
      </w:r>
    </w:p>
    <w:p w14:paraId="44CBDDB3">
      <w:pPr>
        <w:pStyle w:val="56"/>
        <w:ind w:firstLine="420"/>
      </w:pPr>
      <w:r>
        <w:rPr>
          <w:rFonts w:hint="eastAsia"/>
        </w:rPr>
        <w:t>收集岩溶区石漠化相关成果资料，以及国土调查、资源环境承载力和国土空间开发适宜性评价、相关规划等成果资料，相关部门已有石漠化调查、林业调查、生态功能区划、生态保护红线、生物多样性保护优先区、自然保护地等资料，以及相关科研机构、科学观测野外台站的成果，收集整理当地石漠化生态保护修复实践经验、相关领域科学专家和当地公众的意见和建议等。收集规划区域已开展的石漠化生态保护修复工作及效果，拟实施的生态保护修复工程（包括投资额、资金筹措方式）等资料。资料收集范围不应小于规划范围，时间上采用规划基准近3年资料。</w:t>
      </w:r>
    </w:p>
    <w:p w14:paraId="7E88E79E">
      <w:pPr>
        <w:pStyle w:val="105"/>
        <w:spacing w:before="120" w:after="120"/>
      </w:pPr>
      <w:r>
        <w:rPr>
          <w:rFonts w:hint="eastAsia"/>
        </w:rPr>
        <w:t>调查内容</w:t>
      </w:r>
    </w:p>
    <w:p w14:paraId="319CF6B2">
      <w:pPr>
        <w:pStyle w:val="65"/>
        <w:spacing w:before="120" w:after="120"/>
      </w:pPr>
      <w:r>
        <w:rPr>
          <w:rFonts w:hint="eastAsia"/>
        </w:rPr>
        <w:t>自然生态和社会经济状况调查</w:t>
      </w:r>
    </w:p>
    <w:p w14:paraId="6AF16961">
      <w:pPr>
        <w:pStyle w:val="56"/>
        <w:ind w:firstLine="420"/>
      </w:pPr>
      <w:r>
        <w:rPr>
          <w:rFonts w:hint="eastAsia"/>
        </w:rPr>
        <w:t>自然生态状况包括本地气候条件、地形地貌、地层岩性、水文特征、地质环境、土壤和水体理化性质、环境质量状况等；社会经济状况包括本地自然资源权属和利用状况、社会经济发展水平、导致石漠化的人类活动范围和强度、石漠化相关生态保护修复工程情况等。</w:t>
      </w:r>
    </w:p>
    <w:p w14:paraId="3D4204BF">
      <w:pPr>
        <w:pStyle w:val="65"/>
        <w:spacing w:before="120" w:after="120"/>
      </w:pPr>
      <w:r>
        <w:rPr>
          <w:rFonts w:hint="eastAsia"/>
        </w:rPr>
        <w:t>石漠化调查</w:t>
      </w:r>
    </w:p>
    <w:p w14:paraId="693B03FF">
      <w:pPr>
        <w:pStyle w:val="56"/>
        <w:ind w:firstLine="420"/>
      </w:pPr>
      <w:r>
        <w:rPr>
          <w:rFonts w:hint="eastAsia"/>
        </w:rPr>
        <w:t>在充分利用已有资料和遥感解译成果的基础上，开展石漠化地面调查，选择典型石漠化土地，现场调查石漠化土地面积、基岩裸露率、地层岩性、土壤类型、土层厚度、土壤分布、地形坡度、植被状况、土地利用现状等基本要素，以及水文地质条件、水土流失状况、石漠化成因及危害和石漠化治理现状及效果以典型线路调查为主。</w:t>
      </w:r>
    </w:p>
    <w:p w14:paraId="57C97F67">
      <w:pPr>
        <w:pStyle w:val="65"/>
        <w:spacing w:before="120" w:after="120"/>
      </w:pPr>
      <w:r>
        <w:rPr>
          <w:rFonts w:hint="eastAsia"/>
        </w:rPr>
        <w:t>土壤调查</w:t>
      </w:r>
    </w:p>
    <w:p w14:paraId="50FA9646">
      <w:pPr>
        <w:pStyle w:val="56"/>
        <w:ind w:firstLine="420"/>
      </w:pPr>
      <w:r>
        <w:rPr>
          <w:rFonts w:hint="eastAsia"/>
        </w:rPr>
        <w:t>土壤调查的目的是查明工作区土壤养分分布状况及土壤中各种元素的地球化学背景值，为调查区石漠化成因机制、植被生长状况、植被恢复潜力提供土壤基础数据。土壤调查可参照林业行标LY/T 2250。</w:t>
      </w:r>
    </w:p>
    <w:p w14:paraId="1B32CB47">
      <w:pPr>
        <w:pStyle w:val="65"/>
        <w:spacing w:before="120" w:after="120"/>
      </w:pPr>
      <w:r>
        <w:rPr>
          <w:rFonts w:hint="eastAsia"/>
        </w:rPr>
        <w:t>植物调查</w:t>
      </w:r>
    </w:p>
    <w:p w14:paraId="58842AC9">
      <w:pPr>
        <w:pStyle w:val="56"/>
        <w:ind w:firstLine="420"/>
      </w:pPr>
      <w:r>
        <w:rPr>
          <w:rFonts w:hint="eastAsia"/>
        </w:rPr>
        <w:t>依据调查区地形地貌特征、气候带、地层岩性、构造等地质环境差异，开展区域典型植物样地调查，通过调查植被的种群结构、盖度，计算生物量，从而查明石漠化区不同地质背景的适生物种和外来入侵物种。</w:t>
      </w:r>
    </w:p>
    <w:p w14:paraId="4E670C79">
      <w:pPr>
        <w:pStyle w:val="105"/>
        <w:spacing w:before="120" w:after="120"/>
      </w:pPr>
      <w:r>
        <w:rPr>
          <w:rFonts w:hint="eastAsia"/>
        </w:rPr>
        <w:t>现状评价</w:t>
      </w:r>
    </w:p>
    <w:p w14:paraId="3C45DC45">
      <w:pPr>
        <w:pStyle w:val="56"/>
        <w:ind w:firstLine="420"/>
      </w:pPr>
      <w:r>
        <w:rPr>
          <w:rFonts w:hint="eastAsia"/>
        </w:rPr>
        <w:t>在充分研究以往资料和现状基础上开展石漠化现状评价，聚焦生态系统完整性和联通性，重点从植被、土壤、水体、生物多样性、生物入侵等方面，对需要修复的生态系统受损类型、退化程度、恢复力进行评价。</w:t>
      </w:r>
    </w:p>
    <w:p w14:paraId="0D561AD2">
      <w:pPr>
        <w:pStyle w:val="104"/>
        <w:spacing w:before="240" w:after="240"/>
      </w:pPr>
      <w:r>
        <w:rPr>
          <w:rFonts w:hint="eastAsia"/>
        </w:rPr>
        <w:t>规划定位与目标任务</w:t>
      </w:r>
    </w:p>
    <w:p w14:paraId="08EB6C09">
      <w:pPr>
        <w:pStyle w:val="105"/>
        <w:spacing w:before="120" w:after="120"/>
      </w:pPr>
      <w:r>
        <w:rPr>
          <w:rFonts w:hint="eastAsia"/>
        </w:rPr>
        <w:t>规划定位</w:t>
      </w:r>
    </w:p>
    <w:p w14:paraId="7CC2DD7B">
      <w:pPr>
        <w:pStyle w:val="56"/>
        <w:ind w:firstLine="420"/>
        <w:rPr>
          <w:rFonts w:hint="eastAsia"/>
        </w:rPr>
      </w:pPr>
      <w:r>
        <w:rPr>
          <w:rFonts w:hint="eastAsia"/>
        </w:rPr>
        <w:t>石漠化生态保护修复规划定位应依据自然条件、地质地貌特征、石漠化程度、石漠化导致的区域生态地质问题、土壤和植物资源条件等因素综合确定；主要目标任务应聚焦石漠化生态保护与修复的方向、效果以及分区保护修复规划</w:t>
      </w:r>
    </w:p>
    <w:p w14:paraId="1FF9DAFA">
      <w:pPr>
        <w:pStyle w:val="105"/>
        <w:spacing w:before="120" w:after="120"/>
      </w:pPr>
      <w:r>
        <w:rPr>
          <w:rFonts w:hint="eastAsia"/>
        </w:rPr>
        <w:t>规划目标</w:t>
      </w:r>
    </w:p>
    <w:p w14:paraId="5D3915C0">
      <w:pPr>
        <w:pStyle w:val="56"/>
        <w:ind w:firstLine="420"/>
      </w:pPr>
      <w:r>
        <w:rPr>
          <w:rFonts w:hint="eastAsia"/>
        </w:rPr>
        <w:t>石漠化生态保护修复规划应明确其方向与需求，应结合规划区自然、经济社会条件，在现状调查的基础上，进行整体保护、系统修复和综合治理的思路，实现区域生态系统的稳定性和生态环境质量显著改善，形成人与自然和谐可持续发展的生态安全格局。</w:t>
      </w:r>
    </w:p>
    <w:p w14:paraId="20D8D59E">
      <w:pPr>
        <w:pStyle w:val="105"/>
        <w:spacing w:before="120" w:after="120"/>
      </w:pPr>
      <w:r>
        <w:rPr>
          <w:rFonts w:hint="eastAsia"/>
        </w:rPr>
        <w:t>规划任务</w:t>
      </w:r>
    </w:p>
    <w:p w14:paraId="5F3C015D">
      <w:pPr>
        <w:pStyle w:val="65"/>
        <w:spacing w:before="0" w:beforeLines="0" w:after="0" w:afterLines="0"/>
        <w:rPr>
          <w:rFonts w:ascii="宋体" w:hAnsi="宋体" w:eastAsia="宋体"/>
        </w:rPr>
      </w:pPr>
      <w:r>
        <w:rPr>
          <w:rFonts w:hint="eastAsia" w:ascii="宋体" w:hAnsi="宋体" w:eastAsia="宋体"/>
        </w:rPr>
        <w:t>石漠化生态保护与修复规划方法。应结合生态系统敏感性、脆弱性和生态系统服务功能重要性，明确重要生态系统识别结果，判定不同类型生态系统的生态功能定位。根据不同区域的主要主导生态系统类型，确定其主要生态保护修复需求，按照省、市、县域、乡镇行政边界及流域边界进行生态保护修复分区，明确规划目标及指标。</w:t>
      </w:r>
    </w:p>
    <w:p w14:paraId="5C1F237E">
      <w:pPr>
        <w:pStyle w:val="65"/>
        <w:spacing w:before="0" w:beforeLines="0" w:after="0" w:afterLines="0"/>
        <w:rPr>
          <w:rFonts w:ascii="宋体" w:hAnsi="宋体" w:eastAsia="宋体"/>
        </w:rPr>
      </w:pPr>
      <w:r>
        <w:rPr>
          <w:rFonts w:hint="eastAsia" w:ascii="宋体" w:hAnsi="宋体" w:eastAsia="宋体"/>
        </w:rPr>
        <w:t>石漠化生态保护修复分区应以国土空间规划为指导，综合考虑岩溶生态系统的连续性和完整性，依据生态系统的空间分布规律及石漠化生态保护修复要求，全面开展森林、草地生态环境保护修复、土地综合整治、生物多样性保护及石漠化区生态系统保护修复等方面工作，科学划分石漠化生态保护修复区。</w:t>
      </w:r>
    </w:p>
    <w:p w14:paraId="48A0EC20">
      <w:pPr>
        <w:pStyle w:val="65"/>
        <w:spacing w:before="0" w:beforeLines="0" w:after="0" w:afterLines="0"/>
        <w:rPr>
          <w:rFonts w:ascii="宋体" w:hAnsi="宋体" w:eastAsia="宋体"/>
        </w:rPr>
      </w:pPr>
      <w:r>
        <w:rPr>
          <w:rFonts w:hint="eastAsia" w:ascii="宋体" w:hAnsi="宋体" w:eastAsia="宋体"/>
        </w:rPr>
        <w:t>石漠化生态保护修复措施。应生物措施与工程措施相结合进行。生物措施包括封山育林、人工造林、森林改造、草地培植、入侵植物修复、生态产业培育等；工程措施包括岩溶水开发、土地综合整治、土壤改良、水土保持、自然保护地建设等。</w:t>
      </w:r>
    </w:p>
    <w:p w14:paraId="202B80C7">
      <w:pPr>
        <w:pStyle w:val="104"/>
        <w:spacing w:before="240" w:after="240"/>
      </w:pPr>
      <w:r>
        <w:rPr>
          <w:rFonts w:hint="eastAsia"/>
        </w:rPr>
        <w:t>投资估算及效益分析</w:t>
      </w:r>
    </w:p>
    <w:p w14:paraId="1DFF21CE">
      <w:pPr>
        <w:pStyle w:val="56"/>
        <w:ind w:firstLine="420"/>
      </w:pPr>
      <w:r>
        <w:rPr>
          <w:rFonts w:hint="eastAsia"/>
        </w:rPr>
        <w:t>石漠化生态保护修复投资估算，应根据国家或《广西地质灾害防治工程预算标准》等相关概（预）算编制的规划和要求，依据相关取费标准和规划设计的任务量，分项目、分性质进行投资估算。</w:t>
      </w:r>
    </w:p>
    <w:p w14:paraId="0FE8D325">
      <w:pPr>
        <w:pStyle w:val="104"/>
        <w:spacing w:before="240" w:after="240"/>
      </w:pPr>
      <w:r>
        <w:rPr>
          <w:rFonts w:hint="eastAsia"/>
        </w:rPr>
        <w:t>规划成果</w:t>
      </w:r>
    </w:p>
    <w:p w14:paraId="5F1718B9">
      <w:pPr>
        <w:pStyle w:val="105"/>
        <w:spacing w:before="0" w:beforeLines="0" w:after="0" w:afterLines="0"/>
        <w:rPr>
          <w:rFonts w:ascii="宋体" w:hAnsi="宋体" w:eastAsia="宋体"/>
        </w:rPr>
      </w:pPr>
      <w:r>
        <w:rPr>
          <w:rFonts w:hint="eastAsia" w:ascii="宋体" w:hAnsi="宋体" w:eastAsia="宋体"/>
        </w:rPr>
        <w:t>规划文本，文本提纲见附录A。</w:t>
      </w:r>
    </w:p>
    <w:p w14:paraId="02B72341">
      <w:pPr>
        <w:pStyle w:val="105"/>
        <w:spacing w:before="0" w:beforeLines="0" w:after="0" w:afterLines="0"/>
        <w:rPr>
          <w:rFonts w:ascii="宋体" w:hAnsi="宋体" w:eastAsia="宋体"/>
        </w:rPr>
      </w:pPr>
      <w:r>
        <w:rPr>
          <w:rFonts w:hint="eastAsia" w:ascii="宋体" w:hAnsi="宋体" w:eastAsia="宋体"/>
        </w:rPr>
        <w:t>规划附图，见附录B。</w:t>
      </w:r>
    </w:p>
    <w:p w14:paraId="7F5504FE">
      <w:pPr>
        <w:pStyle w:val="105"/>
        <w:spacing w:before="0" w:beforeLines="0" w:after="0" w:afterLines="0"/>
        <w:rPr>
          <w:rFonts w:ascii="宋体" w:hAnsi="宋体" w:eastAsia="宋体"/>
        </w:rPr>
      </w:pPr>
      <w:r>
        <w:rPr>
          <w:rFonts w:hint="eastAsia" w:ascii="宋体" w:hAnsi="宋体" w:eastAsia="宋体"/>
        </w:rPr>
        <w:t>规划附表：主要包括生态环境问题现状调查表、生态保护修复工程表，其中生态保护工程表见附录C。</w:t>
      </w:r>
    </w:p>
    <w:p w14:paraId="218FC740">
      <w:pPr>
        <w:pStyle w:val="105"/>
        <w:spacing w:before="0" w:beforeLines="0" w:after="0" w:afterLines="0"/>
        <w:rPr>
          <w:rFonts w:ascii="宋体" w:hAnsi="宋体" w:eastAsia="宋体"/>
        </w:rPr>
      </w:pPr>
      <w:r>
        <w:rPr>
          <w:rFonts w:hint="eastAsia" w:ascii="宋体" w:hAnsi="宋体" w:eastAsia="宋体"/>
        </w:rPr>
        <w:t>规划附件，主要包括专题研究报告等。</w:t>
      </w:r>
    </w:p>
    <w:p w14:paraId="6DB47B33">
      <w:pPr>
        <w:pStyle w:val="105"/>
        <w:spacing w:before="0" w:beforeLines="0" w:after="0" w:afterLines="0"/>
        <w:rPr>
          <w:rFonts w:ascii="宋体" w:hAnsi="宋体" w:eastAsia="宋体"/>
        </w:rPr>
      </w:pPr>
      <w:r>
        <w:rPr>
          <w:rFonts w:hint="eastAsia" w:ascii="宋体" w:hAnsi="宋体" w:eastAsia="宋体"/>
        </w:rPr>
        <w:t>规划成果数据库，见附录D。</w:t>
      </w:r>
    </w:p>
    <w:p w14:paraId="74170002">
      <w:pPr>
        <w:pStyle w:val="56"/>
        <w:ind w:firstLine="420"/>
        <w:sectPr>
          <w:pgSz w:w="11906" w:h="16838"/>
          <w:pgMar w:top="1928" w:right="1134" w:bottom="1134" w:left="1134" w:header="1418" w:footer="1134" w:gutter="284"/>
          <w:pgBorders>
            <w:top w:val="none" w:sz="0" w:space="0"/>
            <w:left w:val="none" w:sz="0" w:space="0"/>
            <w:bottom w:val="none" w:sz="0" w:space="0"/>
            <w:right w:val="none" w:sz="0" w:space="0"/>
          </w:pgBorders>
          <w:pgNumType w:start="1"/>
          <w:cols w:space="425" w:num="1"/>
          <w:formProt w:val="0"/>
          <w:docGrid w:linePitch="312" w:charSpace="0"/>
        </w:sectPr>
      </w:pPr>
    </w:p>
    <w:bookmarkEnd w:id="22"/>
    <w:p w14:paraId="4DEC47DF">
      <w:pPr>
        <w:pStyle w:val="198"/>
        <w:rPr>
          <w:vanish w:val="0"/>
        </w:rPr>
      </w:pPr>
      <w:bookmarkStart w:id="45" w:name="BookMark5"/>
    </w:p>
    <w:p w14:paraId="1BC913EF">
      <w:pPr>
        <w:pStyle w:val="199"/>
        <w:rPr>
          <w:vanish w:val="0"/>
        </w:rPr>
      </w:pPr>
    </w:p>
    <w:p w14:paraId="56F54A78">
      <w:pPr>
        <w:pStyle w:val="76"/>
        <w:spacing w:after="120"/>
      </w:pPr>
      <w:r>
        <w:br w:type="textWrapping"/>
      </w:r>
      <w:r>
        <w:rPr>
          <w:rFonts w:hint="eastAsia"/>
        </w:rPr>
        <w:t>（资料性）</w:t>
      </w:r>
      <w:r>
        <w:br w:type="textWrapping"/>
      </w:r>
      <w:bookmarkStart w:id="46" w:name="_Hlk167714544"/>
      <w:r>
        <w:rPr>
          <w:rFonts w:hint="eastAsia"/>
        </w:rPr>
        <w:t>岩溶石漠化生态保护修复规划文本</w:t>
      </w:r>
      <w:bookmarkEnd w:id="46"/>
      <w:r>
        <w:rPr>
          <w:rFonts w:hint="eastAsia"/>
        </w:rPr>
        <w:t>提纲</w:t>
      </w:r>
    </w:p>
    <w:p w14:paraId="30940DCF">
      <w:pPr>
        <w:pStyle w:val="56"/>
        <w:ind w:firstLine="420"/>
        <w:rPr>
          <w:rFonts w:hint="eastAsia"/>
        </w:rPr>
      </w:pPr>
      <w:r>
        <w:rPr>
          <w:rFonts w:hint="eastAsia"/>
        </w:rPr>
        <w:t>岩溶石漠化生态保护修复规划文本提纲参见图A.1。</w:t>
      </w:r>
    </w:p>
    <w:p w14:paraId="66B0297C">
      <w:pPr>
        <w:pStyle w:val="78"/>
        <w:pBdr>
          <w:top w:val="single" w:color="auto" w:sz="4" w:space="1"/>
          <w:left w:val="single" w:color="auto" w:sz="4" w:space="4"/>
          <w:bottom w:val="single" w:color="auto" w:sz="4" w:space="1"/>
          <w:right w:val="single" w:color="auto" w:sz="4" w:space="4"/>
          <w:between w:val="none" w:color="auto" w:sz="0" w:space="0"/>
        </w:pBdr>
        <w:spacing w:before="120" w:after="120"/>
        <w:ind w:left="0" w:leftChars="0"/>
        <w:jc w:val="both"/>
      </w:pPr>
      <w:r>
        <w:rPr>
          <w:rFonts w:hint="eastAsia"/>
        </w:rPr>
        <w:t>前言</w:t>
      </w:r>
    </w:p>
    <w:p w14:paraId="407CFF80">
      <w:pPr>
        <w:pStyle w:val="56"/>
        <w:pBdr>
          <w:top w:val="single" w:color="auto" w:sz="4" w:space="1"/>
          <w:left w:val="single" w:color="auto" w:sz="4" w:space="4"/>
          <w:bottom w:val="single" w:color="auto" w:sz="4" w:space="1"/>
          <w:right w:val="single" w:color="auto" w:sz="4" w:space="4"/>
          <w:between w:val="none" w:color="auto" w:sz="0" w:space="0"/>
        </w:pBdr>
        <w:ind w:left="0" w:leftChars="0" w:firstLine="420"/>
        <w:jc w:val="both"/>
      </w:pPr>
      <w:r>
        <w:rPr>
          <w:rFonts w:hint="eastAsia"/>
        </w:rPr>
        <w:t>包括规划背景、目的、意义等。</w:t>
      </w:r>
    </w:p>
    <w:p w14:paraId="14D3A68B">
      <w:pPr>
        <w:pStyle w:val="78"/>
        <w:pBdr>
          <w:top w:val="single" w:color="auto" w:sz="4" w:space="1"/>
          <w:left w:val="single" w:color="auto" w:sz="4" w:space="4"/>
          <w:bottom w:val="single" w:color="auto" w:sz="4" w:space="1"/>
          <w:right w:val="single" w:color="auto" w:sz="4" w:space="4"/>
          <w:between w:val="none" w:color="auto" w:sz="0" w:space="0"/>
        </w:pBdr>
        <w:spacing w:before="120" w:after="120"/>
        <w:ind w:left="0" w:leftChars="0"/>
        <w:jc w:val="both"/>
      </w:pPr>
      <w:r>
        <w:rPr>
          <w:rFonts w:hint="eastAsia"/>
        </w:rPr>
        <w:t>规划总责</w:t>
      </w:r>
    </w:p>
    <w:p w14:paraId="03C2B94F">
      <w:pPr>
        <w:pStyle w:val="56"/>
        <w:pBdr>
          <w:top w:val="single" w:color="auto" w:sz="4" w:space="1"/>
          <w:left w:val="single" w:color="auto" w:sz="4" w:space="4"/>
          <w:bottom w:val="single" w:color="auto" w:sz="4" w:space="1"/>
          <w:right w:val="single" w:color="auto" w:sz="4" w:space="4"/>
          <w:between w:val="none" w:color="auto" w:sz="0" w:space="0"/>
        </w:pBdr>
        <w:ind w:left="0" w:leftChars="0" w:firstLine="420"/>
        <w:jc w:val="both"/>
      </w:pPr>
      <w:r>
        <w:rPr>
          <w:rFonts w:hint="eastAsia"/>
        </w:rPr>
        <w:t>包括指导思想、规划原则、规划依据、规划范围和实施年限等。</w:t>
      </w:r>
    </w:p>
    <w:p w14:paraId="4FF0A2B8">
      <w:pPr>
        <w:pStyle w:val="78"/>
        <w:pBdr>
          <w:top w:val="single" w:color="auto" w:sz="4" w:space="1"/>
          <w:left w:val="single" w:color="auto" w:sz="4" w:space="4"/>
          <w:bottom w:val="single" w:color="auto" w:sz="4" w:space="1"/>
          <w:right w:val="single" w:color="auto" w:sz="4" w:space="4"/>
          <w:between w:val="none" w:color="auto" w:sz="0" w:space="0"/>
        </w:pBdr>
        <w:spacing w:before="120" w:after="120"/>
        <w:ind w:left="0" w:leftChars="0"/>
        <w:jc w:val="both"/>
      </w:pPr>
      <w:r>
        <w:rPr>
          <w:rFonts w:hint="eastAsia"/>
        </w:rPr>
        <w:t>生态环境条件</w:t>
      </w:r>
    </w:p>
    <w:p w14:paraId="700F6E7A">
      <w:pPr>
        <w:pStyle w:val="56"/>
        <w:pBdr>
          <w:top w:val="single" w:color="auto" w:sz="4" w:space="1"/>
          <w:left w:val="single" w:color="auto" w:sz="4" w:space="4"/>
          <w:bottom w:val="single" w:color="auto" w:sz="4" w:space="1"/>
          <w:right w:val="single" w:color="auto" w:sz="4" w:space="4"/>
          <w:between w:val="none" w:color="auto" w:sz="0" w:space="0"/>
        </w:pBdr>
        <w:ind w:left="0" w:leftChars="0" w:firstLine="420"/>
        <w:jc w:val="both"/>
      </w:pPr>
      <w:r>
        <w:rPr>
          <w:rFonts w:hint="eastAsia"/>
        </w:rPr>
        <w:t>包括自然地理条件、地质地貌概况、资源本底、生态红线、区域生态功能定位等。</w:t>
      </w:r>
    </w:p>
    <w:p w14:paraId="487C1F29">
      <w:pPr>
        <w:pStyle w:val="78"/>
        <w:pBdr>
          <w:top w:val="single" w:color="auto" w:sz="4" w:space="1"/>
          <w:left w:val="single" w:color="auto" w:sz="4" w:space="4"/>
          <w:bottom w:val="single" w:color="auto" w:sz="4" w:space="1"/>
          <w:right w:val="single" w:color="auto" w:sz="4" w:space="4"/>
          <w:between w:val="none" w:color="auto" w:sz="0" w:space="0"/>
        </w:pBdr>
        <w:spacing w:before="120" w:after="120"/>
        <w:ind w:left="0" w:leftChars="0"/>
        <w:jc w:val="both"/>
      </w:pPr>
      <w:r>
        <w:rPr>
          <w:rFonts w:hint="eastAsia"/>
        </w:rPr>
        <w:t>以往工作成效</w:t>
      </w:r>
    </w:p>
    <w:p w14:paraId="0BA82569">
      <w:pPr>
        <w:pStyle w:val="56"/>
        <w:pBdr>
          <w:top w:val="single" w:color="auto" w:sz="4" w:space="1"/>
          <w:left w:val="single" w:color="auto" w:sz="4" w:space="4"/>
          <w:bottom w:val="single" w:color="auto" w:sz="4" w:space="1"/>
          <w:right w:val="single" w:color="auto" w:sz="4" w:space="4"/>
          <w:between w:val="none" w:color="auto" w:sz="0" w:space="0"/>
        </w:pBdr>
        <w:ind w:left="0" w:leftChars="0" w:firstLine="420"/>
        <w:jc w:val="both"/>
      </w:pPr>
      <w:r>
        <w:rPr>
          <w:rFonts w:hint="eastAsia"/>
        </w:rPr>
        <w:t>总结在西南岩溶地区已经开展的石漠化、水土保持治理等生态保护修复工作的主要方法及投资、效益情况。</w:t>
      </w:r>
    </w:p>
    <w:p w14:paraId="66BFE4AE">
      <w:pPr>
        <w:pStyle w:val="78"/>
        <w:pBdr>
          <w:top w:val="single" w:color="auto" w:sz="4" w:space="1"/>
          <w:left w:val="single" w:color="auto" w:sz="4" w:space="4"/>
          <w:bottom w:val="single" w:color="auto" w:sz="4" w:space="1"/>
          <w:right w:val="single" w:color="auto" w:sz="4" w:space="4"/>
          <w:between w:val="none" w:color="auto" w:sz="0" w:space="0"/>
        </w:pBdr>
        <w:spacing w:before="120" w:after="120"/>
        <w:ind w:left="0" w:leftChars="0"/>
        <w:jc w:val="both"/>
      </w:pPr>
      <w:r>
        <w:rPr>
          <w:rFonts w:hint="eastAsia"/>
        </w:rPr>
        <w:t>主要生态环境问题与评价</w:t>
      </w:r>
    </w:p>
    <w:p w14:paraId="78251134">
      <w:pPr>
        <w:pStyle w:val="56"/>
        <w:pBdr>
          <w:top w:val="single" w:color="auto" w:sz="4" w:space="1"/>
          <w:left w:val="single" w:color="auto" w:sz="4" w:space="4"/>
          <w:bottom w:val="single" w:color="auto" w:sz="4" w:space="1"/>
          <w:right w:val="single" w:color="auto" w:sz="4" w:space="4"/>
          <w:between w:val="none" w:color="auto" w:sz="0" w:space="0"/>
        </w:pBdr>
        <w:ind w:left="0" w:leftChars="0" w:firstLine="420"/>
        <w:jc w:val="both"/>
      </w:pPr>
      <w:r>
        <w:rPr>
          <w:rFonts w:hint="eastAsia"/>
        </w:rPr>
        <w:t>包括西南地区生态环境问题的类型及其分布范围、面积、危害程度、产生原因、经济损失等，并对岩溶地区生态环境问题现状进行分析评价。</w:t>
      </w:r>
    </w:p>
    <w:p w14:paraId="3E453D65">
      <w:pPr>
        <w:pStyle w:val="78"/>
        <w:pBdr>
          <w:top w:val="single" w:color="auto" w:sz="4" w:space="1"/>
          <w:left w:val="single" w:color="auto" w:sz="4" w:space="4"/>
          <w:bottom w:val="single" w:color="auto" w:sz="4" w:space="1"/>
          <w:right w:val="single" w:color="auto" w:sz="4" w:space="4"/>
          <w:between w:val="none" w:color="auto" w:sz="0" w:space="0"/>
        </w:pBdr>
        <w:spacing w:before="120" w:after="120"/>
        <w:ind w:left="0" w:leftChars="0"/>
        <w:jc w:val="both"/>
      </w:pPr>
      <w:r>
        <w:rPr>
          <w:rFonts w:hint="eastAsia"/>
        </w:rPr>
        <w:t>规划目标与任务</w:t>
      </w:r>
    </w:p>
    <w:p w14:paraId="5E90F18C">
      <w:pPr>
        <w:pStyle w:val="56"/>
        <w:pBdr>
          <w:top w:val="single" w:color="auto" w:sz="4" w:space="1"/>
          <w:left w:val="single" w:color="auto" w:sz="4" w:space="4"/>
          <w:bottom w:val="single" w:color="auto" w:sz="4" w:space="1"/>
          <w:right w:val="single" w:color="auto" w:sz="4" w:space="4"/>
          <w:between w:val="none" w:color="auto" w:sz="0" w:space="0"/>
        </w:pBdr>
        <w:ind w:left="0" w:leftChars="0" w:firstLine="420"/>
        <w:jc w:val="both"/>
      </w:pPr>
      <w:r>
        <w:rPr>
          <w:rFonts w:hint="eastAsia"/>
        </w:rPr>
        <w:t>对规划区域开展生态地质本底调查，科学识别岩溶地区石漠化、水土流失、旱涝等生态环境问题，简述围绕提升区域主导生态系统服务，降低生态胁迫影响、优化生态安全格局、提升生态系统质量和稳定性等方面提出保护修复总目标与任务。</w:t>
      </w:r>
    </w:p>
    <w:p w14:paraId="49CED24A">
      <w:pPr>
        <w:pStyle w:val="78"/>
        <w:pBdr>
          <w:top w:val="single" w:color="auto" w:sz="4" w:space="1"/>
          <w:left w:val="single" w:color="auto" w:sz="4" w:space="4"/>
          <w:bottom w:val="single" w:color="auto" w:sz="4" w:space="1"/>
          <w:right w:val="single" w:color="auto" w:sz="4" w:space="4"/>
          <w:between w:val="none" w:color="auto" w:sz="0" w:space="0"/>
        </w:pBdr>
        <w:spacing w:before="120" w:after="120"/>
        <w:ind w:left="0" w:leftChars="0"/>
        <w:jc w:val="both"/>
      </w:pPr>
      <w:r>
        <w:rPr>
          <w:rFonts w:hint="eastAsia"/>
        </w:rPr>
        <w:t>总体布局</w:t>
      </w:r>
    </w:p>
    <w:p w14:paraId="73D91637">
      <w:pPr>
        <w:pStyle w:val="56"/>
        <w:pBdr>
          <w:top w:val="single" w:color="auto" w:sz="4" w:space="1"/>
          <w:left w:val="single" w:color="auto" w:sz="4" w:space="4"/>
          <w:bottom w:val="single" w:color="auto" w:sz="4" w:space="1"/>
          <w:right w:val="single" w:color="auto" w:sz="4" w:space="4"/>
          <w:between w:val="none" w:color="auto" w:sz="0" w:space="0"/>
        </w:pBdr>
        <w:ind w:left="0" w:leftChars="0" w:firstLine="420"/>
        <w:jc w:val="both"/>
      </w:pPr>
      <w:r>
        <w:rPr>
          <w:rFonts w:hint="eastAsia"/>
        </w:rPr>
        <w:t>包括岩溶地区生态功能分区、生态保护修复分区、工程部署、实施计划等。</w:t>
      </w:r>
    </w:p>
    <w:p w14:paraId="1F39F0DC">
      <w:pPr>
        <w:pStyle w:val="78"/>
        <w:pBdr>
          <w:top w:val="single" w:color="auto" w:sz="4" w:space="1"/>
          <w:left w:val="single" w:color="auto" w:sz="4" w:space="4"/>
          <w:bottom w:val="single" w:color="auto" w:sz="4" w:space="1"/>
          <w:right w:val="single" w:color="auto" w:sz="4" w:space="4"/>
          <w:between w:val="none" w:color="auto" w:sz="0" w:space="0"/>
        </w:pBdr>
        <w:spacing w:before="120" w:after="120"/>
        <w:ind w:left="0" w:leftChars="0"/>
        <w:jc w:val="both"/>
      </w:pPr>
      <w:r>
        <w:rPr>
          <w:rFonts w:hint="eastAsia"/>
        </w:rPr>
        <w:t>投资估算与资金筹措</w:t>
      </w:r>
    </w:p>
    <w:p w14:paraId="56FB422A">
      <w:pPr>
        <w:pStyle w:val="56"/>
        <w:pBdr>
          <w:top w:val="single" w:color="auto" w:sz="4" w:space="1"/>
          <w:left w:val="single" w:color="auto" w:sz="4" w:space="4"/>
          <w:bottom w:val="single" w:color="auto" w:sz="4" w:space="1"/>
          <w:right w:val="single" w:color="auto" w:sz="4" w:space="4"/>
          <w:between w:val="none" w:color="auto" w:sz="0" w:space="0"/>
        </w:pBdr>
        <w:ind w:left="0" w:leftChars="0" w:firstLine="420"/>
        <w:jc w:val="both"/>
      </w:pPr>
      <w:r>
        <w:rPr>
          <w:rFonts w:hint="eastAsia"/>
        </w:rPr>
        <w:t>包括估算依据、投资估算、资金筹措等。</w:t>
      </w:r>
    </w:p>
    <w:p w14:paraId="0DFD1D22">
      <w:pPr>
        <w:pStyle w:val="78"/>
        <w:pBdr>
          <w:top w:val="single" w:color="auto" w:sz="4" w:space="1"/>
          <w:left w:val="single" w:color="auto" w:sz="4" w:space="4"/>
          <w:bottom w:val="single" w:color="auto" w:sz="4" w:space="1"/>
          <w:right w:val="single" w:color="auto" w:sz="4" w:space="4"/>
          <w:between w:val="none" w:color="auto" w:sz="0" w:space="0"/>
        </w:pBdr>
        <w:spacing w:before="120" w:after="120"/>
        <w:ind w:left="0" w:leftChars="0"/>
        <w:jc w:val="both"/>
      </w:pPr>
      <w:r>
        <w:rPr>
          <w:rFonts w:hint="eastAsia"/>
        </w:rPr>
        <w:t>效益分析与风险分析</w:t>
      </w:r>
    </w:p>
    <w:p w14:paraId="5B117E07">
      <w:pPr>
        <w:pStyle w:val="56"/>
        <w:pBdr>
          <w:top w:val="single" w:color="auto" w:sz="4" w:space="1"/>
          <w:left w:val="single" w:color="auto" w:sz="4" w:space="4"/>
          <w:bottom w:val="single" w:color="auto" w:sz="4" w:space="1"/>
          <w:right w:val="single" w:color="auto" w:sz="4" w:space="4"/>
          <w:between w:val="none" w:color="auto" w:sz="0" w:space="0"/>
        </w:pBdr>
        <w:ind w:left="0" w:leftChars="0" w:firstLine="420"/>
        <w:jc w:val="both"/>
      </w:pPr>
      <w:r>
        <w:rPr>
          <w:rFonts w:hint="eastAsia"/>
        </w:rPr>
        <w:t>包括生态效益分析、经济效益分析、社会效益分析及风险分析。</w:t>
      </w:r>
    </w:p>
    <w:p w14:paraId="73172CC5">
      <w:pPr>
        <w:pStyle w:val="78"/>
        <w:pBdr>
          <w:top w:val="single" w:color="auto" w:sz="4" w:space="1"/>
          <w:left w:val="single" w:color="auto" w:sz="4" w:space="4"/>
          <w:bottom w:val="single" w:color="auto" w:sz="4" w:space="1"/>
          <w:right w:val="single" w:color="auto" w:sz="4" w:space="4"/>
          <w:between w:val="none" w:color="auto" w:sz="0" w:space="0"/>
        </w:pBdr>
        <w:spacing w:before="120" w:after="120"/>
        <w:ind w:left="0" w:leftChars="0"/>
        <w:jc w:val="both"/>
      </w:pPr>
      <w:r>
        <w:rPr>
          <w:rFonts w:hint="eastAsia"/>
        </w:rPr>
        <w:t>组织保障措施</w:t>
      </w:r>
    </w:p>
    <w:p w14:paraId="44C1A997">
      <w:pPr>
        <w:pStyle w:val="56"/>
        <w:pBdr>
          <w:top w:val="single" w:color="auto" w:sz="4" w:space="1"/>
          <w:left w:val="single" w:color="auto" w:sz="4" w:space="4"/>
          <w:bottom w:val="single" w:color="auto" w:sz="4" w:space="1"/>
          <w:right w:val="single" w:color="auto" w:sz="4" w:space="4"/>
          <w:between w:val="none" w:color="auto" w:sz="0" w:space="0"/>
        </w:pBdr>
        <w:ind w:left="0" w:leftChars="0" w:firstLine="420"/>
        <w:jc w:val="both"/>
      </w:pPr>
      <w:r>
        <w:rPr>
          <w:rFonts w:hint="eastAsia"/>
        </w:rPr>
        <w:t>包括组织领导、政策制度、技术保障、评估监管、公众参与、资金保障等。</w:t>
      </w:r>
    </w:p>
    <w:p w14:paraId="3D631FCF">
      <w:pPr>
        <w:pStyle w:val="56"/>
        <w:keepNext w:val="0"/>
        <w:keepLines w:val="0"/>
        <w:pageBreakBefore w:val="0"/>
        <w:widowControl/>
        <w:kinsoku/>
        <w:wordWrap/>
        <w:overflowPunct/>
        <w:topLinePunct w:val="0"/>
        <w:autoSpaceDE w:val="0"/>
        <w:autoSpaceDN w:val="0"/>
        <w:bidi w:val="0"/>
        <w:adjustRightInd/>
        <w:snapToGrid/>
        <w:ind w:firstLine="0" w:firstLineChars="0"/>
        <w:textAlignment w:val="auto"/>
      </w:pPr>
    </w:p>
    <w:p w14:paraId="734C5F38">
      <w:pPr>
        <w:pStyle w:val="83"/>
        <w:spacing w:before="120" w:after="120"/>
      </w:pPr>
      <w:r>
        <w:rPr>
          <w:rFonts w:hint="eastAsia"/>
        </w:rPr>
        <w:t>岩溶石漠化生态保护修复规划文本提纲</w:t>
      </w:r>
    </w:p>
    <w:p w14:paraId="2B9CF3C6">
      <w:pPr>
        <w:pStyle w:val="56"/>
        <w:ind w:firstLine="420"/>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linePitch="312" w:charSpace="0"/>
        </w:sectPr>
      </w:pPr>
    </w:p>
    <w:p w14:paraId="0629F37A">
      <w:pPr>
        <w:pStyle w:val="198"/>
        <w:rPr>
          <w:vanish w:val="0"/>
        </w:rPr>
      </w:pPr>
    </w:p>
    <w:p w14:paraId="71AEF78D">
      <w:pPr>
        <w:pStyle w:val="199"/>
        <w:rPr>
          <w:vanish w:val="0"/>
        </w:rPr>
      </w:pPr>
    </w:p>
    <w:p w14:paraId="65C00946">
      <w:pPr>
        <w:pStyle w:val="76"/>
        <w:spacing w:after="120"/>
      </w:pPr>
      <w:r>
        <w:br w:type="textWrapping"/>
      </w:r>
      <w:r>
        <w:rPr>
          <w:rFonts w:hint="eastAsia"/>
        </w:rPr>
        <w:t>（资料性）</w:t>
      </w:r>
      <w:r>
        <w:br w:type="textWrapping"/>
      </w:r>
      <w:r>
        <w:rPr>
          <w:rFonts w:hint="eastAsia"/>
        </w:rPr>
        <w:t>岩溶地区生态保护修复规划附图提纲</w:t>
      </w:r>
    </w:p>
    <w:p w14:paraId="24ECE6CC">
      <w:pPr>
        <w:pStyle w:val="56"/>
        <w:ind w:firstLine="420"/>
      </w:pPr>
      <w:bookmarkStart w:id="47" w:name="_Hlk167714528"/>
      <w:bookmarkStart w:id="48" w:name="_Hlk167702256"/>
      <w:r>
        <w:rPr>
          <w:rFonts w:hint="eastAsia"/>
        </w:rPr>
        <w:t>岩溶石漠化生态保护修复规划附图提纲参见图B.1。</w:t>
      </w:r>
    </w:p>
    <w:p w14:paraId="6DF2FE82">
      <w:pPr>
        <w:pStyle w:val="56"/>
        <w:keepNext w:val="0"/>
        <w:keepLines w:val="0"/>
        <w:pageBreakBefore w:val="0"/>
        <w:widowControl/>
        <w:kinsoku/>
        <w:wordWrap/>
        <w:overflowPunct/>
        <w:topLinePunct w:val="0"/>
        <w:autoSpaceDE w:val="0"/>
        <w:autoSpaceDN w:val="0"/>
        <w:bidi w:val="0"/>
        <w:adjustRightInd/>
        <w:snapToGrid/>
        <w:ind w:firstLine="0" w:firstLineChars="0"/>
        <w:textAlignment w:val="auto"/>
      </w:pPr>
      <w:bookmarkStart w:id="54" w:name="_GoBack"/>
      <w:r>
        <w:drawing>
          <wp:inline distT="0" distB="0" distL="0" distR="0">
            <wp:extent cx="5939790" cy="6974205"/>
            <wp:effectExtent l="0" t="0" r="3810" b="0"/>
            <wp:docPr id="150891592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915920" name="图片 4"/>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939790" cy="6974205"/>
                    </a:xfrm>
                    <a:prstGeom prst="rect">
                      <a:avLst/>
                    </a:prstGeom>
                  </pic:spPr>
                </pic:pic>
              </a:graphicData>
            </a:graphic>
          </wp:inline>
        </w:drawing>
      </w:r>
      <w:bookmarkEnd w:id="54"/>
    </w:p>
    <w:p w14:paraId="4D1E3D54">
      <w:pPr>
        <w:pStyle w:val="83"/>
        <w:spacing w:before="120" w:after="120"/>
        <w:rPr>
          <w:rFonts w:hint="eastAsia"/>
        </w:rPr>
      </w:pPr>
      <w:r>
        <w:rPr>
          <w:rFonts w:hint="eastAsia"/>
        </w:rPr>
        <w:t>岩溶石漠化生态保护修复规划附图提纲</w:t>
      </w:r>
    </w:p>
    <w:bookmarkEnd w:id="47"/>
    <w:bookmarkEnd w:id="48"/>
    <w:p w14:paraId="124EADBA">
      <w:pPr>
        <w:pStyle w:val="56"/>
        <w:ind w:firstLine="420"/>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linePitch="312" w:charSpace="0"/>
        </w:sectPr>
      </w:pPr>
    </w:p>
    <w:p w14:paraId="479C1C0A">
      <w:pPr>
        <w:pStyle w:val="198"/>
        <w:rPr>
          <w:vanish w:val="0"/>
        </w:rPr>
      </w:pPr>
    </w:p>
    <w:p w14:paraId="7FCE9723">
      <w:pPr>
        <w:pStyle w:val="199"/>
        <w:rPr>
          <w:vanish w:val="0"/>
        </w:rPr>
      </w:pPr>
    </w:p>
    <w:p w14:paraId="53DBA8FD">
      <w:pPr>
        <w:pStyle w:val="76"/>
        <w:spacing w:after="120"/>
      </w:pPr>
      <w:r>
        <w:br w:type="textWrapping"/>
      </w:r>
      <w:r>
        <w:rPr>
          <w:rFonts w:hint="eastAsia"/>
        </w:rPr>
        <w:t>（资料性）</w:t>
      </w:r>
      <w:r>
        <w:br w:type="textWrapping"/>
      </w:r>
      <w:bookmarkStart w:id="49" w:name="_Hlk167701757"/>
      <w:r>
        <w:rPr>
          <w:rFonts w:hint="eastAsia"/>
        </w:rPr>
        <w:t>生态保护工程表</w:t>
      </w:r>
    </w:p>
    <w:p w14:paraId="7BAAE35A">
      <w:pPr>
        <w:pStyle w:val="77"/>
        <w:numPr>
          <w:ilvl w:val="0"/>
          <w:numId w:val="0"/>
        </w:numPr>
        <w:spacing w:before="120" w:after="120"/>
        <w:ind w:firstLine="420" w:firstLineChars="200"/>
        <w:jc w:val="both"/>
        <w:rPr>
          <w:rFonts w:ascii="宋体" w:eastAsia="宋体"/>
          <w:kern w:val="0"/>
        </w:rPr>
      </w:pPr>
      <w:r>
        <w:rPr>
          <w:rFonts w:hint="eastAsia" w:ascii="宋体" w:eastAsia="宋体"/>
          <w:kern w:val="0"/>
        </w:rPr>
        <w:t>岩溶石漠化生态保护修复规划指标表参见表C.1。岩溶石漠化生态保护修复工程表参见表C.2。</w:t>
      </w:r>
    </w:p>
    <w:bookmarkEnd w:id="49"/>
    <w:p w14:paraId="7F39B4F0">
      <w:pPr>
        <w:pStyle w:val="77"/>
        <w:spacing w:before="120" w:after="120"/>
      </w:pPr>
      <w:r>
        <w:rPr>
          <w:rFonts w:hint="eastAsia"/>
        </w:rPr>
        <w:t>岩溶石漠化生态保护修复规划指标表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2551"/>
        <w:gridCol w:w="1134"/>
        <w:gridCol w:w="1418"/>
        <w:gridCol w:w="1417"/>
        <w:gridCol w:w="1244"/>
      </w:tblGrid>
      <w:tr w14:paraId="693D17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3" w:hRule="atLeast"/>
          <w:tblHeader/>
          <w:jc w:val="center"/>
        </w:trPr>
        <w:tc>
          <w:tcPr>
            <w:tcW w:w="1550" w:type="dxa"/>
            <w:vMerge w:val="restart"/>
            <w:tcBorders>
              <w:top w:val="single" w:color="auto" w:sz="8" w:space="0"/>
            </w:tcBorders>
            <w:shd w:val="clear" w:color="auto" w:fill="auto"/>
            <w:vAlign w:val="center"/>
          </w:tcPr>
          <w:p w14:paraId="3C9951AA">
            <w:pPr>
              <w:pStyle w:val="178"/>
              <w:rPr>
                <w:rFonts w:hAnsi="宋体"/>
                <w:sz w:val="21"/>
                <w:szCs w:val="21"/>
              </w:rPr>
            </w:pPr>
            <w:r>
              <w:rPr>
                <w:rFonts w:hint="eastAsia" w:hAnsi="宋体"/>
                <w:sz w:val="21"/>
                <w:szCs w:val="21"/>
              </w:rPr>
              <w:t>类别</w:t>
            </w:r>
          </w:p>
        </w:tc>
        <w:tc>
          <w:tcPr>
            <w:tcW w:w="2551" w:type="dxa"/>
            <w:vMerge w:val="restart"/>
            <w:tcBorders>
              <w:top w:val="single" w:color="auto" w:sz="8" w:space="0"/>
            </w:tcBorders>
            <w:shd w:val="clear" w:color="auto" w:fill="auto"/>
            <w:vAlign w:val="center"/>
          </w:tcPr>
          <w:p w14:paraId="2EA3845C">
            <w:pPr>
              <w:pStyle w:val="178"/>
              <w:rPr>
                <w:rFonts w:hAnsi="宋体"/>
                <w:sz w:val="21"/>
                <w:szCs w:val="21"/>
              </w:rPr>
            </w:pPr>
            <w:r>
              <w:rPr>
                <w:rFonts w:hint="eastAsia" w:hAnsi="宋体"/>
                <w:sz w:val="21"/>
                <w:szCs w:val="21"/>
              </w:rPr>
              <w:t>指标名称</w:t>
            </w:r>
          </w:p>
        </w:tc>
        <w:tc>
          <w:tcPr>
            <w:tcW w:w="1134" w:type="dxa"/>
            <w:vMerge w:val="restart"/>
            <w:tcBorders>
              <w:top w:val="single" w:color="auto" w:sz="8" w:space="0"/>
            </w:tcBorders>
            <w:shd w:val="clear" w:color="auto" w:fill="auto"/>
            <w:vAlign w:val="center"/>
          </w:tcPr>
          <w:p w14:paraId="5BB3AE1A">
            <w:pPr>
              <w:pStyle w:val="178"/>
              <w:rPr>
                <w:rFonts w:hAnsi="宋体"/>
                <w:sz w:val="21"/>
                <w:szCs w:val="21"/>
              </w:rPr>
            </w:pPr>
            <w:r>
              <w:rPr>
                <w:rFonts w:hint="eastAsia" w:hAnsi="宋体"/>
                <w:sz w:val="21"/>
                <w:szCs w:val="21"/>
              </w:rPr>
              <w:t>单位</w:t>
            </w:r>
          </w:p>
        </w:tc>
        <w:tc>
          <w:tcPr>
            <w:tcW w:w="2835" w:type="dxa"/>
            <w:gridSpan w:val="2"/>
            <w:tcBorders>
              <w:top w:val="single" w:color="auto" w:sz="8" w:space="0"/>
              <w:bottom w:val="single" w:color="auto" w:sz="8" w:space="0"/>
            </w:tcBorders>
            <w:shd w:val="clear" w:color="auto" w:fill="auto"/>
            <w:vAlign w:val="center"/>
          </w:tcPr>
          <w:p w14:paraId="75C9A016">
            <w:pPr>
              <w:pStyle w:val="178"/>
              <w:rPr>
                <w:rFonts w:hAnsi="宋体"/>
                <w:sz w:val="21"/>
                <w:szCs w:val="21"/>
              </w:rPr>
            </w:pPr>
            <w:r>
              <w:rPr>
                <w:rFonts w:hint="eastAsia" w:hAnsi="宋体"/>
                <w:sz w:val="21"/>
                <w:szCs w:val="21"/>
              </w:rPr>
              <w:t>规划期目标</w:t>
            </w:r>
          </w:p>
        </w:tc>
        <w:tc>
          <w:tcPr>
            <w:tcW w:w="1244" w:type="dxa"/>
            <w:vMerge w:val="restart"/>
            <w:tcBorders>
              <w:top w:val="single" w:color="auto" w:sz="8" w:space="0"/>
            </w:tcBorders>
            <w:shd w:val="clear" w:color="auto" w:fill="auto"/>
            <w:vAlign w:val="center"/>
          </w:tcPr>
          <w:p w14:paraId="48EAA926">
            <w:pPr>
              <w:pStyle w:val="178"/>
              <w:rPr>
                <w:rFonts w:hAnsi="宋体"/>
                <w:sz w:val="21"/>
                <w:szCs w:val="21"/>
              </w:rPr>
            </w:pPr>
            <w:r>
              <w:rPr>
                <w:rFonts w:hint="eastAsia" w:hAnsi="宋体"/>
                <w:sz w:val="21"/>
                <w:szCs w:val="21"/>
              </w:rPr>
              <w:t>指标属性</w:t>
            </w:r>
          </w:p>
        </w:tc>
      </w:tr>
      <w:tr w14:paraId="187006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1550" w:type="dxa"/>
            <w:vMerge w:val="continue"/>
            <w:shd w:val="clear" w:color="auto" w:fill="auto"/>
            <w:vAlign w:val="center"/>
          </w:tcPr>
          <w:p w14:paraId="7E299E59">
            <w:pPr>
              <w:pStyle w:val="178"/>
              <w:rPr>
                <w:rFonts w:hAnsi="宋体"/>
                <w:sz w:val="21"/>
                <w:szCs w:val="21"/>
              </w:rPr>
            </w:pPr>
          </w:p>
        </w:tc>
        <w:tc>
          <w:tcPr>
            <w:tcW w:w="2551" w:type="dxa"/>
            <w:vMerge w:val="continue"/>
            <w:shd w:val="clear" w:color="auto" w:fill="auto"/>
            <w:vAlign w:val="center"/>
          </w:tcPr>
          <w:p w14:paraId="669B26DE">
            <w:pPr>
              <w:pStyle w:val="178"/>
              <w:rPr>
                <w:rFonts w:hAnsi="宋体"/>
                <w:sz w:val="21"/>
                <w:szCs w:val="21"/>
              </w:rPr>
            </w:pPr>
          </w:p>
        </w:tc>
        <w:tc>
          <w:tcPr>
            <w:tcW w:w="1134" w:type="dxa"/>
            <w:vMerge w:val="continue"/>
            <w:shd w:val="clear" w:color="auto" w:fill="auto"/>
            <w:vAlign w:val="center"/>
          </w:tcPr>
          <w:p w14:paraId="4EF6E0BC">
            <w:pPr>
              <w:pStyle w:val="178"/>
              <w:rPr>
                <w:rFonts w:hAnsi="宋体"/>
                <w:sz w:val="21"/>
                <w:szCs w:val="21"/>
              </w:rPr>
            </w:pPr>
          </w:p>
        </w:tc>
        <w:tc>
          <w:tcPr>
            <w:tcW w:w="1418" w:type="dxa"/>
            <w:tcBorders>
              <w:top w:val="single" w:color="auto" w:sz="8" w:space="0"/>
            </w:tcBorders>
            <w:shd w:val="clear" w:color="auto" w:fill="auto"/>
            <w:vAlign w:val="center"/>
          </w:tcPr>
          <w:p w14:paraId="09E1623A">
            <w:pPr>
              <w:pStyle w:val="178"/>
              <w:rPr>
                <w:rFonts w:hAnsi="宋体"/>
                <w:sz w:val="21"/>
                <w:szCs w:val="21"/>
              </w:rPr>
            </w:pPr>
            <w:r>
              <w:rPr>
                <w:rFonts w:hint="eastAsia" w:hAnsi="宋体"/>
                <w:sz w:val="21"/>
                <w:szCs w:val="21"/>
              </w:rPr>
              <w:t>近期目标</w:t>
            </w:r>
          </w:p>
        </w:tc>
        <w:tc>
          <w:tcPr>
            <w:tcW w:w="1417" w:type="dxa"/>
            <w:tcBorders>
              <w:top w:val="single" w:color="auto" w:sz="8" w:space="0"/>
            </w:tcBorders>
            <w:shd w:val="clear" w:color="auto" w:fill="auto"/>
            <w:vAlign w:val="center"/>
          </w:tcPr>
          <w:p w14:paraId="0885588B">
            <w:pPr>
              <w:pStyle w:val="178"/>
              <w:rPr>
                <w:rFonts w:hAnsi="宋体"/>
                <w:sz w:val="21"/>
                <w:szCs w:val="21"/>
              </w:rPr>
            </w:pPr>
            <w:r>
              <w:rPr>
                <w:rFonts w:hint="eastAsia" w:hAnsi="宋体"/>
                <w:sz w:val="21"/>
                <w:szCs w:val="21"/>
              </w:rPr>
              <w:t>远期目标</w:t>
            </w:r>
          </w:p>
        </w:tc>
        <w:tc>
          <w:tcPr>
            <w:tcW w:w="1244" w:type="dxa"/>
            <w:vMerge w:val="continue"/>
            <w:shd w:val="clear" w:color="auto" w:fill="auto"/>
            <w:vAlign w:val="center"/>
          </w:tcPr>
          <w:p w14:paraId="4FB23FAD">
            <w:pPr>
              <w:pStyle w:val="178"/>
              <w:rPr>
                <w:rFonts w:hAnsi="宋体"/>
                <w:sz w:val="21"/>
                <w:szCs w:val="21"/>
              </w:rPr>
            </w:pPr>
          </w:p>
        </w:tc>
      </w:tr>
      <w:tr w14:paraId="04F863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1550" w:type="dxa"/>
            <w:vMerge w:val="restart"/>
            <w:shd w:val="clear" w:color="auto" w:fill="auto"/>
            <w:vAlign w:val="center"/>
          </w:tcPr>
          <w:p w14:paraId="4CAB90E8">
            <w:pPr>
              <w:pStyle w:val="178"/>
              <w:rPr>
                <w:rFonts w:hAnsi="宋体"/>
                <w:sz w:val="21"/>
                <w:szCs w:val="21"/>
              </w:rPr>
            </w:pPr>
            <w:r>
              <w:rPr>
                <w:rFonts w:hint="eastAsia" w:hAnsi="宋体"/>
                <w:sz w:val="21"/>
                <w:szCs w:val="21"/>
              </w:rPr>
              <w:t>退化土地修复治理及土地综合整治</w:t>
            </w:r>
          </w:p>
        </w:tc>
        <w:tc>
          <w:tcPr>
            <w:tcW w:w="2551" w:type="dxa"/>
            <w:shd w:val="clear" w:color="auto" w:fill="auto"/>
            <w:vAlign w:val="center"/>
          </w:tcPr>
          <w:p w14:paraId="4C27C515">
            <w:pPr>
              <w:pStyle w:val="178"/>
              <w:rPr>
                <w:rFonts w:hAnsi="宋体"/>
                <w:sz w:val="21"/>
                <w:szCs w:val="21"/>
              </w:rPr>
            </w:pPr>
            <w:r>
              <w:rPr>
                <w:rFonts w:hAnsi="宋体"/>
                <w:sz w:val="21"/>
                <w:szCs w:val="21"/>
              </w:rPr>
              <w:t>新增水土流失治理面积</w:t>
            </w:r>
          </w:p>
        </w:tc>
        <w:tc>
          <w:tcPr>
            <w:tcW w:w="1134" w:type="dxa"/>
            <w:shd w:val="clear" w:color="auto" w:fill="auto"/>
            <w:vAlign w:val="center"/>
          </w:tcPr>
          <w:p w14:paraId="6F0F58B9">
            <w:pPr>
              <w:pStyle w:val="178"/>
              <w:rPr>
                <w:rFonts w:hAnsi="宋体"/>
                <w:sz w:val="21"/>
                <w:szCs w:val="21"/>
              </w:rPr>
            </w:pPr>
            <w:r>
              <w:rPr>
                <w:rFonts w:hAnsi="宋体"/>
                <w:sz w:val="21"/>
                <w:szCs w:val="21"/>
              </w:rPr>
              <w:t>km</w:t>
            </w:r>
            <w:r>
              <w:rPr>
                <w:rFonts w:hAnsi="宋体"/>
                <w:sz w:val="21"/>
                <w:szCs w:val="21"/>
                <w:vertAlign w:val="superscript"/>
              </w:rPr>
              <w:t>2</w:t>
            </w:r>
          </w:p>
        </w:tc>
        <w:tc>
          <w:tcPr>
            <w:tcW w:w="1418" w:type="dxa"/>
            <w:shd w:val="clear" w:color="auto" w:fill="auto"/>
            <w:vAlign w:val="center"/>
          </w:tcPr>
          <w:p w14:paraId="74A79425">
            <w:pPr>
              <w:pStyle w:val="178"/>
              <w:rPr>
                <w:rFonts w:hAnsi="宋体"/>
                <w:sz w:val="21"/>
                <w:szCs w:val="21"/>
              </w:rPr>
            </w:pPr>
          </w:p>
        </w:tc>
        <w:tc>
          <w:tcPr>
            <w:tcW w:w="1417" w:type="dxa"/>
            <w:shd w:val="clear" w:color="auto" w:fill="auto"/>
            <w:vAlign w:val="center"/>
          </w:tcPr>
          <w:p w14:paraId="33C8B500">
            <w:pPr>
              <w:pStyle w:val="178"/>
              <w:rPr>
                <w:rFonts w:hAnsi="宋体"/>
                <w:sz w:val="21"/>
                <w:szCs w:val="21"/>
              </w:rPr>
            </w:pPr>
          </w:p>
        </w:tc>
        <w:tc>
          <w:tcPr>
            <w:tcW w:w="1244" w:type="dxa"/>
            <w:shd w:val="clear" w:color="auto" w:fill="auto"/>
            <w:vAlign w:val="center"/>
          </w:tcPr>
          <w:p w14:paraId="40C36CE5">
            <w:pPr>
              <w:pStyle w:val="178"/>
              <w:rPr>
                <w:rFonts w:hAnsi="宋体"/>
                <w:sz w:val="21"/>
                <w:szCs w:val="21"/>
              </w:rPr>
            </w:pPr>
            <w:r>
              <w:rPr>
                <w:rFonts w:hAnsi="宋体"/>
                <w:sz w:val="21"/>
                <w:szCs w:val="21"/>
              </w:rPr>
              <w:t>约束性</w:t>
            </w:r>
          </w:p>
        </w:tc>
      </w:tr>
      <w:tr w14:paraId="2E9BE3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1550" w:type="dxa"/>
            <w:vMerge w:val="continue"/>
            <w:shd w:val="clear" w:color="auto" w:fill="auto"/>
            <w:vAlign w:val="center"/>
          </w:tcPr>
          <w:p w14:paraId="652CC78E">
            <w:pPr>
              <w:pStyle w:val="178"/>
              <w:rPr>
                <w:rFonts w:hAnsi="宋体"/>
                <w:sz w:val="21"/>
                <w:szCs w:val="21"/>
              </w:rPr>
            </w:pPr>
          </w:p>
        </w:tc>
        <w:tc>
          <w:tcPr>
            <w:tcW w:w="2551" w:type="dxa"/>
            <w:shd w:val="clear" w:color="auto" w:fill="auto"/>
            <w:vAlign w:val="center"/>
          </w:tcPr>
          <w:p w14:paraId="0F204270">
            <w:pPr>
              <w:pStyle w:val="178"/>
              <w:rPr>
                <w:rFonts w:hAnsi="宋体"/>
                <w:sz w:val="21"/>
                <w:szCs w:val="21"/>
              </w:rPr>
            </w:pPr>
            <w:r>
              <w:rPr>
                <w:rFonts w:hAnsi="宋体"/>
                <w:sz w:val="21"/>
                <w:szCs w:val="21"/>
              </w:rPr>
              <w:t>新增石漠化土地治理面积</w:t>
            </w:r>
          </w:p>
        </w:tc>
        <w:tc>
          <w:tcPr>
            <w:tcW w:w="1134" w:type="dxa"/>
            <w:shd w:val="clear" w:color="auto" w:fill="auto"/>
            <w:vAlign w:val="center"/>
          </w:tcPr>
          <w:p w14:paraId="29B9C9D9">
            <w:pPr>
              <w:pStyle w:val="178"/>
              <w:rPr>
                <w:rFonts w:hAnsi="宋体"/>
                <w:sz w:val="21"/>
                <w:szCs w:val="21"/>
              </w:rPr>
            </w:pPr>
            <w:r>
              <w:rPr>
                <w:rFonts w:hAnsi="宋体"/>
                <w:sz w:val="21"/>
                <w:szCs w:val="21"/>
              </w:rPr>
              <w:t>km</w:t>
            </w:r>
            <w:r>
              <w:rPr>
                <w:rFonts w:hAnsi="宋体"/>
                <w:sz w:val="21"/>
                <w:szCs w:val="21"/>
                <w:vertAlign w:val="superscript"/>
              </w:rPr>
              <w:t>2</w:t>
            </w:r>
          </w:p>
        </w:tc>
        <w:tc>
          <w:tcPr>
            <w:tcW w:w="1418" w:type="dxa"/>
            <w:shd w:val="clear" w:color="auto" w:fill="auto"/>
            <w:vAlign w:val="center"/>
          </w:tcPr>
          <w:p w14:paraId="3DF1BCC9">
            <w:pPr>
              <w:pStyle w:val="178"/>
              <w:rPr>
                <w:rFonts w:hAnsi="宋体"/>
                <w:sz w:val="21"/>
                <w:szCs w:val="21"/>
              </w:rPr>
            </w:pPr>
          </w:p>
        </w:tc>
        <w:tc>
          <w:tcPr>
            <w:tcW w:w="1417" w:type="dxa"/>
            <w:shd w:val="clear" w:color="auto" w:fill="auto"/>
            <w:vAlign w:val="center"/>
          </w:tcPr>
          <w:p w14:paraId="2E380798">
            <w:pPr>
              <w:pStyle w:val="178"/>
              <w:rPr>
                <w:rFonts w:hAnsi="宋体"/>
                <w:sz w:val="21"/>
                <w:szCs w:val="21"/>
              </w:rPr>
            </w:pPr>
          </w:p>
        </w:tc>
        <w:tc>
          <w:tcPr>
            <w:tcW w:w="1244" w:type="dxa"/>
            <w:shd w:val="clear" w:color="auto" w:fill="auto"/>
            <w:vAlign w:val="center"/>
          </w:tcPr>
          <w:p w14:paraId="52AA8CD2">
            <w:pPr>
              <w:pStyle w:val="178"/>
              <w:rPr>
                <w:rFonts w:hAnsi="宋体"/>
                <w:sz w:val="21"/>
                <w:szCs w:val="21"/>
              </w:rPr>
            </w:pPr>
            <w:r>
              <w:rPr>
                <w:rFonts w:hAnsi="宋体"/>
                <w:sz w:val="21"/>
                <w:szCs w:val="21"/>
              </w:rPr>
              <w:t>约束性</w:t>
            </w:r>
          </w:p>
        </w:tc>
      </w:tr>
      <w:tr w14:paraId="3F55E9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1550" w:type="dxa"/>
            <w:vMerge w:val="continue"/>
            <w:shd w:val="clear" w:color="auto" w:fill="auto"/>
            <w:vAlign w:val="center"/>
          </w:tcPr>
          <w:p w14:paraId="469B7B31">
            <w:pPr>
              <w:pStyle w:val="178"/>
              <w:rPr>
                <w:rFonts w:hAnsi="宋体"/>
                <w:sz w:val="21"/>
                <w:szCs w:val="21"/>
              </w:rPr>
            </w:pPr>
          </w:p>
        </w:tc>
        <w:tc>
          <w:tcPr>
            <w:tcW w:w="2551" w:type="dxa"/>
            <w:shd w:val="clear" w:color="auto" w:fill="auto"/>
            <w:vAlign w:val="center"/>
          </w:tcPr>
          <w:p w14:paraId="5DE4A6EB">
            <w:pPr>
              <w:pStyle w:val="178"/>
              <w:rPr>
                <w:rFonts w:hAnsi="宋体"/>
                <w:sz w:val="21"/>
                <w:szCs w:val="21"/>
              </w:rPr>
            </w:pPr>
            <w:r>
              <w:rPr>
                <w:rFonts w:hAnsi="宋体"/>
                <w:sz w:val="21"/>
                <w:szCs w:val="21"/>
              </w:rPr>
              <w:t>森林覆盖率</w:t>
            </w:r>
          </w:p>
        </w:tc>
        <w:tc>
          <w:tcPr>
            <w:tcW w:w="1134" w:type="dxa"/>
            <w:shd w:val="clear" w:color="auto" w:fill="auto"/>
            <w:vAlign w:val="center"/>
          </w:tcPr>
          <w:p w14:paraId="4F7D0C9B">
            <w:pPr>
              <w:pStyle w:val="178"/>
              <w:rPr>
                <w:rFonts w:hAnsi="宋体"/>
                <w:sz w:val="21"/>
                <w:szCs w:val="21"/>
              </w:rPr>
            </w:pPr>
            <w:r>
              <w:rPr>
                <w:rFonts w:hAnsi="宋体"/>
                <w:sz w:val="21"/>
                <w:szCs w:val="21"/>
              </w:rPr>
              <w:t>%</w:t>
            </w:r>
          </w:p>
        </w:tc>
        <w:tc>
          <w:tcPr>
            <w:tcW w:w="1418" w:type="dxa"/>
            <w:shd w:val="clear" w:color="auto" w:fill="auto"/>
            <w:vAlign w:val="center"/>
          </w:tcPr>
          <w:p w14:paraId="69421AC1">
            <w:pPr>
              <w:pStyle w:val="178"/>
              <w:rPr>
                <w:rFonts w:hAnsi="宋体"/>
                <w:sz w:val="21"/>
                <w:szCs w:val="21"/>
              </w:rPr>
            </w:pPr>
          </w:p>
        </w:tc>
        <w:tc>
          <w:tcPr>
            <w:tcW w:w="1417" w:type="dxa"/>
            <w:shd w:val="clear" w:color="auto" w:fill="auto"/>
            <w:vAlign w:val="center"/>
          </w:tcPr>
          <w:p w14:paraId="76D4D4F6">
            <w:pPr>
              <w:pStyle w:val="178"/>
              <w:rPr>
                <w:rFonts w:hAnsi="宋体"/>
                <w:sz w:val="21"/>
                <w:szCs w:val="21"/>
              </w:rPr>
            </w:pPr>
          </w:p>
        </w:tc>
        <w:tc>
          <w:tcPr>
            <w:tcW w:w="1244" w:type="dxa"/>
            <w:shd w:val="clear" w:color="auto" w:fill="auto"/>
            <w:vAlign w:val="center"/>
          </w:tcPr>
          <w:p w14:paraId="772ABEE0">
            <w:pPr>
              <w:pStyle w:val="178"/>
              <w:rPr>
                <w:rFonts w:hAnsi="宋体"/>
                <w:sz w:val="21"/>
                <w:szCs w:val="21"/>
              </w:rPr>
            </w:pPr>
            <w:r>
              <w:rPr>
                <w:rFonts w:hAnsi="宋体"/>
                <w:sz w:val="21"/>
                <w:szCs w:val="21"/>
              </w:rPr>
              <w:t>约束性</w:t>
            </w:r>
          </w:p>
        </w:tc>
      </w:tr>
      <w:tr w14:paraId="161BDD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1550" w:type="dxa"/>
            <w:vMerge w:val="continue"/>
            <w:shd w:val="clear" w:color="auto" w:fill="auto"/>
            <w:vAlign w:val="center"/>
          </w:tcPr>
          <w:p w14:paraId="5579CC24">
            <w:pPr>
              <w:pStyle w:val="178"/>
              <w:rPr>
                <w:rFonts w:hAnsi="宋体"/>
                <w:sz w:val="21"/>
                <w:szCs w:val="21"/>
              </w:rPr>
            </w:pPr>
          </w:p>
        </w:tc>
        <w:tc>
          <w:tcPr>
            <w:tcW w:w="2551" w:type="dxa"/>
            <w:shd w:val="clear" w:color="auto" w:fill="auto"/>
            <w:vAlign w:val="center"/>
          </w:tcPr>
          <w:p w14:paraId="6C552C07">
            <w:pPr>
              <w:pStyle w:val="178"/>
              <w:rPr>
                <w:rFonts w:hAnsi="宋体"/>
                <w:sz w:val="21"/>
                <w:szCs w:val="21"/>
              </w:rPr>
            </w:pPr>
            <w:r>
              <w:rPr>
                <w:rFonts w:hAnsi="宋体"/>
                <w:sz w:val="21"/>
                <w:szCs w:val="21"/>
              </w:rPr>
              <w:t>退耕还林面积</w:t>
            </w:r>
          </w:p>
        </w:tc>
        <w:tc>
          <w:tcPr>
            <w:tcW w:w="1134" w:type="dxa"/>
            <w:shd w:val="clear" w:color="auto" w:fill="auto"/>
            <w:vAlign w:val="center"/>
          </w:tcPr>
          <w:p w14:paraId="13E85D36">
            <w:pPr>
              <w:pStyle w:val="178"/>
              <w:rPr>
                <w:rFonts w:hAnsi="宋体"/>
                <w:sz w:val="21"/>
                <w:szCs w:val="21"/>
              </w:rPr>
            </w:pPr>
            <w:r>
              <w:rPr>
                <w:rFonts w:hAnsi="宋体"/>
                <w:sz w:val="21"/>
                <w:szCs w:val="21"/>
              </w:rPr>
              <w:t>km</w:t>
            </w:r>
            <w:r>
              <w:rPr>
                <w:rFonts w:hAnsi="宋体"/>
                <w:sz w:val="21"/>
                <w:szCs w:val="21"/>
                <w:vertAlign w:val="superscript"/>
              </w:rPr>
              <w:t>2</w:t>
            </w:r>
          </w:p>
        </w:tc>
        <w:tc>
          <w:tcPr>
            <w:tcW w:w="1418" w:type="dxa"/>
            <w:shd w:val="clear" w:color="auto" w:fill="auto"/>
            <w:vAlign w:val="center"/>
          </w:tcPr>
          <w:p w14:paraId="56ED6D11">
            <w:pPr>
              <w:pStyle w:val="178"/>
              <w:rPr>
                <w:rFonts w:hAnsi="宋体"/>
                <w:sz w:val="21"/>
                <w:szCs w:val="21"/>
              </w:rPr>
            </w:pPr>
          </w:p>
        </w:tc>
        <w:tc>
          <w:tcPr>
            <w:tcW w:w="1417" w:type="dxa"/>
            <w:shd w:val="clear" w:color="auto" w:fill="auto"/>
            <w:vAlign w:val="center"/>
          </w:tcPr>
          <w:p w14:paraId="01ADB8B8">
            <w:pPr>
              <w:pStyle w:val="178"/>
              <w:rPr>
                <w:rFonts w:hAnsi="宋体"/>
                <w:sz w:val="21"/>
                <w:szCs w:val="21"/>
              </w:rPr>
            </w:pPr>
          </w:p>
        </w:tc>
        <w:tc>
          <w:tcPr>
            <w:tcW w:w="1244" w:type="dxa"/>
            <w:shd w:val="clear" w:color="auto" w:fill="auto"/>
            <w:vAlign w:val="center"/>
          </w:tcPr>
          <w:p w14:paraId="367B6E21">
            <w:pPr>
              <w:pStyle w:val="178"/>
              <w:rPr>
                <w:rFonts w:hAnsi="宋体"/>
                <w:sz w:val="21"/>
                <w:szCs w:val="21"/>
              </w:rPr>
            </w:pPr>
            <w:r>
              <w:rPr>
                <w:rFonts w:hAnsi="宋体"/>
                <w:sz w:val="21"/>
                <w:szCs w:val="21"/>
              </w:rPr>
              <w:t>约束性</w:t>
            </w:r>
          </w:p>
        </w:tc>
      </w:tr>
      <w:tr w14:paraId="7C83E2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1550" w:type="dxa"/>
            <w:vMerge w:val="continue"/>
            <w:shd w:val="clear" w:color="auto" w:fill="auto"/>
            <w:vAlign w:val="center"/>
          </w:tcPr>
          <w:p w14:paraId="38821FB8">
            <w:pPr>
              <w:pStyle w:val="178"/>
              <w:rPr>
                <w:rFonts w:hAnsi="宋体"/>
                <w:sz w:val="21"/>
                <w:szCs w:val="21"/>
              </w:rPr>
            </w:pPr>
          </w:p>
        </w:tc>
        <w:tc>
          <w:tcPr>
            <w:tcW w:w="2551" w:type="dxa"/>
            <w:shd w:val="clear" w:color="auto" w:fill="auto"/>
            <w:vAlign w:val="center"/>
          </w:tcPr>
          <w:p w14:paraId="45AF2A77">
            <w:pPr>
              <w:pStyle w:val="178"/>
              <w:rPr>
                <w:rFonts w:hAnsi="宋体"/>
                <w:sz w:val="21"/>
                <w:szCs w:val="21"/>
              </w:rPr>
            </w:pPr>
            <w:r>
              <w:rPr>
                <w:rFonts w:hAnsi="宋体"/>
                <w:sz w:val="21"/>
                <w:szCs w:val="21"/>
              </w:rPr>
              <w:t>人工造林面积</w:t>
            </w:r>
          </w:p>
        </w:tc>
        <w:tc>
          <w:tcPr>
            <w:tcW w:w="1134" w:type="dxa"/>
            <w:shd w:val="clear" w:color="auto" w:fill="auto"/>
            <w:vAlign w:val="center"/>
          </w:tcPr>
          <w:p w14:paraId="1BFA45B7">
            <w:pPr>
              <w:pStyle w:val="178"/>
              <w:rPr>
                <w:rFonts w:hAnsi="宋体"/>
                <w:sz w:val="21"/>
                <w:szCs w:val="21"/>
              </w:rPr>
            </w:pPr>
            <w:r>
              <w:rPr>
                <w:rFonts w:hAnsi="宋体"/>
                <w:sz w:val="21"/>
                <w:szCs w:val="21"/>
              </w:rPr>
              <w:t>km</w:t>
            </w:r>
            <w:r>
              <w:rPr>
                <w:rFonts w:hAnsi="宋体"/>
                <w:sz w:val="21"/>
                <w:szCs w:val="21"/>
                <w:vertAlign w:val="superscript"/>
              </w:rPr>
              <w:t>2</w:t>
            </w:r>
          </w:p>
        </w:tc>
        <w:tc>
          <w:tcPr>
            <w:tcW w:w="1418" w:type="dxa"/>
            <w:shd w:val="clear" w:color="auto" w:fill="auto"/>
            <w:vAlign w:val="center"/>
          </w:tcPr>
          <w:p w14:paraId="04D61B22">
            <w:pPr>
              <w:pStyle w:val="178"/>
              <w:rPr>
                <w:rFonts w:hAnsi="宋体"/>
                <w:sz w:val="21"/>
                <w:szCs w:val="21"/>
              </w:rPr>
            </w:pPr>
          </w:p>
        </w:tc>
        <w:tc>
          <w:tcPr>
            <w:tcW w:w="1417" w:type="dxa"/>
            <w:shd w:val="clear" w:color="auto" w:fill="auto"/>
            <w:vAlign w:val="center"/>
          </w:tcPr>
          <w:p w14:paraId="51581399">
            <w:pPr>
              <w:pStyle w:val="178"/>
              <w:rPr>
                <w:rFonts w:hAnsi="宋体"/>
                <w:sz w:val="21"/>
                <w:szCs w:val="21"/>
              </w:rPr>
            </w:pPr>
          </w:p>
        </w:tc>
        <w:tc>
          <w:tcPr>
            <w:tcW w:w="1244" w:type="dxa"/>
            <w:shd w:val="clear" w:color="auto" w:fill="auto"/>
            <w:vAlign w:val="center"/>
          </w:tcPr>
          <w:p w14:paraId="4229066C">
            <w:pPr>
              <w:pStyle w:val="178"/>
              <w:rPr>
                <w:rFonts w:hAnsi="宋体"/>
                <w:sz w:val="21"/>
                <w:szCs w:val="21"/>
              </w:rPr>
            </w:pPr>
            <w:r>
              <w:rPr>
                <w:rFonts w:hAnsi="宋体"/>
                <w:sz w:val="21"/>
                <w:szCs w:val="21"/>
              </w:rPr>
              <w:t>约束性</w:t>
            </w:r>
          </w:p>
        </w:tc>
      </w:tr>
      <w:tr w14:paraId="6C08CE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1550" w:type="dxa"/>
            <w:vMerge w:val="continue"/>
            <w:shd w:val="clear" w:color="auto" w:fill="auto"/>
            <w:vAlign w:val="center"/>
          </w:tcPr>
          <w:p w14:paraId="6AFFBDDB">
            <w:pPr>
              <w:pStyle w:val="178"/>
              <w:rPr>
                <w:rFonts w:hAnsi="宋体"/>
                <w:sz w:val="21"/>
                <w:szCs w:val="21"/>
              </w:rPr>
            </w:pPr>
          </w:p>
        </w:tc>
        <w:tc>
          <w:tcPr>
            <w:tcW w:w="2551" w:type="dxa"/>
            <w:shd w:val="clear" w:color="auto" w:fill="auto"/>
            <w:vAlign w:val="center"/>
          </w:tcPr>
          <w:p w14:paraId="423D423E">
            <w:pPr>
              <w:pStyle w:val="178"/>
              <w:rPr>
                <w:rFonts w:hAnsi="宋体"/>
                <w:sz w:val="21"/>
                <w:szCs w:val="21"/>
              </w:rPr>
            </w:pPr>
            <w:r>
              <w:rPr>
                <w:rFonts w:hAnsi="宋体"/>
                <w:sz w:val="21"/>
                <w:szCs w:val="21"/>
              </w:rPr>
              <w:t>......</w:t>
            </w:r>
          </w:p>
        </w:tc>
        <w:tc>
          <w:tcPr>
            <w:tcW w:w="1134" w:type="dxa"/>
            <w:shd w:val="clear" w:color="auto" w:fill="auto"/>
            <w:vAlign w:val="center"/>
          </w:tcPr>
          <w:p w14:paraId="2CEF8A41">
            <w:pPr>
              <w:pStyle w:val="178"/>
              <w:rPr>
                <w:rFonts w:hAnsi="宋体"/>
                <w:sz w:val="21"/>
                <w:szCs w:val="21"/>
              </w:rPr>
            </w:pPr>
            <w:r>
              <w:rPr>
                <w:rFonts w:hAnsi="宋体"/>
                <w:sz w:val="21"/>
                <w:szCs w:val="21"/>
              </w:rPr>
              <w:t>......</w:t>
            </w:r>
          </w:p>
        </w:tc>
        <w:tc>
          <w:tcPr>
            <w:tcW w:w="1418" w:type="dxa"/>
            <w:shd w:val="clear" w:color="auto" w:fill="auto"/>
            <w:vAlign w:val="center"/>
          </w:tcPr>
          <w:p w14:paraId="5DE5C25D">
            <w:pPr>
              <w:pStyle w:val="178"/>
              <w:rPr>
                <w:rFonts w:hAnsi="宋体"/>
                <w:sz w:val="21"/>
                <w:szCs w:val="21"/>
              </w:rPr>
            </w:pPr>
            <w:r>
              <w:rPr>
                <w:rFonts w:hAnsi="宋体"/>
                <w:sz w:val="21"/>
                <w:szCs w:val="21"/>
              </w:rPr>
              <w:t>......</w:t>
            </w:r>
          </w:p>
        </w:tc>
        <w:tc>
          <w:tcPr>
            <w:tcW w:w="1417" w:type="dxa"/>
            <w:shd w:val="clear" w:color="auto" w:fill="auto"/>
            <w:vAlign w:val="center"/>
          </w:tcPr>
          <w:p w14:paraId="3A5191AC">
            <w:pPr>
              <w:pStyle w:val="178"/>
              <w:rPr>
                <w:rFonts w:hAnsi="宋体"/>
                <w:sz w:val="21"/>
                <w:szCs w:val="21"/>
              </w:rPr>
            </w:pPr>
            <w:r>
              <w:rPr>
                <w:rFonts w:hAnsi="宋体"/>
                <w:sz w:val="21"/>
                <w:szCs w:val="21"/>
              </w:rPr>
              <w:t>......</w:t>
            </w:r>
          </w:p>
        </w:tc>
        <w:tc>
          <w:tcPr>
            <w:tcW w:w="1244" w:type="dxa"/>
            <w:shd w:val="clear" w:color="auto" w:fill="auto"/>
            <w:vAlign w:val="center"/>
          </w:tcPr>
          <w:p w14:paraId="49BD9312">
            <w:pPr>
              <w:pStyle w:val="178"/>
              <w:rPr>
                <w:rFonts w:hAnsi="宋体"/>
                <w:sz w:val="21"/>
                <w:szCs w:val="21"/>
              </w:rPr>
            </w:pPr>
            <w:r>
              <w:rPr>
                <w:rFonts w:hAnsi="宋体"/>
                <w:sz w:val="21"/>
                <w:szCs w:val="21"/>
              </w:rPr>
              <w:t>......</w:t>
            </w:r>
          </w:p>
        </w:tc>
      </w:tr>
      <w:tr w14:paraId="199F15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1550" w:type="dxa"/>
            <w:vMerge w:val="restart"/>
            <w:shd w:val="clear" w:color="auto" w:fill="auto"/>
            <w:vAlign w:val="center"/>
          </w:tcPr>
          <w:p w14:paraId="7D356ADF">
            <w:pPr>
              <w:pStyle w:val="178"/>
              <w:rPr>
                <w:rFonts w:hAnsi="宋体"/>
                <w:sz w:val="21"/>
                <w:szCs w:val="21"/>
              </w:rPr>
            </w:pPr>
            <w:r>
              <w:rPr>
                <w:rFonts w:hint="eastAsia" w:hAnsi="宋体"/>
                <w:sz w:val="21"/>
                <w:szCs w:val="21"/>
              </w:rPr>
              <w:t>矿山生态修复</w:t>
            </w:r>
          </w:p>
        </w:tc>
        <w:tc>
          <w:tcPr>
            <w:tcW w:w="2551" w:type="dxa"/>
            <w:shd w:val="clear" w:color="auto" w:fill="auto"/>
            <w:vAlign w:val="center"/>
          </w:tcPr>
          <w:p w14:paraId="1BE83595">
            <w:pPr>
              <w:pStyle w:val="178"/>
              <w:rPr>
                <w:rFonts w:hAnsi="宋体"/>
                <w:sz w:val="21"/>
                <w:szCs w:val="21"/>
              </w:rPr>
            </w:pPr>
            <w:r>
              <w:rPr>
                <w:rFonts w:hAnsi="宋体"/>
                <w:sz w:val="21"/>
                <w:szCs w:val="21"/>
              </w:rPr>
              <w:t>矿山石漠化综合整治数量</w:t>
            </w:r>
          </w:p>
        </w:tc>
        <w:tc>
          <w:tcPr>
            <w:tcW w:w="1134" w:type="dxa"/>
            <w:shd w:val="clear" w:color="auto" w:fill="auto"/>
            <w:vAlign w:val="center"/>
          </w:tcPr>
          <w:p w14:paraId="270D942A">
            <w:pPr>
              <w:pStyle w:val="178"/>
              <w:rPr>
                <w:rFonts w:hAnsi="宋体"/>
                <w:sz w:val="21"/>
                <w:szCs w:val="21"/>
              </w:rPr>
            </w:pPr>
            <w:r>
              <w:rPr>
                <w:rFonts w:hAnsi="宋体"/>
                <w:sz w:val="21"/>
                <w:szCs w:val="21"/>
              </w:rPr>
              <w:t>处</w:t>
            </w:r>
          </w:p>
        </w:tc>
        <w:tc>
          <w:tcPr>
            <w:tcW w:w="1418" w:type="dxa"/>
            <w:shd w:val="clear" w:color="auto" w:fill="auto"/>
            <w:vAlign w:val="center"/>
          </w:tcPr>
          <w:p w14:paraId="0DB50161">
            <w:pPr>
              <w:pStyle w:val="178"/>
              <w:rPr>
                <w:rFonts w:hAnsi="宋体"/>
                <w:sz w:val="21"/>
                <w:szCs w:val="21"/>
              </w:rPr>
            </w:pPr>
          </w:p>
        </w:tc>
        <w:tc>
          <w:tcPr>
            <w:tcW w:w="1417" w:type="dxa"/>
            <w:shd w:val="clear" w:color="auto" w:fill="auto"/>
            <w:vAlign w:val="center"/>
          </w:tcPr>
          <w:p w14:paraId="28DFDB30">
            <w:pPr>
              <w:pStyle w:val="178"/>
              <w:rPr>
                <w:rFonts w:hAnsi="宋体"/>
                <w:sz w:val="21"/>
                <w:szCs w:val="21"/>
              </w:rPr>
            </w:pPr>
          </w:p>
        </w:tc>
        <w:tc>
          <w:tcPr>
            <w:tcW w:w="1244" w:type="dxa"/>
            <w:shd w:val="clear" w:color="auto" w:fill="auto"/>
            <w:vAlign w:val="center"/>
          </w:tcPr>
          <w:p w14:paraId="24AE6BDC">
            <w:pPr>
              <w:pStyle w:val="178"/>
              <w:rPr>
                <w:rFonts w:hAnsi="宋体"/>
                <w:sz w:val="21"/>
                <w:szCs w:val="21"/>
              </w:rPr>
            </w:pPr>
          </w:p>
        </w:tc>
      </w:tr>
      <w:tr w14:paraId="409BA3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1550" w:type="dxa"/>
            <w:vMerge w:val="continue"/>
            <w:shd w:val="clear" w:color="auto" w:fill="auto"/>
            <w:vAlign w:val="center"/>
          </w:tcPr>
          <w:p w14:paraId="4E6CED1D">
            <w:pPr>
              <w:pStyle w:val="178"/>
              <w:rPr>
                <w:rFonts w:hAnsi="宋体"/>
                <w:sz w:val="21"/>
                <w:szCs w:val="21"/>
              </w:rPr>
            </w:pPr>
          </w:p>
        </w:tc>
        <w:tc>
          <w:tcPr>
            <w:tcW w:w="2551" w:type="dxa"/>
            <w:shd w:val="clear" w:color="auto" w:fill="auto"/>
            <w:vAlign w:val="center"/>
          </w:tcPr>
          <w:p w14:paraId="6A924A44">
            <w:pPr>
              <w:pStyle w:val="178"/>
              <w:rPr>
                <w:rFonts w:hAnsi="宋体"/>
                <w:sz w:val="21"/>
                <w:szCs w:val="21"/>
              </w:rPr>
            </w:pPr>
            <w:r>
              <w:rPr>
                <w:rFonts w:hAnsi="宋体"/>
                <w:sz w:val="21"/>
                <w:szCs w:val="21"/>
              </w:rPr>
              <w:t>矿山石漠化综合整治数量</w:t>
            </w:r>
          </w:p>
        </w:tc>
        <w:tc>
          <w:tcPr>
            <w:tcW w:w="1134" w:type="dxa"/>
            <w:shd w:val="clear" w:color="auto" w:fill="auto"/>
            <w:vAlign w:val="center"/>
          </w:tcPr>
          <w:p w14:paraId="44A4F578">
            <w:pPr>
              <w:pStyle w:val="178"/>
              <w:rPr>
                <w:rFonts w:hAnsi="宋体"/>
                <w:sz w:val="21"/>
                <w:szCs w:val="21"/>
              </w:rPr>
            </w:pPr>
            <w:r>
              <w:rPr>
                <w:rFonts w:hAnsi="宋体"/>
                <w:sz w:val="21"/>
                <w:szCs w:val="21"/>
              </w:rPr>
              <w:t>km</w:t>
            </w:r>
            <w:r>
              <w:rPr>
                <w:rFonts w:hAnsi="宋体"/>
                <w:sz w:val="21"/>
                <w:szCs w:val="21"/>
                <w:vertAlign w:val="superscript"/>
              </w:rPr>
              <w:t>2</w:t>
            </w:r>
          </w:p>
        </w:tc>
        <w:tc>
          <w:tcPr>
            <w:tcW w:w="1418" w:type="dxa"/>
            <w:shd w:val="clear" w:color="auto" w:fill="auto"/>
            <w:vAlign w:val="center"/>
          </w:tcPr>
          <w:p w14:paraId="3C7ECECE">
            <w:pPr>
              <w:pStyle w:val="178"/>
              <w:rPr>
                <w:rFonts w:hAnsi="宋体"/>
                <w:sz w:val="21"/>
                <w:szCs w:val="21"/>
              </w:rPr>
            </w:pPr>
          </w:p>
        </w:tc>
        <w:tc>
          <w:tcPr>
            <w:tcW w:w="1417" w:type="dxa"/>
            <w:shd w:val="clear" w:color="auto" w:fill="auto"/>
            <w:vAlign w:val="center"/>
          </w:tcPr>
          <w:p w14:paraId="02A6D23D">
            <w:pPr>
              <w:pStyle w:val="178"/>
              <w:rPr>
                <w:rFonts w:hAnsi="宋体"/>
                <w:sz w:val="21"/>
                <w:szCs w:val="21"/>
              </w:rPr>
            </w:pPr>
          </w:p>
        </w:tc>
        <w:tc>
          <w:tcPr>
            <w:tcW w:w="1244" w:type="dxa"/>
            <w:shd w:val="clear" w:color="auto" w:fill="auto"/>
            <w:vAlign w:val="center"/>
          </w:tcPr>
          <w:p w14:paraId="5072BE28">
            <w:pPr>
              <w:pStyle w:val="178"/>
              <w:rPr>
                <w:rFonts w:hAnsi="宋体"/>
                <w:sz w:val="21"/>
                <w:szCs w:val="21"/>
              </w:rPr>
            </w:pPr>
          </w:p>
        </w:tc>
      </w:tr>
      <w:tr w14:paraId="7D5074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13" w:hRule="atLeast"/>
          <w:jc w:val="center"/>
        </w:trPr>
        <w:tc>
          <w:tcPr>
            <w:tcW w:w="1550" w:type="dxa"/>
            <w:vMerge w:val="continue"/>
            <w:shd w:val="clear" w:color="auto" w:fill="auto"/>
            <w:vAlign w:val="center"/>
          </w:tcPr>
          <w:p w14:paraId="6722CB19">
            <w:pPr>
              <w:pStyle w:val="178"/>
              <w:rPr>
                <w:rFonts w:hAnsi="宋体"/>
                <w:sz w:val="21"/>
                <w:szCs w:val="21"/>
              </w:rPr>
            </w:pPr>
          </w:p>
        </w:tc>
        <w:tc>
          <w:tcPr>
            <w:tcW w:w="2551" w:type="dxa"/>
            <w:shd w:val="clear" w:color="auto" w:fill="auto"/>
            <w:vAlign w:val="center"/>
          </w:tcPr>
          <w:p w14:paraId="6AAAABAC">
            <w:pPr>
              <w:pStyle w:val="178"/>
              <w:rPr>
                <w:rFonts w:hAnsi="宋体"/>
                <w:sz w:val="21"/>
                <w:szCs w:val="21"/>
              </w:rPr>
            </w:pPr>
            <w:r>
              <w:rPr>
                <w:rFonts w:hAnsi="宋体"/>
                <w:sz w:val="21"/>
                <w:szCs w:val="21"/>
              </w:rPr>
              <w:t>新增土地整治面积</w:t>
            </w:r>
          </w:p>
        </w:tc>
        <w:tc>
          <w:tcPr>
            <w:tcW w:w="1134" w:type="dxa"/>
            <w:shd w:val="clear" w:color="auto" w:fill="auto"/>
            <w:vAlign w:val="center"/>
          </w:tcPr>
          <w:p w14:paraId="5C2E3F50">
            <w:pPr>
              <w:pStyle w:val="178"/>
              <w:rPr>
                <w:rFonts w:hAnsi="宋体"/>
                <w:sz w:val="21"/>
                <w:szCs w:val="21"/>
              </w:rPr>
            </w:pPr>
            <w:r>
              <w:rPr>
                <w:rFonts w:hAnsi="宋体"/>
                <w:sz w:val="21"/>
                <w:szCs w:val="21"/>
              </w:rPr>
              <w:t>km</w:t>
            </w:r>
            <w:r>
              <w:rPr>
                <w:rFonts w:hAnsi="宋体"/>
                <w:sz w:val="21"/>
                <w:szCs w:val="21"/>
                <w:vertAlign w:val="superscript"/>
              </w:rPr>
              <w:t>2</w:t>
            </w:r>
          </w:p>
        </w:tc>
        <w:tc>
          <w:tcPr>
            <w:tcW w:w="1418" w:type="dxa"/>
            <w:shd w:val="clear" w:color="auto" w:fill="auto"/>
            <w:vAlign w:val="center"/>
          </w:tcPr>
          <w:p w14:paraId="07BD87F4">
            <w:pPr>
              <w:pStyle w:val="178"/>
              <w:rPr>
                <w:rFonts w:hAnsi="宋体"/>
                <w:sz w:val="21"/>
                <w:szCs w:val="21"/>
              </w:rPr>
            </w:pPr>
          </w:p>
        </w:tc>
        <w:tc>
          <w:tcPr>
            <w:tcW w:w="1417" w:type="dxa"/>
            <w:shd w:val="clear" w:color="auto" w:fill="auto"/>
            <w:vAlign w:val="center"/>
          </w:tcPr>
          <w:p w14:paraId="790EC50F">
            <w:pPr>
              <w:pStyle w:val="178"/>
              <w:rPr>
                <w:rFonts w:hAnsi="宋体"/>
                <w:sz w:val="21"/>
                <w:szCs w:val="21"/>
              </w:rPr>
            </w:pPr>
          </w:p>
        </w:tc>
        <w:tc>
          <w:tcPr>
            <w:tcW w:w="1244" w:type="dxa"/>
            <w:shd w:val="clear" w:color="auto" w:fill="auto"/>
            <w:vAlign w:val="center"/>
          </w:tcPr>
          <w:p w14:paraId="3873BFE0">
            <w:pPr>
              <w:pStyle w:val="178"/>
              <w:rPr>
                <w:rFonts w:hAnsi="宋体"/>
                <w:sz w:val="21"/>
                <w:szCs w:val="21"/>
              </w:rPr>
            </w:pPr>
          </w:p>
        </w:tc>
      </w:tr>
      <w:tr w14:paraId="3752E3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1550" w:type="dxa"/>
            <w:shd w:val="clear" w:color="auto" w:fill="auto"/>
            <w:vAlign w:val="center"/>
          </w:tcPr>
          <w:p w14:paraId="70483DED">
            <w:pPr>
              <w:pStyle w:val="178"/>
              <w:rPr>
                <w:rFonts w:hAnsi="宋体"/>
                <w:sz w:val="21"/>
                <w:szCs w:val="21"/>
              </w:rPr>
            </w:pPr>
          </w:p>
        </w:tc>
        <w:tc>
          <w:tcPr>
            <w:tcW w:w="2551" w:type="dxa"/>
            <w:shd w:val="clear" w:color="auto" w:fill="auto"/>
            <w:vAlign w:val="center"/>
          </w:tcPr>
          <w:p w14:paraId="5CDBDC9B">
            <w:pPr>
              <w:pStyle w:val="178"/>
              <w:rPr>
                <w:rFonts w:hAnsi="宋体"/>
                <w:sz w:val="21"/>
                <w:szCs w:val="21"/>
              </w:rPr>
            </w:pPr>
            <w:r>
              <w:rPr>
                <w:rFonts w:hAnsi="宋体"/>
                <w:sz w:val="21"/>
                <w:szCs w:val="21"/>
              </w:rPr>
              <w:t>......</w:t>
            </w:r>
          </w:p>
        </w:tc>
        <w:tc>
          <w:tcPr>
            <w:tcW w:w="1134" w:type="dxa"/>
            <w:shd w:val="clear" w:color="auto" w:fill="auto"/>
            <w:vAlign w:val="center"/>
          </w:tcPr>
          <w:p w14:paraId="28D6E9CA">
            <w:pPr>
              <w:pStyle w:val="178"/>
              <w:rPr>
                <w:rFonts w:hAnsi="宋体"/>
                <w:sz w:val="21"/>
                <w:szCs w:val="21"/>
              </w:rPr>
            </w:pPr>
            <w:r>
              <w:rPr>
                <w:rFonts w:hAnsi="宋体"/>
                <w:sz w:val="21"/>
                <w:szCs w:val="21"/>
              </w:rPr>
              <w:t>......</w:t>
            </w:r>
          </w:p>
        </w:tc>
        <w:tc>
          <w:tcPr>
            <w:tcW w:w="1418" w:type="dxa"/>
            <w:shd w:val="clear" w:color="auto" w:fill="auto"/>
            <w:vAlign w:val="center"/>
          </w:tcPr>
          <w:p w14:paraId="4D4BCE20">
            <w:pPr>
              <w:pStyle w:val="178"/>
              <w:rPr>
                <w:rFonts w:hAnsi="宋体"/>
                <w:sz w:val="21"/>
                <w:szCs w:val="21"/>
              </w:rPr>
            </w:pPr>
            <w:r>
              <w:rPr>
                <w:rFonts w:hAnsi="宋体"/>
                <w:sz w:val="21"/>
                <w:szCs w:val="21"/>
              </w:rPr>
              <w:t>......</w:t>
            </w:r>
          </w:p>
        </w:tc>
        <w:tc>
          <w:tcPr>
            <w:tcW w:w="1417" w:type="dxa"/>
            <w:shd w:val="clear" w:color="auto" w:fill="auto"/>
            <w:vAlign w:val="center"/>
          </w:tcPr>
          <w:p w14:paraId="17F65322">
            <w:pPr>
              <w:pStyle w:val="178"/>
              <w:rPr>
                <w:rFonts w:hAnsi="宋体"/>
                <w:sz w:val="21"/>
                <w:szCs w:val="21"/>
              </w:rPr>
            </w:pPr>
            <w:r>
              <w:rPr>
                <w:rFonts w:hAnsi="宋体"/>
                <w:sz w:val="21"/>
                <w:szCs w:val="21"/>
              </w:rPr>
              <w:t>......</w:t>
            </w:r>
          </w:p>
        </w:tc>
        <w:tc>
          <w:tcPr>
            <w:tcW w:w="1244" w:type="dxa"/>
            <w:shd w:val="clear" w:color="auto" w:fill="auto"/>
            <w:vAlign w:val="center"/>
          </w:tcPr>
          <w:p w14:paraId="002C59BA">
            <w:pPr>
              <w:pStyle w:val="178"/>
              <w:rPr>
                <w:rFonts w:hAnsi="宋体"/>
                <w:sz w:val="21"/>
                <w:szCs w:val="21"/>
              </w:rPr>
            </w:pPr>
            <w:r>
              <w:rPr>
                <w:rFonts w:hAnsi="宋体"/>
                <w:sz w:val="21"/>
                <w:szCs w:val="21"/>
              </w:rPr>
              <w:t>......</w:t>
            </w:r>
          </w:p>
        </w:tc>
      </w:tr>
      <w:tr w14:paraId="4BA28B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1550" w:type="dxa"/>
            <w:tcBorders>
              <w:bottom w:val="single" w:color="auto" w:sz="8" w:space="0"/>
            </w:tcBorders>
            <w:shd w:val="clear" w:color="auto" w:fill="auto"/>
            <w:vAlign w:val="center"/>
          </w:tcPr>
          <w:p w14:paraId="2B56E1FE">
            <w:pPr>
              <w:pStyle w:val="178"/>
              <w:rPr>
                <w:rFonts w:hAnsi="宋体"/>
                <w:sz w:val="21"/>
                <w:szCs w:val="21"/>
              </w:rPr>
            </w:pPr>
            <w:r>
              <w:rPr>
                <w:rFonts w:hAnsi="宋体"/>
                <w:sz w:val="21"/>
                <w:szCs w:val="21"/>
              </w:rPr>
              <w:t>......</w:t>
            </w:r>
          </w:p>
        </w:tc>
        <w:tc>
          <w:tcPr>
            <w:tcW w:w="2551" w:type="dxa"/>
            <w:tcBorders>
              <w:bottom w:val="single" w:color="auto" w:sz="8" w:space="0"/>
            </w:tcBorders>
            <w:shd w:val="clear" w:color="auto" w:fill="auto"/>
            <w:vAlign w:val="center"/>
          </w:tcPr>
          <w:p w14:paraId="2952099C">
            <w:pPr>
              <w:pStyle w:val="178"/>
              <w:rPr>
                <w:rFonts w:hAnsi="宋体"/>
                <w:sz w:val="21"/>
                <w:szCs w:val="21"/>
              </w:rPr>
            </w:pPr>
            <w:r>
              <w:rPr>
                <w:rFonts w:hAnsi="宋体"/>
                <w:sz w:val="21"/>
                <w:szCs w:val="21"/>
              </w:rPr>
              <w:t>......</w:t>
            </w:r>
          </w:p>
        </w:tc>
        <w:tc>
          <w:tcPr>
            <w:tcW w:w="1134" w:type="dxa"/>
            <w:tcBorders>
              <w:bottom w:val="single" w:color="auto" w:sz="8" w:space="0"/>
            </w:tcBorders>
            <w:shd w:val="clear" w:color="auto" w:fill="auto"/>
            <w:vAlign w:val="center"/>
          </w:tcPr>
          <w:p w14:paraId="579A4376">
            <w:pPr>
              <w:pStyle w:val="178"/>
              <w:rPr>
                <w:rFonts w:hAnsi="宋体"/>
                <w:sz w:val="21"/>
                <w:szCs w:val="21"/>
              </w:rPr>
            </w:pPr>
            <w:r>
              <w:rPr>
                <w:rFonts w:hAnsi="宋体"/>
                <w:sz w:val="21"/>
                <w:szCs w:val="21"/>
              </w:rPr>
              <w:t>......</w:t>
            </w:r>
          </w:p>
        </w:tc>
        <w:tc>
          <w:tcPr>
            <w:tcW w:w="1418" w:type="dxa"/>
            <w:tcBorders>
              <w:bottom w:val="single" w:color="auto" w:sz="8" w:space="0"/>
            </w:tcBorders>
            <w:shd w:val="clear" w:color="auto" w:fill="auto"/>
            <w:vAlign w:val="center"/>
          </w:tcPr>
          <w:p w14:paraId="2E2EB951">
            <w:pPr>
              <w:pStyle w:val="178"/>
              <w:rPr>
                <w:rFonts w:hAnsi="宋体"/>
                <w:sz w:val="21"/>
                <w:szCs w:val="21"/>
              </w:rPr>
            </w:pPr>
            <w:r>
              <w:rPr>
                <w:rFonts w:hAnsi="宋体"/>
                <w:sz w:val="21"/>
                <w:szCs w:val="21"/>
              </w:rPr>
              <w:t>......</w:t>
            </w:r>
          </w:p>
        </w:tc>
        <w:tc>
          <w:tcPr>
            <w:tcW w:w="1417" w:type="dxa"/>
            <w:tcBorders>
              <w:bottom w:val="single" w:color="auto" w:sz="8" w:space="0"/>
            </w:tcBorders>
            <w:shd w:val="clear" w:color="auto" w:fill="auto"/>
            <w:vAlign w:val="center"/>
          </w:tcPr>
          <w:p w14:paraId="5AABCCBE">
            <w:pPr>
              <w:pStyle w:val="178"/>
              <w:rPr>
                <w:rFonts w:hAnsi="宋体"/>
                <w:sz w:val="21"/>
                <w:szCs w:val="21"/>
              </w:rPr>
            </w:pPr>
            <w:r>
              <w:rPr>
                <w:rFonts w:hAnsi="宋体"/>
                <w:sz w:val="21"/>
                <w:szCs w:val="21"/>
              </w:rPr>
              <w:t>......</w:t>
            </w:r>
          </w:p>
        </w:tc>
        <w:tc>
          <w:tcPr>
            <w:tcW w:w="1244" w:type="dxa"/>
            <w:tcBorders>
              <w:bottom w:val="single" w:color="auto" w:sz="8" w:space="0"/>
            </w:tcBorders>
            <w:shd w:val="clear" w:color="auto" w:fill="auto"/>
            <w:vAlign w:val="center"/>
          </w:tcPr>
          <w:p w14:paraId="2D32D50D">
            <w:pPr>
              <w:pStyle w:val="178"/>
              <w:rPr>
                <w:rFonts w:hAnsi="宋体"/>
                <w:sz w:val="21"/>
                <w:szCs w:val="21"/>
              </w:rPr>
            </w:pPr>
            <w:r>
              <w:rPr>
                <w:rFonts w:hAnsi="宋体"/>
                <w:sz w:val="21"/>
                <w:szCs w:val="21"/>
              </w:rPr>
              <w:t>......</w:t>
            </w:r>
          </w:p>
        </w:tc>
      </w:tr>
    </w:tbl>
    <w:p w14:paraId="5EF2CBD1">
      <w:pPr>
        <w:pStyle w:val="77"/>
        <w:spacing w:before="120" w:after="120"/>
      </w:pPr>
      <w:bookmarkStart w:id="50" w:name="_Hlk167701805"/>
      <w:r>
        <w:rPr>
          <w:rFonts w:hint="eastAsia"/>
        </w:rPr>
        <w:t>×××岩溶石漠化生态保护修复工程表</w:t>
      </w:r>
    </w:p>
    <w:bookmarkEnd w:id="50"/>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16"/>
        <w:gridCol w:w="1134"/>
        <w:gridCol w:w="1249"/>
        <w:gridCol w:w="593"/>
        <w:gridCol w:w="709"/>
        <w:gridCol w:w="1276"/>
        <w:gridCol w:w="1843"/>
        <w:gridCol w:w="850"/>
        <w:gridCol w:w="567"/>
        <w:gridCol w:w="697"/>
      </w:tblGrid>
      <w:tr w14:paraId="7C52E6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7" w:hRule="atLeast"/>
          <w:tblHeader/>
          <w:jc w:val="center"/>
        </w:trPr>
        <w:tc>
          <w:tcPr>
            <w:tcW w:w="416" w:type="dxa"/>
            <w:tcBorders>
              <w:top w:val="single" w:color="auto" w:sz="8" w:space="0"/>
              <w:bottom w:val="single" w:color="auto" w:sz="8" w:space="0"/>
            </w:tcBorders>
            <w:shd w:val="clear" w:color="auto" w:fill="auto"/>
            <w:vAlign w:val="center"/>
          </w:tcPr>
          <w:p w14:paraId="72EE422D">
            <w:pPr>
              <w:pStyle w:val="178"/>
              <w:rPr>
                <w:rFonts w:hAnsi="宋体"/>
              </w:rPr>
            </w:pPr>
            <w:r>
              <w:rPr>
                <w:rFonts w:hAnsi="宋体"/>
                <w:szCs w:val="18"/>
              </w:rPr>
              <w:t>分区</w:t>
            </w:r>
          </w:p>
        </w:tc>
        <w:tc>
          <w:tcPr>
            <w:tcW w:w="1134" w:type="dxa"/>
            <w:tcBorders>
              <w:top w:val="single" w:color="auto" w:sz="8" w:space="0"/>
              <w:bottom w:val="single" w:color="auto" w:sz="8" w:space="0"/>
            </w:tcBorders>
            <w:shd w:val="clear" w:color="auto" w:fill="auto"/>
            <w:vAlign w:val="center"/>
          </w:tcPr>
          <w:p w14:paraId="729B3291">
            <w:pPr>
              <w:pStyle w:val="178"/>
              <w:rPr>
                <w:rFonts w:hAnsi="宋体"/>
              </w:rPr>
            </w:pPr>
            <w:r>
              <w:rPr>
                <w:rFonts w:hAnsi="宋体"/>
                <w:szCs w:val="18"/>
              </w:rPr>
              <w:t>县（市、区）</w:t>
            </w:r>
          </w:p>
        </w:tc>
        <w:tc>
          <w:tcPr>
            <w:tcW w:w="1249" w:type="dxa"/>
            <w:tcBorders>
              <w:top w:val="single" w:color="auto" w:sz="8" w:space="0"/>
              <w:bottom w:val="single" w:color="auto" w:sz="8" w:space="0"/>
            </w:tcBorders>
            <w:shd w:val="clear" w:color="auto" w:fill="auto"/>
            <w:vAlign w:val="center"/>
          </w:tcPr>
          <w:p w14:paraId="1427B2C0">
            <w:pPr>
              <w:pStyle w:val="178"/>
              <w:rPr>
                <w:rFonts w:hAnsi="宋体"/>
              </w:rPr>
            </w:pPr>
            <w:r>
              <w:rPr>
                <w:rFonts w:hAnsi="宋体"/>
                <w:szCs w:val="18"/>
              </w:rPr>
              <w:t>项目名称</w:t>
            </w:r>
          </w:p>
        </w:tc>
        <w:tc>
          <w:tcPr>
            <w:tcW w:w="593" w:type="dxa"/>
            <w:tcBorders>
              <w:top w:val="single" w:color="auto" w:sz="8" w:space="0"/>
              <w:bottom w:val="single" w:color="auto" w:sz="8" w:space="0"/>
            </w:tcBorders>
            <w:shd w:val="clear" w:color="auto" w:fill="auto"/>
            <w:vAlign w:val="center"/>
          </w:tcPr>
          <w:p w14:paraId="0826BF2A">
            <w:pPr>
              <w:pStyle w:val="178"/>
              <w:rPr>
                <w:rFonts w:hAnsi="宋体"/>
                <w:szCs w:val="18"/>
              </w:rPr>
            </w:pPr>
            <w:r>
              <w:rPr>
                <w:rFonts w:hAnsi="宋体"/>
                <w:szCs w:val="18"/>
              </w:rPr>
              <w:t>项目</w:t>
            </w:r>
          </w:p>
          <w:p w14:paraId="30E2A1CD">
            <w:pPr>
              <w:pStyle w:val="178"/>
              <w:rPr>
                <w:rFonts w:hAnsi="宋体"/>
              </w:rPr>
            </w:pPr>
            <w:r>
              <w:rPr>
                <w:rFonts w:hAnsi="宋体"/>
                <w:szCs w:val="18"/>
              </w:rPr>
              <w:t>类型</w:t>
            </w:r>
          </w:p>
        </w:tc>
        <w:tc>
          <w:tcPr>
            <w:tcW w:w="709" w:type="dxa"/>
            <w:tcBorders>
              <w:top w:val="single" w:color="auto" w:sz="8" w:space="0"/>
              <w:bottom w:val="single" w:color="auto" w:sz="8" w:space="0"/>
            </w:tcBorders>
            <w:shd w:val="clear" w:color="auto" w:fill="auto"/>
            <w:vAlign w:val="center"/>
          </w:tcPr>
          <w:p w14:paraId="6C1891D7">
            <w:pPr>
              <w:pStyle w:val="178"/>
              <w:rPr>
                <w:rFonts w:hAnsi="宋体"/>
              </w:rPr>
            </w:pPr>
            <w:r>
              <w:rPr>
                <w:rFonts w:hAnsi="宋体"/>
                <w:szCs w:val="18"/>
              </w:rPr>
              <w:t>子项目名称</w:t>
            </w:r>
          </w:p>
        </w:tc>
        <w:tc>
          <w:tcPr>
            <w:tcW w:w="1276" w:type="dxa"/>
            <w:tcBorders>
              <w:top w:val="single" w:color="auto" w:sz="8" w:space="0"/>
              <w:bottom w:val="single" w:color="auto" w:sz="8" w:space="0"/>
            </w:tcBorders>
            <w:shd w:val="clear" w:color="auto" w:fill="auto"/>
            <w:vAlign w:val="center"/>
          </w:tcPr>
          <w:p w14:paraId="480CF7E0">
            <w:pPr>
              <w:pStyle w:val="178"/>
              <w:rPr>
                <w:rFonts w:hAnsi="宋体"/>
              </w:rPr>
            </w:pPr>
            <w:r>
              <w:rPr>
                <w:rFonts w:hAnsi="宋体"/>
                <w:szCs w:val="18"/>
              </w:rPr>
              <w:t>建设内容</w:t>
            </w:r>
          </w:p>
        </w:tc>
        <w:tc>
          <w:tcPr>
            <w:tcW w:w="2693" w:type="dxa"/>
            <w:gridSpan w:val="2"/>
            <w:tcBorders>
              <w:top w:val="single" w:color="auto" w:sz="8" w:space="0"/>
              <w:bottom w:val="single" w:color="auto" w:sz="8" w:space="0"/>
            </w:tcBorders>
            <w:shd w:val="clear" w:color="auto" w:fill="auto"/>
            <w:vAlign w:val="center"/>
          </w:tcPr>
          <w:p w14:paraId="4B9B4DFC">
            <w:pPr>
              <w:pStyle w:val="178"/>
              <w:rPr>
                <w:rFonts w:hAnsi="宋体"/>
              </w:rPr>
            </w:pPr>
            <w:r>
              <w:rPr>
                <w:rFonts w:hAnsi="宋体"/>
                <w:szCs w:val="18"/>
              </w:rPr>
              <w:t>项目位置</w:t>
            </w:r>
          </w:p>
        </w:tc>
        <w:tc>
          <w:tcPr>
            <w:tcW w:w="567" w:type="dxa"/>
            <w:tcBorders>
              <w:top w:val="single" w:color="auto" w:sz="8" w:space="0"/>
              <w:bottom w:val="single" w:color="auto" w:sz="8" w:space="0"/>
            </w:tcBorders>
            <w:shd w:val="clear" w:color="auto" w:fill="auto"/>
            <w:vAlign w:val="center"/>
          </w:tcPr>
          <w:p w14:paraId="560306EE">
            <w:pPr>
              <w:pStyle w:val="178"/>
              <w:rPr>
                <w:rFonts w:hAnsi="宋体"/>
                <w:szCs w:val="18"/>
              </w:rPr>
            </w:pPr>
            <w:r>
              <w:rPr>
                <w:rFonts w:hAnsi="宋体"/>
                <w:szCs w:val="18"/>
              </w:rPr>
              <w:t>建设</w:t>
            </w:r>
          </w:p>
          <w:p w14:paraId="36F54A14">
            <w:pPr>
              <w:pStyle w:val="178"/>
              <w:rPr>
                <w:rFonts w:hAnsi="宋体"/>
              </w:rPr>
            </w:pPr>
            <w:r>
              <w:rPr>
                <w:rFonts w:hAnsi="宋体"/>
                <w:szCs w:val="18"/>
              </w:rPr>
              <w:t>周期</w:t>
            </w:r>
          </w:p>
        </w:tc>
        <w:tc>
          <w:tcPr>
            <w:tcW w:w="697" w:type="dxa"/>
            <w:tcBorders>
              <w:top w:val="single" w:color="auto" w:sz="8" w:space="0"/>
              <w:bottom w:val="single" w:color="auto" w:sz="8" w:space="0"/>
            </w:tcBorders>
            <w:shd w:val="clear" w:color="auto" w:fill="auto"/>
            <w:vAlign w:val="center"/>
          </w:tcPr>
          <w:p w14:paraId="495A0A38">
            <w:pPr>
              <w:pStyle w:val="178"/>
              <w:rPr>
                <w:rFonts w:hAnsi="宋体"/>
              </w:rPr>
            </w:pPr>
            <w:r>
              <w:rPr>
                <w:rFonts w:hAnsi="宋体"/>
                <w:szCs w:val="18"/>
              </w:rPr>
              <w:t>总投资</w:t>
            </w:r>
          </w:p>
        </w:tc>
      </w:tr>
      <w:tr w14:paraId="761C4C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416" w:type="dxa"/>
            <w:tcBorders>
              <w:top w:val="single" w:color="auto" w:sz="8" w:space="0"/>
            </w:tcBorders>
            <w:shd w:val="clear" w:color="auto" w:fill="auto"/>
            <w:vAlign w:val="center"/>
          </w:tcPr>
          <w:p w14:paraId="2AC3CE17">
            <w:pPr>
              <w:pStyle w:val="178"/>
              <w:rPr>
                <w:rFonts w:hAnsi="宋体"/>
              </w:rPr>
            </w:pPr>
          </w:p>
        </w:tc>
        <w:tc>
          <w:tcPr>
            <w:tcW w:w="1134" w:type="dxa"/>
            <w:tcBorders>
              <w:top w:val="single" w:color="auto" w:sz="8" w:space="0"/>
            </w:tcBorders>
            <w:shd w:val="clear" w:color="auto" w:fill="auto"/>
            <w:vAlign w:val="center"/>
          </w:tcPr>
          <w:p w14:paraId="070D503B">
            <w:pPr>
              <w:pStyle w:val="178"/>
              <w:rPr>
                <w:rFonts w:hAnsi="宋体"/>
              </w:rPr>
            </w:pPr>
          </w:p>
        </w:tc>
        <w:tc>
          <w:tcPr>
            <w:tcW w:w="1249" w:type="dxa"/>
            <w:tcBorders>
              <w:top w:val="single" w:color="auto" w:sz="8" w:space="0"/>
            </w:tcBorders>
            <w:shd w:val="clear" w:color="auto" w:fill="auto"/>
            <w:vAlign w:val="center"/>
          </w:tcPr>
          <w:p w14:paraId="71BA24FF">
            <w:pPr>
              <w:pStyle w:val="178"/>
              <w:rPr>
                <w:rFonts w:hAnsi="宋体"/>
              </w:rPr>
            </w:pPr>
          </w:p>
        </w:tc>
        <w:tc>
          <w:tcPr>
            <w:tcW w:w="593" w:type="dxa"/>
            <w:tcBorders>
              <w:top w:val="single" w:color="auto" w:sz="8" w:space="0"/>
            </w:tcBorders>
            <w:shd w:val="clear" w:color="auto" w:fill="auto"/>
            <w:vAlign w:val="center"/>
          </w:tcPr>
          <w:p w14:paraId="7B77F5DF">
            <w:pPr>
              <w:pStyle w:val="178"/>
              <w:rPr>
                <w:rFonts w:hAnsi="宋体"/>
              </w:rPr>
            </w:pPr>
          </w:p>
        </w:tc>
        <w:tc>
          <w:tcPr>
            <w:tcW w:w="709" w:type="dxa"/>
            <w:tcBorders>
              <w:top w:val="single" w:color="auto" w:sz="8" w:space="0"/>
            </w:tcBorders>
            <w:shd w:val="clear" w:color="auto" w:fill="auto"/>
            <w:vAlign w:val="center"/>
          </w:tcPr>
          <w:p w14:paraId="33240FF6">
            <w:pPr>
              <w:pStyle w:val="178"/>
              <w:rPr>
                <w:rFonts w:hAnsi="宋体"/>
              </w:rPr>
            </w:pPr>
          </w:p>
        </w:tc>
        <w:tc>
          <w:tcPr>
            <w:tcW w:w="1276" w:type="dxa"/>
            <w:tcBorders>
              <w:top w:val="single" w:color="auto" w:sz="8" w:space="0"/>
            </w:tcBorders>
            <w:shd w:val="clear" w:color="auto" w:fill="auto"/>
            <w:vAlign w:val="center"/>
          </w:tcPr>
          <w:p w14:paraId="5A01A8E9">
            <w:pPr>
              <w:pStyle w:val="178"/>
              <w:rPr>
                <w:rFonts w:hAnsi="宋体"/>
              </w:rPr>
            </w:pPr>
          </w:p>
        </w:tc>
        <w:tc>
          <w:tcPr>
            <w:tcW w:w="1843" w:type="dxa"/>
            <w:tcBorders>
              <w:top w:val="single" w:color="auto" w:sz="8" w:space="0"/>
            </w:tcBorders>
            <w:shd w:val="clear" w:color="auto" w:fill="auto"/>
            <w:vAlign w:val="center"/>
          </w:tcPr>
          <w:p w14:paraId="3D70ECB0">
            <w:pPr>
              <w:pStyle w:val="178"/>
              <w:rPr>
                <w:rFonts w:hAnsi="宋体"/>
                <w:szCs w:val="18"/>
              </w:rPr>
            </w:pPr>
            <w:r>
              <w:rPr>
                <w:rFonts w:hAnsi="宋体"/>
                <w:szCs w:val="18"/>
              </w:rPr>
              <w:t>所在县（市、区）</w:t>
            </w:r>
          </w:p>
          <w:p w14:paraId="1D19878A">
            <w:pPr>
              <w:pStyle w:val="178"/>
              <w:rPr>
                <w:rFonts w:hAnsi="宋体"/>
              </w:rPr>
            </w:pPr>
            <w:r>
              <w:rPr>
                <w:rFonts w:hAnsi="宋体"/>
                <w:szCs w:val="18"/>
              </w:rPr>
              <w:t>乡镇、村</w:t>
            </w:r>
          </w:p>
        </w:tc>
        <w:tc>
          <w:tcPr>
            <w:tcW w:w="850" w:type="dxa"/>
            <w:tcBorders>
              <w:top w:val="single" w:color="auto" w:sz="8" w:space="0"/>
            </w:tcBorders>
            <w:shd w:val="clear" w:color="auto" w:fill="auto"/>
            <w:vAlign w:val="center"/>
          </w:tcPr>
          <w:p w14:paraId="726EC858">
            <w:pPr>
              <w:pStyle w:val="178"/>
              <w:rPr>
                <w:rFonts w:hAnsi="宋体"/>
                <w:szCs w:val="18"/>
              </w:rPr>
            </w:pPr>
            <w:r>
              <w:rPr>
                <w:rFonts w:hAnsi="宋体"/>
                <w:szCs w:val="18"/>
              </w:rPr>
              <w:t>经纬度</w:t>
            </w:r>
          </w:p>
          <w:p w14:paraId="5E44AE11">
            <w:pPr>
              <w:pStyle w:val="178"/>
              <w:rPr>
                <w:rFonts w:hAnsi="宋体"/>
              </w:rPr>
            </w:pPr>
            <w:r>
              <w:rPr>
                <w:rFonts w:hAnsi="宋体"/>
                <w:szCs w:val="18"/>
              </w:rPr>
              <w:t>坐标</w:t>
            </w:r>
          </w:p>
        </w:tc>
        <w:tc>
          <w:tcPr>
            <w:tcW w:w="567" w:type="dxa"/>
            <w:tcBorders>
              <w:top w:val="single" w:color="auto" w:sz="8" w:space="0"/>
            </w:tcBorders>
            <w:shd w:val="clear" w:color="auto" w:fill="auto"/>
            <w:vAlign w:val="center"/>
          </w:tcPr>
          <w:p w14:paraId="34691512">
            <w:pPr>
              <w:pStyle w:val="178"/>
              <w:rPr>
                <w:rFonts w:hAnsi="宋体"/>
              </w:rPr>
            </w:pPr>
          </w:p>
        </w:tc>
        <w:tc>
          <w:tcPr>
            <w:tcW w:w="697" w:type="dxa"/>
            <w:tcBorders>
              <w:top w:val="single" w:color="auto" w:sz="8" w:space="0"/>
            </w:tcBorders>
            <w:shd w:val="clear" w:color="auto" w:fill="auto"/>
            <w:vAlign w:val="center"/>
          </w:tcPr>
          <w:p w14:paraId="4EEFE2F8">
            <w:pPr>
              <w:pStyle w:val="178"/>
              <w:rPr>
                <w:rFonts w:hAnsi="宋体"/>
              </w:rPr>
            </w:pPr>
          </w:p>
        </w:tc>
      </w:tr>
      <w:tr w14:paraId="237676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416" w:type="dxa"/>
            <w:shd w:val="clear" w:color="auto" w:fill="auto"/>
            <w:vAlign w:val="center"/>
          </w:tcPr>
          <w:p w14:paraId="1093FA00">
            <w:pPr>
              <w:pStyle w:val="178"/>
              <w:rPr>
                <w:rFonts w:hAnsi="宋体"/>
              </w:rPr>
            </w:pPr>
          </w:p>
        </w:tc>
        <w:tc>
          <w:tcPr>
            <w:tcW w:w="1134" w:type="dxa"/>
            <w:shd w:val="clear" w:color="auto" w:fill="auto"/>
            <w:vAlign w:val="center"/>
          </w:tcPr>
          <w:p w14:paraId="678A5538">
            <w:pPr>
              <w:pStyle w:val="178"/>
              <w:rPr>
                <w:rFonts w:hAnsi="宋体"/>
              </w:rPr>
            </w:pPr>
          </w:p>
        </w:tc>
        <w:tc>
          <w:tcPr>
            <w:tcW w:w="1249" w:type="dxa"/>
            <w:shd w:val="clear" w:color="auto" w:fill="auto"/>
            <w:vAlign w:val="center"/>
          </w:tcPr>
          <w:p w14:paraId="7B8C20E7">
            <w:pPr>
              <w:pStyle w:val="178"/>
              <w:rPr>
                <w:rFonts w:hAnsi="宋体"/>
              </w:rPr>
            </w:pPr>
          </w:p>
        </w:tc>
        <w:tc>
          <w:tcPr>
            <w:tcW w:w="593" w:type="dxa"/>
            <w:shd w:val="clear" w:color="auto" w:fill="auto"/>
            <w:vAlign w:val="center"/>
          </w:tcPr>
          <w:p w14:paraId="27ACAC8C">
            <w:pPr>
              <w:pStyle w:val="178"/>
              <w:rPr>
                <w:rFonts w:hAnsi="宋体"/>
              </w:rPr>
            </w:pPr>
          </w:p>
        </w:tc>
        <w:tc>
          <w:tcPr>
            <w:tcW w:w="709" w:type="dxa"/>
            <w:shd w:val="clear" w:color="auto" w:fill="auto"/>
            <w:vAlign w:val="center"/>
          </w:tcPr>
          <w:p w14:paraId="5D0BC123">
            <w:pPr>
              <w:pStyle w:val="178"/>
              <w:rPr>
                <w:rFonts w:hAnsi="宋体"/>
              </w:rPr>
            </w:pPr>
          </w:p>
        </w:tc>
        <w:tc>
          <w:tcPr>
            <w:tcW w:w="1276" w:type="dxa"/>
            <w:shd w:val="clear" w:color="auto" w:fill="auto"/>
            <w:vAlign w:val="center"/>
          </w:tcPr>
          <w:p w14:paraId="736E4759">
            <w:pPr>
              <w:pStyle w:val="178"/>
              <w:rPr>
                <w:rFonts w:hAnsi="宋体"/>
              </w:rPr>
            </w:pPr>
          </w:p>
        </w:tc>
        <w:tc>
          <w:tcPr>
            <w:tcW w:w="1843" w:type="dxa"/>
            <w:shd w:val="clear" w:color="auto" w:fill="auto"/>
            <w:vAlign w:val="center"/>
          </w:tcPr>
          <w:p w14:paraId="3F069B2E">
            <w:pPr>
              <w:pStyle w:val="178"/>
              <w:rPr>
                <w:rFonts w:hAnsi="宋体"/>
              </w:rPr>
            </w:pPr>
          </w:p>
        </w:tc>
        <w:tc>
          <w:tcPr>
            <w:tcW w:w="850" w:type="dxa"/>
            <w:shd w:val="clear" w:color="auto" w:fill="auto"/>
            <w:vAlign w:val="center"/>
          </w:tcPr>
          <w:p w14:paraId="216CDEB2">
            <w:pPr>
              <w:pStyle w:val="178"/>
              <w:rPr>
                <w:rFonts w:hAnsi="宋体"/>
              </w:rPr>
            </w:pPr>
          </w:p>
        </w:tc>
        <w:tc>
          <w:tcPr>
            <w:tcW w:w="567" w:type="dxa"/>
            <w:shd w:val="clear" w:color="auto" w:fill="auto"/>
            <w:vAlign w:val="center"/>
          </w:tcPr>
          <w:p w14:paraId="6680009E">
            <w:pPr>
              <w:pStyle w:val="178"/>
              <w:rPr>
                <w:rFonts w:hAnsi="宋体"/>
              </w:rPr>
            </w:pPr>
          </w:p>
        </w:tc>
        <w:tc>
          <w:tcPr>
            <w:tcW w:w="697" w:type="dxa"/>
            <w:shd w:val="clear" w:color="auto" w:fill="auto"/>
            <w:vAlign w:val="center"/>
          </w:tcPr>
          <w:p w14:paraId="22A2DC87">
            <w:pPr>
              <w:pStyle w:val="178"/>
              <w:rPr>
                <w:rFonts w:hAnsi="宋体"/>
              </w:rPr>
            </w:pPr>
          </w:p>
        </w:tc>
      </w:tr>
    </w:tbl>
    <w:p w14:paraId="1B22C896">
      <w:pPr>
        <w:pStyle w:val="56"/>
        <w:ind w:firstLine="420"/>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linePitch="312" w:charSpace="0"/>
        </w:sectPr>
      </w:pPr>
    </w:p>
    <w:p w14:paraId="65BA3E5C">
      <w:pPr>
        <w:pStyle w:val="198"/>
        <w:rPr>
          <w:vanish w:val="0"/>
        </w:rPr>
      </w:pPr>
    </w:p>
    <w:p w14:paraId="794D2D88">
      <w:pPr>
        <w:pStyle w:val="199"/>
        <w:rPr>
          <w:vanish w:val="0"/>
        </w:rPr>
      </w:pPr>
    </w:p>
    <w:p w14:paraId="23DE3E90">
      <w:pPr>
        <w:pStyle w:val="76"/>
        <w:spacing w:after="120"/>
      </w:pPr>
      <w:r>
        <w:br w:type="textWrapping"/>
      </w:r>
      <w:r>
        <w:rPr>
          <w:rFonts w:hint="eastAsia"/>
        </w:rPr>
        <w:t>（资料性）</w:t>
      </w:r>
      <w:r>
        <w:br w:type="textWrapping"/>
      </w:r>
      <w:bookmarkStart w:id="51" w:name="_Hlk167714611"/>
      <w:r>
        <w:rPr>
          <w:rFonts w:hint="eastAsia"/>
        </w:rPr>
        <w:t>规划成果数据库</w:t>
      </w:r>
      <w:bookmarkEnd w:id="51"/>
    </w:p>
    <w:p w14:paraId="259BF394">
      <w:pPr>
        <w:pStyle w:val="56"/>
        <w:ind w:firstLine="420"/>
      </w:pPr>
      <w:r>
        <w:rPr>
          <w:rFonts w:hint="eastAsia"/>
        </w:rPr>
        <w:t>规划成果数据库应遵循以下原则：</w:t>
      </w:r>
    </w:p>
    <w:p w14:paraId="71402723">
      <w:pPr>
        <w:pStyle w:val="174"/>
      </w:pPr>
      <w:r>
        <w:rPr>
          <w:rFonts w:hint="eastAsia"/>
        </w:rPr>
        <w:t>数据库建设应贯穿规划编制全过程，数据库建库流程与具体业务流程一致。</w:t>
      </w:r>
    </w:p>
    <w:p w14:paraId="0CDE6FD9">
      <w:pPr>
        <w:pStyle w:val="174"/>
      </w:pPr>
      <w:r>
        <w:rPr>
          <w:rFonts w:hint="eastAsia" w:hAnsi="宋体"/>
        </w:rPr>
        <w:t>不同业务工作阶段的数据库建设应在相应阶段完成，以确保数据的一致性和继承性。</w:t>
      </w:r>
    </w:p>
    <w:p w14:paraId="0B9F9BD5">
      <w:pPr>
        <w:pStyle w:val="174"/>
      </w:pPr>
      <w:r>
        <w:rPr>
          <w:rFonts w:hint="eastAsia" w:hAnsi="宋体"/>
        </w:rPr>
        <w:t>采用MapGIS6.7或ArcGIS9.3及以上版本，数据坐标统一采用2000国家大地坐标系（CGCS2000）,高程采用1985国家高程基准。</w:t>
      </w:r>
    </w:p>
    <w:p w14:paraId="30676E3B">
      <w:pPr>
        <w:pStyle w:val="174"/>
      </w:pPr>
      <w:r>
        <w:rPr>
          <w:rFonts w:hint="eastAsia" w:hAnsi="宋体"/>
        </w:rPr>
        <w:t>数据库应包括岩溶地区生态环境问题库、生态分区库、生态修复工程库，成果数据库验收应与成果验收同步。</w:t>
      </w:r>
    </w:p>
    <w:p w14:paraId="7BCA1425">
      <w:pPr>
        <w:pStyle w:val="56"/>
        <w:ind w:firstLine="420"/>
        <w:jc w:val="center"/>
      </w:pPr>
    </w:p>
    <w:bookmarkEnd w:id="45"/>
    <w:p w14:paraId="07234D02">
      <w:pPr>
        <w:pStyle w:val="56"/>
        <w:ind w:firstLine="420"/>
        <w:jc w:val="center"/>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linePitch="312" w:charSpace="0"/>
        </w:sectPr>
      </w:pPr>
      <w:bookmarkStart w:id="52" w:name="BookMark6"/>
    </w:p>
    <w:p w14:paraId="08E83EAE">
      <w:pPr>
        <w:pStyle w:val="63"/>
        <w:spacing w:after="120"/>
      </w:pPr>
      <w:r>
        <w:rPr>
          <w:rFonts w:hint="eastAsia"/>
          <w:spacing w:val="105"/>
        </w:rPr>
        <w:t>参考文</w:t>
      </w:r>
      <w:r>
        <w:rPr>
          <w:rFonts w:hint="eastAsia"/>
        </w:rPr>
        <w:t>献</w:t>
      </w:r>
    </w:p>
    <w:p w14:paraId="53A0BEDD">
      <w:pPr>
        <w:pStyle w:val="56"/>
        <w:ind w:firstLine="420"/>
        <w:rPr>
          <w:rFonts w:hint="eastAsia"/>
        </w:rPr>
      </w:pPr>
      <w:r>
        <w:rPr>
          <w:rFonts w:hint="eastAsia"/>
        </w:rPr>
        <w:t>[1]  GB 12329  岩溶地质术语</w:t>
      </w:r>
    </w:p>
    <w:p w14:paraId="32BC7E8C">
      <w:pPr>
        <w:pStyle w:val="56"/>
        <w:ind w:firstLine="420"/>
        <w:rPr>
          <w:rFonts w:hint="eastAsia"/>
        </w:rPr>
      </w:pPr>
      <w:r>
        <w:rPr>
          <w:rFonts w:hint="eastAsia"/>
        </w:rPr>
        <w:t>[2]  GB/T 43217  岩溶洞穴基本术语</w:t>
      </w:r>
    </w:p>
    <w:p w14:paraId="1325DAEA">
      <w:pPr>
        <w:pStyle w:val="56"/>
        <w:ind w:firstLine="420"/>
        <w:rPr>
          <w:rFonts w:hint="eastAsia"/>
        </w:rPr>
      </w:pPr>
      <w:r>
        <w:rPr>
          <w:rFonts w:hint="eastAsia"/>
        </w:rPr>
        <w:t>[3]  DZ/T 0295  土地质量地球化学评价规范</w:t>
      </w:r>
    </w:p>
    <w:p w14:paraId="7A776BCB">
      <w:pPr>
        <w:pStyle w:val="56"/>
        <w:ind w:firstLine="420"/>
        <w:rPr>
          <w:rFonts w:hint="eastAsia"/>
        </w:rPr>
      </w:pPr>
      <w:r>
        <w:rPr>
          <w:rFonts w:hint="eastAsia"/>
        </w:rPr>
        <w:t>[4]  DZ/T 0296  地质环境遥感监测技术要求（1：250000）</w:t>
      </w:r>
    </w:p>
    <w:p w14:paraId="014213C3">
      <w:pPr>
        <w:pStyle w:val="56"/>
        <w:ind w:firstLine="420"/>
        <w:rPr>
          <w:rFonts w:hint="eastAsia"/>
        </w:rPr>
      </w:pPr>
      <w:r>
        <w:rPr>
          <w:rFonts w:hint="eastAsia"/>
        </w:rPr>
        <w:t>[5]  LY/T 1840  喀斯特地区植被恢复技术规程</w:t>
      </w:r>
    </w:p>
    <w:p w14:paraId="5392DF49">
      <w:pPr>
        <w:pStyle w:val="56"/>
        <w:ind w:firstLine="420"/>
        <w:rPr>
          <w:rFonts w:hint="eastAsia"/>
        </w:rPr>
      </w:pPr>
      <w:r>
        <w:rPr>
          <w:rFonts w:hint="eastAsia"/>
        </w:rPr>
        <w:t>[6]  LY/T 2250  森林土壤调查技术规程</w:t>
      </w:r>
    </w:p>
    <w:p w14:paraId="57D2391F">
      <w:pPr>
        <w:pStyle w:val="56"/>
        <w:ind w:firstLine="420"/>
        <w:rPr>
          <w:rFonts w:hint="eastAsia"/>
        </w:rPr>
      </w:pPr>
      <w:r>
        <w:rPr>
          <w:rFonts w:hint="eastAsia"/>
        </w:rPr>
        <w:t>[7]  LY/T 2994  石漠化治理监测与评价规范</w:t>
      </w:r>
    </w:p>
    <w:p w14:paraId="2D21A48F">
      <w:pPr>
        <w:pStyle w:val="56"/>
        <w:ind w:firstLine="420"/>
        <w:rPr>
          <w:rFonts w:hint="eastAsia"/>
        </w:rPr>
      </w:pPr>
      <w:r>
        <w:rPr>
          <w:rFonts w:hint="eastAsia"/>
        </w:rPr>
        <w:t>[8]  LY/T 3258  岩溶石漠生态系统定位观测技术规范</w:t>
      </w:r>
    </w:p>
    <w:p w14:paraId="28B0DCB8">
      <w:pPr>
        <w:pStyle w:val="56"/>
        <w:ind w:firstLine="420"/>
        <w:rPr>
          <w:rFonts w:hint="eastAsia"/>
        </w:rPr>
      </w:pPr>
      <w:r>
        <w:rPr>
          <w:rFonts w:hint="eastAsia"/>
        </w:rPr>
        <w:t>[9]  SL/T 709  河湖生态保护与修复规划导则</w:t>
      </w:r>
    </w:p>
    <w:p w14:paraId="0D59770D">
      <w:pPr>
        <w:pStyle w:val="56"/>
        <w:ind w:firstLine="420"/>
        <w:rPr>
          <w:rFonts w:hint="eastAsia"/>
        </w:rPr>
      </w:pPr>
      <w:r>
        <w:rPr>
          <w:rFonts w:hint="eastAsia"/>
        </w:rPr>
        <w:t>[10]  SL 461  岩溶地区水土流失综合治理技术标准</w:t>
      </w:r>
    </w:p>
    <w:p w14:paraId="471A9FA9">
      <w:pPr>
        <w:pStyle w:val="56"/>
        <w:ind w:firstLine="420"/>
        <w:rPr>
          <w:rFonts w:hint="eastAsia"/>
        </w:rPr>
      </w:pPr>
      <w:r>
        <w:rPr>
          <w:rFonts w:hint="eastAsia"/>
        </w:rPr>
        <w:t>[11]  DB34/T 4383   市、县级国土空间生态修复规划编制指南</w:t>
      </w:r>
    </w:p>
    <w:p w14:paraId="06C95EF8">
      <w:pPr>
        <w:pStyle w:val="56"/>
        <w:ind w:firstLine="420"/>
        <w:rPr>
          <w:rFonts w:hint="eastAsia"/>
        </w:rPr>
      </w:pPr>
      <w:r>
        <w:rPr>
          <w:rFonts w:hint="eastAsia"/>
        </w:rPr>
        <w:t>[12]  DB41/T 1992  山水林田湖草生态保护修复规划技术规范</w:t>
      </w:r>
    </w:p>
    <w:p w14:paraId="780CDAE3">
      <w:pPr>
        <w:pStyle w:val="56"/>
        <w:ind w:firstLine="420"/>
        <w:rPr>
          <w:rFonts w:hint="eastAsia"/>
        </w:rPr>
      </w:pPr>
      <w:r>
        <w:rPr>
          <w:rFonts w:hint="eastAsia"/>
        </w:rPr>
        <w:t>[13]  DB42/T 1261  岩溶区石漠化生态治理技术规程</w:t>
      </w:r>
    </w:p>
    <w:p w14:paraId="248AC5BF">
      <w:pPr>
        <w:pStyle w:val="56"/>
        <w:ind w:firstLine="420"/>
        <w:rPr>
          <w:rFonts w:hint="eastAsia"/>
        </w:rPr>
      </w:pPr>
      <w:r>
        <w:rPr>
          <w:rFonts w:hint="eastAsia"/>
        </w:rPr>
        <w:t>[14]  DB45/T 2055  岩溶地区栖息地恢复技术导则</w:t>
      </w:r>
    </w:p>
    <w:p w14:paraId="5AC32F10">
      <w:pPr>
        <w:pStyle w:val="56"/>
        <w:ind w:firstLine="420"/>
      </w:pPr>
      <w:r>
        <w:rPr>
          <w:rFonts w:hint="eastAsia"/>
        </w:rPr>
        <w:t>[15]  DB50/T 674  岩溶峡谷石漠化区植被修复技术规程</w:t>
      </w:r>
    </w:p>
    <w:bookmarkEnd w:id="52"/>
    <w:p w14:paraId="6870FB6B">
      <w:pPr>
        <w:pStyle w:val="56"/>
        <w:ind w:firstLine="0" w:firstLineChars="0"/>
        <w:jc w:val="center"/>
      </w:pPr>
      <w:bookmarkStart w:id="53" w:name="BookMark8"/>
      <w:r>
        <w:rPr>
          <w:rFonts w:hint="eastAsia"/>
        </w:rPr>
        <w:drawing>
          <wp:inline distT="0" distB="0" distL="0" distR="0">
            <wp:extent cx="1485900" cy="317500"/>
            <wp:effectExtent l="0" t="0" r="0" b="6350"/>
            <wp:docPr id="2021536873" name="图片 2"/>
            <wp:cNvGraphicFramePr/>
            <a:graphic xmlns:a="http://schemas.openxmlformats.org/drawingml/2006/main">
              <a:graphicData uri="http://schemas.openxmlformats.org/drawingml/2006/picture">
                <pic:pic xmlns:pic="http://schemas.openxmlformats.org/drawingml/2006/picture">
                  <pic:nvPicPr>
                    <pic:cNvPr id="2021536873" name="图片 2"/>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3"/>
    </w:p>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E00B5">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C47CF">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3ABC6">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EDA89">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6B910">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8F6A7">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253B7">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75A69">
    <w:pPr>
      <w:pStyle w:val="61"/>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AA237">
    <w:pPr>
      <w:pStyle w:val="18"/>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3544"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85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1134"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cwMzBhNDA5MWZkNjNjNjFjNmFkMDk0MGQ5YjMxZTYifQ=="/>
  </w:docVars>
  <w:rsids>
    <w:rsidRoot w:val="008B184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0E23"/>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94D"/>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340"/>
    <w:rsid w:val="000E3B3D"/>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3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160D"/>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A0C"/>
    <w:rsid w:val="001C7FEA"/>
    <w:rsid w:val="001D0499"/>
    <w:rsid w:val="001D0BBE"/>
    <w:rsid w:val="001D0ED4"/>
    <w:rsid w:val="001D212F"/>
    <w:rsid w:val="001D29D7"/>
    <w:rsid w:val="001D2DE7"/>
    <w:rsid w:val="001D411C"/>
    <w:rsid w:val="001D7606"/>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5CF8"/>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36B"/>
    <w:rsid w:val="00400E72"/>
    <w:rsid w:val="00401400"/>
    <w:rsid w:val="00404869"/>
    <w:rsid w:val="00405884"/>
    <w:rsid w:val="00407D39"/>
    <w:rsid w:val="0041477A"/>
    <w:rsid w:val="004167A3"/>
    <w:rsid w:val="00432DAA"/>
    <w:rsid w:val="00434305"/>
    <w:rsid w:val="00434D7D"/>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526C"/>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7404B"/>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615E"/>
    <w:rsid w:val="005A7830"/>
    <w:rsid w:val="005A7AB6"/>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0C03"/>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10B2"/>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4A0E"/>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460E"/>
    <w:rsid w:val="006F6284"/>
    <w:rsid w:val="007002C5"/>
    <w:rsid w:val="00704387"/>
    <w:rsid w:val="00707669"/>
    <w:rsid w:val="00711CBA"/>
    <w:rsid w:val="00711FB5"/>
    <w:rsid w:val="00712A01"/>
    <w:rsid w:val="00714F58"/>
    <w:rsid w:val="00722FBF"/>
    <w:rsid w:val="00722FC2"/>
    <w:rsid w:val="00724E1B"/>
    <w:rsid w:val="00725949"/>
    <w:rsid w:val="0072634A"/>
    <w:rsid w:val="00727FA2"/>
    <w:rsid w:val="007322D9"/>
    <w:rsid w:val="00732BC0"/>
    <w:rsid w:val="00733FEF"/>
    <w:rsid w:val="0073720F"/>
    <w:rsid w:val="00737796"/>
    <w:rsid w:val="0074165C"/>
    <w:rsid w:val="00742C35"/>
    <w:rsid w:val="007432CA"/>
    <w:rsid w:val="007439EB"/>
    <w:rsid w:val="00743CB4"/>
    <w:rsid w:val="00743F0A"/>
    <w:rsid w:val="007444E8"/>
    <w:rsid w:val="0074548E"/>
    <w:rsid w:val="00745627"/>
    <w:rsid w:val="00745773"/>
    <w:rsid w:val="00746800"/>
    <w:rsid w:val="007501A8"/>
    <w:rsid w:val="00750D61"/>
    <w:rsid w:val="00750EE1"/>
    <w:rsid w:val="00752B4D"/>
    <w:rsid w:val="00755402"/>
    <w:rsid w:val="00756B26"/>
    <w:rsid w:val="00756EDF"/>
    <w:rsid w:val="007600E3"/>
    <w:rsid w:val="0076098D"/>
    <w:rsid w:val="00765C43"/>
    <w:rsid w:val="00765EFB"/>
    <w:rsid w:val="007671CA"/>
    <w:rsid w:val="00767C61"/>
    <w:rsid w:val="0077008A"/>
    <w:rsid w:val="00773C1F"/>
    <w:rsid w:val="007744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3FA6"/>
    <w:rsid w:val="007F0ED8"/>
    <w:rsid w:val="007F0F63"/>
    <w:rsid w:val="007F75CE"/>
    <w:rsid w:val="008013A4"/>
    <w:rsid w:val="00801E12"/>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1ACE"/>
    <w:rsid w:val="008A57E6"/>
    <w:rsid w:val="008A6F81"/>
    <w:rsid w:val="008A769A"/>
    <w:rsid w:val="008B0C9C"/>
    <w:rsid w:val="008B166D"/>
    <w:rsid w:val="008B17F4"/>
    <w:rsid w:val="008B184E"/>
    <w:rsid w:val="008B3615"/>
    <w:rsid w:val="008B4AC4"/>
    <w:rsid w:val="008B50C8"/>
    <w:rsid w:val="008B5281"/>
    <w:rsid w:val="008B748C"/>
    <w:rsid w:val="008B7E05"/>
    <w:rsid w:val="008C1797"/>
    <w:rsid w:val="008C219C"/>
    <w:rsid w:val="008C475E"/>
    <w:rsid w:val="008C619A"/>
    <w:rsid w:val="008C7ADE"/>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0859"/>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0F8E"/>
    <w:rsid w:val="009A118E"/>
    <w:rsid w:val="009A21CD"/>
    <w:rsid w:val="009A278C"/>
    <w:rsid w:val="009A2BC2"/>
    <w:rsid w:val="009A42C1"/>
    <w:rsid w:val="009A5429"/>
    <w:rsid w:val="009A72AD"/>
    <w:rsid w:val="009B09E0"/>
    <w:rsid w:val="009B0BC5"/>
    <w:rsid w:val="009B0F2E"/>
    <w:rsid w:val="009B1247"/>
    <w:rsid w:val="009B5422"/>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1E81"/>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39C"/>
    <w:rsid w:val="00A9295B"/>
    <w:rsid w:val="00A93B09"/>
    <w:rsid w:val="00A952D7"/>
    <w:rsid w:val="00A963F7"/>
    <w:rsid w:val="00A96AD8"/>
    <w:rsid w:val="00AA052C"/>
    <w:rsid w:val="00AA1E45"/>
    <w:rsid w:val="00AA4286"/>
    <w:rsid w:val="00AA456B"/>
    <w:rsid w:val="00AA57F5"/>
    <w:rsid w:val="00AA672E"/>
    <w:rsid w:val="00AA6EC9"/>
    <w:rsid w:val="00AB41E2"/>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E71AD"/>
    <w:rsid w:val="00AF0C18"/>
    <w:rsid w:val="00AF47C5"/>
    <w:rsid w:val="00AF5398"/>
    <w:rsid w:val="00B049AF"/>
    <w:rsid w:val="00B07242"/>
    <w:rsid w:val="00B10534"/>
    <w:rsid w:val="00B113DB"/>
    <w:rsid w:val="00B11D8A"/>
    <w:rsid w:val="00B12981"/>
    <w:rsid w:val="00B147DD"/>
    <w:rsid w:val="00B156FD"/>
    <w:rsid w:val="00B168EF"/>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3FC4"/>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2A9E"/>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57BE"/>
    <w:rsid w:val="00CA662A"/>
    <w:rsid w:val="00CA7AFD"/>
    <w:rsid w:val="00CA7C3C"/>
    <w:rsid w:val="00CB0189"/>
    <w:rsid w:val="00CB0BA2"/>
    <w:rsid w:val="00CB1A42"/>
    <w:rsid w:val="00CB1B0C"/>
    <w:rsid w:val="00CB2C0B"/>
    <w:rsid w:val="00CB517D"/>
    <w:rsid w:val="00CC038D"/>
    <w:rsid w:val="00CC08DB"/>
    <w:rsid w:val="00CC39D8"/>
    <w:rsid w:val="00CC39FF"/>
    <w:rsid w:val="00CC3C2F"/>
    <w:rsid w:val="00CC4AC8"/>
    <w:rsid w:val="00CC5233"/>
    <w:rsid w:val="00CC5DE6"/>
    <w:rsid w:val="00CC6E4E"/>
    <w:rsid w:val="00CC6FE8"/>
    <w:rsid w:val="00CC7202"/>
    <w:rsid w:val="00CD2808"/>
    <w:rsid w:val="00CD28BF"/>
    <w:rsid w:val="00CD4092"/>
    <w:rsid w:val="00CD4A20"/>
    <w:rsid w:val="00CD4DEE"/>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07CCF"/>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0212"/>
    <w:rsid w:val="00D84941"/>
    <w:rsid w:val="00D84FA1"/>
    <w:rsid w:val="00D851F0"/>
    <w:rsid w:val="00D86DB7"/>
    <w:rsid w:val="00D87BF5"/>
    <w:rsid w:val="00D90721"/>
    <w:rsid w:val="00D926D0"/>
    <w:rsid w:val="00D93030"/>
    <w:rsid w:val="00D950E1"/>
    <w:rsid w:val="00D952A6"/>
    <w:rsid w:val="00D96D0E"/>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1EB"/>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5645"/>
    <w:rsid w:val="00ED067A"/>
    <w:rsid w:val="00ED2B50"/>
    <w:rsid w:val="00EE0350"/>
    <w:rsid w:val="00EE0719"/>
    <w:rsid w:val="00EE0E80"/>
    <w:rsid w:val="00EE613F"/>
    <w:rsid w:val="00EE7295"/>
    <w:rsid w:val="00EE7869"/>
    <w:rsid w:val="00EF054A"/>
    <w:rsid w:val="00EF3235"/>
    <w:rsid w:val="00EF7E72"/>
    <w:rsid w:val="00F04253"/>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2CF4"/>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9E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BA203C2"/>
    <w:rsid w:val="28403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ind w:left="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ind w:left="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4.jpe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26BBD17897B4CB4B409B5CC1052DCE8"/>
        <w:style w:val=""/>
        <w:category>
          <w:name w:val="常规"/>
          <w:gallery w:val="placeholder"/>
        </w:category>
        <w:types>
          <w:type w:val="bbPlcHdr"/>
        </w:types>
        <w:behaviors>
          <w:behavior w:val="content"/>
        </w:behaviors>
        <w:description w:val=""/>
        <w:guid w:val="{F4DA1A32-C4B3-4C29-A26D-6593ABDA2237}"/>
      </w:docPartPr>
      <w:docPartBody>
        <w:p w14:paraId="0A9DC637">
          <w:pPr>
            <w:pStyle w:val="5"/>
          </w:pPr>
          <w:r>
            <w:rPr>
              <w:rStyle w:val="4"/>
              <w:rFonts w:hint="eastAsia"/>
            </w:rPr>
            <w:t>单击或点击此处输入文字。</w:t>
          </w:r>
        </w:p>
      </w:docPartBody>
    </w:docPart>
    <w:docPart>
      <w:docPartPr>
        <w:name w:val="963D0033A43042648C5E80D46412C4FD"/>
        <w:style w:val=""/>
        <w:category>
          <w:name w:val="常规"/>
          <w:gallery w:val="placeholder"/>
        </w:category>
        <w:types>
          <w:type w:val="bbPlcHdr"/>
        </w:types>
        <w:behaviors>
          <w:behavior w:val="content"/>
        </w:behaviors>
        <w:description w:val=""/>
        <w:guid w:val="{455E07FD-F718-46B7-81F9-493668CDE325}"/>
      </w:docPartPr>
      <w:docPartBody>
        <w:p w14:paraId="49461938">
          <w:pPr>
            <w:pStyle w:val="6"/>
          </w:pPr>
          <w:r>
            <w:rPr>
              <w:rStyle w:val="4"/>
              <w:rFonts w:hint="eastAsia"/>
            </w:rPr>
            <w:t>选择一项。</w:t>
          </w:r>
        </w:p>
      </w:docPartBody>
    </w:docPart>
    <w:docPart>
      <w:docPartPr>
        <w:name w:val="A1547AC6BE014F3AA8BFF4C98E5A0411"/>
        <w:style w:val=""/>
        <w:category>
          <w:name w:val="常规"/>
          <w:gallery w:val="placeholder"/>
        </w:category>
        <w:types>
          <w:type w:val="bbPlcHdr"/>
        </w:types>
        <w:behaviors>
          <w:behavior w:val="content"/>
        </w:behaviors>
        <w:description w:val=""/>
        <w:guid w:val="{83F77770-7B67-407E-9CF1-C4D113DB2EB9}"/>
      </w:docPartPr>
      <w:docPartBody>
        <w:p w14:paraId="6777452C">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43A"/>
    <w:rsid w:val="0016193C"/>
    <w:rsid w:val="00195539"/>
    <w:rsid w:val="002F00F4"/>
    <w:rsid w:val="0036701B"/>
    <w:rsid w:val="0044243A"/>
    <w:rsid w:val="00564E48"/>
    <w:rsid w:val="00567474"/>
    <w:rsid w:val="005A615E"/>
    <w:rsid w:val="009B0F2E"/>
    <w:rsid w:val="009B5576"/>
    <w:rsid w:val="00AD3886"/>
    <w:rsid w:val="00DD6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26BBD17897B4CB4B409B5CC1052DCE8"/>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963D0033A43042648C5E80D46412C4FD"/>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A1547AC6BE014F3AA8BFF4C98E5A0411"/>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11</Pages>
  <Words>5143</Words>
  <Characters>5901</Characters>
  <Lines>47</Lines>
  <Paragraphs>13</Paragraphs>
  <TotalTime>1</TotalTime>
  <ScaleCrop>false</ScaleCrop>
  <LinksUpToDate>false</LinksUpToDate>
  <CharactersWithSpaces>6099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2024-06-07T10:30:00Z</dcterms:created>
  <dc:creator>绿色低碳所科研部</dc:creator>
  <dc:description>&lt;config cover="true" show_menu="true" version="1.0.0" doctype="SDKXY"&gt;_x000d_
&lt;/config&gt;</dc:description>
  <cp:lastModifiedBy>誰念誰川</cp:lastModifiedBy>
  <cp:lastPrinted>2021-02-02T08:22:00Z</cp:lastPrinted>
  <dcterms:modified xsi:type="dcterms:W3CDTF">2024-06-11T03:41:33Z</dcterms:modified>
  <dc:title>团体标准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2052-12.1.0.17133</vt:lpwstr>
  </property>
  <property fmtid="{D5CDD505-2E9C-101B-9397-08002B2CF9AE}" pid="15" name="ICV">
    <vt:lpwstr>2C6621A1F0C948E58B42515922BBAF68_12</vt:lpwstr>
  </property>
</Properties>
</file>