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2341D1D">
      <w:pPr>
        <w:keepNext w:val="0"/>
        <w:keepLines w:val="0"/>
        <w:pageBreakBefore w:val="0"/>
        <w:widowControl w:val="0"/>
        <w:kinsoku/>
        <w:wordWrap/>
        <w:overflowPunct/>
        <w:topLinePunct w:val="0"/>
        <w:autoSpaceDE/>
        <w:autoSpaceDN/>
        <w:bidi w:val="0"/>
        <w:adjustRightInd/>
        <w:snapToGrid/>
        <w:ind w:firstLine="0"/>
        <w:jc w:val="center"/>
        <w:textAlignment w:val="auto"/>
        <w:rPr>
          <w:rFonts w:ascii="方正小标宋简体" w:eastAsia="方正小标宋简体" w:cs="仿宋_GB2312"/>
          <w:bCs/>
          <w:color w:val="auto"/>
          <w:sz w:val="36"/>
          <w:szCs w:val="32"/>
          <w:highlight w:val="none"/>
        </w:rPr>
      </w:pPr>
      <w:r>
        <w:rPr>
          <w:rFonts w:hint="eastAsia" w:ascii="方正小标宋简体" w:eastAsia="方正小标宋简体" w:cs="仿宋_GB2312"/>
          <w:bCs/>
          <w:color w:val="auto"/>
          <w:sz w:val="36"/>
          <w:szCs w:val="32"/>
          <w:highlight w:val="none"/>
        </w:rPr>
        <w:t>团体标准《</w:t>
      </w:r>
      <w:r>
        <w:rPr>
          <w:rFonts w:hint="eastAsia" w:ascii="方正小标宋简体" w:eastAsia="方正小标宋简体" w:cs="仿宋_GB2312"/>
          <w:bCs/>
          <w:color w:val="auto"/>
          <w:sz w:val="36"/>
          <w:szCs w:val="32"/>
          <w:highlight w:val="none"/>
          <w:lang w:eastAsia="zh-CN"/>
        </w:rPr>
        <w:t>医疗护理员信息化管理规范</w:t>
      </w:r>
      <w:r>
        <w:rPr>
          <w:rFonts w:hint="eastAsia" w:ascii="方正小标宋简体" w:eastAsia="方正小标宋简体" w:cs="仿宋_GB2312"/>
          <w:bCs/>
          <w:color w:val="auto"/>
          <w:sz w:val="36"/>
          <w:szCs w:val="32"/>
          <w:highlight w:val="none"/>
        </w:rPr>
        <w:t>》</w:t>
      </w:r>
    </w:p>
    <w:p w14:paraId="344DC783">
      <w:pPr>
        <w:keepNext w:val="0"/>
        <w:keepLines w:val="0"/>
        <w:pageBreakBefore w:val="0"/>
        <w:widowControl w:val="0"/>
        <w:kinsoku/>
        <w:wordWrap/>
        <w:overflowPunct/>
        <w:topLinePunct w:val="0"/>
        <w:autoSpaceDE/>
        <w:autoSpaceDN/>
        <w:bidi w:val="0"/>
        <w:adjustRightInd/>
        <w:snapToGrid/>
        <w:ind w:firstLine="0"/>
        <w:jc w:val="center"/>
        <w:textAlignment w:val="auto"/>
        <w:rPr>
          <w:rFonts w:ascii="方正小标宋简体" w:eastAsia="方正小标宋简体" w:cs="仿宋_GB2312"/>
          <w:bCs/>
          <w:color w:val="auto"/>
          <w:sz w:val="36"/>
          <w:szCs w:val="32"/>
          <w:highlight w:val="none"/>
        </w:rPr>
      </w:pPr>
      <w:r>
        <w:rPr>
          <w:rFonts w:hint="eastAsia" w:ascii="方正小标宋简体" w:eastAsia="方正小标宋简体" w:cs="仿宋_GB2312"/>
          <w:bCs/>
          <w:color w:val="auto"/>
          <w:sz w:val="36"/>
          <w:szCs w:val="32"/>
          <w:highlight w:val="none"/>
        </w:rPr>
        <w:t>（</w:t>
      </w:r>
      <w:r>
        <w:rPr>
          <w:rFonts w:hint="eastAsia" w:ascii="方正小标宋简体" w:eastAsia="方正小标宋简体" w:cs="仿宋_GB2312"/>
          <w:bCs/>
          <w:color w:val="auto"/>
          <w:sz w:val="36"/>
          <w:szCs w:val="32"/>
          <w:highlight w:val="none"/>
          <w:lang w:eastAsia="zh-CN"/>
        </w:rPr>
        <w:t>征求意见</w:t>
      </w:r>
      <w:r>
        <w:rPr>
          <w:rFonts w:hint="eastAsia" w:ascii="方正小标宋简体" w:eastAsia="方正小标宋简体" w:cs="仿宋_GB2312"/>
          <w:bCs/>
          <w:color w:val="auto"/>
          <w:sz w:val="36"/>
          <w:szCs w:val="32"/>
          <w:highlight w:val="none"/>
        </w:rPr>
        <w:t>稿）编制说明</w:t>
      </w:r>
    </w:p>
    <w:p w14:paraId="26EBCE99">
      <w:pPr>
        <w:ind w:firstLine="360"/>
        <w:jc w:val="center"/>
        <w:rPr>
          <w:rFonts w:ascii="方正小标宋简体" w:eastAsia="方正小标宋简体" w:cs="仿宋_GB2312"/>
          <w:bCs/>
          <w:color w:val="auto"/>
          <w:sz w:val="18"/>
          <w:szCs w:val="18"/>
          <w:highlight w:val="none"/>
        </w:rPr>
      </w:pPr>
    </w:p>
    <w:p w14:paraId="3F618D89">
      <w:pPr>
        <w:spacing w:line="520" w:lineRule="exact"/>
        <w:ind w:firstLine="640" w:firstLineChars="200"/>
        <w:rPr>
          <w:rFonts w:ascii="黑体" w:eastAsia="黑体" w:cs="仿宋_GB2312"/>
          <w:bCs/>
          <w:color w:val="auto"/>
          <w:sz w:val="32"/>
          <w:szCs w:val="32"/>
          <w:highlight w:val="none"/>
        </w:rPr>
      </w:pPr>
      <w:r>
        <w:rPr>
          <w:rFonts w:hint="eastAsia" w:ascii="黑体" w:eastAsia="黑体" w:cs="仿宋_GB2312"/>
          <w:color w:val="auto"/>
          <w:sz w:val="32"/>
          <w:szCs w:val="32"/>
          <w:highlight w:val="none"/>
        </w:rPr>
        <w:t>一、任务来源、起草单位、主要起草人</w:t>
      </w:r>
    </w:p>
    <w:p w14:paraId="1C7FA553">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根据《广西标准化协会关于下达2024年第</w:t>
      </w:r>
      <w:r>
        <w:rPr>
          <w:rFonts w:hint="eastAsia" w:ascii="仿宋_GB2312" w:eastAsia="仿宋_GB2312"/>
          <w:color w:val="auto"/>
          <w:sz w:val="28"/>
          <w:szCs w:val="28"/>
          <w:highlight w:val="none"/>
          <w:lang w:eastAsia="zh-CN"/>
        </w:rPr>
        <w:t>四十一</w:t>
      </w:r>
      <w:r>
        <w:rPr>
          <w:rFonts w:hint="eastAsia" w:ascii="仿宋_GB2312" w:eastAsia="仿宋_GB2312"/>
          <w:color w:val="auto"/>
          <w:sz w:val="28"/>
          <w:szCs w:val="28"/>
          <w:highlight w:val="none"/>
        </w:rPr>
        <w:t>批团体标准制修订项目计划的通知》（桂标协〔2024〕</w:t>
      </w:r>
      <w:r>
        <w:rPr>
          <w:rFonts w:hint="eastAsia" w:ascii="仿宋_GB2312" w:eastAsia="仿宋_GB2312"/>
          <w:color w:val="auto"/>
          <w:sz w:val="28"/>
          <w:szCs w:val="28"/>
          <w:highlight w:val="none"/>
          <w:lang w:val="en-US" w:eastAsia="zh-CN"/>
        </w:rPr>
        <w:t>255</w:t>
      </w:r>
      <w:r>
        <w:rPr>
          <w:rFonts w:hint="eastAsia" w:ascii="仿宋_GB2312" w:eastAsia="仿宋_GB2312"/>
          <w:color w:val="auto"/>
          <w:sz w:val="28"/>
          <w:szCs w:val="28"/>
          <w:highlight w:val="none"/>
        </w:rPr>
        <w:t>号）精神，由广西壮族自治区江滨医院提出，广西壮族自治区江滨医院、广西壮族自治区工人医院、桂林市人民医院、玉林市第一人民医院、贵港市人民医院、广西陪陪我健康科技有限公司、广西新生活医养健康服务股份有限公司等单位共同起草的团体标准《</w:t>
      </w:r>
      <w:r>
        <w:rPr>
          <w:rFonts w:hint="eastAsia" w:ascii="仿宋_GB2312" w:eastAsia="仿宋_GB2312"/>
          <w:color w:val="auto"/>
          <w:sz w:val="28"/>
          <w:szCs w:val="28"/>
          <w:highlight w:val="none"/>
          <w:lang w:eastAsia="zh-CN"/>
        </w:rPr>
        <w:t>医疗护理员信息化管理规范</w:t>
      </w:r>
      <w:r>
        <w:rPr>
          <w:rFonts w:hint="eastAsia" w:ascii="仿宋_GB2312" w:eastAsia="仿宋_GB2312"/>
          <w:color w:val="auto"/>
          <w:sz w:val="28"/>
          <w:szCs w:val="28"/>
          <w:highlight w:val="none"/>
        </w:rPr>
        <w:t>》（项目编号：2024-</w:t>
      </w:r>
      <w:r>
        <w:rPr>
          <w:rFonts w:hint="eastAsia" w:ascii="仿宋_GB2312" w:eastAsia="仿宋_GB2312"/>
          <w:color w:val="auto"/>
          <w:sz w:val="28"/>
          <w:szCs w:val="28"/>
          <w:highlight w:val="none"/>
          <w:lang w:val="en-US" w:eastAsia="zh-CN"/>
        </w:rPr>
        <w:t>4101</w:t>
      </w:r>
      <w:r>
        <w:rPr>
          <w:rFonts w:hint="eastAsia" w:ascii="仿宋_GB2312" w:eastAsia="仿宋_GB2312"/>
          <w:color w:val="auto"/>
          <w:sz w:val="28"/>
          <w:szCs w:val="28"/>
          <w:highlight w:val="none"/>
        </w:rPr>
        <w:t>），已获立项。</w:t>
      </w:r>
    </w:p>
    <w:p w14:paraId="67F631D9">
      <w:pPr>
        <w:spacing w:line="520" w:lineRule="exact"/>
        <w:ind w:firstLine="560" w:firstLineChars="200"/>
        <w:rPr>
          <w:rFonts w:hint="eastAsia" w:ascii="仿宋_GB2312" w:eastAsia="仿宋_GB2312"/>
          <w:color w:val="auto"/>
          <w:sz w:val="28"/>
          <w:szCs w:val="28"/>
          <w:highlight w:val="none"/>
          <w:lang w:eastAsia="zh-CN"/>
        </w:rPr>
      </w:pPr>
      <w:r>
        <w:rPr>
          <w:rFonts w:hint="eastAsia" w:ascii="仿宋_GB2312" w:eastAsia="仿宋_GB2312"/>
          <w:color w:val="auto"/>
          <w:sz w:val="28"/>
          <w:szCs w:val="28"/>
          <w:highlight w:val="none"/>
        </w:rPr>
        <w:t>为高质量编制团体标准《</w:t>
      </w:r>
      <w:r>
        <w:rPr>
          <w:rFonts w:hint="eastAsia" w:ascii="仿宋_GB2312" w:eastAsia="仿宋_GB2312"/>
          <w:color w:val="auto"/>
          <w:sz w:val="28"/>
          <w:szCs w:val="28"/>
          <w:highlight w:val="none"/>
          <w:lang w:eastAsia="zh-CN"/>
        </w:rPr>
        <w:t>医疗护理员信息化管理规范</w:t>
      </w:r>
      <w:r>
        <w:rPr>
          <w:rFonts w:hint="eastAsia" w:ascii="仿宋_GB2312" w:eastAsia="仿宋_GB2312"/>
          <w:color w:val="auto"/>
          <w:sz w:val="28"/>
          <w:szCs w:val="28"/>
          <w:highlight w:val="none"/>
        </w:rPr>
        <w:t>》，由起草单位成立标准编制工作组并进行如下分工：</w:t>
      </w:r>
    </w:p>
    <w:tbl>
      <w:tblPr>
        <w:tblStyle w:val="14"/>
        <w:tblW w:w="94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05"/>
        <w:gridCol w:w="1583"/>
        <w:gridCol w:w="1103"/>
        <w:gridCol w:w="2821"/>
        <w:gridCol w:w="2948"/>
      </w:tblGrid>
      <w:tr w14:paraId="4B7FD4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AE343B9">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姓名</w:t>
            </w:r>
          </w:p>
        </w:tc>
        <w:tc>
          <w:tcPr>
            <w:tcW w:w="1583" w:type="dxa"/>
            <w:tcBorders>
              <w:top w:val="single" w:color="auto" w:sz="4" w:space="0"/>
              <w:left w:val="single" w:color="auto" w:sz="4" w:space="0"/>
              <w:bottom w:val="single" w:color="auto" w:sz="4" w:space="0"/>
              <w:right w:val="single" w:color="auto" w:sz="4" w:space="0"/>
            </w:tcBorders>
            <w:vAlign w:val="center"/>
          </w:tcPr>
          <w:p w14:paraId="2BA9EDA5">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职务/职</w:t>
            </w:r>
            <w:r>
              <w:rPr>
                <w:rFonts w:hint="default" w:ascii="仿宋_GB2312" w:hAnsi="仿宋" w:eastAsia="仿宋_GB2312" w:cs="仿宋"/>
                <w:b/>
                <w:color w:val="auto"/>
                <w:sz w:val="24"/>
                <w:highlight w:val="none"/>
              </w:rPr>
              <w:t>称</w:t>
            </w:r>
          </w:p>
        </w:tc>
        <w:tc>
          <w:tcPr>
            <w:tcW w:w="1103" w:type="dxa"/>
            <w:tcBorders>
              <w:top w:val="single" w:color="auto" w:sz="4" w:space="0"/>
              <w:left w:val="single" w:color="auto" w:sz="4" w:space="0"/>
              <w:bottom w:val="single" w:color="auto" w:sz="4" w:space="0"/>
              <w:right w:val="single" w:color="auto" w:sz="4" w:space="0"/>
            </w:tcBorders>
            <w:vAlign w:val="center"/>
          </w:tcPr>
          <w:p w14:paraId="310E99E6">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从事</w:t>
            </w:r>
          </w:p>
          <w:p w14:paraId="1832E6EC">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专业</w:t>
            </w:r>
          </w:p>
        </w:tc>
        <w:tc>
          <w:tcPr>
            <w:tcW w:w="2821" w:type="dxa"/>
            <w:tcBorders>
              <w:top w:val="single" w:color="auto" w:sz="4" w:space="0"/>
              <w:left w:val="single" w:color="auto" w:sz="4" w:space="0"/>
              <w:bottom w:val="single" w:color="auto" w:sz="4" w:space="0"/>
              <w:right w:val="single" w:color="auto" w:sz="4" w:space="0"/>
            </w:tcBorders>
            <w:vAlign w:val="center"/>
          </w:tcPr>
          <w:p w14:paraId="73D1A175">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工作单位</w:t>
            </w:r>
          </w:p>
        </w:tc>
        <w:tc>
          <w:tcPr>
            <w:tcW w:w="2948" w:type="dxa"/>
            <w:tcBorders>
              <w:top w:val="single" w:color="auto" w:sz="4" w:space="0"/>
              <w:left w:val="single" w:color="auto" w:sz="4" w:space="0"/>
              <w:bottom w:val="single" w:color="auto" w:sz="4" w:space="0"/>
              <w:right w:val="single" w:color="auto" w:sz="4" w:space="0"/>
            </w:tcBorders>
            <w:vAlign w:val="center"/>
          </w:tcPr>
          <w:p w14:paraId="4C2BE869">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主要负责工作</w:t>
            </w:r>
          </w:p>
        </w:tc>
      </w:tr>
      <w:tr w14:paraId="20551F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021AEDBE">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张琰</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E1F40DA">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color w:val="auto"/>
                <w:sz w:val="24"/>
                <w:highlight w:val="none"/>
              </w:rPr>
              <w:t>主任/主任护师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7007D931">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78241027">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vAlign w:val="center"/>
          </w:tcPr>
          <w:p w14:paraId="1A8CA2FA">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bidi="ar"/>
              </w:rPr>
              <w:t>统筹主持标准编制工作</w:t>
            </w:r>
          </w:p>
        </w:tc>
      </w:tr>
      <w:tr w14:paraId="262E25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CA8FA34">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周雅英</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99398BE">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副主任/副主任护师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2E57BAF8">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76AC7F00">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vAlign w:val="center"/>
          </w:tcPr>
          <w:p w14:paraId="52912B12">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21230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3740339">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叶真凤</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24AC70E9">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副主任/副主任护师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06744DE6">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36DD2D53">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vAlign w:val="center"/>
          </w:tcPr>
          <w:p w14:paraId="5E20888A">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514C7C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83408E6">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薛兰芳</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F4642FC">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color w:val="auto"/>
                <w:sz w:val="24"/>
                <w:highlight w:val="none"/>
              </w:rPr>
              <w:t>主任护师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258498D0">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6AE7202D">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vAlign w:val="center"/>
          </w:tcPr>
          <w:p w14:paraId="3FCA5C87">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7CDC8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E4CB788">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翟婉春</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6029C6E1">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副护士长/副主任护师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3DBF83EC">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7734DAEF">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vAlign w:val="center"/>
          </w:tcPr>
          <w:p w14:paraId="41BFF9BC">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338146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270F15B3">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钟军</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6E453517">
            <w:pPr>
              <w:keepNext w:val="0"/>
              <w:keepLines w:val="0"/>
              <w:widowControl/>
              <w:suppressLineNumbers w:val="0"/>
              <w:spacing w:before="0" w:beforeAutospacing="0" w:after="0" w:afterAutospacing="0"/>
              <w:ind w:left="0" w:leftChars="0" w:right="0" w:rightChars="0"/>
              <w:jc w:val="center"/>
              <w:textAlignment w:val="center"/>
              <w:rPr>
                <w:rFonts w:hint="default" w:ascii="仿宋_GB2312" w:hAnsi="仿宋_GB2312" w:eastAsia="仿宋_GB2312" w:cs="仿宋_GB2312"/>
                <w:bCs/>
                <w:color w:val="auto"/>
                <w:kern w:val="2"/>
                <w:sz w:val="24"/>
                <w:szCs w:val="24"/>
                <w:highlight w:val="none"/>
                <w:lang w:val="en-US" w:eastAsia="zh-CN" w:bidi="ar-SA"/>
              </w:rPr>
            </w:pPr>
            <w:r>
              <w:rPr>
                <w:rFonts w:hint="eastAsia" w:ascii="仿宋_GB2312" w:hAnsi="仿宋_GB2312" w:eastAsia="仿宋_GB2312" w:cs="仿宋_GB2312"/>
                <w:bCs/>
                <w:color w:val="auto"/>
                <w:kern w:val="2"/>
                <w:sz w:val="24"/>
                <w:szCs w:val="24"/>
                <w:highlight w:val="none"/>
                <w:lang w:val="en-US" w:eastAsia="zh-CN" w:bidi="ar-SA"/>
              </w:rPr>
              <w:t>主任/高级工程师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1B7E9189">
            <w:pPr>
              <w:keepNext w:val="0"/>
              <w:keepLines w:val="0"/>
              <w:widowControl/>
              <w:suppressLineNumbers w:val="0"/>
              <w:spacing w:before="0" w:beforeAutospacing="0" w:after="0" w:afterAutospacing="0"/>
              <w:ind w:left="-105" w:leftChars="-50" w:right="-105" w:rightChars="-50"/>
              <w:jc w:val="center"/>
              <w:textAlignment w:val="center"/>
              <w:rPr>
                <w:rFonts w:hint="eastAsia" w:ascii="仿宋_GB2312" w:hAnsi="仿宋_GB2312" w:eastAsia="仿宋_GB2312" w:cs="仿宋_GB2312"/>
                <w:bCs/>
                <w:color w:val="auto"/>
                <w:kern w:val="2"/>
                <w:sz w:val="24"/>
                <w:szCs w:val="24"/>
                <w:highlight w:val="none"/>
                <w:lang w:val="en-US" w:eastAsia="zh-CN" w:bidi="ar-SA"/>
              </w:rPr>
            </w:pPr>
            <w:r>
              <w:rPr>
                <w:rFonts w:hint="eastAsia" w:ascii="仿宋_GB2312" w:hAnsi="仿宋_GB2312" w:eastAsia="仿宋_GB2312" w:cs="仿宋_GB2312"/>
                <w:bCs/>
                <w:color w:val="auto"/>
                <w:kern w:val="2"/>
                <w:sz w:val="24"/>
                <w:szCs w:val="24"/>
                <w:highlight w:val="none"/>
                <w:lang w:val="en-US" w:eastAsia="zh-CN" w:bidi="ar-SA"/>
              </w:rPr>
              <w:t>计算机科学与技术</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6067C6CB">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vAlign w:val="center"/>
          </w:tcPr>
          <w:p w14:paraId="0A55C5E0">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4EDE42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2F3ADCD">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韦红</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495F53A2">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69185699">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65BF293C">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vAlign w:val="center"/>
          </w:tcPr>
          <w:p w14:paraId="719DD416">
            <w:pPr>
              <w:keepNext w:val="0"/>
              <w:keepLines w:val="0"/>
              <w:suppressLineNumbers w:val="0"/>
              <w:spacing w:before="0" w:beforeAutospacing="0" w:after="0" w:afterAutospacing="0"/>
              <w:ind w:left="0" w:right="0"/>
              <w:jc w:val="center"/>
              <w:rPr>
                <w:rFonts w:hint="eastAsia" w:ascii="仿宋_GB2312" w:hAnsi="仿宋_GB2312" w:eastAsia="仿宋_GB2312" w:cs="仿宋_GB2312"/>
                <w:b/>
                <w:bCs/>
                <w:color w:val="auto"/>
                <w:sz w:val="24"/>
                <w:highlight w:val="none"/>
                <w:lang w:bidi="ar"/>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426E0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FA677B5">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何彤薇</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04B321E">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主管护师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0FCEA129">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050969E8">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vAlign w:val="center"/>
          </w:tcPr>
          <w:p w14:paraId="55308BBF">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3B669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308F604">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莫选</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9D2BD5C">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主管护师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04B75E53">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09AA38D9">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vAlign w:val="center"/>
          </w:tcPr>
          <w:p w14:paraId="62539421">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2B560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4B9A5FB0">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蒋雪春</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C55BFC5">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主管护师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00AAEACC">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37FE3BE6">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vAlign w:val="center"/>
          </w:tcPr>
          <w:p w14:paraId="2F4CAB57">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rPr>
            </w:pPr>
            <w:r>
              <w:rPr>
                <w:rFonts w:hint="eastAsia" w:ascii="仿宋_GB2312" w:hAnsi="仿宋_GB2312" w:eastAsia="仿宋_GB2312" w:cs="仿宋_GB2312"/>
                <w:color w:val="auto"/>
                <w:sz w:val="24"/>
                <w:highlight w:val="none"/>
                <w:lang w:bidi="ar"/>
              </w:rPr>
              <w:t>参与标准文本及编制说明的编写；组织开展标准征求意见会；对标准实施情况进行总结分析，不断对地方标准提出修正意见</w:t>
            </w:r>
          </w:p>
        </w:tc>
      </w:tr>
      <w:tr w14:paraId="754D2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DEABE1D">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color w:val="auto"/>
                <w:sz w:val="24"/>
                <w:highlight w:val="none"/>
                <w:lang w:val="en-US" w:eastAsia="zh-CN" w:bidi="ar"/>
              </w:rPr>
              <w:t>杨昌婷</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18C25DE">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主管护师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08958C7E">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6C3B8541">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vAlign w:val="center"/>
          </w:tcPr>
          <w:p w14:paraId="4273F364">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rPr>
            </w:pPr>
            <w:r>
              <w:rPr>
                <w:rFonts w:hint="eastAsia" w:ascii="仿宋_GB2312" w:hAnsi="仿宋_GB2312" w:eastAsia="仿宋_GB2312" w:cs="仿宋_GB2312"/>
                <w:color w:val="auto"/>
                <w:sz w:val="24"/>
                <w:highlight w:val="none"/>
                <w:lang w:bidi="ar"/>
              </w:rPr>
              <w:t>参与标准编制工作，组织人员进行标准发布后的宣贯培训</w:t>
            </w:r>
          </w:p>
        </w:tc>
      </w:tr>
      <w:tr w14:paraId="62D7DC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66B5EB1C">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陈丽</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1EA064FC">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主管护师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1AA3D918">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2B7B476F">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0D7FACEE">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hAnsi="仿宋_GB2312" w:eastAsia="仿宋_GB2312" w:cs="仿宋_GB2312"/>
                <w:color w:val="auto"/>
                <w:sz w:val="24"/>
                <w:highlight w:val="none"/>
                <w:lang w:bidi="ar"/>
              </w:rPr>
              <w:t>参与标准文本及编制说明的编写</w:t>
            </w:r>
          </w:p>
        </w:tc>
      </w:tr>
      <w:tr w14:paraId="59C1A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30EFA207">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曾春香</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32F822F">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副护士长/主管护师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6546FECC">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6CB6BFB4">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0F2DA033">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highlight w:val="none"/>
                <w:lang w:bidi="ar"/>
              </w:rPr>
              <w:t>参与标准文本及编制说明的编写</w:t>
            </w:r>
          </w:p>
        </w:tc>
      </w:tr>
      <w:tr w14:paraId="3CA4A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6628145E">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李俊利</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BC30B66">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副护士长/主管护师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514E4C77">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40C05247">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2D5BCC03">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hAnsi="仿宋_GB2312" w:eastAsia="仿宋_GB2312" w:cs="仿宋_GB2312"/>
                <w:color w:val="auto"/>
                <w:sz w:val="24"/>
                <w:highlight w:val="none"/>
                <w:lang w:bidi="ar"/>
              </w:rPr>
              <w:t>参与标准文本及编制说明的编写</w:t>
            </w:r>
          </w:p>
        </w:tc>
      </w:tr>
      <w:tr w14:paraId="2A364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2C2AF7DC">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姚喜</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07738D5D">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主管护师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7702E579">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452A581B">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0482D51C">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highlight w:val="none"/>
                <w:lang w:bidi="ar"/>
              </w:rPr>
              <w:t>参与标准文本及编制说明的编写</w:t>
            </w:r>
          </w:p>
        </w:tc>
      </w:tr>
      <w:tr w14:paraId="1DB035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7FB6FAAC">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韦志慧</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29BB88BB">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rPr>
              <w:t>副护士长/副主任护师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1A79254F">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34990418">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6D3ECFA1">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hAnsi="仿宋_GB2312" w:eastAsia="仿宋_GB2312" w:cs="仿宋_GB2312"/>
                <w:color w:val="auto"/>
                <w:sz w:val="24"/>
                <w:highlight w:val="none"/>
                <w:lang w:bidi="ar"/>
              </w:rPr>
              <w:t>参与标准文本及编制说明的编写</w:t>
            </w:r>
          </w:p>
        </w:tc>
      </w:tr>
      <w:tr w14:paraId="4C7D5E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576539AC">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黄晓莲</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2675A6C8">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副护士长/主管护师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5A61E49B">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331AA0B9">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556B502E">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highlight w:val="none"/>
                <w:lang w:bidi="ar"/>
              </w:rPr>
              <w:t>参与标准文本及编制说明的编写</w:t>
            </w:r>
          </w:p>
        </w:tc>
      </w:tr>
      <w:tr w14:paraId="3FA014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4857B19D">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谭泽栋</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3D04C400">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hAnsi="仿宋_GB2312" w:eastAsia="仿宋_GB2312" w:cs="仿宋_GB2312"/>
                <w:color w:val="auto"/>
                <w:kern w:val="2"/>
                <w:sz w:val="24"/>
                <w:szCs w:val="24"/>
                <w:highlight w:val="none"/>
                <w:lang w:val="en-US" w:eastAsia="zh-CN" w:bidi="ar"/>
              </w:rPr>
              <w:t>工程师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6286C09A">
            <w:pPr>
              <w:keepNext w:val="0"/>
              <w:keepLines w:val="0"/>
              <w:widowControl/>
              <w:suppressLineNumbers w:val="0"/>
              <w:spacing w:before="0" w:beforeAutospacing="0" w:after="0" w:afterAutospacing="0"/>
              <w:ind w:left="0" w:leftChars="0" w:right="0" w:rightChars="0"/>
              <w:jc w:val="center"/>
              <w:textAlignment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kern w:val="2"/>
                <w:sz w:val="24"/>
                <w:szCs w:val="24"/>
                <w:highlight w:val="none"/>
                <w:lang w:val="en-US" w:eastAsia="zh-CN" w:bidi="ar-SA"/>
              </w:rPr>
              <w:t>计算机科学与技术</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152F4AF9">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eastAsia="仿宋_GB2312"/>
                <w:color w:val="auto"/>
                <w:sz w:val="24"/>
                <w:highlight w:val="none"/>
              </w:rPr>
              <w:t>广西壮族自治区江滨医院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70B38B2D">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hAnsi="仿宋_GB2312" w:eastAsia="仿宋_GB2312" w:cs="仿宋_GB2312"/>
                <w:color w:val="auto"/>
                <w:sz w:val="24"/>
                <w:highlight w:val="none"/>
                <w:lang w:bidi="ar"/>
              </w:rPr>
              <w:t>参与标准文本及编制说明的编写</w:t>
            </w:r>
          </w:p>
        </w:tc>
      </w:tr>
      <w:tr w14:paraId="74F904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5BC8F629">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林桦</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6EDED4C">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color w:val="auto"/>
                <w:sz w:val="24"/>
                <w:highlight w:val="none"/>
                <w:lang w:val="en-US" w:eastAsia="zh-CN"/>
              </w:rPr>
              <w:t>副院长</w:t>
            </w:r>
            <w:r>
              <w:rPr>
                <w:rFonts w:hint="eastAsia" w:ascii="仿宋_GB2312" w:eastAsia="仿宋_GB2312"/>
                <w:color w:val="auto"/>
                <w:sz w:val="24"/>
                <w:highlight w:val="none"/>
              </w:rPr>
              <w:t>/主任护师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4F72DA77">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7CDA843A">
            <w:pPr>
              <w:keepNext w:val="0"/>
              <w:keepLines w:val="0"/>
              <w:suppressLineNumbers w:val="0"/>
              <w:spacing w:before="0" w:beforeAutospacing="0" w:after="0" w:afterAutospacing="0"/>
              <w:ind w:left="0" w:right="0"/>
              <w:jc w:val="center"/>
              <w:rPr>
                <w:rFonts w:hint="default" w:ascii="仿宋_GB2312" w:hAnsi="Calibri" w:eastAsia="仿宋_GB2312" w:cs="Calibri"/>
                <w:bCs/>
                <w:color w:val="auto"/>
                <w:kern w:val="2"/>
                <w:sz w:val="24"/>
                <w:szCs w:val="24"/>
                <w:highlight w:val="none"/>
                <w:lang w:val="en-US" w:eastAsia="zh-CN" w:bidi="ar-SA"/>
              </w:rPr>
            </w:pPr>
            <w:r>
              <w:rPr>
                <w:rFonts w:hint="default" w:ascii="仿宋_GB2312" w:hAnsi="Calibri" w:eastAsia="仿宋_GB2312" w:cs="Calibri"/>
                <w:bCs/>
                <w:color w:val="auto"/>
                <w:kern w:val="2"/>
                <w:sz w:val="24"/>
                <w:szCs w:val="24"/>
                <w:highlight w:val="none"/>
                <w:lang w:val="en-US" w:eastAsia="zh-CN" w:bidi="ar-SA"/>
              </w:rPr>
              <w:t>南宁市第二人民医院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37CEC928">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highlight w:val="none"/>
                <w:lang w:bidi="ar"/>
              </w:rPr>
              <w:t>参与标准文本及编制说明的编写</w:t>
            </w:r>
          </w:p>
        </w:tc>
      </w:tr>
      <w:tr w14:paraId="2F0285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0BF5939D">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詹宗芳</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672C9658">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color w:val="auto"/>
                <w:sz w:val="24"/>
                <w:highlight w:val="none"/>
              </w:rPr>
              <w:t>主任/主任护师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3490A388">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2BDE7206">
            <w:pPr>
              <w:keepNext w:val="0"/>
              <w:keepLines w:val="0"/>
              <w:suppressLineNumbers w:val="0"/>
              <w:spacing w:before="0" w:beforeAutospacing="0" w:after="0" w:afterAutospacing="0"/>
              <w:ind w:left="0" w:leftChars="0" w:right="0" w:rightChars="0"/>
              <w:jc w:val="center"/>
              <w:rPr>
                <w:rFonts w:hint="default" w:ascii="仿宋_GB2312" w:hAnsi="仿宋_GB2312" w:eastAsia="仿宋_GB2312" w:cs="仿宋_GB2312"/>
                <w:color w:val="auto"/>
                <w:kern w:val="2"/>
                <w:sz w:val="24"/>
                <w:szCs w:val="24"/>
                <w:highlight w:val="none"/>
                <w:lang w:val="en-US" w:eastAsia="zh-CN" w:bidi="ar"/>
              </w:rPr>
            </w:pPr>
            <w:r>
              <w:rPr>
                <w:rFonts w:hint="eastAsia" w:ascii="仿宋_GB2312" w:hAnsi="仿宋_GB2312" w:eastAsia="仿宋_GB2312" w:cs="仿宋_GB2312"/>
                <w:color w:val="auto"/>
                <w:kern w:val="2"/>
                <w:sz w:val="24"/>
                <w:szCs w:val="24"/>
                <w:highlight w:val="none"/>
                <w:lang w:val="en-US" w:eastAsia="zh-CN" w:bidi="ar"/>
              </w:rPr>
              <w:t>广西壮族自治区工人医院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0FC90CF3">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hAnsi="仿宋_GB2312" w:eastAsia="仿宋_GB2312" w:cs="仿宋_GB2312"/>
                <w:color w:val="auto"/>
                <w:sz w:val="24"/>
                <w:highlight w:val="none"/>
                <w:lang w:bidi="ar"/>
              </w:rPr>
              <w:t>参与标准文本及编制说明的编写</w:t>
            </w:r>
          </w:p>
        </w:tc>
      </w:tr>
      <w:tr w14:paraId="285461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582A8A0F">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周燕</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4D78DBBB">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color w:val="auto"/>
                <w:sz w:val="24"/>
                <w:highlight w:val="none"/>
              </w:rPr>
              <w:t>主任/主任护师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1AEC7FCD">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115DB4A9">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rPr>
              <w:t>桂林市人民医院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47524D03">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highlight w:val="none"/>
                <w:lang w:bidi="ar"/>
              </w:rPr>
              <w:t>参与标准文本及编制说明的编写</w:t>
            </w:r>
          </w:p>
        </w:tc>
      </w:tr>
      <w:tr w14:paraId="452614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0ECEBE3A">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朱新青</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2C646707">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color w:val="auto"/>
                <w:sz w:val="24"/>
                <w:highlight w:val="none"/>
              </w:rPr>
              <w:t>主任/主任护师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22D1349D">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4EDC1FEF">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rPr>
              <w:t>玉林市第一人民医院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6DC1F6CD">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仿宋_GB2312" w:eastAsia="仿宋_GB2312" w:cs="仿宋_GB2312"/>
                <w:color w:val="auto"/>
                <w:sz w:val="24"/>
                <w:highlight w:val="none"/>
                <w:lang w:bidi="ar"/>
              </w:rPr>
              <w:t>参与标准文本及编制说明的编写</w:t>
            </w:r>
          </w:p>
        </w:tc>
      </w:tr>
      <w:tr w14:paraId="07A88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60F32002">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李洁霞</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6A1FE8A8">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color w:val="auto"/>
                <w:sz w:val="24"/>
                <w:highlight w:val="none"/>
              </w:rPr>
              <w:t>主任/主任护师</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652D5F81">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护理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18B5B5FA">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rPr>
              <w:t>贵港市人民医院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0E12F0B2">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hAnsi="仿宋_GB2312" w:eastAsia="仿宋_GB2312" w:cs="仿宋_GB2312"/>
                <w:color w:val="auto"/>
                <w:sz w:val="24"/>
                <w:highlight w:val="none"/>
                <w:lang w:bidi="ar"/>
              </w:rPr>
              <w:t>参与标准文本及编制说明的编写</w:t>
            </w:r>
          </w:p>
        </w:tc>
      </w:tr>
      <w:tr w14:paraId="70EDE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48B8C5E8">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黄艳飞</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B0C129E">
            <w:pPr>
              <w:keepNext w:val="0"/>
              <w:keepLines w:val="0"/>
              <w:suppressLineNumbers w:val="0"/>
              <w:spacing w:before="0" w:beforeAutospacing="0" w:after="0" w:afterAutospacing="0"/>
              <w:ind w:left="0" w:leftChars="0" w:right="0" w:rightChars="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rPr>
              <w:t>董事长/中级物业管理</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12E44713">
            <w:pPr>
              <w:keepNext w:val="0"/>
              <w:keepLines w:val="0"/>
              <w:suppressLineNumbers w:val="0"/>
              <w:spacing w:before="0" w:beforeAutospacing="0" w:after="0" w:afterAutospacing="0"/>
              <w:ind w:left="0" w:leftChars="0" w:right="0" w:rightChars="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物业管理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78C01BED">
            <w:pPr>
              <w:keepNext w:val="0"/>
              <w:keepLines w:val="0"/>
              <w:suppressLineNumbers w:val="0"/>
              <w:spacing w:before="0" w:beforeAutospacing="0" w:after="0" w:afterAutospacing="0"/>
              <w:ind w:left="0" w:leftChars="0" w:right="0" w:rightChars="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rPr>
              <w:t>广西陪陪我健康科技有限公司</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585DADEA">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hAnsi="仿宋_GB2312" w:eastAsia="仿宋_GB2312" w:cs="仿宋_GB2312"/>
                <w:color w:val="auto"/>
                <w:sz w:val="24"/>
                <w:highlight w:val="none"/>
                <w:lang w:bidi="ar"/>
              </w:rPr>
              <w:t>参与标准文本及编制说明的编写</w:t>
            </w:r>
          </w:p>
        </w:tc>
      </w:tr>
      <w:tr w14:paraId="3A3574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7E070E9F">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sz w:val="24"/>
                <w:highlight w:val="none"/>
                <w:lang w:val="en-US" w:eastAsia="zh-CN" w:bidi="ar"/>
              </w:rPr>
            </w:pPr>
            <w:r>
              <w:rPr>
                <w:rFonts w:hint="eastAsia" w:ascii="仿宋_GB2312" w:hAnsi="仿宋_GB2312" w:eastAsia="仿宋_GB2312" w:cs="仿宋_GB2312"/>
                <w:color w:val="auto"/>
                <w:sz w:val="24"/>
                <w:highlight w:val="none"/>
                <w:lang w:val="en-US" w:eastAsia="zh-CN" w:bidi="ar"/>
              </w:rPr>
              <w:t>黄水莲</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C28BAFC">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rPr>
              <w:t>副总裁</w:t>
            </w:r>
          </w:p>
        </w:tc>
        <w:tc>
          <w:tcPr>
            <w:tcW w:w="1103" w:type="dxa"/>
            <w:tcBorders>
              <w:top w:val="single" w:color="auto" w:sz="4" w:space="0"/>
              <w:left w:val="single" w:color="auto" w:sz="4" w:space="0"/>
              <w:bottom w:val="single" w:color="auto" w:sz="4" w:space="0"/>
              <w:right w:val="single" w:color="auto" w:sz="4" w:space="0"/>
            </w:tcBorders>
            <w:shd w:val="clear" w:color="auto" w:fill="auto"/>
            <w:vAlign w:val="center"/>
          </w:tcPr>
          <w:p w14:paraId="5286C2F7">
            <w:pPr>
              <w:keepNext w:val="0"/>
              <w:keepLines w:val="0"/>
              <w:suppressLineNumbers w:val="0"/>
              <w:spacing w:before="0" w:beforeAutospacing="0" w:after="0" w:afterAutospacing="0"/>
              <w:ind w:left="0" w:right="0"/>
              <w:jc w:val="center"/>
              <w:rPr>
                <w:rFonts w:hint="eastAsia" w:ascii="仿宋_GB2312" w:eastAsia="仿宋_GB2312"/>
                <w:bCs/>
                <w:color w:val="auto"/>
                <w:sz w:val="24"/>
                <w:highlight w:val="none"/>
                <w:lang w:val="en-US" w:eastAsia="zh-CN"/>
              </w:rPr>
            </w:pPr>
            <w:r>
              <w:rPr>
                <w:rFonts w:hint="eastAsia" w:ascii="仿宋_GB2312" w:eastAsia="仿宋_GB2312"/>
                <w:bCs/>
                <w:color w:val="auto"/>
                <w:sz w:val="24"/>
                <w:highlight w:val="none"/>
                <w:lang w:val="en-US" w:eastAsia="zh-CN"/>
              </w:rPr>
              <w:t>物业</w:t>
            </w:r>
          </w:p>
          <w:p w14:paraId="1803EDA8">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lang w:val="en-US" w:eastAsia="zh-CN"/>
              </w:rPr>
              <w:t>管理</w:t>
            </w:r>
          </w:p>
        </w:tc>
        <w:tc>
          <w:tcPr>
            <w:tcW w:w="2821" w:type="dxa"/>
            <w:tcBorders>
              <w:top w:val="single" w:color="auto" w:sz="4" w:space="0"/>
              <w:left w:val="single" w:color="auto" w:sz="4" w:space="0"/>
              <w:bottom w:val="single" w:color="auto" w:sz="4" w:space="0"/>
              <w:right w:val="single" w:color="auto" w:sz="4" w:space="0"/>
            </w:tcBorders>
            <w:shd w:val="clear" w:color="auto" w:fill="auto"/>
            <w:vAlign w:val="center"/>
          </w:tcPr>
          <w:p w14:paraId="3DB0EFF4">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eastAsia="仿宋_GB2312"/>
                <w:bCs/>
                <w:color w:val="auto"/>
                <w:sz w:val="24"/>
                <w:highlight w:val="none"/>
              </w:rPr>
              <w:t>广西新生活医养健康服务股份有限公司</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5D1B28DF">
            <w:pPr>
              <w:keepNext w:val="0"/>
              <w:keepLines w:val="0"/>
              <w:suppressLineNumbers w:val="0"/>
              <w:spacing w:before="0" w:beforeAutospacing="0" w:after="0" w:afterAutospacing="0"/>
              <w:ind w:left="0" w:leftChars="0" w:right="0" w:rightChars="0"/>
              <w:jc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hAnsi="仿宋_GB2312" w:eastAsia="仿宋_GB2312" w:cs="仿宋_GB2312"/>
                <w:color w:val="auto"/>
                <w:sz w:val="24"/>
                <w:highlight w:val="none"/>
                <w:lang w:bidi="ar"/>
              </w:rPr>
              <w:t>参与标准文本及编制说明的编写</w:t>
            </w:r>
          </w:p>
        </w:tc>
      </w:tr>
    </w:tbl>
    <w:p w14:paraId="0ABC08B2">
      <w:pPr>
        <w:spacing w:line="520" w:lineRule="exact"/>
        <w:ind w:firstLine="640" w:firstLineChars="200"/>
        <w:rPr>
          <w:rFonts w:ascii="黑体" w:eastAsia="黑体" w:cs="仿宋_GB2312"/>
          <w:color w:val="auto"/>
          <w:sz w:val="32"/>
          <w:szCs w:val="32"/>
          <w:highlight w:val="none"/>
        </w:rPr>
      </w:pPr>
      <w:r>
        <w:rPr>
          <w:rFonts w:hint="eastAsia" w:ascii="黑体" w:eastAsia="黑体" w:cs="仿宋_GB2312"/>
          <w:color w:val="auto"/>
          <w:sz w:val="32"/>
          <w:szCs w:val="32"/>
          <w:highlight w:val="none"/>
        </w:rPr>
        <w:t>二、制定标准的必要性和意义</w:t>
      </w:r>
    </w:p>
    <w:p w14:paraId="5B44E9B6">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为进一步促进智慧健康养老产业发展，积极应对人口老龄化，打造信息技术产业发展新动能。</w:t>
      </w:r>
    </w:p>
    <w:p w14:paraId="7045D3F4">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满足人民群众日益迫切的健康及养老需求，工业和信息化部民政部国家卫生健康委发布了《智慧健康养老产业发展行动计划(2021-2025年)》，规划中明确指出鼓励企业面向居家、社区、机构等场景，开发养老服务管理系统、为老服务信息平台，强化物联网、人工智能等基础能力，联动云管边端，丰富服务种类，提升服务质量，实现服务的流程化标准化。同时大力倡导构建标准及检测体系。加快构建覆盖基础通用、数据、产品、服务、管理、检测计量等方面的智慧健康养老标准体系指导和支持标准组织、行业协会等研制行业急需标准，协同推进智能产品、信息系统平台、养老服务和健康服务标准的制定，推动信息系统平台互联互通，促进终端产品的集成应用，鼓励开展优秀标准应用示范。因此，开展医疗护理员信息化管理，是响应国家政策发展老年智慧健康服务，推动健康养老产业发展的重要举措。此外，信息化管理有助于规范辅助照护流程，实现对服务过程的质量评价满意度调查、培训与考核、档案信息等的精细化管理，提高管理透明度，促进护理质量的持续改进提高管理的效率。通过信息化手段，实现在线上预约、下单、支付、评价等，让患者需求与辅助服务的有效衔接，合理分配护理资源，推动医疗护理员行业健康有序发展。</w:t>
      </w:r>
    </w:p>
    <w:p w14:paraId="739F5257">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开展医疗护理员信息化管理不仅是适应现代医疗服务需求的必然选择，也是提升护理服务质量、应对老龄化社会挑战、满足患者个性化需求的关键举措。然而目前，国内仅有重庆、厦门等为数不多的几家机构研发了医疗护理员信息系统平台,且国内尚未出台医疗护理员信息化管理相关规范，为进一步规范医疗护理员信息化管理，进一步改善医疗服务，构建和谐医患关系，制定团体标准《医疗护理员信息化管理规范》</w:t>
      </w:r>
      <w:r>
        <w:rPr>
          <w:rFonts w:hint="eastAsia" w:ascii="仿宋_GB2312" w:hAnsi="仿宋_GB2312" w:eastAsia="仿宋_GB2312" w:cs="仿宋_GB2312"/>
          <w:color w:val="auto"/>
          <w:sz w:val="28"/>
          <w:szCs w:val="28"/>
          <w:highlight w:val="none"/>
          <w:lang w:eastAsia="zh-CN"/>
        </w:rPr>
        <w:t>具有重要意义</w:t>
      </w:r>
      <w:r>
        <w:rPr>
          <w:rFonts w:hint="eastAsia" w:ascii="仿宋_GB2312" w:hAnsi="仿宋_GB2312" w:eastAsia="仿宋_GB2312" w:cs="仿宋_GB2312"/>
          <w:color w:val="auto"/>
          <w:sz w:val="28"/>
          <w:szCs w:val="28"/>
          <w:highlight w:val="none"/>
        </w:rPr>
        <w:t>。</w:t>
      </w:r>
    </w:p>
    <w:p w14:paraId="441B3EEE">
      <w:pPr>
        <w:autoSpaceDE w:val="0"/>
        <w:autoSpaceDN w:val="0"/>
        <w:adjustRightInd w:val="0"/>
        <w:spacing w:line="520" w:lineRule="exact"/>
        <w:ind w:firstLine="640" w:firstLineChars="200"/>
        <w:jc w:val="left"/>
        <w:rPr>
          <w:rFonts w:ascii="黑体" w:eastAsia="黑体" w:cs="仿宋_GB2312"/>
          <w:color w:val="auto"/>
          <w:sz w:val="32"/>
          <w:szCs w:val="32"/>
          <w:highlight w:val="none"/>
        </w:rPr>
      </w:pPr>
      <w:r>
        <w:rPr>
          <w:rFonts w:hint="eastAsia" w:ascii="黑体" w:eastAsia="黑体" w:cs="仿宋_GB2312"/>
          <w:color w:val="auto"/>
          <w:sz w:val="32"/>
          <w:szCs w:val="32"/>
          <w:highlight w:val="none"/>
        </w:rPr>
        <w:t>三、主要起草过程</w:t>
      </w:r>
    </w:p>
    <w:p w14:paraId="6449F9D0">
      <w:pPr>
        <w:spacing w:line="520" w:lineRule="exact"/>
        <w:ind w:firstLine="562" w:firstLineChars="200"/>
        <w:rPr>
          <w:rFonts w:ascii="仿宋_GB2312" w:eastAsia="仿宋_GB2312"/>
          <w:color w:val="auto"/>
          <w:sz w:val="28"/>
          <w:szCs w:val="28"/>
          <w:highlight w:val="none"/>
        </w:rPr>
      </w:pPr>
      <w:r>
        <w:rPr>
          <w:rFonts w:hint="eastAsia" w:ascii="仿宋_GB2312" w:eastAsia="仿宋_GB2312" w:cs="仿宋_GB2312"/>
          <w:b/>
          <w:color w:val="auto"/>
          <w:sz w:val="28"/>
          <w:szCs w:val="28"/>
          <w:highlight w:val="none"/>
        </w:rPr>
        <w:t>（一）成立标准编制工作组</w:t>
      </w:r>
    </w:p>
    <w:p w14:paraId="05019A1A">
      <w:pPr>
        <w:spacing w:line="520" w:lineRule="exact"/>
        <w:ind w:firstLine="560" w:firstLineChars="200"/>
        <w:jc w:val="left"/>
        <w:rPr>
          <w:rFonts w:ascii="仿宋_GB2312" w:eastAsia="仿宋_GB2312"/>
          <w:color w:val="auto"/>
          <w:sz w:val="28"/>
          <w:szCs w:val="28"/>
          <w:highlight w:val="none"/>
        </w:rPr>
      </w:pPr>
      <w:r>
        <w:rPr>
          <w:rFonts w:hint="eastAsia" w:ascii="仿宋_GB2312" w:hAnsi="宋体" w:eastAsia="仿宋_GB2312"/>
          <w:color w:val="auto"/>
          <w:sz w:val="28"/>
          <w:szCs w:val="28"/>
          <w:highlight w:val="none"/>
        </w:rPr>
        <w:t>团体标准</w:t>
      </w:r>
      <w:r>
        <w:rPr>
          <w:rFonts w:hint="eastAsia" w:ascii="仿宋_GB2312" w:eastAsia="仿宋_GB2312"/>
          <w:color w:val="auto"/>
          <w:sz w:val="28"/>
          <w:szCs w:val="28"/>
          <w:highlight w:val="none"/>
        </w:rPr>
        <w:t>《</w:t>
      </w:r>
      <w:r>
        <w:rPr>
          <w:rFonts w:hint="eastAsia" w:ascii="仿宋_GB2312" w:eastAsia="仿宋_GB2312"/>
          <w:color w:val="auto"/>
          <w:sz w:val="28"/>
          <w:szCs w:val="28"/>
          <w:highlight w:val="none"/>
          <w:lang w:eastAsia="zh-CN"/>
        </w:rPr>
        <w:t>医疗护理员信息化管理规范</w:t>
      </w:r>
      <w:r>
        <w:rPr>
          <w:rFonts w:hint="eastAsia" w:ascii="仿宋_GB2312" w:eastAsia="仿宋_GB2312"/>
          <w:color w:val="auto"/>
          <w:sz w:val="28"/>
          <w:szCs w:val="28"/>
          <w:highlight w:val="none"/>
        </w:rPr>
        <w:t>》项目任务下达后，由</w:t>
      </w:r>
      <w:r>
        <w:rPr>
          <w:rFonts w:hint="eastAsia" w:ascii="仿宋_GB2312" w:eastAsia="仿宋_GB2312"/>
          <w:color w:val="auto"/>
          <w:sz w:val="28"/>
          <w:szCs w:val="28"/>
          <w:highlight w:val="none"/>
          <w:lang w:eastAsia="zh-CN"/>
        </w:rPr>
        <w:t>广西壮族自治区江滨医院</w:t>
      </w:r>
      <w:r>
        <w:rPr>
          <w:rFonts w:hint="eastAsia" w:ascii="仿宋_GB2312" w:eastAsia="仿宋_GB2312"/>
          <w:color w:val="auto"/>
          <w:sz w:val="28"/>
          <w:szCs w:val="28"/>
          <w:highlight w:val="none"/>
        </w:rPr>
        <w:t>牵头组织成立了标准编制工作组，制定了起草编写方案与进度安排，明确任务职责，确定工作技术路线，开展标准研制工作。具体标准编制工作由起草单位相关人员配合完成。</w:t>
      </w:r>
    </w:p>
    <w:p w14:paraId="29817C63">
      <w:pPr>
        <w:spacing w:line="520" w:lineRule="exact"/>
        <w:ind w:firstLine="560" w:firstLineChars="200"/>
        <w:rPr>
          <w:rFonts w:ascii="仿宋_GB2312" w:eastAsia="仿宋_GB2312" w:cs="仿宋_GB2312"/>
          <w:color w:val="auto"/>
          <w:sz w:val="28"/>
          <w:szCs w:val="28"/>
          <w:highlight w:val="none"/>
        </w:rPr>
      </w:pPr>
      <w:r>
        <w:rPr>
          <w:rFonts w:hint="eastAsia" w:ascii="仿宋_GB2312" w:eastAsia="仿宋_GB2312"/>
          <w:color w:val="auto"/>
          <w:sz w:val="28"/>
          <w:szCs w:val="28"/>
          <w:highlight w:val="none"/>
        </w:rPr>
        <w:t>为了明确标准编制的任务职责，确定工作技术路线，开展标准研制工作。标准编制工作组下设二个组，分别是资料收集组、草案编写组。资料收集组负责国内外有关</w:t>
      </w:r>
      <w:r>
        <w:rPr>
          <w:rFonts w:hint="eastAsia" w:ascii="仿宋_GB2312" w:eastAsia="仿宋_GB2312"/>
          <w:color w:val="auto"/>
          <w:sz w:val="28"/>
          <w:szCs w:val="28"/>
          <w:highlight w:val="none"/>
          <w:lang w:eastAsia="zh-CN"/>
        </w:rPr>
        <w:t>医疗护理员信息化管理</w:t>
      </w:r>
      <w:r>
        <w:rPr>
          <w:rFonts w:hint="eastAsia" w:ascii="仿宋_GB2312" w:eastAsia="仿宋_GB2312"/>
          <w:color w:val="auto"/>
          <w:sz w:val="28"/>
          <w:szCs w:val="28"/>
          <w:highlight w:val="none"/>
        </w:rPr>
        <w:t>方面的文献资料的查询、收集和整理工作，查阅前期对</w:t>
      </w:r>
      <w:r>
        <w:rPr>
          <w:rFonts w:hint="eastAsia" w:ascii="仿宋_GB2312" w:eastAsia="仿宋_GB2312"/>
          <w:color w:val="auto"/>
          <w:sz w:val="28"/>
          <w:szCs w:val="28"/>
          <w:highlight w:val="none"/>
          <w:lang w:eastAsia="zh-CN"/>
        </w:rPr>
        <w:t>医疗护理员信息化管理</w:t>
      </w:r>
      <w:r>
        <w:rPr>
          <w:rFonts w:hint="eastAsia" w:ascii="仿宋_GB2312" w:eastAsia="仿宋_GB2312"/>
          <w:color w:val="auto"/>
          <w:sz w:val="28"/>
          <w:szCs w:val="28"/>
          <w:highlight w:val="none"/>
        </w:rPr>
        <w:t>方面的有关研究情况和目前科学界</w:t>
      </w:r>
      <w:r>
        <w:rPr>
          <w:rFonts w:hint="eastAsia" w:ascii="仿宋_GB2312" w:eastAsia="仿宋_GB2312"/>
          <w:color w:val="auto"/>
          <w:sz w:val="28"/>
          <w:szCs w:val="28"/>
          <w:highlight w:val="none"/>
          <w:lang w:eastAsia="zh-CN"/>
        </w:rPr>
        <w:t>医疗护理员信息化管理</w:t>
      </w:r>
      <w:r>
        <w:rPr>
          <w:rFonts w:hint="eastAsia" w:ascii="仿宋_GB2312" w:eastAsia="仿宋_GB2312"/>
          <w:color w:val="auto"/>
          <w:sz w:val="28"/>
          <w:szCs w:val="28"/>
          <w:highlight w:val="none"/>
        </w:rPr>
        <w:t>的研究进展；草案编写组负责起草标准草案及后续征求意见稿和标准编制说明、送审稿及编制说明等编写工作，包括后期召开征求意见会、网上征求意见，以及标准的不断修改和完善。</w:t>
      </w:r>
    </w:p>
    <w:p w14:paraId="678DAA7E">
      <w:pPr>
        <w:spacing w:line="520" w:lineRule="exact"/>
        <w:ind w:firstLine="562" w:firstLineChars="200"/>
        <w:rPr>
          <w:rFonts w:ascii="仿宋_GB2312" w:eastAsia="仿宋_GB2312" w:cs="仿宋_GB2312"/>
          <w:b/>
          <w:color w:val="auto"/>
          <w:sz w:val="28"/>
          <w:szCs w:val="28"/>
          <w:highlight w:val="none"/>
        </w:rPr>
      </w:pPr>
      <w:r>
        <w:rPr>
          <w:rFonts w:hint="eastAsia" w:ascii="仿宋_GB2312" w:eastAsia="仿宋_GB2312" w:cs="仿宋_GB2312"/>
          <w:b/>
          <w:color w:val="auto"/>
          <w:sz w:val="28"/>
          <w:szCs w:val="28"/>
          <w:highlight w:val="none"/>
        </w:rPr>
        <w:t>（二）收集整理文献资料</w:t>
      </w:r>
    </w:p>
    <w:p w14:paraId="40D29D62">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标准编制工作组收集了国内有关</w:t>
      </w:r>
      <w:r>
        <w:rPr>
          <w:rFonts w:hint="eastAsia" w:ascii="仿宋_GB2312" w:eastAsia="仿宋_GB2312"/>
          <w:color w:val="auto"/>
          <w:sz w:val="28"/>
          <w:szCs w:val="28"/>
          <w:highlight w:val="none"/>
          <w:lang w:eastAsia="zh-CN"/>
        </w:rPr>
        <w:t>医疗护理员信息化管理</w:t>
      </w:r>
      <w:r>
        <w:rPr>
          <w:rFonts w:hint="eastAsia" w:ascii="仿宋_GB2312" w:eastAsia="仿宋_GB2312"/>
          <w:color w:val="auto"/>
          <w:sz w:val="28"/>
          <w:szCs w:val="28"/>
          <w:highlight w:val="none"/>
        </w:rPr>
        <w:t>的相关文献资料。主要有：</w:t>
      </w:r>
    </w:p>
    <w:p w14:paraId="53F50B24">
      <w:pPr>
        <w:pStyle w:val="22"/>
        <w:keepNext w:val="0"/>
        <w:keepLines w:val="0"/>
        <w:pageBreakBefore w:val="0"/>
        <w:widowControl w:val="0"/>
        <w:numPr>
          <w:ilvl w:val="0"/>
          <w:numId w:val="11"/>
        </w:numPr>
        <w:kinsoku/>
        <w:wordWrap/>
        <w:overflowPunct w:val="0"/>
        <w:topLinePunct w:val="0"/>
        <w:autoSpaceDE/>
        <w:autoSpaceDN/>
        <w:bidi w:val="0"/>
        <w:adjustRightInd/>
        <w:snapToGrid/>
        <w:spacing w:line="576" w:lineRule="exact"/>
        <w:jc w:val="left"/>
        <w:textAlignment w:val="baseline"/>
        <w:rPr>
          <w:rFonts w:hint="default" w:ascii="仿宋_GB2312" w:hAnsi="仿宋_GB2312" w:eastAsia="仿宋_GB2312" w:cs="仿宋_GB2312"/>
          <w:bCs/>
          <w:color w:val="auto"/>
          <w:sz w:val="28"/>
          <w:szCs w:val="28"/>
          <w:highlight w:val="none"/>
          <w:lang w:val="en-US" w:eastAsia="zh-CN" w:bidi="ar-SA"/>
        </w:rPr>
      </w:pPr>
      <w:r>
        <w:rPr>
          <w:rFonts w:hint="eastAsia" w:ascii="仿宋_GB2312" w:hAnsi="仿宋_GB2312" w:eastAsia="仿宋_GB2312" w:cs="仿宋_GB2312"/>
          <w:bCs/>
          <w:color w:val="auto"/>
          <w:sz w:val="28"/>
          <w:szCs w:val="28"/>
          <w:highlight w:val="none"/>
          <w:lang w:val="en-US" w:eastAsia="zh-CN" w:bidi="ar-SA"/>
        </w:rPr>
        <w:t>国家卫生健康委员会，财政部，人力资源和社会保障部，等.关于加强医疗护理员培训和规范管理工作的通知[EB/OL]. (2019-07-26)[2024-06-27].http://www.nhc.gov.cn/yzygj/s7653/201908/f239ab4290f94d3cb6b36d1705e29f34.shtml.</w:t>
      </w:r>
    </w:p>
    <w:p w14:paraId="0486205D">
      <w:pPr>
        <w:keepNext w:val="0"/>
        <w:keepLines w:val="0"/>
        <w:pageBreakBefore w:val="0"/>
        <w:widowControl w:val="0"/>
        <w:numPr>
          <w:ilvl w:val="0"/>
          <w:numId w:val="11"/>
        </w:numPr>
        <w:kinsoku/>
        <w:wordWrap/>
        <w:overflowPunct w:val="0"/>
        <w:topLinePunct w:val="0"/>
        <w:autoSpaceDE/>
        <w:autoSpaceDN/>
        <w:bidi w:val="0"/>
        <w:adjustRightInd/>
        <w:snapToGrid/>
        <w:spacing w:after="120" w:line="576" w:lineRule="exact"/>
        <w:jc w:val="left"/>
        <w:textAlignment w:val="baseline"/>
        <w:rPr>
          <w:rFonts w:hint="default" w:ascii="仿宋_GB2312" w:hAnsi="仿宋_GB2312" w:eastAsia="仿宋_GB2312" w:cs="仿宋_GB2312"/>
          <w:bCs/>
          <w:color w:val="auto"/>
          <w:sz w:val="28"/>
          <w:szCs w:val="28"/>
          <w:highlight w:val="none"/>
          <w:lang w:val="en-US" w:eastAsia="zh-CN" w:bidi="ar-SA"/>
        </w:rPr>
      </w:pPr>
      <w:r>
        <w:rPr>
          <w:rFonts w:hint="eastAsia" w:ascii="仿宋_GB2312" w:hAnsi="仿宋_GB2312" w:eastAsia="仿宋_GB2312" w:cs="仿宋_GB2312"/>
          <w:bCs/>
          <w:color w:val="auto"/>
          <w:sz w:val="28"/>
          <w:szCs w:val="28"/>
          <w:highlight w:val="none"/>
          <w:lang w:val="en-US" w:eastAsia="zh-CN" w:bidi="ar-SA"/>
        </w:rPr>
        <w:t>李</w:t>
      </w:r>
      <w:r>
        <w:rPr>
          <w:rFonts w:hint="default" w:ascii="仿宋_GB2312" w:hAnsi="仿宋_GB2312" w:eastAsia="仿宋_GB2312" w:cs="仿宋_GB2312"/>
          <w:bCs/>
          <w:color w:val="auto"/>
          <w:sz w:val="28"/>
          <w:szCs w:val="28"/>
          <w:highlight w:val="none"/>
          <w:lang w:val="en-US" w:eastAsia="zh-CN" w:bidi="ar-SA"/>
        </w:rPr>
        <w:t>凤丹</w:t>
      </w:r>
      <w:r>
        <w:rPr>
          <w:rFonts w:hint="eastAsia" w:ascii="仿宋_GB2312" w:hAnsi="仿宋_GB2312" w:eastAsia="仿宋_GB2312" w:cs="仿宋_GB2312"/>
          <w:bCs/>
          <w:color w:val="auto"/>
          <w:sz w:val="28"/>
          <w:szCs w:val="28"/>
          <w:highlight w:val="none"/>
          <w:lang w:val="en-US" w:eastAsia="zh-CN" w:bidi="ar-SA"/>
        </w:rPr>
        <w:t>，</w:t>
      </w:r>
      <w:r>
        <w:rPr>
          <w:rFonts w:hint="default" w:ascii="仿宋_GB2312" w:hAnsi="仿宋_GB2312" w:eastAsia="仿宋_GB2312" w:cs="仿宋_GB2312"/>
          <w:bCs/>
          <w:color w:val="auto"/>
          <w:sz w:val="28"/>
          <w:szCs w:val="28"/>
          <w:highlight w:val="none"/>
          <w:lang w:val="en-US" w:eastAsia="zh-CN" w:bidi="ar-SA"/>
        </w:rPr>
        <w:t>丁炎明，都继微</w:t>
      </w:r>
      <w:r>
        <w:rPr>
          <w:rFonts w:hint="eastAsia" w:ascii="仿宋_GB2312" w:hAnsi="仿宋_GB2312" w:eastAsia="仿宋_GB2312" w:cs="仿宋_GB2312"/>
          <w:bCs/>
          <w:color w:val="auto"/>
          <w:sz w:val="28"/>
          <w:szCs w:val="28"/>
          <w:highlight w:val="none"/>
          <w:lang w:val="en-US" w:eastAsia="zh-CN" w:bidi="ar-SA"/>
        </w:rPr>
        <w:t>.44</w:t>
      </w:r>
      <w:r>
        <w:rPr>
          <w:rFonts w:hint="default" w:ascii="仿宋_GB2312" w:hAnsi="仿宋_GB2312" w:eastAsia="仿宋_GB2312" w:cs="仿宋_GB2312"/>
          <w:bCs/>
          <w:color w:val="auto"/>
          <w:sz w:val="28"/>
          <w:szCs w:val="28"/>
          <w:highlight w:val="none"/>
          <w:lang w:val="en-US" w:eastAsia="zh-CN" w:bidi="ar-SA"/>
        </w:rPr>
        <w:t>所三级医院医疗护理员使用与管理现状调查[J].中华护理杂志,2022,57(21):2629-2634.</w:t>
      </w:r>
    </w:p>
    <w:p w14:paraId="39E02739">
      <w:pPr>
        <w:keepNext w:val="0"/>
        <w:keepLines w:val="0"/>
        <w:pageBreakBefore w:val="0"/>
        <w:widowControl w:val="0"/>
        <w:numPr>
          <w:ilvl w:val="0"/>
          <w:numId w:val="11"/>
        </w:numPr>
        <w:kinsoku/>
        <w:wordWrap/>
        <w:overflowPunct w:val="0"/>
        <w:topLinePunct w:val="0"/>
        <w:autoSpaceDE/>
        <w:autoSpaceDN/>
        <w:bidi w:val="0"/>
        <w:adjustRightInd/>
        <w:snapToGrid/>
        <w:spacing w:after="120" w:line="576" w:lineRule="exact"/>
        <w:jc w:val="left"/>
        <w:textAlignment w:val="baseline"/>
        <w:rPr>
          <w:rFonts w:hint="eastAsia" w:ascii="仿宋_GB2312" w:hAnsi="仿宋_GB2312" w:eastAsia="仿宋_GB2312" w:cs="仿宋_GB2312"/>
          <w:bCs/>
          <w:color w:val="auto"/>
          <w:sz w:val="28"/>
          <w:szCs w:val="28"/>
          <w:highlight w:val="none"/>
          <w:lang w:val="en-US" w:eastAsia="zh-CN" w:bidi="ar-SA"/>
        </w:rPr>
      </w:pPr>
      <w:r>
        <w:rPr>
          <w:rFonts w:hint="eastAsia" w:ascii="仿宋_GB2312" w:hAnsi="仿宋_GB2312" w:eastAsia="仿宋_GB2312" w:cs="仿宋_GB2312"/>
          <w:bCs/>
          <w:color w:val="auto"/>
          <w:sz w:val="28"/>
          <w:szCs w:val="28"/>
          <w:highlight w:val="none"/>
          <w:lang w:val="en-US" w:eastAsia="zh-CN" w:bidi="ar-SA"/>
        </w:rPr>
        <w:t>国</w:t>
      </w:r>
      <w:r>
        <w:rPr>
          <w:rFonts w:hint="default" w:ascii="仿宋_GB2312" w:hAnsi="仿宋_GB2312" w:eastAsia="仿宋_GB2312" w:cs="仿宋_GB2312"/>
          <w:bCs/>
          <w:color w:val="auto"/>
          <w:sz w:val="28"/>
          <w:szCs w:val="28"/>
          <w:highlight w:val="none"/>
          <w:lang w:val="en-US" w:eastAsia="zh-CN" w:bidi="ar-SA"/>
        </w:rPr>
        <w:t>家人力资源社会保障部办公厅</w:t>
      </w:r>
      <w:r>
        <w:rPr>
          <w:rFonts w:hint="eastAsia" w:ascii="仿宋_GB2312" w:hAnsi="仿宋_GB2312" w:eastAsia="仿宋_GB2312" w:cs="仿宋_GB2312"/>
          <w:bCs/>
          <w:color w:val="auto"/>
          <w:sz w:val="28"/>
          <w:szCs w:val="28"/>
          <w:highlight w:val="none"/>
          <w:lang w:val="en-US" w:eastAsia="zh-CN" w:bidi="ar-SA"/>
        </w:rPr>
        <w:t>,</w:t>
      </w:r>
      <w:r>
        <w:rPr>
          <w:rFonts w:hint="default" w:ascii="仿宋_GB2312" w:hAnsi="仿宋_GB2312" w:eastAsia="仿宋_GB2312" w:cs="仿宋_GB2312"/>
          <w:bCs/>
          <w:color w:val="auto"/>
          <w:sz w:val="28"/>
          <w:szCs w:val="28"/>
          <w:highlight w:val="none"/>
          <w:lang w:val="en-US" w:eastAsia="zh-CN" w:bidi="ar-SA"/>
        </w:rPr>
        <w:t>国家卫生健康委办公厅</w:t>
      </w:r>
      <w:r>
        <w:rPr>
          <w:rFonts w:hint="eastAsia" w:ascii="仿宋_GB2312" w:hAnsi="仿宋_GB2312" w:eastAsia="仿宋_GB2312" w:cs="仿宋_GB2312"/>
          <w:bCs/>
          <w:color w:val="auto"/>
          <w:sz w:val="28"/>
          <w:szCs w:val="28"/>
          <w:highlight w:val="none"/>
          <w:lang w:val="en-US" w:eastAsia="zh-CN" w:bidi="ar-SA"/>
        </w:rPr>
        <w:t>.</w:t>
      </w:r>
      <w:r>
        <w:rPr>
          <w:rFonts w:hint="default" w:ascii="仿宋_GB2312" w:hAnsi="仿宋_GB2312" w:eastAsia="仿宋_GB2312" w:cs="仿宋_GB2312"/>
          <w:bCs/>
          <w:color w:val="auto"/>
          <w:sz w:val="28"/>
          <w:szCs w:val="28"/>
          <w:highlight w:val="none"/>
          <w:lang w:val="en-US" w:eastAsia="zh-CN" w:bidi="ar-SA"/>
        </w:rPr>
        <w:t>关于颁布医疗护理员国家职业标准的通知</w:t>
      </w:r>
      <w:r>
        <w:rPr>
          <w:rFonts w:hint="eastAsia" w:ascii="仿宋_GB2312" w:hAnsi="仿宋_GB2312" w:eastAsia="仿宋_GB2312" w:cs="仿宋_GB2312"/>
          <w:bCs/>
          <w:color w:val="auto"/>
          <w:sz w:val="28"/>
          <w:szCs w:val="28"/>
          <w:highlight w:val="none"/>
          <w:lang w:val="en-US" w:eastAsia="zh-CN" w:bidi="ar-SA"/>
        </w:rPr>
        <w:t>[</w:t>
      </w:r>
      <w:r>
        <w:rPr>
          <w:rFonts w:hint="default" w:ascii="仿宋_GB2312" w:hAnsi="仿宋_GB2312" w:eastAsia="仿宋_GB2312" w:cs="仿宋_GB2312"/>
          <w:bCs/>
          <w:color w:val="auto"/>
          <w:sz w:val="28"/>
          <w:szCs w:val="28"/>
          <w:highlight w:val="none"/>
          <w:lang w:val="en-US" w:eastAsia="zh-CN" w:bidi="ar-SA"/>
        </w:rPr>
        <w:t>EB/OL</w:t>
      </w:r>
      <w:r>
        <w:rPr>
          <w:rFonts w:hint="eastAsia" w:ascii="仿宋_GB2312" w:hAnsi="仿宋_GB2312" w:eastAsia="仿宋_GB2312" w:cs="仿宋_GB2312"/>
          <w:bCs/>
          <w:color w:val="auto"/>
          <w:sz w:val="28"/>
          <w:szCs w:val="28"/>
          <w:highlight w:val="none"/>
          <w:lang w:val="en-US" w:eastAsia="zh-CN" w:bidi="ar-SA"/>
        </w:rPr>
        <w:t>].(</w:t>
      </w:r>
      <w:r>
        <w:rPr>
          <w:rFonts w:hint="default" w:ascii="仿宋_GB2312" w:hAnsi="仿宋_GB2312" w:eastAsia="仿宋_GB2312" w:cs="仿宋_GB2312"/>
          <w:bCs/>
          <w:color w:val="auto"/>
          <w:sz w:val="28"/>
          <w:szCs w:val="28"/>
          <w:highlight w:val="none"/>
          <w:lang w:val="en-US" w:eastAsia="zh-CN" w:bidi="ar-SA"/>
        </w:rPr>
        <w:t>2024</w:t>
      </w:r>
      <w:r>
        <w:rPr>
          <w:rFonts w:hint="eastAsia" w:ascii="仿宋_GB2312" w:hAnsi="仿宋_GB2312" w:eastAsia="仿宋_GB2312" w:cs="仿宋_GB2312"/>
          <w:bCs/>
          <w:color w:val="auto"/>
          <w:sz w:val="28"/>
          <w:szCs w:val="28"/>
          <w:highlight w:val="none"/>
          <w:lang w:val="en-US" w:eastAsia="zh-CN" w:bidi="ar-SA"/>
        </w:rPr>
        <w:t>-</w:t>
      </w:r>
      <w:r>
        <w:rPr>
          <w:rFonts w:hint="default" w:ascii="仿宋_GB2312" w:hAnsi="仿宋_GB2312" w:eastAsia="仿宋_GB2312" w:cs="仿宋_GB2312"/>
          <w:bCs/>
          <w:color w:val="auto"/>
          <w:sz w:val="28"/>
          <w:szCs w:val="28"/>
          <w:highlight w:val="none"/>
          <w:lang w:val="en-US" w:eastAsia="zh-CN" w:bidi="ar-SA"/>
        </w:rPr>
        <w:t>03-08</w:t>
      </w:r>
      <w:r>
        <w:rPr>
          <w:rFonts w:hint="eastAsia" w:ascii="仿宋_GB2312" w:hAnsi="仿宋_GB2312" w:eastAsia="仿宋_GB2312" w:cs="仿宋_GB2312"/>
          <w:bCs/>
          <w:color w:val="auto"/>
          <w:sz w:val="28"/>
          <w:szCs w:val="28"/>
          <w:highlight w:val="none"/>
          <w:lang w:val="en-US" w:eastAsia="zh-CN" w:bidi="ar-SA"/>
        </w:rPr>
        <w:t>）[</w:t>
      </w:r>
      <w:r>
        <w:rPr>
          <w:rFonts w:hint="default" w:ascii="仿宋_GB2312" w:hAnsi="仿宋_GB2312" w:eastAsia="仿宋_GB2312" w:cs="仿宋_GB2312"/>
          <w:bCs/>
          <w:color w:val="auto"/>
          <w:sz w:val="28"/>
          <w:szCs w:val="28"/>
          <w:highlight w:val="none"/>
          <w:lang w:val="en-US" w:eastAsia="zh-CN" w:bidi="ar-SA"/>
        </w:rPr>
        <w:t>2024-06-06</w:t>
      </w:r>
      <w:r>
        <w:rPr>
          <w:rFonts w:hint="eastAsia" w:ascii="仿宋_GB2312" w:hAnsi="仿宋_GB2312" w:eastAsia="仿宋_GB2312" w:cs="仿宋_GB2312"/>
          <w:bCs/>
          <w:color w:val="auto"/>
          <w:sz w:val="28"/>
          <w:szCs w:val="28"/>
          <w:highlight w:val="none"/>
          <w:lang w:val="en-US" w:eastAsia="zh-CN" w:bidi="ar-SA"/>
        </w:rPr>
        <w:t>]</w:t>
      </w:r>
      <w:r>
        <w:rPr>
          <w:rFonts w:hint="default" w:ascii="仿宋_GB2312" w:hAnsi="仿宋_GB2312" w:eastAsia="仿宋_GB2312" w:cs="仿宋_GB2312"/>
          <w:bCs/>
          <w:color w:val="auto"/>
          <w:sz w:val="28"/>
          <w:szCs w:val="28"/>
          <w:highlight w:val="none"/>
          <w:lang w:val="en-US" w:eastAsia="zh-CN" w:bidi="ar-SA"/>
        </w:rPr>
        <w:t>.http</w:t>
      </w:r>
      <w:r>
        <w:rPr>
          <w:rFonts w:hint="eastAsia" w:ascii="仿宋_GB2312" w:hAnsi="仿宋_GB2312" w:eastAsia="仿宋_GB2312" w:cs="仿宋_GB2312"/>
          <w:bCs/>
          <w:color w:val="auto"/>
          <w:sz w:val="28"/>
          <w:szCs w:val="28"/>
          <w:highlight w:val="none"/>
          <w:lang w:val="en-US" w:eastAsia="zh-CN" w:bidi="ar-SA"/>
        </w:rPr>
        <w:t>:</w:t>
      </w:r>
      <w:r>
        <w:rPr>
          <w:rFonts w:hint="default" w:ascii="仿宋_GB2312" w:hAnsi="仿宋_GB2312" w:eastAsia="仿宋_GB2312" w:cs="仿宋_GB2312"/>
          <w:bCs/>
          <w:color w:val="auto"/>
          <w:sz w:val="28"/>
          <w:szCs w:val="28"/>
          <w:highlight w:val="none"/>
          <w:lang w:val="en-US" w:eastAsia="zh-CN" w:bidi="ar-SA"/>
        </w:rPr>
        <w:t>//www.mohrss.gov.cn/xxgk2020/fdzdgknr/rcrs</w:t>
      </w:r>
      <w:r>
        <w:rPr>
          <w:rFonts w:hint="eastAsia" w:ascii="仿宋_GB2312" w:hAnsi="仿宋_GB2312" w:eastAsia="仿宋_GB2312" w:cs="仿宋_GB2312"/>
          <w:bCs/>
          <w:color w:val="auto"/>
          <w:sz w:val="28"/>
          <w:szCs w:val="28"/>
          <w:highlight w:val="none"/>
          <w:lang w:val="en-US" w:eastAsia="zh-CN" w:bidi="ar-SA"/>
        </w:rPr>
        <w:t>.</w:t>
      </w:r>
    </w:p>
    <w:p w14:paraId="79761E28">
      <w:pPr>
        <w:keepNext w:val="0"/>
        <w:keepLines w:val="0"/>
        <w:pageBreakBefore w:val="0"/>
        <w:widowControl w:val="0"/>
        <w:numPr>
          <w:ilvl w:val="0"/>
          <w:numId w:val="11"/>
        </w:numPr>
        <w:kinsoku/>
        <w:wordWrap/>
        <w:overflowPunct w:val="0"/>
        <w:topLinePunct w:val="0"/>
        <w:autoSpaceDE/>
        <w:autoSpaceDN/>
        <w:bidi w:val="0"/>
        <w:adjustRightInd/>
        <w:snapToGrid/>
        <w:spacing w:after="120" w:line="576" w:lineRule="exact"/>
        <w:jc w:val="left"/>
        <w:textAlignment w:val="baseline"/>
        <w:rPr>
          <w:rFonts w:hint="eastAsia" w:ascii="仿宋_GB2312" w:hAnsi="仿宋_GB2312" w:eastAsia="仿宋_GB2312" w:cs="仿宋_GB2312"/>
          <w:bCs/>
          <w:color w:val="auto"/>
          <w:sz w:val="28"/>
          <w:szCs w:val="28"/>
          <w:highlight w:val="none"/>
          <w:lang w:val="en-US" w:eastAsia="zh-CN" w:bidi="ar-SA"/>
        </w:rPr>
      </w:pPr>
      <w:r>
        <w:rPr>
          <w:rFonts w:hint="eastAsia" w:ascii="仿宋_GB2312" w:hAnsi="仿宋_GB2312" w:eastAsia="仿宋_GB2312" w:cs="仿宋_GB2312"/>
          <w:bCs/>
          <w:color w:val="auto"/>
          <w:sz w:val="28"/>
          <w:szCs w:val="28"/>
          <w:highlight w:val="none"/>
          <w:lang w:val="en-US" w:eastAsia="zh-CN" w:bidi="ar-SA"/>
        </w:rPr>
        <w:t>明爱红,龙秀红,梁志金,等. 国内医疗护理员培训和管理省级政策的文本分析[J].中华护理杂志,2025,60(08):960-967.</w:t>
      </w:r>
    </w:p>
    <w:p w14:paraId="76731681">
      <w:pPr>
        <w:keepNext w:val="0"/>
        <w:keepLines w:val="0"/>
        <w:pageBreakBefore w:val="0"/>
        <w:widowControl w:val="0"/>
        <w:numPr>
          <w:ilvl w:val="0"/>
          <w:numId w:val="11"/>
        </w:numPr>
        <w:kinsoku/>
        <w:wordWrap/>
        <w:overflowPunct w:val="0"/>
        <w:topLinePunct w:val="0"/>
        <w:autoSpaceDE/>
        <w:autoSpaceDN/>
        <w:bidi w:val="0"/>
        <w:adjustRightInd/>
        <w:snapToGrid/>
        <w:spacing w:after="120" w:line="576" w:lineRule="exact"/>
        <w:jc w:val="left"/>
        <w:textAlignment w:val="baseline"/>
        <w:rPr>
          <w:rFonts w:hint="eastAsia" w:ascii="仿宋_GB2312" w:hAnsi="仿宋_GB2312" w:eastAsia="仿宋_GB2312" w:cs="仿宋_GB2312"/>
          <w:bCs/>
          <w:color w:val="auto"/>
          <w:sz w:val="28"/>
          <w:szCs w:val="28"/>
          <w:highlight w:val="none"/>
          <w:lang w:val="en-US" w:eastAsia="zh-CN" w:bidi="ar-SA"/>
        </w:rPr>
      </w:pPr>
      <w:r>
        <w:rPr>
          <w:rFonts w:hint="eastAsia" w:ascii="仿宋_GB2312" w:hAnsi="仿宋_GB2312" w:eastAsia="仿宋_GB2312" w:cs="仿宋_GB2312"/>
          <w:bCs/>
          <w:color w:val="auto"/>
          <w:sz w:val="28"/>
          <w:szCs w:val="28"/>
          <w:highlight w:val="none"/>
          <w:lang w:val="en-US" w:eastAsia="zh-CN" w:bidi="ar-SA"/>
        </w:rPr>
        <w:t xml:space="preserve">朱新青,黄江杰,黄远球.医疗护理员规范化管理模式探索与实践[J].中国卫生质量管理,2025,32(06):51-55. </w:t>
      </w:r>
    </w:p>
    <w:p w14:paraId="40DCBBFB">
      <w:pPr>
        <w:keepNext w:val="0"/>
        <w:keepLines w:val="0"/>
        <w:pageBreakBefore w:val="0"/>
        <w:widowControl w:val="0"/>
        <w:numPr>
          <w:ilvl w:val="0"/>
          <w:numId w:val="11"/>
        </w:numPr>
        <w:kinsoku/>
        <w:wordWrap/>
        <w:overflowPunct w:val="0"/>
        <w:topLinePunct w:val="0"/>
        <w:autoSpaceDE/>
        <w:autoSpaceDN/>
        <w:bidi w:val="0"/>
        <w:adjustRightInd/>
        <w:snapToGrid/>
        <w:spacing w:after="120" w:line="576" w:lineRule="exact"/>
        <w:jc w:val="left"/>
        <w:textAlignment w:val="baseline"/>
        <w:rPr>
          <w:rFonts w:hint="eastAsia" w:ascii="仿宋_GB2312" w:hAnsi="仿宋_GB2312" w:eastAsia="仿宋_GB2312" w:cs="仿宋_GB2312"/>
          <w:bCs/>
          <w:color w:val="auto"/>
          <w:sz w:val="28"/>
          <w:szCs w:val="28"/>
          <w:highlight w:val="none"/>
          <w:lang w:val="en-US" w:eastAsia="zh-CN" w:bidi="ar-SA"/>
        </w:rPr>
      </w:pPr>
      <w:r>
        <w:rPr>
          <w:rFonts w:hint="eastAsia" w:ascii="仿宋_GB2312" w:hAnsi="仿宋_GB2312" w:eastAsia="仿宋_GB2312" w:cs="仿宋_GB2312"/>
          <w:bCs/>
          <w:color w:val="auto"/>
          <w:sz w:val="28"/>
          <w:szCs w:val="28"/>
          <w:highlight w:val="none"/>
          <w:lang w:val="en-US" w:eastAsia="zh-CN" w:bidi="ar-SA"/>
        </w:rPr>
        <w:t>顾东瑜,韩君,庹焱,等.区域性医疗护理员一体化管理平台建设与应用 [J].护理管理杂志,2025,25(07):631-634.</w:t>
      </w:r>
    </w:p>
    <w:p w14:paraId="44F297EF">
      <w:pPr>
        <w:keepNext w:val="0"/>
        <w:keepLines w:val="0"/>
        <w:pageBreakBefore w:val="0"/>
        <w:widowControl w:val="0"/>
        <w:numPr>
          <w:ilvl w:val="0"/>
          <w:numId w:val="11"/>
        </w:numPr>
        <w:kinsoku/>
        <w:wordWrap/>
        <w:overflowPunct w:val="0"/>
        <w:topLinePunct w:val="0"/>
        <w:autoSpaceDE/>
        <w:autoSpaceDN/>
        <w:bidi w:val="0"/>
        <w:adjustRightInd/>
        <w:snapToGrid/>
        <w:spacing w:after="120" w:line="576" w:lineRule="exact"/>
        <w:jc w:val="left"/>
        <w:textAlignment w:val="baseline"/>
        <w:rPr>
          <w:rFonts w:hint="default" w:ascii="仿宋_GB2312" w:hAnsi="仿宋_GB2312" w:eastAsia="仿宋_GB2312" w:cs="仿宋_GB2312"/>
          <w:bCs/>
          <w:color w:val="auto"/>
          <w:sz w:val="28"/>
          <w:szCs w:val="28"/>
          <w:highlight w:val="none"/>
          <w:lang w:val="en-US" w:eastAsia="zh-CN" w:bidi="ar-SA"/>
        </w:rPr>
      </w:pPr>
      <w:r>
        <w:rPr>
          <w:rFonts w:hint="eastAsia" w:ascii="仿宋_GB2312" w:hAnsi="仿宋_GB2312" w:eastAsia="仿宋_GB2312" w:cs="仿宋_GB2312"/>
          <w:bCs/>
          <w:color w:val="auto"/>
          <w:sz w:val="28"/>
          <w:szCs w:val="28"/>
          <w:highlight w:val="none"/>
          <w:lang w:val="en-US" w:eastAsia="zh-CN" w:bidi="ar-SA"/>
        </w:rPr>
        <w:t>李艳.我国医疗护理员标准化发展现状及对策[J].标准生活,2025, (04):54-56+64.</w:t>
      </w:r>
    </w:p>
    <w:p w14:paraId="1A0DDEC9">
      <w:pPr>
        <w:spacing w:line="520" w:lineRule="exact"/>
        <w:ind w:firstLine="562" w:firstLineChars="200"/>
        <w:rPr>
          <w:rFonts w:ascii="仿宋_GB2312" w:eastAsia="仿宋_GB2312" w:cs="仿宋_GB2312"/>
          <w:b/>
          <w:color w:val="auto"/>
          <w:sz w:val="28"/>
          <w:szCs w:val="28"/>
          <w:highlight w:val="none"/>
        </w:rPr>
      </w:pPr>
      <w:r>
        <w:rPr>
          <w:rFonts w:hint="eastAsia" w:ascii="仿宋_GB2312" w:eastAsia="仿宋_GB2312" w:cs="仿宋_GB2312"/>
          <w:b/>
          <w:color w:val="auto"/>
          <w:sz w:val="28"/>
          <w:szCs w:val="28"/>
          <w:highlight w:val="none"/>
        </w:rPr>
        <w:t>（三）研讨确定标准主体内容及标准创新点</w:t>
      </w:r>
    </w:p>
    <w:p w14:paraId="2128798C">
      <w:pPr>
        <w:pStyle w:val="30"/>
        <w:keepNext w:val="0"/>
        <w:keepLines w:val="0"/>
        <w:pageBreakBefore w:val="0"/>
        <w:widowControl/>
        <w:kinsoku/>
        <w:wordWrap/>
        <w:overflowPunct/>
        <w:topLinePunct w:val="0"/>
        <w:autoSpaceDE w:val="0"/>
        <w:autoSpaceDN w:val="0"/>
        <w:bidi w:val="0"/>
        <w:adjustRightInd/>
        <w:snapToGrid/>
        <w:spacing w:before="0" w:beforeLines="0" w:after="0" w:afterLines="0"/>
        <w:ind w:firstLine="560"/>
        <w:jc w:val="both"/>
        <w:textAlignment w:val="auto"/>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标准编制工作组在对收集的资料进行整理研究之后，标准编制工作组召开了标准编制会议，对标准的整体框架结构进行了研究，并对标准的关键性内容进行了初步探讨。经过研究，标准的主体内容为基本要求、人员信息、服务管理、培训与考核管理、星级评定管理、安全与隐私、系统运维、监督与改进等要求。</w:t>
      </w:r>
    </w:p>
    <w:p w14:paraId="28CBB000">
      <w:pPr>
        <w:pStyle w:val="30"/>
        <w:spacing w:before="0" w:beforeLines="0" w:after="0" w:afterLines="0"/>
        <w:ind w:firstLine="560"/>
        <w:jc w:val="both"/>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本标准创新点主要为：</w:t>
      </w:r>
    </w:p>
    <w:p w14:paraId="38EE4767">
      <w:pPr>
        <w:spacing w:line="520" w:lineRule="exact"/>
        <w:ind w:firstLine="560" w:firstLineChars="200"/>
        <w:rPr>
          <w:rFonts w:hint="default" w:ascii="仿宋_GB2312" w:hAnsi="仿宋_GB2312" w:eastAsia="仿宋_GB2312" w:cs="仿宋_GB2312"/>
          <w:bCs/>
          <w:color w:val="auto"/>
          <w:sz w:val="28"/>
          <w:szCs w:val="28"/>
          <w:highlight w:val="none"/>
          <w:lang w:val="en-US" w:eastAsia="zh-CN" w:bidi="ar-SA"/>
        </w:rPr>
      </w:pPr>
      <w:r>
        <w:rPr>
          <w:rFonts w:hint="default" w:ascii="仿宋_GB2312" w:hAnsi="仿宋_GB2312" w:eastAsia="仿宋_GB2312" w:cs="仿宋_GB2312"/>
          <w:bCs/>
          <w:color w:val="auto"/>
          <w:sz w:val="28"/>
          <w:szCs w:val="28"/>
          <w:highlight w:val="none"/>
          <w:lang w:val="en-US" w:eastAsia="zh-CN" w:bidi="ar-SA"/>
        </w:rPr>
        <w:t>1. 构建了医疗护理员信息化管理服务的全方位、全流程标准体系。本标准并非局限于单一环节，而是系统性地构建了从“基本要求”到“监督改进”的完整闭环管理体系。它首次将人员信息、服务管理、培训考核、星级评定、安全运维等关键要素有机整合，形成了一套覆盖服务前、中、后的综合性</w:t>
      </w:r>
      <w:r>
        <w:rPr>
          <w:rFonts w:hint="eastAsia" w:ascii="仿宋_GB2312" w:hAnsi="仿宋_GB2312" w:eastAsia="仿宋_GB2312" w:cs="仿宋_GB2312"/>
          <w:bCs/>
          <w:color w:val="auto"/>
          <w:sz w:val="28"/>
          <w:szCs w:val="28"/>
          <w:highlight w:val="none"/>
          <w:lang w:val="en-US" w:eastAsia="zh-CN" w:bidi="ar-SA"/>
        </w:rPr>
        <w:t>规范</w:t>
      </w:r>
      <w:r>
        <w:rPr>
          <w:rFonts w:hint="default" w:ascii="仿宋_GB2312" w:hAnsi="仿宋_GB2312" w:eastAsia="仿宋_GB2312" w:cs="仿宋_GB2312"/>
          <w:bCs/>
          <w:color w:val="auto"/>
          <w:sz w:val="28"/>
          <w:szCs w:val="28"/>
          <w:highlight w:val="none"/>
          <w:lang w:val="en-US" w:eastAsia="zh-CN" w:bidi="ar-SA"/>
        </w:rPr>
        <w:t>，解决了以往标准碎片化、覆盖不全面的问题。</w:t>
      </w:r>
    </w:p>
    <w:p w14:paraId="724D1F1A">
      <w:pPr>
        <w:spacing w:line="520" w:lineRule="exact"/>
        <w:ind w:firstLine="560" w:firstLineChars="200"/>
        <w:rPr>
          <w:rFonts w:hint="default" w:ascii="仿宋_GB2312" w:hAnsi="仿宋_GB2312" w:eastAsia="仿宋_GB2312" w:cs="仿宋_GB2312"/>
          <w:bCs/>
          <w:color w:val="auto"/>
          <w:sz w:val="28"/>
          <w:szCs w:val="28"/>
          <w:highlight w:val="none"/>
          <w:lang w:val="en-US" w:eastAsia="zh-CN" w:bidi="ar-SA"/>
        </w:rPr>
      </w:pPr>
      <w:r>
        <w:rPr>
          <w:rFonts w:hint="default" w:ascii="仿宋_GB2312" w:hAnsi="仿宋_GB2312" w:eastAsia="仿宋_GB2312" w:cs="仿宋_GB2312"/>
          <w:bCs/>
          <w:color w:val="auto"/>
          <w:sz w:val="28"/>
          <w:szCs w:val="28"/>
          <w:highlight w:val="none"/>
          <w:lang w:val="en-US" w:eastAsia="zh-CN" w:bidi="ar-SA"/>
        </w:rPr>
        <w:t>2. 引入“星级评定管理”的动态评价机制</w:t>
      </w:r>
      <w:r>
        <w:rPr>
          <w:rFonts w:hint="eastAsia" w:ascii="仿宋_GB2312" w:hAnsi="仿宋_GB2312" w:eastAsia="仿宋_GB2312" w:cs="仿宋_GB2312"/>
          <w:bCs/>
          <w:color w:val="auto"/>
          <w:sz w:val="28"/>
          <w:szCs w:val="28"/>
          <w:highlight w:val="none"/>
          <w:lang w:val="en-US" w:eastAsia="zh-CN" w:bidi="ar-SA"/>
        </w:rPr>
        <w:t>，</w:t>
      </w:r>
      <w:r>
        <w:rPr>
          <w:rFonts w:hint="default" w:ascii="仿宋_GB2312" w:hAnsi="仿宋_GB2312" w:eastAsia="仿宋_GB2312" w:cs="仿宋_GB2312"/>
          <w:bCs/>
          <w:color w:val="auto"/>
          <w:sz w:val="28"/>
          <w:szCs w:val="28"/>
          <w:highlight w:val="none"/>
          <w:lang w:val="en-US" w:eastAsia="zh-CN" w:bidi="ar-SA"/>
        </w:rPr>
        <w:t>为服务提供者建立了明确的、阶梯式的质量提升目标，为服务使用者提供了直观的选择依据。该机制通过量化的指标体系，实现了服务质量的等级化、可视化，有利于形成“优质优价、良性竞争”的市场环境，驱动服务机构持续改进。</w:t>
      </w:r>
    </w:p>
    <w:p w14:paraId="5D98849B">
      <w:pPr>
        <w:spacing w:line="520" w:lineRule="exact"/>
        <w:ind w:firstLine="560" w:firstLineChars="200"/>
        <w:rPr>
          <w:rFonts w:hint="default" w:ascii="仿宋_GB2312" w:hAnsi="仿宋_GB2312" w:eastAsia="仿宋_GB2312" w:cs="仿宋_GB2312"/>
          <w:bCs/>
          <w:color w:val="auto"/>
          <w:sz w:val="28"/>
          <w:szCs w:val="28"/>
          <w:highlight w:val="none"/>
          <w:lang w:val="en-US" w:eastAsia="zh-CN" w:bidi="ar-SA"/>
        </w:rPr>
      </w:pPr>
      <w:r>
        <w:rPr>
          <w:rFonts w:hint="default" w:ascii="仿宋_GB2312" w:hAnsi="仿宋_GB2312" w:eastAsia="仿宋_GB2312" w:cs="仿宋_GB2312"/>
          <w:bCs/>
          <w:color w:val="auto"/>
          <w:sz w:val="28"/>
          <w:szCs w:val="28"/>
          <w:highlight w:val="none"/>
          <w:lang w:val="en-US" w:eastAsia="zh-CN" w:bidi="ar-SA"/>
        </w:rPr>
        <w:t>3. 建立“培训-考核-服务-监督”的闭环管理链路。将“培训与考核管理”与“服务管理”、“人员信息”、“监督与改进”紧密衔接，确保服务人员的专业能力与服务质量要求相匹配。这一设计形成了“能力准入-过程管控-结果反馈-持续优化”的良性循环，确保了标准要求的有效落地和动态完善，增强了标准的可操作性。</w:t>
      </w:r>
    </w:p>
    <w:p w14:paraId="53CB7ECF">
      <w:pPr>
        <w:spacing w:line="520" w:lineRule="exact"/>
        <w:ind w:firstLine="562" w:firstLineChars="200"/>
        <w:rPr>
          <w:rFonts w:hint="eastAsia" w:ascii="仿宋_GB2312" w:eastAsia="仿宋_GB2312" w:cs="仿宋_GB2312"/>
          <w:b/>
          <w:color w:val="auto"/>
          <w:sz w:val="28"/>
          <w:szCs w:val="28"/>
          <w:highlight w:val="none"/>
          <w:lang w:eastAsia="zh-CN"/>
        </w:rPr>
      </w:pPr>
      <w:r>
        <w:rPr>
          <w:rFonts w:hint="eastAsia" w:ascii="仿宋_GB2312" w:eastAsia="仿宋_GB2312" w:cs="仿宋_GB2312"/>
          <w:b/>
          <w:color w:val="auto"/>
          <w:sz w:val="28"/>
          <w:szCs w:val="28"/>
          <w:highlight w:val="none"/>
        </w:rPr>
        <w:t>（四）调研及形成草案、征求意见稿</w:t>
      </w:r>
    </w:p>
    <w:p w14:paraId="6B45C48F">
      <w:pPr>
        <w:spacing w:line="520" w:lineRule="exact"/>
        <w:ind w:firstLine="560" w:firstLineChars="200"/>
        <w:rPr>
          <w:rFonts w:hint="eastAsia" w:ascii="仿宋_GB2312" w:eastAsia="仿宋_GB2312"/>
          <w:color w:val="auto"/>
          <w:kern w:val="0"/>
          <w:sz w:val="28"/>
          <w:szCs w:val="28"/>
          <w:highlight w:val="none"/>
        </w:rPr>
      </w:pPr>
      <w:r>
        <w:rPr>
          <w:rFonts w:hint="eastAsia" w:ascii="仿宋_GB2312" w:eastAsia="仿宋_GB2312"/>
          <w:color w:val="auto"/>
          <w:kern w:val="0"/>
          <w:sz w:val="28"/>
          <w:szCs w:val="28"/>
          <w:highlight w:val="none"/>
        </w:rPr>
        <w:t>202</w:t>
      </w:r>
      <w:r>
        <w:rPr>
          <w:rFonts w:hint="eastAsia" w:ascii="仿宋_GB2312" w:eastAsia="仿宋_GB2312"/>
          <w:color w:val="auto"/>
          <w:kern w:val="0"/>
          <w:sz w:val="28"/>
          <w:szCs w:val="28"/>
          <w:highlight w:val="none"/>
          <w:lang w:val="en-US" w:eastAsia="zh-CN"/>
        </w:rPr>
        <w:t>4</w:t>
      </w:r>
      <w:r>
        <w:rPr>
          <w:rFonts w:hint="eastAsia" w:ascii="仿宋_GB2312" w:eastAsia="仿宋_GB2312"/>
          <w:color w:val="auto"/>
          <w:kern w:val="0"/>
          <w:sz w:val="28"/>
          <w:szCs w:val="28"/>
          <w:highlight w:val="none"/>
        </w:rPr>
        <w:t>年</w:t>
      </w:r>
      <w:r>
        <w:rPr>
          <w:rFonts w:hint="eastAsia" w:ascii="仿宋_GB2312" w:eastAsia="仿宋_GB2312"/>
          <w:color w:val="auto"/>
          <w:kern w:val="0"/>
          <w:sz w:val="28"/>
          <w:szCs w:val="28"/>
          <w:highlight w:val="none"/>
          <w:lang w:val="en-US" w:eastAsia="zh-CN"/>
        </w:rPr>
        <w:t>11</w:t>
      </w:r>
      <w:r>
        <w:rPr>
          <w:rFonts w:hint="eastAsia" w:ascii="仿宋_GB2312" w:eastAsia="仿宋_GB2312"/>
          <w:color w:val="auto"/>
          <w:kern w:val="0"/>
          <w:sz w:val="28"/>
          <w:szCs w:val="28"/>
          <w:highlight w:val="none"/>
        </w:rPr>
        <w:t>月，标准编制工作组查阅了大量的国内文献资料，对</w:t>
      </w:r>
      <w:r>
        <w:rPr>
          <w:rFonts w:hint="eastAsia" w:ascii="仿宋_GB2312" w:eastAsia="仿宋_GB2312"/>
          <w:color w:val="auto"/>
          <w:kern w:val="0"/>
          <w:sz w:val="28"/>
          <w:szCs w:val="28"/>
          <w:highlight w:val="none"/>
          <w:lang w:eastAsia="zh-CN"/>
        </w:rPr>
        <w:t>医疗护理员信息化管理</w:t>
      </w:r>
      <w:r>
        <w:rPr>
          <w:rFonts w:hint="eastAsia" w:ascii="仿宋_GB2312" w:eastAsia="仿宋_GB2312"/>
          <w:color w:val="auto"/>
          <w:kern w:val="0"/>
          <w:sz w:val="28"/>
          <w:szCs w:val="28"/>
          <w:highlight w:val="none"/>
        </w:rPr>
        <w:t>相关的文件进行系统总结。形成了标准的基本构架，对主要内容进行了讨论并对项目的工作进行了部署和安排。</w:t>
      </w:r>
    </w:p>
    <w:p w14:paraId="2896F763">
      <w:pPr>
        <w:spacing w:line="520" w:lineRule="exact"/>
        <w:ind w:firstLine="560" w:firstLineChars="200"/>
        <w:rPr>
          <w:rFonts w:hint="eastAsia" w:ascii="仿宋_GB2312" w:eastAsia="仿宋_GB2312"/>
          <w:color w:val="auto"/>
          <w:kern w:val="0"/>
          <w:sz w:val="28"/>
          <w:szCs w:val="28"/>
          <w:highlight w:val="none"/>
        </w:rPr>
      </w:pPr>
      <w:r>
        <w:rPr>
          <w:rFonts w:hint="eastAsia" w:ascii="仿宋_GB2312" w:eastAsia="仿宋_GB2312"/>
          <w:color w:val="auto"/>
          <w:kern w:val="0"/>
          <w:sz w:val="28"/>
          <w:szCs w:val="28"/>
          <w:highlight w:val="none"/>
        </w:rPr>
        <w:t>202</w:t>
      </w:r>
      <w:r>
        <w:rPr>
          <w:rFonts w:hint="eastAsia" w:ascii="仿宋_GB2312" w:eastAsia="仿宋_GB2312"/>
          <w:color w:val="auto"/>
          <w:kern w:val="0"/>
          <w:sz w:val="28"/>
          <w:szCs w:val="28"/>
          <w:highlight w:val="none"/>
          <w:lang w:val="en-US" w:eastAsia="zh-CN"/>
        </w:rPr>
        <w:t>4</w:t>
      </w:r>
      <w:r>
        <w:rPr>
          <w:rFonts w:hint="eastAsia" w:ascii="仿宋_GB2312" w:eastAsia="仿宋_GB2312"/>
          <w:color w:val="auto"/>
          <w:kern w:val="0"/>
          <w:sz w:val="28"/>
          <w:szCs w:val="28"/>
          <w:highlight w:val="none"/>
        </w:rPr>
        <w:t>年</w:t>
      </w:r>
      <w:r>
        <w:rPr>
          <w:rFonts w:hint="eastAsia" w:ascii="仿宋_GB2312" w:eastAsia="仿宋_GB2312"/>
          <w:color w:val="auto"/>
          <w:kern w:val="0"/>
          <w:sz w:val="28"/>
          <w:szCs w:val="28"/>
          <w:highlight w:val="none"/>
          <w:lang w:val="en-US" w:eastAsia="zh-CN"/>
        </w:rPr>
        <w:t>12</w:t>
      </w:r>
      <w:r>
        <w:rPr>
          <w:rFonts w:hint="eastAsia" w:ascii="仿宋_GB2312" w:eastAsia="仿宋_GB2312"/>
          <w:color w:val="auto"/>
          <w:kern w:val="0"/>
          <w:sz w:val="28"/>
          <w:szCs w:val="28"/>
          <w:highlight w:val="none"/>
        </w:rPr>
        <w:t>月，团体标准《</w:t>
      </w:r>
      <w:r>
        <w:rPr>
          <w:rFonts w:hint="eastAsia" w:ascii="仿宋_GB2312" w:eastAsia="仿宋_GB2312"/>
          <w:color w:val="auto"/>
          <w:kern w:val="0"/>
          <w:sz w:val="28"/>
          <w:szCs w:val="28"/>
          <w:highlight w:val="none"/>
          <w:lang w:eastAsia="zh-CN"/>
        </w:rPr>
        <w:t>医疗护理员信息化管理规范</w:t>
      </w:r>
      <w:r>
        <w:rPr>
          <w:rFonts w:hint="eastAsia" w:ascii="仿宋_GB2312" w:eastAsia="仿宋_GB2312"/>
          <w:color w:val="auto"/>
          <w:kern w:val="0"/>
          <w:sz w:val="28"/>
          <w:szCs w:val="28"/>
          <w:highlight w:val="none"/>
        </w:rPr>
        <w:t>》获批立项，在前期工作的基础之上，通过理清逻辑脉络，整合已有参考资料中有关</w:t>
      </w:r>
      <w:r>
        <w:rPr>
          <w:rFonts w:hint="eastAsia" w:ascii="仿宋_GB2312" w:eastAsia="仿宋_GB2312"/>
          <w:color w:val="auto"/>
          <w:kern w:val="0"/>
          <w:sz w:val="28"/>
          <w:szCs w:val="28"/>
          <w:highlight w:val="none"/>
          <w:lang w:eastAsia="zh-CN"/>
        </w:rPr>
        <w:t>医疗护理员信息化管理</w:t>
      </w:r>
      <w:r>
        <w:rPr>
          <w:rFonts w:hint="eastAsia" w:ascii="仿宋_GB2312" w:eastAsia="仿宋_GB2312"/>
          <w:color w:val="auto"/>
          <w:kern w:val="0"/>
          <w:sz w:val="28"/>
          <w:szCs w:val="28"/>
          <w:highlight w:val="none"/>
        </w:rPr>
        <w:t>的要求，并在目前</w:t>
      </w:r>
      <w:r>
        <w:rPr>
          <w:rFonts w:hint="eastAsia" w:ascii="仿宋_GB2312" w:eastAsia="仿宋_GB2312"/>
          <w:color w:val="auto"/>
          <w:kern w:val="0"/>
          <w:sz w:val="28"/>
          <w:szCs w:val="28"/>
          <w:highlight w:val="none"/>
          <w:lang w:eastAsia="zh-CN"/>
        </w:rPr>
        <w:t>医疗护理员信息化管理</w:t>
      </w:r>
      <w:r>
        <w:rPr>
          <w:rFonts w:hint="eastAsia" w:ascii="仿宋_GB2312" w:eastAsia="仿宋_GB2312"/>
          <w:color w:val="auto"/>
          <w:kern w:val="0"/>
          <w:sz w:val="28"/>
          <w:szCs w:val="28"/>
          <w:highlight w:val="none"/>
        </w:rPr>
        <w:t>实际操作的基础上，按照简化、统一等原则编制完成团体标准《</w:t>
      </w:r>
      <w:r>
        <w:rPr>
          <w:rFonts w:hint="eastAsia" w:ascii="仿宋_GB2312" w:eastAsia="仿宋_GB2312"/>
          <w:color w:val="auto"/>
          <w:kern w:val="0"/>
          <w:sz w:val="28"/>
          <w:szCs w:val="28"/>
          <w:highlight w:val="none"/>
          <w:lang w:eastAsia="zh-CN"/>
        </w:rPr>
        <w:t>医疗护理员信息化管理规范</w:t>
      </w:r>
      <w:r>
        <w:rPr>
          <w:rFonts w:hint="eastAsia" w:ascii="仿宋_GB2312" w:eastAsia="仿宋_GB2312"/>
          <w:color w:val="auto"/>
          <w:kern w:val="0"/>
          <w:sz w:val="28"/>
          <w:szCs w:val="28"/>
          <w:highlight w:val="none"/>
        </w:rPr>
        <w:t>》（草案）。</w:t>
      </w:r>
    </w:p>
    <w:p w14:paraId="7E71AC25">
      <w:pPr>
        <w:spacing w:line="520" w:lineRule="exact"/>
        <w:ind w:firstLine="560" w:firstLineChars="200"/>
        <w:rPr>
          <w:rFonts w:ascii="仿宋_GB2312" w:eastAsia="仿宋_GB2312"/>
          <w:color w:val="auto"/>
          <w:kern w:val="0"/>
          <w:sz w:val="28"/>
          <w:szCs w:val="28"/>
          <w:highlight w:val="none"/>
        </w:rPr>
      </w:pPr>
      <w:r>
        <w:rPr>
          <w:rFonts w:hint="eastAsia" w:ascii="仿宋_GB2312" w:eastAsia="仿宋_GB2312"/>
          <w:color w:val="auto"/>
          <w:kern w:val="0"/>
          <w:sz w:val="28"/>
          <w:szCs w:val="28"/>
          <w:highlight w:val="none"/>
        </w:rPr>
        <w:t>202</w:t>
      </w:r>
      <w:r>
        <w:rPr>
          <w:rFonts w:hint="eastAsia" w:ascii="仿宋_GB2312" w:eastAsia="仿宋_GB2312"/>
          <w:color w:val="auto"/>
          <w:kern w:val="0"/>
          <w:sz w:val="28"/>
          <w:szCs w:val="28"/>
          <w:highlight w:val="none"/>
          <w:lang w:val="en-US" w:eastAsia="zh-CN"/>
        </w:rPr>
        <w:t>4</w:t>
      </w:r>
      <w:r>
        <w:rPr>
          <w:rFonts w:hint="eastAsia" w:ascii="仿宋_GB2312" w:eastAsia="仿宋_GB2312"/>
          <w:color w:val="auto"/>
          <w:kern w:val="0"/>
          <w:sz w:val="28"/>
          <w:szCs w:val="28"/>
          <w:highlight w:val="none"/>
        </w:rPr>
        <w:t>年</w:t>
      </w:r>
      <w:r>
        <w:rPr>
          <w:rFonts w:hint="eastAsia" w:ascii="仿宋_GB2312" w:eastAsia="仿宋_GB2312"/>
          <w:color w:val="auto"/>
          <w:kern w:val="0"/>
          <w:sz w:val="28"/>
          <w:szCs w:val="28"/>
          <w:highlight w:val="none"/>
          <w:lang w:val="en-US" w:eastAsia="zh-CN"/>
        </w:rPr>
        <w:t>12</w:t>
      </w:r>
      <w:r>
        <w:rPr>
          <w:rFonts w:hint="eastAsia" w:ascii="仿宋_GB2312" w:eastAsia="仿宋_GB2312"/>
          <w:color w:val="auto"/>
          <w:kern w:val="0"/>
          <w:sz w:val="28"/>
          <w:szCs w:val="28"/>
          <w:highlight w:val="none"/>
        </w:rPr>
        <w:t>月～2025年</w:t>
      </w:r>
      <w:r>
        <w:rPr>
          <w:rFonts w:hint="eastAsia" w:ascii="仿宋_GB2312" w:eastAsia="仿宋_GB2312"/>
          <w:color w:val="auto"/>
          <w:kern w:val="0"/>
          <w:sz w:val="28"/>
          <w:szCs w:val="28"/>
          <w:highlight w:val="none"/>
          <w:lang w:val="en-US" w:eastAsia="zh-CN"/>
        </w:rPr>
        <w:t>9</w:t>
      </w:r>
      <w:r>
        <w:rPr>
          <w:rFonts w:hint="eastAsia" w:ascii="仿宋_GB2312" w:eastAsia="仿宋_GB2312"/>
          <w:color w:val="auto"/>
          <w:kern w:val="0"/>
          <w:sz w:val="28"/>
          <w:szCs w:val="28"/>
          <w:highlight w:val="none"/>
        </w:rPr>
        <w:t>月，标准编制工作组深入各地实施</w:t>
      </w:r>
      <w:r>
        <w:rPr>
          <w:rFonts w:hint="eastAsia" w:ascii="仿宋_GB2312" w:eastAsia="仿宋_GB2312"/>
          <w:color w:val="auto"/>
          <w:kern w:val="0"/>
          <w:sz w:val="28"/>
          <w:szCs w:val="28"/>
          <w:highlight w:val="none"/>
          <w:lang w:eastAsia="zh-CN"/>
        </w:rPr>
        <w:t>医疗护理员信息化管理</w:t>
      </w:r>
      <w:r>
        <w:rPr>
          <w:rFonts w:hint="eastAsia" w:ascii="仿宋_GB2312" w:eastAsia="仿宋_GB2312"/>
          <w:color w:val="auto"/>
          <w:kern w:val="0"/>
          <w:sz w:val="28"/>
          <w:szCs w:val="28"/>
          <w:highlight w:val="none"/>
        </w:rPr>
        <w:t>的有代表性的医院，如广西壮族自治区工人医院、桂林市人民医院、玉林市第一人民医院、贵港市人民医院、广西陪陪我健康科技有限公司、广西新生活医养健康服务股份有限公司等召开标准研讨会，收集反馈了大量意见，对标准草案进行了反复修改和研究讨论，掌握了</w:t>
      </w:r>
      <w:r>
        <w:rPr>
          <w:rFonts w:hint="eastAsia" w:ascii="仿宋_GB2312" w:eastAsia="仿宋_GB2312"/>
          <w:color w:val="auto"/>
          <w:kern w:val="0"/>
          <w:sz w:val="28"/>
          <w:szCs w:val="28"/>
          <w:highlight w:val="none"/>
          <w:lang w:eastAsia="zh-CN"/>
        </w:rPr>
        <w:t>医疗护理员信息化管理</w:t>
      </w:r>
      <w:r>
        <w:rPr>
          <w:rFonts w:hint="eastAsia" w:ascii="仿宋_GB2312" w:eastAsia="仿宋_GB2312"/>
          <w:color w:val="auto"/>
          <w:kern w:val="0"/>
          <w:sz w:val="28"/>
          <w:szCs w:val="28"/>
          <w:highlight w:val="none"/>
        </w:rPr>
        <w:t>的基本情况以及要求，最终形成了团体标准《</w:t>
      </w:r>
      <w:r>
        <w:rPr>
          <w:rFonts w:hint="eastAsia" w:ascii="仿宋_GB2312" w:eastAsia="仿宋_GB2312"/>
          <w:color w:val="auto"/>
          <w:kern w:val="0"/>
          <w:sz w:val="28"/>
          <w:szCs w:val="28"/>
          <w:highlight w:val="none"/>
          <w:lang w:eastAsia="zh-CN"/>
        </w:rPr>
        <w:t>医疗护理员信息化管理规范</w:t>
      </w:r>
      <w:r>
        <w:rPr>
          <w:rFonts w:hint="eastAsia" w:ascii="仿宋_GB2312" w:eastAsia="仿宋_GB2312"/>
          <w:color w:val="auto"/>
          <w:kern w:val="0"/>
          <w:sz w:val="28"/>
          <w:szCs w:val="28"/>
          <w:highlight w:val="none"/>
        </w:rPr>
        <w:t>》（征求意见稿）及其编制说明。</w:t>
      </w:r>
    </w:p>
    <w:p w14:paraId="02D9EBEB">
      <w:pPr>
        <w:spacing w:line="240" w:lineRule="auto"/>
        <w:jc w:val="center"/>
        <w:rPr>
          <w:rFonts w:hint="eastAsia" w:ascii="仿宋_GB2312" w:eastAsia="仿宋_GB2312"/>
          <w:color w:val="auto"/>
          <w:kern w:val="0"/>
          <w:sz w:val="28"/>
          <w:szCs w:val="28"/>
          <w:highlight w:val="none"/>
          <w:lang w:eastAsia="zh-CN"/>
        </w:rPr>
      </w:pPr>
      <w:r>
        <w:rPr>
          <w:rFonts w:hint="eastAsia" w:ascii="仿宋_GB2312" w:eastAsia="仿宋_GB2312"/>
          <w:color w:val="auto"/>
          <w:kern w:val="0"/>
          <w:sz w:val="28"/>
          <w:szCs w:val="28"/>
          <w:highlight w:val="none"/>
          <w:lang w:eastAsia="zh-CN"/>
        </w:rPr>
        <w:drawing>
          <wp:inline distT="0" distB="0" distL="114300" distR="114300">
            <wp:extent cx="4296410" cy="3220720"/>
            <wp:effectExtent l="0" t="0" r="8890" b="17780"/>
            <wp:docPr id="13" name="图片 13" descr="7c77fa407dd9f08399a229614f0bb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7c77fa407dd9f08399a229614f0bb20"/>
                    <pic:cNvPicPr>
                      <a:picLocks noChangeAspect="1"/>
                    </pic:cNvPicPr>
                  </pic:nvPicPr>
                  <pic:blipFill>
                    <a:blip r:embed="rId5"/>
                    <a:stretch>
                      <a:fillRect/>
                    </a:stretch>
                  </pic:blipFill>
                  <pic:spPr>
                    <a:xfrm>
                      <a:off x="0" y="0"/>
                      <a:ext cx="4296410" cy="3220720"/>
                    </a:xfrm>
                    <a:prstGeom prst="rect">
                      <a:avLst/>
                    </a:prstGeom>
                  </pic:spPr>
                </pic:pic>
              </a:graphicData>
            </a:graphic>
          </wp:inline>
        </w:drawing>
      </w:r>
    </w:p>
    <w:p w14:paraId="1B78C8AE">
      <w:pPr>
        <w:pStyle w:val="30"/>
        <w:keepNext w:val="0"/>
        <w:keepLines w:val="0"/>
        <w:pageBreakBefore w:val="0"/>
        <w:widowControl/>
        <w:kinsoku/>
        <w:wordWrap/>
        <w:overflowPunct/>
        <w:topLinePunct w:val="0"/>
        <w:autoSpaceDE w:val="0"/>
        <w:autoSpaceDN w:val="0"/>
        <w:bidi w:val="0"/>
        <w:adjustRightInd/>
        <w:snapToGrid/>
        <w:spacing w:before="0" w:beforeLines="0" w:after="0" w:afterLines="0"/>
        <w:ind w:firstLine="0" w:firstLineChars="0"/>
        <w:textAlignment w:val="auto"/>
        <w:rPr>
          <w:rFonts w:hint="eastAsia"/>
          <w:color w:val="auto"/>
          <w:sz w:val="24"/>
          <w:szCs w:val="24"/>
          <w:highlight w:val="none"/>
          <w:lang w:eastAsia="zh-CN"/>
        </w:rPr>
      </w:pPr>
      <w:r>
        <w:rPr>
          <w:rFonts w:hint="eastAsia"/>
          <w:color w:val="auto"/>
          <w:sz w:val="24"/>
          <w:szCs w:val="24"/>
          <w:highlight w:val="none"/>
        </w:rPr>
        <w:t>团体标准《</w:t>
      </w:r>
      <w:r>
        <w:rPr>
          <w:rFonts w:hint="eastAsia"/>
          <w:color w:val="auto"/>
          <w:sz w:val="24"/>
          <w:szCs w:val="24"/>
          <w:highlight w:val="none"/>
          <w:lang w:eastAsia="zh-CN"/>
        </w:rPr>
        <w:t>医疗护理员信息化管理规范</w:t>
      </w:r>
      <w:r>
        <w:rPr>
          <w:rFonts w:hint="eastAsia"/>
          <w:color w:val="auto"/>
          <w:sz w:val="24"/>
          <w:szCs w:val="24"/>
          <w:highlight w:val="none"/>
        </w:rPr>
        <w:t>》</w:t>
      </w:r>
      <w:r>
        <w:rPr>
          <w:rFonts w:hint="eastAsia"/>
          <w:color w:val="auto"/>
          <w:sz w:val="24"/>
          <w:szCs w:val="24"/>
          <w:highlight w:val="none"/>
          <w:lang w:eastAsia="zh-CN"/>
        </w:rPr>
        <w:t>研讨会现场</w:t>
      </w:r>
    </w:p>
    <w:p w14:paraId="3026C158">
      <w:pPr>
        <w:autoSpaceDE w:val="0"/>
        <w:autoSpaceDN w:val="0"/>
        <w:adjustRightInd w:val="0"/>
        <w:spacing w:line="520" w:lineRule="exact"/>
        <w:ind w:firstLine="640" w:firstLineChars="200"/>
        <w:jc w:val="left"/>
        <w:rPr>
          <w:rFonts w:ascii="黑体" w:eastAsia="黑体" w:cs="仿宋_GB2312"/>
          <w:color w:val="auto"/>
          <w:sz w:val="32"/>
          <w:szCs w:val="32"/>
          <w:highlight w:val="none"/>
        </w:rPr>
      </w:pPr>
      <w:r>
        <w:rPr>
          <w:rFonts w:hint="eastAsia" w:ascii="黑体" w:eastAsia="黑体" w:cs="仿宋_GB2312"/>
          <w:color w:val="auto"/>
          <w:sz w:val="32"/>
          <w:szCs w:val="32"/>
          <w:highlight w:val="none"/>
        </w:rPr>
        <w:t>四、制定标准的原则和依据，与现行法律、法规的关系，与有关国家标准、行业标准的协调情况</w:t>
      </w:r>
    </w:p>
    <w:p w14:paraId="59D42203">
      <w:pPr>
        <w:widowControl/>
        <w:tabs>
          <w:tab w:val="center" w:pos="4201"/>
          <w:tab w:val="right" w:leader="dot" w:pos="9298"/>
        </w:tabs>
        <w:autoSpaceDE w:val="0"/>
        <w:autoSpaceDN w:val="0"/>
        <w:spacing w:line="520" w:lineRule="exact"/>
        <w:ind w:firstLine="562" w:firstLineChars="200"/>
        <w:outlineLvl w:val="1"/>
        <w:rPr>
          <w:rFonts w:ascii="仿宋_GB2312" w:eastAsia="仿宋_GB2312"/>
          <w:b/>
          <w:bCs/>
          <w:color w:val="auto"/>
          <w:kern w:val="0"/>
          <w:sz w:val="28"/>
          <w:szCs w:val="28"/>
          <w:highlight w:val="none"/>
        </w:rPr>
      </w:pPr>
      <w:r>
        <w:rPr>
          <w:rFonts w:hint="eastAsia" w:ascii="仿宋_GB2312" w:eastAsia="仿宋_GB2312"/>
          <w:b/>
          <w:bCs/>
          <w:color w:val="auto"/>
          <w:kern w:val="0"/>
          <w:sz w:val="28"/>
          <w:szCs w:val="28"/>
          <w:highlight w:val="none"/>
        </w:rPr>
        <w:t>（一）编制原则</w:t>
      </w:r>
    </w:p>
    <w:p w14:paraId="3A29AD26">
      <w:pPr>
        <w:spacing w:line="52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1、实用性原则</w:t>
      </w:r>
    </w:p>
    <w:p w14:paraId="6BE45F65">
      <w:pPr>
        <w:spacing w:line="520" w:lineRule="exact"/>
        <w:ind w:firstLine="560" w:firstLineChars="20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本标准是在充分收集国内外相关资料和文献、调研分析</w:t>
      </w:r>
      <w:r>
        <w:rPr>
          <w:rFonts w:hint="eastAsia" w:ascii="仿宋_GB2312" w:eastAsia="仿宋_GB2312"/>
          <w:color w:val="auto"/>
          <w:kern w:val="0"/>
          <w:sz w:val="28"/>
          <w:szCs w:val="28"/>
          <w:highlight w:val="none"/>
          <w:lang w:eastAsia="zh-CN"/>
        </w:rPr>
        <w:t>医疗护理员信息化管理</w:t>
      </w:r>
      <w:r>
        <w:rPr>
          <w:rFonts w:hint="eastAsia" w:ascii="仿宋_GB2312" w:eastAsia="仿宋_GB2312" w:cs="仿宋"/>
          <w:color w:val="auto"/>
          <w:sz w:val="28"/>
          <w:szCs w:val="28"/>
          <w:highlight w:val="none"/>
        </w:rPr>
        <w:t>现状，结合起草单位前期研究工作取得的研究成果及积累的</w:t>
      </w:r>
      <w:r>
        <w:rPr>
          <w:rFonts w:hint="eastAsia" w:ascii="仿宋_GB2312" w:eastAsia="仿宋_GB2312"/>
          <w:color w:val="auto"/>
          <w:kern w:val="0"/>
          <w:sz w:val="28"/>
          <w:szCs w:val="28"/>
          <w:highlight w:val="none"/>
          <w:lang w:eastAsia="zh-CN"/>
        </w:rPr>
        <w:t>医疗护理员信息化管理</w:t>
      </w:r>
      <w:r>
        <w:rPr>
          <w:rFonts w:hint="eastAsia" w:ascii="仿宋_GB2312" w:eastAsia="仿宋_GB2312" w:cs="仿宋"/>
          <w:color w:val="auto"/>
          <w:sz w:val="28"/>
          <w:szCs w:val="28"/>
          <w:highlight w:val="none"/>
        </w:rPr>
        <w:t>实践经验，并借鉴国内</w:t>
      </w:r>
      <w:r>
        <w:rPr>
          <w:rFonts w:hint="eastAsia" w:ascii="仿宋_GB2312" w:eastAsia="仿宋_GB2312"/>
          <w:color w:val="auto"/>
          <w:kern w:val="0"/>
          <w:sz w:val="28"/>
          <w:szCs w:val="28"/>
          <w:highlight w:val="none"/>
          <w:lang w:eastAsia="zh-CN"/>
        </w:rPr>
        <w:t>医疗护理员信息化管理</w:t>
      </w:r>
      <w:r>
        <w:rPr>
          <w:rFonts w:hint="eastAsia" w:ascii="仿宋_GB2312" w:eastAsia="仿宋_GB2312" w:cs="仿宋"/>
          <w:color w:val="auto"/>
          <w:sz w:val="28"/>
          <w:szCs w:val="28"/>
          <w:highlight w:val="none"/>
        </w:rPr>
        <w:t>进行总结起草的，符合工作实际，利于</w:t>
      </w:r>
      <w:r>
        <w:rPr>
          <w:rFonts w:hint="eastAsia" w:ascii="仿宋_GB2312" w:eastAsia="仿宋_GB2312"/>
          <w:color w:val="auto"/>
          <w:kern w:val="0"/>
          <w:sz w:val="28"/>
          <w:szCs w:val="28"/>
          <w:highlight w:val="none"/>
          <w:lang w:eastAsia="zh-CN"/>
        </w:rPr>
        <w:t>医疗护理员信息化管理</w:t>
      </w:r>
      <w:r>
        <w:rPr>
          <w:rFonts w:hint="eastAsia" w:ascii="仿宋_GB2312" w:eastAsia="仿宋_GB2312" w:cs="仿宋"/>
          <w:color w:val="auto"/>
          <w:sz w:val="28"/>
          <w:szCs w:val="28"/>
          <w:highlight w:val="none"/>
        </w:rPr>
        <w:t>的实施与推广，具有可操作性和实用性。</w:t>
      </w:r>
    </w:p>
    <w:p w14:paraId="332CA8AB">
      <w:pPr>
        <w:spacing w:line="52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2、协调性原则</w:t>
      </w:r>
    </w:p>
    <w:p w14:paraId="534F6F14">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本文件编写过程中注意了与</w:t>
      </w:r>
      <w:r>
        <w:rPr>
          <w:rFonts w:hint="eastAsia" w:ascii="仿宋_GB2312" w:eastAsia="仿宋_GB2312"/>
          <w:color w:val="auto"/>
          <w:kern w:val="0"/>
          <w:sz w:val="28"/>
          <w:szCs w:val="28"/>
          <w:highlight w:val="none"/>
          <w:lang w:eastAsia="zh-CN"/>
        </w:rPr>
        <w:t>医疗护理员信息化管理</w:t>
      </w:r>
      <w:r>
        <w:rPr>
          <w:rFonts w:hint="eastAsia" w:ascii="仿宋_GB2312" w:eastAsia="仿宋_GB2312"/>
          <w:color w:val="auto"/>
          <w:sz w:val="28"/>
          <w:szCs w:val="28"/>
          <w:highlight w:val="none"/>
        </w:rPr>
        <w:t>相关法律法规的协调问题，在内容上与现行法律法规、标准协调一致。</w:t>
      </w:r>
    </w:p>
    <w:p w14:paraId="29652CA1">
      <w:pPr>
        <w:spacing w:line="52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3、规范性原则</w:t>
      </w:r>
    </w:p>
    <w:p w14:paraId="296DF894">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本文件严格按照GB/T 1.1—2020《标准化工作导则  第1部分：标准化文件的结构和起草规则》编写本标准的内容，保证标准的编写质量。</w:t>
      </w:r>
    </w:p>
    <w:p w14:paraId="7AE6024E">
      <w:pPr>
        <w:spacing w:line="52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4、前瞻性原则</w:t>
      </w:r>
    </w:p>
    <w:p w14:paraId="64F3618C">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本文件在兼顾当前区内</w:t>
      </w:r>
      <w:r>
        <w:rPr>
          <w:rFonts w:hint="eastAsia" w:ascii="仿宋_GB2312" w:eastAsia="仿宋_GB2312"/>
          <w:color w:val="auto"/>
          <w:kern w:val="0"/>
          <w:sz w:val="28"/>
          <w:szCs w:val="28"/>
          <w:highlight w:val="none"/>
          <w:lang w:eastAsia="zh-CN"/>
        </w:rPr>
        <w:t>医疗护理员信息化管理</w:t>
      </w:r>
      <w:r>
        <w:rPr>
          <w:rFonts w:hint="eastAsia" w:ascii="仿宋_GB2312" w:eastAsia="仿宋_GB2312"/>
          <w:color w:val="auto"/>
          <w:sz w:val="28"/>
          <w:szCs w:val="28"/>
          <w:highlight w:val="none"/>
        </w:rPr>
        <w:t>现实情况的同时，还考虑到了</w:t>
      </w:r>
      <w:r>
        <w:rPr>
          <w:rFonts w:hint="eastAsia" w:ascii="仿宋_GB2312" w:eastAsia="仿宋_GB2312"/>
          <w:color w:val="auto"/>
          <w:kern w:val="0"/>
          <w:sz w:val="28"/>
          <w:szCs w:val="28"/>
          <w:highlight w:val="none"/>
          <w:lang w:eastAsia="zh-CN"/>
        </w:rPr>
        <w:t>医疗护理员信息化管理</w:t>
      </w:r>
      <w:r>
        <w:rPr>
          <w:rFonts w:hint="eastAsia" w:ascii="仿宋_GB2312" w:eastAsia="仿宋_GB2312"/>
          <w:color w:val="auto"/>
          <w:sz w:val="28"/>
          <w:szCs w:val="28"/>
          <w:highlight w:val="none"/>
        </w:rPr>
        <w:t>的需要，在标准中体现了个别特色性、前瞻性和先进性条款，作为对</w:t>
      </w:r>
      <w:r>
        <w:rPr>
          <w:rFonts w:hint="eastAsia" w:ascii="仿宋_GB2312" w:eastAsia="仿宋_GB2312"/>
          <w:color w:val="auto"/>
          <w:kern w:val="0"/>
          <w:sz w:val="28"/>
          <w:szCs w:val="28"/>
          <w:highlight w:val="none"/>
          <w:lang w:eastAsia="zh-CN"/>
        </w:rPr>
        <w:t>医疗护理员信息化管理</w:t>
      </w:r>
      <w:r>
        <w:rPr>
          <w:rFonts w:hint="eastAsia" w:ascii="仿宋_GB2312" w:eastAsia="仿宋_GB2312"/>
          <w:color w:val="auto"/>
          <w:sz w:val="28"/>
          <w:szCs w:val="28"/>
          <w:highlight w:val="none"/>
        </w:rPr>
        <w:t>发展的指导。</w:t>
      </w:r>
    </w:p>
    <w:p w14:paraId="67F21166">
      <w:pPr>
        <w:spacing w:line="520" w:lineRule="exact"/>
        <w:ind w:firstLine="562" w:firstLineChars="200"/>
        <w:rPr>
          <w:rFonts w:ascii="仿宋_GB2312" w:eastAsia="仿宋_GB2312"/>
          <w:b/>
          <w:bCs/>
          <w:color w:val="auto"/>
          <w:sz w:val="28"/>
          <w:szCs w:val="28"/>
          <w:highlight w:val="none"/>
        </w:rPr>
      </w:pPr>
      <w:r>
        <w:rPr>
          <w:rFonts w:hint="eastAsia" w:ascii="仿宋_GB2312" w:eastAsia="仿宋_GB2312"/>
          <w:b/>
          <w:bCs/>
          <w:color w:val="auto"/>
          <w:sz w:val="28"/>
          <w:szCs w:val="28"/>
          <w:highlight w:val="none"/>
        </w:rPr>
        <w:t>（二）编制依据</w:t>
      </w:r>
    </w:p>
    <w:p w14:paraId="4C925237">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本标准严格按照GB/T 1.1—2020《标准化工作导则  第1部分：标准化文件的结构和起草规则》的规则起草，标准主要内容依据起草单位在</w:t>
      </w:r>
      <w:r>
        <w:rPr>
          <w:rFonts w:hint="eastAsia" w:ascii="仿宋_GB2312" w:eastAsia="仿宋_GB2312"/>
          <w:color w:val="auto"/>
          <w:kern w:val="0"/>
          <w:sz w:val="28"/>
          <w:szCs w:val="28"/>
          <w:highlight w:val="none"/>
          <w:lang w:eastAsia="zh-CN"/>
        </w:rPr>
        <w:t>医疗护理员信息化管理</w:t>
      </w:r>
      <w:r>
        <w:rPr>
          <w:rFonts w:hint="eastAsia" w:ascii="仿宋_GB2312" w:eastAsia="仿宋_GB2312"/>
          <w:color w:val="auto"/>
          <w:sz w:val="28"/>
          <w:szCs w:val="28"/>
          <w:highlight w:val="none"/>
        </w:rPr>
        <w:t>研究应用过程中的实践经验确定。</w:t>
      </w:r>
    </w:p>
    <w:p w14:paraId="2468F1DB">
      <w:pPr>
        <w:spacing w:line="520" w:lineRule="exact"/>
        <w:ind w:firstLine="562" w:firstLineChars="200"/>
        <w:rPr>
          <w:rFonts w:ascii="仿宋_GB2312" w:eastAsia="仿宋_GB2312"/>
          <w:b/>
          <w:bCs/>
          <w:color w:val="auto"/>
          <w:sz w:val="28"/>
          <w:szCs w:val="28"/>
          <w:highlight w:val="none"/>
        </w:rPr>
      </w:pPr>
      <w:r>
        <w:rPr>
          <w:rFonts w:hint="eastAsia" w:ascii="仿宋_GB2312" w:eastAsia="仿宋_GB2312"/>
          <w:b/>
          <w:bCs/>
          <w:color w:val="auto"/>
          <w:sz w:val="28"/>
          <w:szCs w:val="28"/>
          <w:highlight w:val="none"/>
        </w:rPr>
        <w:t>（三）与现行法律、法规的关系，与有关国家标准、行业标准的协调情况</w:t>
      </w:r>
    </w:p>
    <w:p w14:paraId="545DEB11">
      <w:pPr>
        <w:adjustRightInd w:val="0"/>
        <w:snapToGrid w:val="0"/>
        <w:spacing w:line="520" w:lineRule="exact"/>
        <w:ind w:firstLine="560" w:firstLineChars="200"/>
        <w:rPr>
          <w:rFonts w:hint="eastAsia" w:ascii="仿宋_GB2312" w:eastAsia="仿宋_GB2312"/>
          <w:color w:val="auto"/>
          <w:sz w:val="28"/>
          <w:szCs w:val="28"/>
          <w:highlight w:val="none"/>
        </w:rPr>
      </w:pPr>
      <w:r>
        <w:rPr>
          <w:rFonts w:hint="eastAsia" w:ascii="仿宋_GB2312" w:eastAsia="仿宋_GB2312"/>
          <w:color w:val="auto"/>
          <w:sz w:val="28"/>
          <w:szCs w:val="28"/>
          <w:highlight w:val="none"/>
        </w:rPr>
        <w:t>经查阅，截至目前，国内与“医疗护理员信息化管理”相关标准有:DB3306/T</w:t>
      </w:r>
      <w:r>
        <w:rPr>
          <w:rFonts w:hint="eastAsia" w:ascii="仿宋_GB2312" w:eastAsia="仿宋_GB2312"/>
          <w:color w:val="auto"/>
          <w:sz w:val="28"/>
          <w:szCs w:val="28"/>
          <w:highlight w:val="none"/>
          <w:lang w:val="en-US" w:eastAsia="zh-CN"/>
        </w:rPr>
        <w:t xml:space="preserve"> </w:t>
      </w:r>
      <w:r>
        <w:rPr>
          <w:rFonts w:hint="eastAsia" w:ascii="仿宋_GB2312" w:eastAsia="仿宋_GB2312"/>
          <w:color w:val="auto"/>
          <w:sz w:val="28"/>
          <w:szCs w:val="28"/>
          <w:highlight w:val="none"/>
        </w:rPr>
        <w:t>005-2018《智慧居家养老服务信息平台建设与管理规范》，规定了智慧养老服务信息平台的建设、入驻、平台功能、操作流程、管理、评价与改进等内容，重点在于居家养老机构的信息化平台，而本标准是医疗机构的医疗护理员信息化管理，当前未制定有团体标准《医疗护理员信息化管理规范》。</w:t>
      </w:r>
    </w:p>
    <w:p w14:paraId="3686C018">
      <w:pPr>
        <w:adjustRightInd w:val="0"/>
        <w:snapToGrid w:val="0"/>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本标准的内容与现行的法律、法规及强制性标准无冲突，标准的编写符合GB/T 1.1—2020的要求。</w:t>
      </w:r>
    </w:p>
    <w:p w14:paraId="6A84321B">
      <w:pPr>
        <w:spacing w:before="240" w:after="60" w:line="520" w:lineRule="exact"/>
        <w:ind w:firstLine="640" w:firstLineChars="200"/>
        <w:jc w:val="left"/>
        <w:outlineLvl w:val="0"/>
        <w:rPr>
          <w:rFonts w:ascii="仿宋_GB2312" w:eastAsia="仿宋_GB2312" w:cs="仿宋"/>
          <w:bCs/>
          <w:color w:val="auto"/>
          <w:sz w:val="28"/>
          <w:szCs w:val="28"/>
          <w:highlight w:val="none"/>
        </w:rPr>
      </w:pPr>
      <w:r>
        <w:rPr>
          <w:rFonts w:hint="eastAsia" w:ascii="黑体" w:eastAsia="黑体"/>
          <w:bCs/>
          <w:color w:val="auto"/>
          <w:sz w:val="32"/>
          <w:szCs w:val="32"/>
          <w:highlight w:val="none"/>
        </w:rPr>
        <w:t>五、主要条款的说明</w:t>
      </w:r>
    </w:p>
    <w:p w14:paraId="6C832A65">
      <w:pPr>
        <w:pStyle w:val="30"/>
        <w:spacing w:before="0" w:beforeLines="0" w:after="0" w:afterLines="0"/>
        <w:ind w:firstLine="562"/>
        <w:jc w:val="both"/>
        <w:rPr>
          <w:rFonts w:hint="eastAsia" w:ascii="仿宋_GB2312" w:hAnsi="仿宋_GB2312" w:eastAsia="仿宋_GB2312" w:cs="仿宋_GB2312"/>
          <w:b/>
          <w:bCs w:val="0"/>
          <w:color w:val="auto"/>
          <w:sz w:val="28"/>
          <w:szCs w:val="28"/>
          <w:highlight w:val="none"/>
        </w:rPr>
      </w:pPr>
      <w:r>
        <w:rPr>
          <w:rFonts w:hint="eastAsia" w:ascii="仿宋_GB2312" w:hAnsi="仿宋_GB2312" w:eastAsia="仿宋_GB2312" w:cs="仿宋_GB2312"/>
          <w:b/>
          <w:bCs w:val="0"/>
          <w:color w:val="auto"/>
          <w:sz w:val="28"/>
          <w:szCs w:val="28"/>
          <w:highlight w:val="none"/>
        </w:rPr>
        <w:t>（一）术语和定义</w:t>
      </w:r>
    </w:p>
    <w:p w14:paraId="41762C53">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rPr>
      </w:pPr>
      <w:r>
        <w:rPr>
          <w:rFonts w:hint="eastAsia" w:ascii="仿宋_GB2312" w:hAnsi="仿宋_GB2312" w:eastAsia="仿宋_GB2312" w:cs="仿宋_GB2312"/>
          <w:b/>
          <w:bCs w:val="0"/>
          <w:color w:val="auto"/>
          <w:sz w:val="28"/>
          <w:szCs w:val="28"/>
          <w:highlight w:val="none"/>
        </w:rPr>
        <w:t>医疗护理员信息管理平台</w:t>
      </w:r>
    </w:p>
    <w:p w14:paraId="5C67857B">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用于实现医疗护理员统一预约、接单、签约、照护服务、服务评价与分析、培训与考核、星级评定等信息化管理的平台。</w:t>
      </w:r>
    </w:p>
    <w:p w14:paraId="2EF71DB5">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highlight w:val="none"/>
        </w:rPr>
      </w:pPr>
    </w:p>
    <w:p w14:paraId="570FFDCE">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color w:val="auto"/>
          <w:sz w:val="28"/>
          <w:szCs w:val="28"/>
          <w:highlight w:val="none"/>
          <w:lang w:eastAsia="zh-CN"/>
        </w:rPr>
      </w:pPr>
      <w:r>
        <w:rPr>
          <w:rFonts w:hint="eastAsia" w:ascii="仿宋_GB2312" w:hAnsi="仿宋_GB2312" w:eastAsia="仿宋_GB2312" w:cs="仿宋_GB2312"/>
          <w:color w:val="auto"/>
          <w:sz w:val="28"/>
          <w:szCs w:val="28"/>
          <w:highlight w:val="none"/>
        </w:rPr>
        <w:t>医疗护理员信息管理平台这个定义可以拆解为</w:t>
      </w:r>
      <w:r>
        <w:rPr>
          <w:rFonts w:hint="eastAsia" w:ascii="仿宋_GB2312" w:hAnsi="仿宋_GB2312" w:eastAsia="仿宋_GB2312" w:cs="仿宋_GB2312"/>
          <w:color w:val="auto"/>
          <w:sz w:val="28"/>
          <w:szCs w:val="28"/>
          <w:highlight w:val="none"/>
          <w:lang w:eastAsia="zh-CN"/>
        </w:rPr>
        <w:t>两个</w:t>
      </w:r>
      <w:r>
        <w:rPr>
          <w:rFonts w:hint="eastAsia" w:ascii="仿宋_GB2312" w:hAnsi="仿宋_GB2312" w:eastAsia="仿宋_GB2312" w:cs="仿宋_GB2312"/>
          <w:color w:val="auto"/>
          <w:sz w:val="28"/>
          <w:szCs w:val="28"/>
          <w:highlight w:val="none"/>
        </w:rPr>
        <w:t>核心部分</w:t>
      </w:r>
      <w:r>
        <w:rPr>
          <w:rFonts w:hint="eastAsia" w:ascii="仿宋_GB2312" w:hAnsi="仿宋_GB2312" w:eastAsia="仿宋_GB2312" w:cs="仿宋_GB2312"/>
          <w:color w:val="auto"/>
          <w:sz w:val="28"/>
          <w:szCs w:val="28"/>
          <w:highlight w:val="none"/>
          <w:lang w:eastAsia="zh-CN"/>
        </w:rPr>
        <w:t>，医疗护理员直接参考了国家卫生健康委员会等部门发布的《医疗护理员培训大纲（试行）》文件，对从业人员的技能、知识和资质进行了规范，将其与普通的生活照料人员区分开；信息管理平台是通过信息技术，将分散的护理员、患者/家属、医疗机构、监管部门等各方连接起来，实现资源的高效匹配和流程的优化。</w:t>
      </w:r>
    </w:p>
    <w:p w14:paraId="369C332D">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b/>
          <w:bCs w:val="0"/>
          <w:color w:val="auto"/>
          <w:highlight w:val="none"/>
        </w:rPr>
      </w:pPr>
      <w:r>
        <w:rPr>
          <w:b/>
          <w:bCs w:val="0"/>
          <w:color w:val="auto"/>
          <w:highlight w:val="none"/>
        </w:rPr>
        <w:drawing>
          <wp:inline distT="0" distB="0" distL="114300" distR="114300">
            <wp:extent cx="3845560" cy="2275205"/>
            <wp:effectExtent l="9525" t="9525" r="12065" b="2032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pic:cNvPicPr>
                  </pic:nvPicPr>
                  <pic:blipFill>
                    <a:blip r:embed="rId6"/>
                    <a:stretch>
                      <a:fillRect/>
                    </a:stretch>
                  </pic:blipFill>
                  <pic:spPr>
                    <a:xfrm>
                      <a:off x="0" y="0"/>
                      <a:ext cx="3845560" cy="2275205"/>
                    </a:xfrm>
                    <a:prstGeom prst="rect">
                      <a:avLst/>
                    </a:prstGeom>
                    <a:noFill/>
                    <a:ln>
                      <a:solidFill>
                        <a:schemeClr val="tx1"/>
                      </a:solidFill>
                    </a:ln>
                  </pic:spPr>
                </pic:pic>
              </a:graphicData>
            </a:graphic>
          </wp:inline>
        </w:drawing>
      </w:r>
    </w:p>
    <w:p w14:paraId="30CC9A79">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仿宋_GB2312" w:hAnsi="仿宋_GB2312" w:eastAsia="仿宋_GB2312" w:cs="仿宋_GB2312"/>
          <w:color w:val="auto"/>
          <w:sz w:val="28"/>
          <w:szCs w:val="28"/>
          <w:highlight w:val="none"/>
          <w:lang w:val="en-US" w:eastAsia="zh-CN"/>
        </w:rPr>
      </w:pPr>
      <w:r>
        <w:rPr>
          <w:rFonts w:hint="eastAsia" w:ascii="黑体" w:hAnsi="黑体" w:eastAsia="黑体" w:cs="黑体"/>
          <w:color w:val="auto"/>
          <w:sz w:val="24"/>
          <w:szCs w:val="24"/>
          <w:highlight w:val="none"/>
          <w:lang w:val="en-US" w:eastAsia="zh-CN"/>
        </w:rPr>
        <w:t>来源：医疗护理员培训大纲（试行）</w:t>
      </w:r>
    </w:p>
    <w:p w14:paraId="391721BD">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rPr>
      </w:pPr>
      <w:r>
        <w:rPr>
          <w:rFonts w:hint="eastAsia" w:ascii="仿宋_GB2312" w:hAnsi="仿宋_GB2312" w:eastAsia="仿宋_GB2312" w:cs="仿宋_GB2312"/>
          <w:b/>
          <w:bCs w:val="0"/>
          <w:color w:val="auto"/>
          <w:sz w:val="28"/>
          <w:szCs w:val="28"/>
          <w:highlight w:val="none"/>
        </w:rPr>
        <w:t>（</w:t>
      </w:r>
      <w:r>
        <w:rPr>
          <w:rFonts w:hint="eastAsia" w:ascii="仿宋_GB2312" w:hAnsi="仿宋_GB2312" w:eastAsia="仿宋_GB2312" w:cs="仿宋_GB2312"/>
          <w:b/>
          <w:bCs w:val="0"/>
          <w:color w:val="auto"/>
          <w:sz w:val="28"/>
          <w:szCs w:val="28"/>
          <w:highlight w:val="none"/>
          <w:lang w:eastAsia="zh-CN"/>
        </w:rPr>
        <w:t>二</w:t>
      </w:r>
      <w:r>
        <w:rPr>
          <w:rFonts w:hint="eastAsia" w:ascii="仿宋_GB2312" w:hAnsi="仿宋_GB2312" w:eastAsia="仿宋_GB2312" w:cs="仿宋_GB2312"/>
          <w:b/>
          <w:bCs w:val="0"/>
          <w:color w:val="auto"/>
          <w:sz w:val="28"/>
          <w:szCs w:val="28"/>
          <w:highlight w:val="none"/>
        </w:rPr>
        <w:t>）基本要求</w:t>
      </w:r>
    </w:p>
    <w:p w14:paraId="04F43684">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t>基本要求的目标是构建一个互联互通、安全可控、数据驱动的一体化信息管理生态。实现业务协同与数据贯通，医疗护理员管理涉及培训、考核、派遣、监管等多个环节，这些环节由不同的机构或部门负责。如果每个部门都使用独立、封闭的系统，就会形成“信息孤岛”，导致数据重复录入、信息不一致、业务流程割裂。通过预留标准化的数据接口，确保信息平台能够向上与业务主管部门的系统对接，横向与未来可能出现的其他系统（如医院HR系统、第三方服务平台）连接。</w:t>
      </w:r>
      <w:r>
        <w:rPr>
          <w:rFonts w:hint="eastAsia" w:ascii="仿宋_GB2312" w:hAnsi="仿宋_GB2312" w:eastAsia="仿宋_GB2312" w:cs="仿宋_GB2312"/>
          <w:b w:val="0"/>
          <w:bCs/>
          <w:color w:val="auto"/>
          <w:sz w:val="28"/>
          <w:szCs w:val="28"/>
          <w:highlight w:val="none"/>
          <w:lang w:val="en-US" w:eastAsia="zh-CN"/>
        </w:rPr>
        <w:t>确保</w:t>
      </w:r>
      <w:r>
        <w:rPr>
          <w:rFonts w:hint="eastAsia" w:ascii="仿宋_GB2312" w:hAnsi="仿宋_GB2312" w:eastAsia="仿宋_GB2312" w:cs="仿宋_GB2312"/>
          <w:b w:val="0"/>
          <w:bCs/>
          <w:color w:val="auto"/>
          <w:sz w:val="28"/>
          <w:szCs w:val="28"/>
          <w:highlight w:val="none"/>
          <w:lang w:eastAsia="zh-CN"/>
        </w:rPr>
        <w:t>护理员的档案、培训记录、考核成绩等数据能够一次录入、多方共享，实现全生命周期管理。适应多样化的应用场景，</w:t>
      </w:r>
      <w:r>
        <w:rPr>
          <w:rFonts w:hint="eastAsia" w:ascii="仿宋_GB2312" w:hAnsi="仿宋_GB2312" w:eastAsia="仿宋_GB2312" w:cs="仿宋_GB2312"/>
          <w:b w:val="0"/>
          <w:bCs/>
          <w:color w:val="auto"/>
          <w:sz w:val="28"/>
          <w:szCs w:val="28"/>
          <w:highlight w:val="none"/>
          <w:lang w:val="en-US" w:eastAsia="zh-CN"/>
        </w:rPr>
        <w:t>医疗</w:t>
      </w:r>
      <w:r>
        <w:rPr>
          <w:rFonts w:hint="eastAsia" w:ascii="仿宋_GB2312" w:hAnsi="仿宋_GB2312" w:eastAsia="仿宋_GB2312" w:cs="仿宋_GB2312"/>
          <w:b w:val="0"/>
          <w:bCs/>
          <w:color w:val="auto"/>
          <w:sz w:val="28"/>
          <w:szCs w:val="28"/>
          <w:highlight w:val="none"/>
          <w:lang w:eastAsia="zh-CN"/>
        </w:rPr>
        <w:t>护理员的工作场景是动态的。要求提供PC端、移动端（App/小程序）的接口，满足不同场景下的使用需求。PC端适合进行复杂的档案管理和数据分析，移动端则适合现场签到、执行护理计划、实时上报等轻量化、移动化操作。保障数据主权与系统灵活性，医疗健康数据属于敏感个人信息，甚至涉及国家安全。将系统和数据库部署在自己的服务器上，实现更高程度的自主可控和安全保障。明确数据共享的范围与颗粒度，定义护理员信息化管理的核心数据元。确保不同系统间交换的数据是标准化的、有意义的，能够真正支撑起业务决策。符合国家信息技术应用创新战略，在关键信息基础设施领域，明确要求符合信创CPU、数据库及操作系统的要求，意味信息平台必须能运行在国产化的技术底座上，这是系统能</w:t>
      </w:r>
      <w:r>
        <w:rPr>
          <w:rFonts w:hint="eastAsia" w:ascii="仿宋_GB2312" w:hAnsi="仿宋_GB2312" w:eastAsia="仿宋_GB2312" w:cs="仿宋_GB2312"/>
          <w:b w:val="0"/>
          <w:bCs/>
          <w:color w:val="auto"/>
          <w:sz w:val="28"/>
          <w:szCs w:val="28"/>
          <w:highlight w:val="none"/>
          <w:lang w:val="en-US" w:eastAsia="zh-CN"/>
        </w:rPr>
        <w:t>在</w:t>
      </w:r>
      <w:r>
        <w:rPr>
          <w:rFonts w:hint="eastAsia" w:ascii="仿宋_GB2312" w:hAnsi="仿宋_GB2312" w:eastAsia="仿宋_GB2312" w:cs="仿宋_GB2312"/>
          <w:b w:val="0"/>
          <w:bCs/>
          <w:color w:val="auto"/>
          <w:sz w:val="28"/>
          <w:szCs w:val="28"/>
          <w:highlight w:val="none"/>
          <w:lang w:eastAsia="zh-CN"/>
        </w:rPr>
        <w:t>公立医院等关键单位</w:t>
      </w:r>
      <w:r>
        <w:rPr>
          <w:rFonts w:hint="eastAsia" w:ascii="仿宋_GB2312" w:hAnsi="仿宋_GB2312" w:eastAsia="仿宋_GB2312" w:cs="仿宋_GB2312"/>
          <w:b w:val="0"/>
          <w:bCs/>
          <w:color w:val="auto"/>
          <w:sz w:val="28"/>
          <w:szCs w:val="28"/>
          <w:highlight w:val="none"/>
          <w:lang w:val="en-US" w:eastAsia="zh-CN"/>
        </w:rPr>
        <w:t>采用</w:t>
      </w:r>
      <w:r>
        <w:rPr>
          <w:rFonts w:hint="eastAsia" w:ascii="仿宋_GB2312" w:hAnsi="仿宋_GB2312" w:eastAsia="仿宋_GB2312" w:cs="仿宋_GB2312"/>
          <w:b w:val="0"/>
          <w:bCs/>
          <w:color w:val="auto"/>
          <w:sz w:val="28"/>
          <w:szCs w:val="28"/>
          <w:highlight w:val="none"/>
          <w:lang w:eastAsia="zh-CN"/>
        </w:rPr>
        <w:t>的前提条件。</w:t>
      </w:r>
    </w:p>
    <w:p w14:paraId="103E5597">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default" w:ascii="仿宋_GB2312" w:hAnsi="仿宋_GB2312" w:eastAsia="仿宋_GB2312" w:cs="仿宋_GB2312"/>
          <w:b w:val="0"/>
          <w:bCs/>
          <w:color w:val="auto"/>
          <w:sz w:val="28"/>
          <w:szCs w:val="28"/>
          <w:highlight w:val="none"/>
          <w:lang w:eastAsia="zh-CN"/>
        </w:rPr>
        <w:t>接口种类要求的依据及相关文件文献支撑</w:t>
      </w:r>
      <w:r>
        <w:rPr>
          <w:rFonts w:hint="eastAsia" w:ascii="仿宋_GB2312" w:hAnsi="仿宋_GB2312" w:eastAsia="仿宋_GB2312" w:cs="仿宋_GB2312"/>
          <w:b w:val="0"/>
          <w:bCs/>
          <w:color w:val="auto"/>
          <w:sz w:val="28"/>
          <w:szCs w:val="28"/>
          <w:highlight w:val="none"/>
          <w:lang w:eastAsia="zh-CN"/>
        </w:rPr>
        <w:t>：中共中央、国务院及工信部等发布的一系列关于网络安全、信创产业发展的政策文件。例如，“十四五”规划纲要中明确提到要“加强关键数字技术创新应用”，“筑牢网络安全屏障”。近年来，在党政机关、金融、能源、医疗等关键行业，全面推进国产化替代（即信创）已成为明确的政策要求。所有新采购的软件系统必须能够兼容国产的CPU、操作系统和数据库。规范中“符合信创CPU、数据库及操作系统的要求”是确保该信息管理平台能够进入政府采购目录，在公立医疗卫生机构中部署应用的强制性合规要求。这不是一个技术建议，而是一个准入条件。</w:t>
      </w:r>
    </w:p>
    <w:p w14:paraId="2E96DB60">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eastAsia="zh-CN"/>
        </w:rPr>
      </w:pPr>
      <w:r>
        <w:rPr>
          <w:rFonts w:hint="eastAsia" w:ascii="仿宋_GB2312" w:hAnsi="仿宋_GB2312" w:eastAsia="仿宋_GB2312" w:cs="仿宋_GB2312"/>
          <w:b/>
          <w:bCs w:val="0"/>
          <w:color w:val="auto"/>
          <w:sz w:val="28"/>
          <w:szCs w:val="28"/>
          <w:highlight w:val="none"/>
          <w:lang w:eastAsia="zh-CN"/>
        </w:rPr>
        <w:t>平台要求</w:t>
      </w:r>
    </w:p>
    <w:p w14:paraId="2F7058E3">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color w:val="auto"/>
          <w:sz w:val="28"/>
          <w:szCs w:val="28"/>
          <w:highlight w:val="none"/>
        </w:rPr>
        <w:t>医疗护理员信息管理平台</w:t>
      </w:r>
      <w:r>
        <w:rPr>
          <w:rFonts w:hint="eastAsia" w:ascii="仿宋_GB2312" w:hAnsi="仿宋_GB2312" w:eastAsia="仿宋_GB2312" w:cs="仿宋_GB2312"/>
          <w:b w:val="0"/>
          <w:bCs/>
          <w:color w:val="auto"/>
          <w:sz w:val="28"/>
          <w:szCs w:val="28"/>
          <w:highlight w:val="none"/>
          <w:lang w:eastAsia="zh-CN"/>
        </w:rPr>
        <w:t>涵盖从数据监控、档案管理到服务调度、质量评估等多个方面。整体功能结构以系统管理PC端为核心入口，逐步扩展至档案管理、排班调度、照护记录、评价与投诉、星级评定以及培训考核等模块，各模块之间通过数据交互实现协同工作，确保医疗护理员服务的标准化、高效化和可追溯性。</w:t>
      </w:r>
    </w:p>
    <w:p w14:paraId="7BE1669B">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eastAsia="zh-CN"/>
        </w:rPr>
      </w:pPr>
      <w:r>
        <w:rPr>
          <w:rFonts w:hint="eastAsia" w:ascii="仿宋_GB2312" w:hAnsi="仿宋_GB2312" w:eastAsia="仿宋_GB2312" w:cs="仿宋_GB2312"/>
          <w:b/>
          <w:bCs w:val="0"/>
          <w:color w:val="auto"/>
          <w:sz w:val="28"/>
          <w:szCs w:val="28"/>
          <w:highlight w:val="none"/>
          <w:lang w:eastAsia="zh-CN"/>
        </w:rPr>
        <w:t>平台界面</w:t>
      </w:r>
    </w:p>
    <w:p w14:paraId="6AD5F45D">
      <w:pPr>
        <w:pStyle w:val="30"/>
        <w:keepNext w:val="0"/>
        <w:keepLines w:val="0"/>
        <w:pageBreakBefore w:val="0"/>
        <w:widowControl/>
        <w:numPr>
          <w:ilvl w:val="0"/>
          <w:numId w:val="0"/>
        </w:numPr>
        <w:kinsoku/>
        <w:wordWrap/>
        <w:overflowPunct/>
        <w:topLinePunct w:val="0"/>
        <w:autoSpaceDE w:val="0"/>
        <w:autoSpaceDN w:val="0"/>
        <w:bidi w:val="0"/>
        <w:adjustRightInd/>
        <w:snapToGrid/>
        <w:spacing w:before="0" w:beforeLines="0" w:after="0" w:afterLines="0" w:line="240" w:lineRule="auto"/>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drawing>
          <wp:inline distT="0" distB="0" distL="114300" distR="114300">
            <wp:extent cx="5677535" cy="2586355"/>
            <wp:effectExtent l="9525" t="9525" r="27940" b="13970"/>
            <wp:docPr id="1" name="图片 1" descr="lQLPKGe6u-iYjuHNAtjNBj6w9Fy7VyG25-8IsV3q0MK4AA_1598_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lQLPKGe6u-iYjuHNAtjNBj6w9Fy7VyG25-8IsV3q0MK4AA_1598_728"/>
                    <pic:cNvPicPr>
                      <a:picLocks noChangeAspect="1"/>
                    </pic:cNvPicPr>
                  </pic:nvPicPr>
                  <pic:blipFill>
                    <a:blip r:embed="rId7"/>
                    <a:stretch>
                      <a:fillRect/>
                    </a:stretch>
                  </pic:blipFill>
                  <pic:spPr>
                    <a:xfrm>
                      <a:off x="0" y="0"/>
                      <a:ext cx="5677535" cy="2586355"/>
                    </a:xfrm>
                    <a:prstGeom prst="rect">
                      <a:avLst/>
                    </a:prstGeom>
                    <a:ln>
                      <a:solidFill>
                        <a:schemeClr val="tx1"/>
                      </a:solidFill>
                    </a:ln>
                  </pic:spPr>
                </pic:pic>
              </a:graphicData>
            </a:graphic>
          </wp:inline>
        </w:drawing>
      </w:r>
    </w:p>
    <w:p w14:paraId="76565CEB">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color w:val="auto"/>
          <w:sz w:val="24"/>
          <w:szCs w:val="24"/>
          <w:highlight w:val="none"/>
          <w:lang w:val="en-US" w:eastAsia="zh-CN"/>
        </w:rPr>
      </w:pPr>
      <w:r>
        <w:rPr>
          <w:rFonts w:hint="eastAsia" w:ascii="黑体" w:hAnsi="黑体" w:eastAsia="黑体" w:cs="黑体"/>
          <w:color w:val="auto"/>
          <w:sz w:val="24"/>
          <w:szCs w:val="24"/>
          <w:highlight w:val="none"/>
          <w:lang w:val="en-US" w:eastAsia="zh-CN"/>
        </w:rPr>
        <w:t>系统管理PC端</w:t>
      </w:r>
      <w:r>
        <w:rPr>
          <w:rFonts w:hint="eastAsia" w:cs="黑体"/>
          <w:color w:val="auto"/>
          <w:sz w:val="24"/>
          <w:szCs w:val="24"/>
          <w:highlight w:val="none"/>
          <w:lang w:val="en-US" w:eastAsia="zh-CN"/>
        </w:rPr>
        <w:t>界面</w:t>
      </w:r>
    </w:p>
    <w:p w14:paraId="194835B1">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t>系统管理PC端模块作为整个平台的管理中枢，首先通过全院陪护情况数据大屏提供宏观视角，总览全院医疗护理员的陪护情况、星级评定状态、各维度统计数据、课程学习进度监控以及学习积分统计等关键指标，便于管理人员实时掌握整体运营状况。同时，医疗护理员管理成果中心数据大屏则侧重于成果展示，包括培训学习成果、考试发证成果、质量评价成果、星级评定成果，以及医疗护理员在医院各科室的分布情况和纳入率分析，从而为决策支持提供数据基础。</w:t>
      </w:r>
    </w:p>
    <w:p w14:paraId="53D12D66">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t>档案管理功能模块致力于建立完善的电子档案体系，支持服务同意书、合同、承诺书和管理制度等文档的列表展示、详情查看、备案和上传操作，并可对接陪护机构实现文档共享。该模块还支持通过手动录入、身份证信息读取硬件设备或第三方平台对接等方式，建立健全医疗护理员电子档案，涵盖基本信息、所属机构、健康情况、持证情况、服务记录、满意度调查、星级评定、培训情况、在岗状态及护理患者等信息。此外，该模块提供医疗护理员记录查看功能，支持对服务过程进行质控检查、反馈处理以及满意度调查，确保档案数据的动态更新和全面性。</w:t>
      </w:r>
    </w:p>
    <w:p w14:paraId="161DE5B6">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drawing>
          <wp:inline distT="0" distB="0" distL="114300" distR="114300">
            <wp:extent cx="4848225" cy="2242185"/>
            <wp:effectExtent l="9525" t="9525" r="19050" b="15240"/>
            <wp:docPr id="2" name="图片 2" descr="lQLPKHSoYrko3OHNAt_NBjWwYGoff2CgBLIIsV4WKSAyAA_1589_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lQLPKHSoYrko3OHNAt_NBjWwYGoff2CgBLIIsV4WKSAyAA_1589_735"/>
                    <pic:cNvPicPr>
                      <a:picLocks noChangeAspect="1"/>
                    </pic:cNvPicPr>
                  </pic:nvPicPr>
                  <pic:blipFill>
                    <a:blip r:embed="rId8"/>
                    <a:stretch>
                      <a:fillRect/>
                    </a:stretch>
                  </pic:blipFill>
                  <pic:spPr>
                    <a:xfrm>
                      <a:off x="0" y="0"/>
                      <a:ext cx="4848225" cy="2242185"/>
                    </a:xfrm>
                    <a:prstGeom prst="rect">
                      <a:avLst/>
                    </a:prstGeom>
                    <a:ln>
                      <a:solidFill>
                        <a:schemeClr val="tx1"/>
                      </a:solidFill>
                    </a:ln>
                  </pic:spPr>
                </pic:pic>
              </a:graphicData>
            </a:graphic>
          </wp:inline>
        </w:drawing>
      </w:r>
    </w:p>
    <w:p w14:paraId="269FA484">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color w:val="auto"/>
          <w:sz w:val="24"/>
          <w:szCs w:val="24"/>
          <w:highlight w:val="none"/>
          <w:lang w:val="en-US" w:eastAsia="zh-CN"/>
        </w:rPr>
      </w:pPr>
      <w:r>
        <w:rPr>
          <w:rFonts w:hint="eastAsia" w:ascii="黑体" w:hAnsi="黑体" w:eastAsia="黑体" w:cs="黑体"/>
          <w:color w:val="auto"/>
          <w:sz w:val="24"/>
          <w:szCs w:val="24"/>
          <w:highlight w:val="none"/>
          <w:lang w:val="en-US" w:eastAsia="zh-CN"/>
        </w:rPr>
        <w:t>人员档案</w:t>
      </w:r>
    </w:p>
    <w:p w14:paraId="26D32088">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eastAsia="zh-CN"/>
        </w:rPr>
        <w:t>排班调度功能模块聚焦于护理员资源的优化配置，支持智能排班、应急调班和服务派单等操作，通过算法辅助实现人力分配的高效性和灵活性，以应对医院科室的需求波动。照护记录功能模块则强调服务过程的实时记录，医疗护理员可通过上传图片或视频等方式记录照护内容，并与平台PC端及小程序端进行数据交互，自动统计照护时长，从而提升服务的透明度和可追溯性。</w:t>
      </w:r>
    </w:p>
    <w:p w14:paraId="4BCDA1A7">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drawing>
          <wp:inline distT="0" distB="0" distL="114300" distR="114300">
            <wp:extent cx="2411730" cy="3822065"/>
            <wp:effectExtent l="9525" t="9525" r="17145" b="16510"/>
            <wp:docPr id="3" name="图片 3" descr="lQLPJwkk4zSpY6HNCQ3NBV6wOiAyrNeHQFkIsWCFE13FAA_1374_2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lQLPJwkk4zSpY6HNCQ3NBV6wOiAyrNeHQFkIsWCFE13FAA_1374_2317"/>
                    <pic:cNvPicPr>
                      <a:picLocks noChangeAspect="1"/>
                    </pic:cNvPicPr>
                  </pic:nvPicPr>
                  <pic:blipFill>
                    <a:blip r:embed="rId9"/>
                    <a:stretch>
                      <a:fillRect/>
                    </a:stretch>
                  </pic:blipFill>
                  <pic:spPr>
                    <a:xfrm>
                      <a:off x="0" y="0"/>
                      <a:ext cx="2411730" cy="3822065"/>
                    </a:xfrm>
                    <a:prstGeom prst="rect">
                      <a:avLst/>
                    </a:prstGeom>
                    <a:ln>
                      <a:solidFill>
                        <a:schemeClr val="tx1"/>
                      </a:solidFill>
                    </a:ln>
                  </pic:spPr>
                </pic:pic>
              </a:graphicData>
            </a:graphic>
          </wp:inline>
        </w:drawing>
      </w:r>
    </w:p>
    <w:p w14:paraId="7F208D16">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color w:val="auto"/>
          <w:sz w:val="24"/>
          <w:szCs w:val="24"/>
          <w:highlight w:val="none"/>
          <w:lang w:val="en-US" w:eastAsia="zh-CN"/>
        </w:rPr>
      </w:pPr>
      <w:r>
        <w:rPr>
          <w:rFonts w:hint="eastAsia" w:ascii="黑体" w:hAnsi="黑体" w:eastAsia="黑体" w:cs="黑体"/>
          <w:color w:val="auto"/>
          <w:sz w:val="24"/>
          <w:szCs w:val="24"/>
          <w:highlight w:val="none"/>
          <w:lang w:val="en-US" w:eastAsia="zh-CN"/>
        </w:rPr>
        <w:t>分析报表</w:t>
      </w:r>
    </w:p>
    <w:p w14:paraId="703BEF76">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eastAsia="zh-CN"/>
        </w:rPr>
        <w:t>评价与投诉功能模块构建了多维度反馈机制，支持患者线上对服务质量、价格和态度等进行满意度评价，同时医疗机构也可对医疗护理员进行质量及满意度评估。患者还能通过移动端查看护理员既往服务订单的质量和满意度结果。平台还建立了投诉渠道，支持线上处理投诉事件，并将数据关联至PC端和第三方陪护服务机构的小程序端，确保投诉处理的闭环管理和统计分析，促进服务质量的持续改进。</w:t>
      </w:r>
    </w:p>
    <w:p w14:paraId="2E66E64E">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drawing>
          <wp:inline distT="0" distB="0" distL="114300" distR="114300">
            <wp:extent cx="5442585" cy="1995805"/>
            <wp:effectExtent l="9525" t="9525" r="15240" b="13970"/>
            <wp:docPr id="4" name="图片 4" descr="lQLPJwcye-foGKHNAk_NBVOwPRwTOyyb9dYIsWCoJHqlAA_1363_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lQLPJwcye-foGKHNAk_NBVOwPRwTOyyb9dYIsWCoJHqlAA_1363_591"/>
                    <pic:cNvPicPr>
                      <a:picLocks noChangeAspect="1"/>
                    </pic:cNvPicPr>
                  </pic:nvPicPr>
                  <pic:blipFill>
                    <a:blip r:embed="rId10"/>
                    <a:stretch>
                      <a:fillRect/>
                    </a:stretch>
                  </pic:blipFill>
                  <pic:spPr>
                    <a:xfrm>
                      <a:off x="0" y="0"/>
                      <a:ext cx="5442585" cy="1995805"/>
                    </a:xfrm>
                    <a:prstGeom prst="rect">
                      <a:avLst/>
                    </a:prstGeom>
                    <a:ln>
                      <a:solidFill>
                        <a:schemeClr val="tx1"/>
                      </a:solidFill>
                    </a:ln>
                  </pic:spPr>
                </pic:pic>
              </a:graphicData>
            </a:graphic>
          </wp:inline>
        </w:drawing>
      </w:r>
    </w:p>
    <w:p w14:paraId="642198F1">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color w:val="auto"/>
          <w:sz w:val="24"/>
          <w:szCs w:val="24"/>
          <w:highlight w:val="none"/>
          <w:lang w:val="en-US" w:eastAsia="zh-CN"/>
        </w:rPr>
      </w:pPr>
      <w:r>
        <w:rPr>
          <w:rFonts w:hint="eastAsia" w:ascii="黑体" w:hAnsi="黑体" w:eastAsia="黑体" w:cs="黑体"/>
          <w:color w:val="auto"/>
          <w:sz w:val="24"/>
          <w:szCs w:val="24"/>
          <w:highlight w:val="none"/>
          <w:lang w:val="en-US" w:eastAsia="zh-CN"/>
        </w:rPr>
        <w:t>投诉管理</w:t>
      </w:r>
    </w:p>
    <w:p w14:paraId="2F9C0994">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eastAsia="zh-CN"/>
        </w:rPr>
        <w:t>星级评定功能模块实现医疗护理员的动态分级管理，通过整合培训考核、质量检查、满意度调查、服务时长和持证变化等信息，支持星级调整功能。该模块还允许管理员详细设置各星级对应的KPI考核项和指标值，确保评定标准的科学性和可定制性。培训及考核功能模块则与教培子系统对接，支持接收培训内容和考试信息，显示培训进度并自动计算培训时长，同时提供在线考试和证书查看功能，助力医疗护理员的专业能力提升和认证管理。</w:t>
      </w:r>
    </w:p>
    <w:p w14:paraId="60A2D8F6">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drawing>
          <wp:inline distT="0" distB="0" distL="114300" distR="114300">
            <wp:extent cx="4533900" cy="1903095"/>
            <wp:effectExtent l="9525" t="9525" r="9525" b="11430"/>
            <wp:docPr id="5" name="图片 5" descr="lQLPJx0B3z8Th8HNAvDNBkCwM6PBA2y-45QIsWFiH7MIAA_1600_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lQLPJx0B3z8Th8HNAvDNBkCwM6PBA2y-45QIsWFiH7MIAA_1600_752"/>
                    <pic:cNvPicPr>
                      <a:picLocks noChangeAspect="1"/>
                    </pic:cNvPicPr>
                  </pic:nvPicPr>
                  <pic:blipFill>
                    <a:blip r:embed="rId11"/>
                    <a:stretch>
                      <a:fillRect/>
                    </a:stretch>
                  </pic:blipFill>
                  <pic:spPr>
                    <a:xfrm>
                      <a:off x="0" y="0"/>
                      <a:ext cx="4533900" cy="1903095"/>
                    </a:xfrm>
                    <a:prstGeom prst="rect">
                      <a:avLst/>
                    </a:prstGeom>
                    <a:ln>
                      <a:solidFill>
                        <a:schemeClr val="tx1"/>
                      </a:solidFill>
                    </a:ln>
                  </pic:spPr>
                </pic:pic>
              </a:graphicData>
            </a:graphic>
          </wp:inline>
        </w:drawing>
      </w:r>
    </w:p>
    <w:p w14:paraId="08A1F254">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drawing>
          <wp:inline distT="0" distB="0" distL="114300" distR="114300">
            <wp:extent cx="4518025" cy="2124710"/>
            <wp:effectExtent l="9525" t="9525" r="25400" b="18415"/>
            <wp:docPr id="6" name="图片 6" descr="lQLPJx8aeWagegHNAu7NBjuw0BIL0HCSc_cIsWHaS1-IAA_1595_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lQLPJx8aeWagegHNAu7NBjuw0BIL0HCSc_cIsWHaS1-IAA_1595_750"/>
                    <pic:cNvPicPr>
                      <a:picLocks noChangeAspect="1"/>
                    </pic:cNvPicPr>
                  </pic:nvPicPr>
                  <pic:blipFill>
                    <a:blip r:embed="rId12"/>
                    <a:stretch>
                      <a:fillRect/>
                    </a:stretch>
                  </pic:blipFill>
                  <pic:spPr>
                    <a:xfrm>
                      <a:off x="0" y="0"/>
                      <a:ext cx="4518025" cy="2124710"/>
                    </a:xfrm>
                    <a:prstGeom prst="rect">
                      <a:avLst/>
                    </a:prstGeom>
                    <a:ln>
                      <a:solidFill>
                        <a:schemeClr val="tx1"/>
                      </a:solidFill>
                    </a:ln>
                  </pic:spPr>
                </pic:pic>
              </a:graphicData>
            </a:graphic>
          </wp:inline>
        </w:drawing>
      </w:r>
    </w:p>
    <w:p w14:paraId="4FD61A97">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color w:val="auto"/>
          <w:sz w:val="24"/>
          <w:szCs w:val="24"/>
          <w:highlight w:val="none"/>
          <w:lang w:val="en-US" w:eastAsia="zh-CN"/>
        </w:rPr>
      </w:pPr>
      <w:r>
        <w:rPr>
          <w:rFonts w:hint="eastAsia" w:ascii="黑体" w:hAnsi="黑体" w:eastAsia="黑体" w:cs="黑体"/>
          <w:color w:val="auto"/>
          <w:sz w:val="24"/>
          <w:szCs w:val="24"/>
          <w:highlight w:val="none"/>
          <w:lang w:val="en-US" w:eastAsia="zh-CN"/>
        </w:rPr>
        <w:t>星级管理</w:t>
      </w:r>
    </w:p>
    <w:p w14:paraId="77A98017">
      <w:pPr>
        <w:pStyle w:val="12"/>
        <w:keepNext w:val="0"/>
        <w:keepLines w:val="0"/>
        <w:widowControl/>
        <w:suppressLineNumbers w:val="0"/>
        <w:spacing w:before="240" w:beforeAutospacing="0" w:after="0" w:afterAutospacing="0"/>
        <w:ind w:left="0" w:right="0" w:firstLine="560" w:firstLineChars="200"/>
        <w:rPr>
          <w:rFonts w:hint="eastAsia" w:ascii="仿宋_GB2312" w:hAnsi="仿宋_GB2312" w:eastAsia="仿宋_GB2312" w:cs="仿宋_GB2312"/>
          <w:b w:val="0"/>
          <w:bCs/>
          <w:color w:val="auto"/>
          <w:sz w:val="28"/>
          <w:szCs w:val="28"/>
          <w:highlight w:val="none"/>
          <w:lang w:val="en-US" w:eastAsia="zh-CN" w:bidi="ar-SA"/>
        </w:rPr>
      </w:pPr>
      <w:r>
        <w:rPr>
          <w:rFonts w:hint="eastAsia" w:ascii="仿宋_GB2312" w:hAnsi="仿宋_GB2312" w:eastAsia="仿宋_GB2312" w:cs="仿宋_GB2312"/>
          <w:b w:val="0"/>
          <w:bCs/>
          <w:color w:val="auto"/>
          <w:sz w:val="28"/>
          <w:szCs w:val="28"/>
          <w:highlight w:val="none"/>
          <w:lang w:val="en-US" w:eastAsia="zh-CN" w:bidi="ar-SA"/>
        </w:rPr>
        <w:t>总体而言，医疗护理员信息管理平台通过模块化设计实现了医疗护理员服务的全流程覆盖，各功能模块相互衔接，形成数据驱动的管理闭环，既提升了操作效率，又保障了服务质量和用户体验。</w:t>
      </w:r>
    </w:p>
    <w:p w14:paraId="47B8A96C">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eastAsia="zh-CN"/>
        </w:rPr>
      </w:pPr>
      <w:r>
        <w:rPr>
          <w:rFonts w:hint="eastAsia" w:ascii="仿宋_GB2312" w:hAnsi="仿宋_GB2312" w:eastAsia="仿宋_GB2312" w:cs="仿宋_GB2312"/>
          <w:b/>
          <w:bCs w:val="0"/>
          <w:color w:val="auto"/>
          <w:sz w:val="28"/>
          <w:szCs w:val="28"/>
          <w:highlight w:val="none"/>
          <w:lang w:eastAsia="zh-CN"/>
        </w:rPr>
        <w:t>（三）人员档案管理</w:t>
      </w:r>
    </w:p>
    <w:p w14:paraId="5B782C43">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t>人员档案管理是整个信息平台的基石，是实现从业人员的“全生命周期管理”，体现</w:t>
      </w:r>
      <w:r>
        <w:rPr>
          <w:rFonts w:hint="eastAsia" w:ascii="仿宋_GB2312" w:hAnsi="仿宋_GB2312" w:eastAsia="仿宋_GB2312" w:cs="仿宋_GB2312"/>
          <w:b w:val="0"/>
          <w:bCs/>
          <w:color w:val="auto"/>
          <w:sz w:val="28"/>
          <w:szCs w:val="28"/>
          <w:highlight w:val="none"/>
          <w:lang w:val="en-US" w:eastAsia="zh-CN"/>
        </w:rPr>
        <w:t>了</w:t>
      </w:r>
      <w:r>
        <w:rPr>
          <w:rFonts w:hint="eastAsia" w:ascii="仿宋_GB2312" w:hAnsi="仿宋_GB2312" w:eastAsia="仿宋_GB2312" w:cs="仿宋_GB2312"/>
          <w:b w:val="0"/>
          <w:bCs/>
          <w:color w:val="auto"/>
          <w:sz w:val="28"/>
          <w:szCs w:val="28"/>
          <w:highlight w:val="none"/>
          <w:lang w:eastAsia="zh-CN"/>
        </w:rPr>
        <w:t>档案动态更新，</w:t>
      </w:r>
      <w:r>
        <w:rPr>
          <w:rFonts w:hint="eastAsia" w:ascii="仿宋_GB2312" w:hAnsi="仿宋_GB2312" w:eastAsia="仿宋_GB2312" w:cs="仿宋_GB2312"/>
          <w:b w:val="0"/>
          <w:bCs/>
          <w:color w:val="auto"/>
          <w:sz w:val="28"/>
          <w:szCs w:val="28"/>
          <w:highlight w:val="none"/>
          <w:lang w:val="en-US" w:eastAsia="zh-CN"/>
        </w:rPr>
        <w:t>包括</w:t>
      </w:r>
      <w:r>
        <w:rPr>
          <w:rFonts w:hint="eastAsia" w:ascii="仿宋_GB2312" w:hAnsi="仿宋_GB2312" w:eastAsia="仿宋_GB2312" w:cs="仿宋_GB2312"/>
          <w:b w:val="0"/>
          <w:bCs/>
          <w:color w:val="auto"/>
          <w:sz w:val="28"/>
          <w:szCs w:val="28"/>
          <w:highlight w:val="none"/>
          <w:lang w:eastAsia="zh-CN"/>
        </w:rPr>
        <w:t>记录基础身份信息、培训成绩、证书状态、工作</w:t>
      </w:r>
      <w:r>
        <w:rPr>
          <w:rFonts w:hint="eastAsia" w:ascii="仿宋_GB2312" w:hAnsi="仿宋_GB2312" w:eastAsia="仿宋_GB2312" w:cs="仿宋_GB2312"/>
          <w:b w:val="0"/>
          <w:bCs/>
          <w:color w:val="auto"/>
          <w:sz w:val="28"/>
          <w:szCs w:val="28"/>
          <w:highlight w:val="none"/>
          <w:lang w:val="en-US" w:eastAsia="zh-CN"/>
        </w:rPr>
        <w:t>记录</w:t>
      </w:r>
      <w:r>
        <w:rPr>
          <w:rFonts w:hint="eastAsia" w:ascii="仿宋_GB2312" w:hAnsi="仿宋_GB2312" w:eastAsia="仿宋_GB2312" w:cs="仿宋_GB2312"/>
          <w:b w:val="0"/>
          <w:bCs/>
          <w:color w:val="auto"/>
          <w:sz w:val="28"/>
          <w:szCs w:val="28"/>
          <w:highlight w:val="none"/>
          <w:lang w:eastAsia="zh-CN"/>
        </w:rPr>
        <w:t>、服务评价、</w:t>
      </w:r>
      <w:r>
        <w:rPr>
          <w:rFonts w:hint="eastAsia" w:ascii="仿宋_GB2312" w:hAnsi="仿宋_GB2312" w:eastAsia="仿宋_GB2312" w:cs="仿宋_GB2312"/>
          <w:b w:val="0"/>
          <w:bCs/>
          <w:color w:val="auto"/>
          <w:sz w:val="28"/>
          <w:szCs w:val="28"/>
          <w:highlight w:val="none"/>
          <w:lang w:val="en-US" w:eastAsia="zh-CN"/>
        </w:rPr>
        <w:t>能力评级</w:t>
      </w:r>
      <w:r>
        <w:rPr>
          <w:rFonts w:hint="eastAsia" w:ascii="仿宋_GB2312" w:hAnsi="仿宋_GB2312" w:eastAsia="仿宋_GB2312" w:cs="仿宋_GB2312"/>
          <w:b w:val="0"/>
          <w:bCs/>
          <w:color w:val="auto"/>
          <w:sz w:val="28"/>
          <w:szCs w:val="28"/>
          <w:highlight w:val="none"/>
          <w:lang w:eastAsia="zh-CN"/>
        </w:rPr>
        <w:t>等，形成一份完整的、可追溯的</w:t>
      </w:r>
      <w:r>
        <w:rPr>
          <w:rFonts w:hint="eastAsia" w:ascii="仿宋_GB2312" w:hAnsi="仿宋_GB2312" w:eastAsia="仿宋_GB2312" w:cs="仿宋_GB2312"/>
          <w:b w:val="0"/>
          <w:bCs/>
          <w:color w:val="auto"/>
          <w:sz w:val="28"/>
          <w:szCs w:val="28"/>
          <w:highlight w:val="none"/>
          <w:lang w:val="en-US" w:eastAsia="zh-CN"/>
        </w:rPr>
        <w:t>人员档案。</w:t>
      </w:r>
      <w:r>
        <w:rPr>
          <w:rFonts w:hint="eastAsia" w:ascii="仿宋_GB2312" w:hAnsi="仿宋_GB2312" w:eastAsia="仿宋_GB2312" w:cs="仿宋_GB2312"/>
          <w:b w:val="0"/>
          <w:bCs/>
          <w:color w:val="auto"/>
          <w:sz w:val="28"/>
          <w:szCs w:val="28"/>
          <w:highlight w:val="none"/>
          <w:lang w:eastAsia="zh-CN"/>
        </w:rPr>
        <w:t>建立行业准入和资质审核的“防火墙”，医疗护理员服务对象是脆弱人群，其从业者的基本素质和背景至关重要。信息化档案管理是确保行业规范化的关键技术手段；通过档案系统，与培训考核系统联动，确保“持证上岗”；与证书数据库联动，实现证书真伪查验和过期预警。</w:t>
      </w:r>
    </w:p>
    <w:p w14:paraId="56985FED">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t>支撑精准派遣与人力资源优化配置，</w:t>
      </w:r>
      <w:r>
        <w:rPr>
          <w:rFonts w:hint="eastAsia" w:ascii="仿宋_GB2312" w:hAnsi="仿宋_GB2312" w:eastAsia="仿宋_GB2312" w:cs="仿宋_GB2312"/>
          <w:b w:val="0"/>
          <w:bCs/>
          <w:color w:val="auto"/>
          <w:sz w:val="28"/>
          <w:szCs w:val="28"/>
          <w:highlight w:val="none"/>
          <w:lang w:val="en-US" w:eastAsia="zh-CN"/>
        </w:rPr>
        <w:t>根据</w:t>
      </w:r>
      <w:r>
        <w:rPr>
          <w:rFonts w:hint="eastAsia" w:ascii="仿宋_GB2312" w:hAnsi="仿宋_GB2312" w:eastAsia="仿宋_GB2312" w:cs="仿宋_GB2312"/>
          <w:b w:val="0"/>
          <w:bCs/>
          <w:color w:val="auto"/>
          <w:sz w:val="28"/>
          <w:szCs w:val="28"/>
          <w:highlight w:val="none"/>
          <w:lang w:eastAsia="zh-CN"/>
        </w:rPr>
        <w:t>患者</w:t>
      </w:r>
      <w:r>
        <w:rPr>
          <w:rFonts w:hint="eastAsia" w:ascii="仿宋_GB2312" w:hAnsi="仿宋_GB2312" w:eastAsia="仿宋_GB2312" w:cs="仿宋_GB2312"/>
          <w:b w:val="0"/>
          <w:bCs/>
          <w:color w:val="auto"/>
          <w:sz w:val="28"/>
          <w:szCs w:val="28"/>
          <w:highlight w:val="none"/>
          <w:lang w:val="en-US" w:eastAsia="zh-CN"/>
        </w:rPr>
        <w:t>情况的</w:t>
      </w:r>
      <w:r>
        <w:rPr>
          <w:rFonts w:hint="eastAsia" w:ascii="仿宋_GB2312" w:hAnsi="仿宋_GB2312" w:eastAsia="仿宋_GB2312" w:cs="仿宋_GB2312"/>
          <w:b w:val="0"/>
          <w:bCs/>
          <w:color w:val="auto"/>
          <w:sz w:val="28"/>
          <w:szCs w:val="28"/>
          <w:highlight w:val="none"/>
          <w:lang w:eastAsia="zh-CN"/>
        </w:rPr>
        <w:t>不同护理需求（如阿尔茨海默病、术后康复），详细的档案（包括技能标签、培训证书、服务经验、语言能力等）使得管理平台或派遣机构能够进行智能匹配，将最合适的护理员派遣给最需要的患者，提升服务质量和满意度。构建信用体系与服务质量追溯机制，建立护理员的职业信用档案，记录</w:t>
      </w:r>
      <w:r>
        <w:rPr>
          <w:rFonts w:hint="eastAsia" w:ascii="仿宋_GB2312" w:hAnsi="仿宋_GB2312" w:eastAsia="仿宋_GB2312" w:cs="仿宋_GB2312"/>
          <w:b w:val="0"/>
          <w:bCs/>
          <w:color w:val="auto"/>
          <w:sz w:val="28"/>
          <w:szCs w:val="28"/>
          <w:highlight w:val="none"/>
          <w:lang w:val="en-US" w:eastAsia="zh-CN"/>
        </w:rPr>
        <w:t>医疗护理员</w:t>
      </w:r>
      <w:r>
        <w:rPr>
          <w:rFonts w:hint="eastAsia" w:ascii="仿宋_GB2312" w:hAnsi="仿宋_GB2312" w:eastAsia="仿宋_GB2312" w:cs="仿宋_GB2312"/>
          <w:b w:val="0"/>
          <w:bCs/>
          <w:color w:val="auto"/>
          <w:sz w:val="28"/>
          <w:szCs w:val="28"/>
          <w:highlight w:val="none"/>
          <w:lang w:eastAsia="zh-CN"/>
        </w:rPr>
        <w:t>服务</w:t>
      </w:r>
      <w:r>
        <w:rPr>
          <w:rFonts w:hint="eastAsia" w:ascii="仿宋_GB2312" w:hAnsi="仿宋_GB2312" w:eastAsia="仿宋_GB2312" w:cs="仿宋_GB2312"/>
          <w:b w:val="0"/>
          <w:bCs/>
          <w:color w:val="auto"/>
          <w:sz w:val="28"/>
          <w:szCs w:val="28"/>
          <w:highlight w:val="none"/>
          <w:lang w:val="en-US" w:eastAsia="zh-CN"/>
        </w:rPr>
        <w:t>过程</w:t>
      </w:r>
      <w:r>
        <w:rPr>
          <w:rFonts w:hint="eastAsia" w:ascii="仿宋_GB2312" w:hAnsi="仿宋_GB2312" w:eastAsia="仿宋_GB2312" w:cs="仿宋_GB2312"/>
          <w:b w:val="0"/>
          <w:bCs/>
          <w:color w:val="auto"/>
          <w:sz w:val="28"/>
          <w:szCs w:val="28"/>
          <w:highlight w:val="none"/>
          <w:lang w:eastAsia="zh-CN"/>
        </w:rPr>
        <w:t>、患者评价、表扬投诉、奖惩情况等。这些数据共同构成了</w:t>
      </w:r>
      <w:r>
        <w:rPr>
          <w:rFonts w:hint="eastAsia" w:ascii="仿宋_GB2312" w:hAnsi="仿宋_GB2312" w:eastAsia="仿宋_GB2312" w:cs="仿宋_GB2312"/>
          <w:b w:val="0"/>
          <w:bCs/>
          <w:color w:val="auto"/>
          <w:sz w:val="28"/>
          <w:szCs w:val="28"/>
          <w:highlight w:val="none"/>
          <w:lang w:val="en-US" w:eastAsia="zh-CN"/>
        </w:rPr>
        <w:t>医疗</w:t>
      </w:r>
      <w:r>
        <w:rPr>
          <w:rFonts w:hint="eastAsia" w:ascii="仿宋_GB2312" w:hAnsi="仿宋_GB2312" w:eastAsia="仿宋_GB2312" w:cs="仿宋_GB2312"/>
          <w:b w:val="0"/>
          <w:bCs/>
          <w:color w:val="auto"/>
          <w:sz w:val="28"/>
          <w:szCs w:val="28"/>
          <w:highlight w:val="none"/>
          <w:lang w:eastAsia="zh-CN"/>
        </w:rPr>
        <w:t>护理员的“</w:t>
      </w:r>
      <w:r>
        <w:rPr>
          <w:rFonts w:hint="eastAsia" w:ascii="仿宋_GB2312" w:hAnsi="仿宋_GB2312" w:eastAsia="仿宋_GB2312" w:cs="仿宋_GB2312"/>
          <w:b w:val="0"/>
          <w:bCs/>
          <w:color w:val="auto"/>
          <w:sz w:val="28"/>
          <w:szCs w:val="28"/>
          <w:highlight w:val="none"/>
          <w:lang w:val="en-US" w:eastAsia="zh-CN"/>
        </w:rPr>
        <w:t>职业</w:t>
      </w:r>
      <w:r>
        <w:rPr>
          <w:rFonts w:hint="eastAsia" w:ascii="仿宋_GB2312" w:hAnsi="仿宋_GB2312" w:eastAsia="仿宋_GB2312" w:cs="仿宋_GB2312"/>
          <w:b w:val="0"/>
          <w:bCs/>
          <w:color w:val="auto"/>
          <w:sz w:val="28"/>
          <w:szCs w:val="28"/>
          <w:highlight w:val="none"/>
          <w:lang w:eastAsia="zh-CN"/>
        </w:rPr>
        <w:t>画像”，为服务机构的管理和淘汰机制提供了数据支持。为行业监管和政策制定提供数据基石，主管部门需要宏观掌握区域内护理员的数量、分布、资质结构、流动情况等，实时了解护理员队伍的规模、素质短板、培训需求等，为制定培训计划、行业标准等提供精准的数据支撑。以进行科学的行业规划和政策调控，使得数据统计和分析变得高效、准确。</w:t>
      </w:r>
    </w:p>
    <w:p w14:paraId="2F42E3C7">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eastAsia="zh-CN"/>
        </w:rPr>
      </w:pPr>
      <w:r>
        <w:rPr>
          <w:rFonts w:hint="eastAsia" w:ascii="仿宋_GB2312" w:hAnsi="仿宋_GB2312" w:eastAsia="仿宋_GB2312" w:cs="仿宋_GB2312"/>
          <w:b/>
          <w:bCs w:val="0"/>
          <w:color w:val="auto"/>
          <w:sz w:val="28"/>
          <w:szCs w:val="28"/>
          <w:highlight w:val="none"/>
          <w:lang w:eastAsia="zh-CN"/>
        </w:rPr>
        <w:t>（四）服务管理</w:t>
      </w:r>
    </w:p>
    <w:p w14:paraId="07AE0F5E">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bCs w:val="0"/>
          <w:color w:val="auto"/>
          <w:sz w:val="28"/>
          <w:szCs w:val="28"/>
          <w:highlight w:val="none"/>
          <w:lang w:eastAsia="zh-CN"/>
        </w:rPr>
        <w:t>预约管理</w:t>
      </w:r>
      <w:r>
        <w:rPr>
          <w:rFonts w:hint="eastAsia" w:ascii="仿宋_GB2312" w:hAnsi="仿宋_GB2312" w:eastAsia="仿宋_GB2312" w:cs="仿宋_GB2312"/>
          <w:b w:val="0"/>
          <w:bCs/>
          <w:color w:val="auto"/>
          <w:sz w:val="28"/>
          <w:szCs w:val="28"/>
          <w:highlight w:val="none"/>
          <w:lang w:eastAsia="zh-CN"/>
        </w:rPr>
        <w:t>作为服务的起点，核心在于通过智能化的指引为患者提供精准的服务建议。依据预约指引，综合考虑患者的具体需求、病情特点以及服务场景等因素，生成个性化的照护服务方案，从而提升预约的准确性和患者体验，为后续服务的顺利开展奠定坚实基础。</w:t>
      </w:r>
    </w:p>
    <w:p w14:paraId="1BEDD9A2">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b w:val="0"/>
          <w:bCs/>
          <w:color w:val="auto"/>
          <w:sz w:val="28"/>
          <w:szCs w:val="28"/>
          <w:highlight w:val="none"/>
          <w:lang w:eastAsia="zh-CN"/>
        </w:rPr>
      </w:pPr>
      <w:r>
        <w:rPr>
          <w:rFonts w:hint="eastAsia"/>
          <w:color w:val="auto"/>
          <w:highlight w:val="none"/>
          <w:lang w:val="en-US" w:eastAsia="zh-CN"/>
        </w:rPr>
        <w:drawing>
          <wp:inline distT="0" distB="0" distL="114300" distR="114300">
            <wp:extent cx="1457960" cy="2748915"/>
            <wp:effectExtent l="9525" t="9525" r="18415" b="22860"/>
            <wp:docPr id="7" name="图片 7" descr="53e8e8cc8c80c513d828600eb7a7ca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53e8e8cc8c80c513d828600eb7a7ca25"/>
                    <pic:cNvPicPr>
                      <a:picLocks noChangeAspect="1"/>
                    </pic:cNvPicPr>
                  </pic:nvPicPr>
                  <pic:blipFill>
                    <a:blip r:embed="rId13"/>
                    <a:stretch>
                      <a:fillRect/>
                    </a:stretch>
                  </pic:blipFill>
                  <pic:spPr>
                    <a:xfrm>
                      <a:off x="0" y="0"/>
                      <a:ext cx="1457960" cy="2748915"/>
                    </a:xfrm>
                    <a:prstGeom prst="rect">
                      <a:avLst/>
                    </a:prstGeom>
                    <a:ln>
                      <a:solidFill>
                        <a:schemeClr val="tx1"/>
                      </a:solidFill>
                    </a:ln>
                  </pic:spPr>
                </pic:pic>
              </a:graphicData>
            </a:graphic>
          </wp:inline>
        </w:drawing>
      </w:r>
    </w:p>
    <w:p w14:paraId="32A9A778">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b w:val="0"/>
          <w:bCs/>
          <w:color w:val="auto"/>
          <w:sz w:val="28"/>
          <w:szCs w:val="28"/>
          <w:highlight w:val="none"/>
          <w:lang w:eastAsia="zh-CN"/>
        </w:rPr>
      </w:pPr>
      <w:r>
        <w:rPr>
          <w:rFonts w:hint="eastAsia" w:ascii="黑体" w:hAnsi="黑体" w:eastAsia="黑体" w:cs="黑体"/>
          <w:b w:val="0"/>
          <w:bCs/>
          <w:color w:val="auto"/>
          <w:sz w:val="28"/>
          <w:szCs w:val="28"/>
          <w:highlight w:val="none"/>
          <w:lang w:eastAsia="zh-CN"/>
        </w:rPr>
        <w:t>预约指引截图</w:t>
      </w:r>
    </w:p>
    <w:p w14:paraId="18160C09">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p>
    <w:p w14:paraId="2F52E380">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t>在</w:t>
      </w:r>
      <w:r>
        <w:rPr>
          <w:rFonts w:hint="eastAsia" w:ascii="仿宋_GB2312" w:hAnsi="仿宋_GB2312" w:eastAsia="仿宋_GB2312" w:cs="仿宋_GB2312"/>
          <w:b/>
          <w:bCs w:val="0"/>
          <w:color w:val="auto"/>
          <w:sz w:val="28"/>
          <w:szCs w:val="28"/>
          <w:highlight w:val="none"/>
          <w:lang w:eastAsia="zh-CN"/>
        </w:rPr>
        <w:t>接单管理</w:t>
      </w:r>
      <w:r>
        <w:rPr>
          <w:rFonts w:hint="eastAsia" w:ascii="仿宋_GB2312" w:hAnsi="仿宋_GB2312" w:eastAsia="仿宋_GB2312" w:cs="仿宋_GB2312"/>
          <w:b w:val="0"/>
          <w:bCs/>
          <w:color w:val="auto"/>
          <w:sz w:val="28"/>
          <w:szCs w:val="28"/>
          <w:highlight w:val="none"/>
          <w:lang w:eastAsia="zh-CN"/>
        </w:rPr>
        <w:t>环节，当服务平台接收到有效的服务预约订单后，系统将根据订单中明确的服务要求、时间安排及患者信息，自动生成一份标准化的照护服务协议。随后，系统将依据预设的规则（如护理员技能匹配、地理位置、当前负荷、星级评定等）智能指派最合适的医疗护理员执行该项服务，实现人力资源的高效、合理配置。</w:t>
      </w:r>
    </w:p>
    <w:p w14:paraId="016C3275">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color w:val="auto"/>
          <w:highlight w:val="none"/>
          <w:lang w:val="en-US" w:eastAsia="zh-CN"/>
        </w:rPr>
      </w:pPr>
      <w:r>
        <w:rPr>
          <w:rFonts w:hint="eastAsia"/>
          <w:color w:val="auto"/>
          <w:highlight w:val="none"/>
          <w:lang w:val="en-US" w:eastAsia="zh-CN"/>
        </w:rPr>
        <w:drawing>
          <wp:inline distT="0" distB="0" distL="114300" distR="114300">
            <wp:extent cx="1735455" cy="2973070"/>
            <wp:effectExtent l="9525" t="9525" r="26670" b="27305"/>
            <wp:docPr id="8" name="图片 8" descr="a3febd12ec489180776cbb9101507b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a3febd12ec489180776cbb9101507b2c"/>
                    <pic:cNvPicPr>
                      <a:picLocks noChangeAspect="1"/>
                    </pic:cNvPicPr>
                  </pic:nvPicPr>
                  <pic:blipFill>
                    <a:blip r:embed="rId14"/>
                    <a:srcRect t="12639" b="6189"/>
                    <a:stretch>
                      <a:fillRect/>
                    </a:stretch>
                  </pic:blipFill>
                  <pic:spPr>
                    <a:xfrm>
                      <a:off x="0" y="0"/>
                      <a:ext cx="1735455" cy="2973070"/>
                    </a:xfrm>
                    <a:prstGeom prst="rect">
                      <a:avLst/>
                    </a:prstGeom>
                    <a:ln>
                      <a:solidFill>
                        <a:schemeClr val="tx1"/>
                      </a:solidFill>
                    </a:ln>
                  </pic:spPr>
                </pic:pic>
              </a:graphicData>
            </a:graphic>
          </wp:inline>
        </w:drawing>
      </w:r>
    </w:p>
    <w:p w14:paraId="62456F7B">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color w:val="auto"/>
          <w:highlight w:val="none"/>
          <w:lang w:val="en-US" w:eastAsia="zh-CN"/>
        </w:rPr>
      </w:pPr>
      <w:r>
        <w:rPr>
          <w:rFonts w:hint="eastAsia"/>
          <w:color w:val="auto"/>
          <w:highlight w:val="none"/>
          <w:lang w:val="en-US" w:eastAsia="zh-CN"/>
        </w:rPr>
        <w:t>照护服务同意书</w:t>
      </w:r>
    </w:p>
    <w:p w14:paraId="1A1975F1">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t>签约管理功能致力于保障服务关系的合法性与规范性。服务订单确认后，支持患者/家属与服务机构或指定的医疗护理员在线完成照护协议的电子签订，简化流程，提高效率。对于选择线下传统方式签订纸质协议的情况，平台同样支持将已签署的协议通过扫描或拍照等方式上传至信息系统进行备案存档，确保所有服务合同均有据可查，便于未来的审计与追溯。</w:t>
      </w:r>
    </w:p>
    <w:p w14:paraId="422733F2">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color w:val="auto"/>
          <w:highlight w:val="none"/>
          <w:lang w:val="en-US" w:eastAsia="zh-CN"/>
        </w:rPr>
      </w:pPr>
      <w:r>
        <w:rPr>
          <w:rFonts w:hint="eastAsia"/>
          <w:color w:val="auto"/>
          <w:highlight w:val="none"/>
          <w:lang w:val="en-US" w:eastAsia="zh-CN"/>
        </w:rPr>
        <w:drawing>
          <wp:inline distT="0" distB="0" distL="114300" distR="114300">
            <wp:extent cx="2821305" cy="1791335"/>
            <wp:effectExtent l="9525" t="9525" r="26670" b="27940"/>
            <wp:docPr id="9" name="图片 9" descr="678f44a56fe2c212df1c2c19dc3363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678f44a56fe2c212df1c2c19dc3363f7"/>
                    <pic:cNvPicPr>
                      <a:picLocks noChangeAspect="1"/>
                    </pic:cNvPicPr>
                  </pic:nvPicPr>
                  <pic:blipFill>
                    <a:blip r:embed="rId15"/>
                    <a:stretch>
                      <a:fillRect/>
                    </a:stretch>
                  </pic:blipFill>
                  <pic:spPr>
                    <a:xfrm>
                      <a:off x="0" y="0"/>
                      <a:ext cx="2821305" cy="1791335"/>
                    </a:xfrm>
                    <a:prstGeom prst="rect">
                      <a:avLst/>
                    </a:prstGeom>
                    <a:ln>
                      <a:solidFill>
                        <a:schemeClr val="tx1"/>
                      </a:solidFill>
                    </a:ln>
                  </pic:spPr>
                </pic:pic>
              </a:graphicData>
            </a:graphic>
          </wp:inline>
        </w:drawing>
      </w:r>
    </w:p>
    <w:p w14:paraId="18751EC0">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color w:val="auto"/>
          <w:highlight w:val="none"/>
          <w:lang w:val="en-US" w:eastAsia="zh-CN"/>
        </w:rPr>
      </w:pPr>
      <w:r>
        <w:rPr>
          <w:rFonts w:hint="eastAsia"/>
          <w:color w:val="auto"/>
          <w:highlight w:val="none"/>
          <w:lang w:val="en-US" w:eastAsia="zh-CN"/>
        </w:rPr>
        <w:t>合同模板</w:t>
      </w:r>
    </w:p>
    <w:p w14:paraId="35AFF9CD">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p>
    <w:p w14:paraId="56303891">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bCs w:val="0"/>
          <w:color w:val="auto"/>
          <w:sz w:val="28"/>
          <w:szCs w:val="28"/>
          <w:highlight w:val="none"/>
          <w:lang w:eastAsia="zh-CN"/>
        </w:rPr>
        <w:t>照护记录</w:t>
      </w:r>
      <w:r>
        <w:rPr>
          <w:rFonts w:hint="eastAsia" w:ascii="仿宋_GB2312" w:hAnsi="仿宋_GB2312" w:eastAsia="仿宋_GB2312" w:cs="仿宋_GB2312"/>
          <w:b w:val="0"/>
          <w:bCs/>
          <w:color w:val="auto"/>
          <w:sz w:val="28"/>
          <w:szCs w:val="28"/>
          <w:highlight w:val="none"/>
          <w:lang w:eastAsia="zh-CN"/>
        </w:rPr>
        <w:t>模块是确保服务过程真实、透明和质量可控的关键。它要求医疗护理员在提供服务的现场，通过其移动终端（如手机APP或专用设备）实时记录每次照护的具体内容、操作时间、执行地点等核心信息。记录形式不局限于文字，鼓励辅以图片、视频等多种媒介，使记录更为直观和翔实。所有这些数据将实时或准实时地与平台PC端及移动端进行交互同步。为进一步规范记录行为，平台还可设置定时提醒功能，主动提示护理员按时完成服务记录，有效避免遗漏，保证记录的完整性与连续性。</w:t>
      </w:r>
    </w:p>
    <w:p w14:paraId="7D7E8E13">
      <w:pPr>
        <w:pStyle w:val="30"/>
        <w:keepNext w:val="0"/>
        <w:keepLines w:val="0"/>
        <w:pageBreakBefore w:val="0"/>
        <w:widowControl/>
        <w:numPr>
          <w:ilvl w:val="0"/>
          <w:numId w:val="0"/>
        </w:numPr>
        <w:kinsoku/>
        <w:wordWrap/>
        <w:overflowPunct/>
        <w:topLinePunct w:val="0"/>
        <w:autoSpaceDE w:val="0"/>
        <w:autoSpaceDN w:val="0"/>
        <w:bidi w:val="0"/>
        <w:adjustRightInd/>
        <w:snapToGrid/>
        <w:spacing w:before="0" w:beforeLines="0" w:after="0" w:afterLines="0" w:line="240" w:lineRule="auto"/>
        <w:jc w:val="center"/>
        <w:textAlignment w:val="auto"/>
        <w:rPr>
          <w:rFonts w:hint="default"/>
          <w:color w:val="auto"/>
          <w:highlight w:val="none"/>
          <w:lang w:val="en-US" w:eastAsia="zh-CN"/>
        </w:rPr>
      </w:pPr>
      <w:r>
        <w:rPr>
          <w:rFonts w:hint="default"/>
          <w:color w:val="auto"/>
          <w:highlight w:val="none"/>
          <w:lang w:val="en-US" w:eastAsia="zh-CN"/>
        </w:rPr>
        <w:drawing>
          <wp:inline distT="0" distB="0" distL="114300" distR="114300">
            <wp:extent cx="4295140" cy="1765935"/>
            <wp:effectExtent l="9525" t="9525" r="19685" b="15240"/>
            <wp:docPr id="10" name="图片 10" descr="f59ff002-6ffc-40d6-8d45-cfe14667a7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f59ff002-6ffc-40d6-8d45-cfe14667a7b0"/>
                    <pic:cNvPicPr>
                      <a:picLocks noChangeAspect="1"/>
                    </pic:cNvPicPr>
                  </pic:nvPicPr>
                  <pic:blipFill>
                    <a:blip r:embed="rId16"/>
                    <a:stretch>
                      <a:fillRect/>
                    </a:stretch>
                  </pic:blipFill>
                  <pic:spPr>
                    <a:xfrm>
                      <a:off x="0" y="0"/>
                      <a:ext cx="4295140" cy="1765935"/>
                    </a:xfrm>
                    <a:prstGeom prst="rect">
                      <a:avLst/>
                    </a:prstGeom>
                    <a:ln>
                      <a:solidFill>
                        <a:schemeClr val="bg1">
                          <a:lumMod val="65000"/>
                        </a:schemeClr>
                      </a:solidFill>
                    </a:ln>
                  </pic:spPr>
                </pic:pic>
              </a:graphicData>
            </a:graphic>
          </wp:inline>
        </w:drawing>
      </w:r>
    </w:p>
    <w:p w14:paraId="384DCB07">
      <w:pPr>
        <w:pStyle w:val="30"/>
        <w:keepNext w:val="0"/>
        <w:keepLines w:val="0"/>
        <w:pageBreakBefore w:val="0"/>
        <w:widowControl/>
        <w:numPr>
          <w:ilvl w:val="0"/>
          <w:numId w:val="0"/>
        </w:numPr>
        <w:kinsoku/>
        <w:wordWrap/>
        <w:overflowPunct/>
        <w:topLinePunct w:val="0"/>
        <w:autoSpaceDE w:val="0"/>
        <w:autoSpaceDN w:val="0"/>
        <w:bidi w:val="0"/>
        <w:adjustRightInd/>
        <w:snapToGrid/>
        <w:spacing w:before="0" w:beforeLines="0" w:after="0" w:afterLines="0" w:line="240" w:lineRule="auto"/>
        <w:jc w:val="center"/>
        <w:textAlignment w:val="auto"/>
        <w:rPr>
          <w:rFonts w:hint="eastAsia" w:ascii="仿宋_GB2312" w:hAnsi="仿宋_GB2312" w:eastAsia="仿宋_GB2312" w:cs="仿宋_GB2312"/>
          <w:b/>
          <w:bCs w:val="0"/>
          <w:color w:val="auto"/>
          <w:sz w:val="28"/>
          <w:szCs w:val="28"/>
          <w:highlight w:val="none"/>
          <w:lang w:eastAsia="zh-CN"/>
        </w:rPr>
      </w:pPr>
      <w:r>
        <w:rPr>
          <w:rFonts w:hint="default"/>
          <w:color w:val="auto"/>
          <w:highlight w:val="none"/>
          <w:lang w:val="en-US" w:eastAsia="zh-CN"/>
        </w:rPr>
        <w:drawing>
          <wp:inline distT="0" distB="0" distL="114300" distR="114300">
            <wp:extent cx="1891030" cy="3566160"/>
            <wp:effectExtent l="9525" t="9525" r="23495" b="24765"/>
            <wp:docPr id="12" name="图片 12" descr="3b6ded3b-b8ff-4caf-8ec6-249ce712d7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3b6ded3b-b8ff-4caf-8ec6-249ce712d78b"/>
                    <pic:cNvPicPr>
                      <a:picLocks noChangeAspect="1"/>
                    </pic:cNvPicPr>
                  </pic:nvPicPr>
                  <pic:blipFill>
                    <a:blip r:embed="rId17"/>
                    <a:stretch>
                      <a:fillRect/>
                    </a:stretch>
                  </pic:blipFill>
                  <pic:spPr>
                    <a:xfrm>
                      <a:off x="0" y="0"/>
                      <a:ext cx="1891030" cy="3566160"/>
                    </a:xfrm>
                    <a:prstGeom prst="rect">
                      <a:avLst/>
                    </a:prstGeom>
                    <a:ln>
                      <a:solidFill>
                        <a:schemeClr val="bg1">
                          <a:lumMod val="65000"/>
                        </a:schemeClr>
                      </a:solidFill>
                    </a:ln>
                  </pic:spPr>
                </pic:pic>
              </a:graphicData>
            </a:graphic>
          </wp:inline>
        </w:drawing>
      </w:r>
      <w:r>
        <w:rPr>
          <w:rFonts w:hint="default"/>
          <w:color w:val="auto"/>
          <w:highlight w:val="none"/>
          <w:lang w:val="en-US" w:eastAsia="zh-CN"/>
        </w:rPr>
        <w:drawing>
          <wp:inline distT="0" distB="0" distL="114300" distR="114300">
            <wp:extent cx="1879600" cy="3545205"/>
            <wp:effectExtent l="9525" t="9525" r="15875" b="26670"/>
            <wp:docPr id="11" name="图片 11" descr="0b24735e-b8fd-4ff1-abc7-dbbb73122a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0b24735e-b8fd-4ff1-abc7-dbbb73122a8a"/>
                    <pic:cNvPicPr>
                      <a:picLocks noChangeAspect="1"/>
                    </pic:cNvPicPr>
                  </pic:nvPicPr>
                  <pic:blipFill>
                    <a:blip r:embed="rId18"/>
                    <a:stretch>
                      <a:fillRect/>
                    </a:stretch>
                  </pic:blipFill>
                  <pic:spPr>
                    <a:xfrm>
                      <a:off x="0" y="0"/>
                      <a:ext cx="1879600" cy="3545205"/>
                    </a:xfrm>
                    <a:prstGeom prst="rect">
                      <a:avLst/>
                    </a:prstGeom>
                    <a:ln>
                      <a:solidFill>
                        <a:schemeClr val="bg1">
                          <a:lumMod val="65000"/>
                        </a:schemeClr>
                      </a:solidFill>
                    </a:ln>
                  </pic:spPr>
                </pic:pic>
              </a:graphicData>
            </a:graphic>
          </wp:inline>
        </w:drawing>
      </w:r>
    </w:p>
    <w:p w14:paraId="0EADD35E">
      <w:pPr>
        <w:pStyle w:val="30"/>
        <w:keepNext w:val="0"/>
        <w:keepLines w:val="0"/>
        <w:pageBreakBefore w:val="0"/>
        <w:widowControl/>
        <w:numPr>
          <w:ilvl w:val="0"/>
          <w:numId w:val="0"/>
        </w:numPr>
        <w:kinsoku/>
        <w:wordWrap/>
        <w:overflowPunct/>
        <w:topLinePunct w:val="0"/>
        <w:autoSpaceDE w:val="0"/>
        <w:autoSpaceDN w:val="0"/>
        <w:bidi w:val="0"/>
        <w:adjustRightInd/>
        <w:snapToGrid/>
        <w:spacing w:before="0" w:beforeLines="0" w:after="0" w:afterLines="0" w:line="520" w:lineRule="exact"/>
        <w:jc w:val="center"/>
        <w:textAlignment w:val="auto"/>
        <w:rPr>
          <w:rFonts w:hint="eastAsia" w:ascii="仿宋_GB2312" w:hAnsi="仿宋_GB2312" w:eastAsia="仿宋_GB2312" w:cs="仿宋_GB2312"/>
          <w:b/>
          <w:bCs w:val="0"/>
          <w:color w:val="auto"/>
          <w:sz w:val="28"/>
          <w:szCs w:val="28"/>
          <w:highlight w:val="none"/>
          <w:lang w:eastAsia="zh-CN"/>
        </w:rPr>
      </w:pPr>
      <w:r>
        <w:rPr>
          <w:rFonts w:hint="eastAsia"/>
          <w:color w:val="auto"/>
          <w:highlight w:val="none"/>
          <w:lang w:val="en-US" w:eastAsia="zh-CN"/>
        </w:rPr>
        <w:t>照护记录</w:t>
      </w:r>
    </w:p>
    <w:p w14:paraId="5F526D0F">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bCs w:val="0"/>
          <w:color w:val="auto"/>
          <w:sz w:val="28"/>
          <w:szCs w:val="28"/>
          <w:highlight w:val="none"/>
          <w:lang w:eastAsia="zh-CN"/>
        </w:rPr>
        <w:t>服务评价及分析</w:t>
      </w:r>
      <w:r>
        <w:rPr>
          <w:rFonts w:hint="eastAsia" w:ascii="仿宋_GB2312" w:hAnsi="仿宋_GB2312" w:eastAsia="仿宋_GB2312" w:cs="仿宋_GB2312"/>
          <w:b w:val="0"/>
          <w:bCs/>
          <w:color w:val="auto"/>
          <w:sz w:val="28"/>
          <w:szCs w:val="28"/>
          <w:highlight w:val="none"/>
          <w:lang w:eastAsia="zh-CN"/>
        </w:rPr>
        <w:t>模块建立了多方参与的反馈机制。在服务完成后，作为服务接受方的患者及其家属，以及作为使用方的医疗机构，均可通过平台端口，依据附录C和附录D规定的质量标准与满意度指标，对医疗护理员本次服务的质量进行客观评价。评价数据提交后，平台的后台分析引擎将自动启动，对收集到的评价信息进行多维度统计与分析，并最终生成一份结构化的《服务质量持续改进反馈表》。该报表旨在清晰呈现服务中的优势与薄弱环节，为管理机构进行针对性培训和流程优化提供直接的数据支持。</w:t>
      </w:r>
    </w:p>
    <w:p w14:paraId="6F74C51E">
      <w:pPr>
        <w:numPr>
          <w:ilvl w:val="0"/>
          <w:numId w:val="0"/>
        </w:numPr>
        <w:spacing w:line="240" w:lineRule="auto"/>
        <w:ind w:leftChars="0"/>
        <w:jc w:val="center"/>
        <w:rPr>
          <w:rFonts w:hint="default"/>
          <w:color w:val="auto"/>
          <w:highlight w:val="none"/>
          <w:lang w:val="en-US" w:eastAsia="zh-CN"/>
        </w:rPr>
      </w:pPr>
      <w:r>
        <w:rPr>
          <w:rFonts w:hint="default"/>
          <w:color w:val="auto"/>
          <w:highlight w:val="none"/>
          <w:lang w:val="en-US" w:eastAsia="zh-CN"/>
        </w:rPr>
        <w:drawing>
          <wp:inline distT="0" distB="0" distL="114300" distR="114300">
            <wp:extent cx="3531235" cy="1681480"/>
            <wp:effectExtent l="9525" t="9525" r="21590" b="23495"/>
            <wp:docPr id="14" name="图片 14" descr="c57750af-bfac-4b32-84c4-6960711c5a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57750af-bfac-4b32-84c4-6960711c5a85"/>
                    <pic:cNvPicPr>
                      <a:picLocks noChangeAspect="1"/>
                    </pic:cNvPicPr>
                  </pic:nvPicPr>
                  <pic:blipFill>
                    <a:blip r:embed="rId19"/>
                    <a:stretch>
                      <a:fillRect/>
                    </a:stretch>
                  </pic:blipFill>
                  <pic:spPr>
                    <a:xfrm>
                      <a:off x="0" y="0"/>
                      <a:ext cx="3531235" cy="1681480"/>
                    </a:xfrm>
                    <a:prstGeom prst="rect">
                      <a:avLst/>
                    </a:prstGeom>
                    <a:ln>
                      <a:solidFill>
                        <a:schemeClr val="bg1">
                          <a:lumMod val="65000"/>
                        </a:schemeClr>
                      </a:solidFill>
                    </a:ln>
                  </pic:spPr>
                </pic:pic>
              </a:graphicData>
            </a:graphic>
          </wp:inline>
        </w:drawing>
      </w:r>
    </w:p>
    <w:p w14:paraId="12DC69A5">
      <w:pPr>
        <w:numPr>
          <w:ilvl w:val="0"/>
          <w:numId w:val="0"/>
        </w:numPr>
        <w:spacing w:line="240" w:lineRule="auto"/>
        <w:ind w:leftChars="0"/>
        <w:jc w:val="center"/>
        <w:rPr>
          <w:rFonts w:hint="default"/>
          <w:color w:val="auto"/>
          <w:highlight w:val="none"/>
          <w:lang w:val="en-US" w:eastAsia="zh-CN"/>
        </w:rPr>
      </w:pPr>
      <w:r>
        <w:rPr>
          <w:rFonts w:hint="default"/>
          <w:color w:val="auto"/>
          <w:highlight w:val="none"/>
          <w:lang w:val="en-US" w:eastAsia="zh-CN"/>
        </w:rPr>
        <w:drawing>
          <wp:inline distT="0" distB="0" distL="114300" distR="114300">
            <wp:extent cx="3788410" cy="1534795"/>
            <wp:effectExtent l="9525" t="9525" r="12065" b="17780"/>
            <wp:docPr id="17" name="图片 17" descr="8a2152a0-add3-4a8c-a7f6-bbfab05a33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8a2152a0-add3-4a8c-a7f6-bbfab05a33e9"/>
                    <pic:cNvPicPr>
                      <a:picLocks noChangeAspect="1"/>
                    </pic:cNvPicPr>
                  </pic:nvPicPr>
                  <pic:blipFill>
                    <a:blip r:embed="rId20"/>
                    <a:stretch>
                      <a:fillRect/>
                    </a:stretch>
                  </pic:blipFill>
                  <pic:spPr>
                    <a:xfrm>
                      <a:off x="0" y="0"/>
                      <a:ext cx="3788410" cy="1534795"/>
                    </a:xfrm>
                    <a:prstGeom prst="rect">
                      <a:avLst/>
                    </a:prstGeom>
                    <a:ln>
                      <a:solidFill>
                        <a:schemeClr val="bg1">
                          <a:lumMod val="65000"/>
                        </a:schemeClr>
                      </a:solidFill>
                    </a:ln>
                  </pic:spPr>
                </pic:pic>
              </a:graphicData>
            </a:graphic>
          </wp:inline>
        </w:drawing>
      </w:r>
    </w:p>
    <w:p w14:paraId="1F31250F">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default"/>
          <w:color w:val="auto"/>
          <w:highlight w:val="none"/>
          <w:lang w:val="en-US" w:eastAsia="zh-CN"/>
        </w:rPr>
      </w:pPr>
      <w:r>
        <w:rPr>
          <w:rFonts w:hint="default"/>
          <w:color w:val="auto"/>
          <w:highlight w:val="none"/>
          <w:lang w:val="en-US" w:eastAsia="zh-CN"/>
        </w:rPr>
        <w:t>满意度调查表见表</w:t>
      </w:r>
    </w:p>
    <w:p w14:paraId="73687C7A">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default"/>
          <w:color w:val="auto"/>
          <w:highlight w:val="none"/>
          <w:lang w:val="en-US" w:eastAsia="zh-CN"/>
        </w:rPr>
      </w:pPr>
    </w:p>
    <w:p w14:paraId="765E713F">
      <w:pPr>
        <w:numPr>
          <w:ilvl w:val="0"/>
          <w:numId w:val="0"/>
        </w:numPr>
        <w:spacing w:line="240" w:lineRule="auto"/>
        <w:ind w:leftChars="0"/>
        <w:jc w:val="center"/>
        <w:rPr>
          <w:rFonts w:hint="default"/>
          <w:color w:val="auto"/>
          <w:highlight w:val="none"/>
          <w:lang w:val="en-US" w:eastAsia="zh-CN"/>
        </w:rPr>
      </w:pPr>
      <w:r>
        <w:rPr>
          <w:rFonts w:hint="default"/>
          <w:color w:val="auto"/>
          <w:highlight w:val="none"/>
          <w:lang w:val="en-US" w:eastAsia="zh-CN"/>
        </w:rPr>
        <w:drawing>
          <wp:inline distT="0" distB="0" distL="114300" distR="114300">
            <wp:extent cx="4188460" cy="1738630"/>
            <wp:effectExtent l="9525" t="9525" r="12065" b="23495"/>
            <wp:docPr id="18" name="图片 18" descr="808fe1ec-3d0e-41d6-8e80-f89c61bdbf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808fe1ec-3d0e-41d6-8e80-f89c61bdbf21"/>
                    <pic:cNvPicPr>
                      <a:picLocks noChangeAspect="1"/>
                    </pic:cNvPicPr>
                  </pic:nvPicPr>
                  <pic:blipFill>
                    <a:blip r:embed="rId21"/>
                    <a:stretch>
                      <a:fillRect/>
                    </a:stretch>
                  </pic:blipFill>
                  <pic:spPr>
                    <a:xfrm>
                      <a:off x="0" y="0"/>
                      <a:ext cx="4188460" cy="1738630"/>
                    </a:xfrm>
                    <a:prstGeom prst="rect">
                      <a:avLst/>
                    </a:prstGeom>
                    <a:ln>
                      <a:solidFill>
                        <a:schemeClr val="bg1">
                          <a:lumMod val="65000"/>
                        </a:schemeClr>
                      </a:solidFill>
                    </a:ln>
                  </pic:spPr>
                </pic:pic>
              </a:graphicData>
            </a:graphic>
          </wp:inline>
        </w:drawing>
      </w:r>
    </w:p>
    <w:p w14:paraId="62BFCD45">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default"/>
          <w:color w:val="auto"/>
          <w:highlight w:val="none"/>
          <w:lang w:val="en-US" w:eastAsia="zh-CN"/>
        </w:rPr>
      </w:pPr>
      <w:r>
        <w:rPr>
          <w:rFonts w:hint="default"/>
          <w:color w:val="auto"/>
          <w:highlight w:val="none"/>
          <w:lang w:val="en-US" w:eastAsia="zh-CN"/>
        </w:rPr>
        <w:t>医疗机构填写的医疗护理员服务质量满意度调查表</w:t>
      </w:r>
    </w:p>
    <w:p w14:paraId="2E6CC59C">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default"/>
          <w:color w:val="auto"/>
          <w:highlight w:val="none"/>
          <w:lang w:val="en-US" w:eastAsia="zh-CN"/>
        </w:rPr>
      </w:pPr>
    </w:p>
    <w:p w14:paraId="3D9F2951">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default"/>
          <w:color w:val="auto"/>
          <w:highlight w:val="none"/>
          <w:lang w:val="en-US" w:eastAsia="zh-CN"/>
        </w:rPr>
      </w:pPr>
      <w:r>
        <w:rPr>
          <w:rFonts w:hint="default"/>
          <w:color w:val="auto"/>
          <w:highlight w:val="none"/>
          <w:lang w:val="en-US" w:eastAsia="zh-CN"/>
        </w:rPr>
        <w:drawing>
          <wp:inline distT="0" distB="0" distL="114300" distR="114300">
            <wp:extent cx="4255135" cy="1950085"/>
            <wp:effectExtent l="9525" t="9525" r="21590" b="21590"/>
            <wp:docPr id="19" name="图片 19" descr="2344b9ff-b7d7-4f23-93d1-f75b8b962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2344b9ff-b7d7-4f23-93d1-f75b8b962289"/>
                    <pic:cNvPicPr>
                      <a:picLocks noChangeAspect="1"/>
                    </pic:cNvPicPr>
                  </pic:nvPicPr>
                  <pic:blipFill>
                    <a:blip r:embed="rId22"/>
                    <a:stretch>
                      <a:fillRect/>
                    </a:stretch>
                  </pic:blipFill>
                  <pic:spPr>
                    <a:xfrm>
                      <a:off x="0" y="0"/>
                      <a:ext cx="4255135" cy="1950085"/>
                    </a:xfrm>
                    <a:prstGeom prst="rect">
                      <a:avLst/>
                    </a:prstGeom>
                    <a:ln>
                      <a:solidFill>
                        <a:schemeClr val="bg1">
                          <a:lumMod val="65000"/>
                        </a:schemeClr>
                      </a:solidFill>
                    </a:ln>
                  </pic:spPr>
                </pic:pic>
              </a:graphicData>
            </a:graphic>
          </wp:inline>
        </w:drawing>
      </w:r>
    </w:p>
    <w:p w14:paraId="78A44AA0">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仿宋_GB2312" w:hAnsi="仿宋_GB2312" w:eastAsia="仿宋_GB2312" w:cs="仿宋_GB2312"/>
          <w:b w:val="0"/>
          <w:bCs/>
          <w:color w:val="auto"/>
          <w:sz w:val="28"/>
          <w:szCs w:val="28"/>
          <w:highlight w:val="none"/>
          <w:lang w:eastAsia="zh-CN"/>
        </w:rPr>
      </w:pPr>
      <w:r>
        <w:rPr>
          <w:rFonts w:hint="default"/>
          <w:color w:val="auto"/>
          <w:highlight w:val="none"/>
          <w:lang w:val="en-US" w:eastAsia="zh-CN"/>
        </w:rPr>
        <w:t>服务对象填写的医疗护理员服务质量满意度调查表</w:t>
      </w:r>
    </w:p>
    <w:p w14:paraId="00F6A419">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t>最后的投诉管理模块构成了服务质量保障的安全网。信息平台建立了标准化的投诉渠道，能够详细记录每一起投诉事件的关键要素，包括投诉时间、问题类型、具体内容、处理状态、最终结果以及处理意见等。当平台接收到服务投诉时，整个处理流程将严格遵循一套明确的原则，即：合理合法、公平公正、尊重事实、快速响应、及时反馈。投诉一旦产生，系统将立即指派专职处理人员跟进，并在制度规定的时间内完成情况的调查与核实，主动与投诉方沟通协商解决方案。整个处理结束后，必须将包括投诉受理、调查过程、沟通记录、处理决定及反馈情况在内的完整处理链条形成书面记录，并上传至信息平台归档，从而实现投诉事件的闭环管理，确保每起投诉均得到认真负责的处置，并转化为改进工作的宝贵资源。</w:t>
      </w:r>
    </w:p>
    <w:p w14:paraId="533D9A47">
      <w:pPr>
        <w:numPr>
          <w:ilvl w:val="0"/>
          <w:numId w:val="0"/>
        </w:numPr>
        <w:ind w:leftChars="0"/>
        <w:jc w:val="center"/>
        <w:rPr>
          <w:rFonts w:hint="default"/>
          <w:color w:val="auto"/>
          <w:highlight w:val="none"/>
          <w:lang w:val="en-US" w:eastAsia="zh-CN"/>
        </w:rPr>
      </w:pPr>
      <w:r>
        <w:rPr>
          <w:rFonts w:hint="default"/>
          <w:color w:val="auto"/>
          <w:highlight w:val="none"/>
          <w:lang w:val="en-US" w:eastAsia="zh-CN"/>
        </w:rPr>
        <w:drawing>
          <wp:inline distT="0" distB="0" distL="114300" distR="114300">
            <wp:extent cx="5271770" cy="482600"/>
            <wp:effectExtent l="9525" t="9525" r="14605" b="22225"/>
            <wp:docPr id="20" name="图片 20" descr="011b03f2-571e-4e63-bbea-d28f4b59a66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011b03f2-571e-4e63-bbea-d28f4b59a66b"/>
                    <pic:cNvPicPr>
                      <a:picLocks noChangeAspect="1"/>
                    </pic:cNvPicPr>
                  </pic:nvPicPr>
                  <pic:blipFill>
                    <a:blip r:embed="rId23"/>
                    <a:stretch>
                      <a:fillRect/>
                    </a:stretch>
                  </pic:blipFill>
                  <pic:spPr>
                    <a:xfrm>
                      <a:off x="0" y="0"/>
                      <a:ext cx="5271770" cy="482600"/>
                    </a:xfrm>
                    <a:prstGeom prst="rect">
                      <a:avLst/>
                    </a:prstGeom>
                    <a:ln>
                      <a:solidFill>
                        <a:schemeClr val="bg1">
                          <a:lumMod val="65000"/>
                        </a:schemeClr>
                      </a:solidFill>
                    </a:ln>
                  </pic:spPr>
                </pic:pic>
              </a:graphicData>
            </a:graphic>
          </wp:inline>
        </w:drawing>
      </w:r>
    </w:p>
    <w:p w14:paraId="751974E1">
      <w:pPr>
        <w:pStyle w:val="30"/>
        <w:keepNext w:val="0"/>
        <w:keepLines w:val="0"/>
        <w:pageBreakBefore w:val="0"/>
        <w:widowControl/>
        <w:numPr>
          <w:ilvl w:val="0"/>
          <w:numId w:val="0"/>
        </w:numPr>
        <w:kinsoku/>
        <w:wordWrap/>
        <w:overflowPunct/>
        <w:topLinePunct w:val="0"/>
        <w:autoSpaceDE w:val="0"/>
        <w:autoSpaceDN w:val="0"/>
        <w:bidi w:val="0"/>
        <w:adjustRightInd/>
        <w:snapToGrid/>
        <w:spacing w:before="0" w:beforeLines="0" w:after="0" w:afterLines="0" w:line="240" w:lineRule="auto"/>
        <w:jc w:val="center"/>
        <w:textAlignment w:val="auto"/>
        <w:rPr>
          <w:rFonts w:hint="default"/>
          <w:color w:val="auto"/>
          <w:highlight w:val="none"/>
          <w:lang w:val="en-US" w:eastAsia="zh-CN"/>
        </w:rPr>
      </w:pPr>
      <w:r>
        <w:rPr>
          <w:rFonts w:hint="default"/>
          <w:color w:val="auto"/>
          <w:highlight w:val="none"/>
          <w:lang w:val="en-US" w:eastAsia="zh-CN"/>
        </w:rPr>
        <w:drawing>
          <wp:inline distT="0" distB="0" distL="114300" distR="114300">
            <wp:extent cx="4756150" cy="2056765"/>
            <wp:effectExtent l="9525" t="9525" r="15875" b="10160"/>
            <wp:docPr id="21" name="图片 21" descr="76d65e9b-a1c4-409d-ad2f-bfe59691f40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76d65e9b-a1c4-409d-ad2f-bfe59691f40d"/>
                    <pic:cNvPicPr>
                      <a:picLocks noChangeAspect="1"/>
                    </pic:cNvPicPr>
                  </pic:nvPicPr>
                  <pic:blipFill>
                    <a:blip r:embed="rId24"/>
                    <a:stretch>
                      <a:fillRect/>
                    </a:stretch>
                  </pic:blipFill>
                  <pic:spPr>
                    <a:xfrm>
                      <a:off x="0" y="0"/>
                      <a:ext cx="4756150" cy="2056765"/>
                    </a:xfrm>
                    <a:prstGeom prst="rect">
                      <a:avLst/>
                    </a:prstGeom>
                    <a:ln>
                      <a:solidFill>
                        <a:schemeClr val="bg1">
                          <a:lumMod val="65000"/>
                        </a:schemeClr>
                      </a:solidFill>
                    </a:ln>
                  </pic:spPr>
                </pic:pic>
              </a:graphicData>
            </a:graphic>
          </wp:inline>
        </w:drawing>
      </w:r>
    </w:p>
    <w:p w14:paraId="51192B74">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color w:val="auto"/>
          <w:highlight w:val="none"/>
          <w:lang w:val="en-US" w:eastAsia="zh-CN"/>
        </w:rPr>
      </w:pPr>
      <w:r>
        <w:rPr>
          <w:rFonts w:hint="eastAsia"/>
          <w:color w:val="auto"/>
          <w:highlight w:val="none"/>
          <w:lang w:val="en-US" w:eastAsia="zh-CN"/>
        </w:rPr>
        <w:t>投诉管理</w:t>
      </w:r>
    </w:p>
    <w:p w14:paraId="67D0D648">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eastAsia="zh-CN"/>
        </w:rPr>
      </w:pPr>
      <w:r>
        <w:rPr>
          <w:rFonts w:hint="eastAsia" w:ascii="仿宋_GB2312" w:hAnsi="仿宋_GB2312" w:eastAsia="仿宋_GB2312" w:cs="仿宋_GB2312"/>
          <w:b/>
          <w:bCs w:val="0"/>
          <w:color w:val="auto"/>
          <w:sz w:val="28"/>
          <w:szCs w:val="28"/>
          <w:highlight w:val="none"/>
          <w:lang w:eastAsia="zh-CN"/>
        </w:rPr>
        <w:t>（七）培训与考核管理</w:t>
      </w:r>
    </w:p>
    <w:p w14:paraId="2D9099E1">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eastAsia="zh-CN"/>
        </w:rPr>
        <w:t>在线培训管理模块的设计，</w:t>
      </w:r>
      <w:r>
        <w:rPr>
          <w:rFonts w:hint="eastAsia" w:ascii="仿宋_GB2312" w:hAnsi="仿宋_GB2312" w:eastAsia="仿宋_GB2312" w:cs="仿宋_GB2312"/>
          <w:b w:val="0"/>
          <w:bCs/>
          <w:color w:val="auto"/>
          <w:sz w:val="28"/>
          <w:szCs w:val="28"/>
          <w:highlight w:val="none"/>
          <w:lang w:val="en-US" w:eastAsia="zh-CN"/>
        </w:rPr>
        <w:t>为实现标准化、规模化与过程可控的培训供给。</w:t>
      </w:r>
      <w:r>
        <w:rPr>
          <w:rFonts w:hint="eastAsia" w:ascii="仿宋_GB2312" w:hAnsi="仿宋_GB2312" w:eastAsia="仿宋_GB2312" w:cs="仿宋_GB2312"/>
          <w:b/>
          <w:bCs w:val="0"/>
          <w:color w:val="auto"/>
          <w:sz w:val="28"/>
          <w:szCs w:val="28"/>
          <w:highlight w:val="none"/>
          <w:lang w:val="en-US" w:eastAsia="zh-CN"/>
        </w:rPr>
        <w:t>统一标准，确保培训质量与一致性，</w:t>
      </w:r>
      <w:r>
        <w:rPr>
          <w:rFonts w:hint="eastAsia" w:ascii="仿宋_GB2312" w:hAnsi="仿宋_GB2312" w:eastAsia="仿宋_GB2312" w:cs="仿宋_GB2312"/>
          <w:b w:val="0"/>
          <w:bCs/>
          <w:color w:val="auto"/>
          <w:sz w:val="28"/>
          <w:szCs w:val="28"/>
          <w:highlight w:val="none"/>
          <w:lang w:val="en-US" w:eastAsia="zh-CN"/>
        </w:rPr>
        <w:t>通过在线平台可以统一核心课程内容、教学大纲和考核标准。突破时空限制，</w:t>
      </w:r>
      <w:r>
        <w:rPr>
          <w:rFonts w:hint="eastAsia" w:ascii="仿宋_GB2312" w:hAnsi="仿宋_GB2312" w:eastAsia="仿宋_GB2312" w:cs="仿宋_GB2312"/>
          <w:b/>
          <w:bCs w:val="0"/>
          <w:color w:val="auto"/>
          <w:sz w:val="28"/>
          <w:szCs w:val="28"/>
          <w:highlight w:val="none"/>
          <w:lang w:val="en-US" w:eastAsia="zh-CN"/>
        </w:rPr>
        <w:t>扩大培训覆盖规模与效率，</w:t>
      </w:r>
      <w:r>
        <w:rPr>
          <w:rFonts w:hint="eastAsia" w:ascii="仿宋_GB2312" w:hAnsi="仿宋_GB2312" w:eastAsia="仿宋_GB2312" w:cs="仿宋_GB2312"/>
          <w:b w:val="0"/>
          <w:bCs/>
          <w:color w:val="auto"/>
          <w:sz w:val="28"/>
          <w:szCs w:val="28"/>
          <w:highlight w:val="none"/>
          <w:lang w:val="en-US" w:eastAsia="zh-CN"/>
        </w:rPr>
        <w:t>在线培训支持在线学习，护理员可以利用碎片时间通过PC或移动端学习，降低了培训的门槛和成本，使大规模、快速培养合格护理员成为可能。</w:t>
      </w:r>
      <w:r>
        <w:rPr>
          <w:rFonts w:hint="eastAsia" w:ascii="仿宋_GB2312" w:hAnsi="仿宋_GB2312" w:eastAsia="仿宋_GB2312" w:cs="仿宋_GB2312"/>
          <w:b/>
          <w:bCs w:val="0"/>
          <w:color w:val="auto"/>
          <w:sz w:val="28"/>
          <w:szCs w:val="28"/>
          <w:highlight w:val="none"/>
          <w:lang w:val="en-US" w:eastAsia="zh-CN"/>
        </w:rPr>
        <w:t>实现培训过程的精细化管理与透明化监管</w:t>
      </w:r>
      <w:r>
        <w:rPr>
          <w:rFonts w:hint="eastAsia" w:ascii="仿宋_GB2312" w:hAnsi="仿宋_GB2312" w:eastAsia="仿宋_GB2312" w:cs="仿宋_GB2312"/>
          <w:b w:val="0"/>
          <w:bCs/>
          <w:color w:val="auto"/>
          <w:sz w:val="28"/>
          <w:szCs w:val="28"/>
          <w:highlight w:val="none"/>
          <w:lang w:val="en-US" w:eastAsia="zh-CN"/>
        </w:rPr>
        <w:t>，平台能自动、完整地记录“学习数据”（如登录时长、课程完成进度、视频观看时长、章节测验成绩等）。确保其完成了规定的学习时长和内容，方可参加考核；分析课程难点、评估教学效果，为优化课程设计提供数据支持。构建培训、考核与发证的闭环生态，线上考试系统可以集成人脸识别、防切屏、随机组卷等技术手段，有效杜绝替考和作弊行为，确保考核结果的真实可靠。这与“线上考试数据”接口的要求直接相关，保证了证书是基于真实学习与严格考核获得的。</w:t>
      </w:r>
    </w:p>
    <w:p w14:paraId="34E4AA6B">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实现“培训-考核-发证”无缝衔接，在线培训管理系统与人员档案、证书管理模块深度集成。当护理员完成培训并通过考核后，系统可自动触发证书生成流程，并将证书信息同步到其个人电子档案中。这形成了一个高效、无纸化、防篡改的完整闭环。赋能数据驱动决策与持续学习，培训项目数据、学习数据、线上考试数据等，是宝贵的行业数据资产。通过大数据分析，可以为制定更精准的培训计划、支持政策和行业发展规划提供量化依据。</w:t>
      </w:r>
    </w:p>
    <w:p w14:paraId="621DB7D1">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eastAsia="zh-CN"/>
        </w:rPr>
      </w:pPr>
      <w:r>
        <w:rPr>
          <w:rFonts w:hint="eastAsia" w:ascii="仿宋_GB2312" w:hAnsi="仿宋_GB2312" w:eastAsia="仿宋_GB2312" w:cs="仿宋_GB2312"/>
          <w:b/>
          <w:bCs w:val="0"/>
          <w:color w:val="auto"/>
          <w:sz w:val="28"/>
          <w:szCs w:val="28"/>
          <w:highlight w:val="none"/>
          <w:lang w:eastAsia="zh-CN"/>
        </w:rPr>
        <w:t>（八）星级评定管理</w:t>
      </w:r>
    </w:p>
    <w:p w14:paraId="401225EB">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t>星级评定管理是信息管理系统中至关重要的一环，关系到激励人员、提升服务质量、以及构建健康市场生态。建立以服务质量为导向的市场化筛选与激励机制，</w:t>
      </w:r>
      <w:r>
        <w:rPr>
          <w:rFonts w:hint="eastAsia" w:ascii="仿宋_GB2312" w:hAnsi="仿宋_GB2312" w:eastAsia="仿宋_GB2312" w:cs="仿宋_GB2312"/>
          <w:b w:val="0"/>
          <w:bCs/>
          <w:color w:val="auto"/>
          <w:sz w:val="28"/>
          <w:szCs w:val="28"/>
          <w:highlight w:val="none"/>
          <w:lang w:val="en-US" w:eastAsia="zh-CN"/>
        </w:rPr>
        <w:t>避免护理员</w:t>
      </w:r>
      <w:r>
        <w:rPr>
          <w:rFonts w:hint="eastAsia" w:ascii="仿宋_GB2312" w:hAnsi="仿宋_GB2312" w:eastAsia="仿宋_GB2312" w:cs="仿宋_GB2312"/>
          <w:b w:val="0"/>
          <w:bCs/>
          <w:color w:val="auto"/>
          <w:sz w:val="28"/>
          <w:szCs w:val="28"/>
          <w:highlight w:val="none"/>
          <w:lang w:eastAsia="zh-CN"/>
        </w:rPr>
        <w:t>信息不对称，将护理员的服务水平、专业态度、用户评价等隐性信息转化为显性的等级标识。构建</w:t>
      </w:r>
      <w:r>
        <w:rPr>
          <w:rFonts w:hint="eastAsia" w:ascii="仿宋_GB2312" w:hAnsi="仿宋_GB2312" w:eastAsia="仿宋_GB2312" w:cs="仿宋_GB2312"/>
          <w:b w:val="0"/>
          <w:bCs/>
          <w:color w:val="auto"/>
          <w:sz w:val="28"/>
          <w:szCs w:val="28"/>
          <w:highlight w:val="none"/>
          <w:lang w:val="en-US" w:eastAsia="zh-CN"/>
        </w:rPr>
        <w:t>医疗</w:t>
      </w:r>
      <w:r>
        <w:rPr>
          <w:rFonts w:hint="eastAsia" w:ascii="仿宋_GB2312" w:hAnsi="仿宋_GB2312" w:eastAsia="仿宋_GB2312" w:cs="仿宋_GB2312"/>
          <w:b w:val="0"/>
          <w:bCs/>
          <w:color w:val="auto"/>
          <w:sz w:val="28"/>
          <w:szCs w:val="28"/>
          <w:highlight w:val="none"/>
          <w:lang w:eastAsia="zh-CN"/>
        </w:rPr>
        <w:t>护理员清晰的职业晋升通道和持续改进的动力，星级与薪酬、派单优先级、职业声誉直接挂钩。高星级意味着更高的收入、更多的工作机会和行业认可。这为护理员提供了一个通过提升服务质量来实现职业发展和增收的清晰路径，从而激发其内生动力。提供精细化管理与资源配置的工具，实施差异化激励，树立榜样，实现人力资源的最优配置。为行业监管和诚信体系建设提供数据基石，行业信用体系，净化市场环境，</w:t>
      </w:r>
      <w:r>
        <w:rPr>
          <w:rFonts w:hint="eastAsia" w:ascii="仿宋_GB2312" w:hAnsi="仿宋_GB2312" w:eastAsia="仿宋_GB2312" w:cs="仿宋_GB2312"/>
          <w:b w:val="0"/>
          <w:bCs/>
          <w:color w:val="auto"/>
          <w:sz w:val="28"/>
          <w:szCs w:val="28"/>
          <w:highlight w:val="none"/>
          <w:lang w:val="en-US" w:eastAsia="zh-CN"/>
        </w:rPr>
        <w:t>医疗护</w:t>
      </w:r>
      <w:r>
        <w:rPr>
          <w:rFonts w:hint="eastAsia" w:ascii="仿宋_GB2312" w:hAnsi="仿宋_GB2312" w:eastAsia="仿宋_GB2312" w:cs="仿宋_GB2312"/>
          <w:b w:val="0"/>
          <w:bCs/>
          <w:color w:val="auto"/>
          <w:sz w:val="28"/>
          <w:szCs w:val="28"/>
          <w:highlight w:val="none"/>
          <w:lang w:eastAsia="zh-CN"/>
        </w:rPr>
        <w:t>理员的星级记录构成了其职业信用档案。提供了微观数据支撑，为主管部门提供行业洞察与政策评估依据，聚合的星级评定数据可以生成区域服务质量报告，反映整体服务水平的变化趋势、薄弱环节等，为评估培训效果、调整监管重点、制定激励政策提供量化参考。</w:t>
      </w:r>
    </w:p>
    <w:p w14:paraId="39C55290">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eastAsia="zh-CN"/>
        </w:rPr>
      </w:pPr>
      <w:r>
        <w:rPr>
          <w:rFonts w:hint="eastAsia" w:ascii="仿宋_GB2312" w:hAnsi="仿宋_GB2312" w:eastAsia="仿宋_GB2312" w:cs="仿宋_GB2312"/>
          <w:b/>
          <w:bCs w:val="0"/>
          <w:color w:val="auto"/>
          <w:sz w:val="28"/>
          <w:szCs w:val="28"/>
          <w:highlight w:val="none"/>
          <w:lang w:eastAsia="zh-CN"/>
        </w:rPr>
        <w:t>（九）安全与隐私</w:t>
      </w:r>
    </w:p>
    <w:p w14:paraId="574B65A3">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t>用户信息安全管理应符合GB/T 35273的要求，医疗护理员信息管理平台应符合YD/T 4538的要求。</w:t>
      </w:r>
    </w:p>
    <w:p w14:paraId="3918EE90">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b w:val="0"/>
          <w:bCs/>
          <w:color w:val="auto"/>
          <w:sz w:val="28"/>
          <w:szCs w:val="28"/>
          <w:highlight w:val="none"/>
          <w:lang w:eastAsia="zh-CN"/>
        </w:rPr>
      </w:pPr>
      <w:r>
        <w:rPr>
          <w:color w:val="auto"/>
          <w:highlight w:val="none"/>
        </w:rPr>
        <w:drawing>
          <wp:inline distT="0" distB="0" distL="114300" distR="114300">
            <wp:extent cx="4578985" cy="4142105"/>
            <wp:effectExtent l="0" t="0" r="0" b="0"/>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25"/>
                    <a:srcRect l="1878"/>
                    <a:stretch>
                      <a:fillRect/>
                    </a:stretch>
                  </pic:blipFill>
                  <pic:spPr>
                    <a:xfrm>
                      <a:off x="0" y="0"/>
                      <a:ext cx="4578985" cy="4142105"/>
                    </a:xfrm>
                    <a:prstGeom prst="rect">
                      <a:avLst/>
                    </a:prstGeom>
                    <a:noFill/>
                    <a:ln>
                      <a:solidFill>
                        <a:schemeClr val="tx1"/>
                      </a:solidFill>
                    </a:ln>
                  </pic:spPr>
                </pic:pic>
              </a:graphicData>
            </a:graphic>
          </wp:inline>
        </w:drawing>
      </w:r>
    </w:p>
    <w:p w14:paraId="611074FD">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b w:val="0"/>
          <w:bCs/>
          <w:color w:val="auto"/>
          <w:sz w:val="24"/>
          <w:szCs w:val="24"/>
          <w:highlight w:val="none"/>
          <w:lang w:eastAsia="zh-CN"/>
        </w:rPr>
      </w:pPr>
      <w:r>
        <w:rPr>
          <w:rFonts w:hint="eastAsia" w:ascii="黑体" w:hAnsi="黑体" w:eastAsia="黑体" w:cs="黑体"/>
          <w:b w:val="0"/>
          <w:bCs/>
          <w:color w:val="auto"/>
          <w:sz w:val="24"/>
          <w:szCs w:val="24"/>
          <w:highlight w:val="none"/>
          <w:lang w:eastAsia="zh-CN"/>
        </w:rPr>
        <w:t>来源：GB/T 35273  信息安全技术  个人信息安全规范</w:t>
      </w:r>
    </w:p>
    <w:p w14:paraId="72C73139">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b w:val="0"/>
          <w:bCs/>
          <w:color w:val="auto"/>
          <w:sz w:val="24"/>
          <w:szCs w:val="24"/>
          <w:highlight w:val="none"/>
          <w:lang w:eastAsia="zh-CN"/>
        </w:rPr>
      </w:pPr>
    </w:p>
    <w:p w14:paraId="35A8A075">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b w:val="0"/>
          <w:bCs/>
          <w:color w:val="auto"/>
          <w:sz w:val="28"/>
          <w:szCs w:val="28"/>
          <w:highlight w:val="none"/>
          <w:lang w:eastAsia="zh-CN"/>
        </w:rPr>
      </w:pPr>
      <w:r>
        <w:rPr>
          <w:color w:val="auto"/>
          <w:highlight w:val="none"/>
        </w:rPr>
        <w:drawing>
          <wp:inline distT="0" distB="0" distL="114300" distR="114300">
            <wp:extent cx="4578985" cy="2882900"/>
            <wp:effectExtent l="9525" t="9525" r="21590" b="22225"/>
            <wp:docPr id="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pic:cNvPicPr>
                      <a:picLocks noChangeAspect="1"/>
                    </pic:cNvPicPr>
                  </pic:nvPicPr>
                  <pic:blipFill>
                    <a:blip r:embed="rId26"/>
                    <a:stretch>
                      <a:fillRect/>
                    </a:stretch>
                  </pic:blipFill>
                  <pic:spPr>
                    <a:xfrm>
                      <a:off x="0" y="0"/>
                      <a:ext cx="4578985" cy="2882900"/>
                    </a:xfrm>
                    <a:prstGeom prst="rect">
                      <a:avLst/>
                    </a:prstGeom>
                    <a:noFill/>
                    <a:ln>
                      <a:solidFill>
                        <a:schemeClr val="tx1"/>
                      </a:solidFill>
                    </a:ln>
                  </pic:spPr>
                </pic:pic>
              </a:graphicData>
            </a:graphic>
          </wp:inline>
        </w:drawing>
      </w:r>
    </w:p>
    <w:p w14:paraId="65C88422">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left="0" w:leftChars="0" w:firstLine="0" w:firstLineChars="0"/>
        <w:jc w:val="center"/>
        <w:textAlignment w:val="auto"/>
        <w:rPr>
          <w:rFonts w:hint="eastAsia" w:ascii="黑体" w:hAnsi="黑体" w:eastAsia="黑体" w:cs="黑体"/>
          <w:b w:val="0"/>
          <w:bCs/>
          <w:color w:val="auto"/>
          <w:sz w:val="24"/>
          <w:szCs w:val="24"/>
          <w:highlight w:val="none"/>
          <w:lang w:eastAsia="zh-CN"/>
        </w:rPr>
      </w:pPr>
      <w:r>
        <w:rPr>
          <w:rFonts w:hint="eastAsia" w:ascii="黑体" w:hAnsi="黑体" w:eastAsia="黑体" w:cs="黑体"/>
          <w:b w:val="0"/>
          <w:bCs/>
          <w:color w:val="auto"/>
          <w:sz w:val="24"/>
          <w:szCs w:val="24"/>
          <w:highlight w:val="none"/>
          <w:lang w:eastAsia="zh-CN"/>
        </w:rPr>
        <w:t>来源：YD/T 4538  互联网医疗健康移动应用软件（APP）个人信息保护技术要求</w:t>
      </w:r>
    </w:p>
    <w:p w14:paraId="17B3D09F">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eastAsia="zh-CN"/>
        </w:rPr>
      </w:pPr>
    </w:p>
    <w:p w14:paraId="5675655D">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eastAsia="zh-CN"/>
        </w:rPr>
      </w:pPr>
    </w:p>
    <w:p w14:paraId="271FE6BF">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eastAsia="zh-CN"/>
        </w:rPr>
      </w:pPr>
      <w:r>
        <w:rPr>
          <w:rFonts w:hint="eastAsia" w:ascii="仿宋_GB2312" w:hAnsi="仿宋_GB2312" w:eastAsia="仿宋_GB2312" w:cs="仿宋_GB2312"/>
          <w:b/>
          <w:bCs w:val="0"/>
          <w:color w:val="auto"/>
          <w:sz w:val="28"/>
          <w:szCs w:val="28"/>
          <w:highlight w:val="none"/>
          <w:lang w:eastAsia="zh-CN"/>
        </w:rPr>
        <w:t>（十）系统运维</w:t>
      </w:r>
    </w:p>
    <w:p w14:paraId="7B8DC39B">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t>应建立日常巡检、故障监控、问题处理、系统升级和性能优化的常态化运维机制。</w:t>
      </w:r>
    </w:p>
    <w:p w14:paraId="2B7587C3">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eastAsia="zh-CN"/>
        </w:rPr>
      </w:pPr>
      <w:r>
        <w:rPr>
          <w:rFonts w:hint="eastAsia" w:ascii="仿宋_GB2312" w:hAnsi="仿宋_GB2312" w:eastAsia="仿宋_GB2312" w:cs="仿宋_GB2312"/>
          <w:b/>
          <w:bCs w:val="0"/>
          <w:color w:val="auto"/>
          <w:sz w:val="28"/>
          <w:szCs w:val="28"/>
          <w:highlight w:val="none"/>
          <w:lang w:eastAsia="zh-CN"/>
        </w:rPr>
        <w:t>（十一）监督与改进</w:t>
      </w:r>
    </w:p>
    <w:p w14:paraId="0FECA529">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t>监督与改进</w:t>
      </w:r>
      <w:r>
        <w:rPr>
          <w:rFonts w:hint="eastAsia" w:ascii="仿宋_GB2312" w:hAnsi="仿宋_GB2312" w:eastAsia="仿宋_GB2312" w:cs="仿宋_GB2312"/>
          <w:b w:val="0"/>
          <w:bCs/>
          <w:color w:val="auto"/>
          <w:sz w:val="28"/>
          <w:szCs w:val="28"/>
          <w:highlight w:val="none"/>
          <w:lang w:val="en-US" w:eastAsia="zh-CN"/>
        </w:rPr>
        <w:t>实现了</w:t>
      </w:r>
      <w:r>
        <w:rPr>
          <w:rFonts w:hint="eastAsia" w:ascii="仿宋_GB2312" w:hAnsi="仿宋_GB2312" w:eastAsia="仿宋_GB2312" w:cs="仿宋_GB2312"/>
          <w:b w:val="0"/>
          <w:bCs/>
          <w:color w:val="auto"/>
          <w:sz w:val="28"/>
          <w:szCs w:val="28"/>
          <w:highlight w:val="none"/>
          <w:lang w:eastAsia="zh-CN"/>
        </w:rPr>
        <w:t>医疗护理员信息化管理</w:t>
      </w:r>
      <w:r>
        <w:rPr>
          <w:rFonts w:hint="eastAsia" w:ascii="仿宋_GB2312" w:hAnsi="仿宋_GB2312" w:eastAsia="仿宋_GB2312" w:cs="仿宋_GB2312"/>
          <w:b w:val="0"/>
          <w:bCs/>
          <w:color w:val="auto"/>
          <w:sz w:val="28"/>
          <w:szCs w:val="28"/>
          <w:highlight w:val="none"/>
          <w:lang w:val="en-US" w:eastAsia="zh-CN"/>
        </w:rPr>
        <w:t>的</w:t>
      </w:r>
      <w:r>
        <w:rPr>
          <w:rFonts w:hint="eastAsia" w:ascii="仿宋_GB2312" w:hAnsi="仿宋_GB2312" w:eastAsia="仿宋_GB2312" w:cs="仿宋_GB2312"/>
          <w:b w:val="0"/>
          <w:bCs/>
          <w:color w:val="auto"/>
          <w:sz w:val="28"/>
          <w:szCs w:val="28"/>
          <w:highlight w:val="none"/>
          <w:lang w:eastAsia="zh-CN"/>
        </w:rPr>
        <w:t>闭环，</w:t>
      </w:r>
      <w:r>
        <w:rPr>
          <w:rFonts w:hint="eastAsia" w:ascii="仿宋_GB2312" w:hAnsi="仿宋_GB2312" w:eastAsia="仿宋_GB2312" w:cs="仿宋_GB2312"/>
          <w:b w:val="0"/>
          <w:bCs/>
          <w:color w:val="auto"/>
          <w:sz w:val="28"/>
          <w:szCs w:val="28"/>
          <w:highlight w:val="none"/>
          <w:lang w:val="en-US" w:eastAsia="zh-CN"/>
        </w:rPr>
        <w:t>其</w:t>
      </w:r>
      <w:r>
        <w:rPr>
          <w:rFonts w:hint="eastAsia" w:ascii="仿宋_GB2312" w:hAnsi="仿宋_GB2312" w:eastAsia="仿宋_GB2312" w:cs="仿宋_GB2312"/>
          <w:b w:val="0"/>
          <w:bCs/>
          <w:color w:val="auto"/>
          <w:sz w:val="28"/>
          <w:szCs w:val="28"/>
          <w:highlight w:val="none"/>
          <w:lang w:eastAsia="zh-CN"/>
        </w:rPr>
        <w:t>核心目标是确保整个管理体系</w:t>
      </w:r>
      <w:r>
        <w:rPr>
          <w:rFonts w:hint="eastAsia" w:ascii="仿宋_GB2312" w:hAnsi="仿宋_GB2312" w:eastAsia="仿宋_GB2312" w:cs="仿宋_GB2312"/>
          <w:b w:val="0"/>
          <w:bCs/>
          <w:color w:val="auto"/>
          <w:sz w:val="28"/>
          <w:szCs w:val="28"/>
          <w:highlight w:val="none"/>
          <w:lang w:val="en-US" w:eastAsia="zh-CN"/>
        </w:rPr>
        <w:t>保持</w:t>
      </w:r>
      <w:r>
        <w:rPr>
          <w:rFonts w:hint="eastAsia" w:ascii="仿宋_GB2312" w:hAnsi="仿宋_GB2312" w:eastAsia="仿宋_GB2312" w:cs="仿宋_GB2312"/>
          <w:b w:val="0"/>
          <w:bCs/>
          <w:color w:val="auto"/>
          <w:sz w:val="28"/>
          <w:szCs w:val="28"/>
          <w:highlight w:val="none"/>
          <w:lang w:eastAsia="zh-CN"/>
        </w:rPr>
        <w:t>自我完善、持续优化。“监督”功能通过设置关键指标阈值和自动预警规则（如证书过期预警、投诉率超标预警、培训完成率过低预警），实现从“事后补救”到“事中干预”和“事前预防” 的转变。推动科学决策与精准施策，运行数据（投诉建议数据、考核通过率趋势、星级分布变化、学习进度数据等），通过可视化报表呈现，精准定位问题环节，从而制定有针对性的“改进”措施。构建多方参与的协同治理体系，打通反馈渠道，通过小程序、App等渠道，方便服务对象对每一次服务进行满意度评价、提出投诉或表扬，将市场端的真实感受实时反馈回系统。体系的长期演进和优化提供动力，沉淀数据资产，支持政策与标准的迭代优化。业务主管部门可以基于这些数据，修订培训大纲、调整考核标准、完善服务规范，使整个管理体系螺旋式上升，越来越贴近实际需求。</w:t>
      </w:r>
    </w:p>
    <w:p w14:paraId="298CBA59">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p>
    <w:p w14:paraId="378E2E37">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t>下表为医疗护理员信息管理平台的服务数据：</w:t>
      </w:r>
    </w:p>
    <w:tbl>
      <w:tblPr>
        <w:tblStyle w:val="15"/>
        <w:tblW w:w="853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70"/>
        <w:gridCol w:w="1983"/>
        <w:gridCol w:w="1800"/>
        <w:gridCol w:w="1700"/>
        <w:gridCol w:w="1883"/>
      </w:tblGrid>
      <w:tr w14:paraId="6B4BE2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040" w:hRule="atLeast"/>
        </w:trPr>
        <w:tc>
          <w:tcPr>
            <w:tcW w:w="1170" w:type="dxa"/>
            <w:vAlign w:val="center"/>
          </w:tcPr>
          <w:p w14:paraId="6753CD58">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年份</w:t>
            </w:r>
          </w:p>
        </w:tc>
        <w:tc>
          <w:tcPr>
            <w:tcW w:w="1983" w:type="dxa"/>
            <w:vAlign w:val="center"/>
          </w:tcPr>
          <w:p w14:paraId="14F98D73">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leftChars="0" w:right="0" w:rightChars="0" w:firstLine="0" w:firstLineChars="0"/>
              <w:jc w:val="center"/>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医疗护理员人数</w:t>
            </w:r>
          </w:p>
        </w:tc>
        <w:tc>
          <w:tcPr>
            <w:tcW w:w="1800" w:type="dxa"/>
            <w:vAlign w:val="center"/>
          </w:tcPr>
          <w:p w14:paraId="44B43E82">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leftChars="0" w:right="0" w:rightChars="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lang w:eastAsia="zh-CN"/>
              </w:rPr>
              <w:t>服务人数</w:t>
            </w:r>
          </w:p>
        </w:tc>
        <w:tc>
          <w:tcPr>
            <w:tcW w:w="1700" w:type="dxa"/>
            <w:vAlign w:val="center"/>
          </w:tcPr>
          <w:p w14:paraId="51CED0E0">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leftChars="0" w:right="0" w:rightChars="0" w:firstLine="0" w:firstLineChars="0"/>
              <w:jc w:val="center"/>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lang w:eastAsia="zh-CN"/>
              </w:rPr>
              <w:t>服务</w:t>
            </w:r>
            <w:r>
              <w:rPr>
                <w:rFonts w:hint="eastAsia" w:ascii="仿宋_GB2312" w:eastAsia="仿宋_GB2312" w:cs="仿宋"/>
                <w:bCs/>
                <w:color w:val="auto"/>
                <w:sz w:val="24"/>
                <w:szCs w:val="24"/>
                <w:highlight w:val="none"/>
              </w:rPr>
              <w:t>效果</w:t>
            </w:r>
          </w:p>
        </w:tc>
        <w:tc>
          <w:tcPr>
            <w:tcW w:w="1883" w:type="dxa"/>
            <w:vAlign w:val="center"/>
          </w:tcPr>
          <w:p w14:paraId="322E678C">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leftChars="0" w:right="0" w:rightChars="0" w:firstLine="0" w:firstLineChars="0"/>
              <w:jc w:val="center"/>
              <w:rPr>
                <w:rFonts w:hint="eastAsia"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核心指标的分析确定</w:t>
            </w:r>
          </w:p>
        </w:tc>
      </w:tr>
      <w:tr w14:paraId="338989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0" w:type="dxa"/>
            <w:vAlign w:val="center"/>
          </w:tcPr>
          <w:p w14:paraId="192FB96A">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eastAsia" w:ascii="仿宋_GB2312" w:eastAsia="仿宋_GB2312" w:cs="仿宋"/>
                <w:bCs/>
                <w:color w:val="auto"/>
                <w:sz w:val="24"/>
                <w:szCs w:val="24"/>
                <w:highlight w:val="none"/>
                <w:lang w:eastAsia="zh-CN"/>
              </w:rPr>
            </w:pPr>
            <w:r>
              <w:rPr>
                <w:rFonts w:hint="eastAsia" w:ascii="仿宋_GB2312" w:eastAsia="仿宋_GB2312" w:cs="仿宋"/>
                <w:bCs/>
                <w:color w:val="auto"/>
                <w:sz w:val="24"/>
                <w:szCs w:val="24"/>
                <w:highlight w:val="none"/>
              </w:rPr>
              <w:t>2024</w:t>
            </w:r>
          </w:p>
        </w:tc>
        <w:tc>
          <w:tcPr>
            <w:tcW w:w="1983" w:type="dxa"/>
            <w:vAlign w:val="center"/>
          </w:tcPr>
          <w:p w14:paraId="56E8CBCF">
            <w:pPr>
              <w:keepNext w:val="0"/>
              <w:keepLines w:val="0"/>
              <w:pageBreakBefore w:val="0"/>
              <w:widowControl w:val="0"/>
              <w:suppressLineNumbers w:val="0"/>
              <w:kinsoku/>
              <w:wordWrap/>
              <w:overflowPunct/>
              <w:topLinePunct w:val="0"/>
              <w:bidi w:val="0"/>
              <w:adjustRightInd/>
              <w:snapToGrid/>
              <w:spacing w:before="0" w:beforeAutospacing="0" w:after="0" w:afterAutospacing="0" w:line="400" w:lineRule="exact"/>
              <w:ind w:left="0" w:right="0" w:firstLine="0" w:firstLineChars="0"/>
              <w:jc w:val="center"/>
              <w:textAlignment w:val="auto"/>
              <w:rPr>
                <w:rFonts w:hint="default" w:ascii="仿宋_GB2312" w:eastAsia="仿宋_GB2312" w:cs="仿宋"/>
                <w:bCs/>
                <w:color w:val="auto"/>
                <w:sz w:val="24"/>
                <w:szCs w:val="24"/>
                <w:highlight w:val="none"/>
              </w:rPr>
            </w:pPr>
            <w:r>
              <w:rPr>
                <w:rFonts w:hint="default" w:ascii="仿宋_GB2312" w:eastAsia="仿宋_GB2312" w:cs="仿宋"/>
                <w:bCs/>
                <w:color w:val="auto"/>
                <w:sz w:val="24"/>
                <w:szCs w:val="24"/>
                <w:highlight w:val="none"/>
              </w:rPr>
              <w:t>332</w:t>
            </w:r>
          </w:p>
        </w:tc>
        <w:tc>
          <w:tcPr>
            <w:tcW w:w="1800" w:type="dxa"/>
            <w:vAlign w:val="center"/>
          </w:tcPr>
          <w:p w14:paraId="3BDF95CC">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4191</w:t>
            </w:r>
          </w:p>
        </w:tc>
        <w:tc>
          <w:tcPr>
            <w:tcW w:w="1700" w:type="dxa"/>
            <w:vAlign w:val="center"/>
          </w:tcPr>
          <w:p w14:paraId="0B828589">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r>
              <w:rPr>
                <w:rFonts w:hint="default" w:ascii="仿宋_GB2312" w:eastAsia="仿宋_GB2312" w:cs="仿宋"/>
                <w:bCs/>
                <w:color w:val="auto"/>
                <w:sz w:val="24"/>
                <w:szCs w:val="24"/>
                <w:highlight w:val="none"/>
                <w:lang w:val="en-US" w:eastAsia="zh-CN"/>
              </w:rPr>
              <w:t>94.37%</w:t>
            </w:r>
          </w:p>
        </w:tc>
        <w:tc>
          <w:tcPr>
            <w:tcW w:w="1883" w:type="dxa"/>
            <w:vMerge w:val="restart"/>
            <w:vAlign w:val="center"/>
          </w:tcPr>
          <w:p w14:paraId="61CF5771">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服务满意度</w:t>
            </w:r>
          </w:p>
        </w:tc>
      </w:tr>
      <w:tr w14:paraId="7A8D62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0" w:type="dxa"/>
            <w:vAlign w:val="center"/>
          </w:tcPr>
          <w:p w14:paraId="16533158">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2025</w:t>
            </w:r>
          </w:p>
        </w:tc>
        <w:tc>
          <w:tcPr>
            <w:tcW w:w="1983" w:type="dxa"/>
            <w:vAlign w:val="center"/>
          </w:tcPr>
          <w:p w14:paraId="7937341E">
            <w:pPr>
              <w:keepNext w:val="0"/>
              <w:keepLines w:val="0"/>
              <w:pageBreakBefore w:val="0"/>
              <w:widowControl w:val="0"/>
              <w:suppressLineNumbers w:val="0"/>
              <w:kinsoku/>
              <w:wordWrap/>
              <w:overflowPunct/>
              <w:topLinePunct w:val="0"/>
              <w:bidi w:val="0"/>
              <w:adjustRightInd/>
              <w:snapToGrid/>
              <w:spacing w:before="0" w:beforeAutospacing="0" w:after="0" w:afterAutospacing="0" w:line="400" w:lineRule="exact"/>
              <w:ind w:left="0" w:right="0" w:firstLine="0" w:firstLineChars="0"/>
              <w:jc w:val="center"/>
              <w:textAlignment w:val="auto"/>
              <w:rPr>
                <w:rFonts w:hint="eastAsia" w:ascii="仿宋_GB2312" w:hAnsi="仿宋_GB2312" w:eastAsia="仿宋_GB2312" w:cs="仿宋_GB2312"/>
                <w:bCs/>
                <w:color w:val="auto"/>
                <w:sz w:val="24"/>
                <w:szCs w:val="24"/>
                <w:highlight w:val="none"/>
                <w:lang w:val="en-US" w:eastAsia="zh-CN"/>
              </w:rPr>
            </w:pPr>
            <w:r>
              <w:rPr>
                <w:rFonts w:hint="eastAsia" w:ascii="仿宋_GB2312" w:hAnsi="仿宋_GB2312" w:eastAsia="仿宋_GB2312" w:cs="仿宋_GB2312"/>
                <w:bCs/>
                <w:color w:val="auto"/>
                <w:sz w:val="24"/>
                <w:szCs w:val="24"/>
                <w:highlight w:val="none"/>
                <w:lang w:val="en-US" w:eastAsia="zh-CN"/>
              </w:rPr>
              <w:t>809</w:t>
            </w:r>
          </w:p>
        </w:tc>
        <w:tc>
          <w:tcPr>
            <w:tcW w:w="1800" w:type="dxa"/>
            <w:vAlign w:val="center"/>
          </w:tcPr>
          <w:p w14:paraId="27BB69B1">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eastAsia" w:ascii="仿宋_GB2312" w:hAnsi="仿宋_GB2312" w:eastAsia="仿宋_GB2312" w:cs="仿宋_GB2312"/>
                <w:bCs/>
                <w:color w:val="auto"/>
                <w:sz w:val="24"/>
                <w:szCs w:val="24"/>
                <w:highlight w:val="none"/>
                <w:lang w:val="en-US" w:eastAsia="zh-CN"/>
              </w:rPr>
            </w:pPr>
            <w:r>
              <w:rPr>
                <w:rFonts w:hint="eastAsia" w:ascii="仿宋_GB2312" w:hAnsi="仿宋_GB2312" w:eastAsia="仿宋_GB2312" w:cs="仿宋_GB2312"/>
                <w:bCs/>
                <w:color w:val="auto"/>
                <w:sz w:val="24"/>
                <w:szCs w:val="24"/>
                <w:highlight w:val="none"/>
                <w:lang w:val="en-US" w:eastAsia="zh-CN"/>
              </w:rPr>
              <w:t>3968</w:t>
            </w:r>
          </w:p>
        </w:tc>
        <w:tc>
          <w:tcPr>
            <w:tcW w:w="1700" w:type="dxa"/>
            <w:vAlign w:val="center"/>
          </w:tcPr>
          <w:p w14:paraId="18EA6A05">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99.74%</w:t>
            </w:r>
          </w:p>
        </w:tc>
        <w:tc>
          <w:tcPr>
            <w:tcW w:w="1883" w:type="dxa"/>
            <w:vMerge w:val="continue"/>
            <w:vAlign w:val="center"/>
          </w:tcPr>
          <w:p w14:paraId="76BE38BC">
            <w:pPr>
              <w:pStyle w:val="30"/>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0" w:firstLineChars="0"/>
              <w:jc w:val="center"/>
              <w:rPr>
                <w:rFonts w:hint="default" w:ascii="仿宋_GB2312" w:eastAsia="仿宋_GB2312" w:cs="仿宋"/>
                <w:bCs/>
                <w:color w:val="auto"/>
                <w:sz w:val="24"/>
                <w:szCs w:val="24"/>
                <w:highlight w:val="none"/>
              </w:rPr>
            </w:pPr>
          </w:p>
        </w:tc>
      </w:tr>
    </w:tbl>
    <w:p w14:paraId="34CAD4BD">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eastAsia="zh-CN"/>
        </w:rPr>
      </w:pPr>
      <w:r>
        <w:rPr>
          <w:rFonts w:hint="eastAsia" w:ascii="仿宋_GB2312" w:hAnsi="仿宋_GB2312" w:eastAsia="仿宋_GB2312" w:cs="仿宋_GB2312"/>
          <w:b w:val="0"/>
          <w:bCs/>
          <w:color w:val="auto"/>
          <w:sz w:val="28"/>
          <w:szCs w:val="28"/>
          <w:highlight w:val="none"/>
          <w:lang w:eastAsia="zh-CN"/>
        </w:rPr>
        <w:t>数据显示，实施医疗护理员信息化管理后，患者满意度呈逐年稳步提升趋势，并在2025年达到99.74%的高位。这充分证明了该医疗护理员信息化管理具有可靠性与有效性。</w:t>
      </w:r>
    </w:p>
    <w:p w14:paraId="26CD3C77">
      <w:pPr>
        <w:pStyle w:val="30"/>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p>
    <w:p w14:paraId="028E2962">
      <w:pPr>
        <w:pStyle w:val="32"/>
        <w:numPr>
          <w:ilvl w:val="0"/>
          <w:numId w:val="0"/>
        </w:numPr>
        <w:spacing w:beforeLines="0" w:afterLines="0" w:line="360" w:lineRule="auto"/>
        <w:ind w:firstLine="643" w:firstLineChars="200"/>
        <w:rPr>
          <w:bCs/>
          <w:color w:val="auto"/>
          <w:sz w:val="32"/>
          <w:szCs w:val="32"/>
          <w:highlight w:val="none"/>
        </w:rPr>
      </w:pPr>
      <w:r>
        <w:rPr>
          <w:rFonts w:hint="eastAsia"/>
          <w:b/>
          <w:bCs/>
          <w:color w:val="auto"/>
          <w:sz w:val="32"/>
          <w:szCs w:val="32"/>
          <w:highlight w:val="none"/>
        </w:rPr>
        <w:t>六</w:t>
      </w:r>
      <w:r>
        <w:rPr>
          <w:rFonts w:hint="eastAsia"/>
          <w:bCs/>
          <w:color w:val="auto"/>
          <w:sz w:val="32"/>
          <w:szCs w:val="32"/>
          <w:highlight w:val="none"/>
        </w:rPr>
        <w:t>、</w:t>
      </w:r>
      <w:r>
        <w:rPr>
          <w:rFonts w:hint="eastAsia"/>
          <w:color w:val="auto"/>
          <w:sz w:val="32"/>
          <w:szCs w:val="32"/>
          <w:highlight w:val="none"/>
        </w:rPr>
        <w:t>重大意见分歧的处理依据和结果</w:t>
      </w:r>
    </w:p>
    <w:p w14:paraId="22D64695">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本标准研制过程中无重大分歧意见。</w:t>
      </w:r>
    </w:p>
    <w:p w14:paraId="115E7B88">
      <w:pPr>
        <w:autoSpaceDE w:val="0"/>
        <w:autoSpaceDN w:val="0"/>
        <w:adjustRightInd w:val="0"/>
        <w:spacing w:before="156" w:beforeLines="50" w:after="156" w:afterLines="50" w:line="520" w:lineRule="exact"/>
        <w:ind w:firstLine="640" w:firstLineChars="200"/>
        <w:outlineLvl w:val="0"/>
        <w:rPr>
          <w:rFonts w:eastAsia="黑体"/>
          <w:color w:val="auto"/>
          <w:sz w:val="32"/>
          <w:szCs w:val="32"/>
          <w:highlight w:val="none"/>
        </w:rPr>
      </w:pPr>
      <w:r>
        <w:rPr>
          <w:rFonts w:hint="eastAsia" w:ascii="黑体" w:eastAsia="黑体"/>
          <w:bCs/>
          <w:color w:val="auto"/>
          <w:sz w:val="32"/>
          <w:szCs w:val="32"/>
          <w:highlight w:val="none"/>
        </w:rPr>
        <w:t>七、</w:t>
      </w:r>
      <w:r>
        <w:rPr>
          <w:rFonts w:hint="eastAsia" w:eastAsia="黑体"/>
          <w:color w:val="auto"/>
          <w:sz w:val="32"/>
          <w:szCs w:val="32"/>
          <w:highlight w:val="none"/>
        </w:rPr>
        <w:t>实施标准的措施</w:t>
      </w:r>
    </w:p>
    <w:p w14:paraId="70B5B9C4">
      <w:pPr>
        <w:spacing w:line="500" w:lineRule="exact"/>
        <w:ind w:firstLine="562" w:firstLineChars="200"/>
        <w:rPr>
          <w:rFonts w:ascii="仿宋_GB2312" w:eastAsia="仿宋_GB2312" w:cs="仿宋_GB2312"/>
          <w:b/>
          <w:color w:val="auto"/>
          <w:sz w:val="28"/>
          <w:szCs w:val="28"/>
          <w:highlight w:val="none"/>
        </w:rPr>
      </w:pPr>
      <w:r>
        <w:rPr>
          <w:rFonts w:hint="eastAsia" w:ascii="仿宋_GB2312" w:eastAsia="仿宋_GB2312" w:cs="仿宋_GB2312"/>
          <w:b/>
          <w:color w:val="auto"/>
          <w:sz w:val="28"/>
          <w:szCs w:val="28"/>
          <w:highlight w:val="none"/>
        </w:rPr>
        <w:t>（一）标准报批发布后，成立标准宣贯工作组</w:t>
      </w:r>
    </w:p>
    <w:p w14:paraId="06A4783C">
      <w:pPr>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6EA55C27">
      <w:pPr>
        <w:spacing w:line="50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（二）组织开展标准宣贯培训</w:t>
      </w:r>
    </w:p>
    <w:p w14:paraId="58CD3383">
      <w:pPr>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标准发布实施后，标准宣贯工作小组制作标准解读宣贯培训PPT课件和标准核心技术明白书，并按标准宣贯培训计划深入各市县相关机构，对相关人员开展标准宣贯培训，对标准进行逐条解读，让相关人员掌握标准核心技术内容，助力标准实施落地，推动</w:t>
      </w:r>
      <w:r>
        <w:rPr>
          <w:rFonts w:hint="eastAsia" w:ascii="仿宋_GB2312" w:eastAsia="仿宋_GB2312"/>
          <w:color w:val="auto"/>
          <w:sz w:val="28"/>
          <w:szCs w:val="28"/>
          <w:highlight w:val="none"/>
          <w:lang w:eastAsia="zh-CN"/>
        </w:rPr>
        <w:t>医疗护理员信息化管理</w:t>
      </w:r>
      <w:r>
        <w:rPr>
          <w:rFonts w:hint="eastAsia" w:ascii="仿宋_GB2312" w:eastAsia="仿宋_GB2312"/>
          <w:color w:val="auto"/>
          <w:sz w:val="28"/>
          <w:szCs w:val="28"/>
          <w:highlight w:val="none"/>
        </w:rPr>
        <w:t>高质量发展。</w:t>
      </w:r>
    </w:p>
    <w:p w14:paraId="533DFF6E">
      <w:pPr>
        <w:spacing w:line="50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（三）开展标准实施交流会，收集标准实施反馈信息</w:t>
      </w:r>
    </w:p>
    <w:p w14:paraId="0C7D0CCF">
      <w:pPr>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标准起草小组深入各市县相关机构组织相关人员召开标准实施交流会，听取标准实施过程中存在的问题并做好记录和解答，对存在的问题组织专家团队进行研讨，为标准的复审修订做准备。</w:t>
      </w:r>
    </w:p>
    <w:p w14:paraId="34611F9E">
      <w:pPr>
        <w:spacing w:line="50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（四）开展标准实施效果评估</w:t>
      </w:r>
    </w:p>
    <w:p w14:paraId="0D06AFA4">
      <w:pPr>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标准实施满2年，每年标准宣贯工作组采取网络调查、问卷调查、实地调研、召开座谈会或论证会、专家咨询等方式开展标准实施效果评估，并形成标准实施效果评估报告，为标准的复审修订做准备。</w:t>
      </w:r>
    </w:p>
    <w:p w14:paraId="548CE5BE">
      <w:pPr>
        <w:spacing w:before="240" w:after="60" w:line="520" w:lineRule="exact"/>
        <w:ind w:firstLine="640" w:firstLineChars="200"/>
        <w:outlineLvl w:val="0"/>
        <w:rPr>
          <w:rFonts w:ascii="黑体" w:eastAsia="黑体"/>
          <w:bCs/>
          <w:color w:val="auto"/>
          <w:sz w:val="32"/>
          <w:szCs w:val="32"/>
          <w:highlight w:val="none"/>
        </w:rPr>
      </w:pPr>
      <w:r>
        <w:rPr>
          <w:rFonts w:hint="eastAsia" w:ascii="黑体" w:eastAsia="黑体"/>
          <w:bCs/>
          <w:color w:val="auto"/>
          <w:sz w:val="32"/>
          <w:szCs w:val="32"/>
          <w:highlight w:val="none"/>
        </w:rPr>
        <w:t>八、其他应当说明的事项</w:t>
      </w:r>
    </w:p>
    <w:p w14:paraId="3C568895">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无。</w:t>
      </w:r>
    </w:p>
    <w:p w14:paraId="5EC29ECF">
      <w:pPr>
        <w:autoSpaceDE w:val="0"/>
        <w:autoSpaceDN w:val="0"/>
        <w:adjustRightInd w:val="0"/>
        <w:spacing w:before="156" w:beforeLines="50" w:after="156" w:afterLines="50" w:line="520" w:lineRule="exact"/>
        <w:ind w:firstLine="640"/>
        <w:outlineLvl w:val="0"/>
        <w:rPr>
          <w:rFonts w:eastAsia="黑体"/>
          <w:color w:val="auto"/>
          <w:sz w:val="32"/>
          <w:szCs w:val="32"/>
          <w:highlight w:val="none"/>
        </w:rPr>
      </w:pPr>
      <w:r>
        <w:rPr>
          <w:rFonts w:hint="eastAsia" w:eastAsia="黑体"/>
          <w:color w:val="auto"/>
          <w:sz w:val="32"/>
          <w:szCs w:val="32"/>
          <w:highlight w:val="none"/>
        </w:rPr>
        <w:t>九、自我承诺</w:t>
      </w:r>
    </w:p>
    <w:p w14:paraId="6B534D81">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该标准的内容符合国家相关法律法规，技术要求不低于强制性国家标准的相关技术要求，与相关的国家、行业推荐性标准协调一致，标准的编写符合GB/T 1.1-2020的要求。</w:t>
      </w:r>
    </w:p>
    <w:p w14:paraId="75D133B0">
      <w:pPr>
        <w:pStyle w:val="23"/>
        <w:rPr>
          <w:rFonts w:ascii="仿宋_GB2312" w:eastAsia="仿宋_GB2312"/>
          <w:color w:val="auto"/>
          <w:sz w:val="28"/>
          <w:szCs w:val="28"/>
          <w:highlight w:val="none"/>
        </w:rPr>
      </w:pPr>
    </w:p>
    <w:p w14:paraId="75B8E171">
      <w:pPr>
        <w:pStyle w:val="23"/>
        <w:rPr>
          <w:rFonts w:ascii="仿宋_GB2312" w:eastAsia="仿宋_GB2312"/>
          <w:color w:val="auto"/>
          <w:sz w:val="28"/>
          <w:szCs w:val="28"/>
          <w:highlight w:val="none"/>
        </w:rPr>
      </w:pPr>
    </w:p>
    <w:p w14:paraId="50ADABA7">
      <w:pPr>
        <w:spacing w:before="240" w:after="60" w:line="520" w:lineRule="exact"/>
        <w:ind w:firstLine="3220" w:firstLineChars="1150"/>
        <w:outlineLvl w:val="0"/>
        <w:rPr>
          <w:rFonts w:ascii="仿宋_GB2312" w:eastAsia="仿宋_GB2312"/>
          <w:color w:val="auto"/>
          <w:sz w:val="28"/>
          <w:szCs w:val="28"/>
          <w:highlight w:val="none"/>
        </w:rPr>
      </w:pPr>
      <w:r>
        <w:rPr>
          <w:rFonts w:hint="eastAsia" w:ascii="仿宋_GB2312" w:eastAsia="仿宋_GB2312"/>
          <w:color w:val="auto"/>
          <w:sz w:val="28"/>
          <w:szCs w:val="28"/>
          <w:highlight w:val="none"/>
        </w:rPr>
        <w:t>团体标准《</w:t>
      </w:r>
      <w:r>
        <w:rPr>
          <w:rFonts w:hint="eastAsia" w:ascii="仿宋_GB2312" w:eastAsia="仿宋_GB2312"/>
          <w:color w:val="auto"/>
          <w:sz w:val="28"/>
          <w:szCs w:val="28"/>
          <w:highlight w:val="none"/>
          <w:lang w:eastAsia="zh-CN"/>
        </w:rPr>
        <w:t>医疗护理员信息化管理规范</w:t>
      </w:r>
      <w:r>
        <w:rPr>
          <w:rFonts w:hint="eastAsia" w:ascii="仿宋_GB2312" w:eastAsia="仿宋_GB2312"/>
          <w:color w:val="auto"/>
          <w:sz w:val="28"/>
          <w:szCs w:val="28"/>
          <w:highlight w:val="none"/>
        </w:rPr>
        <w:t>》</w:t>
      </w:r>
    </w:p>
    <w:p w14:paraId="319F0C65">
      <w:pPr>
        <w:spacing w:line="520" w:lineRule="exact"/>
        <w:ind w:right="1120"/>
        <w:jc w:val="center"/>
        <w:rPr>
          <w:rFonts w:ascii="仿宋_GB2312" w:eastAsia="仿宋_GB2312"/>
          <w:color w:val="auto"/>
          <w:sz w:val="28"/>
          <w:szCs w:val="28"/>
          <w:highlight w:val="none"/>
        </w:rPr>
      </w:pPr>
      <w:r>
        <w:rPr>
          <w:rFonts w:hint="eastAsia" w:ascii="仿宋_GB2312" w:eastAsia="仿宋_GB2312"/>
          <w:color w:val="auto"/>
          <w:sz w:val="28"/>
          <w:szCs w:val="28"/>
          <w:highlight w:val="none"/>
        </w:rPr>
        <w:t xml:space="preserve">                                  标准编制工作组</w:t>
      </w:r>
    </w:p>
    <w:p w14:paraId="7C69A18A">
      <w:pPr>
        <w:spacing w:line="520" w:lineRule="exact"/>
        <w:ind w:firstLine="640" w:firstLineChars="200"/>
        <w:rPr>
          <w:rFonts w:ascii="仿宋_GB2312" w:eastAsia="仿宋_GB2312"/>
          <w:color w:val="auto"/>
          <w:sz w:val="28"/>
          <w:szCs w:val="28"/>
          <w:highlight w:val="none"/>
        </w:rPr>
      </w:pPr>
      <w:r>
        <w:rPr>
          <w:rFonts w:hint="eastAsia" w:ascii="仿宋_GB2312" w:eastAsia="仿宋_GB2312"/>
          <w:color w:val="auto"/>
          <w:sz w:val="32"/>
          <w:szCs w:val="28"/>
          <w:highlight w:val="none"/>
        </w:rPr>
        <w:t xml:space="preserve">                             </w:t>
      </w:r>
      <w:r>
        <w:rPr>
          <w:rFonts w:hint="eastAsia" w:ascii="仿宋_GB2312" w:eastAsia="仿宋_GB2312"/>
          <w:color w:val="auto"/>
          <w:sz w:val="28"/>
          <w:szCs w:val="28"/>
          <w:highlight w:val="none"/>
        </w:rPr>
        <w:t>2025年</w:t>
      </w:r>
      <w:r>
        <w:rPr>
          <w:rFonts w:hint="eastAsia" w:ascii="仿宋_GB2312" w:eastAsia="仿宋_GB2312"/>
          <w:color w:val="auto"/>
          <w:sz w:val="28"/>
          <w:szCs w:val="28"/>
          <w:highlight w:val="none"/>
          <w:lang w:val="en-US" w:eastAsia="zh-CN"/>
        </w:rPr>
        <w:t>9</w:t>
      </w:r>
      <w:r>
        <w:rPr>
          <w:rFonts w:hint="eastAsia" w:ascii="仿宋_GB2312" w:eastAsia="仿宋_GB2312"/>
          <w:color w:val="auto"/>
          <w:sz w:val="28"/>
          <w:szCs w:val="28"/>
          <w:highlight w:val="none"/>
        </w:rPr>
        <w:t>月</w:t>
      </w:r>
      <w:r>
        <w:rPr>
          <w:rFonts w:hint="eastAsia" w:ascii="仿宋_GB2312" w:eastAsia="仿宋_GB2312"/>
          <w:color w:val="auto"/>
          <w:sz w:val="28"/>
          <w:szCs w:val="28"/>
          <w:highlight w:val="none"/>
          <w:lang w:val="en-US" w:eastAsia="zh-CN"/>
        </w:rPr>
        <w:t>30</w:t>
      </w:r>
      <w:bookmarkStart w:id="0" w:name="_GoBack"/>
      <w:bookmarkEnd w:id="0"/>
      <w:r>
        <w:rPr>
          <w:rFonts w:hint="eastAsia" w:ascii="仿宋_GB2312" w:eastAsia="仿宋_GB2312"/>
          <w:color w:val="auto"/>
          <w:sz w:val="28"/>
          <w:szCs w:val="28"/>
          <w:highlight w:val="none"/>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7D59C95F-0B38-4E77-862B-0A23341111A6}"/>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embedRegular r:id="rId2" w:fontKey="{BD808E64-E9CA-4480-9DAC-DBFA39A8A3C9}"/>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 w:name="等线 Light">
    <w:altName w:val="宋体"/>
    <w:panose1 w:val="02010600030101010101"/>
    <w:charset w:val="86"/>
    <w:family w:val="auto"/>
    <w:pitch w:val="default"/>
    <w:sig w:usb0="00000000" w:usb1="00000000" w:usb2="00000016" w:usb3="00000000" w:csb0="0004000F" w:csb1="00000000"/>
  </w:font>
  <w:font w:name="方正小标宋简体">
    <w:panose1 w:val="03000509000000000000"/>
    <w:charset w:val="86"/>
    <w:family w:val="auto"/>
    <w:pitch w:val="default"/>
    <w:sig w:usb0="00000001" w:usb1="080E0000" w:usb2="00000000" w:usb3="00000000" w:csb0="00040000" w:csb1="00000000"/>
    <w:embedRegular r:id="rId3" w:fontKey="{D69FEB42-3340-46D6-B6D1-1787D1D75A22}"/>
  </w:font>
  <w:font w:name="仿宋_GB2312">
    <w:panose1 w:val="02010609030101010101"/>
    <w:charset w:val="86"/>
    <w:family w:val="modern"/>
    <w:pitch w:val="default"/>
    <w:sig w:usb0="00000001" w:usb1="080E0000" w:usb2="00000000" w:usb3="00000000" w:csb0="00040000" w:csb1="00000000"/>
    <w:embedRegular r:id="rId4" w:fontKey="{BD2F85C3-01E0-41D0-9348-0F5AA5ECFE6B}"/>
  </w:font>
  <w:font w:name="仿宋">
    <w:panose1 w:val="02010609060101010101"/>
    <w:charset w:val="86"/>
    <w:family w:val="modern"/>
    <w:pitch w:val="default"/>
    <w:sig w:usb0="800002BF" w:usb1="38CF7CFA" w:usb2="00000016" w:usb3="00000000" w:csb0="00040001" w:csb1="00000000"/>
    <w:embedRegular r:id="rId5" w:fontKey="{EEF9BDD9-B145-4653-82D6-804AB940FBF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9377EA">
    <w:pPr>
      <w:pStyle w:val="8"/>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1EC7F906">
                          <w:pPr>
                            <w:pStyle w:val="8"/>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1EC7F906">
                    <w:pPr>
                      <w:pStyle w:val="8"/>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1"/>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A333FDA2"/>
    <w:multiLevelType w:val="multilevel"/>
    <w:tmpl w:val="A333FDA2"/>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pStyle w:val="57"/>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2">
    <w:nsid w:val="B16E2ACE"/>
    <w:multiLevelType w:val="multilevel"/>
    <w:tmpl w:val="B16E2ACE"/>
    <w:lvl w:ilvl="0" w:tentative="0">
      <w:start w:val="1"/>
      <w:numFmt w:val="upperLetter"/>
      <w:suff w:val="nothing"/>
      <w:lvlText w:val="附录%1"/>
      <w:lvlJc w:val="left"/>
      <w:pPr>
        <w:ind w:left="0" w:firstLine="0"/>
      </w:pPr>
      <w:rPr>
        <w:spacing w:val="100"/>
      </w:rPr>
    </w:lvl>
    <w:lvl w:ilvl="1" w:tentative="0">
      <w:start w:val="1"/>
      <w:numFmt w:val="decimal"/>
      <w:pStyle w:val="62"/>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pPr>
      <w:rPr>
        <w:rFonts w:hint="eastAsia" w:ascii="黑体" w:hAnsi="Times New Roman" w:eastAsia="黑体" w:cs="黑体"/>
        <w:b w:val="0"/>
        <w:i w:val="0"/>
        <w:sz w:val="21"/>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3">
    <w:nsid w:val="BA7B8511"/>
    <w:multiLevelType w:val="multilevel"/>
    <w:tmpl w:val="BA7B8511"/>
    <w:lvl w:ilvl="0" w:tentative="0">
      <w:start w:val="1"/>
      <w:numFmt w:val="decimal"/>
      <w:pStyle w:val="58"/>
      <w:suff w:val="nothing"/>
      <w:lvlText w:val="注%1："/>
      <w:lvlJc w:val="left"/>
      <w:pPr>
        <w:ind w:left="811" w:hanging="448"/>
      </w:pPr>
      <w:rPr>
        <w:rFonts w:hint="eastAsia" w:ascii="黑体" w:hAnsi="Times New Roman" w:eastAsia="黑体" w:cs="黑体"/>
        <w:b w:val="0"/>
        <w:i w:val="0"/>
        <w:sz w:val="18"/>
      </w:rPr>
    </w:lvl>
    <w:lvl w:ilvl="1" w:tentative="0">
      <w:start w:val="1"/>
      <w:numFmt w:val="lowerLetter"/>
      <w:lvlText w:val="%2)"/>
      <w:lvlJc w:val="left"/>
      <w:pPr>
        <w:tabs>
          <w:tab w:val="left" w:pos="0"/>
        </w:tabs>
        <w:ind w:left="992" w:hanging="629"/>
      </w:pPr>
    </w:lvl>
    <w:lvl w:ilvl="2" w:tentative="0">
      <w:start w:val="1"/>
      <w:numFmt w:val="lowerRoman"/>
      <w:lvlText w:val="%3."/>
      <w:lvlJc w:val="right"/>
      <w:pPr>
        <w:tabs>
          <w:tab w:val="left" w:pos="0"/>
        </w:tabs>
        <w:ind w:left="992" w:hanging="629"/>
      </w:pPr>
    </w:lvl>
    <w:lvl w:ilvl="3" w:tentative="0">
      <w:start w:val="1"/>
      <w:numFmt w:val="decimal"/>
      <w:lvlText w:val="%4."/>
      <w:lvlJc w:val="left"/>
      <w:pPr>
        <w:tabs>
          <w:tab w:val="left" w:pos="0"/>
        </w:tabs>
        <w:ind w:left="992" w:hanging="629"/>
      </w:pPr>
    </w:lvl>
    <w:lvl w:ilvl="4" w:tentative="0">
      <w:start w:val="1"/>
      <w:numFmt w:val="lowerLetter"/>
      <w:lvlText w:val="%5)"/>
      <w:lvlJc w:val="left"/>
      <w:pPr>
        <w:tabs>
          <w:tab w:val="left" w:pos="0"/>
        </w:tabs>
        <w:ind w:left="992" w:hanging="629"/>
      </w:pPr>
    </w:lvl>
    <w:lvl w:ilvl="5" w:tentative="0">
      <w:start w:val="1"/>
      <w:numFmt w:val="lowerRoman"/>
      <w:lvlText w:val="%6."/>
      <w:lvlJc w:val="right"/>
      <w:pPr>
        <w:tabs>
          <w:tab w:val="left" w:pos="0"/>
        </w:tabs>
        <w:ind w:left="992" w:hanging="629"/>
      </w:pPr>
    </w:lvl>
    <w:lvl w:ilvl="6" w:tentative="0">
      <w:start w:val="1"/>
      <w:numFmt w:val="decimal"/>
      <w:lvlText w:val="%7."/>
      <w:lvlJc w:val="left"/>
      <w:pPr>
        <w:tabs>
          <w:tab w:val="left" w:pos="0"/>
        </w:tabs>
        <w:ind w:left="992" w:hanging="629"/>
      </w:pPr>
    </w:lvl>
    <w:lvl w:ilvl="7" w:tentative="0">
      <w:start w:val="1"/>
      <w:numFmt w:val="lowerLetter"/>
      <w:lvlText w:val="%8)"/>
      <w:lvlJc w:val="left"/>
      <w:pPr>
        <w:tabs>
          <w:tab w:val="left" w:pos="0"/>
        </w:tabs>
        <w:ind w:left="992" w:hanging="629"/>
      </w:pPr>
    </w:lvl>
    <w:lvl w:ilvl="8" w:tentative="0">
      <w:start w:val="1"/>
      <w:numFmt w:val="lowerRoman"/>
      <w:lvlText w:val="%9."/>
      <w:lvlJc w:val="right"/>
      <w:pPr>
        <w:tabs>
          <w:tab w:val="left" w:pos="0"/>
        </w:tabs>
        <w:ind w:left="992" w:hanging="629"/>
      </w:pPr>
    </w:lvl>
  </w:abstractNum>
  <w:abstractNum w:abstractNumId="4">
    <w:nsid w:val="F947AA72"/>
    <w:multiLevelType w:val="multilevel"/>
    <w:tmpl w:val="F947AA72"/>
    <w:lvl w:ilvl="0" w:tentative="0">
      <w:start w:val="1"/>
      <w:numFmt w:val="upperLetter"/>
      <w:suff w:val="space"/>
      <w:lvlText w:val="%1"/>
      <w:lvlJc w:val="left"/>
      <w:pPr>
        <w:ind w:left="425" w:hanging="425"/>
      </w:pPr>
    </w:lvl>
    <w:lvl w:ilvl="1" w:tentative="0">
      <w:start w:val="1"/>
      <w:numFmt w:val="decimal"/>
      <w:pStyle w:val="60"/>
      <w:suff w:val="space"/>
      <w:lvlText w:val="表%1.%2"/>
      <w:lvlJc w:val="center"/>
      <w:pPr>
        <w:ind w:left="0" w:firstLine="0"/>
      </w:pPr>
      <w:rPr>
        <w:rFonts w:hint="eastAsia" w:ascii="黑体" w:hAnsi="Times New Roman" w:eastAsia="黑体" w:cs="黑体"/>
        <w:sz w:val="21"/>
      </w:r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5"/>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5">
    <w:nsid w:val="0FFFFF7E"/>
    <w:multiLevelType w:val="singleLevel"/>
    <w:tmpl w:val="0FFFFF7E"/>
    <w:lvl w:ilvl="0" w:tentative="0">
      <w:start w:val="1"/>
      <w:numFmt w:val="decimal"/>
      <w:lvlText w:val="%1."/>
      <w:lvlJc w:val="left"/>
      <w:pPr>
        <w:tabs>
          <w:tab w:val="left" w:pos="1200"/>
        </w:tabs>
        <w:ind w:left="1200" w:hanging="360"/>
      </w:pPr>
    </w:lvl>
  </w:abstractNum>
  <w:abstractNum w:abstractNumId="6">
    <w:nsid w:val="0FFFFF7F"/>
    <w:multiLevelType w:val="singleLevel"/>
    <w:tmpl w:val="0FFFFF7F"/>
    <w:lvl w:ilvl="0" w:tentative="0">
      <w:start w:val="1"/>
      <w:numFmt w:val="decimal"/>
      <w:lvlText w:val="%1."/>
      <w:lvlJc w:val="left"/>
      <w:pPr>
        <w:tabs>
          <w:tab w:val="left" w:pos="780"/>
        </w:tabs>
        <w:ind w:left="780" w:hanging="360"/>
      </w:pPr>
    </w:lvl>
  </w:abstractNum>
  <w:abstractNum w:abstractNumId="7">
    <w:nsid w:val="2C5917C3"/>
    <w:multiLevelType w:val="multilevel"/>
    <w:tmpl w:val="2C5917C3"/>
    <w:lvl w:ilvl="0" w:tentative="0">
      <w:start w:val="1"/>
      <w:numFmt w:val="none"/>
      <w:pStyle w:val="55"/>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8">
    <w:nsid w:val="44C50F90"/>
    <w:multiLevelType w:val="multilevel"/>
    <w:tmpl w:val="44C50F90"/>
    <w:lvl w:ilvl="0" w:tentative="0">
      <w:start w:val="1"/>
      <w:numFmt w:val="lowerLetter"/>
      <w:pStyle w:val="50"/>
      <w:lvlText w:val="%1)"/>
      <w:lvlJc w:val="left"/>
      <w:pPr>
        <w:tabs>
          <w:tab w:val="left" w:pos="851"/>
        </w:tabs>
        <w:ind w:left="851" w:hanging="426"/>
      </w:pPr>
      <w:rPr>
        <w:rFonts w:hint="eastAsia" w:ascii="宋体" w:hAnsi="Times New Roman" w:eastAsia="宋体"/>
        <w:sz w:val="21"/>
      </w:rPr>
    </w:lvl>
    <w:lvl w:ilvl="1" w:tentative="0">
      <w:start w:val="1"/>
      <w:numFmt w:val="decimal"/>
      <w:pStyle w:val="48"/>
      <w:lvlText w:val="%2)"/>
      <w:lvlJc w:val="left"/>
      <w:pPr>
        <w:tabs>
          <w:tab w:val="left" w:pos="1276"/>
        </w:tabs>
        <w:ind w:left="1276" w:hanging="425"/>
      </w:pPr>
      <w:rPr>
        <w:rFonts w:hint="eastAsia" w:ascii="宋体" w:hAnsi="Times New Roman" w:eastAsia="宋体"/>
        <w:sz w:val="21"/>
      </w:rPr>
    </w:lvl>
    <w:lvl w:ilvl="2" w:tentative="0">
      <w:start w:val="1"/>
      <w:numFmt w:val="decimal"/>
      <w:pStyle w:val="49"/>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9">
    <w:nsid w:val="5A9B6960"/>
    <w:multiLevelType w:val="multilevel"/>
    <w:tmpl w:val="5A9B6960"/>
    <w:lvl w:ilvl="0" w:tentative="0">
      <w:start w:val="1"/>
      <w:numFmt w:val="none"/>
      <w:pStyle w:val="38"/>
      <w:suff w:val="nothing"/>
      <w:lvlText w:val="%1"/>
      <w:legacy w:legacy="1" w:legacySpace="0" w:legacyIndent="0"/>
      <w:lvlJc w:val="left"/>
      <w:pPr>
        <w:ind w:left="0" w:firstLine="0"/>
      </w:pPr>
      <w:rPr>
        <w:rFonts w:hint="eastAsia"/>
      </w:rPr>
    </w:lvl>
    <w:lvl w:ilvl="1" w:tentative="0">
      <w:start w:val="1"/>
      <w:numFmt w:val="decimal"/>
      <w:pStyle w:val="32"/>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4"/>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40"/>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39"/>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37"/>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abstractNum w:abstractNumId="10">
    <w:nsid w:val="7F0F1A35"/>
    <w:multiLevelType w:val="singleLevel"/>
    <w:tmpl w:val="7F0F1A35"/>
    <w:lvl w:ilvl="0" w:tentative="0">
      <w:start w:val="1"/>
      <w:numFmt w:val="decimal"/>
      <w:lvlText w:val="%1."/>
      <w:lvlJc w:val="left"/>
      <w:pPr>
        <w:tabs>
          <w:tab w:val="left" w:pos="312"/>
        </w:tabs>
      </w:pPr>
    </w:lvl>
  </w:abstractNum>
  <w:num w:numId="1">
    <w:abstractNumId w:val="9"/>
  </w:num>
  <w:num w:numId="2">
    <w:abstractNumId w:val="0"/>
  </w:num>
  <w:num w:numId="3">
    <w:abstractNumId w:val="6"/>
  </w:num>
  <w:num w:numId="4">
    <w:abstractNumId w:val="5"/>
  </w:num>
  <w:num w:numId="5">
    <w:abstractNumId w:val="8"/>
  </w:num>
  <w:num w:numId="6">
    <w:abstractNumId w:val="7"/>
  </w:num>
  <w:num w:numId="7">
    <w:abstractNumId w:val="1"/>
  </w:num>
  <w:num w:numId="8">
    <w:abstractNumId w:val="3"/>
  </w:num>
  <w:num w:numId="9">
    <w:abstractNumId w:val="4"/>
  </w:num>
  <w:num w:numId="10">
    <w:abstractNumId w:val="2"/>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TrueTypeFonts/>
  <w:saveSubset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U0OWNhMGUyYzc2MTI5ZWY2NzM4MTVkMDAwODg0YzMifQ=="/>
  </w:docVars>
  <w:rsids>
    <w:rsidRoot w:val="000D75AA"/>
    <w:rsid w:val="000068A2"/>
    <w:rsid w:val="00014983"/>
    <w:rsid w:val="000178C8"/>
    <w:rsid w:val="00022F61"/>
    <w:rsid w:val="00043782"/>
    <w:rsid w:val="00051BC1"/>
    <w:rsid w:val="00055442"/>
    <w:rsid w:val="000678FF"/>
    <w:rsid w:val="00072103"/>
    <w:rsid w:val="00075653"/>
    <w:rsid w:val="0008200B"/>
    <w:rsid w:val="00082613"/>
    <w:rsid w:val="000A2817"/>
    <w:rsid w:val="000C517B"/>
    <w:rsid w:val="000D75AA"/>
    <w:rsid w:val="000E53EA"/>
    <w:rsid w:val="001133E6"/>
    <w:rsid w:val="00142D19"/>
    <w:rsid w:val="001655CC"/>
    <w:rsid w:val="0018012C"/>
    <w:rsid w:val="001821C9"/>
    <w:rsid w:val="001A7570"/>
    <w:rsid w:val="001C58D4"/>
    <w:rsid w:val="001D3156"/>
    <w:rsid w:val="001D4C84"/>
    <w:rsid w:val="001E2D73"/>
    <w:rsid w:val="001E6087"/>
    <w:rsid w:val="0020127F"/>
    <w:rsid w:val="00205352"/>
    <w:rsid w:val="002210B4"/>
    <w:rsid w:val="0022236C"/>
    <w:rsid w:val="002227B6"/>
    <w:rsid w:val="002324B6"/>
    <w:rsid w:val="00234F7D"/>
    <w:rsid w:val="00236909"/>
    <w:rsid w:val="00236EB4"/>
    <w:rsid w:val="00241F8A"/>
    <w:rsid w:val="00281F39"/>
    <w:rsid w:val="0028500C"/>
    <w:rsid w:val="002879F6"/>
    <w:rsid w:val="002905CF"/>
    <w:rsid w:val="00292F73"/>
    <w:rsid w:val="0029554A"/>
    <w:rsid w:val="002A3479"/>
    <w:rsid w:val="002B7C92"/>
    <w:rsid w:val="002D530A"/>
    <w:rsid w:val="002E357A"/>
    <w:rsid w:val="002F2059"/>
    <w:rsid w:val="00301664"/>
    <w:rsid w:val="00321E92"/>
    <w:rsid w:val="003223ED"/>
    <w:rsid w:val="003259AF"/>
    <w:rsid w:val="003332BA"/>
    <w:rsid w:val="00337000"/>
    <w:rsid w:val="00340D9B"/>
    <w:rsid w:val="003421C0"/>
    <w:rsid w:val="003517E7"/>
    <w:rsid w:val="00372E66"/>
    <w:rsid w:val="00375933"/>
    <w:rsid w:val="00382E35"/>
    <w:rsid w:val="00396F2C"/>
    <w:rsid w:val="003D06F2"/>
    <w:rsid w:val="003D485E"/>
    <w:rsid w:val="00426DC5"/>
    <w:rsid w:val="004373E9"/>
    <w:rsid w:val="0044036C"/>
    <w:rsid w:val="0044065E"/>
    <w:rsid w:val="004805DB"/>
    <w:rsid w:val="0048511D"/>
    <w:rsid w:val="004A75FF"/>
    <w:rsid w:val="004B4D68"/>
    <w:rsid w:val="004F29B4"/>
    <w:rsid w:val="00515B82"/>
    <w:rsid w:val="0051755E"/>
    <w:rsid w:val="005244B1"/>
    <w:rsid w:val="00533B2A"/>
    <w:rsid w:val="00554B7D"/>
    <w:rsid w:val="00564A0C"/>
    <w:rsid w:val="005A1D9D"/>
    <w:rsid w:val="005D6C77"/>
    <w:rsid w:val="005E3C13"/>
    <w:rsid w:val="005E7B33"/>
    <w:rsid w:val="005F1668"/>
    <w:rsid w:val="005F2FD2"/>
    <w:rsid w:val="005F4961"/>
    <w:rsid w:val="00617B08"/>
    <w:rsid w:val="00627AB4"/>
    <w:rsid w:val="006335ED"/>
    <w:rsid w:val="006343EC"/>
    <w:rsid w:val="0063539D"/>
    <w:rsid w:val="006360BD"/>
    <w:rsid w:val="00636EA7"/>
    <w:rsid w:val="00637F53"/>
    <w:rsid w:val="006511A8"/>
    <w:rsid w:val="0067378F"/>
    <w:rsid w:val="00691000"/>
    <w:rsid w:val="006B0BA0"/>
    <w:rsid w:val="006B12C0"/>
    <w:rsid w:val="006F2543"/>
    <w:rsid w:val="00714DDE"/>
    <w:rsid w:val="00727452"/>
    <w:rsid w:val="0074491A"/>
    <w:rsid w:val="007557E4"/>
    <w:rsid w:val="00756356"/>
    <w:rsid w:val="007643FB"/>
    <w:rsid w:val="00774434"/>
    <w:rsid w:val="007756AB"/>
    <w:rsid w:val="00781D6C"/>
    <w:rsid w:val="00784DBC"/>
    <w:rsid w:val="007A149B"/>
    <w:rsid w:val="007B46C1"/>
    <w:rsid w:val="007C244C"/>
    <w:rsid w:val="007E6054"/>
    <w:rsid w:val="007F29ED"/>
    <w:rsid w:val="00801A7F"/>
    <w:rsid w:val="00814260"/>
    <w:rsid w:val="00817F67"/>
    <w:rsid w:val="008247C4"/>
    <w:rsid w:val="00826BFA"/>
    <w:rsid w:val="00853F5C"/>
    <w:rsid w:val="008572EE"/>
    <w:rsid w:val="00874BB5"/>
    <w:rsid w:val="008779C2"/>
    <w:rsid w:val="00880107"/>
    <w:rsid w:val="00884366"/>
    <w:rsid w:val="00887632"/>
    <w:rsid w:val="00895F4A"/>
    <w:rsid w:val="008973E6"/>
    <w:rsid w:val="008B1DEA"/>
    <w:rsid w:val="008B6B5F"/>
    <w:rsid w:val="008E1EB5"/>
    <w:rsid w:val="00926E1B"/>
    <w:rsid w:val="00932BA3"/>
    <w:rsid w:val="00947EBA"/>
    <w:rsid w:val="009718CC"/>
    <w:rsid w:val="009A4141"/>
    <w:rsid w:val="009B7918"/>
    <w:rsid w:val="009E3161"/>
    <w:rsid w:val="00A06B7F"/>
    <w:rsid w:val="00A16A3E"/>
    <w:rsid w:val="00A263D3"/>
    <w:rsid w:val="00A365A2"/>
    <w:rsid w:val="00A368A3"/>
    <w:rsid w:val="00A37FDF"/>
    <w:rsid w:val="00A42C5E"/>
    <w:rsid w:val="00A75476"/>
    <w:rsid w:val="00A87F41"/>
    <w:rsid w:val="00A95A00"/>
    <w:rsid w:val="00AB5B3D"/>
    <w:rsid w:val="00AC57C3"/>
    <w:rsid w:val="00AD0172"/>
    <w:rsid w:val="00B0429D"/>
    <w:rsid w:val="00B051B4"/>
    <w:rsid w:val="00B07A8A"/>
    <w:rsid w:val="00B3173E"/>
    <w:rsid w:val="00B66676"/>
    <w:rsid w:val="00B73416"/>
    <w:rsid w:val="00B77477"/>
    <w:rsid w:val="00B91573"/>
    <w:rsid w:val="00B94EFE"/>
    <w:rsid w:val="00B954B8"/>
    <w:rsid w:val="00BA570D"/>
    <w:rsid w:val="00BB6932"/>
    <w:rsid w:val="00BB7B52"/>
    <w:rsid w:val="00BD2990"/>
    <w:rsid w:val="00C06762"/>
    <w:rsid w:val="00C07069"/>
    <w:rsid w:val="00C123EE"/>
    <w:rsid w:val="00C13CB6"/>
    <w:rsid w:val="00C20386"/>
    <w:rsid w:val="00CC71EF"/>
    <w:rsid w:val="00CE7CD2"/>
    <w:rsid w:val="00D0457A"/>
    <w:rsid w:val="00D35977"/>
    <w:rsid w:val="00D43F5A"/>
    <w:rsid w:val="00D8569E"/>
    <w:rsid w:val="00D87F07"/>
    <w:rsid w:val="00D9142A"/>
    <w:rsid w:val="00D9735E"/>
    <w:rsid w:val="00DB7F6F"/>
    <w:rsid w:val="00DD5A6C"/>
    <w:rsid w:val="00DF4FB8"/>
    <w:rsid w:val="00E07E23"/>
    <w:rsid w:val="00E1324A"/>
    <w:rsid w:val="00E27034"/>
    <w:rsid w:val="00E32D4B"/>
    <w:rsid w:val="00E40372"/>
    <w:rsid w:val="00E41116"/>
    <w:rsid w:val="00E414EF"/>
    <w:rsid w:val="00E455A5"/>
    <w:rsid w:val="00E835A1"/>
    <w:rsid w:val="00E83E2D"/>
    <w:rsid w:val="00E843B2"/>
    <w:rsid w:val="00ED41E5"/>
    <w:rsid w:val="00EE332B"/>
    <w:rsid w:val="00EF4610"/>
    <w:rsid w:val="00EF6CB2"/>
    <w:rsid w:val="00F01A5C"/>
    <w:rsid w:val="00F1246B"/>
    <w:rsid w:val="00F40513"/>
    <w:rsid w:val="00F424A9"/>
    <w:rsid w:val="00F5729F"/>
    <w:rsid w:val="00F65587"/>
    <w:rsid w:val="00F77E06"/>
    <w:rsid w:val="00F843C0"/>
    <w:rsid w:val="00F9021F"/>
    <w:rsid w:val="00FA7D60"/>
    <w:rsid w:val="00FB260A"/>
    <w:rsid w:val="00FC7CE6"/>
    <w:rsid w:val="00FD5DA3"/>
    <w:rsid w:val="00FD6497"/>
    <w:rsid w:val="00FF2EC3"/>
    <w:rsid w:val="00FF56B9"/>
    <w:rsid w:val="012A4E2C"/>
    <w:rsid w:val="023615AF"/>
    <w:rsid w:val="025E2D19"/>
    <w:rsid w:val="02614FC7"/>
    <w:rsid w:val="02DC2156"/>
    <w:rsid w:val="030A6CC4"/>
    <w:rsid w:val="036C0D75"/>
    <w:rsid w:val="039B3DC0"/>
    <w:rsid w:val="03CC3F79"/>
    <w:rsid w:val="03FB03BA"/>
    <w:rsid w:val="04790F9B"/>
    <w:rsid w:val="04DA4474"/>
    <w:rsid w:val="04EC1DF7"/>
    <w:rsid w:val="057B7A05"/>
    <w:rsid w:val="05CD222A"/>
    <w:rsid w:val="05FD2B10"/>
    <w:rsid w:val="06084616"/>
    <w:rsid w:val="0619721E"/>
    <w:rsid w:val="06456265"/>
    <w:rsid w:val="06A9292B"/>
    <w:rsid w:val="06C54323"/>
    <w:rsid w:val="06F70C16"/>
    <w:rsid w:val="071B1228"/>
    <w:rsid w:val="074B78AB"/>
    <w:rsid w:val="07BE53C7"/>
    <w:rsid w:val="085454AC"/>
    <w:rsid w:val="08892439"/>
    <w:rsid w:val="08EF7A39"/>
    <w:rsid w:val="095073FA"/>
    <w:rsid w:val="09C13E54"/>
    <w:rsid w:val="09EB05D3"/>
    <w:rsid w:val="0A530F50"/>
    <w:rsid w:val="0A5844F0"/>
    <w:rsid w:val="0AA132EE"/>
    <w:rsid w:val="0B3D750A"/>
    <w:rsid w:val="0B927BA2"/>
    <w:rsid w:val="0BC74F47"/>
    <w:rsid w:val="0BE32369"/>
    <w:rsid w:val="0BFD70B9"/>
    <w:rsid w:val="0DB22432"/>
    <w:rsid w:val="0E1B0D4A"/>
    <w:rsid w:val="0EE41D10"/>
    <w:rsid w:val="10A125AF"/>
    <w:rsid w:val="10B547F0"/>
    <w:rsid w:val="11186A50"/>
    <w:rsid w:val="11386E78"/>
    <w:rsid w:val="11B73ED3"/>
    <w:rsid w:val="121E62E8"/>
    <w:rsid w:val="12241424"/>
    <w:rsid w:val="12277661"/>
    <w:rsid w:val="12B66520"/>
    <w:rsid w:val="133D4C82"/>
    <w:rsid w:val="13D12EE6"/>
    <w:rsid w:val="13EE1CEA"/>
    <w:rsid w:val="13F37300"/>
    <w:rsid w:val="13FA2960"/>
    <w:rsid w:val="14700951"/>
    <w:rsid w:val="156F60AE"/>
    <w:rsid w:val="16875DAB"/>
    <w:rsid w:val="169F0A74"/>
    <w:rsid w:val="16A11295"/>
    <w:rsid w:val="174D6D27"/>
    <w:rsid w:val="175400B6"/>
    <w:rsid w:val="17C675A6"/>
    <w:rsid w:val="17D631C0"/>
    <w:rsid w:val="18CE5C46"/>
    <w:rsid w:val="196F7429"/>
    <w:rsid w:val="19C77265"/>
    <w:rsid w:val="1A2024D1"/>
    <w:rsid w:val="1A2A2D28"/>
    <w:rsid w:val="1A514D80"/>
    <w:rsid w:val="1ABC0F82"/>
    <w:rsid w:val="1B9C64CF"/>
    <w:rsid w:val="1C0F4EF3"/>
    <w:rsid w:val="1C5E2638"/>
    <w:rsid w:val="1CDC3027"/>
    <w:rsid w:val="1D2C4A21"/>
    <w:rsid w:val="1D4806BC"/>
    <w:rsid w:val="1E6C7E3E"/>
    <w:rsid w:val="1E8C6387"/>
    <w:rsid w:val="1EEE7042"/>
    <w:rsid w:val="1EF0375A"/>
    <w:rsid w:val="1F436741"/>
    <w:rsid w:val="1FFA549F"/>
    <w:rsid w:val="20346CD6"/>
    <w:rsid w:val="206E043A"/>
    <w:rsid w:val="20B63B8F"/>
    <w:rsid w:val="211200FF"/>
    <w:rsid w:val="21B75E11"/>
    <w:rsid w:val="23046E34"/>
    <w:rsid w:val="23675615"/>
    <w:rsid w:val="23E80503"/>
    <w:rsid w:val="24376F6E"/>
    <w:rsid w:val="2443573A"/>
    <w:rsid w:val="24B42104"/>
    <w:rsid w:val="24F86524"/>
    <w:rsid w:val="25496D80"/>
    <w:rsid w:val="25670B39"/>
    <w:rsid w:val="25CD79B1"/>
    <w:rsid w:val="25DC3EE8"/>
    <w:rsid w:val="25E42F4C"/>
    <w:rsid w:val="27095D8A"/>
    <w:rsid w:val="27532138"/>
    <w:rsid w:val="27604855"/>
    <w:rsid w:val="277B51EB"/>
    <w:rsid w:val="279E6744"/>
    <w:rsid w:val="2829733C"/>
    <w:rsid w:val="28CC0709"/>
    <w:rsid w:val="29C22B06"/>
    <w:rsid w:val="2AB6770F"/>
    <w:rsid w:val="2BAD2B02"/>
    <w:rsid w:val="2BDA1E37"/>
    <w:rsid w:val="2D4B05DB"/>
    <w:rsid w:val="2E0C3040"/>
    <w:rsid w:val="2E40384E"/>
    <w:rsid w:val="2F083808"/>
    <w:rsid w:val="2F0B058C"/>
    <w:rsid w:val="2F2B399A"/>
    <w:rsid w:val="2F454A5C"/>
    <w:rsid w:val="2F7C5FA4"/>
    <w:rsid w:val="2F82534F"/>
    <w:rsid w:val="302723B3"/>
    <w:rsid w:val="303040B7"/>
    <w:rsid w:val="306814F8"/>
    <w:rsid w:val="30AE6631"/>
    <w:rsid w:val="3106021B"/>
    <w:rsid w:val="3197089A"/>
    <w:rsid w:val="327A0EC0"/>
    <w:rsid w:val="33685BF1"/>
    <w:rsid w:val="339F33DF"/>
    <w:rsid w:val="34C65624"/>
    <w:rsid w:val="34D01D12"/>
    <w:rsid w:val="34D90AD3"/>
    <w:rsid w:val="3573099D"/>
    <w:rsid w:val="35C44201"/>
    <w:rsid w:val="366B28CE"/>
    <w:rsid w:val="38206066"/>
    <w:rsid w:val="38913D17"/>
    <w:rsid w:val="393E01A9"/>
    <w:rsid w:val="396B1F46"/>
    <w:rsid w:val="39DC7D6B"/>
    <w:rsid w:val="3B651FE2"/>
    <w:rsid w:val="3B714E2B"/>
    <w:rsid w:val="3D5134B7"/>
    <w:rsid w:val="3D6C58AA"/>
    <w:rsid w:val="3D8C5F4C"/>
    <w:rsid w:val="3E65515C"/>
    <w:rsid w:val="3E94330A"/>
    <w:rsid w:val="401F30A7"/>
    <w:rsid w:val="403F2E01"/>
    <w:rsid w:val="41480210"/>
    <w:rsid w:val="42CD0EA8"/>
    <w:rsid w:val="431A1904"/>
    <w:rsid w:val="43947908"/>
    <w:rsid w:val="44CB4DED"/>
    <w:rsid w:val="44F56185"/>
    <w:rsid w:val="4520080C"/>
    <w:rsid w:val="45413951"/>
    <w:rsid w:val="45D90566"/>
    <w:rsid w:val="46E47FFF"/>
    <w:rsid w:val="4779601E"/>
    <w:rsid w:val="481B0E08"/>
    <w:rsid w:val="482D3E87"/>
    <w:rsid w:val="48353A66"/>
    <w:rsid w:val="489160CA"/>
    <w:rsid w:val="48E01E61"/>
    <w:rsid w:val="49327CD0"/>
    <w:rsid w:val="493E1AE1"/>
    <w:rsid w:val="4A9B6FA0"/>
    <w:rsid w:val="4B035C36"/>
    <w:rsid w:val="4B2238EC"/>
    <w:rsid w:val="4B44550B"/>
    <w:rsid w:val="4C7D362F"/>
    <w:rsid w:val="4CAC0AD9"/>
    <w:rsid w:val="4CD55219"/>
    <w:rsid w:val="4DDD59C1"/>
    <w:rsid w:val="4E395334"/>
    <w:rsid w:val="4E593C28"/>
    <w:rsid w:val="4EFD2805"/>
    <w:rsid w:val="4F2558B8"/>
    <w:rsid w:val="4FC74BC1"/>
    <w:rsid w:val="501778F7"/>
    <w:rsid w:val="50747CE5"/>
    <w:rsid w:val="50CC06E1"/>
    <w:rsid w:val="50FA5D92"/>
    <w:rsid w:val="51B02576"/>
    <w:rsid w:val="51FB0B52"/>
    <w:rsid w:val="52270DB5"/>
    <w:rsid w:val="531E5595"/>
    <w:rsid w:val="531F075A"/>
    <w:rsid w:val="5338205E"/>
    <w:rsid w:val="54303C00"/>
    <w:rsid w:val="563E5DDA"/>
    <w:rsid w:val="569D042A"/>
    <w:rsid w:val="56C63E25"/>
    <w:rsid w:val="57555F1B"/>
    <w:rsid w:val="5794447B"/>
    <w:rsid w:val="57996E43"/>
    <w:rsid w:val="57A01936"/>
    <w:rsid w:val="57A57FD6"/>
    <w:rsid w:val="57F01F2D"/>
    <w:rsid w:val="58286739"/>
    <w:rsid w:val="583A6878"/>
    <w:rsid w:val="58733B38"/>
    <w:rsid w:val="588E44CE"/>
    <w:rsid w:val="58D367F3"/>
    <w:rsid w:val="592C1295"/>
    <w:rsid w:val="595B4CF8"/>
    <w:rsid w:val="5992568E"/>
    <w:rsid w:val="59DD74BB"/>
    <w:rsid w:val="59E266CB"/>
    <w:rsid w:val="59EF3692"/>
    <w:rsid w:val="5A420BA5"/>
    <w:rsid w:val="5A8C449C"/>
    <w:rsid w:val="5B571FFB"/>
    <w:rsid w:val="5B6B556E"/>
    <w:rsid w:val="5BFB00CD"/>
    <w:rsid w:val="5C452F47"/>
    <w:rsid w:val="5C537F09"/>
    <w:rsid w:val="5C867919"/>
    <w:rsid w:val="5D086F45"/>
    <w:rsid w:val="5D4D6706"/>
    <w:rsid w:val="5D9B49EA"/>
    <w:rsid w:val="5DF76C0B"/>
    <w:rsid w:val="5E0E07F8"/>
    <w:rsid w:val="5E42134A"/>
    <w:rsid w:val="5ED15115"/>
    <w:rsid w:val="5EFD5F0A"/>
    <w:rsid w:val="5FEF619A"/>
    <w:rsid w:val="60252B89"/>
    <w:rsid w:val="604F4E8B"/>
    <w:rsid w:val="60B11334"/>
    <w:rsid w:val="616C2448"/>
    <w:rsid w:val="61882403"/>
    <w:rsid w:val="628C5F22"/>
    <w:rsid w:val="62C44CEE"/>
    <w:rsid w:val="630E06E5"/>
    <w:rsid w:val="634A0790"/>
    <w:rsid w:val="63DF2082"/>
    <w:rsid w:val="64E33DF4"/>
    <w:rsid w:val="652F2B95"/>
    <w:rsid w:val="654A16B4"/>
    <w:rsid w:val="654C7BEB"/>
    <w:rsid w:val="65E76184"/>
    <w:rsid w:val="660F1D12"/>
    <w:rsid w:val="66375416"/>
    <w:rsid w:val="664803B2"/>
    <w:rsid w:val="66770C98"/>
    <w:rsid w:val="66EF6B43"/>
    <w:rsid w:val="67277FC8"/>
    <w:rsid w:val="677C2407"/>
    <w:rsid w:val="6804655B"/>
    <w:rsid w:val="68552A56"/>
    <w:rsid w:val="68C47A98"/>
    <w:rsid w:val="68C53F3C"/>
    <w:rsid w:val="6B170353"/>
    <w:rsid w:val="6B805A13"/>
    <w:rsid w:val="6B913722"/>
    <w:rsid w:val="6BFB1CFC"/>
    <w:rsid w:val="6CC80E6D"/>
    <w:rsid w:val="6CEE57FE"/>
    <w:rsid w:val="6DDA15E5"/>
    <w:rsid w:val="6E0252EB"/>
    <w:rsid w:val="6E315BD0"/>
    <w:rsid w:val="6F393D6E"/>
    <w:rsid w:val="6F986B5B"/>
    <w:rsid w:val="70B2124A"/>
    <w:rsid w:val="70EC47D4"/>
    <w:rsid w:val="70F47B1E"/>
    <w:rsid w:val="710B6BAC"/>
    <w:rsid w:val="712B2DAA"/>
    <w:rsid w:val="71CC633B"/>
    <w:rsid w:val="71F238C8"/>
    <w:rsid w:val="72534367"/>
    <w:rsid w:val="72D70869"/>
    <w:rsid w:val="738A5B9F"/>
    <w:rsid w:val="73C6500C"/>
    <w:rsid w:val="7402700B"/>
    <w:rsid w:val="741F6AAA"/>
    <w:rsid w:val="74A0585D"/>
    <w:rsid w:val="750E3D01"/>
    <w:rsid w:val="75436915"/>
    <w:rsid w:val="75F1571C"/>
    <w:rsid w:val="75FF643B"/>
    <w:rsid w:val="77A7157C"/>
    <w:rsid w:val="781E5417"/>
    <w:rsid w:val="78B143BF"/>
    <w:rsid w:val="790C1713"/>
    <w:rsid w:val="793F5645"/>
    <w:rsid w:val="79477DB9"/>
    <w:rsid w:val="7A035425"/>
    <w:rsid w:val="7A937FAF"/>
    <w:rsid w:val="7AB465B7"/>
    <w:rsid w:val="7ACC115A"/>
    <w:rsid w:val="7AF81F4F"/>
    <w:rsid w:val="7AFA7F37"/>
    <w:rsid w:val="7B215011"/>
    <w:rsid w:val="7B6C6499"/>
    <w:rsid w:val="7B7B492E"/>
    <w:rsid w:val="7BEC3554"/>
    <w:rsid w:val="7CB63E70"/>
    <w:rsid w:val="7D221505"/>
    <w:rsid w:val="7D334C5C"/>
    <w:rsid w:val="7D902913"/>
    <w:rsid w:val="7DE81904"/>
    <w:rsid w:val="7E2B6198"/>
    <w:rsid w:val="7F6D45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Calibri"/>
      <w:kern w:val="2"/>
      <w:sz w:val="21"/>
      <w:szCs w:val="24"/>
      <w:lang w:val="en-US" w:eastAsia="zh-CN" w:bidi="ar-SA"/>
    </w:rPr>
  </w:style>
  <w:style w:type="paragraph" w:styleId="2">
    <w:name w:val="heading 1"/>
    <w:basedOn w:val="1"/>
    <w:next w:val="1"/>
    <w:autoRedefine/>
    <w:qFormat/>
    <w:uiPriority w:val="0"/>
    <w:pPr>
      <w:keepNext/>
      <w:keepLines/>
      <w:spacing w:before="340" w:after="330" w:line="578" w:lineRule="auto"/>
      <w:outlineLvl w:val="0"/>
    </w:pPr>
    <w:rPr>
      <w:b/>
      <w:bCs/>
      <w:kern w:val="44"/>
      <w:sz w:val="44"/>
    </w:rPr>
  </w:style>
  <w:style w:type="paragraph" w:styleId="3">
    <w:name w:val="heading 2"/>
    <w:basedOn w:val="1"/>
    <w:next w:val="1"/>
    <w:autoRedefine/>
    <w:qFormat/>
    <w:uiPriority w:val="0"/>
    <w:pPr>
      <w:keepNext/>
      <w:keepLines/>
      <w:spacing w:before="260" w:after="260" w:line="415" w:lineRule="auto"/>
      <w:outlineLvl w:val="1"/>
    </w:pPr>
    <w:rPr>
      <w:rFonts w:ascii="Times New Roman" w:hAnsi="Times New Roman" w:eastAsia="黑体"/>
      <w:b/>
      <w:sz w:val="32"/>
    </w:rPr>
  </w:style>
  <w:style w:type="paragraph" w:styleId="4">
    <w:name w:val="heading 3"/>
    <w:basedOn w:val="1"/>
    <w:next w:val="1"/>
    <w:autoRedefine/>
    <w:qFormat/>
    <w:uiPriority w:val="0"/>
    <w:pPr>
      <w:keepNext/>
      <w:keepLines/>
      <w:spacing w:before="260" w:after="260" w:line="415" w:lineRule="auto"/>
      <w:outlineLvl w:val="2"/>
    </w:pPr>
    <w:rPr>
      <w:b/>
      <w:sz w:val="32"/>
    </w:rPr>
  </w:style>
  <w:style w:type="paragraph" w:styleId="5">
    <w:name w:val="heading 7"/>
    <w:basedOn w:val="1"/>
    <w:next w:val="1"/>
    <w:link w:val="24"/>
    <w:autoRedefine/>
    <w:qFormat/>
    <w:uiPriority w:val="9"/>
    <w:pPr>
      <w:keepNext/>
      <w:keepLines/>
      <w:spacing w:before="240" w:after="64" w:line="320" w:lineRule="auto"/>
      <w:outlineLvl w:val="6"/>
    </w:pPr>
    <w:rPr>
      <w:b/>
      <w:bCs/>
      <w:sz w:val="24"/>
    </w:rPr>
  </w:style>
  <w:style w:type="character" w:default="1" w:styleId="16">
    <w:name w:val="Default Paragraph Font"/>
    <w:semiHidden/>
    <w:unhideWhenUsed/>
    <w:qFormat/>
    <w:uiPriority w:val="1"/>
  </w:style>
  <w:style w:type="table" w:default="1" w:styleId="14">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Calibri"/>
      <w:sz w:val="20"/>
      <w:szCs w:val="20"/>
    </w:rPr>
    <w:tblPr>
      <w:tblCellMar>
        <w:top w:w="0" w:type="dxa"/>
        <w:left w:w="108" w:type="dxa"/>
        <w:bottom w:w="0" w:type="dxa"/>
        <w:right w:w="108" w:type="dxa"/>
      </w:tblCellMar>
    </w:tblPr>
  </w:style>
  <w:style w:type="paragraph" w:styleId="6">
    <w:name w:val="annotation text"/>
    <w:basedOn w:val="1"/>
    <w:link w:val="25"/>
    <w:autoRedefine/>
    <w:unhideWhenUsed/>
    <w:qFormat/>
    <w:uiPriority w:val="99"/>
    <w:pPr>
      <w:adjustRightInd w:val="0"/>
      <w:spacing w:line="400" w:lineRule="exact"/>
      <w:jc w:val="left"/>
    </w:pPr>
    <w:rPr>
      <w:szCs w:val="21"/>
    </w:rPr>
  </w:style>
  <w:style w:type="paragraph" w:styleId="7">
    <w:name w:val="Balloon Text"/>
    <w:basedOn w:val="1"/>
    <w:link w:val="26"/>
    <w:autoRedefine/>
    <w:unhideWhenUsed/>
    <w:qFormat/>
    <w:uiPriority w:val="99"/>
    <w:rPr>
      <w:sz w:val="18"/>
      <w:szCs w:val="18"/>
    </w:rPr>
  </w:style>
  <w:style w:type="paragraph" w:styleId="8">
    <w:name w:val="footer"/>
    <w:basedOn w:val="1"/>
    <w:link w:val="27"/>
    <w:autoRedefine/>
    <w:qFormat/>
    <w:uiPriority w:val="99"/>
    <w:pPr>
      <w:tabs>
        <w:tab w:val="center" w:pos="4153"/>
        <w:tab w:val="right" w:pos="8306"/>
      </w:tabs>
      <w:snapToGrid w:val="0"/>
      <w:jc w:val="left"/>
    </w:pPr>
    <w:rPr>
      <w:sz w:val="18"/>
      <w:szCs w:val="18"/>
    </w:rPr>
  </w:style>
  <w:style w:type="paragraph" w:styleId="9">
    <w:name w:val="envelope return"/>
    <w:basedOn w:val="1"/>
    <w:autoRedefine/>
    <w:qFormat/>
    <w:uiPriority w:val="0"/>
    <w:pPr>
      <w:snapToGrid w:val="0"/>
    </w:pPr>
    <w:rPr>
      <w:rFonts w:ascii="Times New Roman" w:hAnsi="Times New Roman"/>
    </w:rPr>
  </w:style>
  <w:style w:type="paragraph" w:styleId="10">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1">
    <w:name w:val="toc 4"/>
    <w:basedOn w:val="1"/>
    <w:next w:val="1"/>
    <w:autoRedefine/>
    <w:unhideWhenUsed/>
    <w:qFormat/>
    <w:uiPriority w:val="39"/>
    <w:pPr>
      <w:tabs>
        <w:tab w:val="right" w:leader="dot" w:pos="9344"/>
      </w:tabs>
      <w:adjustRightInd w:val="0"/>
      <w:spacing w:line="300" w:lineRule="exact"/>
      <w:ind w:left="629"/>
    </w:pPr>
    <w:rPr>
      <w:rFonts w:ascii="宋体"/>
      <w:szCs w:val="21"/>
    </w:rPr>
  </w:style>
  <w:style w:type="paragraph" w:styleId="12">
    <w:name w:val="Normal (Web)"/>
    <w:basedOn w:val="1"/>
    <w:autoRedefine/>
    <w:semiHidden/>
    <w:unhideWhenUsed/>
    <w:qFormat/>
    <w:uiPriority w:val="99"/>
    <w:rPr>
      <w:sz w:val="24"/>
    </w:rPr>
  </w:style>
  <w:style w:type="paragraph" w:styleId="13">
    <w:name w:val="Title"/>
    <w:basedOn w:val="1"/>
    <w:link w:val="63"/>
    <w:qFormat/>
    <w:uiPriority w:val="10"/>
    <w:pPr>
      <w:spacing w:before="240" w:beforeLines="0" w:beforeAutospacing="0" w:after="60" w:afterLines="0" w:afterAutospacing="0"/>
      <w:jc w:val="center"/>
      <w:outlineLvl w:val="0"/>
    </w:pPr>
    <w:rPr>
      <w:rFonts w:ascii="Arial" w:hAnsi="Arial"/>
      <w:b/>
      <w:sz w:val="32"/>
    </w:rPr>
  </w:style>
  <w:style w:type="table" w:styleId="15">
    <w:name w:val="Table Grid"/>
    <w:basedOn w:val="14"/>
    <w:autoRedefine/>
    <w:qFormat/>
    <w:uiPriority w:val="39"/>
    <w:rPr>
      <w:rFonts w:ascii="Calibri" w:hAnsi="Calibri" w:cs="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17">
    <w:name w:val="Strong"/>
    <w:basedOn w:val="16"/>
    <w:autoRedefine/>
    <w:qFormat/>
    <w:uiPriority w:val="22"/>
    <w:rPr>
      <w:b/>
    </w:rPr>
  </w:style>
  <w:style w:type="character" w:styleId="18">
    <w:name w:val="line number"/>
    <w:autoRedefine/>
    <w:qFormat/>
    <w:uiPriority w:val="0"/>
  </w:style>
  <w:style w:type="character" w:styleId="19">
    <w:name w:val="Hyperlink"/>
    <w:autoRedefine/>
    <w:qFormat/>
    <w:uiPriority w:val="0"/>
    <w:rPr>
      <w:rFonts w:ascii="宋体" w:eastAsia="宋体"/>
      <w:color w:val="auto"/>
      <w:spacing w:val="0"/>
      <w:w w:val="100"/>
      <w:position w:val="0"/>
      <w:sz w:val="21"/>
      <w:u w:val="none"/>
      <w:vertAlign w:val="baseline"/>
    </w:rPr>
  </w:style>
  <w:style w:type="character" w:styleId="20">
    <w:name w:val="annotation reference"/>
    <w:basedOn w:val="16"/>
    <w:autoRedefine/>
    <w:qFormat/>
    <w:uiPriority w:val="99"/>
    <w:rPr>
      <w:sz w:val="21"/>
      <w:szCs w:val="21"/>
    </w:rPr>
  </w:style>
  <w:style w:type="character" w:styleId="21">
    <w:name w:val="footnote reference"/>
    <w:autoRedefine/>
    <w:qFormat/>
    <w:uiPriority w:val="0"/>
    <w:rPr>
      <w:vertAlign w:val="superscript"/>
    </w:rPr>
  </w:style>
  <w:style w:type="paragraph" w:customStyle="1" w:styleId="22">
    <w:name w:val="BodyText2"/>
    <w:basedOn w:val="1"/>
    <w:autoRedefine/>
    <w:qFormat/>
    <w:uiPriority w:val="0"/>
    <w:pPr>
      <w:spacing w:after="120" w:line="480" w:lineRule="auto"/>
      <w:textAlignment w:val="baseline"/>
    </w:pPr>
    <w:rPr>
      <w:rFonts w:cs="Times New Roman"/>
      <w:sz w:val="32"/>
      <w:szCs w:val="32"/>
    </w:rPr>
  </w:style>
  <w:style w:type="paragraph" w:customStyle="1" w:styleId="23">
    <w:name w:val="正文-公1"/>
    <w:autoRedefine/>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4">
    <w:name w:val="标题 7 字符"/>
    <w:link w:val="5"/>
    <w:autoRedefine/>
    <w:qFormat/>
    <w:uiPriority w:val="0"/>
    <w:rPr>
      <w:rFonts w:eastAsia="宋体"/>
      <w:b/>
      <w:bCs/>
      <w:kern w:val="2"/>
      <w:sz w:val="24"/>
      <w:szCs w:val="24"/>
    </w:rPr>
  </w:style>
  <w:style w:type="character" w:customStyle="1" w:styleId="25">
    <w:name w:val="批注文字 字符"/>
    <w:link w:val="6"/>
    <w:autoRedefine/>
    <w:semiHidden/>
    <w:qFormat/>
    <w:uiPriority w:val="99"/>
    <w:rPr>
      <w:rFonts w:ascii="Calibri" w:hAnsi="Calibri" w:eastAsia="宋体"/>
      <w:kern w:val="2"/>
      <w:sz w:val="21"/>
      <w:szCs w:val="21"/>
    </w:rPr>
  </w:style>
  <w:style w:type="character" w:customStyle="1" w:styleId="26">
    <w:name w:val="批注框文本 字符"/>
    <w:link w:val="7"/>
    <w:autoRedefine/>
    <w:semiHidden/>
    <w:qFormat/>
    <w:uiPriority w:val="99"/>
    <w:rPr>
      <w:rFonts w:eastAsia="宋体"/>
      <w:kern w:val="2"/>
      <w:sz w:val="18"/>
      <w:szCs w:val="18"/>
    </w:rPr>
  </w:style>
  <w:style w:type="character" w:customStyle="1" w:styleId="27">
    <w:name w:val="页脚 字符"/>
    <w:link w:val="8"/>
    <w:autoRedefine/>
    <w:qFormat/>
    <w:locked/>
    <w:uiPriority w:val="99"/>
    <w:rPr>
      <w:rFonts w:eastAsia="宋体"/>
      <w:kern w:val="2"/>
      <w:sz w:val="18"/>
      <w:szCs w:val="18"/>
    </w:rPr>
  </w:style>
  <w:style w:type="paragraph" w:customStyle="1" w:styleId="28">
    <w:name w:val="其他标准称谓"/>
    <w:autoRedefine/>
    <w:qFormat/>
    <w:uiPriority w:val="0"/>
    <w:pPr>
      <w:spacing w:line="0" w:lineRule="atLeast"/>
      <w:jc w:val="distribute"/>
    </w:pPr>
    <w:rPr>
      <w:rFonts w:ascii="黑体" w:hAnsi="Calibri" w:eastAsia="黑体" w:cs="Calibri"/>
      <w:sz w:val="52"/>
      <w:lang w:val="en-US" w:eastAsia="zh-CN" w:bidi="ar-SA"/>
    </w:rPr>
  </w:style>
  <w:style w:type="paragraph" w:customStyle="1" w:styleId="29">
    <w:name w:val="封面标准号1"/>
    <w:autoRedefine/>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30">
    <w:name w:val="标准文件_段"/>
    <w:link w:val="31"/>
    <w:autoRedefine/>
    <w:qFormat/>
    <w:uiPriority w:val="0"/>
    <w:pPr>
      <w:autoSpaceDE w:val="0"/>
      <w:autoSpaceDN w:val="0"/>
      <w:spacing w:before="156" w:beforeLines="50" w:after="156" w:afterLines="50" w:line="520" w:lineRule="exact"/>
      <w:ind w:firstLine="480" w:firstLineChars="200"/>
      <w:jc w:val="center"/>
    </w:pPr>
    <w:rPr>
      <w:rFonts w:ascii="黑体" w:hAnsi="黑体" w:eastAsia="黑体" w:cs="黑体"/>
      <w:bCs/>
      <w:sz w:val="24"/>
      <w:szCs w:val="24"/>
      <w:lang w:val="en-US" w:eastAsia="zh-CN" w:bidi="ar-SA"/>
    </w:rPr>
  </w:style>
  <w:style w:type="character" w:customStyle="1" w:styleId="31">
    <w:name w:val="标准文件_段 Char"/>
    <w:link w:val="30"/>
    <w:autoRedefine/>
    <w:qFormat/>
    <w:uiPriority w:val="0"/>
    <w:rPr>
      <w:rFonts w:ascii="黑体" w:hAnsi="黑体" w:eastAsia="黑体" w:cs="黑体"/>
      <w:bCs/>
      <w:sz w:val="24"/>
      <w:szCs w:val="24"/>
    </w:rPr>
  </w:style>
  <w:style w:type="paragraph" w:customStyle="1" w:styleId="32">
    <w:name w:val="标准文件_章标题"/>
    <w:next w:val="30"/>
    <w:autoRedefine/>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3">
    <w:name w:val="标准文件_二级条标题"/>
    <w:next w:val="30"/>
    <w:autoRedefine/>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4">
    <w:name w:val="标准文件_一级条标题"/>
    <w:basedOn w:val="32"/>
    <w:next w:val="30"/>
    <w:autoRedefine/>
    <w:qFormat/>
    <w:uiPriority w:val="0"/>
    <w:pPr>
      <w:numPr>
        <w:ilvl w:val="2"/>
      </w:numPr>
      <w:spacing w:before="50" w:beforeLines="0" w:after="50" w:afterLines="0"/>
      <w:outlineLvl w:val="1"/>
    </w:pPr>
  </w:style>
  <w:style w:type="paragraph" w:customStyle="1" w:styleId="35">
    <w:name w:val="标准文件_三级条标题"/>
    <w:basedOn w:val="33"/>
    <w:next w:val="30"/>
    <w:autoRedefine/>
    <w:qFormat/>
    <w:uiPriority w:val="0"/>
    <w:pPr>
      <w:outlineLvl w:val="3"/>
    </w:pPr>
  </w:style>
  <w:style w:type="paragraph" w:customStyle="1" w:styleId="36">
    <w:name w:val="标准文件_四级条标题"/>
    <w:next w:val="30"/>
    <w:autoRedefine/>
    <w:qFormat/>
    <w:uiPriority w:val="0"/>
    <w:pPr>
      <w:widowControl w:val="0"/>
      <w:spacing w:before="50" w:beforeLines="50" w:after="50" w:afterLines="50"/>
      <w:jc w:val="both"/>
      <w:outlineLvl w:val="4"/>
    </w:pPr>
    <w:rPr>
      <w:rFonts w:ascii="黑体" w:hAnsi="Calibri" w:eastAsia="黑体" w:cs="Calibri"/>
      <w:sz w:val="21"/>
      <w:lang w:val="en-US" w:eastAsia="zh-CN" w:bidi="ar-SA"/>
    </w:rPr>
  </w:style>
  <w:style w:type="paragraph" w:customStyle="1" w:styleId="37">
    <w:name w:val="标准文件_五级条标题"/>
    <w:next w:val="33"/>
    <w:autoRedefine/>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38">
    <w:name w:val="前言标题"/>
    <w:next w:val="1"/>
    <w:autoRedefine/>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39">
    <w:name w:val="标准文件_四级无标题"/>
    <w:basedOn w:val="36"/>
    <w:autoRedefine/>
    <w:qFormat/>
    <w:uiPriority w:val="0"/>
    <w:pPr>
      <w:numPr>
        <w:ilvl w:val="5"/>
        <w:numId w:val="1"/>
      </w:numPr>
    </w:pPr>
    <w:rPr>
      <w:rFonts w:ascii="宋体" w:eastAsia="宋体"/>
      <w:szCs w:val="52"/>
    </w:rPr>
  </w:style>
  <w:style w:type="paragraph" w:customStyle="1" w:styleId="40">
    <w:name w:val="标准文件_三级无标题"/>
    <w:basedOn w:val="35"/>
    <w:autoRedefine/>
    <w:qFormat/>
    <w:uiPriority w:val="0"/>
    <w:pPr>
      <w:numPr>
        <w:ilvl w:val="4"/>
        <w:numId w:val="1"/>
      </w:numPr>
    </w:pPr>
    <w:rPr>
      <w:rFonts w:ascii="宋体" w:eastAsia="宋体"/>
    </w:rPr>
  </w:style>
  <w:style w:type="paragraph" w:customStyle="1" w:styleId="41">
    <w:name w:val="标准文件_正文表标题"/>
    <w:autoRedefine/>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2">
    <w:name w:val="font11"/>
    <w:autoRedefine/>
    <w:qFormat/>
    <w:uiPriority w:val="0"/>
    <w:rPr>
      <w:rFonts w:ascii="等线" w:eastAsia="等线"/>
      <w:b/>
      <w:bCs/>
      <w:color w:val="FF0000"/>
      <w:sz w:val="22"/>
      <w:szCs w:val="22"/>
      <w:u w:val="none"/>
    </w:rPr>
  </w:style>
  <w:style w:type="character" w:customStyle="1" w:styleId="43">
    <w:name w:val="font01"/>
    <w:autoRedefine/>
    <w:qFormat/>
    <w:uiPriority w:val="0"/>
    <w:rPr>
      <w:rFonts w:ascii="等线" w:eastAsia="等线"/>
      <w:color w:val="000000"/>
      <w:sz w:val="22"/>
      <w:szCs w:val="22"/>
      <w:u w:val="none"/>
    </w:rPr>
  </w:style>
  <w:style w:type="paragraph" w:customStyle="1" w:styleId="44">
    <w:name w:val="段"/>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5">
    <w:name w:val="二级无"/>
    <w:basedOn w:val="1"/>
    <w:autoRedefine/>
    <w:qFormat/>
    <w:uiPriority w:val="0"/>
    <w:pPr>
      <w:widowControl/>
      <w:numPr>
        <w:ilvl w:val="2"/>
        <w:numId w:val="3"/>
      </w:numPr>
      <w:tabs>
        <w:tab w:val="left" w:pos="780"/>
      </w:tabs>
      <w:jc w:val="left"/>
      <w:outlineLvl w:val="3"/>
    </w:pPr>
    <w:rPr>
      <w:rFonts w:ascii="宋体"/>
      <w:kern w:val="0"/>
      <w:szCs w:val="21"/>
    </w:rPr>
  </w:style>
  <w:style w:type="paragraph" w:customStyle="1" w:styleId="46">
    <w:name w:val="标准文件_二级无标题"/>
    <w:basedOn w:val="33"/>
    <w:autoRedefine/>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47">
    <w:name w:val="Char Char Char Char"/>
    <w:basedOn w:val="1"/>
    <w:autoRedefine/>
    <w:qFormat/>
    <w:uiPriority w:val="0"/>
  </w:style>
  <w:style w:type="paragraph" w:customStyle="1" w:styleId="48">
    <w:name w:val="标准文件_数字编号列项（二级）"/>
    <w:autoRedefine/>
    <w:qFormat/>
    <w:uiPriority w:val="0"/>
    <w:pPr>
      <w:numPr>
        <w:ilvl w:val="1"/>
        <w:numId w:val="5"/>
      </w:numPr>
      <w:jc w:val="both"/>
    </w:pPr>
    <w:rPr>
      <w:rFonts w:ascii="宋体" w:hAnsi="Calibri" w:eastAsia="宋体" w:cs="Calibri"/>
      <w:sz w:val="21"/>
      <w:lang w:val="en-US" w:eastAsia="zh-CN" w:bidi="ar-SA"/>
    </w:rPr>
  </w:style>
  <w:style w:type="paragraph" w:customStyle="1" w:styleId="49">
    <w:name w:val="标准文件_编号列项（三级）"/>
    <w:autoRedefine/>
    <w:qFormat/>
    <w:uiPriority w:val="0"/>
    <w:pPr>
      <w:numPr>
        <w:ilvl w:val="2"/>
        <w:numId w:val="5"/>
      </w:numPr>
    </w:pPr>
    <w:rPr>
      <w:rFonts w:ascii="宋体" w:hAnsi="Calibri" w:eastAsia="宋体" w:cs="Calibri"/>
      <w:sz w:val="21"/>
      <w:lang w:val="en-US" w:eastAsia="zh-CN" w:bidi="ar-SA"/>
    </w:rPr>
  </w:style>
  <w:style w:type="paragraph" w:customStyle="1" w:styleId="50">
    <w:name w:val="标准文件_字母编号列项（一级）"/>
    <w:autoRedefine/>
    <w:qFormat/>
    <w:uiPriority w:val="0"/>
    <w:pPr>
      <w:numPr>
        <w:ilvl w:val="0"/>
        <w:numId w:val="5"/>
      </w:numPr>
      <w:jc w:val="both"/>
    </w:pPr>
    <w:rPr>
      <w:rFonts w:ascii="宋体" w:hAnsi="Calibri" w:eastAsia="宋体" w:cs="Calibri"/>
      <w:sz w:val="21"/>
      <w:lang w:val="en-US" w:eastAsia="zh-CN" w:bidi="ar-SA"/>
    </w:rPr>
  </w:style>
  <w:style w:type="paragraph" w:customStyle="1" w:styleId="51">
    <w:name w:val="标准文件_术语条一"/>
    <w:basedOn w:val="1"/>
    <w:next w:val="30"/>
    <w:autoRedefine/>
    <w:qFormat/>
    <w:uiPriority w:val="0"/>
    <w:pPr>
      <w:widowControl/>
    </w:pPr>
    <w:rPr>
      <w:rFonts w:ascii="宋体"/>
      <w:kern w:val="0"/>
      <w:szCs w:val="20"/>
    </w:rPr>
  </w:style>
  <w:style w:type="paragraph" w:customStyle="1" w:styleId="52">
    <w:name w:val="abstract"/>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53">
    <w:name w:val="abstract_more"/>
    <w:basedOn w:val="1"/>
    <w:autoRedefine/>
    <w:qFormat/>
    <w:uiPriority w:val="0"/>
    <w:pPr>
      <w:widowControl/>
      <w:spacing w:before="100" w:beforeAutospacing="1" w:after="100" w:afterAutospacing="1"/>
      <w:jc w:val="left"/>
    </w:pPr>
    <w:rPr>
      <w:rFonts w:ascii="宋体" w:hAnsi="宋体" w:cs="宋体"/>
      <w:kern w:val="0"/>
      <w:sz w:val="24"/>
    </w:rPr>
  </w:style>
  <w:style w:type="paragraph" w:styleId="54">
    <w:name w:val="No Spacing"/>
    <w:autoRedefine/>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5">
    <w:name w:val="标准文件_一级项"/>
    <w:autoRedefine/>
    <w:qFormat/>
    <w:uiPriority w:val="0"/>
    <w:pPr>
      <w:numPr>
        <w:ilvl w:val="0"/>
        <w:numId w:val="6"/>
      </w:numPr>
    </w:pPr>
    <w:rPr>
      <w:rFonts w:ascii="宋体" w:hAnsi="Times New Roman" w:eastAsia="宋体" w:cs="Times New Roman"/>
      <w:sz w:val="21"/>
      <w:lang w:val="en-US" w:eastAsia="zh-CN" w:bidi="ar-SA"/>
    </w:rPr>
  </w:style>
  <w:style w:type="paragraph" w:customStyle="1" w:styleId="56">
    <w:name w:val="普通(网站) Char"/>
    <w:basedOn w:val="1"/>
    <w:qFormat/>
    <w:uiPriority w:val="0"/>
    <w:pPr>
      <w:spacing w:beforeAutospacing="1" w:afterAutospacing="1"/>
      <w:jc w:val="left"/>
    </w:pPr>
    <w:rPr>
      <w:rFonts w:hint="eastAsia" w:ascii="宋体" w:hAnsi="宋体" w:cs="Times New Roman"/>
      <w:kern w:val="0"/>
      <w:sz w:val="24"/>
    </w:rPr>
  </w:style>
  <w:style w:type="paragraph" w:customStyle="1" w:styleId="57">
    <w:name w:val="标准文件_五级无标题"/>
    <w:qFormat/>
    <w:uiPriority w:val="0"/>
    <w:pPr>
      <w:widowControl w:val="0"/>
      <w:numPr>
        <w:ilvl w:val="6"/>
        <w:numId w:val="7"/>
      </w:numPr>
      <w:jc w:val="both"/>
    </w:pPr>
    <w:rPr>
      <w:rFonts w:hint="eastAsia" w:ascii="宋体" w:hAnsi="Times New Roman" w:eastAsia="宋体" w:cs="Times New Roman"/>
      <w:sz w:val="21"/>
      <w:lang w:val="en-US" w:eastAsia="zh-CN" w:bidi="ar-SA"/>
    </w:rPr>
  </w:style>
  <w:style w:type="paragraph" w:customStyle="1" w:styleId="58">
    <w:name w:val="标准文件_注×："/>
    <w:basedOn w:val="1"/>
    <w:qFormat/>
    <w:uiPriority w:val="0"/>
    <w:pPr>
      <w:numPr>
        <w:ilvl w:val="0"/>
        <w:numId w:val="8"/>
      </w:numPr>
      <w:autoSpaceDE w:val="0"/>
      <w:autoSpaceDN w:val="0"/>
    </w:pPr>
    <w:rPr>
      <w:rFonts w:hint="eastAsia" w:ascii="宋体" w:hAnsi="Times New Roman" w:cs="Times New Roman"/>
      <w:kern w:val="0"/>
      <w:sz w:val="18"/>
      <w:szCs w:val="18"/>
    </w:rPr>
  </w:style>
  <w:style w:type="paragraph" w:customStyle="1" w:styleId="59">
    <w:name w:val="标准文件_表格"/>
    <w:basedOn w:val="1"/>
    <w:qFormat/>
    <w:uiPriority w:val="0"/>
    <w:pPr>
      <w:widowControl/>
      <w:autoSpaceDE w:val="0"/>
      <w:autoSpaceDN w:val="0"/>
      <w:jc w:val="center"/>
    </w:pPr>
    <w:rPr>
      <w:rFonts w:hint="eastAsia" w:ascii="宋体" w:hAnsi="Times New Roman" w:cs="Times New Roman"/>
      <w:kern w:val="0"/>
      <w:sz w:val="18"/>
      <w:szCs w:val="20"/>
    </w:rPr>
  </w:style>
  <w:style w:type="paragraph" w:customStyle="1" w:styleId="60">
    <w:name w:val="标准文件_附录表标题"/>
    <w:basedOn w:val="1"/>
    <w:next w:val="1"/>
    <w:qFormat/>
    <w:uiPriority w:val="0"/>
    <w:pPr>
      <w:widowControl/>
      <w:numPr>
        <w:ilvl w:val="1"/>
        <w:numId w:val="9"/>
      </w:numPr>
      <w:adjustRightInd w:val="0"/>
      <w:snapToGrid w:val="0"/>
      <w:spacing w:before="50" w:beforeLines="50" w:after="50" w:afterLines="50"/>
      <w:jc w:val="center"/>
    </w:pPr>
    <w:rPr>
      <w:rFonts w:hint="eastAsia" w:ascii="黑体" w:hAnsi="Times New Roman" w:eastAsia="黑体" w:cs="Times New Roman"/>
      <w:kern w:val="21"/>
      <w:szCs w:val="20"/>
    </w:rPr>
  </w:style>
  <w:style w:type="character" w:customStyle="1" w:styleId="61">
    <w:name w:val="font31"/>
    <w:basedOn w:val="16"/>
    <w:qFormat/>
    <w:uiPriority w:val="0"/>
    <w:rPr>
      <w:rFonts w:hint="eastAsia" w:ascii="宋体" w:hAnsi="宋体" w:eastAsia="宋体" w:cs="宋体"/>
      <w:color w:val="1F2329"/>
      <w:sz w:val="24"/>
      <w:szCs w:val="24"/>
      <w:u w:val="none"/>
    </w:rPr>
  </w:style>
  <w:style w:type="paragraph" w:customStyle="1" w:styleId="62">
    <w:name w:val="标准文件_附录一级条标题"/>
    <w:basedOn w:val="1"/>
    <w:next w:val="1"/>
    <w:qFormat/>
    <w:uiPriority w:val="0"/>
    <w:pPr>
      <w:keepNext w:val="0"/>
      <w:keepLines w:val="0"/>
      <w:widowControl w:val="0"/>
      <w:numPr>
        <w:ilvl w:val="1"/>
        <w:numId w:val="10"/>
      </w:numPr>
      <w:suppressLineNumbers w:val="0"/>
      <w:adjustRightInd/>
      <w:spacing w:before="50" w:beforeLines="50" w:beforeAutospacing="0" w:after="50" w:afterLines="50" w:afterAutospacing="0" w:line="240" w:lineRule="auto"/>
      <w:ind w:left="0" w:right="0" w:firstLine="0"/>
      <w:jc w:val="both"/>
      <w:outlineLvl w:val="2"/>
    </w:pPr>
    <w:rPr>
      <w:rFonts w:hint="eastAsia" w:ascii="黑体" w:hAnsi="Times New Roman" w:eastAsia="黑体" w:cs="Times New Roman"/>
      <w:kern w:val="21"/>
      <w:sz w:val="21"/>
      <w:szCs w:val="20"/>
      <w:lang w:val="en-US" w:eastAsia="zh-CN" w:bidi="ar"/>
    </w:rPr>
  </w:style>
  <w:style w:type="character" w:customStyle="1" w:styleId="63">
    <w:name w:val="标题 字符"/>
    <w:basedOn w:val="16"/>
    <w:link w:val="13"/>
    <w:qFormat/>
    <w:uiPriority w:val="0"/>
    <w:rPr>
      <w:rFonts w:ascii="等线 Light" w:hAnsi="等线 Light" w:eastAsia="等线 Light" w:cs="Times New Roman"/>
      <w:b/>
      <w:bCs/>
      <w:kern w:val="2"/>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25</Pages>
  <Words>10640</Words>
  <Characters>11092</Characters>
  <Lines>101</Lines>
  <Paragraphs>28</Paragraphs>
  <TotalTime>7</TotalTime>
  <ScaleCrop>false</ScaleCrop>
  <LinksUpToDate>false</LinksUpToDate>
  <CharactersWithSpaces>11120</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2025-04-23T01:45:00Z</dcterms:created>
  <dc:creator>Administrator</dc:creator>
  <cp:lastModifiedBy>对方正在输入...</cp:lastModifiedBy>
  <cp:lastPrinted>2025-09-04T06:54:00Z</cp:lastPrinted>
  <dcterms:modified xsi:type="dcterms:W3CDTF">2025-09-30T01:14:45Z</dcterms:modified>
  <cp:revision>37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C27C096553B24667B90CC0B14B195A94_13</vt:lpwstr>
  </property>
  <property fmtid="{D5CDD505-2E9C-101B-9397-08002B2CF9AE}" pid="4" name="KSOTemplateDocerSaveRecord">
    <vt:lpwstr>eyJoZGlkIjoiMzg2YTk3YWJlMzJiOWE4NmU5OTkxNmM1MjU1OThkOTQiLCJ1c2VySWQiOiIzMjAyMTY5NjkifQ==</vt:lpwstr>
  </property>
</Properties>
</file>