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169853958"/>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3"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bookmarkStart w:id="4"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4"/>
    <w:p>
      <w:pPr>
        <w:pStyle w:val="19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不孕症夫妇生育力评估规范</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fertility assessment of infertility couple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360"/>
      </w:pPr>
      <w:bookmarkStart w:id="21" w:name="BookMark2"/>
      <w:r>
        <w:rPr>
          <w:spacing w:val="320"/>
        </w:rPr>
        <w:t>前</w:t>
      </w:r>
      <w:r>
        <w:t>言</w:t>
      </w:r>
    </w:p>
    <w:p>
      <w:pPr>
        <w:pStyle w:val="59"/>
        <w:ind w:firstLine="420"/>
      </w:pPr>
      <w:r>
        <w:rPr>
          <w:rFonts w:hint="eastAsia"/>
        </w:rPr>
        <w:t>本文件参照GB/T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本文件由广西医科大学第一附属医院提出并宣贯。</w:t>
      </w:r>
    </w:p>
    <w:p>
      <w:pPr>
        <w:pStyle w:val="59"/>
        <w:ind w:firstLine="420"/>
      </w:pPr>
      <w:r>
        <w:rPr>
          <w:rFonts w:hint="eastAsia"/>
        </w:rPr>
        <w:t>本文件由广西标准化协会归口。</w:t>
      </w:r>
    </w:p>
    <w:p>
      <w:pPr>
        <w:pStyle w:val="59"/>
        <w:ind w:firstLine="420"/>
      </w:pPr>
      <w:r>
        <w:rPr>
          <w:rFonts w:hint="eastAsia"/>
        </w:rPr>
        <w:t>本文件起草单位：广西医科大学第一附属医院、北京大学深圳医院、中山大学附属第三医院、沈阳菁华医院有限公司、广西壮族自治区人民医院、南宁市妇幼保健院、南宁市第二人民医院。</w:t>
      </w:r>
    </w:p>
    <w:p>
      <w:pPr>
        <w:pStyle w:val="59"/>
        <w:ind w:firstLine="420"/>
      </w:pPr>
      <w:r>
        <w:rPr>
          <w:rFonts w:hint="eastAsia"/>
        </w:rPr>
        <w:t>本文件主要起草人：杨一华、黄柳静、廖明、马文红、欧建平、李荣、吴桂强、夏曦、刘俐伶、任菲、罗永金、刘博、黄千贻、刘莉丹。</w:t>
      </w:r>
    </w:p>
    <w:p>
      <w:pPr>
        <w:pStyle w:val="59"/>
        <w:ind w:firstLine="420"/>
      </w:pPr>
    </w:p>
    <w:p>
      <w:pPr>
        <w:pStyle w:val="59"/>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C3C9D95C144A42998C132270E00FC171"/>
        </w:placeholder>
      </w:sdtPr>
      <w:sdtContent>
        <w:p>
          <w:pPr>
            <w:pStyle w:val="180"/>
            <w:spacing w:before="2" w:beforeLines="1" w:after="528" w:afterLines="220"/>
          </w:pPr>
          <w:bookmarkStart w:id="23" w:name="NEW_STAND_NAME"/>
          <w:r>
            <w:rPr>
              <w:rFonts w:hint="eastAsia"/>
            </w:rPr>
            <w:t>不孕症夫妇生育力评估规范</w:t>
          </w:r>
        </w:p>
      </w:sdtContent>
    </w:sdt>
    <w:bookmarkEnd w:id="23"/>
    <w:p>
      <w:pPr>
        <w:pStyle w:val="107"/>
        <w:spacing w:before="240" w:after="240"/>
      </w:pPr>
      <w:bookmarkStart w:id="24" w:name="_Toc26986771"/>
      <w:bookmarkStart w:id="25" w:name="_Toc17233333"/>
      <w:bookmarkStart w:id="26" w:name="_Toc24884211"/>
      <w:bookmarkStart w:id="27" w:name="_Toc17233325"/>
      <w:bookmarkStart w:id="28" w:name="_Toc26648465"/>
      <w:bookmarkStart w:id="29" w:name="_Toc26986530"/>
      <w:bookmarkStart w:id="30" w:name="_Toc26718930"/>
      <w:bookmarkStart w:id="31" w:name="_Toc24884218"/>
      <w:bookmarkStart w:id="32" w:name="_Toc97192964"/>
      <w:r>
        <w:rPr>
          <w:rFonts w:hint="eastAsia"/>
        </w:rPr>
        <w:t>范围</w:t>
      </w:r>
      <w:bookmarkEnd w:id="24"/>
      <w:bookmarkEnd w:id="25"/>
      <w:bookmarkEnd w:id="26"/>
      <w:bookmarkEnd w:id="27"/>
      <w:bookmarkEnd w:id="28"/>
      <w:bookmarkEnd w:id="29"/>
      <w:bookmarkEnd w:id="30"/>
      <w:bookmarkEnd w:id="31"/>
      <w:bookmarkEnd w:id="32"/>
    </w:p>
    <w:p>
      <w:pPr>
        <w:pStyle w:val="59"/>
        <w:ind w:firstLine="420"/>
      </w:pPr>
      <w:bookmarkStart w:id="33" w:name="_Toc24884212"/>
      <w:bookmarkStart w:id="34" w:name="_Toc17233326"/>
      <w:bookmarkStart w:id="35" w:name="_Toc24884219"/>
      <w:bookmarkStart w:id="36" w:name="_Toc26648466"/>
      <w:bookmarkStart w:id="37" w:name="_Toc17233334"/>
      <w:r>
        <w:rPr>
          <w:rFonts w:hint="eastAsia"/>
        </w:rPr>
        <w:t>本文件规定了不孕症夫妇生育力评估的基本要求、评估流程、评估内容及要求、评估结果判断的要求。</w:t>
      </w:r>
    </w:p>
    <w:p>
      <w:pPr>
        <w:pStyle w:val="59"/>
        <w:ind w:firstLine="420"/>
      </w:pPr>
      <w:r>
        <w:rPr>
          <w:rFonts w:hint="eastAsia"/>
        </w:rPr>
        <w:t>本文件适用于不孕症夫妇生育力评估。</w:t>
      </w:r>
    </w:p>
    <w:p>
      <w:pPr>
        <w:pStyle w:val="107"/>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7DCD6A78CFF49E782183F61E679E97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本文件没有规范性引用文件。</w:t>
          </w:r>
        </w:p>
      </w:sdtContent>
    </w:sdt>
    <w:p>
      <w:pPr>
        <w:pStyle w:val="107"/>
        <w:spacing w:before="240" w:after="240"/>
      </w:pPr>
      <w:bookmarkStart w:id="42" w:name="_Toc97192966"/>
      <w:r>
        <w:rPr>
          <w:rFonts w:hint="eastAsia"/>
          <w:szCs w:val="21"/>
        </w:rPr>
        <w:t>术语和定义</w:t>
      </w:r>
      <w:bookmarkEnd w:id="42"/>
    </w:p>
    <w:sdt>
      <w:sdtPr>
        <w:id w:val="-1909835108"/>
        <w:placeholder>
          <w:docPart w:val="DBBAD9DD89D9450EB9D8CFFE94CF8B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43" w:name="_Toc26986532"/>
          <w:bookmarkEnd w:id="43"/>
          <w:r>
            <w:t>本文件没有需要界定的术语和定义。</w:t>
          </w:r>
        </w:p>
      </w:sdtContent>
    </w:sdt>
    <w:p>
      <w:pPr>
        <w:pStyle w:val="107"/>
        <w:spacing w:before="240" w:after="240"/>
      </w:pPr>
      <w:r>
        <w:t>缩略语</w:t>
      </w:r>
    </w:p>
    <w:p>
      <w:pPr>
        <w:pStyle w:val="59"/>
        <w:ind w:firstLine="420"/>
      </w:pPr>
      <w:r>
        <w:rPr>
          <w:rFonts w:hint="eastAsia"/>
        </w:rPr>
        <w:t>下列缩略语适用于本文件。</w:t>
      </w:r>
    </w:p>
    <w:p>
      <w:pPr>
        <w:pStyle w:val="59"/>
        <w:ind w:firstLine="420"/>
        <w:rPr>
          <w:rFonts w:ascii="Calibri"/>
          <w:color w:val="FF0000"/>
        </w:rPr>
      </w:pPr>
      <w:r>
        <w:rPr>
          <w:rFonts w:hint="eastAsia"/>
        </w:rPr>
        <w:t>AFC：窦卵泡计数（Antral Follicle Count）</w:t>
      </w:r>
    </w:p>
    <w:p>
      <w:pPr>
        <w:pStyle w:val="59"/>
        <w:ind w:firstLine="420"/>
        <w:rPr>
          <w:color w:val="000000" w:themeColor="text1"/>
          <w14:textFill>
            <w14:solidFill>
              <w14:schemeClr w14:val="tx1"/>
            </w14:solidFill>
          </w14:textFill>
        </w:rPr>
      </w:pPr>
      <w:r>
        <w:rPr>
          <w:rFonts w:hint="eastAsia"/>
        </w:rPr>
        <w:t>AMH：</w:t>
      </w:r>
      <w:r>
        <w:rPr>
          <w:rFonts w:hint="eastAsia"/>
          <w:color w:val="000000" w:themeColor="text1"/>
          <w14:textFill>
            <w14:solidFill>
              <w14:schemeClr w14:val="tx1"/>
            </w14:solidFill>
          </w14:textFill>
        </w:rPr>
        <w:t>抗缪勒管激素（Anti-Mullerian Hormone）</w:t>
      </w:r>
    </w:p>
    <w:p>
      <w:pPr>
        <w:pStyle w:val="59"/>
        <w:ind w:firstLine="420"/>
      </w:pPr>
      <w:r>
        <w:rPr>
          <w:rFonts w:hint="eastAsia"/>
          <w:color w:val="000000" w:themeColor="text1"/>
          <w14:textFill>
            <w14:solidFill>
              <w14:schemeClr w14:val="tx1"/>
            </w14:solidFill>
          </w14:textFill>
        </w:rPr>
        <w:t>bFSH：</w:t>
      </w:r>
      <w:r>
        <w:rPr>
          <w:rFonts w:hint="eastAsia"/>
        </w:rPr>
        <w:t xml:space="preserve">基础促卵泡刺激素（Basal </w:t>
      </w:r>
      <w:bookmarkStart w:id="44" w:name="OLE_LINK3"/>
      <w:r>
        <w:rPr>
          <w:rFonts w:hint="eastAsia"/>
        </w:rPr>
        <w:t>Follicle Stimulating Hormone</w:t>
      </w:r>
      <w:bookmarkEnd w:id="44"/>
      <w:r>
        <w:rPr>
          <w:rFonts w:hint="eastAsia"/>
        </w:rPr>
        <w:t>）</w:t>
      </w:r>
    </w:p>
    <w:p>
      <w:pPr>
        <w:pStyle w:val="59"/>
        <w:ind w:firstLine="420"/>
      </w:pPr>
      <w:r>
        <w:rPr>
          <w:rFonts w:hint="eastAsia"/>
        </w:rPr>
        <w:t>bE</w:t>
      </w:r>
      <w:r>
        <w:rPr>
          <w:rFonts w:hint="eastAsia"/>
          <w:vertAlign w:val="subscript"/>
        </w:rPr>
        <w:t>2</w:t>
      </w:r>
      <w:r>
        <w:rPr>
          <w:rFonts w:hint="eastAsia"/>
        </w:rPr>
        <w:t>：基础雌二</w:t>
      </w:r>
      <w:bookmarkStart w:id="45" w:name="OLE_LINK2"/>
      <w:r>
        <w:rPr>
          <w:rFonts w:hint="eastAsia"/>
        </w:rPr>
        <w:t>醇</w:t>
      </w:r>
      <w:bookmarkEnd w:id="45"/>
      <w:r>
        <w:rPr>
          <w:rFonts w:hint="eastAsia"/>
        </w:rPr>
        <w:t>（</w:t>
      </w:r>
      <w:bookmarkStart w:id="46" w:name="OLE_LINK1"/>
      <w:r>
        <w:rPr>
          <w:rFonts w:hint="eastAsia"/>
        </w:rPr>
        <w:t>Basal</w:t>
      </w:r>
      <w:bookmarkEnd w:id="46"/>
      <w:r>
        <w:rPr>
          <w:rFonts w:hint="eastAsia"/>
        </w:rPr>
        <w:t xml:space="preserve"> Estradiol）</w:t>
      </w:r>
    </w:p>
    <w:p>
      <w:pPr>
        <w:pStyle w:val="59"/>
        <w:ind w:firstLine="420"/>
      </w:pPr>
      <w:r>
        <w:rPr>
          <w:rFonts w:hint="eastAsia"/>
        </w:rPr>
        <w:t>bLH：基础促黄体生成素（Basal Luteinizing Hormone）</w:t>
      </w:r>
    </w:p>
    <w:p>
      <w:pPr>
        <w:pStyle w:val="59"/>
        <w:ind w:firstLine="420"/>
      </w:pPr>
      <w:r>
        <w:rPr>
          <w:rFonts w:hint="eastAsia"/>
        </w:rPr>
        <w:t>CT：电子计算机断层扫描（Computed Tomography）</w:t>
      </w:r>
    </w:p>
    <w:p>
      <w:pPr>
        <w:pStyle w:val="59"/>
        <w:ind w:firstLine="420"/>
      </w:pPr>
      <w:r>
        <w:rPr>
          <w:rFonts w:hint="eastAsia"/>
        </w:rPr>
        <w:t>DNA：脱氧核糖核酸（Deoxyribonucleic Acid）</w:t>
      </w:r>
    </w:p>
    <w:p>
      <w:pPr>
        <w:pStyle w:val="59"/>
        <w:ind w:firstLine="420"/>
      </w:pPr>
      <w:r>
        <w:rPr>
          <w:rFonts w:hint="eastAsia"/>
        </w:rPr>
        <w:t>DFI：精子DNA碎片化指数（DNA Fragmentation Index）</w:t>
      </w:r>
    </w:p>
    <w:p>
      <w:pPr>
        <w:pStyle w:val="59"/>
        <w:ind w:firstLine="420"/>
      </w:pPr>
      <w:r>
        <w:rPr>
          <w:rFonts w:hint="eastAsia"/>
        </w:rPr>
        <w:t>E</w:t>
      </w:r>
      <w:r>
        <w:rPr>
          <w:rFonts w:hint="eastAsia"/>
          <w:vertAlign w:val="subscript"/>
        </w:rPr>
        <w:t>2</w:t>
      </w:r>
      <w:r>
        <w:rPr>
          <w:rFonts w:hint="eastAsia"/>
        </w:rPr>
        <w:t>：雌二醇（Estradiol）</w:t>
      </w:r>
    </w:p>
    <w:p>
      <w:pPr>
        <w:pStyle w:val="59"/>
        <w:ind w:firstLine="420"/>
      </w:pPr>
      <w:r>
        <w:rPr>
          <w:rFonts w:hint="eastAsia"/>
        </w:rPr>
        <w:t>ED：勃起功能障碍（Erectile Dysfunction）</w:t>
      </w:r>
    </w:p>
    <w:p>
      <w:pPr>
        <w:pStyle w:val="59"/>
        <w:ind w:firstLine="420"/>
      </w:pPr>
      <w:r>
        <w:rPr>
          <w:rFonts w:hint="eastAsia"/>
        </w:rPr>
        <w:t>FSH：促卵泡刺激素（Follicle Stimulating Hormone）</w:t>
      </w:r>
    </w:p>
    <w:p>
      <w:pPr>
        <w:pStyle w:val="59"/>
        <w:ind w:firstLine="420"/>
      </w:pPr>
      <w:r>
        <w:rPr>
          <w:rFonts w:hint="eastAsia"/>
        </w:rPr>
        <w:t>FNA：睾丸细针精子抽吸术(</w:t>
      </w:r>
      <w:r>
        <w:t>F</w:t>
      </w:r>
      <w:r>
        <w:rPr>
          <w:rFonts w:hint="eastAsia"/>
        </w:rPr>
        <w:t xml:space="preserve">ine </w:t>
      </w:r>
      <w:r>
        <w:t>N</w:t>
      </w:r>
      <w:r>
        <w:rPr>
          <w:rFonts w:hint="eastAsia"/>
        </w:rPr>
        <w:t xml:space="preserve">eedle </w:t>
      </w:r>
      <w:r>
        <w:t>A</w:t>
      </w:r>
      <w:r>
        <w:rPr>
          <w:rFonts w:hint="eastAsia"/>
        </w:rPr>
        <w:t>spiration)</w:t>
      </w:r>
    </w:p>
    <w:p>
      <w:pPr>
        <w:pStyle w:val="59"/>
        <w:ind w:firstLine="420"/>
      </w:pPr>
      <w:r>
        <w:rPr>
          <w:rFonts w:hint="eastAsia"/>
        </w:rPr>
        <w:t>HPV：人乳头瘤病毒（Human Papilloma Virus）</w:t>
      </w:r>
    </w:p>
    <w:p>
      <w:pPr>
        <w:pStyle w:val="59"/>
        <w:ind w:firstLine="420"/>
      </w:pPr>
      <w:r>
        <w:rPr>
          <w:rFonts w:hint="eastAsia"/>
        </w:rPr>
        <w:t>HSG：子宫输卵管造影术（Hysterosalpingography）</w:t>
      </w:r>
    </w:p>
    <w:p>
      <w:pPr>
        <w:pStyle w:val="59"/>
        <w:ind w:firstLine="420"/>
      </w:pPr>
      <w:r>
        <w:rPr>
          <w:rFonts w:hint="eastAsia"/>
        </w:rPr>
        <w:t>HyCoSy：子宫输卵管超声造影术（</w:t>
      </w:r>
      <w:r>
        <w:t>Hysterosaflpingo-contrast Sonography</w:t>
      </w:r>
      <w:r>
        <w:rPr>
          <w:rFonts w:hint="eastAsia"/>
        </w:rPr>
        <w:t>）</w:t>
      </w:r>
    </w:p>
    <w:p>
      <w:pPr>
        <w:pStyle w:val="59"/>
        <w:ind w:firstLine="420"/>
      </w:pPr>
      <w:r>
        <w:rPr>
          <w:rFonts w:hint="eastAsia"/>
        </w:rPr>
        <w:t>ICSI：卵胞浆内单精子注射（Intracytoplasmic Sperm Injection）</w:t>
      </w:r>
    </w:p>
    <w:p>
      <w:pPr>
        <w:pStyle w:val="59"/>
        <w:ind w:firstLine="420"/>
      </w:pPr>
      <w:r>
        <w:rPr>
          <w:rFonts w:hint="eastAsia"/>
        </w:rPr>
        <w:t>IVF-ET：体外受精-胚胎移植（In Vitro Fertilization And Embryo Transfer）</w:t>
      </w:r>
    </w:p>
    <w:p>
      <w:pPr>
        <w:pStyle w:val="59"/>
        <w:ind w:firstLine="420"/>
      </w:pPr>
      <w:r>
        <w:rPr>
          <w:rFonts w:hint="eastAsia"/>
        </w:rPr>
        <w:t>LH：促黄体生成激素（Luteinizing Hormone）</w:t>
      </w:r>
    </w:p>
    <w:p>
      <w:pPr>
        <w:pStyle w:val="59"/>
        <w:ind w:firstLine="420"/>
      </w:pPr>
      <w:r>
        <w:rPr>
          <w:rFonts w:hint="eastAsia"/>
        </w:rPr>
        <w:t>MAR：混合抗球蛋白反应（mixed antiglobulin reaction）</w:t>
      </w:r>
    </w:p>
    <w:p>
      <w:pPr>
        <w:pStyle w:val="59"/>
        <w:ind w:firstLine="420"/>
      </w:pPr>
      <w:r>
        <w:rPr>
          <w:rFonts w:hint="eastAsia"/>
        </w:rPr>
        <w:t>MRI：磁共振成像（Magnetic Resonance Imaging）</w:t>
      </w:r>
    </w:p>
    <w:p>
      <w:pPr>
        <w:pStyle w:val="59"/>
        <w:ind w:firstLine="420"/>
      </w:pPr>
      <w:r>
        <w:rPr>
          <w:rFonts w:hint="eastAsia"/>
        </w:rPr>
        <w:t>NGS：二代测序技术（Next Generation Sequencing）</w:t>
      </w:r>
    </w:p>
    <w:p>
      <w:pPr>
        <w:pStyle w:val="59"/>
        <w:ind w:firstLine="420"/>
      </w:pPr>
      <w:r>
        <w:rPr>
          <w:rFonts w:hint="eastAsia"/>
        </w:rPr>
        <w:t>NK cell：自然杀伤细胞（Natural Killer Cell）</w:t>
      </w:r>
    </w:p>
    <w:p>
      <w:pPr>
        <w:pStyle w:val="59"/>
        <w:ind w:firstLine="420"/>
      </w:pPr>
      <w:r>
        <w:rPr>
          <w:rFonts w:hint="eastAsia"/>
        </w:rPr>
        <w:t>PGD：胚胎植入前遗传学诊断（Preimplantation Genetic Diagnosis）</w:t>
      </w:r>
    </w:p>
    <w:p>
      <w:pPr>
        <w:pStyle w:val="59"/>
        <w:ind w:firstLine="420"/>
      </w:pPr>
      <w:r>
        <w:rPr>
          <w:rFonts w:hint="eastAsia"/>
        </w:rPr>
        <w:t>PH：</w:t>
      </w:r>
      <w:r>
        <w:t>酸碱度</w:t>
      </w:r>
      <w:r>
        <w:rPr>
          <w:rFonts w:hint="eastAsia"/>
        </w:rPr>
        <w:t>（Pondus Hydrogenii）</w:t>
      </w:r>
    </w:p>
    <w:p>
      <w:pPr>
        <w:pStyle w:val="59"/>
        <w:ind w:firstLine="420"/>
      </w:pPr>
      <w:r>
        <w:rPr>
          <w:rFonts w:hint="eastAsia"/>
        </w:rPr>
        <w:t>PRL：催乳素（Prolactin）</w:t>
      </w:r>
    </w:p>
    <w:p>
      <w:pPr>
        <w:pStyle w:val="59"/>
        <w:ind w:firstLine="420"/>
      </w:pPr>
      <w:r>
        <w:rPr>
          <w:rFonts w:hint="eastAsia"/>
        </w:rPr>
        <w:t>ROS：活性氧（Reactive Oxygen Species）</w:t>
      </w:r>
    </w:p>
    <w:p>
      <w:pPr>
        <w:pStyle w:val="59"/>
        <w:ind w:firstLine="420"/>
        <w:rPr>
          <w:lang w:val="it-IT"/>
        </w:rPr>
      </w:pPr>
      <w:r>
        <w:rPr>
          <w:rFonts w:hint="eastAsia"/>
          <w:lang w:val="it-IT"/>
        </w:rPr>
        <w:t>T：</w:t>
      </w:r>
      <w:r>
        <w:rPr>
          <w:rFonts w:hint="eastAsia"/>
        </w:rPr>
        <w:t>睾酮</w:t>
      </w:r>
      <w:r>
        <w:rPr>
          <w:rFonts w:hint="eastAsia"/>
          <w:lang w:val="it-IT"/>
        </w:rPr>
        <w:t>（Testosterone）</w:t>
      </w:r>
    </w:p>
    <w:p>
      <w:pPr>
        <w:pStyle w:val="59"/>
        <w:ind w:firstLine="420"/>
        <w:rPr>
          <w:lang w:val="it-IT"/>
        </w:rPr>
      </w:pPr>
      <w:r>
        <w:rPr>
          <w:rFonts w:hint="eastAsia"/>
          <w:lang w:val="it-IT"/>
        </w:rPr>
        <w:t>TCT:</w:t>
      </w:r>
      <w:r>
        <w:rPr>
          <w:rFonts w:hint="eastAsia"/>
        </w:rPr>
        <w:t>薄层液基细胞学检查</w:t>
      </w:r>
      <w:r>
        <w:rPr>
          <w:rFonts w:hint="eastAsia"/>
          <w:lang w:val="it-IT"/>
        </w:rPr>
        <w:t>（Thinprep Cytologic Test）</w:t>
      </w:r>
    </w:p>
    <w:p>
      <w:pPr>
        <w:pStyle w:val="59"/>
        <w:ind w:firstLine="420"/>
        <w:rPr>
          <w:lang w:val="it-IT"/>
        </w:rPr>
      </w:pPr>
      <w:r>
        <w:rPr>
          <w:rFonts w:hint="eastAsia"/>
          <w:lang w:val="it-IT"/>
        </w:rPr>
        <w:t>TSH：</w:t>
      </w:r>
      <w:r>
        <w:rPr>
          <w:rFonts w:hint="eastAsia"/>
        </w:rPr>
        <w:t>促甲状腺激素</w:t>
      </w:r>
      <w:r>
        <w:rPr>
          <w:rFonts w:hint="eastAsia"/>
          <w:lang w:val="it-IT"/>
        </w:rPr>
        <w:t>（Thyroid Stimulating Horm</w:t>
      </w:r>
      <w:r>
        <w:rPr>
          <w:rFonts w:hint="eastAsia"/>
          <w:color w:val="000000" w:themeColor="text1"/>
          <w:lang w:val="it-IT"/>
          <w14:textFill>
            <w14:solidFill>
              <w14:schemeClr w14:val="tx1"/>
            </w14:solidFill>
          </w14:textFill>
        </w:rPr>
        <w:t>one）</w:t>
      </w:r>
    </w:p>
    <w:p>
      <w:pPr>
        <w:pStyle w:val="59"/>
        <w:ind w:firstLine="420"/>
        <w:rPr>
          <w:lang w:val="it-IT"/>
        </w:rPr>
      </w:pPr>
      <w:r>
        <w:rPr>
          <w:rFonts w:hint="eastAsia"/>
          <w:lang w:val="it-IT"/>
        </w:rPr>
        <w:t>TESE：</w:t>
      </w:r>
      <w:r>
        <w:rPr>
          <w:rFonts w:hint="eastAsia"/>
        </w:rPr>
        <w:t>睾丸切开活检术</w:t>
      </w:r>
      <w:r>
        <w:rPr>
          <w:rFonts w:hint="eastAsia"/>
          <w:lang w:val="it-IT"/>
        </w:rPr>
        <w:t>（Testicular Sperm Extraction）</w:t>
      </w:r>
    </w:p>
    <w:p>
      <w:pPr>
        <w:pStyle w:val="59"/>
        <w:ind w:firstLine="420"/>
        <w:rPr>
          <w:lang w:val="it-IT"/>
        </w:rPr>
      </w:pPr>
      <w:r>
        <w:rPr>
          <w:rFonts w:hint="eastAsia"/>
          <w:lang w:val="it-IT"/>
        </w:rPr>
        <w:t>TESA：</w:t>
      </w:r>
      <w:r>
        <w:rPr>
          <w:rFonts w:hint="eastAsia"/>
        </w:rPr>
        <w:t>经皮睾丸穿刺活检术</w:t>
      </w:r>
      <w:r>
        <w:rPr>
          <w:rFonts w:hint="eastAsia"/>
          <w:lang w:val="it-IT"/>
        </w:rPr>
        <w:t>（Testicular Sperm Aspiration）</w:t>
      </w:r>
    </w:p>
    <w:p>
      <w:pPr>
        <w:pStyle w:val="107"/>
        <w:spacing w:before="240" w:after="240"/>
      </w:pPr>
      <w:r>
        <w:rPr>
          <w:rFonts w:hint="eastAsia"/>
        </w:rPr>
        <w:t>基本要求</w:t>
      </w:r>
    </w:p>
    <w:p>
      <w:pPr>
        <w:pStyle w:val="165"/>
      </w:pPr>
      <w:r>
        <w:rPr>
          <w:rFonts w:hint="eastAsia"/>
        </w:rPr>
        <w:t>应由具有医师执业资格证书，并具备不孕不育诊疗资质的医务人员进行评估。</w:t>
      </w:r>
    </w:p>
    <w:p>
      <w:pPr>
        <w:pStyle w:val="165"/>
      </w:pPr>
      <w:r>
        <w:rPr>
          <w:rFonts w:hint="eastAsia"/>
        </w:rPr>
        <w:t>评估工作应在相对独立的评估室内进行，评估环境应清洁、安静、温度适宜。</w:t>
      </w:r>
    </w:p>
    <w:p>
      <w:pPr>
        <w:pStyle w:val="165"/>
      </w:pPr>
      <w:r>
        <w:rPr>
          <w:rFonts w:hint="eastAsia"/>
        </w:rPr>
        <w:t>评估全过程要注意患者的状态和反应，应保护患者的尊严、安全和个人隐私。</w:t>
      </w:r>
    </w:p>
    <w:p>
      <w:pPr>
        <w:pStyle w:val="165"/>
      </w:pPr>
      <w:r>
        <w:rPr>
          <w:rFonts w:hint="eastAsia"/>
        </w:rPr>
        <w:t>评估应</w:t>
      </w:r>
      <w:r>
        <w:rPr>
          <w:rFonts w:hint="eastAsia"/>
          <w:lang w:val="en-US" w:eastAsia="zh-CN"/>
        </w:rPr>
        <w:t>由夫妇</w:t>
      </w:r>
      <w:r>
        <w:rPr>
          <w:rFonts w:hint="eastAsia"/>
        </w:rPr>
        <w:t>双方一起进行，并按照“先男方后女方，从简单到复杂，先无创再有创”的原则进行，</w:t>
      </w:r>
      <w:r>
        <w:rPr>
          <w:rFonts w:hint="eastAsia"/>
          <w:lang w:val="en-US" w:eastAsia="zh-CN"/>
        </w:rPr>
        <w:t>宜</w:t>
      </w:r>
      <w:r>
        <w:rPr>
          <w:rFonts w:hint="eastAsia"/>
        </w:rPr>
        <w:t>先</w:t>
      </w:r>
      <w:r>
        <w:rPr>
          <w:rFonts w:hint="eastAsia"/>
          <w:lang w:val="en-US" w:eastAsia="zh-CN"/>
        </w:rPr>
        <w:t>进行</w:t>
      </w:r>
      <w:r>
        <w:rPr>
          <w:rFonts w:hint="eastAsia"/>
        </w:rPr>
        <w:t>男方精液检查，再评估女方卵巢储备功能和排卵功能，在男方精液正常（或者轻中度异常）有机会自然受孕或者人工授精助孕</w:t>
      </w:r>
      <w:r>
        <w:rPr>
          <w:rFonts w:hint="eastAsia"/>
          <w:lang w:val="en-US" w:eastAsia="zh-CN"/>
        </w:rPr>
        <w:t>时</w:t>
      </w:r>
      <w:r>
        <w:rPr>
          <w:rFonts w:hint="eastAsia"/>
        </w:rPr>
        <w:t>，</w:t>
      </w:r>
      <w:r>
        <w:rPr>
          <w:rFonts w:hint="eastAsia"/>
          <w:lang w:val="en-US" w:eastAsia="zh-CN"/>
        </w:rPr>
        <w:t>宜</w:t>
      </w:r>
      <w:r>
        <w:rPr>
          <w:rFonts w:hint="eastAsia"/>
        </w:rPr>
        <w:t>考虑进行输卵管通畅度检查。</w:t>
      </w:r>
    </w:p>
    <w:p>
      <w:pPr>
        <w:pStyle w:val="107"/>
        <w:spacing w:before="240" w:after="240"/>
      </w:pPr>
      <w:r>
        <w:rPr>
          <w:rFonts w:hint="eastAsia"/>
        </w:rPr>
        <w:t>评估流程</w:t>
      </w:r>
    </w:p>
    <w:p>
      <w:pPr>
        <w:pStyle w:val="59"/>
        <w:ind w:firstLine="420"/>
      </w:pPr>
      <w:r>
        <w:rPr>
          <w:rFonts w:hint="eastAsia"/>
        </w:rPr>
        <w:t>评估流程按图</w:t>
      </w:r>
      <w:r>
        <w:t>1</w:t>
      </w:r>
      <w:r>
        <w:rPr>
          <w:rFonts w:hint="eastAsia"/>
        </w:rPr>
        <w:t>。</w:t>
      </w:r>
    </w:p>
    <w:p>
      <w:pPr>
        <w:pStyle w:val="59"/>
        <w:ind w:firstLine="420"/>
      </w:pPr>
      <w:r>
        <w:rPr>
          <w:rFonts w:hint="eastAsia"/>
          <w:strike/>
        </w:rPr>
        <w:drawing>
          <wp:inline distT="0" distB="0" distL="0" distR="0">
            <wp:extent cx="6070600" cy="3804920"/>
            <wp:effectExtent l="6350" t="0" r="0" b="508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pPr>
        <w:pStyle w:val="117"/>
        <w:spacing w:before="120" w:after="120"/>
      </w:pPr>
      <w:r>
        <w:rPr>
          <w:rFonts w:hint="eastAsia"/>
        </w:rPr>
        <w:t>评估流程</w:t>
      </w:r>
    </w:p>
    <w:p>
      <w:pPr>
        <w:pStyle w:val="107"/>
        <w:spacing w:before="240" w:after="240"/>
      </w:pPr>
      <w:r>
        <w:t>评估内容及要求</w:t>
      </w:r>
    </w:p>
    <w:p>
      <w:pPr>
        <w:pStyle w:val="108"/>
        <w:spacing w:before="120" w:after="120"/>
      </w:pPr>
      <w:r>
        <w:rPr>
          <w:rFonts w:hint="eastAsia"/>
        </w:rPr>
        <w:t>男性</w:t>
      </w:r>
    </w:p>
    <w:p>
      <w:pPr>
        <w:pStyle w:val="68"/>
        <w:spacing w:before="120" w:after="120"/>
      </w:pPr>
      <w:r>
        <w:rPr>
          <w:rFonts w:hint="eastAsia"/>
        </w:rPr>
        <w:t>病史采集</w:t>
      </w:r>
    </w:p>
    <w:p>
      <w:pPr>
        <w:pStyle w:val="59"/>
        <w:ind w:firstLine="420"/>
      </w:pPr>
      <w:r>
        <w:rPr>
          <w:rFonts w:hint="eastAsia"/>
        </w:rPr>
        <w:t>男性不育患者的病史采集应按表</w:t>
      </w:r>
      <w:r>
        <w:t>1</w:t>
      </w:r>
      <w:r>
        <w:rPr>
          <w:rFonts w:hint="eastAsia"/>
        </w:rPr>
        <w:t>进行评估。</w:t>
      </w:r>
    </w:p>
    <w:p>
      <w:pPr>
        <w:pStyle w:val="115"/>
        <w:spacing w:before="120" w:after="120"/>
      </w:pPr>
      <w:r>
        <w:rPr>
          <w:rFonts w:hint="eastAsia"/>
        </w:rPr>
        <w:t>男</w:t>
      </w:r>
      <w:r>
        <w:t>性病史采集表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691" w:type="dxa"/>
            <w:tcBorders>
              <w:top w:val="single" w:color="auto" w:sz="8" w:space="0"/>
              <w:bottom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采集类型</w:t>
            </w:r>
          </w:p>
        </w:tc>
        <w:tc>
          <w:tcPr>
            <w:tcW w:w="7643" w:type="dxa"/>
            <w:tcBorders>
              <w:top w:val="single" w:color="auto" w:sz="8" w:space="0"/>
              <w:bottom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采集内容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基本信息</w:t>
            </w:r>
          </w:p>
        </w:tc>
        <w:tc>
          <w:tcPr>
            <w:tcW w:w="7643" w:type="dxa"/>
            <w:tcBorders>
              <w:top w:val="single" w:color="auto" w:sz="8" w:space="0"/>
            </w:tcBorders>
            <w:shd w:val="clear" w:color="auto" w:fill="auto"/>
            <w:vAlign w:val="center"/>
          </w:tcPr>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年龄、职业、文化程度、民族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主诉情况</w:t>
            </w:r>
          </w:p>
        </w:tc>
        <w:tc>
          <w:tcPr>
            <w:tcW w:w="7643" w:type="dxa"/>
            <w:shd w:val="clear" w:color="auto" w:fill="auto"/>
            <w:vAlign w:val="center"/>
          </w:tcPr>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无避孕性生活史及年限</w:t>
            </w:r>
          </w:p>
        </w:tc>
      </w:tr>
    </w:tbl>
    <w:p>
      <w:pPr>
        <w:pStyle w:val="59"/>
        <w:ind w:left="0" w:leftChars="0" w:firstLine="0" w:firstLineChars="0"/>
      </w:pPr>
    </w:p>
    <w:p>
      <w:pPr>
        <w:pStyle w:val="59"/>
        <w:spacing w:before="120" w:beforeLines="50" w:after="120" w:afterLines="50"/>
        <w:ind w:firstLine="0" w:firstLineChars="0"/>
        <w:jc w:val="center"/>
        <w:rPr>
          <w:rFonts w:ascii="黑体" w:hAnsi="黑体" w:eastAsia="黑体"/>
        </w:rPr>
      </w:pPr>
      <w:r>
        <w:rPr>
          <w:rFonts w:hint="eastAsia" w:ascii="黑体" w:hAnsi="黑体" w:eastAsia="黑体"/>
        </w:rPr>
        <w:t>表1  男性病史采集表</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采集类型</w:t>
            </w:r>
          </w:p>
        </w:tc>
        <w:tc>
          <w:tcPr>
            <w:tcW w:w="7643" w:type="dxa"/>
            <w:tcBorders>
              <w:top w:val="single" w:color="auto" w:sz="8" w:space="0"/>
              <w:bottom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采集内容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bottom w:val="single" w:color="auto" w:sz="2"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现病</w:t>
            </w:r>
            <w:r>
              <w:rPr>
                <w:rFonts w:ascii="宋体" w:hAnsi="Times New Roman"/>
                <w:kern w:val="0"/>
                <w:sz w:val="18"/>
                <w:szCs w:val="20"/>
              </w:rPr>
              <w:t>史</w:t>
            </w:r>
          </w:p>
        </w:tc>
        <w:tc>
          <w:tcPr>
            <w:tcW w:w="7643" w:type="dxa"/>
            <w:tcBorders>
              <w:bottom w:val="single" w:color="auto" w:sz="2" w:space="0"/>
            </w:tcBorders>
            <w:shd w:val="clear" w:color="auto" w:fill="auto"/>
            <w:vAlign w:val="center"/>
          </w:tcPr>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1</w:t>
            </w:r>
            <w:r>
              <w:rPr>
                <w:rFonts w:ascii="宋体" w:hAnsi="Times New Roman"/>
                <w:kern w:val="0"/>
                <w:sz w:val="18"/>
                <w:szCs w:val="20"/>
              </w:rPr>
              <w:t>.</w:t>
            </w:r>
            <w:r>
              <w:rPr>
                <w:rFonts w:hint="eastAsia" w:ascii="宋体" w:hAnsi="Times New Roman"/>
                <w:kern w:val="0"/>
                <w:sz w:val="18"/>
                <w:szCs w:val="20"/>
              </w:rPr>
              <w:t>性生活频率。</w:t>
            </w:r>
          </w:p>
          <w:p>
            <w:pPr>
              <w:widowControl/>
              <w:autoSpaceDE w:val="0"/>
              <w:autoSpaceDN w:val="0"/>
              <w:adjustRightInd/>
              <w:spacing w:line="240" w:lineRule="auto"/>
              <w:ind w:firstLine="180" w:firstLineChars="100"/>
              <w:jc w:val="left"/>
              <w:rPr>
                <w:rFonts w:ascii="宋体" w:hAnsi="Times New Roman"/>
                <w:kern w:val="0"/>
                <w:sz w:val="18"/>
                <w:szCs w:val="20"/>
              </w:rPr>
            </w:pPr>
            <w:r>
              <w:rPr>
                <w:rFonts w:ascii="宋体" w:hAnsi="Times New Roman"/>
                <w:kern w:val="0"/>
                <w:sz w:val="18"/>
                <w:szCs w:val="20"/>
              </w:rPr>
              <w:t>2.</w:t>
            </w:r>
            <w:r>
              <w:rPr>
                <w:rFonts w:hint="eastAsia" w:ascii="宋体" w:hAnsi="Times New Roman"/>
                <w:kern w:val="0"/>
                <w:sz w:val="18"/>
                <w:szCs w:val="20"/>
              </w:rPr>
              <w:t>性功能障碍的情况，包括：</w:t>
            </w:r>
          </w:p>
          <w:p>
            <w:pPr>
              <w:widowControl/>
              <w:tabs>
                <w:tab w:val="left" w:pos="851"/>
              </w:tabs>
              <w:adjustRightInd/>
              <w:spacing w:line="240" w:lineRule="auto"/>
              <w:ind w:firstLine="180" w:firstLineChars="100"/>
              <w:jc w:val="left"/>
              <w:rPr>
                <w:rFonts w:ascii="宋体" w:hAnsi="Times New Roman"/>
                <w:kern w:val="0"/>
                <w:sz w:val="18"/>
                <w:szCs w:val="18"/>
              </w:rPr>
            </w:pPr>
            <w:r>
              <w:rPr>
                <w:rFonts w:hint="eastAsia" w:ascii="宋体" w:hAnsi="Times New Roman"/>
                <w:kern w:val="0"/>
                <w:sz w:val="18"/>
                <w:szCs w:val="18"/>
              </w:rPr>
              <w:t>1）性欲减退：缺乏性欲望，性思考或性幻想明显减少；</w:t>
            </w:r>
          </w:p>
          <w:p>
            <w:pPr>
              <w:widowControl/>
              <w:tabs>
                <w:tab w:val="left" w:pos="851"/>
              </w:tabs>
              <w:adjustRightInd/>
              <w:spacing w:line="240" w:lineRule="auto"/>
              <w:ind w:firstLine="180" w:firstLineChars="100"/>
              <w:jc w:val="left"/>
              <w:rPr>
                <w:rFonts w:ascii="宋体" w:hAnsi="Times New Roman"/>
                <w:kern w:val="0"/>
                <w:szCs w:val="20"/>
              </w:rPr>
            </w:pPr>
            <w:r>
              <w:rPr>
                <w:rFonts w:ascii="宋体" w:hAnsi="Times New Roman"/>
                <w:kern w:val="0"/>
                <w:sz w:val="18"/>
                <w:szCs w:val="18"/>
              </w:rPr>
              <w:t>2</w:t>
            </w:r>
            <w:r>
              <w:rPr>
                <w:rFonts w:hint="eastAsia" w:ascii="宋体" w:hAnsi="Times New Roman"/>
                <w:kern w:val="0"/>
                <w:sz w:val="18"/>
                <w:szCs w:val="18"/>
              </w:rPr>
              <w:t>）男性勃起功能障碍、射精功能障碍</w:t>
            </w:r>
            <w:r>
              <w:rPr>
                <w:rFonts w:hint="eastAsia" w:ascii="宋体" w:hAnsi="Times New Roman"/>
                <w:kern w:val="0"/>
                <w:szCs w:val="20"/>
              </w:rPr>
              <w:t>。</w:t>
            </w:r>
          </w:p>
          <w:p>
            <w:pPr>
              <w:widowControl/>
              <w:tabs>
                <w:tab w:val="left" w:pos="851"/>
              </w:tabs>
              <w:adjustRightInd/>
              <w:spacing w:line="240" w:lineRule="auto"/>
              <w:ind w:firstLine="180" w:firstLineChars="100"/>
              <w:jc w:val="left"/>
              <w:rPr>
                <w:rFonts w:ascii="宋体" w:hAnsi="Times New Roman"/>
                <w:kern w:val="0"/>
                <w:szCs w:val="20"/>
              </w:rPr>
            </w:pPr>
            <w:r>
              <w:rPr>
                <w:rFonts w:ascii="宋体" w:hAnsi="Times New Roman"/>
                <w:kern w:val="0"/>
                <w:sz w:val="18"/>
                <w:szCs w:val="20"/>
              </w:rPr>
              <w:t>3</w:t>
            </w:r>
            <w:r>
              <w:rPr>
                <w:rFonts w:hint="eastAsia" w:ascii="宋体" w:hAnsi="Times New Roman"/>
                <w:kern w:val="0"/>
                <w:sz w:val="18"/>
                <w:szCs w:val="20"/>
              </w:rPr>
              <w:t>.当前用药情况，长期服用的药物，包括任何补充剂。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2" w:space="0"/>
              <w:bottom w:val="single" w:color="auto" w:sz="4"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既往病史</w:t>
            </w:r>
          </w:p>
        </w:tc>
        <w:tc>
          <w:tcPr>
            <w:tcW w:w="7643" w:type="dxa"/>
            <w:tcBorders>
              <w:top w:val="single" w:color="auto" w:sz="2" w:space="0"/>
              <w:bottom w:val="single" w:color="auto" w:sz="4" w:space="0"/>
            </w:tcBorders>
            <w:shd w:val="clear" w:color="auto" w:fill="auto"/>
            <w:vAlign w:val="center"/>
          </w:tcPr>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1</w:t>
            </w:r>
            <w:r>
              <w:rPr>
                <w:rFonts w:ascii="宋体" w:hAnsi="Times New Roman"/>
                <w:kern w:val="0"/>
                <w:sz w:val="18"/>
                <w:szCs w:val="20"/>
              </w:rPr>
              <w:t>.</w:t>
            </w:r>
            <w:r>
              <w:rPr>
                <w:rFonts w:hint="eastAsia" w:ascii="宋体" w:hAnsi="Times New Roman"/>
                <w:kern w:val="0"/>
                <w:sz w:val="18"/>
                <w:szCs w:val="20"/>
              </w:rPr>
              <w:t>既往生育史。</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2</w:t>
            </w:r>
            <w:r>
              <w:rPr>
                <w:rFonts w:ascii="宋体" w:hAnsi="Times New Roman"/>
                <w:kern w:val="0"/>
                <w:sz w:val="18"/>
                <w:szCs w:val="20"/>
              </w:rPr>
              <w:t>.</w:t>
            </w:r>
            <w:r>
              <w:rPr>
                <w:rFonts w:hint="eastAsia" w:ascii="宋体" w:hAnsi="Times New Roman"/>
                <w:kern w:val="0"/>
                <w:sz w:val="18"/>
                <w:szCs w:val="20"/>
              </w:rPr>
              <w:t>既往任何生育力评估或治疗史。</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3</w:t>
            </w:r>
            <w:r>
              <w:rPr>
                <w:rFonts w:ascii="宋体" w:hAnsi="Times New Roman"/>
                <w:kern w:val="0"/>
                <w:sz w:val="18"/>
                <w:szCs w:val="20"/>
              </w:rPr>
              <w:t>.</w:t>
            </w:r>
            <w:r>
              <w:rPr>
                <w:rFonts w:hint="eastAsia" w:ascii="宋体" w:hAnsi="Times New Roman"/>
                <w:kern w:val="0"/>
                <w:sz w:val="18"/>
                <w:szCs w:val="20"/>
              </w:rPr>
              <w:t>既往避孕措施的使用，包括类型和持续时间。</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4</w:t>
            </w:r>
            <w:r>
              <w:rPr>
                <w:rFonts w:ascii="宋体" w:hAnsi="Times New Roman"/>
                <w:kern w:val="0"/>
                <w:sz w:val="18"/>
                <w:szCs w:val="20"/>
              </w:rPr>
              <w:t>.</w:t>
            </w:r>
            <w:r>
              <w:rPr>
                <w:rFonts w:hint="eastAsia" w:ascii="宋体" w:hAnsi="Times New Roman"/>
                <w:kern w:val="0"/>
                <w:sz w:val="18"/>
                <w:szCs w:val="20"/>
              </w:rPr>
              <w:t>内分泌性疾病、自身免疫性疾病、遗传性疾病、精神疾病或恶性疾病的病史及治疗过程。</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5.既往与生育相关的住院治疗史、手术操作史、重大外伤史。</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6.是否曾使用具有性腺毒性的药物或放疗。</w:t>
            </w:r>
          </w:p>
          <w:p>
            <w:pPr>
              <w:widowControl/>
              <w:autoSpaceDE w:val="0"/>
              <w:autoSpaceDN w:val="0"/>
              <w:adjustRightInd/>
              <w:spacing w:line="240" w:lineRule="auto"/>
              <w:ind w:firstLine="180" w:firstLineChars="100"/>
              <w:jc w:val="left"/>
              <w:rPr>
                <w:rFonts w:ascii="宋体" w:hAnsi="Times New Roman"/>
                <w:kern w:val="0"/>
                <w:sz w:val="18"/>
                <w:szCs w:val="20"/>
              </w:rPr>
            </w:pPr>
            <w:r>
              <w:rPr>
                <w:rFonts w:ascii="宋体" w:hAnsi="Times New Roman"/>
                <w:kern w:val="0"/>
                <w:sz w:val="18"/>
                <w:szCs w:val="20"/>
              </w:rPr>
              <w:t>7</w:t>
            </w:r>
            <w:r>
              <w:rPr>
                <w:rFonts w:hint="eastAsia" w:ascii="宋体" w:hAnsi="Times New Roman"/>
                <w:kern w:val="0"/>
                <w:sz w:val="18"/>
                <w:szCs w:val="20"/>
              </w:rPr>
              <w:t>.药物和食物过敏史：已知药物过敏和反应类型。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家族史</w:t>
            </w:r>
          </w:p>
        </w:tc>
        <w:tc>
          <w:tcPr>
            <w:tcW w:w="7643" w:type="dxa"/>
            <w:shd w:val="clear" w:color="auto" w:fill="auto"/>
            <w:vAlign w:val="center"/>
          </w:tcPr>
          <w:p>
            <w:pPr>
              <w:widowControl/>
              <w:autoSpaceDE w:val="0"/>
              <w:autoSpaceDN w:val="0"/>
              <w:adjustRightInd/>
              <w:spacing w:line="240" w:lineRule="auto"/>
              <w:ind w:firstLine="180" w:firstLineChars="100"/>
              <w:jc w:val="left"/>
              <w:rPr>
                <w:rFonts w:ascii="宋体" w:hAnsi="Times New Roman"/>
                <w:kern w:val="0"/>
                <w:sz w:val="18"/>
                <w:szCs w:val="18"/>
              </w:rPr>
            </w:pPr>
            <w:r>
              <w:rPr>
                <w:rFonts w:hint="eastAsia" w:ascii="宋体" w:hAnsi="Times New Roman"/>
                <w:kern w:val="0"/>
                <w:sz w:val="18"/>
                <w:szCs w:val="18"/>
              </w:rPr>
              <w:t>有无近亲结婚，任何具有以下已知病史的家庭成员：</w:t>
            </w:r>
          </w:p>
          <w:p>
            <w:pPr>
              <w:widowControl/>
              <w:tabs>
                <w:tab w:val="left" w:pos="851"/>
              </w:tabs>
              <w:adjustRightInd/>
              <w:spacing w:line="240" w:lineRule="auto"/>
              <w:ind w:firstLine="180" w:firstLineChars="100"/>
              <w:jc w:val="left"/>
              <w:rPr>
                <w:rFonts w:ascii="宋体" w:hAnsi="Times New Roman"/>
                <w:kern w:val="0"/>
                <w:sz w:val="18"/>
                <w:szCs w:val="18"/>
              </w:rPr>
            </w:pPr>
            <w:r>
              <w:rPr>
                <w:rFonts w:hint="eastAsia" w:ascii="宋体" w:hAnsi="Times New Roman"/>
                <w:kern w:val="0"/>
                <w:sz w:val="18"/>
                <w:szCs w:val="18"/>
              </w:rPr>
              <w:t>1）生殖相关遗传性疾病：如成人先天性多囊肾等；</w:t>
            </w:r>
          </w:p>
          <w:p>
            <w:pPr>
              <w:widowControl/>
              <w:tabs>
                <w:tab w:val="left" w:pos="851"/>
              </w:tabs>
              <w:adjustRightInd/>
              <w:spacing w:line="240" w:lineRule="auto"/>
              <w:ind w:firstLine="180" w:firstLineChars="100"/>
              <w:jc w:val="left"/>
              <w:rPr>
                <w:rFonts w:ascii="宋体" w:hAnsi="Times New Roman"/>
                <w:color w:val="FF0000"/>
                <w:kern w:val="0"/>
                <w:sz w:val="18"/>
                <w:szCs w:val="18"/>
              </w:rPr>
            </w:pPr>
            <w:r>
              <w:rPr>
                <w:rFonts w:hint="eastAsia" w:ascii="宋体" w:hAnsi="Times New Roman"/>
                <w:kern w:val="0"/>
                <w:sz w:val="18"/>
                <w:szCs w:val="18"/>
              </w:rPr>
              <w:t>2）出生缺陷或发育迟缓：如Kallman综合征和染色体病等。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 w:hRule="atLeast"/>
          <w:jc w:val="center"/>
        </w:trPr>
        <w:tc>
          <w:tcPr>
            <w:tcW w:w="1691" w:type="dxa"/>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个人史</w:t>
            </w:r>
          </w:p>
        </w:tc>
        <w:tc>
          <w:tcPr>
            <w:tcW w:w="7643" w:type="dxa"/>
            <w:shd w:val="clear" w:color="auto" w:fill="auto"/>
            <w:vAlign w:val="center"/>
          </w:tcPr>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1</w:t>
            </w:r>
            <w:r>
              <w:rPr>
                <w:rFonts w:ascii="宋体" w:hAnsi="Times New Roman"/>
                <w:kern w:val="0"/>
                <w:sz w:val="18"/>
                <w:szCs w:val="20"/>
              </w:rPr>
              <w:t>.</w:t>
            </w:r>
            <w:r>
              <w:rPr>
                <w:rFonts w:hint="eastAsia" w:ascii="宋体" w:hAnsi="Times New Roman"/>
                <w:kern w:val="0"/>
                <w:sz w:val="18"/>
                <w:szCs w:val="20"/>
              </w:rPr>
              <w:t>职业和有毒物质的潜在暴露。</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2</w:t>
            </w:r>
            <w:r>
              <w:rPr>
                <w:rFonts w:ascii="宋体" w:hAnsi="Times New Roman"/>
                <w:kern w:val="0"/>
                <w:sz w:val="18"/>
                <w:szCs w:val="20"/>
              </w:rPr>
              <w:t>.</w:t>
            </w:r>
            <w:r>
              <w:rPr>
                <w:rFonts w:hint="eastAsia" w:ascii="宋体" w:hAnsi="Times New Roman"/>
                <w:kern w:val="0"/>
                <w:sz w:val="18"/>
                <w:szCs w:val="20"/>
              </w:rPr>
              <w:t>饮食、运动和睡眠习惯。</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3.烟草、酒精或兴奋性、成瘾性药物的使用。</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4</w:t>
            </w:r>
            <w:r>
              <w:rPr>
                <w:rFonts w:ascii="宋体" w:hAnsi="Times New Roman"/>
                <w:kern w:val="0"/>
                <w:sz w:val="18"/>
                <w:szCs w:val="20"/>
              </w:rPr>
              <w:t>.</w:t>
            </w:r>
            <w:r>
              <w:rPr>
                <w:rFonts w:hint="eastAsia" w:ascii="宋体" w:hAnsi="Times New Roman"/>
                <w:kern w:val="0"/>
                <w:sz w:val="18"/>
                <w:szCs w:val="20"/>
              </w:rPr>
              <w:t>心理、生理和/或性创伤史。</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5</w:t>
            </w:r>
            <w:r>
              <w:rPr>
                <w:rFonts w:ascii="宋体" w:hAnsi="Times New Roman"/>
                <w:kern w:val="0"/>
                <w:sz w:val="18"/>
                <w:szCs w:val="20"/>
              </w:rPr>
              <w:t>.</w:t>
            </w:r>
            <w:r>
              <w:rPr>
                <w:rFonts w:hint="eastAsia" w:ascii="宋体" w:hAnsi="Times New Roman"/>
                <w:kern w:val="0"/>
                <w:sz w:val="18"/>
                <w:szCs w:val="20"/>
              </w:rPr>
              <w:t>性别身份和冶游史。</w:t>
            </w:r>
          </w:p>
        </w:tc>
      </w:tr>
    </w:tbl>
    <w:p>
      <w:pPr>
        <w:pStyle w:val="68"/>
        <w:spacing w:before="240" w:beforeLines="100" w:after="120"/>
      </w:pPr>
      <w:r>
        <w:rPr>
          <w:rFonts w:hint="eastAsia"/>
        </w:rPr>
        <w:t>生育力评估</w:t>
      </w:r>
    </w:p>
    <w:p>
      <w:pPr>
        <w:pStyle w:val="97"/>
        <w:spacing w:before="120" w:after="120"/>
      </w:pPr>
      <w:r>
        <w:rPr>
          <w:rFonts w:hint="eastAsia"/>
        </w:rPr>
        <w:t>必查项目</w:t>
      </w:r>
    </w:p>
    <w:p>
      <w:pPr>
        <w:pStyle w:val="101"/>
        <w:spacing w:before="120" w:after="120"/>
      </w:pPr>
      <w:r>
        <w:rPr>
          <w:rFonts w:hint="eastAsia"/>
        </w:rPr>
        <w:t>生殖系统体格检查</w:t>
      </w:r>
    </w:p>
    <w:p>
      <w:pPr>
        <w:pStyle w:val="59"/>
        <w:ind w:firstLine="420"/>
      </w:pPr>
      <w:r>
        <w:rPr>
          <w:rFonts w:hint="eastAsia"/>
        </w:rPr>
        <w:t>不育患者的体格检查应当查出特异影响生育的病理情况，并按表</w:t>
      </w:r>
      <w:r>
        <w:t>2</w:t>
      </w:r>
      <w:r>
        <w:rPr>
          <w:rFonts w:hint="eastAsia"/>
        </w:rPr>
        <w:t>进行评估。</w:t>
      </w:r>
    </w:p>
    <w:p>
      <w:pPr>
        <w:pStyle w:val="115"/>
        <w:spacing w:before="120" w:after="120"/>
      </w:pPr>
      <w:r>
        <w:rPr>
          <w:rFonts w:hint="eastAsia"/>
        </w:rPr>
        <w:t>男性体格检查表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1"/>
            </w:pPr>
            <w:r>
              <w:rPr>
                <w:rFonts w:hint="eastAsia"/>
              </w:rPr>
              <w:t>检查类型</w:t>
            </w:r>
          </w:p>
        </w:tc>
        <w:tc>
          <w:tcPr>
            <w:tcW w:w="7926" w:type="dxa"/>
            <w:tcBorders>
              <w:top w:val="single" w:color="auto" w:sz="8" w:space="0"/>
              <w:bottom w:val="single" w:color="auto" w:sz="8" w:space="0"/>
            </w:tcBorders>
            <w:shd w:val="clear" w:color="auto" w:fill="auto"/>
            <w:vAlign w:val="center"/>
          </w:tcPr>
          <w:p>
            <w:pPr>
              <w:pStyle w:val="181"/>
            </w:pPr>
            <w:r>
              <w:rPr>
                <w:rFonts w:hint="eastAsia"/>
              </w:rPr>
              <w:t>检查项目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1"/>
              <w:ind w:firstLine="180" w:firstLineChars="100"/>
              <w:jc w:val="left"/>
            </w:pPr>
            <w:r>
              <w:rPr>
                <w:rFonts w:hint="eastAsia"/>
              </w:rPr>
              <w:t>生命体征</w:t>
            </w:r>
          </w:p>
        </w:tc>
        <w:tc>
          <w:tcPr>
            <w:tcW w:w="7926" w:type="dxa"/>
            <w:tcBorders>
              <w:top w:val="single" w:color="auto" w:sz="8" w:space="0"/>
            </w:tcBorders>
            <w:shd w:val="clear" w:color="auto" w:fill="auto"/>
            <w:vAlign w:val="center"/>
          </w:tcPr>
          <w:p>
            <w:pPr>
              <w:pStyle w:val="181"/>
              <w:ind w:firstLine="180" w:firstLineChars="100"/>
              <w:jc w:val="left"/>
            </w:pPr>
            <w:r>
              <w:rPr>
                <w:rFonts w:hint="eastAsia"/>
              </w:rPr>
              <w:t>体温、呼吸、脉搏、血压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1"/>
              <w:ind w:firstLine="180" w:firstLineChars="100"/>
              <w:jc w:val="left"/>
            </w:pPr>
            <w:r>
              <w:rPr>
                <w:rFonts w:hint="eastAsia"/>
              </w:rPr>
              <w:t>一般情况</w:t>
            </w:r>
          </w:p>
        </w:tc>
        <w:tc>
          <w:tcPr>
            <w:tcW w:w="7926" w:type="dxa"/>
            <w:shd w:val="clear" w:color="auto" w:fill="auto"/>
            <w:vAlign w:val="center"/>
          </w:tcPr>
          <w:p>
            <w:pPr>
              <w:pStyle w:val="181"/>
              <w:ind w:firstLine="180" w:firstLineChars="100"/>
              <w:jc w:val="left"/>
            </w:pPr>
            <w:r>
              <w:rPr>
                <w:rFonts w:hint="eastAsia"/>
              </w:rPr>
              <w:t>身高、体重、</w:t>
            </w:r>
            <w:r>
              <w:t>BMI</w:t>
            </w:r>
            <w:r>
              <w:rPr>
                <w:rFonts w:hint="eastAsia"/>
              </w:rPr>
              <w:t>（见附录B表B</w:t>
            </w:r>
            <w:r>
              <w:t>.1</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1"/>
              <w:ind w:firstLine="180" w:firstLineChars="100"/>
              <w:jc w:val="left"/>
            </w:pPr>
            <w:r>
              <w:rPr>
                <w:rFonts w:hint="eastAsia"/>
              </w:rPr>
              <w:t>甲状腺检查</w:t>
            </w:r>
          </w:p>
        </w:tc>
        <w:tc>
          <w:tcPr>
            <w:tcW w:w="7926" w:type="dxa"/>
            <w:shd w:val="clear" w:color="auto" w:fill="auto"/>
            <w:vAlign w:val="center"/>
          </w:tcPr>
          <w:p>
            <w:pPr>
              <w:pStyle w:val="181"/>
              <w:ind w:firstLine="180" w:firstLineChars="100"/>
              <w:jc w:val="left"/>
            </w:pPr>
            <w:r>
              <w:rPr>
                <w:rFonts w:hint="eastAsia"/>
              </w:rPr>
              <w:t>甲状腺质地和大小，是否存在结节、压痛。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1"/>
              <w:ind w:firstLine="180" w:firstLineChars="100"/>
              <w:jc w:val="left"/>
            </w:pPr>
            <w:r>
              <w:rPr>
                <w:rFonts w:hint="eastAsia"/>
              </w:rPr>
              <w:t>外生殖器</w:t>
            </w:r>
            <w:r>
              <w:t>检查</w:t>
            </w:r>
          </w:p>
        </w:tc>
        <w:tc>
          <w:tcPr>
            <w:tcW w:w="7926" w:type="dxa"/>
            <w:shd w:val="clear" w:color="auto" w:fill="auto"/>
            <w:vAlign w:val="center"/>
          </w:tcPr>
          <w:p>
            <w:pPr>
              <w:pStyle w:val="181"/>
              <w:ind w:firstLine="180" w:firstLineChars="100"/>
              <w:jc w:val="left"/>
            </w:pPr>
            <w:r>
              <w:rPr>
                <w:rFonts w:hint="eastAsia"/>
              </w:rPr>
              <w:t>1</w:t>
            </w:r>
            <w:r>
              <w:t>.</w:t>
            </w:r>
            <w:r>
              <w:rPr>
                <w:rFonts w:hint="eastAsia"/>
              </w:rPr>
              <w:t>阴毛分布，阴茎长度，有无阴茎畸形，是否包皮过长或包茎，包皮和龟头是否有红斑、疱疹和糜烂溃疡，是否有阴茎海绵体硬结，尿道口是否有分泌物，有无尿道下裂、尿道上裂、尿道外口狭窄等妨碍性交及阴道内射精的疾病；</w:t>
            </w:r>
          </w:p>
          <w:p>
            <w:pPr>
              <w:pStyle w:val="181"/>
              <w:ind w:firstLine="180" w:firstLineChars="100"/>
              <w:jc w:val="left"/>
            </w:pPr>
            <w:r>
              <w:rPr>
                <w:rFonts w:hint="eastAsia"/>
              </w:rPr>
              <w:t>2</w:t>
            </w:r>
            <w:r>
              <w:t>.</w:t>
            </w:r>
            <w:r>
              <w:rPr>
                <w:rFonts w:hint="eastAsia"/>
              </w:rPr>
              <w:t>检查阴囊时应注意睾丸以及附睾的位置、质地、大小，有无压痛及肿块，附睾饱满程度及鞘膜积液。建议采用Prader睾丸模型进行睾丸大小测量。检查输精管时应注意有无缺如、增粗、结节或者触痛。触诊精索有无静脉曲张及其程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1"/>
              <w:ind w:firstLine="180" w:firstLineChars="100"/>
              <w:jc w:val="left"/>
            </w:pPr>
            <w:r>
              <w:rPr>
                <w:rFonts w:hint="eastAsia"/>
              </w:rPr>
              <w:t>其他检查</w:t>
            </w:r>
          </w:p>
        </w:tc>
        <w:tc>
          <w:tcPr>
            <w:tcW w:w="7926" w:type="dxa"/>
            <w:shd w:val="clear" w:color="auto" w:fill="auto"/>
            <w:vAlign w:val="center"/>
          </w:tcPr>
          <w:p>
            <w:pPr>
              <w:pStyle w:val="181"/>
              <w:ind w:firstLine="180" w:firstLineChars="100"/>
              <w:jc w:val="left"/>
            </w:pPr>
            <w:r>
              <w:rPr>
                <w:rFonts w:hint="eastAsia"/>
              </w:rPr>
              <w:t>1</w:t>
            </w:r>
            <w:r>
              <w:t>.</w:t>
            </w:r>
            <w:r>
              <w:rPr>
                <w:rFonts w:hint="eastAsia"/>
              </w:rPr>
              <w:t>对于射精障碍的患者，进行球海绵体肌反射等检查以排除神经系统疾病；</w:t>
            </w:r>
          </w:p>
          <w:p>
            <w:pPr>
              <w:pStyle w:val="181"/>
              <w:ind w:firstLine="180" w:firstLineChars="100"/>
              <w:jc w:val="left"/>
            </w:pPr>
            <w:r>
              <w:rPr>
                <w:rFonts w:hint="eastAsia"/>
              </w:rPr>
              <w:t>2</w:t>
            </w:r>
            <w:r>
              <w:t>.</w:t>
            </w:r>
            <w:r>
              <w:rPr>
                <w:rFonts w:hint="eastAsia"/>
              </w:rPr>
              <w:t>对于有前列腺相关病史或相关检查结果变化的患者，进行直肠指检，检查前列腺大小、质地，表面是否光滑，中间沟是否存在，有无结节和压痛。</w:t>
            </w:r>
          </w:p>
        </w:tc>
      </w:tr>
    </w:tbl>
    <w:p>
      <w:pPr>
        <w:pStyle w:val="101"/>
        <w:spacing w:before="240" w:beforeLines="100" w:after="120"/>
      </w:pPr>
      <w:r>
        <w:rPr>
          <w:rFonts w:hint="eastAsia"/>
        </w:rPr>
        <w:t>精液常规和形态学检查</w:t>
      </w:r>
    </w:p>
    <w:p>
      <w:pPr>
        <w:pStyle w:val="166"/>
        <w:ind w:left="0"/>
      </w:pPr>
      <w:r>
        <w:rPr>
          <w:rFonts w:hint="eastAsia"/>
        </w:rPr>
        <w:t>采集精液前应询问患者的状态，记录禁欲时间、取出精液到送检的间隔时间，取精前是否有高烧、饮酒、熬夜或使用某些药物等潜在影响检查结果的情况，取精时精液是否完整，如有遗漏，则记录遗漏前段还是后段的精液。</w:t>
      </w:r>
    </w:p>
    <w:p>
      <w:pPr>
        <w:pStyle w:val="166"/>
        <w:ind w:left="0"/>
      </w:pPr>
      <w:r>
        <w:rPr>
          <w:rFonts w:hint="eastAsia"/>
        </w:rPr>
        <w:t>采集精液样本的禁欲时间应控制在2</w:t>
      </w:r>
      <w:r>
        <w:rPr>
          <w:vertAlign w:val="superscript"/>
        </w:rPr>
        <w:t xml:space="preserve"> </w:t>
      </w:r>
      <w:r>
        <w:rPr>
          <w:rFonts w:hint="eastAsia"/>
        </w:rPr>
        <w:t>d</w:t>
      </w:r>
      <w:r>
        <w:rPr>
          <w:rFonts w:hint="eastAsia" w:hAnsi="宋体"/>
        </w:rPr>
        <w:t>～</w:t>
      </w:r>
      <w:r>
        <w:rPr>
          <w:rFonts w:hint="eastAsia"/>
        </w:rPr>
        <w:t>7</w:t>
      </w:r>
      <w:r>
        <w:rPr>
          <w:vertAlign w:val="superscript"/>
        </w:rPr>
        <w:t xml:space="preserve"> </w:t>
      </w:r>
      <w:r>
        <w:rPr>
          <w:rFonts w:hint="eastAsia"/>
        </w:rPr>
        <w:t>d内。</w:t>
      </w:r>
    </w:p>
    <w:p>
      <w:pPr>
        <w:pStyle w:val="166"/>
        <w:ind w:left="0"/>
      </w:pPr>
      <w:r>
        <w:rPr>
          <w:rFonts w:hint="eastAsia"/>
        </w:rPr>
        <w:t>宜通过手淫采集精液：</w:t>
      </w:r>
    </w:p>
    <w:p>
      <w:pPr>
        <w:pStyle w:val="135"/>
      </w:pPr>
      <w:r>
        <w:rPr>
          <w:rFonts w:hint="eastAsia"/>
        </w:rPr>
        <w:t>精液样本采集应完整，且受检者应报告精液样本任何部分的丢失情况；</w:t>
      </w:r>
    </w:p>
    <w:p>
      <w:pPr>
        <w:pStyle w:val="135"/>
      </w:pPr>
      <w:r>
        <w:rPr>
          <w:rFonts w:hint="eastAsia"/>
        </w:rPr>
        <w:t>避免精液暴露在温度波动的环境中，并且要控制从样本采集到分析之间的时间，宜在靠近实验室的私密房间内采集样本；</w:t>
      </w:r>
    </w:p>
    <w:p>
      <w:pPr>
        <w:pStyle w:val="135"/>
      </w:pPr>
      <w:r>
        <w:rPr>
          <w:rFonts w:hint="eastAsia"/>
        </w:rPr>
        <w:t>精液检查宜在样本采集后应在30</w:t>
      </w:r>
      <w:r>
        <w:rPr>
          <w:vertAlign w:val="superscript"/>
        </w:rPr>
        <w:t xml:space="preserve"> </w:t>
      </w:r>
      <w:r>
        <w:rPr>
          <w:rFonts w:hint="eastAsia"/>
        </w:rPr>
        <w:t>min～60</w:t>
      </w:r>
      <w:r>
        <w:rPr>
          <w:vertAlign w:val="superscript"/>
        </w:rPr>
        <w:t xml:space="preserve"> </w:t>
      </w:r>
      <w:r>
        <w:rPr>
          <w:rFonts w:hint="eastAsia"/>
        </w:rPr>
        <w:t>min内开始。</w:t>
      </w:r>
    </w:p>
    <w:p>
      <w:pPr>
        <w:pStyle w:val="182"/>
      </w:pPr>
      <w:r>
        <w:rPr>
          <w:rFonts w:hint="eastAsia"/>
        </w:rPr>
        <w:t>若未在实验室附近采集样本，运送时不应使样本温度低于20</w:t>
      </w:r>
      <w:r>
        <w:rPr>
          <w:vertAlign w:val="subscript"/>
        </w:rPr>
        <w:t xml:space="preserve"> </w:t>
      </w:r>
      <w:r>
        <w:rPr>
          <w:rFonts w:hint="eastAsia"/>
        </w:rPr>
        <w:t>℃或高于37</w:t>
      </w:r>
      <w:r>
        <w:rPr>
          <w:vertAlign w:val="superscript"/>
        </w:rPr>
        <w:t xml:space="preserve"> </w:t>
      </w:r>
      <w:r>
        <w:rPr>
          <w:rFonts w:hint="eastAsia"/>
        </w:rPr>
        <w:t>℃；若患者出于任何原因须在其他地方采集精液，在运送过程中，样本容器应放置在衣服之内并紧贴身体，如：运送期间放置在腋下，精液样本应在采集后30</w:t>
      </w:r>
      <w:r>
        <w:rPr>
          <w:vertAlign w:val="superscript"/>
        </w:rPr>
        <w:t xml:space="preserve"> </w:t>
      </w:r>
      <w:r>
        <w:rPr>
          <w:rFonts w:hint="eastAsia"/>
        </w:rPr>
        <w:t>min～50</w:t>
      </w:r>
      <w:r>
        <w:rPr>
          <w:vertAlign w:val="superscript"/>
        </w:rPr>
        <w:t xml:space="preserve"> </w:t>
      </w:r>
      <w:r>
        <w:rPr>
          <w:rFonts w:hint="eastAsia"/>
        </w:rPr>
        <w:t>min内送达实验室。</w:t>
      </w:r>
    </w:p>
    <w:p>
      <w:pPr>
        <w:pStyle w:val="166"/>
        <w:ind w:left="0"/>
      </w:pPr>
      <w:r>
        <w:rPr>
          <w:rFonts w:hint="eastAsia"/>
        </w:rPr>
        <w:t>精液颜色：</w:t>
      </w:r>
    </w:p>
    <w:p>
      <w:pPr>
        <w:pStyle w:val="135"/>
      </w:pPr>
      <w:r>
        <w:t>正常精液外观呈灰白色</w:t>
      </w:r>
      <w:r>
        <w:rPr>
          <w:rFonts w:hint="eastAsia"/>
        </w:rPr>
        <w:t>；</w:t>
      </w:r>
    </w:p>
    <w:p>
      <w:pPr>
        <w:pStyle w:val="135"/>
      </w:pPr>
      <w:r>
        <w:t>精液如呈红褐色或带血，常见于精囊腺炎、前列腺炎等生殖系统疾病，见于</w:t>
      </w:r>
      <w:r>
        <w:rPr>
          <w:rFonts w:hint="eastAsia"/>
        </w:rPr>
        <w:t>缪</w:t>
      </w:r>
      <w:r>
        <w:t>勒管囊肿、结石、肿瘤等</w:t>
      </w:r>
      <w:r>
        <w:rPr>
          <w:rFonts w:hint="eastAsia"/>
        </w:rPr>
        <w:t>；</w:t>
      </w:r>
    </w:p>
    <w:p>
      <w:pPr>
        <w:pStyle w:val="135"/>
      </w:pPr>
      <w:r>
        <w:t>精液清亮、透明见于无精子症或少精子症男性；黄疸、服用维生素或某些药物者的精液呈</w:t>
      </w:r>
      <w:r>
        <w:rPr>
          <w:rFonts w:hint="eastAsia"/>
        </w:rPr>
        <w:t>黄色。</w:t>
      </w:r>
    </w:p>
    <w:p>
      <w:pPr>
        <w:pStyle w:val="166"/>
        <w:ind w:left="0"/>
      </w:pPr>
      <w:r>
        <w:rPr>
          <w:rFonts w:hint="eastAsia"/>
        </w:rPr>
        <w:t>精液分析报告包括精液颜色、气味、量、pH值、液化时间、黏稠度、精子浓度与总数、精子活力及有无正常形态精子、有无白细胞。</w:t>
      </w:r>
    </w:p>
    <w:p>
      <w:pPr>
        <w:pStyle w:val="166"/>
        <w:ind w:left="0"/>
      </w:pPr>
      <w:r>
        <w:rPr>
          <w:rFonts w:hint="eastAsia"/>
        </w:rPr>
        <w:t>若</w:t>
      </w:r>
      <w:r>
        <w:t>第</w:t>
      </w:r>
      <w:r>
        <w:rPr>
          <w:rFonts w:hint="eastAsia"/>
        </w:rPr>
        <w:t>1</w:t>
      </w:r>
      <w:r>
        <w:t>次精液分析结果正常，</w:t>
      </w:r>
      <w:r>
        <w:rPr>
          <w:rFonts w:hint="eastAsia"/>
        </w:rPr>
        <w:t>无须</w:t>
      </w:r>
      <w:r>
        <w:t>进行第</w:t>
      </w:r>
      <w:r>
        <w:rPr>
          <w:rFonts w:hint="eastAsia"/>
        </w:rPr>
        <w:t>2</w:t>
      </w:r>
      <w:r>
        <w:t>次分析；</w:t>
      </w:r>
      <w:r>
        <w:rPr>
          <w:rFonts w:hint="eastAsia"/>
        </w:rPr>
        <w:t>如异常需进行第2次分析，若第2</w:t>
      </w:r>
      <w:r>
        <w:t>次精液分析结果与第</w:t>
      </w:r>
      <w:r>
        <w:rPr>
          <w:rFonts w:hint="eastAsia"/>
        </w:rPr>
        <w:t>1</w:t>
      </w:r>
      <w:r>
        <w:t>次相差显著，则</w:t>
      </w:r>
      <w:r>
        <w:rPr>
          <w:rFonts w:hint="eastAsia"/>
        </w:rPr>
        <w:t>须</w:t>
      </w:r>
      <w:r>
        <w:t>进行第</w:t>
      </w:r>
      <w:r>
        <w:rPr>
          <w:rFonts w:hint="eastAsia"/>
        </w:rPr>
        <w:t>3</w:t>
      </w:r>
      <w:r>
        <w:t>次精液分析。</w:t>
      </w:r>
      <w:r>
        <w:rPr>
          <w:rFonts w:hint="eastAsia"/>
        </w:rPr>
        <w:t>精液特性参考值见附录A表</w:t>
      </w:r>
      <w:r>
        <w:t>A.</w:t>
      </w:r>
      <w:r>
        <w:rPr>
          <w:rFonts w:hint="eastAsia"/>
        </w:rPr>
        <w:t>1、精液异常参考值见附录A表</w:t>
      </w:r>
      <w:r>
        <w:t>A.2</w:t>
      </w:r>
      <w:r>
        <w:rPr>
          <w:rFonts w:hint="eastAsia"/>
        </w:rPr>
        <w:t>。</w:t>
      </w:r>
    </w:p>
    <w:p>
      <w:pPr>
        <w:pStyle w:val="166"/>
        <w:ind w:left="0"/>
      </w:pPr>
      <w:r>
        <w:rPr>
          <w:rFonts w:hint="eastAsia"/>
        </w:rPr>
        <w:t>评估射精顺序，正常射精顺序为大部分精子在最前面的精液部分、主要和前列腺分泌液一起排出，而精液的后2/3以精囊液为主。</w:t>
      </w:r>
    </w:p>
    <w:p>
      <w:pPr>
        <w:pStyle w:val="101"/>
        <w:spacing w:before="120" w:after="120"/>
      </w:pPr>
      <w:r>
        <w:rPr>
          <w:rFonts w:hint="eastAsia"/>
        </w:rPr>
        <w:t>生殖道常见病原体检查</w:t>
      </w:r>
    </w:p>
    <w:p>
      <w:pPr>
        <w:pStyle w:val="166"/>
        <w:numPr>
          <w:ilvl w:val="0"/>
          <w:numId w:val="0"/>
        </w:numPr>
        <w:ind w:firstLine="420" w:firstLineChars="200"/>
      </w:pPr>
      <w:r>
        <w:rPr>
          <w:rFonts w:hint="eastAsia"/>
        </w:rPr>
        <w:t>进行</w:t>
      </w:r>
      <w:bookmarkStart w:id="47" w:name="_Hlk170290177"/>
      <w:r>
        <w:rPr>
          <w:rFonts w:hint="eastAsia"/>
        </w:rPr>
        <w:t>精液病原体检查</w:t>
      </w:r>
      <w:bookmarkEnd w:id="47"/>
      <w:r>
        <w:rPr>
          <w:rFonts w:hint="eastAsia"/>
        </w:rPr>
        <w:t>（按表3），包括细菌检查（革兰阳性菌如淋病奈瑟菌），衣原体和支原体检查。</w:t>
      </w:r>
    </w:p>
    <w:p>
      <w:pPr>
        <w:pStyle w:val="115"/>
        <w:spacing w:before="120" w:after="120"/>
      </w:pPr>
      <w:r>
        <w:rPr>
          <w:rFonts w:hint="eastAsia"/>
        </w:rPr>
        <w:t>精液病原体检查表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81"/>
            </w:pPr>
            <w:r>
              <w:rPr>
                <w:rFonts w:hint="eastAsia"/>
              </w:rPr>
              <w:t>病原体分类</w:t>
            </w:r>
          </w:p>
        </w:tc>
        <w:tc>
          <w:tcPr>
            <w:tcW w:w="4667" w:type="dxa"/>
            <w:tcBorders>
              <w:top w:val="single" w:color="auto" w:sz="8" w:space="0"/>
              <w:bottom w:val="single" w:color="auto" w:sz="8" w:space="0"/>
            </w:tcBorders>
            <w:shd w:val="clear" w:color="auto" w:fill="auto"/>
            <w:vAlign w:val="center"/>
          </w:tcPr>
          <w:p>
            <w:pPr>
              <w:pStyle w:val="181"/>
            </w:pPr>
            <w:r>
              <w:rPr>
                <w:rFonts w:hint="eastAsia"/>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r>
              <w:rPr>
                <w:rFonts w:hint="eastAsia"/>
              </w:rPr>
              <w:t>细菌</w:t>
            </w:r>
          </w:p>
        </w:tc>
        <w:tc>
          <w:tcPr>
            <w:tcW w:w="4667" w:type="dxa"/>
            <w:vAlign w:val="center"/>
          </w:tcPr>
          <w:p>
            <w:pPr>
              <w:pStyle w:val="181"/>
            </w:pPr>
            <w:r>
              <w:rPr>
                <w:rFonts w:hint="eastAsia"/>
              </w:rPr>
              <w:t>培养法、PCR法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r>
              <w:rPr>
                <w:rFonts w:hint="eastAsia"/>
              </w:rPr>
              <w:t>支原体</w:t>
            </w:r>
          </w:p>
        </w:tc>
        <w:tc>
          <w:tcPr>
            <w:tcW w:w="4667" w:type="dxa"/>
            <w:vAlign w:val="center"/>
          </w:tcPr>
          <w:p>
            <w:pPr>
              <w:pStyle w:val="181"/>
            </w:pPr>
            <w:r>
              <w:rPr>
                <w:rFonts w:hint="eastAsia"/>
              </w:rPr>
              <w:t>培养法、PCR法、免疫斑点试验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r>
              <w:rPr>
                <w:rFonts w:hint="eastAsia"/>
              </w:rPr>
              <w:t>衣原体</w:t>
            </w:r>
          </w:p>
        </w:tc>
        <w:tc>
          <w:tcPr>
            <w:tcW w:w="4667" w:type="dxa"/>
            <w:vAlign w:val="center"/>
          </w:tcPr>
          <w:p>
            <w:pPr>
              <w:pStyle w:val="181"/>
            </w:pPr>
            <w:r>
              <w:rPr>
                <w:rFonts w:hint="eastAsia"/>
              </w:rPr>
              <w:t>培养法、PCR法、血清抗体法、直接免疫荧光法、糖原实验、连接酶链反应法</w:t>
            </w:r>
          </w:p>
        </w:tc>
      </w:tr>
    </w:tbl>
    <w:p>
      <w:pPr>
        <w:pStyle w:val="101"/>
        <w:spacing w:before="240" w:beforeLines="100" w:after="120"/>
      </w:pPr>
      <w:r>
        <w:rPr>
          <w:rFonts w:hint="eastAsia"/>
        </w:rPr>
        <w:t>生殖内分泌检测</w:t>
      </w:r>
    </w:p>
    <w:p>
      <w:pPr>
        <w:pStyle w:val="166"/>
        <w:ind w:left="0"/>
      </w:pPr>
      <w:r>
        <w:rPr>
          <w:rFonts w:hint="eastAsia"/>
        </w:rPr>
        <w:t>进行外周血生殖内分泌检测，检测促卵泡成熟激素（FSH）、黄体生成激素(LH)、催乳素(PRL)、雌二醇(E</w:t>
      </w:r>
      <w:r>
        <w:rPr>
          <w:rFonts w:hint="eastAsia"/>
          <w:vertAlign w:val="subscript"/>
        </w:rPr>
        <w:t>2</w:t>
      </w:r>
      <w:r>
        <w:rPr>
          <w:rFonts w:hint="eastAsia"/>
        </w:rPr>
        <w:t>)、睾酮（T）、促甲状腺激素（TSH）、抑制素B水平，宜在上午10:00前空腹抽血。</w:t>
      </w:r>
    </w:p>
    <w:p>
      <w:pPr>
        <w:pStyle w:val="166"/>
        <w:ind w:left="0"/>
      </w:pPr>
      <w:r>
        <w:rPr>
          <w:rFonts w:hint="eastAsia"/>
        </w:rPr>
        <w:t>生殖内分泌分析见附录A表</w:t>
      </w:r>
      <w:r>
        <w:t>A.3</w:t>
      </w:r>
      <w:r>
        <w:rPr>
          <w:rFonts w:hint="eastAsia"/>
        </w:rPr>
        <w:t>。</w:t>
      </w:r>
    </w:p>
    <w:p>
      <w:pPr>
        <w:pStyle w:val="97"/>
        <w:spacing w:before="240" w:beforeLines="100" w:after="120"/>
      </w:pPr>
      <w:r>
        <w:rPr>
          <w:rFonts w:hint="eastAsia"/>
        </w:rPr>
        <w:t>选查项目</w:t>
      </w:r>
    </w:p>
    <w:p>
      <w:pPr>
        <w:pStyle w:val="101"/>
        <w:spacing w:before="120" w:after="120"/>
      </w:pPr>
      <w:r>
        <w:rPr>
          <w:rFonts w:hint="eastAsia"/>
        </w:rPr>
        <w:t>性功能评估</w:t>
      </w:r>
    </w:p>
    <w:p>
      <w:pPr>
        <w:pStyle w:val="166"/>
        <w:ind w:left="0"/>
      </w:pPr>
      <w:r>
        <w:rPr>
          <w:rFonts w:hint="eastAsia"/>
        </w:rPr>
        <w:t>对于性生活不满意的患者，宜进行性功能评估，完成勃起功能障碍、射精功能障碍、性欲障碍评估，按表4进行早泄分类。</w:t>
      </w:r>
    </w:p>
    <w:p>
      <w:pPr>
        <w:pStyle w:val="115"/>
        <w:spacing w:before="120" w:after="120"/>
      </w:pPr>
      <w:r>
        <w:rPr>
          <w:rFonts w:hint="eastAsia"/>
        </w:rPr>
        <w:t>早泄分类</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701"/>
        <w:gridCol w:w="1843"/>
        <w:gridCol w:w="1701"/>
        <w:gridCol w:w="32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属性</w:t>
            </w:r>
          </w:p>
        </w:tc>
        <w:tc>
          <w:tcPr>
            <w:tcW w:w="1701"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原发性早泄</w:t>
            </w:r>
          </w:p>
        </w:tc>
        <w:tc>
          <w:tcPr>
            <w:tcW w:w="1843"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继发性早泄</w:t>
            </w:r>
          </w:p>
        </w:tc>
        <w:tc>
          <w:tcPr>
            <w:tcW w:w="1701"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自然变异性早泄</w:t>
            </w:r>
          </w:p>
        </w:tc>
        <w:tc>
          <w:tcPr>
            <w:tcW w:w="3248"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主观性早泄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8" w:space="0"/>
            </w:tcBorders>
            <w:shd w:val="clear" w:color="auto" w:fill="auto"/>
            <w:vAlign w:val="center"/>
          </w:tcPr>
          <w:p>
            <w:pPr>
              <w:spacing w:line="240" w:lineRule="auto"/>
              <w:jc w:val="center"/>
              <w:rPr>
                <w:sz w:val="18"/>
              </w:rPr>
            </w:pPr>
            <w:r>
              <w:rPr>
                <w:rFonts w:hint="eastAsia"/>
                <w:sz w:val="18"/>
              </w:rPr>
              <w:t>阴道内射精</w:t>
            </w:r>
          </w:p>
        </w:tc>
        <w:tc>
          <w:tcPr>
            <w:tcW w:w="1701" w:type="dxa"/>
            <w:tcBorders>
              <w:top w:val="single" w:color="auto" w:sz="8" w:space="0"/>
            </w:tcBorders>
            <w:shd w:val="clear" w:color="auto" w:fill="auto"/>
            <w:vAlign w:val="center"/>
          </w:tcPr>
          <w:p>
            <w:pPr>
              <w:spacing w:line="240" w:lineRule="auto"/>
              <w:ind w:firstLine="180" w:firstLineChars="100"/>
              <w:jc w:val="center"/>
              <w:rPr>
                <w:sz w:val="18"/>
              </w:rPr>
            </w:pPr>
            <w:r>
              <w:rPr>
                <w:rFonts w:hint="eastAsia"/>
                <w:sz w:val="18"/>
              </w:rPr>
              <w:t>很短（1</w:t>
            </w:r>
            <w:r>
              <w:rPr>
                <w:sz w:val="18"/>
                <w:vertAlign w:val="superscript"/>
              </w:rPr>
              <w:t xml:space="preserve"> </w:t>
            </w:r>
            <w:r>
              <w:rPr>
                <w:sz w:val="18"/>
              </w:rPr>
              <w:t>min</w:t>
            </w:r>
            <w:r>
              <w:rPr>
                <w:rFonts w:hint="eastAsia"/>
                <w:sz w:val="18"/>
              </w:rPr>
              <w:t>）</w:t>
            </w:r>
          </w:p>
        </w:tc>
        <w:tc>
          <w:tcPr>
            <w:tcW w:w="1843" w:type="dxa"/>
            <w:tcBorders>
              <w:top w:val="single" w:color="auto" w:sz="8" w:space="0"/>
            </w:tcBorders>
            <w:shd w:val="clear" w:color="auto" w:fill="auto"/>
            <w:vAlign w:val="center"/>
          </w:tcPr>
          <w:p>
            <w:pPr>
              <w:spacing w:line="240" w:lineRule="auto"/>
              <w:ind w:firstLine="180" w:firstLineChars="100"/>
              <w:jc w:val="center"/>
              <w:rPr>
                <w:sz w:val="18"/>
              </w:rPr>
            </w:pPr>
            <w:r>
              <w:rPr>
                <w:rFonts w:hint="eastAsia"/>
                <w:sz w:val="18"/>
              </w:rPr>
              <w:t>短（</w:t>
            </w:r>
            <w:r>
              <w:rPr>
                <w:rFonts w:hint="eastAsia" w:hAnsi="宋体"/>
                <w:sz w:val="18"/>
              </w:rPr>
              <w:t>＜</w:t>
            </w:r>
            <w:r>
              <w:rPr>
                <w:sz w:val="18"/>
              </w:rPr>
              <w:t>3</w:t>
            </w:r>
            <w:r>
              <w:rPr>
                <w:sz w:val="18"/>
                <w:vertAlign w:val="superscript"/>
              </w:rPr>
              <w:t xml:space="preserve"> </w:t>
            </w:r>
            <w:r>
              <w:rPr>
                <w:sz w:val="18"/>
              </w:rPr>
              <w:t>min</w:t>
            </w:r>
            <w:r>
              <w:rPr>
                <w:rFonts w:hint="eastAsia"/>
                <w:sz w:val="18"/>
              </w:rPr>
              <w:t>）</w:t>
            </w:r>
          </w:p>
        </w:tc>
        <w:tc>
          <w:tcPr>
            <w:tcW w:w="1701" w:type="dxa"/>
            <w:tcBorders>
              <w:top w:val="single" w:color="auto" w:sz="8" w:space="0"/>
            </w:tcBorders>
            <w:shd w:val="clear" w:color="auto" w:fill="auto"/>
            <w:vAlign w:val="center"/>
          </w:tcPr>
          <w:p>
            <w:pPr>
              <w:spacing w:line="240" w:lineRule="auto"/>
              <w:ind w:firstLine="180" w:firstLineChars="100"/>
              <w:jc w:val="center"/>
              <w:rPr>
                <w:sz w:val="18"/>
              </w:rPr>
            </w:pPr>
            <w:r>
              <w:rPr>
                <w:rFonts w:hint="eastAsia"/>
                <w:sz w:val="18"/>
              </w:rPr>
              <w:t>正常</w:t>
            </w:r>
          </w:p>
          <w:p>
            <w:pPr>
              <w:spacing w:line="240" w:lineRule="auto"/>
              <w:ind w:firstLine="180" w:firstLineChars="100"/>
              <w:jc w:val="center"/>
              <w:rPr>
                <w:sz w:val="18"/>
              </w:rPr>
            </w:pPr>
            <w:r>
              <w:rPr>
                <w:rFonts w:hint="eastAsia"/>
                <w:sz w:val="18"/>
              </w:rPr>
              <w:t>（3</w:t>
            </w:r>
            <w:r>
              <w:rPr>
                <w:sz w:val="18"/>
                <w:vertAlign w:val="superscript"/>
              </w:rPr>
              <w:t xml:space="preserve"> </w:t>
            </w:r>
            <w:r>
              <w:rPr>
                <w:sz w:val="18"/>
              </w:rPr>
              <w:t>min</w:t>
            </w:r>
            <w:r>
              <w:rPr>
                <w:rFonts w:hint="eastAsia" w:hAnsi="宋体"/>
                <w:sz w:val="18"/>
              </w:rPr>
              <w:t>～</w:t>
            </w:r>
            <w:r>
              <w:rPr>
                <w:sz w:val="18"/>
              </w:rPr>
              <w:t>8</w:t>
            </w:r>
            <w:r>
              <w:rPr>
                <w:sz w:val="18"/>
                <w:vertAlign w:val="superscript"/>
              </w:rPr>
              <w:t xml:space="preserve"> </w:t>
            </w:r>
            <w:r>
              <w:rPr>
                <w:sz w:val="18"/>
              </w:rPr>
              <w:t>min</w:t>
            </w:r>
            <w:r>
              <w:rPr>
                <w:rFonts w:hint="eastAsia"/>
                <w:sz w:val="18"/>
              </w:rPr>
              <w:t>）</w:t>
            </w:r>
          </w:p>
        </w:tc>
        <w:tc>
          <w:tcPr>
            <w:tcW w:w="3248" w:type="dxa"/>
            <w:tcBorders>
              <w:top w:val="single" w:color="auto" w:sz="8" w:space="0"/>
            </w:tcBorders>
            <w:shd w:val="clear" w:color="auto" w:fill="auto"/>
            <w:vAlign w:val="center"/>
          </w:tcPr>
          <w:p>
            <w:pPr>
              <w:spacing w:line="240" w:lineRule="auto"/>
              <w:ind w:firstLine="180" w:firstLineChars="100"/>
              <w:jc w:val="center"/>
              <w:rPr>
                <w:sz w:val="18"/>
              </w:rPr>
            </w:pPr>
            <w:r>
              <w:rPr>
                <w:rFonts w:hint="eastAsia"/>
                <w:sz w:val="18"/>
              </w:rPr>
              <w:t>正常或者延长（3</w:t>
            </w:r>
            <w:r>
              <w:rPr>
                <w:sz w:val="18"/>
                <w:vertAlign w:val="superscript"/>
              </w:rPr>
              <w:t xml:space="preserve"> </w:t>
            </w:r>
            <w:r>
              <w:rPr>
                <w:sz w:val="18"/>
              </w:rPr>
              <w:t>min</w:t>
            </w:r>
            <w:r>
              <w:rPr>
                <w:rFonts w:hint="eastAsia"/>
                <w:sz w:val="18"/>
              </w:rPr>
              <w:t>～3</w:t>
            </w:r>
            <w:r>
              <w:rPr>
                <w:sz w:val="18"/>
              </w:rPr>
              <w:t>0</w:t>
            </w:r>
            <w:r>
              <w:rPr>
                <w:sz w:val="18"/>
                <w:vertAlign w:val="superscript"/>
              </w:rPr>
              <w:t xml:space="preserve"> </w:t>
            </w:r>
            <w:r>
              <w:rPr>
                <w:sz w:val="18"/>
              </w:rPr>
              <w:t>min</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spacing w:line="240" w:lineRule="auto"/>
              <w:ind w:firstLine="180" w:firstLineChars="100"/>
              <w:jc w:val="center"/>
              <w:rPr>
                <w:sz w:val="18"/>
              </w:rPr>
            </w:pPr>
            <w:r>
              <w:rPr>
                <w:rFonts w:hint="eastAsia"/>
                <w:sz w:val="18"/>
              </w:rPr>
              <w:t>症状</w:t>
            </w:r>
          </w:p>
        </w:tc>
        <w:tc>
          <w:tcPr>
            <w:tcW w:w="1701" w:type="dxa"/>
            <w:shd w:val="clear" w:color="auto" w:fill="auto"/>
            <w:vAlign w:val="center"/>
          </w:tcPr>
          <w:p>
            <w:pPr>
              <w:spacing w:line="240" w:lineRule="auto"/>
              <w:ind w:firstLine="180" w:firstLineChars="100"/>
              <w:jc w:val="center"/>
              <w:rPr>
                <w:sz w:val="18"/>
              </w:rPr>
            </w:pPr>
            <w:r>
              <w:rPr>
                <w:rFonts w:hint="eastAsia"/>
                <w:sz w:val="18"/>
              </w:rPr>
              <w:t>持续性</w:t>
            </w:r>
          </w:p>
        </w:tc>
        <w:tc>
          <w:tcPr>
            <w:tcW w:w="1843" w:type="dxa"/>
            <w:shd w:val="clear" w:color="auto" w:fill="auto"/>
            <w:vAlign w:val="center"/>
          </w:tcPr>
          <w:p>
            <w:pPr>
              <w:spacing w:line="240" w:lineRule="auto"/>
              <w:ind w:firstLine="180" w:firstLineChars="100"/>
              <w:jc w:val="center"/>
              <w:rPr>
                <w:sz w:val="18"/>
              </w:rPr>
            </w:pPr>
            <w:r>
              <w:rPr>
                <w:rFonts w:hint="eastAsia"/>
                <w:sz w:val="18"/>
              </w:rPr>
              <w:t>新出现的早泄，继发于某个已知的病因；既往射精时间正常</w:t>
            </w:r>
          </w:p>
        </w:tc>
        <w:tc>
          <w:tcPr>
            <w:tcW w:w="1701" w:type="dxa"/>
            <w:shd w:val="clear" w:color="auto" w:fill="auto"/>
            <w:vAlign w:val="center"/>
          </w:tcPr>
          <w:p>
            <w:pPr>
              <w:spacing w:line="240" w:lineRule="auto"/>
              <w:ind w:firstLine="180" w:firstLineChars="100"/>
              <w:jc w:val="center"/>
              <w:rPr>
                <w:sz w:val="18"/>
              </w:rPr>
            </w:pPr>
            <w:r>
              <w:rPr>
                <w:rFonts w:hint="eastAsia"/>
                <w:sz w:val="18"/>
              </w:rPr>
              <w:t>不一致</w:t>
            </w:r>
          </w:p>
        </w:tc>
        <w:tc>
          <w:tcPr>
            <w:tcW w:w="3248" w:type="dxa"/>
            <w:shd w:val="clear" w:color="auto" w:fill="auto"/>
            <w:vAlign w:val="center"/>
          </w:tcPr>
          <w:p>
            <w:pPr>
              <w:spacing w:line="240" w:lineRule="auto"/>
              <w:ind w:firstLine="180" w:firstLineChars="100"/>
              <w:jc w:val="center"/>
              <w:rPr>
                <w:sz w:val="18"/>
              </w:rPr>
            </w:pPr>
            <w:r>
              <w:rPr>
                <w:rFonts w:hint="eastAsia"/>
                <w:sz w:val="18"/>
              </w:rPr>
              <w:t>主观上的早泄，尽管射精时间正常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spacing w:line="240" w:lineRule="auto"/>
              <w:ind w:firstLine="180" w:firstLineChars="100"/>
              <w:jc w:val="center"/>
              <w:rPr>
                <w:sz w:val="18"/>
              </w:rPr>
            </w:pPr>
            <w:r>
              <w:rPr>
                <w:rFonts w:hint="eastAsia"/>
                <w:sz w:val="18"/>
              </w:rPr>
              <w:t>病因</w:t>
            </w:r>
          </w:p>
        </w:tc>
        <w:tc>
          <w:tcPr>
            <w:tcW w:w="1701" w:type="dxa"/>
            <w:shd w:val="clear" w:color="auto" w:fill="auto"/>
            <w:vAlign w:val="center"/>
          </w:tcPr>
          <w:p>
            <w:pPr>
              <w:spacing w:line="240" w:lineRule="auto"/>
              <w:ind w:firstLine="180" w:firstLineChars="100"/>
              <w:jc w:val="center"/>
              <w:rPr>
                <w:sz w:val="18"/>
              </w:rPr>
            </w:pPr>
            <w:r>
              <w:rPr>
                <w:rFonts w:hint="eastAsia"/>
                <w:sz w:val="18"/>
              </w:rPr>
              <w:t>神经生物学的及遗传的</w:t>
            </w:r>
          </w:p>
        </w:tc>
        <w:tc>
          <w:tcPr>
            <w:tcW w:w="1843" w:type="dxa"/>
            <w:shd w:val="clear" w:color="auto" w:fill="auto"/>
            <w:vAlign w:val="center"/>
          </w:tcPr>
          <w:p>
            <w:pPr>
              <w:spacing w:line="240" w:lineRule="auto"/>
              <w:ind w:firstLine="180" w:firstLineChars="100"/>
              <w:jc w:val="center"/>
              <w:rPr>
                <w:sz w:val="18"/>
              </w:rPr>
            </w:pPr>
            <w:r>
              <w:rPr>
                <w:rFonts w:hint="eastAsia"/>
                <w:sz w:val="18"/>
              </w:rPr>
              <w:t>医学的或心理的</w:t>
            </w:r>
          </w:p>
        </w:tc>
        <w:tc>
          <w:tcPr>
            <w:tcW w:w="1701" w:type="dxa"/>
            <w:shd w:val="clear" w:color="auto" w:fill="auto"/>
            <w:vAlign w:val="center"/>
          </w:tcPr>
          <w:p>
            <w:pPr>
              <w:spacing w:line="240" w:lineRule="auto"/>
              <w:ind w:firstLine="180" w:firstLineChars="100"/>
              <w:jc w:val="center"/>
              <w:rPr>
                <w:sz w:val="18"/>
              </w:rPr>
            </w:pPr>
            <w:r>
              <w:rPr>
                <w:rFonts w:hint="eastAsia"/>
                <w:sz w:val="18"/>
              </w:rPr>
              <w:t>境遇性</w:t>
            </w:r>
          </w:p>
        </w:tc>
        <w:tc>
          <w:tcPr>
            <w:tcW w:w="3248" w:type="dxa"/>
            <w:shd w:val="clear" w:color="auto" w:fill="auto"/>
            <w:vAlign w:val="center"/>
          </w:tcPr>
          <w:p>
            <w:pPr>
              <w:spacing w:line="240" w:lineRule="auto"/>
              <w:ind w:firstLine="180" w:firstLineChars="100"/>
              <w:jc w:val="center"/>
              <w:rPr>
                <w:sz w:val="18"/>
              </w:rPr>
            </w:pPr>
            <w:r>
              <w:rPr>
                <w:rFonts w:hint="eastAsia"/>
                <w:sz w:val="18"/>
              </w:rPr>
              <w:t>心理的</w:t>
            </w:r>
          </w:p>
        </w:tc>
      </w:tr>
    </w:tbl>
    <w:p>
      <w:pPr>
        <w:pStyle w:val="59"/>
        <w:spacing w:before="120" w:beforeLines="50" w:after="120" w:afterLines="50"/>
        <w:ind w:firstLine="0" w:firstLineChars="0"/>
        <w:jc w:val="center"/>
        <w:rPr>
          <w:rFonts w:ascii="黑体" w:hAnsi="黑体" w:eastAsia="黑体"/>
        </w:rPr>
      </w:pPr>
      <w:r>
        <w:rPr>
          <w:rFonts w:hint="eastAsia" w:ascii="黑体" w:hAnsi="黑体" w:eastAsia="黑体"/>
        </w:rPr>
        <w:t>表4  早泄分类</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701"/>
        <w:gridCol w:w="1843"/>
        <w:gridCol w:w="1701"/>
        <w:gridCol w:w="32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属性</w:t>
            </w:r>
          </w:p>
        </w:tc>
        <w:tc>
          <w:tcPr>
            <w:tcW w:w="1701"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原发性早泄</w:t>
            </w:r>
          </w:p>
        </w:tc>
        <w:tc>
          <w:tcPr>
            <w:tcW w:w="1843"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继发性早泄</w:t>
            </w:r>
          </w:p>
        </w:tc>
        <w:tc>
          <w:tcPr>
            <w:tcW w:w="1701"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自然变异性早泄</w:t>
            </w:r>
          </w:p>
        </w:tc>
        <w:tc>
          <w:tcPr>
            <w:tcW w:w="3248"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主观性早泄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bottom w:val="single" w:color="auto" w:sz="2" w:space="0"/>
            </w:tcBorders>
            <w:shd w:val="clear" w:color="auto" w:fill="auto"/>
            <w:vAlign w:val="center"/>
          </w:tcPr>
          <w:p>
            <w:pPr>
              <w:spacing w:line="240" w:lineRule="auto"/>
              <w:ind w:firstLine="180" w:firstLineChars="100"/>
              <w:jc w:val="center"/>
              <w:rPr>
                <w:sz w:val="18"/>
              </w:rPr>
            </w:pPr>
            <w:r>
              <w:rPr>
                <w:rFonts w:hint="eastAsia"/>
                <w:sz w:val="18"/>
              </w:rPr>
              <w:t>治疗</w:t>
            </w:r>
          </w:p>
        </w:tc>
        <w:tc>
          <w:tcPr>
            <w:tcW w:w="1701" w:type="dxa"/>
            <w:tcBorders>
              <w:bottom w:val="single" w:color="auto" w:sz="2" w:space="0"/>
            </w:tcBorders>
            <w:shd w:val="clear" w:color="auto" w:fill="auto"/>
            <w:vAlign w:val="center"/>
          </w:tcPr>
          <w:p>
            <w:pPr>
              <w:spacing w:line="240" w:lineRule="auto"/>
              <w:ind w:firstLine="180" w:firstLineChars="100"/>
              <w:jc w:val="center"/>
              <w:rPr>
                <w:sz w:val="18"/>
              </w:rPr>
            </w:pPr>
            <w:r>
              <w:rPr>
                <w:rFonts w:hint="eastAsia"/>
                <w:sz w:val="18"/>
              </w:rPr>
              <w:t>药物伴咨询</w:t>
            </w:r>
          </w:p>
        </w:tc>
        <w:tc>
          <w:tcPr>
            <w:tcW w:w="1843" w:type="dxa"/>
            <w:tcBorders>
              <w:bottom w:val="single" w:color="auto" w:sz="2" w:space="0"/>
            </w:tcBorders>
            <w:shd w:val="clear" w:color="auto" w:fill="auto"/>
            <w:vAlign w:val="center"/>
          </w:tcPr>
          <w:p>
            <w:pPr>
              <w:spacing w:line="240" w:lineRule="auto"/>
              <w:ind w:firstLine="180" w:firstLineChars="100"/>
              <w:jc w:val="center"/>
              <w:rPr>
                <w:sz w:val="18"/>
              </w:rPr>
            </w:pPr>
            <w:r>
              <w:rPr>
                <w:rFonts w:hint="eastAsia"/>
                <w:sz w:val="18"/>
              </w:rPr>
              <w:t>药物伴心理治疗</w:t>
            </w:r>
          </w:p>
        </w:tc>
        <w:tc>
          <w:tcPr>
            <w:tcW w:w="1701" w:type="dxa"/>
            <w:tcBorders>
              <w:bottom w:val="single" w:color="auto" w:sz="2" w:space="0"/>
            </w:tcBorders>
            <w:shd w:val="clear" w:color="auto" w:fill="auto"/>
            <w:vAlign w:val="center"/>
          </w:tcPr>
          <w:p>
            <w:pPr>
              <w:spacing w:line="240" w:lineRule="auto"/>
              <w:ind w:firstLine="180" w:firstLineChars="100"/>
              <w:jc w:val="center"/>
              <w:rPr>
                <w:sz w:val="18"/>
              </w:rPr>
            </w:pPr>
            <w:r>
              <w:rPr>
                <w:rFonts w:hint="eastAsia"/>
                <w:sz w:val="18"/>
              </w:rPr>
              <w:t>心理教育</w:t>
            </w:r>
          </w:p>
        </w:tc>
        <w:tc>
          <w:tcPr>
            <w:tcW w:w="3248" w:type="dxa"/>
            <w:tcBorders>
              <w:bottom w:val="single" w:color="auto" w:sz="2" w:space="0"/>
            </w:tcBorders>
            <w:shd w:val="clear" w:color="auto" w:fill="auto"/>
            <w:vAlign w:val="center"/>
          </w:tcPr>
          <w:p>
            <w:pPr>
              <w:spacing w:line="240" w:lineRule="auto"/>
              <w:ind w:firstLine="180" w:firstLineChars="100"/>
              <w:jc w:val="center"/>
              <w:rPr>
                <w:sz w:val="18"/>
              </w:rPr>
            </w:pPr>
            <w:r>
              <w:rPr>
                <w:rFonts w:hint="eastAsia"/>
                <w:sz w:val="18"/>
              </w:rPr>
              <w:t>心理治疗必要时辅以药物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2" w:space="0"/>
              <w:bottom w:val="single" w:color="auto" w:sz="8" w:space="0"/>
            </w:tcBorders>
            <w:shd w:val="clear" w:color="auto" w:fill="auto"/>
            <w:vAlign w:val="center"/>
          </w:tcPr>
          <w:p>
            <w:pPr>
              <w:spacing w:line="240" w:lineRule="auto"/>
              <w:ind w:firstLine="180" w:firstLineChars="100"/>
              <w:jc w:val="center"/>
              <w:rPr>
                <w:sz w:val="18"/>
              </w:rPr>
            </w:pPr>
            <w:r>
              <w:rPr>
                <w:rFonts w:hint="eastAsia"/>
                <w:sz w:val="18"/>
              </w:rPr>
              <w:t>患病率</w:t>
            </w:r>
          </w:p>
        </w:tc>
        <w:tc>
          <w:tcPr>
            <w:tcW w:w="1701" w:type="dxa"/>
            <w:tcBorders>
              <w:top w:val="single" w:color="auto" w:sz="2" w:space="0"/>
              <w:bottom w:val="single" w:color="auto" w:sz="8" w:space="0"/>
            </w:tcBorders>
            <w:shd w:val="clear" w:color="auto" w:fill="auto"/>
            <w:vAlign w:val="center"/>
          </w:tcPr>
          <w:p>
            <w:pPr>
              <w:spacing w:line="240" w:lineRule="auto"/>
              <w:ind w:firstLine="180" w:firstLineChars="100"/>
              <w:jc w:val="center"/>
              <w:rPr>
                <w:sz w:val="18"/>
              </w:rPr>
            </w:pPr>
            <w:r>
              <w:rPr>
                <w:rFonts w:hint="eastAsia"/>
                <w:sz w:val="18"/>
              </w:rPr>
              <w:t>低</w:t>
            </w:r>
          </w:p>
        </w:tc>
        <w:tc>
          <w:tcPr>
            <w:tcW w:w="1843" w:type="dxa"/>
            <w:tcBorders>
              <w:top w:val="single" w:color="auto" w:sz="2" w:space="0"/>
              <w:bottom w:val="single" w:color="auto" w:sz="8" w:space="0"/>
            </w:tcBorders>
            <w:shd w:val="clear" w:color="auto" w:fill="auto"/>
            <w:vAlign w:val="center"/>
          </w:tcPr>
          <w:p>
            <w:pPr>
              <w:spacing w:line="240" w:lineRule="auto"/>
              <w:ind w:firstLine="180" w:firstLineChars="100"/>
              <w:jc w:val="center"/>
              <w:rPr>
                <w:sz w:val="18"/>
              </w:rPr>
            </w:pPr>
            <w:r>
              <w:rPr>
                <w:rFonts w:hint="eastAsia"/>
                <w:sz w:val="18"/>
              </w:rPr>
              <w:t>低</w:t>
            </w:r>
          </w:p>
        </w:tc>
        <w:tc>
          <w:tcPr>
            <w:tcW w:w="1701" w:type="dxa"/>
            <w:tcBorders>
              <w:top w:val="single" w:color="auto" w:sz="2" w:space="0"/>
              <w:bottom w:val="single" w:color="auto" w:sz="8" w:space="0"/>
            </w:tcBorders>
            <w:shd w:val="clear" w:color="auto" w:fill="auto"/>
            <w:vAlign w:val="center"/>
          </w:tcPr>
          <w:p>
            <w:pPr>
              <w:spacing w:line="240" w:lineRule="auto"/>
              <w:ind w:firstLine="180" w:firstLineChars="100"/>
              <w:jc w:val="center"/>
              <w:rPr>
                <w:sz w:val="18"/>
              </w:rPr>
            </w:pPr>
            <w:r>
              <w:rPr>
                <w:rFonts w:hint="eastAsia"/>
                <w:sz w:val="18"/>
              </w:rPr>
              <w:t>高</w:t>
            </w:r>
          </w:p>
        </w:tc>
        <w:tc>
          <w:tcPr>
            <w:tcW w:w="3248" w:type="dxa"/>
            <w:tcBorders>
              <w:top w:val="single" w:color="auto" w:sz="2" w:space="0"/>
              <w:bottom w:val="single" w:color="auto" w:sz="8" w:space="0"/>
            </w:tcBorders>
            <w:shd w:val="clear" w:color="auto" w:fill="auto"/>
            <w:vAlign w:val="center"/>
          </w:tcPr>
          <w:p>
            <w:pPr>
              <w:spacing w:line="240" w:lineRule="auto"/>
              <w:ind w:firstLine="180" w:firstLineChars="100"/>
              <w:jc w:val="center"/>
              <w:rPr>
                <w:sz w:val="18"/>
              </w:rPr>
            </w:pPr>
            <w:r>
              <w:rPr>
                <w:rFonts w:hint="eastAsia"/>
                <w:sz w:val="18"/>
              </w:rPr>
              <w:t>高</w:t>
            </w:r>
          </w:p>
        </w:tc>
      </w:tr>
    </w:tbl>
    <w:p>
      <w:pPr>
        <w:pStyle w:val="166"/>
        <w:spacing w:before="240" w:beforeLines="100"/>
        <w:ind w:left="0"/>
      </w:pPr>
      <w:r>
        <w:rPr>
          <w:rFonts w:hint="eastAsia"/>
        </w:rPr>
        <w:t>勃起功能障碍应进行国际勃起功能指数问卷表和勃起硬度评分测评，按表5、6。</w:t>
      </w:r>
    </w:p>
    <w:p>
      <w:pPr>
        <w:pStyle w:val="115"/>
        <w:spacing w:before="120" w:after="120"/>
      </w:pPr>
      <w:r>
        <w:rPr>
          <w:rFonts w:hint="eastAsia"/>
        </w:rPr>
        <w:t>国际勃起功能指数问卷表</w:t>
      </w:r>
      <w:r>
        <w:t>-5(IIEF-5)</w:t>
      </w:r>
    </w:p>
    <w:p>
      <w:r>
        <w:rPr>
          <w:rFonts w:hint="eastAsia" w:ascii="宋体" w:hAnsi="宋体" w:cs="宋体"/>
        </w:rPr>
        <w:t>请根据你过去3个月的性生活实际情况回答以下问题，选择适当评分</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992"/>
        <w:gridCol w:w="1701"/>
        <w:gridCol w:w="1418"/>
        <w:gridCol w:w="1559"/>
        <w:gridCol w:w="1276"/>
        <w:gridCol w:w="5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问题</w:t>
            </w:r>
          </w:p>
        </w:tc>
        <w:tc>
          <w:tcPr>
            <w:tcW w:w="992"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1</w:t>
            </w:r>
          </w:p>
        </w:tc>
        <w:tc>
          <w:tcPr>
            <w:tcW w:w="1701"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2</w:t>
            </w:r>
          </w:p>
        </w:tc>
        <w:tc>
          <w:tcPr>
            <w:tcW w:w="1418"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3</w:t>
            </w:r>
          </w:p>
        </w:tc>
        <w:tc>
          <w:tcPr>
            <w:tcW w:w="1559"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4</w:t>
            </w:r>
          </w:p>
        </w:tc>
        <w:tc>
          <w:tcPr>
            <w:tcW w:w="1276"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5</w:t>
            </w:r>
          </w:p>
        </w:tc>
        <w:tc>
          <w:tcPr>
            <w:tcW w:w="555"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shd w:val="clear" w:color="auto" w:fill="auto"/>
            <w:vAlign w:val="center"/>
          </w:tcPr>
          <w:p>
            <w:pPr>
              <w:spacing w:line="240" w:lineRule="auto"/>
              <w:ind w:firstLine="180" w:firstLineChars="100"/>
              <w:jc w:val="left"/>
              <w:rPr>
                <w:rFonts w:ascii="宋体" w:hAnsi="宋体"/>
                <w:sz w:val="18"/>
              </w:rPr>
            </w:pPr>
            <w:r>
              <w:rPr>
                <w:rFonts w:hint="eastAsia" w:ascii="宋体" w:hAnsi="宋体"/>
                <w:sz w:val="18"/>
              </w:rPr>
              <w:t>1</w:t>
            </w:r>
            <w:r>
              <w:rPr>
                <w:rFonts w:ascii="宋体" w:hAnsi="宋体"/>
                <w:sz w:val="18"/>
              </w:rPr>
              <w:t>.</w:t>
            </w:r>
            <w:r>
              <w:rPr>
                <w:rFonts w:hint="eastAsia" w:ascii="宋体" w:hAnsi="宋体"/>
                <w:sz w:val="18"/>
              </w:rPr>
              <w:t>自己如何评价你获得并保持勃起的信心？</w:t>
            </w:r>
          </w:p>
        </w:tc>
        <w:tc>
          <w:tcPr>
            <w:tcW w:w="992"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很低</w:t>
            </w:r>
          </w:p>
        </w:tc>
        <w:tc>
          <w:tcPr>
            <w:tcW w:w="1701"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低</w:t>
            </w:r>
          </w:p>
        </w:tc>
        <w:tc>
          <w:tcPr>
            <w:tcW w:w="1418"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中等</w:t>
            </w:r>
          </w:p>
        </w:tc>
        <w:tc>
          <w:tcPr>
            <w:tcW w:w="1559"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高</w:t>
            </w:r>
          </w:p>
        </w:tc>
        <w:tc>
          <w:tcPr>
            <w:tcW w:w="1276"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很高</w:t>
            </w:r>
          </w:p>
        </w:tc>
        <w:tc>
          <w:tcPr>
            <w:tcW w:w="555" w:type="dxa"/>
            <w:tcBorders>
              <w:top w:val="single" w:color="auto" w:sz="8" w:space="0"/>
            </w:tcBorders>
            <w:shd w:val="clear" w:color="auto" w:fill="auto"/>
            <w:vAlign w:val="center"/>
          </w:tcPr>
          <w:p>
            <w:pPr>
              <w:spacing w:line="240" w:lineRule="auto"/>
              <w:ind w:firstLine="180" w:firstLineChars="100"/>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spacing w:line="240" w:lineRule="auto"/>
              <w:ind w:firstLine="180" w:firstLineChars="100"/>
              <w:jc w:val="left"/>
              <w:rPr>
                <w:rFonts w:ascii="宋体" w:hAnsi="宋体"/>
                <w:sz w:val="18"/>
              </w:rPr>
            </w:pPr>
            <w:r>
              <w:rPr>
                <w:rFonts w:hint="eastAsia" w:ascii="宋体" w:hAnsi="宋体"/>
                <w:sz w:val="18"/>
              </w:rPr>
              <w:t>2</w:t>
            </w:r>
            <w:r>
              <w:rPr>
                <w:rFonts w:ascii="宋体" w:hAnsi="宋体"/>
                <w:sz w:val="18"/>
              </w:rPr>
              <w:t>.</w:t>
            </w:r>
            <w:r>
              <w:rPr>
                <w:rFonts w:hint="eastAsia" w:ascii="宋体" w:hAnsi="宋体"/>
                <w:sz w:val="18"/>
              </w:rPr>
              <w:t>当你在性刺激下勃起时，有多少时候阴茎的硬度足以插入阴道？</w:t>
            </w:r>
          </w:p>
        </w:tc>
        <w:tc>
          <w:tcPr>
            <w:tcW w:w="992" w:type="dxa"/>
            <w:shd w:val="clear" w:color="auto" w:fill="auto"/>
            <w:vAlign w:val="center"/>
          </w:tcPr>
          <w:p>
            <w:pPr>
              <w:spacing w:line="240" w:lineRule="auto"/>
              <w:ind w:firstLine="180" w:firstLineChars="100"/>
              <w:rPr>
                <w:rFonts w:ascii="宋体" w:hAnsi="宋体"/>
                <w:sz w:val="18"/>
              </w:rPr>
            </w:pPr>
            <w:r>
              <w:rPr>
                <w:rFonts w:hint="eastAsia" w:ascii="宋体" w:hAnsi="宋体"/>
                <w:sz w:val="18"/>
              </w:rPr>
              <w:t>几乎没有或从来没有</w:t>
            </w:r>
          </w:p>
        </w:tc>
        <w:tc>
          <w:tcPr>
            <w:tcW w:w="170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少数时候</w:t>
            </w:r>
          </w:p>
          <w:p>
            <w:pPr>
              <w:spacing w:line="240" w:lineRule="auto"/>
              <w:ind w:firstLine="180" w:firstLineChars="100"/>
              <w:jc w:val="center"/>
              <w:rPr>
                <w:rFonts w:ascii="宋体" w:hAnsi="宋体"/>
                <w:sz w:val="18"/>
              </w:rPr>
            </w:pPr>
            <w:r>
              <w:rPr>
                <w:rFonts w:hint="eastAsia" w:ascii="宋体" w:hAnsi="宋体"/>
                <w:sz w:val="18"/>
              </w:rPr>
              <w:t>（远小于一半）</w:t>
            </w:r>
          </w:p>
        </w:tc>
        <w:tc>
          <w:tcPr>
            <w:tcW w:w="1418"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有时</w:t>
            </w:r>
          </w:p>
          <w:p>
            <w:pPr>
              <w:spacing w:line="240" w:lineRule="auto"/>
              <w:ind w:firstLine="180" w:firstLineChars="100"/>
              <w:jc w:val="center"/>
              <w:rPr>
                <w:rFonts w:ascii="宋体" w:hAnsi="宋体"/>
                <w:sz w:val="18"/>
              </w:rPr>
            </w:pPr>
            <w:r>
              <w:rPr>
                <w:rFonts w:hint="eastAsia" w:ascii="宋体" w:hAnsi="宋体"/>
                <w:sz w:val="18"/>
              </w:rPr>
              <w:t>（约一半时候）</w:t>
            </w:r>
          </w:p>
        </w:tc>
        <w:tc>
          <w:tcPr>
            <w:tcW w:w="1559"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大多数时候</w:t>
            </w:r>
          </w:p>
          <w:p>
            <w:pPr>
              <w:spacing w:line="240" w:lineRule="auto"/>
              <w:jc w:val="center"/>
              <w:rPr>
                <w:rFonts w:ascii="宋体" w:hAnsi="宋体"/>
                <w:sz w:val="18"/>
              </w:rPr>
            </w:pPr>
            <w:r>
              <w:rPr>
                <w:rFonts w:hint="eastAsia" w:ascii="宋体" w:hAnsi="宋体"/>
                <w:sz w:val="18"/>
              </w:rPr>
              <w:t>（远超过一半时候）</w:t>
            </w:r>
          </w:p>
        </w:tc>
        <w:tc>
          <w:tcPr>
            <w:tcW w:w="1276" w:type="dxa"/>
            <w:shd w:val="clear" w:color="auto" w:fill="auto"/>
            <w:vAlign w:val="center"/>
          </w:tcPr>
          <w:p>
            <w:pPr>
              <w:spacing w:line="240" w:lineRule="auto"/>
              <w:rPr>
                <w:rFonts w:ascii="宋体" w:hAnsi="宋体"/>
                <w:sz w:val="18"/>
              </w:rPr>
            </w:pPr>
            <w:r>
              <w:rPr>
                <w:rFonts w:hint="eastAsia" w:ascii="宋体" w:hAnsi="宋体"/>
                <w:sz w:val="18"/>
              </w:rPr>
              <w:t>几乎每次或每次</w:t>
            </w:r>
          </w:p>
        </w:tc>
        <w:tc>
          <w:tcPr>
            <w:tcW w:w="555" w:type="dxa"/>
            <w:shd w:val="clear" w:color="auto" w:fill="auto"/>
            <w:vAlign w:val="center"/>
          </w:tcPr>
          <w:p>
            <w:pPr>
              <w:spacing w:line="240" w:lineRule="auto"/>
              <w:ind w:firstLine="180" w:firstLineChars="100"/>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spacing w:line="240" w:lineRule="auto"/>
              <w:ind w:firstLine="180" w:firstLineChars="100"/>
              <w:jc w:val="left"/>
              <w:rPr>
                <w:rFonts w:ascii="宋体" w:hAnsi="宋体"/>
                <w:sz w:val="18"/>
              </w:rPr>
            </w:pPr>
            <w:r>
              <w:rPr>
                <w:rFonts w:hint="eastAsia" w:ascii="宋体" w:hAnsi="宋体"/>
                <w:sz w:val="18"/>
              </w:rPr>
              <w:t>3.在性交过程中，当你插入阴道后，有多少时候能够维持勃起？</w:t>
            </w:r>
          </w:p>
        </w:tc>
        <w:tc>
          <w:tcPr>
            <w:tcW w:w="992"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几乎没有或从来没有</w:t>
            </w:r>
          </w:p>
        </w:tc>
        <w:tc>
          <w:tcPr>
            <w:tcW w:w="170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少数时候</w:t>
            </w:r>
          </w:p>
          <w:p>
            <w:pPr>
              <w:spacing w:line="240" w:lineRule="auto"/>
              <w:ind w:firstLine="180" w:firstLineChars="100"/>
              <w:jc w:val="center"/>
              <w:rPr>
                <w:rFonts w:ascii="宋体" w:hAnsi="宋体"/>
                <w:sz w:val="18"/>
              </w:rPr>
            </w:pPr>
            <w:r>
              <w:rPr>
                <w:rFonts w:hint="eastAsia" w:ascii="宋体" w:hAnsi="宋体"/>
                <w:sz w:val="18"/>
              </w:rPr>
              <w:t>（远小于一半）</w:t>
            </w:r>
          </w:p>
        </w:tc>
        <w:tc>
          <w:tcPr>
            <w:tcW w:w="1418"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有时</w:t>
            </w:r>
          </w:p>
          <w:p>
            <w:pPr>
              <w:spacing w:line="240" w:lineRule="auto"/>
              <w:ind w:firstLine="180" w:firstLineChars="100"/>
              <w:jc w:val="center"/>
              <w:rPr>
                <w:rFonts w:ascii="宋体" w:hAnsi="宋体"/>
                <w:sz w:val="18"/>
              </w:rPr>
            </w:pPr>
            <w:r>
              <w:rPr>
                <w:rFonts w:hint="eastAsia" w:ascii="宋体" w:hAnsi="宋体"/>
                <w:sz w:val="18"/>
              </w:rPr>
              <w:t>（约一半时候）</w:t>
            </w:r>
          </w:p>
        </w:tc>
        <w:tc>
          <w:tcPr>
            <w:tcW w:w="1559"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大多数时候</w:t>
            </w:r>
          </w:p>
          <w:p>
            <w:pPr>
              <w:spacing w:line="240" w:lineRule="auto"/>
              <w:jc w:val="center"/>
              <w:rPr>
                <w:rFonts w:ascii="宋体" w:hAnsi="宋体"/>
                <w:sz w:val="18"/>
              </w:rPr>
            </w:pPr>
            <w:r>
              <w:rPr>
                <w:rFonts w:hint="eastAsia" w:ascii="宋体" w:hAnsi="宋体"/>
                <w:sz w:val="18"/>
              </w:rPr>
              <w:t>（远超过一半时候）</w:t>
            </w:r>
          </w:p>
        </w:tc>
        <w:tc>
          <w:tcPr>
            <w:tcW w:w="1276" w:type="dxa"/>
            <w:shd w:val="clear" w:color="auto" w:fill="auto"/>
            <w:vAlign w:val="center"/>
          </w:tcPr>
          <w:p>
            <w:pPr>
              <w:spacing w:line="240" w:lineRule="auto"/>
              <w:rPr>
                <w:rFonts w:ascii="宋体" w:hAnsi="宋体"/>
                <w:sz w:val="18"/>
              </w:rPr>
            </w:pPr>
            <w:r>
              <w:rPr>
                <w:rFonts w:hint="eastAsia" w:ascii="宋体" w:hAnsi="宋体"/>
                <w:sz w:val="18"/>
              </w:rPr>
              <w:t>几乎每次或每次</w:t>
            </w:r>
          </w:p>
        </w:tc>
        <w:tc>
          <w:tcPr>
            <w:tcW w:w="555" w:type="dxa"/>
            <w:shd w:val="clear" w:color="auto" w:fill="auto"/>
            <w:vAlign w:val="center"/>
          </w:tcPr>
          <w:p>
            <w:pPr>
              <w:spacing w:line="240" w:lineRule="auto"/>
              <w:ind w:firstLine="180" w:firstLineChars="100"/>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spacing w:line="240" w:lineRule="auto"/>
              <w:ind w:firstLine="180" w:firstLineChars="100"/>
              <w:jc w:val="left"/>
              <w:rPr>
                <w:rFonts w:ascii="宋体" w:hAnsi="宋体"/>
                <w:sz w:val="18"/>
              </w:rPr>
            </w:pPr>
            <w:r>
              <w:rPr>
                <w:rFonts w:hint="eastAsia" w:ascii="宋体" w:hAnsi="宋体"/>
                <w:sz w:val="18"/>
              </w:rPr>
              <w:t>4</w:t>
            </w:r>
            <w:r>
              <w:rPr>
                <w:rFonts w:ascii="宋体" w:hAnsi="宋体"/>
                <w:sz w:val="18"/>
              </w:rPr>
              <w:t>.</w:t>
            </w:r>
            <w:r>
              <w:rPr>
                <w:rFonts w:hint="eastAsia" w:ascii="宋体" w:hAnsi="宋体"/>
                <w:sz w:val="18"/>
              </w:rPr>
              <w:t>在性交过程中，你保持勃起至完成性交有多困难？</w:t>
            </w:r>
          </w:p>
        </w:tc>
        <w:tc>
          <w:tcPr>
            <w:tcW w:w="992"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相当困难</w:t>
            </w:r>
          </w:p>
        </w:tc>
        <w:tc>
          <w:tcPr>
            <w:tcW w:w="170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很困难</w:t>
            </w:r>
          </w:p>
        </w:tc>
        <w:tc>
          <w:tcPr>
            <w:tcW w:w="1418"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困难</w:t>
            </w:r>
          </w:p>
        </w:tc>
        <w:tc>
          <w:tcPr>
            <w:tcW w:w="1559"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有点困难</w:t>
            </w:r>
          </w:p>
        </w:tc>
        <w:tc>
          <w:tcPr>
            <w:tcW w:w="1276" w:type="dxa"/>
            <w:shd w:val="clear" w:color="auto" w:fill="auto"/>
            <w:vAlign w:val="center"/>
          </w:tcPr>
          <w:p>
            <w:pPr>
              <w:spacing w:line="240" w:lineRule="auto"/>
              <w:jc w:val="center"/>
              <w:rPr>
                <w:rFonts w:ascii="宋体" w:hAnsi="宋体"/>
                <w:sz w:val="18"/>
              </w:rPr>
            </w:pPr>
            <w:r>
              <w:rPr>
                <w:rFonts w:hint="eastAsia" w:ascii="宋体" w:hAnsi="宋体"/>
                <w:sz w:val="18"/>
              </w:rPr>
              <w:t>不困难</w:t>
            </w:r>
          </w:p>
        </w:tc>
        <w:tc>
          <w:tcPr>
            <w:tcW w:w="555" w:type="dxa"/>
            <w:shd w:val="clear" w:color="auto" w:fill="auto"/>
            <w:vAlign w:val="center"/>
          </w:tcPr>
          <w:p>
            <w:pPr>
              <w:spacing w:line="240" w:lineRule="auto"/>
              <w:ind w:firstLine="180" w:firstLineChars="100"/>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bottom w:val="single" w:color="auto" w:sz="8" w:space="0"/>
            </w:tcBorders>
            <w:shd w:val="clear" w:color="auto" w:fill="auto"/>
            <w:vAlign w:val="center"/>
          </w:tcPr>
          <w:p>
            <w:pPr>
              <w:spacing w:line="240" w:lineRule="auto"/>
              <w:ind w:firstLine="180" w:firstLineChars="100"/>
              <w:jc w:val="left"/>
              <w:rPr>
                <w:rFonts w:ascii="宋体" w:hAnsi="宋体"/>
                <w:sz w:val="18"/>
              </w:rPr>
            </w:pPr>
            <w:r>
              <w:rPr>
                <w:rFonts w:hint="eastAsia" w:ascii="宋体" w:hAnsi="宋体"/>
                <w:sz w:val="18"/>
              </w:rPr>
              <w:t>5</w:t>
            </w:r>
            <w:r>
              <w:rPr>
                <w:rFonts w:ascii="宋体" w:hAnsi="宋体"/>
                <w:sz w:val="18"/>
              </w:rPr>
              <w:t>.</w:t>
            </w:r>
            <w:r>
              <w:rPr>
                <w:rFonts w:hint="eastAsia" w:ascii="宋体" w:hAnsi="宋体"/>
                <w:sz w:val="18"/>
              </w:rPr>
              <w:t>当你尝试性交时，你有多少时候感到满足？</w:t>
            </w:r>
          </w:p>
        </w:tc>
        <w:tc>
          <w:tcPr>
            <w:tcW w:w="992"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几乎没有或从来没有</w:t>
            </w:r>
          </w:p>
        </w:tc>
        <w:tc>
          <w:tcPr>
            <w:tcW w:w="1701"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少数时候</w:t>
            </w:r>
          </w:p>
          <w:p>
            <w:pPr>
              <w:spacing w:line="240" w:lineRule="auto"/>
              <w:ind w:firstLine="180" w:firstLineChars="100"/>
              <w:jc w:val="center"/>
              <w:rPr>
                <w:rFonts w:ascii="宋体" w:hAnsi="宋体"/>
                <w:sz w:val="18"/>
              </w:rPr>
            </w:pPr>
            <w:r>
              <w:rPr>
                <w:rFonts w:hint="eastAsia" w:ascii="宋体" w:hAnsi="宋体"/>
                <w:sz w:val="18"/>
              </w:rPr>
              <w:t>（远小于一半）</w:t>
            </w:r>
          </w:p>
        </w:tc>
        <w:tc>
          <w:tcPr>
            <w:tcW w:w="1418"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有时</w:t>
            </w:r>
          </w:p>
          <w:p>
            <w:pPr>
              <w:spacing w:line="240" w:lineRule="auto"/>
              <w:ind w:firstLine="180" w:firstLineChars="100"/>
              <w:jc w:val="center"/>
              <w:rPr>
                <w:rFonts w:ascii="宋体" w:hAnsi="宋体"/>
                <w:sz w:val="18"/>
              </w:rPr>
            </w:pPr>
            <w:r>
              <w:rPr>
                <w:rFonts w:hint="eastAsia" w:ascii="宋体" w:hAnsi="宋体"/>
                <w:sz w:val="18"/>
              </w:rPr>
              <w:t>（约一半时候）</w:t>
            </w:r>
          </w:p>
        </w:tc>
        <w:tc>
          <w:tcPr>
            <w:tcW w:w="1559"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大多数时候</w:t>
            </w:r>
          </w:p>
          <w:p>
            <w:pPr>
              <w:spacing w:line="240" w:lineRule="auto"/>
              <w:jc w:val="center"/>
              <w:rPr>
                <w:rFonts w:ascii="宋体" w:hAnsi="宋体"/>
                <w:sz w:val="18"/>
              </w:rPr>
            </w:pPr>
            <w:r>
              <w:rPr>
                <w:rFonts w:hint="eastAsia" w:ascii="宋体" w:hAnsi="宋体"/>
                <w:sz w:val="18"/>
              </w:rPr>
              <w:t>（远超过一半时候）</w:t>
            </w:r>
          </w:p>
        </w:tc>
        <w:tc>
          <w:tcPr>
            <w:tcW w:w="1276" w:type="dxa"/>
            <w:tcBorders>
              <w:bottom w:val="single" w:color="auto" w:sz="8" w:space="0"/>
            </w:tcBorders>
            <w:shd w:val="clear" w:color="auto" w:fill="auto"/>
            <w:vAlign w:val="center"/>
          </w:tcPr>
          <w:p>
            <w:pPr>
              <w:spacing w:line="240" w:lineRule="auto"/>
              <w:rPr>
                <w:rFonts w:ascii="宋体" w:hAnsi="宋体"/>
                <w:sz w:val="18"/>
              </w:rPr>
            </w:pPr>
            <w:r>
              <w:rPr>
                <w:rFonts w:hint="eastAsia" w:ascii="宋体" w:hAnsi="宋体"/>
                <w:sz w:val="18"/>
              </w:rPr>
              <w:t>几乎每次或每次</w:t>
            </w:r>
          </w:p>
        </w:tc>
        <w:tc>
          <w:tcPr>
            <w:tcW w:w="555" w:type="dxa"/>
            <w:tcBorders>
              <w:bottom w:val="single" w:color="auto" w:sz="8" w:space="0"/>
            </w:tcBorders>
            <w:shd w:val="clear" w:color="auto" w:fill="auto"/>
            <w:vAlign w:val="center"/>
          </w:tcPr>
          <w:p>
            <w:pPr>
              <w:spacing w:line="240" w:lineRule="auto"/>
              <w:ind w:firstLine="180" w:firstLineChars="100"/>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7"/>
            <w:tcBorders>
              <w:top w:val="single" w:color="auto" w:sz="8" w:space="0"/>
              <w:bottom w:val="single" w:color="auto" w:sz="8" w:space="0"/>
            </w:tcBorders>
            <w:shd w:val="clear" w:color="auto" w:fill="auto"/>
            <w:vAlign w:val="center"/>
          </w:tcPr>
          <w:p>
            <w:pPr>
              <w:pStyle w:val="182"/>
              <w:ind w:left="780" w:hanging="360"/>
              <w:rPr>
                <w:rFonts w:hAnsi="宋体"/>
              </w:rPr>
            </w:pPr>
            <w:r>
              <w:rPr>
                <w:rFonts w:hint="eastAsia" w:hAnsi="宋体"/>
              </w:rPr>
              <w:t>ED严重程度分为5类。</w:t>
            </w:r>
            <w:r>
              <w:rPr>
                <w:rFonts w:hint="eastAsia" w:hAnsi="宋体"/>
                <w:lang w:val="en-US" w:eastAsia="zh-CN"/>
              </w:rPr>
              <w:t>I</w:t>
            </w:r>
            <w:r>
              <w:rPr>
                <w:rFonts w:hint="eastAsia" w:hAnsi="宋体"/>
              </w:rPr>
              <w:t>IEF-5评分≤7为重度，8～11为中度，12～16为轻度至中度，17～21为轻度，22～25为无ED</w:t>
            </w:r>
          </w:p>
        </w:tc>
      </w:tr>
    </w:tbl>
    <w:p>
      <w:pPr>
        <w:pStyle w:val="115"/>
        <w:spacing w:before="240" w:beforeLines="100" w:after="120"/>
      </w:pPr>
      <w:r>
        <w:rPr>
          <w:rFonts w:hint="eastAsia"/>
        </w:rPr>
        <w:t>勃起硬度评分</w:t>
      </w:r>
    </w:p>
    <w:tbl>
      <w:tblPr>
        <w:tblStyle w:val="29"/>
        <w:tblW w:w="933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810"/>
        <w:gridCol w:w="45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810" w:type="dxa"/>
            <w:tcBorders>
              <w:top w:val="single" w:color="auto" w:sz="8" w:space="0"/>
              <w:bottom w:val="single" w:color="auto" w:sz="8" w:space="0"/>
            </w:tcBorders>
            <w:vAlign w:val="center"/>
          </w:tcPr>
          <w:p>
            <w:pPr>
              <w:spacing w:line="240" w:lineRule="auto"/>
              <w:ind w:firstLine="180" w:firstLineChars="100"/>
              <w:jc w:val="center"/>
              <w:rPr>
                <w:rFonts w:ascii="宋体" w:hAnsi="宋体"/>
                <w:sz w:val="18"/>
              </w:rPr>
            </w:pPr>
            <w:r>
              <w:rPr>
                <w:rFonts w:hint="eastAsia" w:ascii="宋体" w:hAnsi="宋体"/>
                <w:sz w:val="18"/>
              </w:rPr>
              <w:t>阴茎勃起情况</w:t>
            </w:r>
          </w:p>
        </w:tc>
        <w:tc>
          <w:tcPr>
            <w:tcW w:w="4520" w:type="dxa"/>
            <w:tcBorders>
              <w:top w:val="single" w:color="auto" w:sz="8" w:space="0"/>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评分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10" w:type="dxa"/>
            <w:tcBorders>
              <w:top w:val="single" w:color="auto" w:sz="8" w:space="0"/>
            </w:tcBorders>
            <w:vAlign w:val="center"/>
          </w:tcPr>
          <w:p>
            <w:pPr>
              <w:spacing w:line="240" w:lineRule="auto"/>
              <w:ind w:firstLine="180" w:firstLineChars="100"/>
              <w:jc w:val="center"/>
              <w:rPr>
                <w:rFonts w:ascii="宋体" w:hAnsi="宋体"/>
                <w:sz w:val="18"/>
              </w:rPr>
            </w:pPr>
            <w:r>
              <w:rPr>
                <w:rFonts w:hint="eastAsia" w:ascii="宋体" w:hAnsi="宋体"/>
                <w:sz w:val="18"/>
              </w:rPr>
              <w:t>阴茎不增大</w:t>
            </w:r>
          </w:p>
        </w:tc>
        <w:tc>
          <w:tcPr>
            <w:tcW w:w="4520"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10" w:type="dxa"/>
            <w:vAlign w:val="center"/>
          </w:tcPr>
          <w:p>
            <w:pPr>
              <w:spacing w:line="240" w:lineRule="auto"/>
              <w:ind w:firstLine="180" w:firstLineChars="100"/>
              <w:jc w:val="center"/>
              <w:rPr>
                <w:rFonts w:ascii="宋体" w:hAnsi="宋体"/>
                <w:sz w:val="18"/>
              </w:rPr>
            </w:pPr>
            <w:r>
              <w:rPr>
                <w:rFonts w:hint="eastAsia" w:ascii="宋体" w:hAnsi="宋体"/>
                <w:sz w:val="18"/>
              </w:rPr>
              <w:t>阴茎可充血增大，但不硬</w:t>
            </w:r>
          </w:p>
        </w:tc>
        <w:tc>
          <w:tcPr>
            <w:tcW w:w="452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10" w:type="dxa"/>
            <w:vAlign w:val="center"/>
          </w:tcPr>
          <w:p>
            <w:pPr>
              <w:spacing w:line="240" w:lineRule="auto"/>
              <w:ind w:firstLine="180" w:firstLineChars="100"/>
              <w:jc w:val="center"/>
              <w:rPr>
                <w:rFonts w:ascii="宋体" w:hAnsi="宋体"/>
                <w:sz w:val="18"/>
              </w:rPr>
            </w:pPr>
            <w:r>
              <w:rPr>
                <w:rFonts w:hint="eastAsia" w:ascii="宋体" w:hAnsi="宋体"/>
                <w:sz w:val="18"/>
              </w:rPr>
              <w:t>阴茎变硬但不够坚硬，不足以插入阴道</w:t>
            </w:r>
          </w:p>
        </w:tc>
        <w:tc>
          <w:tcPr>
            <w:tcW w:w="452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10" w:type="dxa"/>
            <w:vAlign w:val="center"/>
          </w:tcPr>
          <w:p>
            <w:pPr>
              <w:spacing w:line="240" w:lineRule="auto"/>
              <w:ind w:firstLine="180" w:firstLineChars="100"/>
              <w:jc w:val="center"/>
              <w:rPr>
                <w:rFonts w:ascii="宋体" w:hAnsi="宋体"/>
                <w:sz w:val="18"/>
              </w:rPr>
            </w:pPr>
            <w:r>
              <w:rPr>
                <w:rFonts w:hint="eastAsia" w:ascii="宋体" w:hAnsi="宋体"/>
                <w:sz w:val="18"/>
              </w:rPr>
              <w:t>阴茎硬度足以插人阴道，但并非完全坚硬</w:t>
            </w:r>
          </w:p>
        </w:tc>
        <w:tc>
          <w:tcPr>
            <w:tcW w:w="452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10" w:type="dxa"/>
            <w:tcBorders>
              <w:bottom w:val="single" w:color="auto" w:sz="8" w:space="0"/>
            </w:tcBorders>
            <w:vAlign w:val="center"/>
          </w:tcPr>
          <w:p>
            <w:pPr>
              <w:spacing w:line="240" w:lineRule="auto"/>
              <w:ind w:firstLine="180" w:firstLineChars="100"/>
              <w:jc w:val="center"/>
              <w:rPr>
                <w:rFonts w:ascii="宋体" w:hAnsi="宋体"/>
                <w:sz w:val="18"/>
              </w:rPr>
            </w:pPr>
            <w:r>
              <w:rPr>
                <w:rFonts w:hint="eastAsia" w:ascii="宋体" w:hAnsi="宋体"/>
                <w:sz w:val="18"/>
              </w:rPr>
              <w:t>阴茎完全坚硬</w:t>
            </w:r>
          </w:p>
        </w:tc>
        <w:tc>
          <w:tcPr>
            <w:tcW w:w="4520"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4</w:t>
            </w:r>
          </w:p>
        </w:tc>
      </w:tr>
    </w:tbl>
    <w:p>
      <w:pPr>
        <w:pStyle w:val="101"/>
        <w:spacing w:before="240" w:beforeLines="100" w:after="120"/>
      </w:pPr>
      <w:r>
        <w:rPr>
          <w:rFonts w:hint="eastAsia"/>
        </w:rPr>
        <w:t>精子功能检测</w:t>
      </w:r>
    </w:p>
    <w:p>
      <w:pPr>
        <w:pStyle w:val="166"/>
        <w:ind w:left="0"/>
      </w:pPr>
      <w:r>
        <w:rPr>
          <w:rFonts w:hint="eastAsia"/>
        </w:rPr>
        <w:t>不育的男性患者精液常规和形态学检查正常，若怀疑精子功能障碍的患者，宜进行精子功能等检测，如精子DNA碎片化指数（DFI）、精子低渗膨胀试验、精液氧化应激和活性氧检测、顶体反应检测、精子染色质检测、精子跨膜离子流动和转运等。</w:t>
      </w:r>
    </w:p>
    <w:p>
      <w:pPr>
        <w:pStyle w:val="166"/>
        <w:ind w:left="0"/>
      </w:pPr>
      <w:r>
        <w:rPr>
          <w:rFonts w:hint="eastAsia"/>
        </w:rPr>
        <w:t>精子功能测试按表</w:t>
      </w:r>
      <w:r>
        <w:t>7</w:t>
      </w:r>
      <w:r>
        <w:rPr>
          <w:rFonts w:hint="eastAsia"/>
        </w:rPr>
        <w:t>。</w:t>
      </w:r>
    </w:p>
    <w:p>
      <w:pPr>
        <w:pStyle w:val="115"/>
        <w:spacing w:before="120" w:after="120"/>
      </w:pPr>
      <w:r>
        <w:rPr>
          <w:rFonts w:hint="eastAsia"/>
        </w:rPr>
        <w:t>精子功能测试表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5"/>
        <w:gridCol w:w="46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85"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精子DNA完整性</w:t>
            </w:r>
          </w:p>
        </w:tc>
        <w:tc>
          <w:tcPr>
            <w:tcW w:w="4689"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DNA碎片指数（D</w:t>
            </w:r>
            <w:r>
              <w:rPr>
                <w:rFonts w:ascii="宋体" w:hAnsi="宋体"/>
                <w:sz w:val="18"/>
              </w:rPr>
              <w:t>FI</w:t>
            </w:r>
            <w:r>
              <w:rPr>
                <w:rFonts w:hint="eastAsia" w:ascii="宋体" w:hAnsi="宋体"/>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5" w:type="dxa"/>
            <w:tcBorders>
              <w:top w:val="single" w:color="auto" w:sz="12" w:space="0"/>
            </w:tcBorders>
            <w:shd w:val="clear" w:color="auto" w:fill="auto"/>
            <w:vAlign w:val="center"/>
          </w:tcPr>
          <w:p>
            <w:pPr>
              <w:spacing w:line="240" w:lineRule="auto"/>
              <w:jc w:val="center"/>
              <w:rPr>
                <w:rFonts w:ascii="宋体" w:hAnsi="宋体"/>
                <w:sz w:val="18"/>
              </w:rPr>
            </w:pPr>
            <w:r>
              <w:rPr>
                <w:rFonts w:hint="eastAsia" w:ascii="宋体" w:hAnsi="宋体"/>
                <w:sz w:val="18"/>
              </w:rPr>
              <w:t>良好</w:t>
            </w:r>
          </w:p>
        </w:tc>
        <w:tc>
          <w:tcPr>
            <w:tcW w:w="4689" w:type="dxa"/>
            <w:tcBorders>
              <w:top w:val="single" w:color="auto" w:sz="12" w:space="0"/>
            </w:tcBorders>
            <w:shd w:val="clear" w:color="auto" w:fill="auto"/>
            <w:vAlign w:val="center"/>
          </w:tcPr>
          <w:p>
            <w:pPr>
              <w:spacing w:line="240" w:lineRule="auto"/>
              <w:jc w:val="center"/>
              <w:rPr>
                <w:rFonts w:ascii="宋体" w:hAnsi="宋体"/>
                <w:sz w:val="18"/>
              </w:rPr>
            </w:pPr>
            <w:r>
              <w:rPr>
                <w:rFonts w:hint="eastAsia" w:ascii="宋体" w:hAnsi="宋体"/>
                <w:sz w:val="18"/>
              </w:rPr>
              <w:t>D</w:t>
            </w:r>
            <w:r>
              <w:rPr>
                <w:rFonts w:ascii="宋体" w:hAnsi="宋体"/>
                <w:sz w:val="18"/>
              </w:rPr>
              <w:t>FI</w:t>
            </w:r>
            <w:r>
              <w:rPr>
                <w:rFonts w:hint="eastAsia" w:ascii="宋体" w:hAnsi="宋体"/>
                <w:sz w:val="18"/>
              </w:rPr>
              <w:t>≤</w:t>
            </w:r>
            <w:r>
              <w:rPr>
                <w:rFonts w:ascii="宋体" w:hAnsi="宋体"/>
                <w:sz w:val="18"/>
              </w:rPr>
              <w:t>15</w:t>
            </w:r>
            <w:r>
              <w:rPr>
                <w:rFonts w:ascii="宋体" w:hAnsi="宋体"/>
                <w:sz w:val="18"/>
                <w:vertAlign w:val="superscript"/>
              </w:rPr>
              <w:t xml:space="preserve"> </w:t>
            </w:r>
            <w:r>
              <w:rPr>
                <w:rFonts w:hint="eastAsia" w:ascii="宋体" w:hAnsi="宋体"/>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5" w:type="dxa"/>
            <w:shd w:val="clear" w:color="auto" w:fill="auto"/>
            <w:vAlign w:val="center"/>
          </w:tcPr>
          <w:p>
            <w:pPr>
              <w:spacing w:line="240" w:lineRule="auto"/>
              <w:jc w:val="center"/>
              <w:rPr>
                <w:rFonts w:ascii="宋体" w:hAnsi="宋体"/>
                <w:sz w:val="18"/>
              </w:rPr>
            </w:pPr>
            <w:r>
              <w:rPr>
                <w:rFonts w:ascii="宋体" w:hAnsi="宋体"/>
                <w:sz w:val="18"/>
              </w:rPr>
              <w:t>中等</w:t>
            </w:r>
          </w:p>
        </w:tc>
        <w:tc>
          <w:tcPr>
            <w:tcW w:w="4689" w:type="dxa"/>
            <w:shd w:val="clear" w:color="auto" w:fill="auto"/>
            <w:vAlign w:val="center"/>
          </w:tcPr>
          <w:p>
            <w:pPr>
              <w:spacing w:line="240" w:lineRule="auto"/>
              <w:jc w:val="center"/>
              <w:rPr>
                <w:rFonts w:ascii="宋体" w:hAnsi="宋体"/>
                <w:sz w:val="18"/>
              </w:rPr>
            </w:pPr>
            <w:r>
              <w:rPr>
                <w:rFonts w:hint="eastAsia" w:ascii="宋体" w:hAnsi="宋体"/>
                <w:sz w:val="18"/>
              </w:rPr>
              <w:t>15</w:t>
            </w:r>
            <w:r>
              <w:rPr>
                <w:rFonts w:ascii="宋体" w:hAnsi="宋体"/>
                <w:sz w:val="18"/>
                <w:vertAlign w:val="superscript"/>
              </w:rPr>
              <w:t xml:space="preserve"> </w:t>
            </w:r>
            <w:r>
              <w:rPr>
                <w:rFonts w:hint="eastAsia" w:ascii="宋体" w:hAnsi="宋体"/>
                <w:sz w:val="18"/>
              </w:rPr>
              <w:t>%＜DFI＜25</w:t>
            </w:r>
            <w:r>
              <w:rPr>
                <w:rFonts w:ascii="宋体" w:hAnsi="宋体"/>
                <w:sz w:val="18"/>
                <w:vertAlign w:val="superscript"/>
              </w:rPr>
              <w:t xml:space="preserve"> </w:t>
            </w:r>
            <w:r>
              <w:rPr>
                <w:rFonts w:hint="eastAsia" w:ascii="宋体" w:hAnsi="宋体"/>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5" w:type="dxa"/>
            <w:tcBorders>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差</w:t>
            </w:r>
          </w:p>
        </w:tc>
        <w:tc>
          <w:tcPr>
            <w:tcW w:w="4689" w:type="dxa"/>
            <w:tcBorders>
              <w:bottom w:val="single" w:color="auto" w:sz="8" w:space="0"/>
            </w:tcBorders>
            <w:shd w:val="clear" w:color="auto" w:fill="auto"/>
            <w:vAlign w:val="center"/>
          </w:tcPr>
          <w:p>
            <w:pPr>
              <w:spacing w:line="240" w:lineRule="auto"/>
              <w:jc w:val="center"/>
              <w:rPr>
                <w:rFonts w:ascii="宋体" w:hAnsi="宋体"/>
                <w:sz w:val="18"/>
              </w:rPr>
            </w:pPr>
            <w:r>
              <w:rPr>
                <w:rFonts w:ascii="宋体" w:hAnsi="宋体"/>
                <w:sz w:val="18"/>
              </w:rPr>
              <w:t>DFI</w:t>
            </w:r>
            <w:r>
              <w:rPr>
                <w:rFonts w:hint="eastAsia" w:ascii="宋体" w:hAnsi="宋体"/>
                <w:sz w:val="18"/>
              </w:rPr>
              <w:t>≥</w:t>
            </w:r>
            <w:r>
              <w:rPr>
                <w:rFonts w:ascii="宋体" w:hAnsi="宋体"/>
                <w:sz w:val="18"/>
              </w:rPr>
              <w:t>25</w:t>
            </w:r>
            <w:r>
              <w:rPr>
                <w:rFonts w:ascii="宋体" w:hAnsi="宋体"/>
                <w:sz w:val="18"/>
                <w:vertAlign w:val="superscript"/>
              </w:rPr>
              <w:t xml:space="preserve"> </w:t>
            </w:r>
            <w:r>
              <w:rPr>
                <w:rFonts w:hint="eastAsia" w:ascii="宋体" w:hAnsi="宋体"/>
                <w:sz w:val="18"/>
              </w:rPr>
              <w:t>%</w:t>
            </w:r>
          </w:p>
        </w:tc>
      </w:tr>
    </w:tbl>
    <w:p>
      <w:pPr>
        <w:pStyle w:val="101"/>
        <w:spacing w:before="240" w:beforeLines="100" w:after="120"/>
      </w:pPr>
      <w:r>
        <w:rPr>
          <w:rFonts w:hint="eastAsia"/>
        </w:rPr>
        <w:t>精浆生化功能检测</w:t>
      </w:r>
    </w:p>
    <w:p>
      <w:pPr>
        <w:pStyle w:val="166"/>
        <w:ind w:left="0"/>
      </w:pPr>
      <w:r>
        <w:rPr>
          <w:rFonts w:hint="eastAsia"/>
        </w:rPr>
        <w:t>对需要评估附属性腺功能，或者怀疑梗阻性无精子症的患者，宜进行精浆生化功能检测，检测精浆锌、果糖、中性α-葡糖苷酶、柠檬酸、谷氨酰转肽酶和酸性磷酸酶等。</w:t>
      </w:r>
    </w:p>
    <w:p>
      <w:pPr>
        <w:pStyle w:val="166"/>
        <w:ind w:left="0"/>
      </w:pPr>
      <w:r>
        <w:rPr>
          <w:rFonts w:hint="eastAsia"/>
        </w:rPr>
        <w:t>精浆生化检查精子运输是否障碍、确定输精管道梗阻部位。</w:t>
      </w:r>
    </w:p>
    <w:p>
      <w:pPr>
        <w:pStyle w:val="101"/>
        <w:spacing w:before="120" w:after="120"/>
      </w:pPr>
      <w:r>
        <w:rPr>
          <w:rFonts w:hint="eastAsia"/>
        </w:rPr>
        <w:t>遗传性评估和影像学评估</w:t>
      </w:r>
    </w:p>
    <w:p>
      <w:pPr>
        <w:pStyle w:val="166"/>
        <w:ind w:left="0"/>
      </w:pPr>
      <w:r>
        <w:rPr>
          <w:rFonts w:hint="eastAsia"/>
        </w:rPr>
        <w:t>对于严重少弱畸精子症或无精子症患者、男性体格生殖系统发现异常者，宜进行遗传学评估和影像学评估，包括染色体核型分析、Y染色体微缺失检测（Y染色体AZF基因微缺失检测位点见附录A</w:t>
      </w:r>
      <w:r>
        <w:t>.4</w:t>
      </w:r>
      <w:r>
        <w:rPr>
          <w:rFonts w:hint="eastAsia"/>
        </w:rPr>
        <w:t>）、男性生殖系统超声、CT或者磁共振等影像学评估。或配偶有不良孕产史的患者，进行基因突变检测、表观遗传学检测等。男性不育症检测基因见附录A表A.</w:t>
      </w:r>
      <w:r>
        <w:t>5</w:t>
      </w:r>
      <w:r>
        <w:rPr>
          <w:rFonts w:hint="eastAsia"/>
        </w:rPr>
        <w:t>。</w:t>
      </w:r>
    </w:p>
    <w:p>
      <w:pPr>
        <w:pStyle w:val="166"/>
        <w:ind w:left="0"/>
      </w:pPr>
      <w:r>
        <w:rPr>
          <w:rFonts w:hint="eastAsia"/>
        </w:rPr>
        <w:t>严重少弱畸精子症或无精子症患者（少精子症分级判断见附录A表A</w:t>
      </w:r>
      <w:r>
        <w:t>.6</w:t>
      </w:r>
      <w:r>
        <w:rPr>
          <w:rFonts w:hint="eastAsia"/>
        </w:rPr>
        <w:t>，弱精子症分级诊断见附录A表A</w:t>
      </w:r>
      <w:r>
        <w:t>.7</w:t>
      </w:r>
      <w:r>
        <w:rPr>
          <w:rFonts w:hint="eastAsia"/>
        </w:rPr>
        <w:t>）、男性体格生殖系统发现异常者采用影像学评估内容包括：</w:t>
      </w:r>
    </w:p>
    <w:p>
      <w:pPr>
        <w:pStyle w:val="135"/>
      </w:pPr>
      <w:r>
        <w:rPr>
          <w:rFonts w:hint="eastAsia"/>
        </w:rPr>
        <w:t>采用超声检查双侧睾丸、附睾、精索静脉及近端输精管，发现影响男性生育力的主要病变包括生殖系统炎症、发育异常、血管病变和肿瘤等,如附睾炎、附睾梗阻、隐睾、睾丸肿瘤、精索静脉曲张、缪勒管囊肿、精囊腺发育不良、射精管囊肿等；</w:t>
      </w:r>
    </w:p>
    <w:p>
      <w:pPr>
        <w:pStyle w:val="135"/>
      </w:pPr>
      <w:r>
        <w:rPr>
          <w:rFonts w:hint="eastAsia"/>
        </w:rPr>
        <w:t>采用X线、造影、MRI和CT等方法辅助诊断生殖系统炎症、先天性疾病和肿瘤等。对软组织结构、精囊腺的精细结构、顽固性血精的病因和定位，射精管梗阻进行诊断。</w:t>
      </w:r>
    </w:p>
    <w:p>
      <w:pPr>
        <w:pStyle w:val="166"/>
        <w:ind w:left="0"/>
      </w:pPr>
      <w:r>
        <w:rPr>
          <w:rFonts w:hint="eastAsia"/>
        </w:rPr>
        <w:t>对于无精子的患者，宜行病理学评估：进行睾丸活检(TESE、TESA、FNA等)并且病理分型，病理分型包括：</w:t>
      </w:r>
    </w:p>
    <w:p>
      <w:pPr>
        <w:pStyle w:val="135"/>
      </w:pPr>
      <w:r>
        <w:rPr>
          <w:rFonts w:hint="eastAsia"/>
        </w:rPr>
        <w:t>无生精小管，小管硬化；</w:t>
      </w:r>
    </w:p>
    <w:p>
      <w:pPr>
        <w:pStyle w:val="135"/>
      </w:pPr>
      <w:r>
        <w:rPr>
          <w:rFonts w:hint="eastAsia"/>
        </w:rPr>
        <w:t>生精小管内无生精细胞即唯支持细胞综合征；</w:t>
      </w:r>
    </w:p>
    <w:p>
      <w:pPr>
        <w:pStyle w:val="135"/>
      </w:pPr>
      <w:r>
        <w:rPr>
          <w:rFonts w:hint="eastAsia"/>
        </w:rPr>
        <w:t>生精停滞；</w:t>
      </w:r>
    </w:p>
    <w:p>
      <w:pPr>
        <w:pStyle w:val="135"/>
      </w:pPr>
      <w:r>
        <w:rPr>
          <w:rFonts w:hint="eastAsia"/>
        </w:rPr>
        <w:t>生精低下，各级生精细胞均存在,但精子数量减少；</w:t>
      </w:r>
    </w:p>
    <w:p>
      <w:pPr>
        <w:pStyle w:val="135"/>
      </w:pPr>
      <w:r>
        <w:rPr>
          <w:rFonts w:hint="eastAsia"/>
        </w:rPr>
        <w:t>正常精子发生。</w:t>
      </w:r>
    </w:p>
    <w:p>
      <w:pPr>
        <w:pStyle w:val="108"/>
        <w:spacing w:before="240" w:beforeLines="100" w:after="120"/>
      </w:pPr>
      <w:r>
        <w:t>女性</w:t>
      </w:r>
    </w:p>
    <w:p>
      <w:pPr>
        <w:pStyle w:val="68"/>
        <w:spacing w:before="120" w:after="120"/>
      </w:pPr>
      <w:r>
        <w:t>病史采集</w:t>
      </w:r>
    </w:p>
    <w:p>
      <w:pPr>
        <w:pStyle w:val="59"/>
        <w:ind w:firstLine="420"/>
      </w:pPr>
      <w:r>
        <w:rPr>
          <w:rFonts w:hint="eastAsia"/>
        </w:rPr>
        <w:t>女性</w:t>
      </w:r>
      <w:r>
        <w:t>不孕患者的病史采集应</w:t>
      </w:r>
      <w:r>
        <w:rPr>
          <w:rFonts w:hint="eastAsia"/>
        </w:rPr>
        <w:t>按</w:t>
      </w:r>
      <w:r>
        <w:t>表8进行评估。</w:t>
      </w:r>
    </w:p>
    <w:p>
      <w:pPr>
        <w:pStyle w:val="115"/>
        <w:spacing w:before="120" w:after="120"/>
      </w:pPr>
      <w:r>
        <w:t>女性病史采集表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73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shd w:val="clear" w:color="auto" w:fill="auto"/>
            <w:vAlign w:val="center"/>
          </w:tcPr>
          <w:p>
            <w:pPr>
              <w:pStyle w:val="181"/>
            </w:pPr>
            <w:r>
              <w:rPr>
                <w:rFonts w:hint="eastAsia"/>
              </w:rPr>
              <w:t>采集类型</w:t>
            </w:r>
          </w:p>
        </w:tc>
        <w:tc>
          <w:tcPr>
            <w:tcW w:w="7359" w:type="dxa"/>
            <w:tcBorders>
              <w:top w:val="single" w:color="auto" w:sz="8" w:space="0"/>
              <w:bottom w:val="single" w:color="auto" w:sz="8" w:space="0"/>
            </w:tcBorders>
            <w:shd w:val="clear" w:color="auto" w:fill="auto"/>
            <w:vAlign w:val="center"/>
          </w:tcPr>
          <w:p>
            <w:pPr>
              <w:pStyle w:val="181"/>
            </w:pPr>
            <w:r>
              <w:rPr>
                <w:rFonts w:hint="eastAsia"/>
              </w:rPr>
              <w:t>采集内容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shd w:val="clear" w:color="auto" w:fill="auto"/>
            <w:vAlign w:val="center"/>
          </w:tcPr>
          <w:p>
            <w:pPr>
              <w:pStyle w:val="181"/>
              <w:ind w:firstLine="180" w:firstLineChars="100"/>
            </w:pPr>
            <w:r>
              <w:rPr>
                <w:rFonts w:hint="eastAsia"/>
              </w:rPr>
              <w:t>基本信息</w:t>
            </w:r>
          </w:p>
        </w:tc>
        <w:tc>
          <w:tcPr>
            <w:tcW w:w="7359" w:type="dxa"/>
            <w:tcBorders>
              <w:top w:val="single" w:color="auto" w:sz="8" w:space="0"/>
            </w:tcBorders>
            <w:shd w:val="clear" w:color="auto" w:fill="auto"/>
            <w:vAlign w:val="center"/>
          </w:tcPr>
          <w:p>
            <w:pPr>
              <w:pStyle w:val="181"/>
              <w:ind w:firstLine="180" w:firstLineChars="100"/>
              <w:jc w:val="left"/>
            </w:pPr>
            <w:r>
              <w:rPr>
                <w:rFonts w:hint="eastAsia"/>
              </w:rPr>
              <w:t>年龄、职业、文化程度、民族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81"/>
              <w:ind w:firstLine="180" w:firstLineChars="100"/>
            </w:pPr>
            <w:r>
              <w:rPr>
                <w:rFonts w:hint="eastAsia"/>
              </w:rPr>
              <w:t>主诉情况</w:t>
            </w:r>
          </w:p>
        </w:tc>
        <w:tc>
          <w:tcPr>
            <w:tcW w:w="7359" w:type="dxa"/>
            <w:shd w:val="clear" w:color="auto" w:fill="auto"/>
            <w:vAlign w:val="center"/>
          </w:tcPr>
          <w:p>
            <w:pPr>
              <w:pStyle w:val="181"/>
              <w:ind w:firstLine="180" w:firstLineChars="100"/>
              <w:jc w:val="left"/>
            </w:pPr>
            <w:r>
              <w:rPr>
                <w:rFonts w:hint="eastAsia"/>
              </w:rPr>
              <w:t>无避孕性生活史及年限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bottom w:val="single" w:color="auto" w:sz="2" w:space="0"/>
            </w:tcBorders>
            <w:shd w:val="clear" w:color="auto" w:fill="auto"/>
            <w:vAlign w:val="center"/>
          </w:tcPr>
          <w:p>
            <w:pPr>
              <w:pStyle w:val="181"/>
              <w:ind w:firstLine="180" w:firstLineChars="100"/>
            </w:pPr>
            <w:r>
              <w:rPr>
                <w:rFonts w:hint="eastAsia"/>
              </w:rPr>
              <w:t>现病</w:t>
            </w:r>
            <w:r>
              <w:t>史</w:t>
            </w:r>
          </w:p>
        </w:tc>
        <w:tc>
          <w:tcPr>
            <w:tcW w:w="7359" w:type="dxa"/>
            <w:tcBorders>
              <w:bottom w:val="single" w:color="auto" w:sz="2" w:space="0"/>
            </w:tcBorders>
            <w:shd w:val="clear" w:color="auto" w:fill="auto"/>
            <w:vAlign w:val="center"/>
          </w:tcPr>
          <w:p>
            <w:pPr>
              <w:pStyle w:val="181"/>
              <w:ind w:firstLine="180" w:firstLineChars="100"/>
              <w:jc w:val="left"/>
            </w:pPr>
            <w:r>
              <w:rPr>
                <w:rFonts w:hint="eastAsia"/>
              </w:rPr>
              <w:t>1</w:t>
            </w:r>
            <w:r>
              <w:t>.</w:t>
            </w:r>
            <w:r>
              <w:rPr>
                <w:rFonts w:hint="eastAsia"/>
              </w:rPr>
              <w:t>性生活频率。</w:t>
            </w:r>
          </w:p>
          <w:p>
            <w:pPr>
              <w:pStyle w:val="181"/>
              <w:ind w:firstLine="180" w:firstLineChars="100"/>
              <w:jc w:val="left"/>
            </w:pPr>
            <w:r>
              <w:rPr>
                <w:rFonts w:hint="eastAsia"/>
              </w:rPr>
              <w:t>2</w:t>
            </w:r>
            <w:r>
              <w:t>.</w:t>
            </w:r>
            <w:r>
              <w:rPr>
                <w:rFonts w:hint="eastAsia"/>
              </w:rPr>
              <w:t>排卵监测的情况。</w:t>
            </w:r>
          </w:p>
          <w:p>
            <w:pPr>
              <w:pStyle w:val="181"/>
              <w:ind w:firstLine="180" w:firstLineChars="100"/>
              <w:jc w:val="left"/>
            </w:pPr>
            <w:r>
              <w:t>3.</w:t>
            </w:r>
            <w:r>
              <w:rPr>
                <w:rFonts w:hint="eastAsia"/>
              </w:rPr>
              <w:t>性功能障碍的情况，包括：</w:t>
            </w:r>
          </w:p>
          <w:p>
            <w:pPr>
              <w:pStyle w:val="135"/>
              <w:numPr>
                <w:ilvl w:val="0"/>
                <w:numId w:val="0"/>
              </w:numPr>
              <w:ind w:firstLine="180" w:firstLineChars="100"/>
              <w:rPr>
                <w:sz w:val="18"/>
                <w:szCs w:val="18"/>
              </w:rPr>
            </w:pPr>
            <w:r>
              <w:rPr>
                <w:rFonts w:hint="eastAsia"/>
                <w:sz w:val="18"/>
                <w:szCs w:val="18"/>
              </w:rPr>
              <w:t>1）性欲减退；</w:t>
            </w:r>
          </w:p>
          <w:p>
            <w:pPr>
              <w:pStyle w:val="135"/>
              <w:numPr>
                <w:ilvl w:val="0"/>
                <w:numId w:val="0"/>
              </w:numPr>
              <w:ind w:firstLine="180" w:firstLineChars="100"/>
              <w:rPr>
                <w:sz w:val="18"/>
                <w:szCs w:val="18"/>
              </w:rPr>
            </w:pPr>
            <w:r>
              <w:rPr>
                <w:rFonts w:hint="eastAsia"/>
                <w:sz w:val="18"/>
                <w:szCs w:val="18"/>
              </w:rPr>
              <w:t>2）阴道痉挛、性交困难。</w:t>
            </w:r>
          </w:p>
          <w:p>
            <w:pPr>
              <w:pStyle w:val="181"/>
              <w:ind w:firstLine="180" w:firstLineChars="100"/>
              <w:jc w:val="left"/>
            </w:pPr>
            <w:r>
              <w:t>4.</w:t>
            </w:r>
            <w:r>
              <w:rPr>
                <w:rFonts w:hint="eastAsia"/>
              </w:rPr>
              <w:t>既往试孕史。</w:t>
            </w:r>
          </w:p>
          <w:p>
            <w:pPr>
              <w:pStyle w:val="181"/>
              <w:ind w:firstLine="180" w:firstLineChars="100"/>
              <w:jc w:val="left"/>
            </w:pPr>
            <w:r>
              <w:t>5.</w:t>
            </w:r>
            <w:r>
              <w:rPr>
                <w:rFonts w:hint="eastAsia"/>
              </w:rPr>
              <w:t>既往任何生育力评估或治疗史。</w:t>
            </w:r>
          </w:p>
          <w:p>
            <w:pPr>
              <w:pStyle w:val="181"/>
              <w:ind w:firstLine="180" w:firstLineChars="100"/>
              <w:jc w:val="left"/>
            </w:pPr>
            <w:r>
              <w:t>6.</w:t>
            </w:r>
            <w:r>
              <w:rPr>
                <w:rFonts w:hint="eastAsia"/>
              </w:rPr>
              <w:t>既往避孕措施的使用，包括类型和使用时间。</w:t>
            </w:r>
          </w:p>
          <w:p>
            <w:pPr>
              <w:pStyle w:val="181"/>
              <w:ind w:firstLine="180" w:firstLineChars="100"/>
              <w:jc w:val="left"/>
            </w:pPr>
            <w:r>
              <w:t>7.</w:t>
            </w:r>
            <w:r>
              <w:rPr>
                <w:rFonts w:hint="eastAsia"/>
              </w:rPr>
              <w:t>当前生殖相关的用药情况，长期服用的药物，包括任何补充剂。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2" w:space="0"/>
              <w:bottom w:val="single" w:color="auto" w:sz="4" w:space="0"/>
            </w:tcBorders>
            <w:shd w:val="clear" w:color="auto" w:fill="auto"/>
            <w:vAlign w:val="center"/>
          </w:tcPr>
          <w:p>
            <w:pPr>
              <w:pStyle w:val="181"/>
              <w:ind w:firstLine="180" w:firstLineChars="100"/>
            </w:pPr>
            <w:r>
              <w:rPr>
                <w:rFonts w:hint="eastAsia"/>
              </w:rPr>
              <w:t>既往病史</w:t>
            </w:r>
          </w:p>
        </w:tc>
        <w:tc>
          <w:tcPr>
            <w:tcW w:w="7359" w:type="dxa"/>
            <w:tcBorders>
              <w:top w:val="single" w:color="auto" w:sz="2" w:space="0"/>
              <w:bottom w:val="single" w:color="auto" w:sz="4" w:space="0"/>
            </w:tcBorders>
            <w:shd w:val="clear" w:color="auto" w:fill="auto"/>
            <w:vAlign w:val="center"/>
          </w:tcPr>
          <w:p>
            <w:pPr>
              <w:pStyle w:val="181"/>
              <w:ind w:firstLine="180" w:firstLineChars="100"/>
              <w:jc w:val="left"/>
            </w:pPr>
            <w:r>
              <w:rPr>
                <w:rFonts w:hint="eastAsia"/>
              </w:rPr>
              <w:t>1</w:t>
            </w:r>
            <w:r>
              <w:t>.</w:t>
            </w:r>
            <w:r>
              <w:rPr>
                <w:rFonts w:hint="eastAsia"/>
              </w:rPr>
              <w:t>内分泌性疾病、自身免疫性疾病、遗传性疾病、精神疾病或其他恶性疾病的病史及治疗过程；</w:t>
            </w:r>
          </w:p>
          <w:p>
            <w:pPr>
              <w:pStyle w:val="181"/>
              <w:ind w:firstLine="180" w:firstLineChars="100"/>
              <w:jc w:val="left"/>
            </w:pPr>
            <w:r>
              <w:rPr>
                <w:rFonts w:hint="eastAsia"/>
              </w:rPr>
              <w:t>2</w:t>
            </w:r>
            <w:r>
              <w:t>.</w:t>
            </w:r>
            <w:r>
              <w:rPr>
                <w:rFonts w:hint="eastAsia"/>
              </w:rPr>
              <w:t>性传播疾病和/或盆腔炎或慢性盆腔疼痛史；</w:t>
            </w:r>
          </w:p>
          <w:p>
            <w:pPr>
              <w:pStyle w:val="181"/>
              <w:ind w:firstLine="180" w:firstLineChars="100"/>
              <w:jc w:val="left"/>
            </w:pPr>
            <w:r>
              <w:rPr>
                <w:rFonts w:hint="eastAsia"/>
              </w:rPr>
              <w:t>3</w:t>
            </w:r>
            <w:r>
              <w:t>.</w:t>
            </w:r>
            <w:r>
              <w:rPr>
                <w:rFonts w:hint="eastAsia"/>
              </w:rPr>
              <w:t>宫颈筛查异常史（薄层液基细胞学检查、人乳头瘤病毒检测）；</w:t>
            </w:r>
          </w:p>
          <w:p>
            <w:pPr>
              <w:pStyle w:val="181"/>
              <w:ind w:firstLine="180" w:firstLineChars="100"/>
              <w:jc w:val="left"/>
            </w:pPr>
            <w:r>
              <w:rPr>
                <w:rFonts w:hint="eastAsia"/>
              </w:rPr>
              <w:t>4</w:t>
            </w:r>
            <w:r>
              <w:t>.</w:t>
            </w:r>
            <w:r>
              <w:rPr>
                <w:rFonts w:hint="eastAsia"/>
              </w:rPr>
              <w:t>既往生殖相关的住院治疗史、手术操作史、重大外伤史；</w:t>
            </w:r>
          </w:p>
          <w:p>
            <w:pPr>
              <w:pStyle w:val="181"/>
              <w:ind w:firstLine="180" w:firstLineChars="100"/>
              <w:jc w:val="left"/>
            </w:pPr>
            <w:r>
              <w:rPr>
                <w:rFonts w:hint="eastAsia"/>
              </w:rPr>
              <w:t>5</w:t>
            </w:r>
            <w:r>
              <w:t>.</w:t>
            </w:r>
            <w:r>
              <w:rPr>
                <w:rFonts w:hint="eastAsia"/>
              </w:rPr>
              <w:t>是否使用具有性腺毒性的药物或有放疗史；</w:t>
            </w:r>
          </w:p>
          <w:p>
            <w:pPr>
              <w:pStyle w:val="181"/>
              <w:ind w:firstLine="180" w:firstLineChars="100"/>
              <w:jc w:val="left"/>
            </w:pPr>
            <w:r>
              <w:rPr>
                <w:rFonts w:hint="eastAsia"/>
              </w:rPr>
              <w:t>6</w:t>
            </w:r>
            <w:r>
              <w:t>.</w:t>
            </w:r>
            <w:r>
              <w:rPr>
                <w:rFonts w:hint="eastAsia"/>
              </w:rPr>
              <w:t>药物和食物过敏史：已知的过敏药物和反应类型。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4" w:space="0"/>
            </w:tcBorders>
            <w:shd w:val="clear" w:color="auto" w:fill="auto"/>
            <w:vAlign w:val="center"/>
          </w:tcPr>
          <w:p>
            <w:pPr>
              <w:pStyle w:val="181"/>
              <w:ind w:firstLine="180" w:firstLineChars="100"/>
            </w:pPr>
            <w:r>
              <w:rPr>
                <w:rFonts w:hint="eastAsia"/>
              </w:rPr>
              <w:t>月经史</w:t>
            </w:r>
          </w:p>
        </w:tc>
        <w:tc>
          <w:tcPr>
            <w:tcW w:w="7359" w:type="dxa"/>
            <w:tcBorders>
              <w:top w:val="single" w:color="auto" w:sz="4" w:space="0"/>
            </w:tcBorders>
            <w:shd w:val="clear" w:color="auto" w:fill="auto"/>
            <w:vAlign w:val="center"/>
          </w:tcPr>
          <w:p>
            <w:pPr>
              <w:pStyle w:val="181"/>
              <w:ind w:firstLine="180" w:firstLineChars="100"/>
              <w:jc w:val="left"/>
            </w:pPr>
            <w:r>
              <w:rPr>
                <w:rFonts w:hint="eastAsia"/>
              </w:rPr>
              <w:t>1</w:t>
            </w:r>
            <w:r>
              <w:t>.</w:t>
            </w:r>
            <w:r>
              <w:rPr>
                <w:rFonts w:hint="eastAsia"/>
              </w:rPr>
              <w:t>初潮年龄；</w:t>
            </w:r>
          </w:p>
          <w:p>
            <w:pPr>
              <w:pStyle w:val="181"/>
              <w:ind w:firstLine="180" w:firstLineChars="100"/>
              <w:jc w:val="left"/>
            </w:pPr>
            <w:r>
              <w:rPr>
                <w:rFonts w:hint="eastAsia"/>
              </w:rPr>
              <w:t>2</w:t>
            </w:r>
            <w:r>
              <w:t>.</w:t>
            </w:r>
            <w:r>
              <w:rPr>
                <w:rFonts w:hint="eastAsia"/>
              </w:rPr>
              <w:t>周期长短（范围）、经期持续时间和出血量；</w:t>
            </w:r>
          </w:p>
          <w:p>
            <w:pPr>
              <w:pStyle w:val="181"/>
              <w:ind w:firstLine="180" w:firstLineChars="100"/>
              <w:jc w:val="left"/>
            </w:pPr>
            <w:r>
              <w:rPr>
                <w:rFonts w:hint="eastAsia"/>
              </w:rPr>
              <w:t>3</w:t>
            </w:r>
            <w:r>
              <w:t>.</w:t>
            </w:r>
            <w:r>
              <w:rPr>
                <w:rFonts w:hint="eastAsia"/>
              </w:rPr>
              <w:t>是否存在月经间期出血；</w:t>
            </w:r>
          </w:p>
          <w:p>
            <w:pPr>
              <w:pStyle w:val="181"/>
              <w:ind w:firstLine="180" w:firstLineChars="100"/>
              <w:jc w:val="left"/>
            </w:pPr>
            <w:r>
              <w:rPr>
                <w:rFonts w:hint="eastAsia"/>
              </w:rPr>
              <w:t>4</w:t>
            </w:r>
            <w:r>
              <w:t>.</w:t>
            </w:r>
            <w:r>
              <w:rPr>
                <w:rFonts w:hint="eastAsia"/>
              </w:rPr>
              <w:t>是否存在痛经；</w:t>
            </w:r>
          </w:p>
          <w:p>
            <w:pPr>
              <w:pStyle w:val="181"/>
              <w:ind w:firstLine="180" w:firstLineChars="100"/>
              <w:jc w:val="left"/>
            </w:pPr>
            <w:r>
              <w:rPr>
                <w:rFonts w:hint="eastAsia"/>
              </w:rPr>
              <w:t>5</w:t>
            </w:r>
            <w:r>
              <w:t>.</w:t>
            </w:r>
            <w:r>
              <w:rPr>
                <w:rFonts w:hint="eastAsia"/>
              </w:rPr>
              <w:t>是否存在经前不适；</w:t>
            </w:r>
          </w:p>
          <w:p>
            <w:pPr>
              <w:pStyle w:val="181"/>
              <w:ind w:firstLine="180" w:firstLineChars="100"/>
              <w:jc w:val="left"/>
            </w:pPr>
            <w:r>
              <w:rPr>
                <w:rFonts w:hint="eastAsia"/>
              </w:rPr>
              <w:t>6.末次月经。</w:t>
            </w:r>
          </w:p>
        </w:tc>
      </w:tr>
    </w:tbl>
    <w:p>
      <w:pPr>
        <w:pStyle w:val="59"/>
        <w:spacing w:before="120" w:beforeLines="50" w:after="120" w:afterLines="50"/>
        <w:ind w:firstLine="0" w:firstLineChars="0"/>
        <w:jc w:val="center"/>
        <w:rPr>
          <w:rFonts w:ascii="黑体" w:hAnsi="黑体" w:eastAsia="黑体"/>
        </w:rPr>
      </w:pPr>
    </w:p>
    <w:p>
      <w:pPr>
        <w:pStyle w:val="59"/>
        <w:spacing w:before="120" w:beforeLines="50" w:after="120" w:afterLines="50"/>
        <w:ind w:firstLine="0" w:firstLineChars="0"/>
        <w:jc w:val="center"/>
        <w:rPr>
          <w:rFonts w:ascii="黑体" w:hAnsi="黑体" w:eastAsia="黑体"/>
        </w:rPr>
      </w:pPr>
      <w:r>
        <w:rPr>
          <w:rFonts w:hint="eastAsia" w:ascii="黑体" w:hAnsi="黑体" w:eastAsia="黑体"/>
        </w:rPr>
        <w:t>表8  女性病史采集表</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73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shd w:val="clear" w:color="auto" w:fill="auto"/>
            <w:vAlign w:val="center"/>
          </w:tcPr>
          <w:p>
            <w:pPr>
              <w:pStyle w:val="181"/>
            </w:pPr>
            <w:r>
              <w:rPr>
                <w:rFonts w:hint="eastAsia"/>
              </w:rPr>
              <w:t>采集类型</w:t>
            </w:r>
          </w:p>
        </w:tc>
        <w:tc>
          <w:tcPr>
            <w:tcW w:w="7359" w:type="dxa"/>
            <w:tcBorders>
              <w:top w:val="single" w:color="auto" w:sz="8" w:space="0"/>
              <w:bottom w:val="single" w:color="auto" w:sz="8" w:space="0"/>
            </w:tcBorders>
            <w:shd w:val="clear" w:color="auto" w:fill="auto"/>
            <w:vAlign w:val="center"/>
          </w:tcPr>
          <w:p>
            <w:pPr>
              <w:pStyle w:val="181"/>
            </w:pPr>
            <w:r>
              <w:rPr>
                <w:rFonts w:hint="eastAsia"/>
              </w:rPr>
              <w:t>采集内容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81"/>
              <w:ind w:firstLine="180" w:firstLineChars="100"/>
            </w:pPr>
            <w:r>
              <w:rPr>
                <w:rFonts w:hint="eastAsia"/>
              </w:rPr>
              <w:t>婚育史</w:t>
            </w:r>
          </w:p>
        </w:tc>
        <w:tc>
          <w:tcPr>
            <w:tcW w:w="7359" w:type="dxa"/>
            <w:shd w:val="clear" w:color="auto" w:fill="auto"/>
            <w:vAlign w:val="center"/>
          </w:tcPr>
          <w:p>
            <w:pPr>
              <w:pStyle w:val="181"/>
              <w:ind w:firstLine="180" w:firstLineChars="100"/>
              <w:jc w:val="left"/>
              <w:rPr>
                <w:szCs w:val="18"/>
              </w:rPr>
            </w:pPr>
            <w:r>
              <w:rPr>
                <w:rFonts w:hint="eastAsia"/>
                <w:szCs w:val="18"/>
              </w:rPr>
              <w:t>1</w:t>
            </w:r>
            <w:r>
              <w:rPr>
                <w:szCs w:val="18"/>
              </w:rPr>
              <w:t>.</w:t>
            </w:r>
            <w:r>
              <w:rPr>
                <w:rFonts w:hint="eastAsia"/>
                <w:szCs w:val="18"/>
              </w:rPr>
              <w:t>与当前及既往伴侣的受孕史（妊娠次数、处理or经过和结局），包括：</w:t>
            </w:r>
          </w:p>
          <w:p>
            <w:pPr>
              <w:pStyle w:val="181"/>
              <w:ind w:firstLine="180" w:firstLineChars="100"/>
              <w:jc w:val="left"/>
              <w:rPr>
                <w:szCs w:val="18"/>
              </w:rPr>
            </w:pPr>
            <w:r>
              <w:rPr>
                <w:szCs w:val="18"/>
              </w:rPr>
              <w:t>1</w:t>
            </w:r>
            <w:r>
              <w:rPr>
                <w:rFonts w:hint="eastAsia"/>
                <w:szCs w:val="18"/>
              </w:rPr>
              <w:t>）生化妊娠；</w:t>
            </w:r>
          </w:p>
          <w:p>
            <w:pPr>
              <w:pStyle w:val="135"/>
              <w:numPr>
                <w:ilvl w:val="0"/>
                <w:numId w:val="0"/>
              </w:numPr>
              <w:ind w:firstLine="180" w:firstLineChars="100"/>
              <w:rPr>
                <w:sz w:val="18"/>
                <w:szCs w:val="18"/>
              </w:rPr>
            </w:pPr>
            <w:r>
              <w:rPr>
                <w:rFonts w:hint="eastAsia"/>
                <w:sz w:val="18"/>
                <w:szCs w:val="18"/>
              </w:rPr>
              <w:t>2）临床妊娠的自然流产，有无清宫史；</w:t>
            </w:r>
          </w:p>
          <w:p>
            <w:pPr>
              <w:pStyle w:val="135"/>
              <w:numPr>
                <w:ilvl w:val="0"/>
                <w:numId w:val="0"/>
              </w:numPr>
              <w:ind w:firstLine="180" w:firstLineChars="100"/>
              <w:rPr>
                <w:sz w:val="18"/>
                <w:szCs w:val="18"/>
              </w:rPr>
            </w:pPr>
            <w:r>
              <w:rPr>
                <w:rFonts w:hint="eastAsia"/>
                <w:sz w:val="18"/>
                <w:szCs w:val="18"/>
              </w:rPr>
              <w:t>3）不明部位妊娠；</w:t>
            </w:r>
          </w:p>
          <w:p>
            <w:pPr>
              <w:pStyle w:val="135"/>
              <w:numPr>
                <w:ilvl w:val="0"/>
                <w:numId w:val="0"/>
              </w:numPr>
              <w:ind w:firstLine="180" w:firstLineChars="100"/>
              <w:rPr>
                <w:sz w:val="18"/>
                <w:szCs w:val="18"/>
              </w:rPr>
            </w:pPr>
            <w:r>
              <w:rPr>
                <w:rFonts w:hint="eastAsia"/>
                <w:sz w:val="18"/>
                <w:szCs w:val="18"/>
              </w:rPr>
              <w:t>4）人工流产；</w:t>
            </w:r>
          </w:p>
          <w:p>
            <w:pPr>
              <w:pStyle w:val="135"/>
              <w:numPr>
                <w:ilvl w:val="0"/>
                <w:numId w:val="0"/>
              </w:numPr>
              <w:ind w:firstLine="180" w:firstLineChars="100"/>
              <w:rPr>
                <w:sz w:val="18"/>
                <w:szCs w:val="18"/>
              </w:rPr>
            </w:pPr>
            <w:r>
              <w:rPr>
                <w:rFonts w:hint="eastAsia"/>
                <w:sz w:val="18"/>
                <w:szCs w:val="18"/>
              </w:rPr>
              <w:t>5）异位妊娠；</w:t>
            </w:r>
          </w:p>
          <w:p>
            <w:pPr>
              <w:pStyle w:val="135"/>
              <w:numPr>
                <w:ilvl w:val="0"/>
                <w:numId w:val="0"/>
              </w:numPr>
              <w:ind w:firstLine="180" w:firstLineChars="100"/>
              <w:rPr>
                <w:sz w:val="18"/>
                <w:szCs w:val="18"/>
              </w:rPr>
            </w:pPr>
            <w:r>
              <w:rPr>
                <w:rFonts w:hint="eastAsia"/>
                <w:sz w:val="18"/>
                <w:szCs w:val="18"/>
              </w:rPr>
              <w:t>6）胎儿畸形引产或死胎；</w:t>
            </w:r>
          </w:p>
          <w:p>
            <w:pPr>
              <w:pStyle w:val="135"/>
              <w:numPr>
                <w:ilvl w:val="0"/>
                <w:numId w:val="0"/>
              </w:numPr>
              <w:ind w:firstLine="180" w:firstLineChars="100"/>
              <w:rPr>
                <w:sz w:val="18"/>
                <w:szCs w:val="18"/>
              </w:rPr>
            </w:pPr>
            <w:r>
              <w:rPr>
                <w:rFonts w:hint="eastAsia"/>
                <w:sz w:val="18"/>
                <w:szCs w:val="18"/>
              </w:rPr>
              <w:t>7）活产。</w:t>
            </w:r>
          </w:p>
          <w:p>
            <w:pPr>
              <w:pStyle w:val="181"/>
              <w:ind w:firstLine="180" w:firstLineChars="100"/>
              <w:jc w:val="left"/>
              <w:rPr>
                <w:szCs w:val="18"/>
              </w:rPr>
            </w:pPr>
            <w:r>
              <w:rPr>
                <w:rFonts w:hint="eastAsia"/>
                <w:szCs w:val="18"/>
              </w:rPr>
              <w:t>2</w:t>
            </w:r>
            <w:r>
              <w:rPr>
                <w:szCs w:val="18"/>
              </w:rPr>
              <w:t>.</w:t>
            </w:r>
            <w:r>
              <w:rPr>
                <w:rFonts w:hint="eastAsia"/>
                <w:szCs w:val="18"/>
              </w:rPr>
              <w:t>产科并发症，包括：</w:t>
            </w:r>
          </w:p>
          <w:p>
            <w:pPr>
              <w:pStyle w:val="135"/>
              <w:numPr>
                <w:ilvl w:val="0"/>
                <w:numId w:val="0"/>
              </w:numPr>
              <w:ind w:firstLine="180" w:firstLineChars="100"/>
              <w:rPr>
                <w:sz w:val="18"/>
                <w:szCs w:val="18"/>
              </w:rPr>
            </w:pPr>
            <w:r>
              <w:rPr>
                <w:rFonts w:hint="eastAsia"/>
                <w:sz w:val="18"/>
                <w:szCs w:val="18"/>
              </w:rPr>
              <w:t>1）妊娠期糖尿病；</w:t>
            </w:r>
          </w:p>
          <w:p>
            <w:pPr>
              <w:pStyle w:val="135"/>
              <w:numPr>
                <w:ilvl w:val="0"/>
                <w:numId w:val="0"/>
              </w:numPr>
              <w:ind w:firstLine="180" w:firstLineChars="100"/>
              <w:rPr>
                <w:sz w:val="18"/>
                <w:szCs w:val="18"/>
              </w:rPr>
            </w:pPr>
            <w:r>
              <w:rPr>
                <w:rFonts w:hint="eastAsia"/>
                <w:sz w:val="18"/>
                <w:szCs w:val="18"/>
              </w:rPr>
              <w:t>2）妊娠期高血压疾病；</w:t>
            </w:r>
          </w:p>
          <w:p>
            <w:pPr>
              <w:pStyle w:val="135"/>
              <w:numPr>
                <w:ilvl w:val="0"/>
                <w:numId w:val="0"/>
              </w:numPr>
              <w:ind w:firstLine="180" w:firstLineChars="100"/>
              <w:rPr>
                <w:sz w:val="18"/>
                <w:szCs w:val="18"/>
              </w:rPr>
            </w:pPr>
            <w:r>
              <w:rPr>
                <w:rFonts w:hint="eastAsia"/>
                <w:sz w:val="18"/>
                <w:szCs w:val="18"/>
              </w:rPr>
              <w:t>3）早产；</w:t>
            </w:r>
          </w:p>
          <w:p>
            <w:pPr>
              <w:pStyle w:val="135"/>
              <w:numPr>
                <w:ilvl w:val="0"/>
                <w:numId w:val="0"/>
              </w:numPr>
              <w:ind w:firstLine="180" w:firstLineChars="100"/>
              <w:rPr>
                <w:sz w:val="18"/>
                <w:szCs w:val="18"/>
              </w:rPr>
            </w:pPr>
            <w:r>
              <w:rPr>
                <w:rFonts w:hint="eastAsia"/>
                <w:sz w:val="18"/>
                <w:szCs w:val="18"/>
              </w:rPr>
              <w:t>4）胎盘相关疾病；</w:t>
            </w:r>
          </w:p>
          <w:p>
            <w:pPr>
              <w:pStyle w:val="135"/>
              <w:numPr>
                <w:ilvl w:val="0"/>
                <w:numId w:val="0"/>
              </w:numPr>
              <w:ind w:firstLine="180" w:firstLineChars="100"/>
              <w:rPr>
                <w:sz w:val="18"/>
                <w:szCs w:val="18"/>
              </w:rPr>
            </w:pPr>
            <w:r>
              <w:rPr>
                <w:sz w:val="18"/>
                <w:szCs w:val="18"/>
              </w:rPr>
              <w:t>5</w:t>
            </w:r>
            <w:r>
              <w:rPr>
                <w:rFonts w:hint="eastAsia"/>
                <w:sz w:val="18"/>
                <w:szCs w:val="18"/>
              </w:rPr>
              <w:t>）宫内生长受限；</w:t>
            </w:r>
          </w:p>
          <w:p>
            <w:pPr>
              <w:pStyle w:val="135"/>
              <w:numPr>
                <w:ilvl w:val="0"/>
                <w:numId w:val="0"/>
              </w:numPr>
              <w:ind w:firstLine="180" w:firstLineChars="100"/>
              <w:rPr>
                <w:sz w:val="18"/>
                <w:szCs w:val="18"/>
              </w:rPr>
            </w:pPr>
            <w:r>
              <w:rPr>
                <w:rFonts w:hint="eastAsia"/>
                <w:sz w:val="18"/>
                <w:szCs w:val="18"/>
              </w:rPr>
              <w:t>6）子代先天性疾病或出生缺陷。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81"/>
              <w:ind w:firstLine="180" w:firstLineChars="100"/>
            </w:pPr>
            <w:r>
              <w:rPr>
                <w:rFonts w:hint="eastAsia"/>
              </w:rPr>
              <w:t>家族史</w:t>
            </w:r>
          </w:p>
        </w:tc>
        <w:tc>
          <w:tcPr>
            <w:tcW w:w="7359" w:type="dxa"/>
            <w:shd w:val="clear" w:color="auto" w:fill="auto"/>
            <w:vAlign w:val="center"/>
          </w:tcPr>
          <w:p>
            <w:pPr>
              <w:pStyle w:val="181"/>
              <w:ind w:firstLine="180" w:firstLineChars="100"/>
              <w:jc w:val="left"/>
              <w:rPr>
                <w:szCs w:val="18"/>
              </w:rPr>
            </w:pPr>
            <w:r>
              <w:rPr>
                <w:rFonts w:hint="eastAsia"/>
                <w:szCs w:val="18"/>
              </w:rPr>
              <w:t>任何具有以下已知病史的家庭成员：</w:t>
            </w:r>
          </w:p>
          <w:p>
            <w:pPr>
              <w:pStyle w:val="135"/>
              <w:numPr>
                <w:ilvl w:val="0"/>
                <w:numId w:val="0"/>
              </w:numPr>
              <w:ind w:firstLine="180" w:firstLineChars="100"/>
              <w:rPr>
                <w:sz w:val="18"/>
                <w:szCs w:val="18"/>
              </w:rPr>
            </w:pPr>
            <w:r>
              <w:rPr>
                <w:rFonts w:hint="eastAsia"/>
                <w:sz w:val="18"/>
                <w:szCs w:val="18"/>
              </w:rPr>
              <w:t>1）遗传性疾病；</w:t>
            </w:r>
          </w:p>
          <w:p>
            <w:pPr>
              <w:pStyle w:val="135"/>
              <w:numPr>
                <w:ilvl w:val="0"/>
                <w:numId w:val="0"/>
              </w:numPr>
              <w:ind w:firstLine="180" w:firstLineChars="100"/>
              <w:rPr>
                <w:sz w:val="18"/>
                <w:szCs w:val="18"/>
              </w:rPr>
            </w:pPr>
            <w:r>
              <w:rPr>
                <w:rFonts w:hint="eastAsia"/>
                <w:sz w:val="18"/>
                <w:szCs w:val="18"/>
              </w:rPr>
              <w:t>2）内分泌疾病；</w:t>
            </w:r>
          </w:p>
          <w:p>
            <w:pPr>
              <w:pStyle w:val="135"/>
              <w:numPr>
                <w:ilvl w:val="0"/>
                <w:numId w:val="0"/>
              </w:numPr>
              <w:ind w:firstLine="180" w:firstLineChars="100"/>
              <w:rPr>
                <w:sz w:val="18"/>
                <w:szCs w:val="18"/>
              </w:rPr>
            </w:pPr>
            <w:r>
              <w:rPr>
                <w:rFonts w:hint="eastAsia"/>
                <w:sz w:val="18"/>
                <w:szCs w:val="18"/>
              </w:rPr>
              <w:t>3）出生缺陷、发育迟缓；</w:t>
            </w:r>
          </w:p>
          <w:p>
            <w:pPr>
              <w:pStyle w:val="135"/>
              <w:numPr>
                <w:ilvl w:val="0"/>
                <w:numId w:val="0"/>
              </w:numPr>
              <w:ind w:firstLine="180" w:firstLineChars="100"/>
              <w:rPr>
                <w:sz w:val="18"/>
                <w:szCs w:val="18"/>
              </w:rPr>
            </w:pPr>
            <w:r>
              <w:rPr>
                <w:rFonts w:hint="eastAsia"/>
                <w:sz w:val="18"/>
                <w:szCs w:val="18"/>
              </w:rPr>
              <w:t>4）不孕症；</w:t>
            </w:r>
          </w:p>
          <w:p>
            <w:pPr>
              <w:pStyle w:val="135"/>
              <w:numPr>
                <w:ilvl w:val="0"/>
                <w:numId w:val="0"/>
              </w:numPr>
              <w:ind w:firstLine="180" w:firstLineChars="100"/>
              <w:rPr>
                <w:sz w:val="18"/>
                <w:szCs w:val="18"/>
              </w:rPr>
            </w:pPr>
            <w:r>
              <w:rPr>
                <w:rFonts w:hint="eastAsia"/>
                <w:sz w:val="18"/>
                <w:szCs w:val="18"/>
              </w:rPr>
              <w:t>5）绝经期提前（＜40岁）；</w:t>
            </w:r>
          </w:p>
          <w:p>
            <w:pPr>
              <w:pStyle w:val="135"/>
              <w:numPr>
                <w:ilvl w:val="0"/>
                <w:numId w:val="0"/>
              </w:numPr>
              <w:ind w:firstLine="180" w:firstLineChars="100"/>
              <w:rPr>
                <w:sz w:val="18"/>
                <w:szCs w:val="18"/>
              </w:rPr>
            </w:pPr>
            <w:r>
              <w:rPr>
                <w:rFonts w:hint="eastAsia"/>
                <w:sz w:val="18"/>
                <w:szCs w:val="18"/>
              </w:rPr>
              <w:t>6）多次自然流产。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81"/>
              <w:ind w:firstLine="180" w:firstLineChars="100"/>
            </w:pPr>
            <w:r>
              <w:rPr>
                <w:rFonts w:hint="eastAsia"/>
              </w:rPr>
              <w:t>个人史</w:t>
            </w:r>
          </w:p>
        </w:tc>
        <w:tc>
          <w:tcPr>
            <w:tcW w:w="7359" w:type="dxa"/>
            <w:shd w:val="clear" w:color="auto" w:fill="auto"/>
            <w:vAlign w:val="center"/>
          </w:tcPr>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1</w:t>
            </w:r>
            <w:r>
              <w:rPr>
                <w:rFonts w:ascii="宋体" w:hAnsi="Times New Roman"/>
                <w:kern w:val="0"/>
                <w:sz w:val="18"/>
                <w:szCs w:val="20"/>
              </w:rPr>
              <w:t>.</w:t>
            </w:r>
            <w:r>
              <w:rPr>
                <w:rFonts w:hint="eastAsia" w:ascii="宋体" w:hAnsi="Times New Roman"/>
                <w:kern w:val="0"/>
                <w:sz w:val="18"/>
                <w:szCs w:val="20"/>
              </w:rPr>
              <w:t>职业和有毒物质的潜在暴露；</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2</w:t>
            </w:r>
            <w:r>
              <w:rPr>
                <w:rFonts w:ascii="宋体" w:hAnsi="Times New Roman"/>
                <w:kern w:val="0"/>
                <w:sz w:val="18"/>
                <w:szCs w:val="20"/>
              </w:rPr>
              <w:t>.</w:t>
            </w:r>
            <w:r>
              <w:rPr>
                <w:rFonts w:hint="eastAsia" w:ascii="宋体" w:hAnsi="Times New Roman"/>
                <w:kern w:val="0"/>
                <w:sz w:val="18"/>
                <w:szCs w:val="20"/>
              </w:rPr>
              <w:t>饮食、运动和睡眠习惯；</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3.烟草、酒精或兴奋性、成瘾性药物的使用；</w:t>
            </w:r>
          </w:p>
          <w:p>
            <w:pPr>
              <w:widowControl/>
              <w:autoSpaceDE w:val="0"/>
              <w:autoSpaceDN w:val="0"/>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4</w:t>
            </w:r>
            <w:r>
              <w:rPr>
                <w:rFonts w:ascii="宋体" w:hAnsi="Times New Roman"/>
                <w:kern w:val="0"/>
                <w:sz w:val="18"/>
                <w:szCs w:val="20"/>
              </w:rPr>
              <w:t>.</w:t>
            </w:r>
            <w:r>
              <w:rPr>
                <w:rFonts w:hint="eastAsia" w:ascii="宋体" w:hAnsi="Times New Roman"/>
                <w:kern w:val="0"/>
                <w:sz w:val="18"/>
                <w:szCs w:val="20"/>
              </w:rPr>
              <w:t>心理、生理和/或性创伤史；</w:t>
            </w:r>
          </w:p>
          <w:p>
            <w:pPr>
              <w:pStyle w:val="181"/>
              <w:ind w:firstLine="180" w:firstLineChars="100"/>
              <w:jc w:val="left"/>
            </w:pPr>
            <w:r>
              <w:rPr>
                <w:rFonts w:hint="eastAsia"/>
              </w:rPr>
              <w:t>5</w:t>
            </w:r>
            <w:r>
              <w:t>.</w:t>
            </w:r>
            <w:r>
              <w:rPr>
                <w:rFonts w:hint="eastAsia"/>
              </w:rPr>
              <w:t>性别身份和冶游史。</w:t>
            </w:r>
          </w:p>
        </w:tc>
      </w:tr>
    </w:tbl>
    <w:p>
      <w:pPr>
        <w:pStyle w:val="68"/>
        <w:spacing w:before="240" w:beforeLines="100" w:after="120"/>
      </w:pPr>
      <w:r>
        <w:rPr>
          <w:rFonts w:hint="eastAsia"/>
        </w:rPr>
        <w:t>生育力评估</w:t>
      </w:r>
    </w:p>
    <w:p>
      <w:pPr>
        <w:pStyle w:val="97"/>
        <w:spacing w:before="120" w:after="120"/>
      </w:pPr>
      <w:r>
        <w:rPr>
          <w:rFonts w:hint="eastAsia"/>
        </w:rPr>
        <w:t>必查项目</w:t>
      </w:r>
    </w:p>
    <w:p>
      <w:pPr>
        <w:pStyle w:val="101"/>
        <w:spacing w:before="120" w:after="120"/>
      </w:pPr>
      <w:r>
        <w:rPr>
          <w:rFonts w:hint="eastAsia"/>
        </w:rPr>
        <w:t>生殖系统体格</w:t>
      </w:r>
      <w:bookmarkStart w:id="48" w:name="_Hlk170399747"/>
      <w:r>
        <w:rPr>
          <w:rFonts w:hint="eastAsia"/>
        </w:rPr>
        <w:t>及妇科B超检查</w:t>
      </w:r>
      <w:bookmarkEnd w:id="48"/>
    </w:p>
    <w:p>
      <w:pPr>
        <w:pStyle w:val="59"/>
        <w:ind w:firstLine="420"/>
      </w:pPr>
      <w:r>
        <w:rPr>
          <w:rFonts w:hint="eastAsia"/>
        </w:rPr>
        <w:t>不孕患者的体格检查应当查出特异影响生育的病理情况，并结合表</w:t>
      </w:r>
      <w:r>
        <w:t>9</w:t>
      </w:r>
      <w:r>
        <w:rPr>
          <w:rFonts w:hint="eastAsia"/>
        </w:rPr>
        <w:t>进行评估。</w:t>
      </w:r>
    </w:p>
    <w:p>
      <w:pPr>
        <w:pStyle w:val="115"/>
        <w:spacing w:before="120" w:after="120"/>
      </w:pPr>
      <w:r>
        <w:rPr>
          <w:rFonts w:hint="eastAsia"/>
        </w:rPr>
        <w:t>女性体格检查表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542" w:type="dxa"/>
            <w:tcBorders>
              <w:top w:val="single" w:color="auto" w:sz="8" w:space="0"/>
              <w:bottom w:val="single" w:color="auto" w:sz="8" w:space="0"/>
            </w:tcBorders>
            <w:shd w:val="clear" w:color="auto" w:fill="auto"/>
            <w:vAlign w:val="center"/>
          </w:tcPr>
          <w:p>
            <w:pPr>
              <w:pStyle w:val="181"/>
            </w:pPr>
            <w:r>
              <w:rPr>
                <w:rFonts w:hint="eastAsia"/>
              </w:rPr>
              <w:t>检查类型</w:t>
            </w:r>
          </w:p>
        </w:tc>
        <w:tc>
          <w:tcPr>
            <w:tcW w:w="6792" w:type="dxa"/>
            <w:tcBorders>
              <w:top w:val="single" w:color="auto" w:sz="8" w:space="0"/>
              <w:bottom w:val="single" w:color="auto" w:sz="8" w:space="0"/>
            </w:tcBorders>
            <w:shd w:val="clear" w:color="auto" w:fill="auto"/>
            <w:vAlign w:val="center"/>
          </w:tcPr>
          <w:p>
            <w:pPr>
              <w:pStyle w:val="181"/>
            </w:pPr>
            <w:r>
              <w:rPr>
                <w:rFonts w:hint="eastAsia"/>
              </w:rPr>
              <w:t>检查项目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81"/>
            </w:pPr>
            <w:r>
              <w:rPr>
                <w:rFonts w:hint="eastAsia"/>
              </w:rPr>
              <w:t>生命体征</w:t>
            </w:r>
          </w:p>
        </w:tc>
        <w:tc>
          <w:tcPr>
            <w:tcW w:w="6792" w:type="dxa"/>
            <w:tcBorders>
              <w:top w:val="single" w:color="auto" w:sz="8" w:space="0"/>
            </w:tcBorders>
            <w:shd w:val="clear" w:color="auto" w:fill="auto"/>
            <w:vAlign w:val="center"/>
          </w:tcPr>
          <w:p>
            <w:pPr>
              <w:pStyle w:val="181"/>
              <w:ind w:firstLine="180" w:firstLineChars="100"/>
              <w:jc w:val="left"/>
            </w:pPr>
            <w:r>
              <w:rPr>
                <w:rFonts w:hint="eastAsia"/>
              </w:rPr>
              <w:t>体温、呼吸、脉搏、血压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81"/>
            </w:pPr>
            <w:r>
              <w:rPr>
                <w:rFonts w:hint="eastAsia"/>
              </w:rPr>
              <w:t>一般情况</w:t>
            </w:r>
          </w:p>
        </w:tc>
        <w:tc>
          <w:tcPr>
            <w:tcW w:w="6792" w:type="dxa"/>
            <w:shd w:val="clear" w:color="auto" w:fill="auto"/>
            <w:vAlign w:val="center"/>
          </w:tcPr>
          <w:p>
            <w:pPr>
              <w:pStyle w:val="181"/>
              <w:ind w:firstLine="180" w:firstLineChars="100"/>
              <w:jc w:val="left"/>
            </w:pPr>
            <w:r>
              <w:rPr>
                <w:rFonts w:hint="eastAsia"/>
              </w:rPr>
              <w:t>身高、体重、BMI（见附表</w:t>
            </w:r>
            <w:r>
              <w:t>B</w:t>
            </w:r>
            <w:r>
              <w:rPr>
                <w:rFonts w:hint="eastAsia"/>
              </w:rPr>
              <w:t>表B</w:t>
            </w:r>
            <w:r>
              <w:t>.1</w:t>
            </w:r>
            <w:r>
              <w:rPr>
                <w:rFonts w:hint="eastAsia"/>
              </w:rPr>
              <w:t>）、腰围（见附表</w:t>
            </w:r>
            <w:r>
              <w:t>B</w:t>
            </w:r>
            <w:r>
              <w:rPr>
                <w:rFonts w:hint="eastAsia"/>
              </w:rPr>
              <w:t>表B</w:t>
            </w:r>
            <w:r>
              <w:t>.2</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81"/>
            </w:pPr>
            <w:r>
              <w:rPr>
                <w:rFonts w:hint="eastAsia"/>
              </w:rPr>
              <w:t>皮肤检查</w:t>
            </w:r>
          </w:p>
        </w:tc>
        <w:tc>
          <w:tcPr>
            <w:tcW w:w="6792" w:type="dxa"/>
            <w:shd w:val="clear" w:color="auto" w:fill="auto"/>
            <w:vAlign w:val="center"/>
          </w:tcPr>
          <w:p>
            <w:pPr>
              <w:pStyle w:val="181"/>
              <w:ind w:firstLine="180" w:firstLineChars="100"/>
              <w:jc w:val="left"/>
            </w:pPr>
            <w:r>
              <w:rPr>
                <w:rFonts w:hint="eastAsia"/>
              </w:rPr>
              <w:t>1</w:t>
            </w:r>
            <w:r>
              <w:t>.</w:t>
            </w:r>
            <w:r>
              <w:rPr>
                <w:rFonts w:hint="eastAsia"/>
              </w:rPr>
              <w:t>皮疹</w:t>
            </w:r>
          </w:p>
          <w:p>
            <w:pPr>
              <w:pStyle w:val="181"/>
              <w:ind w:firstLine="180" w:firstLineChars="100"/>
              <w:jc w:val="left"/>
            </w:pPr>
            <w:r>
              <w:rPr>
                <w:rFonts w:hint="eastAsia"/>
              </w:rPr>
              <w:t>2</w:t>
            </w:r>
            <w:r>
              <w:t>.</w:t>
            </w:r>
            <w:r>
              <w:rPr>
                <w:rFonts w:hint="eastAsia"/>
              </w:rPr>
              <w:t>雄激素过多的体征（例如多毛症、痤疮、雄激素性脱发、黑棘皮症）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81"/>
            </w:pPr>
            <w:r>
              <w:rPr>
                <w:rFonts w:hint="eastAsia"/>
              </w:rPr>
              <w:t>甲状腺检查</w:t>
            </w:r>
          </w:p>
        </w:tc>
        <w:tc>
          <w:tcPr>
            <w:tcW w:w="6792" w:type="dxa"/>
            <w:shd w:val="clear" w:color="auto" w:fill="auto"/>
            <w:vAlign w:val="center"/>
          </w:tcPr>
          <w:p>
            <w:pPr>
              <w:pStyle w:val="181"/>
              <w:ind w:firstLine="180" w:firstLineChars="100"/>
              <w:jc w:val="left"/>
            </w:pPr>
            <w:r>
              <w:rPr>
                <w:rFonts w:hint="eastAsia"/>
              </w:rPr>
              <w:t>甲状腺质地和大小，是否存在结节、压痛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81"/>
            </w:pPr>
            <w:r>
              <w:rPr>
                <w:rFonts w:hint="eastAsia"/>
              </w:rPr>
              <w:t>乳房检查</w:t>
            </w:r>
          </w:p>
        </w:tc>
        <w:tc>
          <w:tcPr>
            <w:tcW w:w="6792" w:type="dxa"/>
            <w:shd w:val="clear" w:color="auto" w:fill="auto"/>
            <w:vAlign w:val="center"/>
          </w:tcPr>
          <w:p>
            <w:pPr>
              <w:pStyle w:val="181"/>
              <w:ind w:firstLine="180" w:firstLineChars="100"/>
              <w:jc w:val="left"/>
            </w:pPr>
            <w:r>
              <w:rPr>
                <w:rFonts w:hint="eastAsia"/>
              </w:rPr>
              <w:t>1</w:t>
            </w:r>
            <w:r>
              <w:t>.</w:t>
            </w:r>
            <w:r>
              <w:rPr>
                <w:rFonts w:hint="eastAsia"/>
              </w:rPr>
              <w:t>乳房皮肤变化</w:t>
            </w:r>
          </w:p>
          <w:p>
            <w:pPr>
              <w:pStyle w:val="181"/>
              <w:ind w:firstLine="180" w:firstLineChars="100"/>
              <w:jc w:val="left"/>
            </w:pPr>
            <w:r>
              <w:rPr>
                <w:rFonts w:hint="eastAsia"/>
              </w:rPr>
              <w:t>2</w:t>
            </w:r>
            <w:r>
              <w:t>.</w:t>
            </w:r>
            <w:r>
              <w:rPr>
                <w:rFonts w:hint="eastAsia"/>
              </w:rPr>
              <w:t>乳房疼痛</w:t>
            </w:r>
          </w:p>
          <w:p>
            <w:pPr>
              <w:pStyle w:val="181"/>
              <w:ind w:firstLine="180" w:firstLineChars="100"/>
              <w:jc w:val="left"/>
            </w:pPr>
            <w:r>
              <w:rPr>
                <w:rFonts w:hint="eastAsia"/>
              </w:rPr>
              <w:t>3</w:t>
            </w:r>
            <w:r>
              <w:t>.</w:t>
            </w:r>
            <w:r>
              <w:rPr>
                <w:rFonts w:hint="eastAsia"/>
              </w:rPr>
              <w:t>乳房肿块</w:t>
            </w:r>
          </w:p>
          <w:p>
            <w:pPr>
              <w:pStyle w:val="181"/>
              <w:ind w:firstLine="180" w:firstLineChars="100"/>
              <w:jc w:val="left"/>
            </w:pPr>
            <w:r>
              <w:rPr>
                <w:rFonts w:hint="eastAsia"/>
              </w:rPr>
              <w:t>4</w:t>
            </w:r>
            <w:r>
              <w:t>.</w:t>
            </w:r>
            <w:r>
              <w:rPr>
                <w:rFonts w:hint="eastAsia"/>
              </w:rPr>
              <w:t>乳头溢液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2542" w:type="dxa"/>
            <w:shd w:val="clear" w:color="auto" w:fill="auto"/>
            <w:vAlign w:val="center"/>
          </w:tcPr>
          <w:p>
            <w:pPr>
              <w:pStyle w:val="181"/>
            </w:pPr>
            <w:r>
              <w:rPr>
                <w:rFonts w:hint="eastAsia"/>
              </w:rPr>
              <w:t>妇科检查</w:t>
            </w:r>
          </w:p>
        </w:tc>
        <w:tc>
          <w:tcPr>
            <w:tcW w:w="6792" w:type="dxa"/>
            <w:shd w:val="clear" w:color="auto" w:fill="auto"/>
            <w:vAlign w:val="center"/>
          </w:tcPr>
          <w:p>
            <w:pPr>
              <w:pStyle w:val="181"/>
              <w:ind w:firstLine="180" w:firstLineChars="100"/>
              <w:jc w:val="left"/>
            </w:pPr>
            <w:r>
              <w:t>1.</w:t>
            </w:r>
            <w:r>
              <w:rPr>
                <w:rFonts w:hint="eastAsia"/>
              </w:rPr>
              <w:t>阴毛、外阴、阴道发育情况</w:t>
            </w:r>
          </w:p>
          <w:p>
            <w:pPr>
              <w:pStyle w:val="181"/>
              <w:ind w:firstLine="180" w:firstLineChars="100"/>
              <w:jc w:val="left"/>
            </w:pPr>
            <w:r>
              <w:rPr>
                <w:rFonts w:hint="eastAsia"/>
              </w:rPr>
              <w:t>2</w:t>
            </w:r>
            <w:r>
              <w:t>.</w:t>
            </w:r>
            <w:r>
              <w:rPr>
                <w:rFonts w:hint="eastAsia"/>
              </w:rPr>
              <w:t>宫颈是否存在病变</w:t>
            </w:r>
          </w:p>
          <w:p>
            <w:pPr>
              <w:pStyle w:val="181"/>
              <w:ind w:firstLine="180" w:firstLineChars="100"/>
              <w:jc w:val="left"/>
            </w:pPr>
            <w:r>
              <w:rPr>
                <w:rFonts w:hint="eastAsia"/>
              </w:rPr>
              <w:t>3.子宫大小、质地、表面是否光滑、是否压痛、是否结节、是否活动</w:t>
            </w:r>
          </w:p>
          <w:p>
            <w:pPr>
              <w:pStyle w:val="181"/>
              <w:ind w:firstLine="180" w:firstLineChars="100"/>
              <w:jc w:val="left"/>
            </w:pPr>
            <w:r>
              <w:rPr>
                <w:rFonts w:hint="eastAsia"/>
              </w:rPr>
              <w:t>4</w:t>
            </w:r>
            <w:r>
              <w:t>.</w:t>
            </w:r>
            <w:r>
              <w:rPr>
                <w:rFonts w:hint="eastAsia"/>
              </w:rPr>
              <w:t>卵巢肿块</w:t>
            </w:r>
          </w:p>
          <w:p>
            <w:pPr>
              <w:pStyle w:val="181"/>
              <w:ind w:firstLine="180" w:firstLineChars="100"/>
              <w:jc w:val="left"/>
            </w:pPr>
            <w:r>
              <w:rPr>
                <w:rFonts w:hint="eastAsia"/>
              </w:rPr>
              <w:t>5</w:t>
            </w:r>
            <w:r>
              <w:t>.</w:t>
            </w:r>
            <w:r>
              <w:rPr>
                <w:rFonts w:hint="eastAsia"/>
              </w:rPr>
              <w:t>直肠阴道肿块或结节</w:t>
            </w:r>
          </w:p>
          <w:p>
            <w:pPr>
              <w:pStyle w:val="181"/>
              <w:ind w:firstLine="180" w:firstLineChars="100"/>
              <w:jc w:val="left"/>
            </w:pPr>
            <w:r>
              <w:rPr>
                <w:rFonts w:hint="eastAsia"/>
              </w:rPr>
              <w:t>6</w:t>
            </w:r>
            <w:r>
              <w:t>.</w:t>
            </w:r>
            <w:r>
              <w:rPr>
                <w:rFonts w:hint="eastAsia"/>
              </w:rPr>
              <w:t>盆腔包块</w:t>
            </w:r>
          </w:p>
        </w:tc>
      </w:tr>
    </w:tbl>
    <w:p>
      <w:pPr>
        <w:pStyle w:val="101"/>
        <w:numPr>
          <w:ilvl w:val="0"/>
          <w:numId w:val="0"/>
        </w:numPr>
        <w:spacing w:before="120" w:after="120"/>
      </w:pPr>
    </w:p>
    <w:p>
      <w:pPr>
        <w:pStyle w:val="101"/>
        <w:spacing w:before="120" w:after="120"/>
      </w:pPr>
      <w:r>
        <w:rPr>
          <w:rFonts w:hint="eastAsia"/>
        </w:rPr>
        <w:t>排卵及卵巢储备功能检查</w:t>
      </w:r>
    </w:p>
    <w:p>
      <w:pPr>
        <w:pStyle w:val="166"/>
        <w:numPr>
          <w:ilvl w:val="6"/>
          <w:numId w:val="32"/>
        </w:numPr>
        <w:ind w:left="0"/>
      </w:pPr>
      <w:r>
        <w:rPr>
          <w:rFonts w:hint="eastAsia"/>
        </w:rPr>
        <w:t>当月经周期正常时，不做额外的排卵测试。若月经周期明显异常，则应进行额外的检查以确定原因。包括：</w:t>
      </w:r>
    </w:p>
    <w:p>
      <w:pPr>
        <w:pStyle w:val="135"/>
        <w:tabs>
          <w:tab w:val="left" w:pos="710"/>
        </w:tabs>
      </w:pPr>
      <w:r>
        <w:rPr>
          <w:rFonts w:hint="eastAsia"/>
        </w:rPr>
        <w:t>B超监测卵泡发育情况；</w:t>
      </w:r>
    </w:p>
    <w:p>
      <w:pPr>
        <w:pStyle w:val="135"/>
        <w:tabs>
          <w:tab w:val="left" w:pos="710"/>
        </w:tabs>
      </w:pPr>
      <w:r>
        <w:rPr>
          <w:rFonts w:hint="eastAsia"/>
        </w:rPr>
        <w:t>黄体中期（即排卵后一周或在预计下次月经来潮前一周）进行外周血孕酮测定；</w:t>
      </w:r>
    </w:p>
    <w:p>
      <w:pPr>
        <w:pStyle w:val="135"/>
        <w:tabs>
          <w:tab w:val="left" w:pos="710"/>
        </w:tabs>
      </w:pPr>
      <w:r>
        <w:rPr>
          <w:rFonts w:hint="eastAsia"/>
        </w:rPr>
        <w:t>排卵期尿或血LH监测。</w:t>
      </w:r>
    </w:p>
    <w:p>
      <w:pPr>
        <w:pStyle w:val="166"/>
        <w:numPr>
          <w:ilvl w:val="6"/>
          <w:numId w:val="32"/>
        </w:numPr>
        <w:ind w:left="0"/>
      </w:pPr>
      <w:r>
        <w:rPr>
          <w:rFonts w:hint="eastAsia"/>
        </w:rPr>
        <w:t>排卵功能检测见表</w:t>
      </w:r>
      <w:r>
        <w:t>10</w:t>
      </w:r>
      <w:r>
        <w:rPr>
          <w:rFonts w:hint="eastAsia"/>
        </w:rPr>
        <w:t>。</w:t>
      </w:r>
    </w:p>
    <w:p>
      <w:pPr>
        <w:pStyle w:val="115"/>
        <w:spacing w:before="120" w:after="120"/>
      </w:pPr>
      <w:r>
        <w:rPr>
          <w:rFonts w:hint="eastAsia"/>
        </w:rPr>
        <w:t>排卵功能检测表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667"/>
        <w:gridCol w:w="4375"/>
        <w:gridCol w:w="22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667" w:type="dxa"/>
            <w:tcBorders>
              <w:top w:val="single" w:color="auto" w:sz="8" w:space="0"/>
              <w:bottom w:val="single" w:color="auto" w:sz="8" w:space="0"/>
            </w:tcBorders>
            <w:shd w:val="clear" w:color="auto" w:fill="auto"/>
            <w:vAlign w:val="center"/>
          </w:tcPr>
          <w:p>
            <w:pPr>
              <w:pStyle w:val="181"/>
            </w:pPr>
            <w:r>
              <w:rPr>
                <w:rFonts w:hint="eastAsia"/>
              </w:rPr>
              <w:t>检测项目</w:t>
            </w:r>
          </w:p>
        </w:tc>
        <w:tc>
          <w:tcPr>
            <w:tcW w:w="4375" w:type="dxa"/>
            <w:tcBorders>
              <w:top w:val="single" w:color="auto" w:sz="8" w:space="0"/>
              <w:bottom w:val="single" w:color="auto" w:sz="8" w:space="0"/>
            </w:tcBorders>
            <w:shd w:val="clear" w:color="auto" w:fill="auto"/>
            <w:vAlign w:val="center"/>
          </w:tcPr>
          <w:p>
            <w:pPr>
              <w:pStyle w:val="181"/>
            </w:pPr>
            <w:r>
              <w:rPr>
                <w:rFonts w:hint="eastAsia"/>
              </w:rPr>
              <w:t>检测结果</w:t>
            </w:r>
          </w:p>
        </w:tc>
        <w:tc>
          <w:tcPr>
            <w:tcW w:w="2292" w:type="dxa"/>
            <w:tcBorders>
              <w:top w:val="single" w:color="auto" w:sz="8" w:space="0"/>
              <w:bottom w:val="single" w:color="auto" w:sz="8" w:space="0"/>
            </w:tcBorders>
            <w:shd w:val="clear" w:color="auto" w:fill="auto"/>
            <w:vAlign w:val="center"/>
          </w:tcPr>
          <w:p>
            <w:pPr>
              <w:pStyle w:val="181"/>
            </w:pPr>
            <w:r>
              <w:rPr>
                <w:rFonts w:hint="eastAsia"/>
              </w:rPr>
              <w:t>评估意见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67" w:type="dxa"/>
            <w:vMerge w:val="restart"/>
            <w:tcBorders>
              <w:top w:val="single" w:color="auto" w:sz="8" w:space="0"/>
            </w:tcBorders>
            <w:shd w:val="clear" w:color="auto" w:fill="auto"/>
            <w:vAlign w:val="center"/>
          </w:tcPr>
          <w:p>
            <w:pPr>
              <w:pStyle w:val="181"/>
              <w:ind w:firstLine="180" w:firstLineChars="100"/>
            </w:pPr>
            <w:r>
              <w:rPr>
                <w:rFonts w:hint="eastAsia"/>
              </w:rPr>
              <w:t>B超监测卵泡发育情况</w:t>
            </w:r>
          </w:p>
        </w:tc>
        <w:tc>
          <w:tcPr>
            <w:tcW w:w="4375" w:type="dxa"/>
            <w:tcBorders>
              <w:top w:val="single" w:color="auto" w:sz="8" w:space="0"/>
            </w:tcBorders>
            <w:shd w:val="clear" w:color="auto" w:fill="auto"/>
            <w:vAlign w:val="center"/>
          </w:tcPr>
          <w:p>
            <w:pPr>
              <w:pStyle w:val="181"/>
              <w:ind w:firstLine="180" w:firstLineChars="100"/>
            </w:pPr>
            <w:r>
              <w:rPr>
                <w:rFonts w:hint="eastAsia"/>
              </w:rPr>
              <w:t>监测到优势卵泡并排卵</w:t>
            </w:r>
          </w:p>
        </w:tc>
        <w:tc>
          <w:tcPr>
            <w:tcW w:w="2292" w:type="dxa"/>
            <w:tcBorders>
              <w:top w:val="single" w:color="auto" w:sz="8" w:space="0"/>
            </w:tcBorders>
            <w:shd w:val="clear" w:color="auto" w:fill="auto"/>
            <w:vAlign w:val="center"/>
          </w:tcPr>
          <w:p>
            <w:pPr>
              <w:pStyle w:val="181"/>
              <w:ind w:firstLine="180" w:firstLineChars="100"/>
            </w:pPr>
            <w:r>
              <w:rPr>
                <w:rFonts w:hint="eastAsia"/>
              </w:rPr>
              <w:t>提示有排卵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67" w:type="dxa"/>
            <w:vMerge w:val="continue"/>
            <w:shd w:val="clear" w:color="auto" w:fill="auto"/>
            <w:vAlign w:val="center"/>
          </w:tcPr>
          <w:p>
            <w:pPr>
              <w:pStyle w:val="181"/>
              <w:ind w:firstLine="180" w:firstLineChars="100"/>
            </w:pPr>
          </w:p>
        </w:tc>
        <w:tc>
          <w:tcPr>
            <w:tcW w:w="4375" w:type="dxa"/>
            <w:shd w:val="clear" w:color="auto" w:fill="auto"/>
            <w:vAlign w:val="center"/>
          </w:tcPr>
          <w:p>
            <w:pPr>
              <w:pStyle w:val="181"/>
              <w:ind w:firstLine="180" w:firstLineChars="100"/>
            </w:pPr>
            <w:r>
              <w:rPr>
                <w:rFonts w:hint="eastAsia"/>
              </w:rPr>
              <w:t>未监测到优势卵泡，或卵泡发生黄素化</w:t>
            </w:r>
          </w:p>
        </w:tc>
        <w:tc>
          <w:tcPr>
            <w:tcW w:w="2292" w:type="dxa"/>
            <w:shd w:val="clear" w:color="auto" w:fill="auto"/>
            <w:vAlign w:val="center"/>
          </w:tcPr>
          <w:p>
            <w:pPr>
              <w:pStyle w:val="181"/>
              <w:ind w:firstLine="180" w:firstLineChars="100"/>
            </w:pPr>
            <w:r>
              <w:rPr>
                <w:rFonts w:hint="eastAsia"/>
              </w:rPr>
              <w:t>提示无排卵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67" w:type="dxa"/>
            <w:shd w:val="clear" w:color="auto" w:fill="auto"/>
            <w:vAlign w:val="center"/>
          </w:tcPr>
          <w:p>
            <w:pPr>
              <w:pStyle w:val="181"/>
              <w:ind w:firstLine="180" w:firstLineChars="100"/>
            </w:pPr>
            <w:r>
              <w:rPr>
                <w:rFonts w:hint="eastAsia"/>
              </w:rPr>
              <w:t>黄体中期外周血孕酮</w:t>
            </w:r>
          </w:p>
        </w:tc>
        <w:tc>
          <w:tcPr>
            <w:tcW w:w="4375" w:type="dxa"/>
            <w:shd w:val="clear" w:color="auto" w:fill="auto"/>
            <w:vAlign w:val="center"/>
          </w:tcPr>
          <w:p>
            <w:pPr>
              <w:pStyle w:val="181"/>
              <w:ind w:firstLine="180" w:firstLineChars="100"/>
            </w:pPr>
            <w:r>
              <w:rPr>
                <w:rFonts w:hint="eastAsia"/>
              </w:rPr>
              <w:t>孕酮≥</w:t>
            </w:r>
            <w:r>
              <w:t>3</w:t>
            </w:r>
            <w:r>
              <w:rPr>
                <w:vertAlign w:val="superscript"/>
              </w:rPr>
              <w:t xml:space="preserve"> </w:t>
            </w:r>
            <w:r>
              <w:t>ng/mL</w:t>
            </w:r>
          </w:p>
        </w:tc>
        <w:tc>
          <w:tcPr>
            <w:tcW w:w="2292" w:type="dxa"/>
            <w:shd w:val="clear" w:color="auto" w:fill="auto"/>
            <w:vAlign w:val="center"/>
          </w:tcPr>
          <w:p>
            <w:pPr>
              <w:pStyle w:val="181"/>
              <w:ind w:firstLine="180" w:firstLineChars="100"/>
            </w:pPr>
            <w:r>
              <w:rPr>
                <w:rFonts w:hint="eastAsia"/>
              </w:rPr>
              <w:t>提示有排卵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67" w:type="dxa"/>
            <w:shd w:val="clear" w:color="auto" w:fill="auto"/>
            <w:vAlign w:val="center"/>
          </w:tcPr>
          <w:p>
            <w:pPr>
              <w:pStyle w:val="181"/>
              <w:ind w:firstLine="180" w:firstLineChars="100"/>
            </w:pPr>
            <w:r>
              <w:rPr>
                <w:rFonts w:hint="eastAsia"/>
              </w:rPr>
              <w:t>排卵期尿或血LH监测</w:t>
            </w:r>
          </w:p>
        </w:tc>
        <w:tc>
          <w:tcPr>
            <w:tcW w:w="4375" w:type="dxa"/>
            <w:shd w:val="clear" w:color="auto" w:fill="auto"/>
            <w:vAlign w:val="center"/>
          </w:tcPr>
          <w:p>
            <w:pPr>
              <w:pStyle w:val="181"/>
              <w:ind w:firstLine="180" w:firstLineChars="100"/>
            </w:pPr>
            <w:r>
              <w:rPr>
                <w:rFonts w:hint="eastAsia"/>
              </w:rPr>
              <w:t>尿LH强阳，或血LH出现峰值，结合雌二醇＞200</w:t>
            </w:r>
            <w:r>
              <w:rPr>
                <w:vertAlign w:val="superscript"/>
              </w:rPr>
              <w:t xml:space="preserve"> </w:t>
            </w:r>
            <w:r>
              <w:rPr>
                <w:rFonts w:hint="eastAsia"/>
              </w:rPr>
              <w:t>pg/mL</w:t>
            </w:r>
          </w:p>
        </w:tc>
        <w:tc>
          <w:tcPr>
            <w:tcW w:w="2292" w:type="dxa"/>
            <w:shd w:val="clear" w:color="auto" w:fill="auto"/>
            <w:vAlign w:val="center"/>
          </w:tcPr>
          <w:p>
            <w:pPr>
              <w:pStyle w:val="181"/>
              <w:ind w:firstLine="180" w:firstLineChars="100"/>
            </w:pPr>
            <w:r>
              <w:rPr>
                <w:rFonts w:hint="eastAsia"/>
              </w:rPr>
              <w:t>提示卵泡发育成熟</w:t>
            </w:r>
          </w:p>
        </w:tc>
      </w:tr>
    </w:tbl>
    <w:p>
      <w:pPr>
        <w:pStyle w:val="166"/>
        <w:spacing w:before="240" w:beforeLines="100"/>
        <w:ind w:left="0"/>
      </w:pPr>
      <w:r>
        <w:rPr>
          <w:rFonts w:hint="eastAsia"/>
        </w:rPr>
        <w:t>卵巢储备功能检测：基础促卵泡刺激素、基础促黄体生成激素、基础雌二醇、孕酮，抗缪勒管激素，卵巢储备功能检测见表</w:t>
      </w:r>
      <w:r>
        <w:t>11</w:t>
      </w:r>
      <w:r>
        <w:rPr>
          <w:rFonts w:hint="eastAsia"/>
        </w:rPr>
        <w:t>。</w:t>
      </w:r>
    </w:p>
    <w:p>
      <w:pPr>
        <w:pStyle w:val="115"/>
        <w:spacing w:before="120" w:after="120"/>
      </w:pPr>
      <w:r>
        <w:rPr>
          <w:rFonts w:hint="eastAsia"/>
        </w:rPr>
        <w:t>卵巢储备功能检测表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1"/>
        <w:gridCol w:w="3112"/>
        <w:gridCol w:w="31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3111" w:type="dxa"/>
            <w:tcBorders>
              <w:top w:val="single" w:color="auto" w:sz="8" w:space="0"/>
              <w:left w:val="single" w:color="auto" w:sz="8" w:space="0"/>
              <w:bottom w:val="single" w:color="auto" w:sz="8" w:space="0"/>
              <w:right w:val="single" w:color="auto" w:sz="4" w:space="0"/>
            </w:tcBorders>
            <w:vAlign w:val="center"/>
          </w:tcPr>
          <w:p>
            <w:pPr>
              <w:pStyle w:val="181"/>
            </w:pPr>
            <w:r>
              <w:rPr>
                <w:rFonts w:hint="eastAsia"/>
              </w:rPr>
              <w:t>检测项目</w:t>
            </w:r>
          </w:p>
        </w:tc>
        <w:tc>
          <w:tcPr>
            <w:tcW w:w="3112" w:type="dxa"/>
            <w:tcBorders>
              <w:top w:val="single" w:color="auto" w:sz="8" w:space="0"/>
              <w:left w:val="single" w:color="auto" w:sz="4" w:space="0"/>
              <w:bottom w:val="single" w:color="auto" w:sz="8" w:space="0"/>
              <w:right w:val="single" w:color="auto" w:sz="4" w:space="0"/>
            </w:tcBorders>
            <w:vAlign w:val="center"/>
          </w:tcPr>
          <w:p>
            <w:pPr>
              <w:pStyle w:val="181"/>
            </w:pPr>
            <w:r>
              <w:rPr>
                <w:rFonts w:hint="eastAsia"/>
              </w:rPr>
              <w:t>检测结果</w:t>
            </w:r>
          </w:p>
        </w:tc>
        <w:tc>
          <w:tcPr>
            <w:tcW w:w="3111" w:type="dxa"/>
            <w:tcBorders>
              <w:top w:val="single" w:color="auto" w:sz="8" w:space="0"/>
              <w:left w:val="single" w:color="auto" w:sz="4" w:space="0"/>
              <w:bottom w:val="single" w:color="auto" w:sz="8" w:space="0"/>
              <w:right w:val="single" w:color="auto" w:sz="8" w:space="0"/>
            </w:tcBorders>
            <w:vAlign w:val="center"/>
          </w:tcPr>
          <w:p>
            <w:pPr>
              <w:pStyle w:val="181"/>
            </w:pPr>
            <w:r>
              <w:rPr>
                <w:rFonts w:hint="eastAsia"/>
              </w:rPr>
              <w:t>评估意见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vMerge w:val="restart"/>
            <w:tcBorders>
              <w:top w:val="single" w:color="auto" w:sz="8" w:space="0"/>
              <w:left w:val="single" w:color="auto" w:sz="8" w:space="0"/>
              <w:bottom w:val="single" w:color="auto" w:sz="4" w:space="0"/>
              <w:right w:val="single" w:color="auto" w:sz="4" w:space="0"/>
            </w:tcBorders>
            <w:vAlign w:val="center"/>
          </w:tcPr>
          <w:p>
            <w:pPr>
              <w:pStyle w:val="181"/>
              <w:ind w:firstLine="180" w:firstLineChars="100"/>
            </w:pPr>
            <w:r>
              <w:rPr>
                <w:rFonts w:hint="eastAsia"/>
              </w:rPr>
              <w:t>基础卵泡刺激素（bFSH）</w:t>
            </w:r>
          </w:p>
        </w:tc>
        <w:tc>
          <w:tcPr>
            <w:tcW w:w="3112" w:type="dxa"/>
            <w:tcBorders>
              <w:top w:val="single" w:color="auto" w:sz="8" w:space="0"/>
              <w:left w:val="single" w:color="auto" w:sz="4" w:space="0"/>
              <w:bottom w:val="single" w:color="auto" w:sz="4" w:space="0"/>
              <w:right w:val="single" w:color="auto" w:sz="4" w:space="0"/>
            </w:tcBorders>
            <w:vAlign w:val="center"/>
          </w:tcPr>
          <w:p>
            <w:pPr>
              <w:pStyle w:val="181"/>
              <w:ind w:firstLine="180" w:firstLineChars="100"/>
            </w:pPr>
            <w:r>
              <w:rPr>
                <w:rFonts w:hint="eastAsia"/>
              </w:rPr>
              <w:t>bFSH血清值＞10</w:t>
            </w:r>
            <w:r>
              <w:rPr>
                <w:rFonts w:hint="eastAsia"/>
                <w:vertAlign w:val="superscript"/>
              </w:rPr>
              <w:t xml:space="preserve"> </w:t>
            </w:r>
            <w:r>
              <w:rPr>
                <w:rFonts w:hint="eastAsia"/>
              </w:rPr>
              <w:t>U/L</w:t>
            </w:r>
          </w:p>
        </w:tc>
        <w:tc>
          <w:tcPr>
            <w:tcW w:w="3111" w:type="dxa"/>
            <w:tcBorders>
              <w:top w:val="single" w:color="auto" w:sz="8" w:space="0"/>
              <w:left w:val="single" w:color="auto" w:sz="4" w:space="0"/>
              <w:bottom w:val="single" w:color="auto" w:sz="4" w:space="0"/>
              <w:right w:val="single" w:color="auto" w:sz="8" w:space="0"/>
            </w:tcBorders>
            <w:vAlign w:val="center"/>
          </w:tcPr>
          <w:p>
            <w:pPr>
              <w:pStyle w:val="181"/>
            </w:pPr>
            <w:r>
              <w:rPr>
                <w:rFonts w:hint="eastAsia"/>
              </w:rPr>
              <w:t>卵巢储备功能减退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8"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20"/>
              </w:rPr>
            </w:pPr>
          </w:p>
        </w:tc>
        <w:tc>
          <w:tcPr>
            <w:tcW w:w="3112" w:type="dxa"/>
            <w:tcBorders>
              <w:top w:val="single" w:color="auto" w:sz="4" w:space="0"/>
              <w:left w:val="single" w:color="auto" w:sz="4" w:space="0"/>
              <w:bottom w:val="single" w:color="auto" w:sz="4" w:space="0"/>
              <w:right w:val="single" w:color="auto" w:sz="4" w:space="0"/>
            </w:tcBorders>
            <w:vAlign w:val="center"/>
          </w:tcPr>
          <w:p>
            <w:pPr>
              <w:pStyle w:val="181"/>
              <w:ind w:firstLine="180" w:firstLineChars="100"/>
            </w:pPr>
            <w:r>
              <w:rPr>
                <w:rFonts w:hint="eastAsia"/>
              </w:rPr>
              <w:t>bFSH血清值＞18</w:t>
            </w:r>
            <w:r>
              <w:rPr>
                <w:rFonts w:hint="eastAsia"/>
                <w:vertAlign w:val="superscript"/>
              </w:rPr>
              <w:t xml:space="preserve"> </w:t>
            </w:r>
            <w:r>
              <w:rPr>
                <w:rFonts w:hint="eastAsia"/>
              </w:rPr>
              <w:t>U/L</w:t>
            </w:r>
          </w:p>
        </w:tc>
        <w:tc>
          <w:tcPr>
            <w:tcW w:w="3111" w:type="dxa"/>
            <w:tcBorders>
              <w:top w:val="single" w:color="auto" w:sz="4" w:space="0"/>
              <w:left w:val="single" w:color="auto" w:sz="4" w:space="0"/>
              <w:bottom w:val="single" w:color="auto" w:sz="4" w:space="0"/>
              <w:right w:val="single" w:color="auto" w:sz="8" w:space="0"/>
            </w:tcBorders>
            <w:vAlign w:val="center"/>
          </w:tcPr>
          <w:p>
            <w:pPr>
              <w:pStyle w:val="181"/>
            </w:pPr>
            <w:r>
              <w:rPr>
                <w:rFonts w:hint="eastAsia"/>
              </w:rPr>
              <w:t>卵巢储备功能极度衰退，活产率几乎为0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8"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20"/>
              </w:rPr>
            </w:pPr>
          </w:p>
        </w:tc>
        <w:tc>
          <w:tcPr>
            <w:tcW w:w="3112" w:type="dxa"/>
            <w:tcBorders>
              <w:top w:val="single" w:color="auto" w:sz="4" w:space="0"/>
              <w:left w:val="single" w:color="auto" w:sz="4" w:space="0"/>
              <w:bottom w:val="single" w:color="auto" w:sz="4" w:space="0"/>
              <w:right w:val="single" w:color="auto" w:sz="4" w:space="0"/>
            </w:tcBorders>
            <w:vAlign w:val="center"/>
          </w:tcPr>
          <w:p>
            <w:pPr>
              <w:pStyle w:val="181"/>
              <w:ind w:firstLine="180" w:firstLineChars="100"/>
            </w:pPr>
            <w:r>
              <w:rPr>
                <w:rFonts w:hint="eastAsia"/>
              </w:rPr>
              <w:t>bFSH血清值＞40</w:t>
            </w:r>
            <w:r>
              <w:rPr>
                <w:rFonts w:hint="eastAsia"/>
                <w:vertAlign w:val="superscript"/>
              </w:rPr>
              <w:t xml:space="preserve"> </w:t>
            </w:r>
            <w:r>
              <w:rPr>
                <w:rFonts w:hint="eastAsia"/>
              </w:rPr>
              <w:t>U/L</w:t>
            </w:r>
          </w:p>
        </w:tc>
        <w:tc>
          <w:tcPr>
            <w:tcW w:w="3111" w:type="dxa"/>
            <w:tcBorders>
              <w:top w:val="single" w:color="auto" w:sz="4" w:space="0"/>
              <w:left w:val="single" w:color="auto" w:sz="4" w:space="0"/>
              <w:bottom w:val="single" w:color="auto" w:sz="4" w:space="0"/>
              <w:right w:val="single" w:color="auto" w:sz="8" w:space="0"/>
            </w:tcBorders>
            <w:vAlign w:val="center"/>
          </w:tcPr>
          <w:p>
            <w:pPr>
              <w:pStyle w:val="181"/>
            </w:pPr>
            <w:r>
              <w:rPr>
                <w:rFonts w:hint="eastAsia"/>
              </w:rPr>
              <w:t>卵巢衰竭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vMerge w:val="restart"/>
            <w:tcBorders>
              <w:top w:val="single" w:color="auto" w:sz="4" w:space="0"/>
              <w:left w:val="single" w:color="auto" w:sz="8" w:space="0"/>
              <w:bottom w:val="single" w:color="auto" w:sz="4" w:space="0"/>
              <w:right w:val="single" w:color="auto" w:sz="4" w:space="0"/>
            </w:tcBorders>
            <w:vAlign w:val="center"/>
          </w:tcPr>
          <w:p>
            <w:pPr>
              <w:pStyle w:val="181"/>
              <w:ind w:firstLine="180" w:firstLineChars="100"/>
            </w:pPr>
            <w:r>
              <w:rPr>
                <w:rFonts w:hint="eastAsia"/>
              </w:rPr>
              <w:t>基础卵泡刺激素/基础黄体生成激素（bFSH/bLH）</w:t>
            </w:r>
          </w:p>
        </w:tc>
        <w:tc>
          <w:tcPr>
            <w:tcW w:w="3112" w:type="dxa"/>
            <w:tcBorders>
              <w:top w:val="single" w:color="auto" w:sz="4" w:space="0"/>
              <w:left w:val="single" w:color="auto" w:sz="4" w:space="0"/>
              <w:bottom w:val="single" w:color="auto" w:sz="4" w:space="0"/>
              <w:right w:val="single" w:color="auto" w:sz="4" w:space="0"/>
            </w:tcBorders>
            <w:vAlign w:val="center"/>
          </w:tcPr>
          <w:p>
            <w:pPr>
              <w:pStyle w:val="181"/>
              <w:ind w:firstLine="180" w:firstLineChars="100"/>
            </w:pPr>
            <w:r>
              <w:rPr>
                <w:rFonts w:hint="eastAsia"/>
              </w:rPr>
              <w:t>FSH/LH＞2</w:t>
            </w:r>
          </w:p>
        </w:tc>
        <w:tc>
          <w:tcPr>
            <w:tcW w:w="3111" w:type="dxa"/>
            <w:tcBorders>
              <w:top w:val="single" w:color="auto" w:sz="4" w:space="0"/>
              <w:left w:val="single" w:color="auto" w:sz="4" w:space="0"/>
              <w:bottom w:val="single" w:color="auto" w:sz="4" w:space="0"/>
              <w:right w:val="single" w:color="auto" w:sz="8" w:space="0"/>
            </w:tcBorders>
            <w:vAlign w:val="center"/>
          </w:tcPr>
          <w:p>
            <w:pPr>
              <w:pStyle w:val="181"/>
            </w:pPr>
            <w:r>
              <w:rPr>
                <w:rFonts w:hint="eastAsia"/>
              </w:rPr>
              <w:t>卵巢储备功能减退，卵巢反应不良可能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20"/>
              </w:rPr>
            </w:pPr>
          </w:p>
        </w:tc>
        <w:tc>
          <w:tcPr>
            <w:tcW w:w="3112" w:type="dxa"/>
            <w:tcBorders>
              <w:top w:val="single" w:color="auto" w:sz="4" w:space="0"/>
              <w:left w:val="single" w:color="auto" w:sz="4" w:space="0"/>
              <w:bottom w:val="single" w:color="auto" w:sz="4" w:space="0"/>
              <w:right w:val="single" w:color="auto" w:sz="4" w:space="0"/>
            </w:tcBorders>
            <w:vAlign w:val="center"/>
          </w:tcPr>
          <w:p>
            <w:pPr>
              <w:pStyle w:val="181"/>
              <w:ind w:firstLine="180" w:firstLineChars="100"/>
            </w:pPr>
            <w:r>
              <w:rPr>
                <w:rFonts w:hint="eastAsia"/>
              </w:rPr>
              <w:t>FSH/LH＞3.6</w:t>
            </w:r>
          </w:p>
        </w:tc>
        <w:tc>
          <w:tcPr>
            <w:tcW w:w="3111" w:type="dxa"/>
            <w:tcBorders>
              <w:top w:val="single" w:color="auto" w:sz="4" w:space="0"/>
              <w:left w:val="single" w:color="auto" w:sz="4" w:space="0"/>
              <w:bottom w:val="single" w:color="auto" w:sz="4" w:space="0"/>
              <w:right w:val="single" w:color="auto" w:sz="8" w:space="0"/>
            </w:tcBorders>
          </w:tcPr>
          <w:p>
            <w:pPr>
              <w:pStyle w:val="181"/>
            </w:pPr>
            <w:r>
              <w:rPr>
                <w:rFonts w:hint="eastAsia"/>
              </w:rPr>
              <w:t>卵巢功能明显减退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tcBorders>
              <w:top w:val="single" w:color="auto" w:sz="4" w:space="0"/>
              <w:left w:val="single" w:color="auto" w:sz="8" w:space="0"/>
              <w:bottom w:val="single" w:color="auto" w:sz="4" w:space="0"/>
              <w:right w:val="single" w:color="auto" w:sz="4" w:space="0"/>
            </w:tcBorders>
            <w:vAlign w:val="center"/>
          </w:tcPr>
          <w:p>
            <w:pPr>
              <w:pStyle w:val="181"/>
              <w:ind w:firstLine="180" w:firstLineChars="100"/>
            </w:pPr>
            <w:r>
              <w:rPr>
                <w:rFonts w:hint="eastAsia"/>
              </w:rPr>
              <w:t>基础雌二醇（bE</w:t>
            </w:r>
            <w:r>
              <w:rPr>
                <w:rFonts w:hint="eastAsia"/>
                <w:vertAlign w:val="subscript"/>
              </w:rPr>
              <w:t>2</w:t>
            </w:r>
            <w:r>
              <w:rPr>
                <w:rFonts w:hint="eastAsia"/>
              </w:rPr>
              <w:t>）</w:t>
            </w:r>
          </w:p>
        </w:tc>
        <w:tc>
          <w:tcPr>
            <w:tcW w:w="3112" w:type="dxa"/>
            <w:tcBorders>
              <w:top w:val="single" w:color="auto" w:sz="4" w:space="0"/>
              <w:left w:val="single" w:color="auto" w:sz="4" w:space="0"/>
              <w:bottom w:val="single" w:color="auto" w:sz="4" w:space="0"/>
              <w:right w:val="single" w:color="auto" w:sz="4" w:space="0"/>
            </w:tcBorders>
            <w:vAlign w:val="center"/>
          </w:tcPr>
          <w:p>
            <w:pPr>
              <w:pStyle w:val="181"/>
              <w:ind w:firstLine="180" w:firstLineChars="100"/>
            </w:pPr>
            <w:r>
              <w:rPr>
                <w:rFonts w:hint="eastAsia"/>
              </w:rPr>
              <w:t>bE</w:t>
            </w:r>
            <w:r>
              <w:rPr>
                <w:rFonts w:hint="eastAsia"/>
                <w:vertAlign w:val="subscript"/>
              </w:rPr>
              <w:t>2</w:t>
            </w:r>
            <w:r>
              <w:rPr>
                <w:rFonts w:hint="eastAsia"/>
              </w:rPr>
              <w:t>值＞80</w:t>
            </w:r>
            <w:r>
              <w:rPr>
                <w:rFonts w:hint="eastAsia"/>
                <w:vertAlign w:val="superscript"/>
              </w:rPr>
              <w:t xml:space="preserve"> </w:t>
            </w:r>
            <w:r>
              <w:rPr>
                <w:rFonts w:hint="eastAsia"/>
              </w:rPr>
              <w:t>pg/mL</w:t>
            </w:r>
          </w:p>
        </w:tc>
        <w:tc>
          <w:tcPr>
            <w:tcW w:w="3111" w:type="dxa"/>
            <w:tcBorders>
              <w:top w:val="single" w:color="auto" w:sz="4" w:space="0"/>
              <w:left w:val="single" w:color="auto" w:sz="4" w:space="0"/>
              <w:bottom w:val="single" w:color="auto" w:sz="4" w:space="0"/>
              <w:right w:val="single" w:color="auto" w:sz="8" w:space="0"/>
            </w:tcBorders>
          </w:tcPr>
          <w:p>
            <w:pPr>
              <w:pStyle w:val="181"/>
            </w:pPr>
            <w:r>
              <w:rPr>
                <w:rFonts w:hint="eastAsia"/>
              </w:rPr>
              <w:t>卵巢功能减退或进行体外受精时妊娠结局较差，获得胚胎数量少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tcBorders>
              <w:top w:val="single" w:color="auto" w:sz="4" w:space="0"/>
              <w:left w:val="single" w:color="auto" w:sz="8" w:space="0"/>
              <w:bottom w:val="single" w:color="auto" w:sz="4" w:space="0"/>
              <w:right w:val="single" w:color="auto" w:sz="4" w:space="0"/>
            </w:tcBorders>
            <w:vAlign w:val="center"/>
          </w:tcPr>
          <w:p>
            <w:pPr>
              <w:pStyle w:val="181"/>
              <w:ind w:firstLine="180" w:firstLineChars="100"/>
            </w:pPr>
            <w:r>
              <w:rPr>
                <w:rFonts w:hint="eastAsia"/>
              </w:rPr>
              <w:t>抗缪勒管激素（AMH）</w:t>
            </w:r>
          </w:p>
        </w:tc>
        <w:tc>
          <w:tcPr>
            <w:tcW w:w="3112" w:type="dxa"/>
            <w:tcBorders>
              <w:top w:val="single" w:color="auto" w:sz="4" w:space="0"/>
              <w:left w:val="single" w:color="auto" w:sz="4" w:space="0"/>
              <w:bottom w:val="single" w:color="auto" w:sz="4" w:space="0"/>
              <w:right w:val="single" w:color="auto" w:sz="4" w:space="0"/>
            </w:tcBorders>
            <w:vAlign w:val="center"/>
          </w:tcPr>
          <w:p>
            <w:pPr>
              <w:pStyle w:val="181"/>
              <w:ind w:firstLine="180" w:firstLineChars="100"/>
            </w:pPr>
            <w:r>
              <w:rPr>
                <w:rFonts w:hint="eastAsia"/>
              </w:rPr>
              <w:t>AMH＜1.1</w:t>
            </w:r>
            <w:r>
              <w:rPr>
                <w:rFonts w:hint="eastAsia"/>
                <w:vertAlign w:val="superscript"/>
              </w:rPr>
              <w:t xml:space="preserve"> </w:t>
            </w:r>
            <w:r>
              <w:rPr>
                <w:rFonts w:hint="eastAsia"/>
              </w:rPr>
              <w:t>ng/mL</w:t>
            </w:r>
          </w:p>
        </w:tc>
        <w:tc>
          <w:tcPr>
            <w:tcW w:w="3111" w:type="dxa"/>
            <w:tcBorders>
              <w:top w:val="single" w:color="auto" w:sz="4" w:space="0"/>
              <w:left w:val="single" w:color="auto" w:sz="4" w:space="0"/>
              <w:bottom w:val="single" w:color="auto" w:sz="4" w:space="0"/>
              <w:right w:val="single" w:color="auto" w:sz="8" w:space="0"/>
            </w:tcBorders>
          </w:tcPr>
          <w:p>
            <w:pPr>
              <w:pStyle w:val="181"/>
            </w:pPr>
            <w:r>
              <w:rPr>
                <w:rFonts w:hint="eastAsia"/>
              </w:rPr>
              <w:t>卵巢储备功能减退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vMerge w:val="restart"/>
            <w:tcBorders>
              <w:top w:val="single" w:color="auto" w:sz="4" w:space="0"/>
              <w:left w:val="single" w:color="auto" w:sz="8" w:space="0"/>
              <w:bottom w:val="single" w:color="auto" w:sz="8" w:space="0"/>
              <w:right w:val="single" w:color="auto" w:sz="4" w:space="0"/>
            </w:tcBorders>
            <w:vAlign w:val="center"/>
          </w:tcPr>
          <w:p>
            <w:pPr>
              <w:pStyle w:val="181"/>
              <w:ind w:firstLine="180" w:firstLineChars="100"/>
            </w:pPr>
            <w:r>
              <w:rPr>
                <w:rFonts w:hint="eastAsia"/>
              </w:rPr>
              <w:t>窦卵泡计数（AFC）</w:t>
            </w:r>
          </w:p>
        </w:tc>
        <w:tc>
          <w:tcPr>
            <w:tcW w:w="3112" w:type="dxa"/>
            <w:tcBorders>
              <w:top w:val="single" w:color="auto" w:sz="4" w:space="0"/>
              <w:left w:val="single" w:color="auto" w:sz="4" w:space="0"/>
              <w:bottom w:val="single" w:color="auto" w:sz="4" w:space="0"/>
              <w:right w:val="single" w:color="auto" w:sz="4" w:space="0"/>
            </w:tcBorders>
            <w:vAlign w:val="center"/>
          </w:tcPr>
          <w:p>
            <w:pPr>
              <w:pStyle w:val="181"/>
              <w:ind w:firstLine="180" w:firstLineChars="100"/>
            </w:pPr>
            <w:r>
              <w:rPr>
                <w:rFonts w:hint="eastAsia"/>
              </w:rPr>
              <w:t>AFC≤5～7个</w:t>
            </w:r>
          </w:p>
        </w:tc>
        <w:tc>
          <w:tcPr>
            <w:tcW w:w="3111" w:type="dxa"/>
            <w:tcBorders>
              <w:top w:val="single" w:color="auto" w:sz="4" w:space="0"/>
              <w:left w:val="single" w:color="auto" w:sz="4" w:space="0"/>
              <w:bottom w:val="single" w:color="auto" w:sz="4" w:space="0"/>
              <w:right w:val="single" w:color="auto" w:sz="8" w:space="0"/>
            </w:tcBorders>
          </w:tcPr>
          <w:p>
            <w:pPr>
              <w:pStyle w:val="181"/>
            </w:pPr>
            <w:r>
              <w:rPr>
                <w:rFonts w:hint="eastAsia"/>
              </w:rPr>
              <w:t>卵巢储备功能减退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8" w:space="0"/>
              <w:right w:val="single" w:color="auto" w:sz="4" w:space="0"/>
            </w:tcBorders>
            <w:vAlign w:val="center"/>
          </w:tcPr>
          <w:p>
            <w:pPr>
              <w:widowControl/>
              <w:adjustRightInd/>
              <w:spacing w:line="240" w:lineRule="auto"/>
              <w:jc w:val="left"/>
              <w:rPr>
                <w:rFonts w:ascii="宋体" w:hAnsi="Times New Roman"/>
                <w:kern w:val="0"/>
                <w:sz w:val="18"/>
                <w:szCs w:val="20"/>
              </w:rPr>
            </w:pPr>
          </w:p>
        </w:tc>
        <w:tc>
          <w:tcPr>
            <w:tcW w:w="3112" w:type="dxa"/>
            <w:tcBorders>
              <w:top w:val="single" w:color="auto" w:sz="4" w:space="0"/>
              <w:left w:val="single" w:color="auto" w:sz="4" w:space="0"/>
              <w:bottom w:val="single" w:color="auto" w:sz="8" w:space="0"/>
              <w:right w:val="single" w:color="auto" w:sz="4" w:space="0"/>
            </w:tcBorders>
            <w:vAlign w:val="center"/>
          </w:tcPr>
          <w:p>
            <w:pPr>
              <w:pStyle w:val="181"/>
              <w:ind w:firstLine="180" w:firstLineChars="100"/>
            </w:pPr>
            <w:r>
              <w:rPr>
                <w:rFonts w:hint="eastAsia"/>
              </w:rPr>
              <w:t>AFC＞15个</w:t>
            </w:r>
          </w:p>
        </w:tc>
        <w:tc>
          <w:tcPr>
            <w:tcW w:w="3111" w:type="dxa"/>
            <w:tcBorders>
              <w:top w:val="single" w:color="auto" w:sz="4" w:space="0"/>
              <w:left w:val="single" w:color="auto" w:sz="4" w:space="0"/>
              <w:bottom w:val="single" w:color="auto" w:sz="8" w:space="0"/>
              <w:right w:val="single" w:color="auto" w:sz="8" w:space="0"/>
            </w:tcBorders>
          </w:tcPr>
          <w:p>
            <w:pPr>
              <w:pStyle w:val="181"/>
            </w:pPr>
            <w:r>
              <w:rPr>
                <w:rFonts w:hint="eastAsia"/>
              </w:rPr>
              <w:t>卵巢高反应</w:t>
            </w:r>
          </w:p>
        </w:tc>
      </w:tr>
    </w:tbl>
    <w:p>
      <w:pPr>
        <w:pStyle w:val="101"/>
        <w:spacing w:before="240" w:beforeLines="100" w:after="120"/>
      </w:pPr>
      <w:r>
        <w:rPr>
          <w:rFonts w:hint="eastAsia"/>
        </w:rPr>
        <w:t>输卵管通畅性</w:t>
      </w:r>
      <w:bookmarkStart w:id="49" w:name="_Hlk170400123"/>
      <w:r>
        <w:rPr>
          <w:rFonts w:hint="eastAsia"/>
        </w:rPr>
        <w:t>及功能检查</w:t>
      </w:r>
      <w:bookmarkEnd w:id="49"/>
    </w:p>
    <w:p>
      <w:pPr>
        <w:pStyle w:val="59"/>
        <w:ind w:firstLine="420"/>
        <w:rPr>
          <w:highlight w:val="none"/>
        </w:rPr>
      </w:pPr>
      <w:r>
        <w:rPr>
          <w:rFonts w:hint="eastAsia"/>
          <w:highlight w:val="none"/>
          <w:lang w:val="en-US" w:eastAsia="zh-CN"/>
        </w:rPr>
        <w:t>若男方精液重度异常或者无精子症宜考虑ICSI助孕者，不应做输卵管通</w:t>
      </w:r>
      <w:bookmarkStart w:id="74" w:name="_GoBack"/>
      <w:bookmarkEnd w:id="74"/>
      <w:r>
        <w:rPr>
          <w:rFonts w:hint="eastAsia"/>
          <w:highlight w:val="none"/>
          <w:lang w:val="en-US" w:eastAsia="zh-CN"/>
        </w:rPr>
        <w:t>畅性检查；常用输卵管通畅性检查方法</w:t>
      </w:r>
      <w:r>
        <w:rPr>
          <w:rFonts w:hint="eastAsia"/>
          <w:highlight w:val="none"/>
        </w:rPr>
        <w:t>包括：</w:t>
      </w:r>
    </w:p>
    <w:p>
      <w:pPr>
        <w:pStyle w:val="135"/>
        <w:rPr>
          <w:highlight w:val="none"/>
        </w:rPr>
      </w:pPr>
      <w:r>
        <w:rPr>
          <w:rFonts w:hint="eastAsia"/>
          <w:highlight w:val="none"/>
        </w:rPr>
        <w:t>子宫输卵管造影术（HSG）：了解输卵管的细节并评估输卵管周围的炎症情况，检查输卵管近端和远端的阻塞，显示峡部的结节性输卵管炎；</w:t>
      </w:r>
    </w:p>
    <w:p>
      <w:pPr>
        <w:pStyle w:val="135"/>
      </w:pPr>
      <w:r>
        <w:rPr>
          <w:rFonts w:hint="eastAsia"/>
          <w:highlight w:val="none"/>
        </w:rPr>
        <w:t>子宫输卵管超声造影术（HyCoSy</w:t>
      </w:r>
      <w:r>
        <w:rPr>
          <w:rFonts w:hint="eastAsia"/>
        </w:rPr>
        <w:t>）：使用带有气泡的造影剂来帮助识别输卵管通畅性。无放射性，同时对子宫粘膜下肌瘤、宫腔息肉、宫腔粘连等病变的诊断；</w:t>
      </w:r>
    </w:p>
    <w:p>
      <w:pPr>
        <w:pStyle w:val="135"/>
      </w:pPr>
      <w:bookmarkStart w:id="50" w:name="_Hlk169083875"/>
      <w:r>
        <w:rPr>
          <w:rFonts w:hint="eastAsia"/>
        </w:rPr>
        <w:t>宫腔镜下输卵管插管通液：对</w:t>
      </w:r>
      <w:r>
        <w:t>X</w:t>
      </w:r>
      <w:r>
        <w:rPr>
          <w:rFonts w:hint="eastAsia"/>
        </w:rPr>
        <w:t>线下子宫输卵管造影提示的输卵管近端梗阻进行确认和排除。宫腔镜直接观察到患者的宫腔情况，在检查的同时给予治疗，合并有宫腔病变的患者宜选择宫腔镜下插管通液评估输卵管通畅性；</w:t>
      </w:r>
      <w:bookmarkEnd w:id="50"/>
      <w:r>
        <w:t xml:space="preserve"> </w:t>
      </w:r>
    </w:p>
    <w:p>
      <w:pPr>
        <w:pStyle w:val="135"/>
      </w:pPr>
      <w:r>
        <w:rPr>
          <w:rFonts w:hint="eastAsia"/>
        </w:rPr>
        <w:t>腹腔镜下亚甲蓝通液：发现可疑输卵管病变的确诊，对同时合并生殖系统病变需要腹腔镜手术处理者宜直接选择腹腔镜下亚甲蓝通液术作为检查手段；</w:t>
      </w:r>
    </w:p>
    <w:p>
      <w:pPr>
        <w:pStyle w:val="135"/>
      </w:pPr>
      <w:r>
        <w:rPr>
          <w:rFonts w:hint="eastAsia"/>
        </w:rPr>
        <w:t>输卵管检测结果及评估意见按表1</w:t>
      </w:r>
      <w:r>
        <w:t>2</w:t>
      </w:r>
      <w:r>
        <w:rPr>
          <w:rFonts w:hint="eastAsia"/>
        </w:rPr>
        <w:t>。</w:t>
      </w:r>
    </w:p>
    <w:p>
      <w:pPr>
        <w:pStyle w:val="115"/>
        <w:spacing w:before="120" w:after="120"/>
      </w:pPr>
      <w:r>
        <w:t>输卵管</w:t>
      </w:r>
      <w:r>
        <w:rPr>
          <w:rFonts w:hint="eastAsia"/>
        </w:rPr>
        <w:t>检测结果及意见</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01"/>
        <w:gridCol w:w="52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101" w:type="dxa"/>
            <w:tcBorders>
              <w:top w:val="single" w:color="auto" w:sz="8" w:space="0"/>
              <w:bottom w:val="single" w:color="auto" w:sz="8" w:space="0"/>
            </w:tcBorders>
            <w:shd w:val="clear" w:color="auto" w:fill="auto"/>
            <w:vAlign w:val="center"/>
          </w:tcPr>
          <w:p>
            <w:pPr>
              <w:pStyle w:val="181"/>
            </w:pPr>
            <w:r>
              <w:t>输卵管</w:t>
            </w:r>
            <w:r>
              <w:rPr>
                <w:rFonts w:hint="eastAsia"/>
              </w:rPr>
              <w:t>情况</w:t>
            </w:r>
          </w:p>
        </w:tc>
        <w:tc>
          <w:tcPr>
            <w:tcW w:w="5233" w:type="dxa"/>
            <w:tcBorders>
              <w:top w:val="single" w:color="auto" w:sz="8" w:space="0"/>
              <w:bottom w:val="single" w:color="auto" w:sz="8" w:space="0"/>
            </w:tcBorders>
            <w:shd w:val="clear" w:color="auto" w:fill="auto"/>
            <w:vAlign w:val="center"/>
          </w:tcPr>
          <w:p>
            <w:pPr>
              <w:pStyle w:val="181"/>
            </w:pPr>
            <w:r>
              <w:rPr>
                <w:rFonts w:hint="eastAsia"/>
              </w:rPr>
              <w:t>检测结果及意见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01" w:type="dxa"/>
            <w:tcBorders>
              <w:top w:val="single" w:color="auto" w:sz="8" w:space="0"/>
            </w:tcBorders>
            <w:shd w:val="clear" w:color="auto" w:fill="auto"/>
            <w:vAlign w:val="center"/>
          </w:tcPr>
          <w:p>
            <w:pPr>
              <w:pStyle w:val="181"/>
              <w:ind w:firstLine="180" w:firstLineChars="100"/>
            </w:pPr>
            <w:r>
              <w:t>双侧输卵管</w:t>
            </w:r>
            <w:r>
              <w:rPr>
                <w:rFonts w:hint="eastAsia"/>
              </w:rPr>
              <w:t>通畅</w:t>
            </w:r>
          </w:p>
        </w:tc>
        <w:tc>
          <w:tcPr>
            <w:tcW w:w="5233" w:type="dxa"/>
            <w:tcBorders>
              <w:top w:val="single" w:color="auto" w:sz="8" w:space="0"/>
            </w:tcBorders>
            <w:shd w:val="clear" w:color="auto" w:fill="auto"/>
            <w:vAlign w:val="center"/>
          </w:tcPr>
          <w:p>
            <w:pPr>
              <w:pStyle w:val="181"/>
              <w:ind w:firstLine="180" w:firstLineChars="100"/>
            </w:pPr>
            <w:r>
              <w:rPr>
                <w:rFonts w:hint="eastAsia"/>
              </w:rPr>
              <w:t>有望自然受孕，结合男方精液情况，宜选择指导同房（精液正常）或人工授精（精液轻度异常）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01" w:type="dxa"/>
            <w:shd w:val="clear" w:color="auto" w:fill="auto"/>
            <w:vAlign w:val="center"/>
          </w:tcPr>
          <w:p>
            <w:pPr>
              <w:pStyle w:val="181"/>
              <w:ind w:firstLine="180" w:firstLineChars="100"/>
            </w:pPr>
            <w:r>
              <w:rPr>
                <w:rFonts w:hint="eastAsia"/>
              </w:rPr>
              <w:t>一侧输卵管通畅，另一侧通而不畅、梗阻或积水</w:t>
            </w:r>
          </w:p>
        </w:tc>
        <w:tc>
          <w:tcPr>
            <w:tcW w:w="5233" w:type="dxa"/>
            <w:shd w:val="clear" w:color="auto" w:fill="auto"/>
            <w:vAlign w:val="center"/>
          </w:tcPr>
          <w:p>
            <w:pPr>
              <w:pStyle w:val="181"/>
              <w:ind w:firstLine="180" w:firstLineChars="100"/>
            </w:pPr>
            <w:r>
              <w:rPr>
                <w:rFonts w:hint="eastAsia"/>
              </w:rPr>
              <w:t>自然受孕率相对低，结合年龄、不孕年限、有无合并症、男方精液情况，宜选择通畅侧排卵时人工授精或手术治疗或IVF-ET</w:t>
            </w:r>
          </w:p>
        </w:tc>
      </w:tr>
    </w:tbl>
    <w:p>
      <w:pPr>
        <w:pStyle w:val="59"/>
        <w:spacing w:before="120" w:beforeLines="50" w:after="120" w:afterLines="50"/>
        <w:ind w:firstLine="0" w:firstLineChars="0"/>
        <w:jc w:val="center"/>
        <w:rPr>
          <w:rFonts w:ascii="黑体" w:hAnsi="黑体" w:eastAsia="黑体"/>
        </w:rPr>
      </w:pPr>
      <w:r>
        <w:rPr>
          <w:rFonts w:hint="eastAsia" w:ascii="黑体" w:hAnsi="黑体" w:eastAsia="黑体"/>
        </w:rPr>
        <w:t>表12  输卵管检测结果及意见</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81"/>
            </w:pPr>
            <w:r>
              <w:t>输卵管</w:t>
            </w:r>
            <w:r>
              <w:rPr>
                <w:rFonts w:hint="eastAsia"/>
              </w:rPr>
              <w:t>情况</w:t>
            </w:r>
          </w:p>
        </w:tc>
        <w:tc>
          <w:tcPr>
            <w:tcW w:w="4667" w:type="dxa"/>
            <w:tcBorders>
              <w:top w:val="single" w:color="auto" w:sz="8" w:space="0"/>
              <w:bottom w:val="single" w:color="auto" w:sz="8" w:space="0"/>
            </w:tcBorders>
            <w:shd w:val="clear" w:color="auto" w:fill="auto"/>
            <w:vAlign w:val="center"/>
          </w:tcPr>
          <w:p>
            <w:pPr>
              <w:pStyle w:val="181"/>
            </w:pPr>
            <w:r>
              <w:rPr>
                <w:rFonts w:hint="eastAsia"/>
              </w:rPr>
              <w:t>检测结果及意见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81"/>
              <w:ind w:firstLine="180" w:firstLineChars="100"/>
            </w:pPr>
            <w:r>
              <w:t>双侧输卵管通而不畅</w:t>
            </w:r>
            <w:r>
              <w:rPr>
                <w:rFonts w:hint="eastAsia"/>
              </w:rPr>
              <w:t>、</w:t>
            </w:r>
            <w:r>
              <w:t>梗阻</w:t>
            </w:r>
            <w:r>
              <w:rPr>
                <w:rFonts w:hint="eastAsia"/>
              </w:rPr>
              <w:t>或积水</w:t>
            </w:r>
          </w:p>
        </w:tc>
        <w:tc>
          <w:tcPr>
            <w:tcW w:w="4667" w:type="dxa"/>
            <w:shd w:val="clear" w:color="auto" w:fill="auto"/>
            <w:vAlign w:val="center"/>
          </w:tcPr>
          <w:p>
            <w:pPr>
              <w:pStyle w:val="181"/>
              <w:ind w:firstLine="180" w:firstLineChars="100"/>
            </w:pPr>
            <w:r>
              <w:rPr>
                <w:rFonts w:hint="eastAsia"/>
              </w:rPr>
              <w:t>自然受孕率低，结合年龄、卵巢储备功能，宜选择手术治疗或IVF-ET</w:t>
            </w:r>
          </w:p>
        </w:tc>
      </w:tr>
    </w:tbl>
    <w:p>
      <w:pPr>
        <w:pStyle w:val="101"/>
        <w:numPr>
          <w:ilvl w:val="5"/>
          <w:numId w:val="32"/>
        </w:numPr>
        <w:spacing w:before="120" w:after="120"/>
      </w:pPr>
      <w:r>
        <w:rPr>
          <w:rFonts w:hint="eastAsia"/>
        </w:rPr>
        <w:t>生殖道常见病原体检查</w:t>
      </w:r>
    </w:p>
    <w:p>
      <w:pPr>
        <w:pStyle w:val="166"/>
        <w:numPr>
          <w:ilvl w:val="6"/>
          <w:numId w:val="32"/>
        </w:numPr>
        <w:ind w:left="0"/>
      </w:pPr>
      <w:r>
        <w:rPr>
          <w:rFonts w:hint="eastAsia"/>
        </w:rPr>
        <w:t>包括：</w:t>
      </w:r>
    </w:p>
    <w:p>
      <w:pPr>
        <w:pStyle w:val="135"/>
        <w:tabs>
          <w:tab w:val="left" w:pos="710"/>
        </w:tabs>
      </w:pPr>
      <w:r>
        <w:rPr>
          <w:rFonts w:hint="eastAsia"/>
        </w:rPr>
        <w:t>阴道微生态检测：白带常规、衣原体、淋球菌；若检验提示生殖道致病微生物感染，需进行相应治疗，并检查性伴。</w:t>
      </w:r>
    </w:p>
    <w:p>
      <w:pPr>
        <w:pStyle w:val="135"/>
        <w:tabs>
          <w:tab w:val="left" w:pos="710"/>
        </w:tabs>
      </w:pPr>
      <w:r>
        <w:rPr>
          <w:rFonts w:hint="eastAsia"/>
        </w:rPr>
        <w:t>子宫颈病变检查：定期妇科查体及行子宫颈薄层液基细胞学检查（TCT）、人乳头瘤病毒（HPV）筛查。TCT异常和/或HPV阳性，需进行相应治疗及随访。</w:t>
      </w:r>
    </w:p>
    <w:p>
      <w:pPr>
        <w:pStyle w:val="101"/>
        <w:numPr>
          <w:ilvl w:val="5"/>
          <w:numId w:val="32"/>
        </w:numPr>
        <w:spacing w:before="120" w:after="120"/>
      </w:pPr>
      <w:r>
        <w:rPr>
          <w:rFonts w:hint="eastAsia"/>
        </w:rPr>
        <w:t>全</w:t>
      </w:r>
      <w:bookmarkStart w:id="51" w:name="_Hlk170400164"/>
      <w:r>
        <w:rPr>
          <w:rFonts w:hint="eastAsia"/>
        </w:rPr>
        <w:t>身状态评估</w:t>
      </w:r>
      <w:bookmarkEnd w:id="51"/>
    </w:p>
    <w:p>
      <w:pPr>
        <w:pStyle w:val="166"/>
        <w:numPr>
          <w:ilvl w:val="6"/>
          <w:numId w:val="32"/>
        </w:numPr>
        <w:ind w:left="0"/>
      </w:pPr>
      <w:r>
        <w:rPr>
          <w:rFonts w:hint="eastAsia"/>
        </w:rPr>
        <w:t>包括：</w:t>
      </w:r>
    </w:p>
    <w:p>
      <w:pPr>
        <w:pStyle w:val="135"/>
      </w:pPr>
      <w:bookmarkStart w:id="52" w:name="_Hlk170400177"/>
      <w:r>
        <w:rPr>
          <w:rFonts w:hint="eastAsia"/>
        </w:rPr>
        <w:t>内分泌功能：包括糖尿病、肾上腺功能、甲状腺功能等；</w:t>
      </w:r>
    </w:p>
    <w:p>
      <w:pPr>
        <w:pStyle w:val="135"/>
      </w:pPr>
      <w:r>
        <w:rPr>
          <w:rFonts w:hint="eastAsia"/>
        </w:rPr>
        <w:t>甲状腺疾病：甲状腺疾病筛查、诊断和管理。若TSH异常，转诊至相应科进行诊断和治疗，待甲状腺功能正常后再备孕。</w:t>
      </w:r>
    </w:p>
    <w:bookmarkEnd w:id="52"/>
    <w:p>
      <w:pPr>
        <w:pStyle w:val="166"/>
        <w:numPr>
          <w:ilvl w:val="6"/>
          <w:numId w:val="32"/>
        </w:numPr>
        <w:ind w:left="0"/>
      </w:pPr>
      <w:r>
        <w:rPr>
          <w:rFonts w:hint="eastAsia"/>
        </w:rPr>
        <w:t>检查其他全身情况，包括营养状况、精神状态、生活环境及全身因素、是否合并严重糖尿病、高血压、肝肾功能及心肺疾病等，是否能耐受妊娠。</w:t>
      </w:r>
    </w:p>
    <w:p>
      <w:pPr>
        <w:pStyle w:val="97"/>
        <w:numPr>
          <w:ilvl w:val="4"/>
          <w:numId w:val="32"/>
        </w:numPr>
        <w:spacing w:before="120" w:after="120"/>
      </w:pPr>
      <w:r>
        <w:rPr>
          <w:rFonts w:hint="eastAsia"/>
        </w:rPr>
        <w:t>选查项目</w:t>
      </w:r>
    </w:p>
    <w:p>
      <w:pPr>
        <w:pStyle w:val="101"/>
        <w:spacing w:before="120" w:after="120"/>
      </w:pPr>
      <w:bookmarkStart w:id="53" w:name="_Hlk170400418"/>
      <w:r>
        <w:rPr>
          <w:rFonts w:hint="eastAsia"/>
        </w:rPr>
        <w:t>生殖外科针对性检查</w:t>
      </w:r>
    </w:p>
    <w:bookmarkEnd w:id="53"/>
    <w:p>
      <w:pPr>
        <w:pStyle w:val="59"/>
        <w:ind w:firstLine="420"/>
        <w:rPr>
          <w:color w:val="FF0000"/>
        </w:rPr>
      </w:pPr>
      <w:r>
        <w:rPr>
          <w:rFonts w:hint="eastAsia"/>
        </w:rPr>
        <w:t>病史、体格检查和影像学检查提示</w:t>
      </w:r>
      <w:bookmarkStart w:id="54" w:name="_Hlk170400621"/>
      <w:r>
        <w:rPr>
          <w:rFonts w:hint="eastAsia"/>
        </w:rPr>
        <w:t>合并子宫、输卵管、卵巢相关解剖结构异常病变</w:t>
      </w:r>
      <w:bookmarkEnd w:id="54"/>
      <w:r>
        <w:rPr>
          <w:rFonts w:hint="eastAsia"/>
        </w:rPr>
        <w:t>，宜</w:t>
      </w:r>
      <w:bookmarkStart w:id="55" w:name="_Hlk170400643"/>
      <w:r>
        <w:rPr>
          <w:rFonts w:hint="eastAsia"/>
        </w:rPr>
        <w:t>进行生殖外科针对性的检查和治疗。</w:t>
      </w:r>
      <w:bookmarkEnd w:id="55"/>
    </w:p>
    <w:p>
      <w:pPr>
        <w:pStyle w:val="101"/>
        <w:spacing w:before="120" w:after="120"/>
      </w:pPr>
      <w:bookmarkStart w:id="56" w:name="_Hlk170400505"/>
      <w:r>
        <w:rPr>
          <w:rFonts w:hint="eastAsia"/>
        </w:rPr>
        <w:t>免疫因素检测</w:t>
      </w:r>
    </w:p>
    <w:bookmarkEnd w:id="56"/>
    <w:p>
      <w:pPr>
        <w:pStyle w:val="59"/>
        <w:ind w:firstLine="420"/>
      </w:pPr>
      <w:bookmarkStart w:id="57" w:name="_Hlk170400777"/>
      <w:r>
        <w:rPr>
          <w:rFonts w:hint="eastAsia"/>
        </w:rPr>
        <w:t>对于复发性流产患者宜进行免疫因素筛查，</w:t>
      </w:r>
      <w:bookmarkEnd w:id="57"/>
      <w:r>
        <w:rPr>
          <w:rFonts w:hint="eastAsia"/>
        </w:rPr>
        <w:t>包括狼疮抗凝物、抗β2-糖蛋白I抗体、抗心磷脂抗体、抗核抗体、抗双链DNA抗体、抗核抗体谱（包括抗可提取核抗原抗体及类风湿因子）等。</w:t>
      </w:r>
    </w:p>
    <w:p>
      <w:pPr>
        <w:pStyle w:val="101"/>
        <w:spacing w:before="120" w:after="120"/>
      </w:pPr>
      <w:bookmarkStart w:id="58" w:name="_Hlk170400509"/>
      <w:r>
        <w:rPr>
          <w:rFonts w:hint="eastAsia"/>
        </w:rPr>
        <w:t>血栓前状态</w:t>
      </w:r>
    </w:p>
    <w:bookmarkEnd w:id="58"/>
    <w:p>
      <w:pPr>
        <w:pStyle w:val="59"/>
        <w:ind w:firstLine="420"/>
      </w:pPr>
      <w:bookmarkStart w:id="59" w:name="_Hlk170400791"/>
      <w:r>
        <w:rPr>
          <w:rFonts w:hint="eastAsia"/>
        </w:rPr>
        <w:t>对于复发性流产的患者宜进行血栓前状态相关检查，包括凝血功能、蛋白C、蛋白S、抗凝血酶-ⅢIl、血清同型半胱氨酸、血小板聚集率检测等血凝系列。</w:t>
      </w:r>
    </w:p>
    <w:bookmarkEnd w:id="59"/>
    <w:p>
      <w:pPr>
        <w:pStyle w:val="101"/>
        <w:spacing w:before="120" w:after="120"/>
      </w:pPr>
      <w:bookmarkStart w:id="60" w:name="_Hlk170400513"/>
      <w:r>
        <w:rPr>
          <w:rFonts w:hint="eastAsia"/>
        </w:rPr>
        <w:t>其他内分泌检测</w:t>
      </w:r>
    </w:p>
    <w:bookmarkEnd w:id="60"/>
    <w:p>
      <w:pPr>
        <w:pStyle w:val="59"/>
        <w:ind w:firstLine="420"/>
      </w:pPr>
      <w:r>
        <w:rPr>
          <w:rFonts w:hint="eastAsia"/>
        </w:rPr>
        <w:t>其他内分泌检测包括：</w:t>
      </w:r>
    </w:p>
    <w:p>
      <w:pPr>
        <w:pStyle w:val="59"/>
        <w:ind w:firstLine="420"/>
      </w:pPr>
      <w:r>
        <w:rPr>
          <w:rFonts w:hint="eastAsia"/>
        </w:rPr>
        <w:t>——</w:t>
      </w:r>
      <w:bookmarkStart w:id="61" w:name="_Hlk170400809"/>
      <w:r>
        <w:rPr>
          <w:rFonts w:hint="eastAsia"/>
        </w:rPr>
        <w:t>进行内分泌因素相关检查项目包括甲状腺功能、糖耐量试验和胰岛素释放试验。</w:t>
      </w:r>
    </w:p>
    <w:p>
      <w:pPr>
        <w:pStyle w:val="59"/>
        <w:ind w:firstLine="420"/>
      </w:pPr>
      <w:r>
        <w:rPr>
          <w:rFonts w:hint="eastAsia"/>
        </w:rPr>
        <w:t>——甲功异常加查甲状腺自身抗体和甲状腺B超。</w:t>
      </w:r>
    </w:p>
    <w:bookmarkEnd w:id="61"/>
    <w:p>
      <w:pPr>
        <w:pStyle w:val="101"/>
        <w:spacing w:before="120" w:after="120"/>
      </w:pPr>
      <w:r>
        <w:rPr>
          <w:rFonts w:hint="eastAsia"/>
        </w:rPr>
        <w:t>基因筛查</w:t>
      </w:r>
    </w:p>
    <w:p>
      <w:pPr>
        <w:pStyle w:val="166"/>
        <w:ind w:left="0"/>
      </w:pPr>
      <w:bookmarkStart w:id="62" w:name="_Hlk170400895"/>
      <w:r>
        <w:rPr>
          <w:rFonts w:hint="eastAsia"/>
        </w:rPr>
        <w:t>地中海贫血高发区域，如广西、广东、海南和香港等地区或者有地中海贫血家族史的患者宜进行地贫基因筛查。</w:t>
      </w:r>
    </w:p>
    <w:bookmarkEnd w:id="62"/>
    <w:p>
      <w:pPr>
        <w:pStyle w:val="166"/>
        <w:ind w:left="0"/>
      </w:pPr>
      <w:r>
        <w:rPr>
          <w:rFonts w:hint="eastAsia"/>
        </w:rPr>
        <w:t>有过遗传相关不良孕产史患者。</w:t>
      </w:r>
    </w:p>
    <w:p>
      <w:pPr>
        <w:pStyle w:val="166"/>
        <w:ind w:left="0"/>
      </w:pPr>
      <w:r>
        <w:rPr>
          <w:rFonts w:hint="eastAsia"/>
        </w:rPr>
        <w:t>罕见病夫妇或生育罕见病患儿的家庭在生育/再生育前应进行准确的基因检测和正规的遗传咨询、生育风险评估及指导生育决策。应明确家族的致病基因位点和遗传方式后，提供胚胎植入前遗传学诊断，包括染色体核型分析、NGS、流产绒毛或胚胎组织遗传学检测。</w:t>
      </w:r>
    </w:p>
    <w:p>
      <w:pPr>
        <w:pStyle w:val="166"/>
        <w:ind w:left="0"/>
        <w:rPr>
          <w:rFonts w:hint="default"/>
          <w:highlight w:val="none"/>
          <w:lang w:val="en-US" w:eastAsia="zh-CN"/>
        </w:rPr>
      </w:pPr>
      <w:r>
        <w:rPr>
          <w:rFonts w:hint="eastAsia"/>
        </w:rPr>
        <w:t>反复不明原因生化妊娠或自然流产。</w:t>
      </w:r>
      <w:r>
        <w:rPr>
          <w:rFonts w:hint="eastAsia"/>
          <w:highlight w:val="none"/>
          <w:lang w:val="en-US" w:eastAsia="zh-CN"/>
        </w:rPr>
        <w:t xml:space="preserve">      </w:t>
      </w:r>
    </w:p>
    <w:p>
      <w:pPr>
        <w:pStyle w:val="107"/>
        <w:spacing w:before="240" w:after="240"/>
      </w:pPr>
      <w:r>
        <w:rPr>
          <w:rFonts w:hint="eastAsia"/>
        </w:rPr>
        <w:t>评估结果判断</w:t>
      </w:r>
    </w:p>
    <w:p>
      <w:pPr>
        <w:pStyle w:val="59"/>
        <w:ind w:firstLine="420"/>
      </w:pPr>
      <w:r>
        <w:rPr>
          <w:rFonts w:hint="eastAsia"/>
        </w:rPr>
        <w:t>按表1</w:t>
      </w:r>
      <w:r>
        <w:t>3</w:t>
      </w:r>
      <w:r>
        <w:rPr>
          <w:rFonts w:hint="eastAsia"/>
        </w:rPr>
        <w:t>。</w:t>
      </w:r>
    </w:p>
    <w:p>
      <w:pPr>
        <w:pStyle w:val="115"/>
        <w:spacing w:before="120" w:after="120"/>
      </w:pPr>
      <w:r>
        <w:rPr>
          <w:rFonts w:hint="eastAsia"/>
        </w:rPr>
        <w:t>不孕症夫妇评估结果判断与建议</w:t>
      </w:r>
    </w:p>
    <w:tbl>
      <w:tblPr>
        <w:tblStyle w:val="29"/>
        <w:tblW w:w="954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12"/>
        <w:gridCol w:w="638"/>
        <w:gridCol w:w="567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12" w:type="dxa"/>
            <w:tcBorders>
              <w:top w:val="single" w:color="auto" w:sz="8" w:space="0"/>
              <w:bottom w:val="single" w:color="auto" w:sz="8" w:space="0"/>
            </w:tcBorders>
            <w:shd w:val="clear" w:color="auto" w:fill="auto"/>
            <w:vAlign w:val="center"/>
          </w:tcPr>
          <w:p>
            <w:pPr>
              <w:pStyle w:val="181"/>
            </w:pPr>
            <w:bookmarkStart w:id="63" w:name="_Hlk170401004"/>
            <w:r>
              <w:rPr>
                <w:rFonts w:hint="eastAsia"/>
              </w:rPr>
              <w:t>分级</w:t>
            </w:r>
          </w:p>
        </w:tc>
        <w:tc>
          <w:tcPr>
            <w:tcW w:w="638" w:type="dxa"/>
            <w:tcBorders>
              <w:top w:val="single" w:color="auto" w:sz="8" w:space="0"/>
              <w:bottom w:val="single" w:color="auto" w:sz="8" w:space="0"/>
            </w:tcBorders>
          </w:tcPr>
          <w:p>
            <w:pPr>
              <w:pStyle w:val="181"/>
            </w:pPr>
            <w:r>
              <w:rPr>
                <w:rFonts w:hint="eastAsia"/>
              </w:rPr>
              <w:t>性别</w:t>
            </w:r>
          </w:p>
        </w:tc>
        <w:tc>
          <w:tcPr>
            <w:tcW w:w="5674" w:type="dxa"/>
            <w:tcBorders>
              <w:top w:val="single" w:color="auto" w:sz="8" w:space="0"/>
              <w:bottom w:val="single" w:color="auto" w:sz="8" w:space="0"/>
            </w:tcBorders>
            <w:shd w:val="clear" w:color="auto" w:fill="auto"/>
            <w:vAlign w:val="center"/>
          </w:tcPr>
          <w:p>
            <w:pPr>
              <w:pStyle w:val="181"/>
            </w:pPr>
            <w:r>
              <w:rPr>
                <w:rFonts w:hint="eastAsia"/>
              </w:rPr>
              <w:t>纳入的条件</w:t>
            </w:r>
          </w:p>
        </w:tc>
        <w:tc>
          <w:tcPr>
            <w:tcW w:w="2321" w:type="dxa"/>
            <w:tcBorders>
              <w:top w:val="single" w:color="auto" w:sz="8" w:space="0"/>
              <w:bottom w:val="single" w:color="auto" w:sz="8" w:space="0"/>
            </w:tcBorders>
            <w:shd w:val="clear" w:color="auto" w:fill="auto"/>
            <w:vAlign w:val="center"/>
          </w:tcPr>
          <w:p>
            <w:pPr>
              <w:pStyle w:val="181"/>
            </w:pPr>
            <w:r>
              <w:rPr>
                <w:rFonts w:hint="eastAsia"/>
              </w:rPr>
              <w:t>建议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912" w:type="dxa"/>
            <w:vMerge w:val="restart"/>
            <w:tcBorders>
              <w:top w:val="single" w:color="auto" w:sz="8" w:space="0"/>
            </w:tcBorders>
            <w:shd w:val="clear" w:color="auto" w:fill="auto"/>
            <w:vAlign w:val="center"/>
          </w:tcPr>
          <w:p>
            <w:pPr>
              <w:pStyle w:val="181"/>
            </w:pPr>
            <w:r>
              <w:rPr>
                <w:rFonts w:hint="eastAsia"/>
              </w:rPr>
              <w:t>正常</w:t>
            </w:r>
          </w:p>
        </w:tc>
        <w:tc>
          <w:tcPr>
            <w:tcW w:w="638" w:type="dxa"/>
            <w:tcBorders>
              <w:top w:val="single" w:color="auto" w:sz="8" w:space="0"/>
            </w:tcBorders>
            <w:vAlign w:val="center"/>
          </w:tcPr>
          <w:p>
            <w:pPr>
              <w:pStyle w:val="181"/>
              <w:ind w:firstLine="180" w:firstLineChars="100"/>
              <w:jc w:val="both"/>
            </w:pPr>
            <w:r>
              <w:rPr>
                <w:rFonts w:hint="eastAsia"/>
              </w:rPr>
              <w:t>男性</w:t>
            </w:r>
          </w:p>
        </w:tc>
        <w:tc>
          <w:tcPr>
            <w:tcW w:w="5674" w:type="dxa"/>
            <w:tcBorders>
              <w:top w:val="single" w:color="auto" w:sz="8" w:space="0"/>
              <w:bottom w:val="single" w:color="auto" w:sz="4" w:space="0"/>
            </w:tcBorders>
            <w:shd w:val="clear" w:color="auto" w:fill="auto"/>
            <w:vAlign w:val="center"/>
          </w:tcPr>
          <w:p>
            <w:pPr>
              <w:pStyle w:val="181"/>
            </w:pPr>
            <w:r>
              <w:rPr>
                <w:rFonts w:hint="eastAsia"/>
              </w:rPr>
              <w:t>性功能正常；精液正常。</w:t>
            </w:r>
          </w:p>
        </w:tc>
        <w:tc>
          <w:tcPr>
            <w:tcW w:w="2321" w:type="dxa"/>
            <w:vMerge w:val="restart"/>
            <w:tcBorders>
              <w:top w:val="single" w:color="auto" w:sz="8" w:space="0"/>
            </w:tcBorders>
            <w:shd w:val="clear" w:color="auto" w:fill="auto"/>
            <w:vAlign w:val="center"/>
          </w:tcPr>
          <w:p>
            <w:pPr>
              <w:pStyle w:val="181"/>
              <w:jc w:val="both"/>
            </w:pPr>
            <w:r>
              <w:rPr>
                <w:rFonts w:hint="eastAsia"/>
              </w:rPr>
              <w:t>根据年龄、不孕年限、女方卵巢储备综合考虑，期待疗法、指导同房或人工授精，女性40岁或以上宜直接考虑IVF-ET助孕。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12" w:type="dxa"/>
            <w:vMerge w:val="continue"/>
            <w:shd w:val="clear" w:color="auto" w:fill="auto"/>
            <w:vAlign w:val="center"/>
          </w:tcPr>
          <w:p>
            <w:pPr>
              <w:pStyle w:val="181"/>
              <w:ind w:firstLine="180" w:firstLineChars="100"/>
            </w:pPr>
          </w:p>
        </w:tc>
        <w:tc>
          <w:tcPr>
            <w:tcW w:w="638" w:type="dxa"/>
            <w:vAlign w:val="center"/>
          </w:tcPr>
          <w:p>
            <w:pPr>
              <w:pStyle w:val="181"/>
              <w:ind w:firstLine="180" w:firstLineChars="100"/>
              <w:jc w:val="both"/>
            </w:pPr>
            <w:r>
              <w:rPr>
                <w:rFonts w:hint="eastAsia"/>
              </w:rPr>
              <w:t>女性</w:t>
            </w:r>
          </w:p>
        </w:tc>
        <w:tc>
          <w:tcPr>
            <w:tcW w:w="5674" w:type="dxa"/>
            <w:tcBorders>
              <w:top w:val="single" w:color="auto" w:sz="4" w:space="0"/>
              <w:bottom w:val="single" w:color="auto" w:sz="4" w:space="0"/>
            </w:tcBorders>
            <w:shd w:val="clear" w:color="auto" w:fill="auto"/>
            <w:vAlign w:val="center"/>
          </w:tcPr>
          <w:p>
            <w:pPr>
              <w:pStyle w:val="181"/>
            </w:pPr>
            <w:r>
              <w:rPr>
                <w:rFonts w:hint="eastAsia"/>
              </w:rPr>
              <w:t>性功能正常；规律排卵，输卵管通畅。</w:t>
            </w:r>
          </w:p>
        </w:tc>
        <w:tc>
          <w:tcPr>
            <w:tcW w:w="2321" w:type="dxa"/>
            <w:vMerge w:val="continue"/>
            <w:shd w:val="clear" w:color="auto" w:fill="auto"/>
            <w:vAlign w:val="center"/>
          </w:tcPr>
          <w:p>
            <w:pPr>
              <w:pStyle w:val="181"/>
              <w:ind w:firstLine="180" w:firstLine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2" w:hRule="atLeast"/>
          <w:jc w:val="center"/>
        </w:trPr>
        <w:tc>
          <w:tcPr>
            <w:tcW w:w="912" w:type="dxa"/>
            <w:vMerge w:val="restart"/>
            <w:shd w:val="clear" w:color="auto" w:fill="auto"/>
            <w:vAlign w:val="center"/>
          </w:tcPr>
          <w:p>
            <w:pPr>
              <w:pStyle w:val="181"/>
            </w:pPr>
            <w:r>
              <w:rPr>
                <w:rFonts w:hint="eastAsia"/>
              </w:rPr>
              <w:t>轻度异常</w:t>
            </w:r>
          </w:p>
        </w:tc>
        <w:tc>
          <w:tcPr>
            <w:tcW w:w="638" w:type="dxa"/>
            <w:vAlign w:val="center"/>
          </w:tcPr>
          <w:p>
            <w:pPr>
              <w:pStyle w:val="181"/>
              <w:ind w:firstLine="180" w:firstLineChars="100"/>
              <w:jc w:val="both"/>
            </w:pPr>
            <w:r>
              <w:rPr>
                <w:rFonts w:hint="eastAsia"/>
              </w:rPr>
              <w:t>男性</w:t>
            </w:r>
          </w:p>
        </w:tc>
        <w:tc>
          <w:tcPr>
            <w:tcW w:w="5674" w:type="dxa"/>
            <w:tcBorders>
              <w:top w:val="single" w:color="auto" w:sz="4" w:space="0"/>
            </w:tcBorders>
            <w:shd w:val="clear" w:color="auto" w:fill="auto"/>
            <w:vAlign w:val="center"/>
          </w:tcPr>
          <w:p>
            <w:pPr>
              <w:pStyle w:val="181"/>
            </w:pPr>
            <w:r>
              <w:rPr>
                <w:rFonts w:hint="eastAsia"/>
              </w:rPr>
              <w:t>轻中度少弱精子症、勃起功能障碍；不明原因的不孕。</w:t>
            </w:r>
          </w:p>
        </w:tc>
        <w:tc>
          <w:tcPr>
            <w:tcW w:w="2321" w:type="dxa"/>
            <w:vMerge w:val="restart"/>
            <w:shd w:val="clear" w:color="auto" w:fill="auto"/>
            <w:vAlign w:val="center"/>
          </w:tcPr>
          <w:p>
            <w:pPr>
              <w:pStyle w:val="181"/>
              <w:jc w:val="both"/>
            </w:pPr>
            <w:r>
              <w:rPr>
                <w:rFonts w:hint="eastAsia"/>
              </w:rPr>
              <w:t>促排卵，指导同房或人工授精；宫腔镜检查、治疗；药物改善精子质量。女性40岁或以上宜直接考虑IVF-ET助孕。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912" w:type="dxa"/>
            <w:vMerge w:val="continue"/>
            <w:shd w:val="clear" w:color="auto" w:fill="auto"/>
            <w:vAlign w:val="center"/>
          </w:tcPr>
          <w:p>
            <w:pPr>
              <w:pStyle w:val="181"/>
              <w:ind w:firstLine="180" w:firstLineChars="100"/>
            </w:pPr>
          </w:p>
        </w:tc>
        <w:tc>
          <w:tcPr>
            <w:tcW w:w="638" w:type="dxa"/>
            <w:vAlign w:val="center"/>
          </w:tcPr>
          <w:p>
            <w:pPr>
              <w:pStyle w:val="181"/>
              <w:ind w:firstLine="180" w:firstLineChars="100"/>
              <w:jc w:val="both"/>
            </w:pPr>
            <w:r>
              <w:rPr>
                <w:rFonts w:hint="eastAsia"/>
              </w:rPr>
              <w:t>女性</w:t>
            </w:r>
          </w:p>
        </w:tc>
        <w:tc>
          <w:tcPr>
            <w:tcW w:w="5674" w:type="dxa"/>
            <w:shd w:val="clear" w:color="auto" w:fill="auto"/>
            <w:vAlign w:val="center"/>
          </w:tcPr>
          <w:p>
            <w:pPr>
              <w:pStyle w:val="181"/>
              <w:jc w:val="left"/>
            </w:pPr>
            <w:r>
              <w:rPr>
                <w:rFonts w:hint="eastAsia"/>
              </w:rPr>
              <w:t>输卵管轻度异常（如一侧输卵管通而不畅），排卵障碍，子宫内膜炎、子宫内膜息肉、轻度子宫内膜异位症、轻度子宫腺肌症、轻度宫腔粘连。</w:t>
            </w:r>
          </w:p>
        </w:tc>
        <w:tc>
          <w:tcPr>
            <w:tcW w:w="2321" w:type="dxa"/>
            <w:vMerge w:val="continue"/>
            <w:shd w:val="clear" w:color="auto" w:fill="auto"/>
            <w:vAlign w:val="center"/>
          </w:tcPr>
          <w:p>
            <w:pPr>
              <w:pStyle w:val="181"/>
              <w:ind w:firstLine="180" w:firstLine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60" w:hRule="atLeast"/>
          <w:jc w:val="center"/>
        </w:trPr>
        <w:tc>
          <w:tcPr>
            <w:tcW w:w="912" w:type="dxa"/>
            <w:vMerge w:val="restart"/>
            <w:shd w:val="clear" w:color="auto" w:fill="auto"/>
            <w:vAlign w:val="center"/>
          </w:tcPr>
          <w:p>
            <w:pPr>
              <w:pStyle w:val="181"/>
            </w:pPr>
            <w:r>
              <w:rPr>
                <w:rFonts w:hint="eastAsia"/>
              </w:rPr>
              <w:t>中度异常</w:t>
            </w:r>
          </w:p>
        </w:tc>
        <w:tc>
          <w:tcPr>
            <w:tcW w:w="638" w:type="dxa"/>
            <w:vAlign w:val="center"/>
          </w:tcPr>
          <w:p>
            <w:pPr>
              <w:pStyle w:val="181"/>
            </w:pPr>
            <w:r>
              <w:rPr>
                <w:rFonts w:hint="eastAsia"/>
              </w:rPr>
              <w:t>男性</w:t>
            </w:r>
          </w:p>
        </w:tc>
        <w:tc>
          <w:tcPr>
            <w:tcW w:w="5674" w:type="dxa"/>
            <w:shd w:val="clear" w:color="auto" w:fill="auto"/>
            <w:vAlign w:val="center"/>
          </w:tcPr>
          <w:p>
            <w:pPr>
              <w:pStyle w:val="181"/>
              <w:ind w:firstLine="180" w:firstLineChars="100"/>
            </w:pPr>
            <w:r>
              <w:rPr>
                <w:rFonts w:hint="eastAsia"/>
              </w:rPr>
              <w:t>轻中度少弱精子症</w:t>
            </w:r>
          </w:p>
        </w:tc>
        <w:tc>
          <w:tcPr>
            <w:tcW w:w="2321" w:type="dxa"/>
            <w:vMerge w:val="restart"/>
            <w:shd w:val="clear" w:color="auto" w:fill="auto"/>
            <w:vAlign w:val="center"/>
          </w:tcPr>
          <w:p>
            <w:pPr>
              <w:pStyle w:val="181"/>
              <w:jc w:val="both"/>
            </w:pPr>
            <w:r>
              <w:rPr>
                <w:rFonts w:hint="eastAsia"/>
              </w:rPr>
              <w:t>盆腔输卵管手术或IVF-ET；宫腔镜检查、治疗。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912" w:type="dxa"/>
            <w:vMerge w:val="continue"/>
            <w:shd w:val="clear" w:color="auto" w:fill="auto"/>
            <w:vAlign w:val="center"/>
          </w:tcPr>
          <w:p>
            <w:pPr>
              <w:pStyle w:val="181"/>
              <w:ind w:firstLine="180" w:firstLineChars="100"/>
            </w:pPr>
          </w:p>
        </w:tc>
        <w:tc>
          <w:tcPr>
            <w:tcW w:w="638" w:type="dxa"/>
            <w:vAlign w:val="center"/>
          </w:tcPr>
          <w:p>
            <w:pPr>
              <w:pStyle w:val="181"/>
            </w:pPr>
            <w:r>
              <w:rPr>
                <w:rFonts w:hint="eastAsia"/>
              </w:rPr>
              <w:t>女性</w:t>
            </w:r>
          </w:p>
        </w:tc>
        <w:tc>
          <w:tcPr>
            <w:tcW w:w="5674" w:type="dxa"/>
            <w:shd w:val="clear" w:color="auto" w:fill="auto"/>
            <w:vAlign w:val="center"/>
          </w:tcPr>
          <w:p>
            <w:pPr>
              <w:pStyle w:val="181"/>
              <w:jc w:val="left"/>
            </w:pPr>
            <w:r>
              <w:rPr>
                <w:rFonts w:hint="eastAsia"/>
              </w:rPr>
              <w:t>输卵管中度异常（如双侧侧输卵管通而不畅、梗阻、积水）、中重度子宫内膜异位症、中重度子宫腺肌症、中度宫腔粘连、中隔子宫；排卵障碍经过促排卵指导同房治疗未能妊娠。</w:t>
            </w:r>
          </w:p>
        </w:tc>
        <w:tc>
          <w:tcPr>
            <w:tcW w:w="2321" w:type="dxa"/>
            <w:vMerge w:val="continue"/>
            <w:shd w:val="clear" w:color="auto" w:fill="auto"/>
            <w:vAlign w:val="center"/>
          </w:tcPr>
          <w:p>
            <w:pPr>
              <w:pStyle w:val="181"/>
              <w:ind w:firstLine="180" w:firstLine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35" w:hRule="atLeast"/>
          <w:jc w:val="center"/>
        </w:trPr>
        <w:tc>
          <w:tcPr>
            <w:tcW w:w="912" w:type="dxa"/>
            <w:vMerge w:val="restart"/>
            <w:shd w:val="clear" w:color="auto" w:fill="auto"/>
            <w:vAlign w:val="center"/>
          </w:tcPr>
          <w:p>
            <w:pPr>
              <w:pStyle w:val="181"/>
            </w:pPr>
            <w:r>
              <w:rPr>
                <w:rFonts w:hint="eastAsia"/>
              </w:rPr>
              <w:t>重度异常</w:t>
            </w:r>
          </w:p>
        </w:tc>
        <w:tc>
          <w:tcPr>
            <w:tcW w:w="638" w:type="dxa"/>
            <w:vAlign w:val="center"/>
          </w:tcPr>
          <w:p>
            <w:pPr>
              <w:pStyle w:val="181"/>
              <w:ind w:firstLine="180" w:firstLineChars="100"/>
              <w:jc w:val="both"/>
            </w:pPr>
            <w:r>
              <w:rPr>
                <w:rFonts w:hint="eastAsia"/>
              </w:rPr>
              <w:t>男性</w:t>
            </w:r>
          </w:p>
        </w:tc>
        <w:tc>
          <w:tcPr>
            <w:tcW w:w="5674" w:type="dxa"/>
            <w:shd w:val="clear" w:color="auto" w:fill="auto"/>
            <w:vAlign w:val="center"/>
          </w:tcPr>
          <w:p>
            <w:pPr>
              <w:pStyle w:val="181"/>
              <w:ind w:firstLine="180" w:firstLineChars="100"/>
            </w:pPr>
            <w:r>
              <w:rPr>
                <w:rFonts w:hint="eastAsia"/>
              </w:rPr>
              <w:t>严重少弱畸形精子症、逆行射精、无精子症。</w:t>
            </w:r>
          </w:p>
        </w:tc>
        <w:tc>
          <w:tcPr>
            <w:tcW w:w="2321" w:type="dxa"/>
            <w:vMerge w:val="restart"/>
            <w:shd w:val="clear" w:color="auto" w:fill="auto"/>
            <w:vAlign w:val="center"/>
          </w:tcPr>
          <w:p>
            <w:pPr>
              <w:pStyle w:val="181"/>
              <w:jc w:val="left"/>
            </w:pPr>
            <w:r>
              <w:rPr>
                <w:rFonts w:hint="eastAsia"/>
              </w:rPr>
              <w:t>IVF-ET助孕，合并遗传性疾病可能造成子代严重疾患者，行PGD。男性行手术取精获得精子后行ICSI。如无法获得精子则行供精助孕。女性卵巢早衰无法获得卵子可行供卵助孕。宫腔镜检查、治疗。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912" w:type="dxa"/>
            <w:vMerge w:val="continue"/>
            <w:tcBorders>
              <w:bottom w:val="single" w:color="auto" w:sz="8" w:space="0"/>
            </w:tcBorders>
            <w:shd w:val="clear" w:color="auto" w:fill="auto"/>
            <w:vAlign w:val="center"/>
          </w:tcPr>
          <w:p>
            <w:pPr>
              <w:pStyle w:val="181"/>
              <w:ind w:firstLine="180" w:firstLineChars="100"/>
            </w:pPr>
          </w:p>
        </w:tc>
        <w:tc>
          <w:tcPr>
            <w:tcW w:w="638" w:type="dxa"/>
            <w:tcBorders>
              <w:bottom w:val="single" w:color="auto" w:sz="8" w:space="0"/>
            </w:tcBorders>
            <w:vAlign w:val="center"/>
          </w:tcPr>
          <w:p>
            <w:pPr>
              <w:pStyle w:val="181"/>
              <w:ind w:firstLine="180" w:firstLineChars="100"/>
              <w:jc w:val="both"/>
            </w:pPr>
            <w:r>
              <w:rPr>
                <w:rFonts w:hint="eastAsia"/>
              </w:rPr>
              <w:t>女性</w:t>
            </w:r>
          </w:p>
        </w:tc>
        <w:tc>
          <w:tcPr>
            <w:tcW w:w="5674" w:type="dxa"/>
            <w:tcBorders>
              <w:bottom w:val="single" w:color="auto" w:sz="8" w:space="0"/>
            </w:tcBorders>
            <w:shd w:val="clear" w:color="auto" w:fill="auto"/>
            <w:vAlign w:val="center"/>
          </w:tcPr>
          <w:p>
            <w:pPr>
              <w:pStyle w:val="181"/>
              <w:jc w:val="left"/>
            </w:pPr>
            <w:r>
              <w:rPr>
                <w:rFonts w:hint="eastAsia"/>
              </w:rPr>
              <w:t>双侧输卵管近端梗阻、卵巢储备功能减退甚至卵巢早衰、重度子宫内膜异位症、重度腺肌症、重度宫腔粘连、严重生殖道畸形。</w:t>
            </w:r>
          </w:p>
        </w:tc>
        <w:tc>
          <w:tcPr>
            <w:tcW w:w="2321" w:type="dxa"/>
            <w:vMerge w:val="continue"/>
            <w:tcBorders>
              <w:bottom w:val="single" w:color="auto" w:sz="8" w:space="0"/>
            </w:tcBorders>
            <w:shd w:val="clear" w:color="auto" w:fill="auto"/>
            <w:vAlign w:val="center"/>
          </w:tcPr>
          <w:p>
            <w:pPr>
              <w:pStyle w:val="181"/>
              <w:ind w:firstLine="180" w:firstLineChars="10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4" w:hRule="atLeast"/>
          <w:jc w:val="center"/>
        </w:trPr>
        <w:tc>
          <w:tcPr>
            <w:tcW w:w="9545" w:type="dxa"/>
            <w:gridSpan w:val="4"/>
            <w:tcBorders>
              <w:top w:val="single" w:color="auto" w:sz="8" w:space="0"/>
              <w:bottom w:val="single" w:color="auto" w:sz="8" w:space="0"/>
            </w:tcBorders>
            <w:shd w:val="clear" w:color="auto" w:fill="auto"/>
            <w:vAlign w:val="center"/>
          </w:tcPr>
          <w:p>
            <w:pPr>
              <w:pStyle w:val="183"/>
            </w:pPr>
            <w:r>
              <w:rPr>
                <w:rFonts w:hint="eastAsia"/>
              </w:rPr>
              <w:t>“轻度异常、中度异常和重度异常”的分级，仅限于评估生育能力的主观评价和相应治疗建议，不代表身体健康情况，比如男性无精子症或女性双侧输卵管梗阻，对于生育来说是重度异常，但如果没有妊娠计划，不影响健康。</w:t>
            </w:r>
          </w:p>
          <w:p>
            <w:pPr>
              <w:pStyle w:val="183"/>
            </w:pPr>
            <w:r>
              <w:rPr>
                <w:rFonts w:hint="eastAsia"/>
              </w:rPr>
              <w:t>鉴于年龄对女性的生育功能的重要影响，女性最佳生育年龄为20</w:t>
            </w:r>
            <w:r>
              <w:rPr>
                <w:rFonts w:hint="eastAsia" w:hAnsi="宋体"/>
              </w:rPr>
              <w:t>～</w:t>
            </w:r>
            <w:r>
              <w:t>28</w:t>
            </w:r>
            <w:r>
              <w:rPr>
                <w:rFonts w:hint="eastAsia"/>
              </w:rPr>
              <w:t>岁，建议女性3</w:t>
            </w:r>
            <w:r>
              <w:t>0</w:t>
            </w:r>
            <w:r>
              <w:rPr>
                <w:rFonts w:hint="eastAsia"/>
              </w:rPr>
              <w:t>岁前完成第一胎生育，3</w:t>
            </w:r>
            <w:r>
              <w:t>5</w:t>
            </w:r>
            <w:r>
              <w:rPr>
                <w:rFonts w:hint="eastAsia"/>
              </w:rPr>
              <w:t>岁完成所有生育任务。</w:t>
            </w:r>
          </w:p>
        </w:tc>
      </w:tr>
      <w:bookmarkEnd w:id="63"/>
    </w:tbl>
    <w:p>
      <w:pPr>
        <w:pStyle w:val="59"/>
        <w:ind w:firstLine="420"/>
      </w:pPr>
    </w:p>
    <w:p>
      <w:pPr>
        <w:widowControl/>
        <w:adjustRightInd/>
        <w:spacing w:line="240" w:lineRule="auto"/>
        <w:jc w:val="left"/>
        <w:rPr>
          <w:rFonts w:ascii="宋体" w:hAnsi="Times New Roman"/>
          <w:kern w:val="0"/>
          <w:szCs w:val="20"/>
        </w:rPr>
      </w:pPr>
      <w:r>
        <w:br w:type="page"/>
      </w:r>
    </w:p>
    <w:bookmarkEnd w:id="22"/>
    <w:p>
      <w:pPr>
        <w:pStyle w:val="201"/>
      </w:pPr>
      <w:bookmarkStart w:id="64" w:name="BookMark5"/>
    </w:p>
    <w:p>
      <w:pPr>
        <w:pStyle w:val="202"/>
      </w:pPr>
    </w:p>
    <w:p>
      <w:pPr>
        <w:pStyle w:val="79"/>
        <w:spacing w:after="120"/>
      </w:pPr>
    </w:p>
    <w:p>
      <w:pPr>
        <w:pStyle w:val="79"/>
        <w:spacing w:after="120"/>
      </w:pPr>
      <w:r>
        <w:rPr>
          <w:rFonts w:hint="eastAsia"/>
        </w:rPr>
        <w:t>（资料性）</w:t>
      </w:r>
    </w:p>
    <w:p>
      <w:pPr>
        <w:pStyle w:val="79"/>
        <w:spacing w:after="120"/>
      </w:pPr>
      <w:r>
        <w:rPr>
          <w:rFonts w:hint="eastAsia"/>
        </w:rPr>
        <w:t>男性参考值</w:t>
      </w:r>
    </w:p>
    <w:p>
      <w:pPr>
        <w:pStyle w:val="59"/>
        <w:ind w:firstLine="420"/>
      </w:pPr>
      <w:r>
        <w:rPr>
          <w:rFonts w:hint="eastAsia"/>
        </w:rPr>
        <w:t>精液特性参考值见表A.1，精液异常参考值见表A.2，生殖内分泌分析表见表A</w:t>
      </w:r>
      <w:r>
        <w:t>.3</w:t>
      </w:r>
      <w:r>
        <w:rPr>
          <w:rFonts w:hint="eastAsia"/>
        </w:rPr>
        <w:t>，Y染色体AZF基因微缺失检测位点见表A.</w:t>
      </w:r>
      <w:r>
        <w:t>4</w:t>
      </w:r>
      <w:r>
        <w:rPr>
          <w:rFonts w:hint="eastAsia"/>
        </w:rPr>
        <w:t>，男性不育症推荐检测基因列表见表A.</w:t>
      </w:r>
      <w:r>
        <w:t>5</w:t>
      </w:r>
      <w:r>
        <w:rPr>
          <w:rFonts w:hint="eastAsia"/>
        </w:rPr>
        <w:t>，少精子症的分级诊断见表A</w:t>
      </w:r>
      <w:r>
        <w:t>.6</w:t>
      </w:r>
      <w:r>
        <w:rPr>
          <w:rFonts w:hint="eastAsia"/>
        </w:rPr>
        <w:t>，弱精子症的分级诊断见表A</w:t>
      </w:r>
      <w:r>
        <w:t>.7</w:t>
      </w:r>
      <w:r>
        <w:rPr>
          <w:rFonts w:hint="eastAsia"/>
        </w:rPr>
        <w:t>。</w:t>
      </w:r>
      <w:r>
        <w:t xml:space="preserve"> </w:t>
      </w:r>
    </w:p>
    <w:p>
      <w:pPr>
        <w:pStyle w:val="80"/>
        <w:spacing w:before="120" w:after="120"/>
      </w:pPr>
      <w:r>
        <w:rPr>
          <w:kern w:val="0"/>
        </w:rPr>
        <w:t>精液特性参考值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311"/>
        <w:gridCol w:w="3080"/>
        <w:gridCol w:w="29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3311" w:type="dxa"/>
            <w:tcBorders>
              <w:top w:val="single" w:color="auto" w:sz="8" w:space="0"/>
              <w:bottom w:val="single" w:color="auto" w:sz="8" w:space="0"/>
            </w:tcBorders>
            <w:shd w:val="clear" w:color="auto" w:fill="auto"/>
            <w:vAlign w:val="center"/>
          </w:tcPr>
          <w:p>
            <w:pPr>
              <w:spacing w:line="240" w:lineRule="auto"/>
              <w:jc w:val="center"/>
              <w:rPr>
                <w:sz w:val="18"/>
              </w:rPr>
            </w:pPr>
            <w:r>
              <w:rPr>
                <w:sz w:val="18"/>
              </w:rPr>
              <w:t>参数</w:t>
            </w:r>
          </w:p>
        </w:tc>
        <w:tc>
          <w:tcPr>
            <w:tcW w:w="3080" w:type="dxa"/>
            <w:tcBorders>
              <w:top w:val="single" w:color="auto" w:sz="8" w:space="0"/>
              <w:bottom w:val="single" w:color="auto" w:sz="8" w:space="0"/>
            </w:tcBorders>
            <w:shd w:val="clear" w:color="auto" w:fill="auto"/>
            <w:vAlign w:val="center"/>
          </w:tcPr>
          <w:p>
            <w:pPr>
              <w:spacing w:line="240" w:lineRule="auto"/>
              <w:jc w:val="center"/>
              <w:rPr>
                <w:sz w:val="18"/>
              </w:rPr>
            </w:pPr>
            <w:r>
              <w:rPr>
                <w:sz w:val="18"/>
              </w:rPr>
              <w:t>参考值下限（范围）</w:t>
            </w:r>
            <w:r>
              <w:rPr>
                <w:rFonts w:hint="eastAsia"/>
                <w:sz w:val="18"/>
              </w:rPr>
              <w:t>2010年第5版</w:t>
            </w:r>
          </w:p>
        </w:tc>
        <w:tc>
          <w:tcPr>
            <w:tcW w:w="2943" w:type="dxa"/>
            <w:tcBorders>
              <w:top w:val="single" w:color="auto" w:sz="8" w:space="0"/>
              <w:bottom w:val="single" w:color="auto" w:sz="8" w:space="0"/>
            </w:tcBorders>
            <w:shd w:val="clear" w:color="auto" w:fill="auto"/>
            <w:vAlign w:val="center"/>
          </w:tcPr>
          <w:p>
            <w:pPr>
              <w:spacing w:line="240" w:lineRule="auto"/>
              <w:jc w:val="center"/>
              <w:rPr>
                <w:sz w:val="18"/>
              </w:rPr>
            </w:pPr>
            <w:r>
              <w:rPr>
                <w:sz w:val="18"/>
              </w:rPr>
              <w:t>参考值下限（范围）</w:t>
            </w:r>
            <w:r>
              <w:rPr>
                <w:rFonts w:hint="eastAsia"/>
                <w:sz w:val="18"/>
              </w:rPr>
              <w:t>2021年第6版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精液体积/（m</w:t>
            </w:r>
            <w:r>
              <w:rPr>
                <w:rFonts w:ascii="宋体" w:hAnsi="宋体"/>
                <w:sz w:val="18"/>
              </w:rPr>
              <w:t>L</w:t>
            </w:r>
            <w:r>
              <w:rPr>
                <w:rFonts w:hint="eastAsia" w:ascii="宋体" w:hAnsi="宋体"/>
                <w:sz w:val="18"/>
              </w:rPr>
              <w:t>）</w:t>
            </w:r>
          </w:p>
        </w:tc>
        <w:tc>
          <w:tcPr>
            <w:tcW w:w="3080"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ascii="宋体" w:hAnsi="宋体"/>
                <w:sz w:val="18"/>
              </w:rPr>
              <w:t>1.5</w:t>
            </w:r>
            <w:r>
              <w:rPr>
                <w:rFonts w:hint="eastAsia" w:ascii="宋体" w:hAnsi="宋体"/>
                <w:sz w:val="18"/>
              </w:rPr>
              <w:t>（1</w:t>
            </w:r>
            <w:r>
              <w:rPr>
                <w:rFonts w:ascii="宋体" w:hAnsi="宋体"/>
                <w:sz w:val="18"/>
              </w:rPr>
              <w:t>.4</w:t>
            </w:r>
            <w:r>
              <w:rPr>
                <w:rFonts w:hint="eastAsia" w:ascii="宋体" w:hAnsi="宋体"/>
                <w:sz w:val="18"/>
              </w:rPr>
              <w:t>～1</w:t>
            </w:r>
            <w:r>
              <w:rPr>
                <w:rFonts w:ascii="宋体" w:hAnsi="宋体"/>
                <w:sz w:val="18"/>
              </w:rPr>
              <w:t>.7</w:t>
            </w:r>
            <w:r>
              <w:rPr>
                <w:rFonts w:hint="eastAsia" w:ascii="宋体" w:hAnsi="宋体"/>
                <w:sz w:val="18"/>
              </w:rPr>
              <w:t>）</w:t>
            </w:r>
          </w:p>
        </w:tc>
        <w:tc>
          <w:tcPr>
            <w:tcW w:w="2943" w:type="dxa"/>
            <w:tcBorders>
              <w:top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1.4（1.3～1.5）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液化时间(min)</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＜60</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15～30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精子总数/（1</w:t>
            </w:r>
            <w:r>
              <w:rPr>
                <w:rFonts w:ascii="宋体" w:hAnsi="宋体"/>
                <w:sz w:val="18"/>
              </w:rPr>
              <w:t>0</w:t>
            </w:r>
            <w:r>
              <w:rPr>
                <w:rFonts w:ascii="宋体" w:hAnsi="宋体"/>
                <w:sz w:val="18"/>
                <w:vertAlign w:val="superscript"/>
              </w:rPr>
              <w:t>6</w:t>
            </w:r>
            <w:r>
              <w:rPr>
                <w:rFonts w:ascii="宋体" w:hAnsi="宋体"/>
                <w:sz w:val="18"/>
              </w:rPr>
              <w:t>/</w:t>
            </w:r>
            <w:r>
              <w:rPr>
                <w:rFonts w:hint="eastAsia" w:ascii="宋体" w:hAnsi="宋体"/>
                <w:sz w:val="18"/>
              </w:rPr>
              <w:t>1次射精）</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3</w:t>
            </w:r>
            <w:r>
              <w:rPr>
                <w:rFonts w:ascii="宋体" w:hAnsi="宋体"/>
                <w:sz w:val="18"/>
              </w:rPr>
              <w:t>9</w:t>
            </w:r>
            <w:r>
              <w:rPr>
                <w:rFonts w:hint="eastAsia" w:ascii="宋体" w:hAnsi="宋体"/>
                <w:sz w:val="18"/>
              </w:rPr>
              <w:t>（3</w:t>
            </w:r>
            <w:r>
              <w:rPr>
                <w:rFonts w:ascii="宋体" w:hAnsi="宋体"/>
                <w:sz w:val="18"/>
              </w:rPr>
              <w:t>3</w:t>
            </w:r>
            <w:r>
              <w:rPr>
                <w:rFonts w:hint="eastAsia" w:ascii="宋体" w:hAnsi="宋体"/>
                <w:sz w:val="18"/>
              </w:rPr>
              <w:t>～</w:t>
            </w:r>
            <w:r>
              <w:rPr>
                <w:rFonts w:ascii="宋体" w:hAnsi="宋体"/>
                <w:sz w:val="18"/>
              </w:rPr>
              <w:t>46</w:t>
            </w:r>
            <w:r>
              <w:rPr>
                <w:rFonts w:hint="eastAsia" w:ascii="宋体" w:hAnsi="宋体"/>
                <w:sz w:val="18"/>
              </w:rPr>
              <w:t>）</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39(35～40)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精子浓度/（1</w:t>
            </w:r>
            <w:r>
              <w:rPr>
                <w:rFonts w:ascii="宋体" w:hAnsi="宋体"/>
                <w:sz w:val="18"/>
              </w:rPr>
              <w:t>0</w:t>
            </w:r>
            <w:r>
              <w:rPr>
                <w:rFonts w:ascii="宋体" w:hAnsi="宋体"/>
                <w:sz w:val="18"/>
                <w:vertAlign w:val="superscript"/>
              </w:rPr>
              <w:t>6</w:t>
            </w:r>
            <w:r>
              <w:rPr>
                <w:rFonts w:ascii="宋体" w:hAnsi="宋体"/>
                <w:sz w:val="18"/>
              </w:rPr>
              <w:t>/mL</w:t>
            </w:r>
            <w:r>
              <w:rPr>
                <w:rFonts w:hint="eastAsia" w:ascii="宋体" w:hAnsi="宋体"/>
                <w:sz w:val="18"/>
              </w:rPr>
              <w:t>）</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w:t>
            </w:r>
            <w:r>
              <w:rPr>
                <w:rFonts w:ascii="宋体" w:hAnsi="宋体"/>
                <w:sz w:val="18"/>
              </w:rPr>
              <w:t>5</w:t>
            </w:r>
            <w:r>
              <w:rPr>
                <w:rFonts w:hint="eastAsia" w:ascii="宋体" w:hAnsi="宋体"/>
                <w:sz w:val="18"/>
              </w:rPr>
              <w:t>（1</w:t>
            </w:r>
            <w:r>
              <w:rPr>
                <w:rFonts w:ascii="宋体" w:hAnsi="宋体"/>
                <w:sz w:val="18"/>
              </w:rPr>
              <w:t>2</w:t>
            </w:r>
            <w:r>
              <w:rPr>
                <w:rFonts w:hint="eastAsia" w:ascii="宋体" w:hAnsi="宋体"/>
                <w:sz w:val="18"/>
              </w:rPr>
              <w:t>～1</w:t>
            </w:r>
            <w:r>
              <w:rPr>
                <w:rFonts w:ascii="宋体" w:hAnsi="宋体"/>
                <w:sz w:val="18"/>
              </w:rPr>
              <w:t>6</w:t>
            </w:r>
            <w:r>
              <w:rPr>
                <w:rFonts w:hint="eastAsia" w:ascii="宋体" w:hAnsi="宋体"/>
                <w:sz w:val="18"/>
              </w:rPr>
              <w:t>）</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16(15～18)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总活力/（P</w:t>
            </w:r>
            <w:r>
              <w:rPr>
                <w:rFonts w:ascii="宋体" w:hAnsi="宋体"/>
                <w:sz w:val="18"/>
              </w:rPr>
              <w:t>R+NP</w:t>
            </w:r>
            <w:r>
              <w:rPr>
                <w:rFonts w:hint="eastAsia" w:ascii="宋体" w:hAnsi="宋体"/>
                <w:sz w:val="18"/>
              </w:rPr>
              <w:t>）</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4</w:t>
            </w:r>
            <w:r>
              <w:rPr>
                <w:rFonts w:ascii="宋体" w:hAnsi="宋体"/>
                <w:sz w:val="18"/>
              </w:rPr>
              <w:t>0</w:t>
            </w:r>
            <w:r>
              <w:rPr>
                <w:rFonts w:hint="eastAsia" w:ascii="宋体" w:hAnsi="宋体"/>
                <w:sz w:val="18"/>
              </w:rPr>
              <w:t>（3</w:t>
            </w:r>
            <w:r>
              <w:rPr>
                <w:rFonts w:ascii="宋体" w:hAnsi="宋体"/>
                <w:sz w:val="18"/>
              </w:rPr>
              <w:t>8</w:t>
            </w:r>
            <w:r>
              <w:rPr>
                <w:rFonts w:hint="eastAsia" w:ascii="宋体" w:hAnsi="宋体"/>
                <w:sz w:val="18"/>
              </w:rPr>
              <w:t>～</w:t>
            </w:r>
            <w:r>
              <w:rPr>
                <w:rFonts w:ascii="宋体" w:hAnsi="宋体"/>
                <w:sz w:val="18"/>
              </w:rPr>
              <w:t>42</w:t>
            </w:r>
            <w:r>
              <w:rPr>
                <w:rFonts w:hint="eastAsia" w:ascii="宋体" w:hAnsi="宋体"/>
                <w:sz w:val="18"/>
              </w:rPr>
              <w:t>）</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42(40-43)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前向运动/（P</w:t>
            </w:r>
            <w:r>
              <w:rPr>
                <w:rFonts w:ascii="宋体" w:hAnsi="宋体"/>
                <w:sz w:val="18"/>
              </w:rPr>
              <w:t>R</w:t>
            </w:r>
            <w:r>
              <w:rPr>
                <w:rFonts w:hint="eastAsia" w:ascii="宋体" w:hAnsi="宋体"/>
                <w:sz w:val="18"/>
              </w:rPr>
              <w:t>，％）</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3</w:t>
            </w:r>
            <w:r>
              <w:rPr>
                <w:rFonts w:ascii="宋体" w:hAnsi="宋体"/>
                <w:sz w:val="18"/>
              </w:rPr>
              <w:t>2</w:t>
            </w:r>
            <w:r>
              <w:rPr>
                <w:rFonts w:hint="eastAsia" w:ascii="宋体" w:hAnsi="宋体"/>
                <w:sz w:val="18"/>
              </w:rPr>
              <w:t>（3</w:t>
            </w:r>
            <w:r>
              <w:rPr>
                <w:rFonts w:ascii="宋体" w:hAnsi="宋体"/>
                <w:sz w:val="18"/>
              </w:rPr>
              <w:t>1</w:t>
            </w:r>
            <w:r>
              <w:rPr>
                <w:rFonts w:hint="eastAsia" w:ascii="宋体" w:hAnsi="宋体"/>
                <w:sz w:val="18"/>
              </w:rPr>
              <w:t>～3</w:t>
            </w:r>
            <w:r>
              <w:rPr>
                <w:rFonts w:ascii="宋体" w:hAnsi="宋体"/>
                <w:sz w:val="18"/>
              </w:rPr>
              <w:t>4</w:t>
            </w:r>
            <w:r>
              <w:rPr>
                <w:rFonts w:hint="eastAsia" w:ascii="宋体" w:hAnsi="宋体"/>
                <w:sz w:val="18"/>
              </w:rPr>
              <w:t>）</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30(29～31)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存活率/（活精子，％）</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5</w:t>
            </w:r>
            <w:r>
              <w:rPr>
                <w:rFonts w:ascii="宋体" w:hAnsi="宋体"/>
                <w:sz w:val="18"/>
              </w:rPr>
              <w:t>8</w:t>
            </w:r>
            <w:r>
              <w:rPr>
                <w:rFonts w:hint="eastAsia" w:ascii="宋体" w:hAnsi="宋体"/>
                <w:sz w:val="18"/>
              </w:rPr>
              <w:t>（5</w:t>
            </w:r>
            <w:r>
              <w:rPr>
                <w:rFonts w:ascii="宋体" w:hAnsi="宋体"/>
                <w:sz w:val="18"/>
              </w:rPr>
              <w:t>5</w:t>
            </w:r>
            <w:r>
              <w:rPr>
                <w:rFonts w:hint="eastAsia" w:ascii="宋体" w:hAnsi="宋体"/>
                <w:sz w:val="18"/>
              </w:rPr>
              <w:t>～6</w:t>
            </w:r>
            <w:r>
              <w:rPr>
                <w:rFonts w:ascii="宋体" w:hAnsi="宋体"/>
                <w:sz w:val="18"/>
              </w:rPr>
              <w:t>3</w:t>
            </w:r>
            <w:r>
              <w:rPr>
                <w:rFonts w:hint="eastAsia" w:ascii="宋体" w:hAnsi="宋体"/>
                <w:sz w:val="18"/>
              </w:rPr>
              <w:t>）</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54(50～56)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精子形态学/（正常形态，％）</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4.0（3</w:t>
            </w:r>
            <w:r>
              <w:rPr>
                <w:rFonts w:ascii="宋体" w:hAnsi="宋体"/>
                <w:sz w:val="18"/>
              </w:rPr>
              <w:t>.0</w:t>
            </w:r>
            <w:r>
              <w:rPr>
                <w:rFonts w:hint="eastAsia" w:ascii="宋体" w:hAnsi="宋体"/>
                <w:sz w:val="18"/>
              </w:rPr>
              <w:t>～</w:t>
            </w:r>
            <w:r>
              <w:rPr>
                <w:rFonts w:ascii="宋体" w:hAnsi="宋体"/>
                <w:sz w:val="18"/>
              </w:rPr>
              <w:t>4.0</w:t>
            </w:r>
            <w:r>
              <w:rPr>
                <w:rFonts w:hint="eastAsia" w:ascii="宋体" w:hAnsi="宋体"/>
                <w:sz w:val="18"/>
              </w:rPr>
              <w:t>）</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4.0(3.9～4.0)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p</w:t>
            </w:r>
            <w:r>
              <w:rPr>
                <w:rFonts w:ascii="宋体" w:hAnsi="宋体"/>
                <w:sz w:val="18"/>
              </w:rPr>
              <w:t>H</w:t>
            </w:r>
          </w:p>
        </w:tc>
        <w:tc>
          <w:tcPr>
            <w:tcW w:w="3080" w:type="dxa"/>
            <w:shd w:val="clear" w:color="auto" w:fill="auto"/>
            <w:vAlign w:val="center"/>
          </w:tcPr>
          <w:p>
            <w:pPr>
              <w:spacing w:line="240" w:lineRule="auto"/>
              <w:ind w:firstLine="180" w:firstLineChars="100"/>
              <w:jc w:val="center"/>
              <w:rPr>
                <w:rFonts w:ascii="宋体" w:hAnsi="宋体"/>
                <w:strike/>
                <w:sz w:val="18"/>
              </w:rPr>
            </w:pPr>
            <w:r>
              <w:rPr>
                <w:rFonts w:hint="eastAsia" w:ascii="宋体" w:hAnsi="宋体"/>
                <w:sz w:val="18"/>
              </w:rPr>
              <w:t>7.2～8.0</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7.2～8.0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过氧化物酶阳性白细胞/（1</w:t>
            </w:r>
            <w:r>
              <w:rPr>
                <w:rFonts w:ascii="宋体" w:hAnsi="宋体"/>
                <w:sz w:val="18"/>
              </w:rPr>
              <w:t>0</w:t>
            </w:r>
            <w:r>
              <w:rPr>
                <w:rFonts w:ascii="宋体" w:hAnsi="宋体"/>
                <w:sz w:val="18"/>
                <w:vertAlign w:val="superscript"/>
              </w:rPr>
              <w:t>6</w:t>
            </w:r>
            <w:r>
              <w:rPr>
                <w:rFonts w:ascii="宋体" w:hAnsi="宋体"/>
                <w:sz w:val="18"/>
              </w:rPr>
              <w:t>/mL</w:t>
            </w:r>
            <w:r>
              <w:rPr>
                <w:rFonts w:hint="eastAsia" w:ascii="宋体" w:hAnsi="宋体"/>
                <w:sz w:val="18"/>
              </w:rPr>
              <w:t>）</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w:t>
            </w:r>
            <w:r>
              <w:rPr>
                <w:rFonts w:ascii="宋体" w:hAnsi="宋体"/>
                <w:sz w:val="18"/>
              </w:rPr>
              <w:t>.0</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可选择性检测</w:t>
            </w:r>
          </w:p>
        </w:tc>
        <w:tc>
          <w:tcPr>
            <w:tcW w:w="3080" w:type="dxa"/>
            <w:shd w:val="clear" w:color="auto" w:fill="auto"/>
            <w:vAlign w:val="center"/>
          </w:tcPr>
          <w:p>
            <w:pPr>
              <w:spacing w:line="240" w:lineRule="auto"/>
              <w:ind w:firstLine="180" w:firstLineChars="100"/>
              <w:jc w:val="center"/>
              <w:rPr>
                <w:rFonts w:ascii="宋体" w:hAnsi="宋体"/>
                <w:sz w:val="18"/>
              </w:rPr>
            </w:pPr>
          </w:p>
        </w:tc>
        <w:tc>
          <w:tcPr>
            <w:tcW w:w="2943" w:type="dxa"/>
            <w:shd w:val="clear" w:color="auto" w:fill="auto"/>
            <w:vAlign w:val="center"/>
          </w:tcPr>
          <w:p>
            <w:pPr>
              <w:spacing w:line="240" w:lineRule="auto"/>
              <w:ind w:firstLine="180" w:firstLineChars="100"/>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rPr>
                <w:rFonts w:ascii="宋体" w:hAnsi="宋体"/>
                <w:sz w:val="18"/>
              </w:rPr>
            </w:pPr>
            <w:r>
              <w:rPr>
                <w:rFonts w:hint="eastAsia" w:ascii="宋体" w:hAnsi="宋体"/>
                <w:sz w:val="18"/>
              </w:rPr>
              <w:t>M</w:t>
            </w:r>
            <w:r>
              <w:rPr>
                <w:rFonts w:ascii="宋体" w:hAnsi="宋体"/>
                <w:sz w:val="18"/>
              </w:rPr>
              <w:t>AR</w:t>
            </w:r>
            <w:r>
              <w:rPr>
                <w:rFonts w:hint="eastAsia" w:ascii="宋体" w:hAnsi="宋体"/>
                <w:sz w:val="18"/>
              </w:rPr>
              <w:t>试验/（与免疫珠结合的活动精子，％）</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w:t>
            </w:r>
            <w:r>
              <w:rPr>
                <w:rFonts w:ascii="宋体" w:hAnsi="宋体"/>
                <w:sz w:val="18"/>
              </w:rPr>
              <w:t>50</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精浆锌/（μm</w:t>
            </w:r>
            <w:r>
              <w:rPr>
                <w:rFonts w:ascii="宋体" w:hAnsi="宋体"/>
                <w:sz w:val="18"/>
              </w:rPr>
              <w:t>ol/1</w:t>
            </w:r>
            <w:r>
              <w:rPr>
                <w:rFonts w:hint="eastAsia" w:ascii="宋体" w:hAnsi="宋体"/>
                <w:sz w:val="18"/>
              </w:rPr>
              <w:t>次射精）</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w:t>
            </w:r>
            <w:r>
              <w:rPr>
                <w:rFonts w:ascii="宋体" w:hAnsi="宋体"/>
                <w:sz w:val="18"/>
              </w:rPr>
              <w:t>2.4</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w:t>
            </w:r>
            <w:r>
              <w:rPr>
                <w:rFonts w:ascii="宋体" w:hAnsi="宋体"/>
                <w:sz w:val="18"/>
              </w:rPr>
              <w:t>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精浆果糖/（μm</w:t>
            </w:r>
            <w:r>
              <w:rPr>
                <w:rFonts w:ascii="宋体" w:hAnsi="宋体"/>
                <w:sz w:val="18"/>
              </w:rPr>
              <w:t>ol/1</w:t>
            </w:r>
            <w:r>
              <w:rPr>
                <w:rFonts w:hint="eastAsia" w:ascii="宋体" w:hAnsi="宋体"/>
                <w:sz w:val="18"/>
              </w:rPr>
              <w:t>次射精）</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w:t>
            </w:r>
            <w:r>
              <w:rPr>
                <w:rFonts w:ascii="宋体" w:hAnsi="宋体"/>
                <w:sz w:val="18"/>
              </w:rPr>
              <w:t>13</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shd w:val="clear" w:color="auto" w:fill="auto"/>
            <w:vAlign w:val="center"/>
          </w:tcPr>
          <w:p>
            <w:pPr>
              <w:spacing w:line="240" w:lineRule="auto"/>
              <w:rPr>
                <w:rFonts w:ascii="宋体" w:hAnsi="宋体"/>
                <w:sz w:val="18"/>
              </w:rPr>
            </w:pPr>
            <w:r>
              <w:rPr>
                <w:rFonts w:hint="eastAsia" w:ascii="宋体" w:hAnsi="宋体"/>
                <w:sz w:val="18"/>
              </w:rPr>
              <w:t>精浆中性α-葡萄糖苷酶/（m</w:t>
            </w:r>
            <w:r>
              <w:rPr>
                <w:rFonts w:ascii="宋体" w:hAnsi="宋体"/>
                <w:sz w:val="18"/>
              </w:rPr>
              <w:t>U/1</w:t>
            </w:r>
            <w:r>
              <w:rPr>
                <w:rFonts w:hint="eastAsia" w:ascii="宋体" w:hAnsi="宋体"/>
                <w:sz w:val="18"/>
              </w:rPr>
              <w:t>次射精）</w:t>
            </w:r>
          </w:p>
        </w:tc>
        <w:tc>
          <w:tcPr>
            <w:tcW w:w="3080"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w:t>
            </w:r>
            <w:r>
              <w:rPr>
                <w:rFonts w:ascii="宋体" w:hAnsi="宋体"/>
                <w:sz w:val="18"/>
              </w:rPr>
              <w:t>20</w:t>
            </w:r>
          </w:p>
        </w:tc>
        <w:tc>
          <w:tcPr>
            <w:tcW w:w="2943"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w:t>
            </w:r>
            <w:r>
              <w:rPr>
                <w:rFonts w:ascii="宋体" w:hAnsi="宋体"/>
                <w:sz w:val="18"/>
              </w:rPr>
              <w:t>2</w:t>
            </w:r>
            <w:r>
              <w:rPr>
                <w:rFonts w:hint="eastAsia" w:ascii="宋体" w:hAnsi="宋体"/>
                <w:sz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311"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其他共识阈值</w:t>
            </w:r>
          </w:p>
        </w:tc>
        <w:tc>
          <w:tcPr>
            <w:tcW w:w="3080" w:type="dxa"/>
            <w:tcBorders>
              <w:bottom w:val="single" w:color="auto" w:sz="8" w:space="0"/>
            </w:tcBorders>
            <w:shd w:val="clear" w:color="auto" w:fill="auto"/>
            <w:vAlign w:val="center"/>
          </w:tcPr>
          <w:p>
            <w:pPr>
              <w:spacing w:line="240" w:lineRule="auto"/>
              <w:ind w:firstLine="180" w:firstLineChars="100"/>
              <w:jc w:val="left"/>
              <w:rPr>
                <w:rFonts w:ascii="宋体" w:hAnsi="宋体"/>
                <w:sz w:val="18"/>
              </w:rPr>
            </w:pPr>
          </w:p>
        </w:tc>
        <w:tc>
          <w:tcPr>
            <w:tcW w:w="2943" w:type="dxa"/>
            <w:tcBorders>
              <w:bottom w:val="single" w:color="auto" w:sz="8" w:space="0"/>
            </w:tcBorders>
            <w:shd w:val="clear" w:color="auto" w:fill="auto"/>
            <w:vAlign w:val="center"/>
          </w:tcPr>
          <w:p>
            <w:pPr>
              <w:spacing w:line="240" w:lineRule="auto"/>
              <w:ind w:firstLine="180" w:firstLineChars="100"/>
              <w:jc w:val="left"/>
              <w:rPr>
                <w:rFonts w:ascii="宋体" w:hAnsi="宋体"/>
                <w:sz w:val="18"/>
              </w:rPr>
            </w:pPr>
          </w:p>
        </w:tc>
      </w:tr>
    </w:tbl>
    <w:p>
      <w:pPr>
        <w:pStyle w:val="59"/>
        <w:ind w:firstLine="420"/>
      </w:pPr>
    </w:p>
    <w:p>
      <w:pPr>
        <w:widowControl/>
        <w:adjustRightInd/>
        <w:spacing w:line="240" w:lineRule="auto"/>
        <w:jc w:val="left"/>
        <w:rPr>
          <w:rFonts w:ascii="宋体" w:hAnsi="Times New Roman"/>
          <w:kern w:val="0"/>
          <w:szCs w:val="20"/>
        </w:rPr>
      </w:pPr>
      <w:r>
        <w:br w:type="page"/>
      </w:r>
    </w:p>
    <w:p>
      <w:pPr>
        <w:pStyle w:val="80"/>
        <w:spacing w:before="120" w:after="120"/>
      </w:pPr>
      <w:r>
        <w:rPr>
          <w:rFonts w:hint="eastAsia"/>
        </w:rPr>
        <w:t>精液异常参考值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8"/>
        <w:gridCol w:w="7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名称</w:t>
            </w:r>
          </w:p>
        </w:tc>
        <w:tc>
          <w:tcPr>
            <w:tcW w:w="7076"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参考值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正常精子</w:t>
            </w:r>
          </w:p>
        </w:tc>
        <w:tc>
          <w:tcPr>
            <w:tcW w:w="7076" w:type="dxa"/>
            <w:shd w:val="clear" w:color="auto" w:fill="auto"/>
            <w:vAlign w:val="center"/>
          </w:tcPr>
          <w:p>
            <w:pPr>
              <w:spacing w:line="240" w:lineRule="auto"/>
              <w:rPr>
                <w:sz w:val="18"/>
              </w:rPr>
            </w:pPr>
            <w:r>
              <w:rPr>
                <w:rFonts w:hint="eastAsia"/>
                <w:sz w:val="18"/>
              </w:rPr>
              <w:t>精子总数（或浓度取决于报告结果）</w:t>
            </w:r>
            <w:r>
              <w:rPr>
                <w:rFonts w:hint="eastAsia" w:ascii="MS Mincho" w:hAnsi="MS Mincho" w:eastAsia="MS Mincho" w:cs="MS Mincho"/>
                <w:sz w:val="18"/>
              </w:rPr>
              <w:t>∗</w:t>
            </w:r>
            <w:r>
              <w:rPr>
                <w:rFonts w:hint="eastAsia"/>
                <w:sz w:val="18"/>
              </w:rPr>
              <w:t>，</w:t>
            </w:r>
            <w:r>
              <w:rPr>
                <w:sz w:val="18"/>
              </w:rPr>
              <w:t xml:space="preserve">PR </w:t>
            </w:r>
            <w:r>
              <w:rPr>
                <w:rFonts w:hint="eastAsia"/>
                <w:sz w:val="18"/>
              </w:rPr>
              <w:t>精子百分率和正常形态</w:t>
            </w:r>
            <w:r>
              <w:rPr>
                <w:sz w:val="18"/>
              </w:rPr>
              <w:t xml:space="preserve"> </w:t>
            </w:r>
            <w:r>
              <w:rPr>
                <w:rFonts w:hint="eastAsia"/>
                <w:sz w:val="18"/>
              </w:rPr>
              <w:t>精子百分率分别≥</w:t>
            </w:r>
            <w:r>
              <w:rPr>
                <w:sz w:val="18"/>
              </w:rPr>
              <w:t>39×10</w:t>
            </w:r>
            <w:r>
              <w:rPr>
                <w:sz w:val="18"/>
                <w:vertAlign w:val="superscript"/>
              </w:rPr>
              <w:t>6</w:t>
            </w:r>
            <w:r>
              <w:rPr>
                <w:rFonts w:hint="eastAsia"/>
                <w:sz w:val="18"/>
              </w:rPr>
              <w:t>（</w:t>
            </w:r>
            <w:r>
              <w:rPr>
                <w:sz w:val="18"/>
              </w:rPr>
              <w:t>15</w:t>
            </w:r>
            <w:r>
              <w:rPr>
                <w:rFonts w:hint="eastAsia"/>
                <w:sz w:val="18"/>
              </w:rPr>
              <w:t>或16</w:t>
            </w:r>
            <w:r>
              <w:rPr>
                <w:sz w:val="18"/>
              </w:rPr>
              <w:t>×10</w:t>
            </w:r>
            <w:r>
              <w:rPr>
                <w:sz w:val="18"/>
                <w:vertAlign w:val="superscript"/>
              </w:rPr>
              <w:t>6</w:t>
            </w:r>
            <w:r>
              <w:rPr>
                <w:sz w:val="18"/>
              </w:rPr>
              <w:t>/ml</w:t>
            </w:r>
            <w:r>
              <w:rPr>
                <w:rFonts w:hint="eastAsia"/>
                <w:sz w:val="18"/>
              </w:rPr>
              <w:t>、</w:t>
            </w:r>
            <w:r>
              <w:rPr>
                <w:sz w:val="18"/>
              </w:rPr>
              <w:t>32</w:t>
            </w:r>
            <w:r>
              <w:rPr>
                <w:sz w:val="18"/>
                <w:vertAlign w:val="superscript"/>
              </w:rPr>
              <w:t xml:space="preserve"> </w:t>
            </w:r>
            <w:r>
              <w:rPr>
                <w:rFonts w:hint="eastAsia"/>
                <w:sz w:val="18"/>
              </w:rPr>
              <w:t>%或30% 和</w:t>
            </w:r>
            <w:r>
              <w:rPr>
                <w:sz w:val="18"/>
              </w:rPr>
              <w:t>4</w:t>
            </w:r>
            <w:r>
              <w:rPr>
                <w:sz w:val="18"/>
                <w:vertAlign w:val="superscript"/>
              </w:rPr>
              <w:t xml:space="preserve"> </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少精子症</w:t>
            </w:r>
          </w:p>
        </w:tc>
        <w:tc>
          <w:tcPr>
            <w:tcW w:w="7076" w:type="dxa"/>
            <w:shd w:val="clear" w:color="auto" w:fill="auto"/>
            <w:vAlign w:val="center"/>
          </w:tcPr>
          <w:p>
            <w:pPr>
              <w:spacing w:line="240" w:lineRule="auto"/>
              <w:ind w:firstLine="180" w:firstLineChars="100"/>
              <w:jc w:val="center"/>
              <w:rPr>
                <w:sz w:val="18"/>
              </w:rPr>
            </w:pPr>
            <w:r>
              <w:rPr>
                <w:rFonts w:hint="eastAsia"/>
                <w:sz w:val="18"/>
              </w:rPr>
              <w:t>精子总数（或浓度取决于报告结果）</w:t>
            </w:r>
            <w:r>
              <w:rPr>
                <w:rFonts w:hint="eastAsia" w:ascii="MS Mincho" w:hAnsi="MS Mincho" w:eastAsia="MS Mincho" w:cs="MS Mincho"/>
                <w:sz w:val="18"/>
              </w:rPr>
              <w:t>∗</w:t>
            </w:r>
            <w:r>
              <w:rPr>
                <w:rFonts w:hint="eastAsia"/>
                <w:sz w:val="18"/>
              </w:rPr>
              <w:t>低于</w:t>
            </w:r>
            <w:r>
              <w:rPr>
                <w:sz w:val="18"/>
              </w:rPr>
              <w:t>39×10</w:t>
            </w:r>
            <w:r>
              <w:rPr>
                <w:sz w:val="18"/>
                <w:vertAlign w:val="superscript"/>
              </w:rPr>
              <w:t>6</w:t>
            </w:r>
            <w:r>
              <w:rPr>
                <w:rFonts w:hint="eastAsia"/>
                <w:sz w:val="18"/>
              </w:rPr>
              <w:t>（</w:t>
            </w:r>
            <w:r>
              <w:rPr>
                <w:sz w:val="18"/>
              </w:rPr>
              <w:t>15</w:t>
            </w:r>
            <w:r>
              <w:rPr>
                <w:rFonts w:hint="eastAsia"/>
                <w:sz w:val="18"/>
              </w:rPr>
              <w:t>或16</w:t>
            </w:r>
            <w:r>
              <w:rPr>
                <w:sz w:val="18"/>
              </w:rPr>
              <w:t>×10</w:t>
            </w:r>
            <w:r>
              <w:rPr>
                <w:sz w:val="18"/>
                <w:vertAlign w:val="superscript"/>
              </w:rPr>
              <w:t>6</w:t>
            </w:r>
            <w:r>
              <w:rPr>
                <w:sz w:val="18"/>
              </w:rPr>
              <w:t>/ml</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弱精子症</w:t>
            </w:r>
          </w:p>
        </w:tc>
        <w:tc>
          <w:tcPr>
            <w:tcW w:w="7076" w:type="dxa"/>
            <w:shd w:val="clear" w:color="auto" w:fill="auto"/>
            <w:vAlign w:val="center"/>
          </w:tcPr>
          <w:p>
            <w:pPr>
              <w:spacing w:line="240" w:lineRule="auto"/>
              <w:ind w:firstLine="180" w:firstLineChars="100"/>
              <w:jc w:val="center"/>
              <w:rPr>
                <w:sz w:val="18"/>
              </w:rPr>
            </w:pPr>
            <w:r>
              <w:rPr>
                <w:rFonts w:hint="eastAsia"/>
                <w:sz w:val="18"/>
              </w:rPr>
              <w:t>PR精子百分率＜32</w:t>
            </w:r>
            <w:r>
              <w:rPr>
                <w:sz w:val="18"/>
                <w:vertAlign w:val="superscript"/>
              </w:rPr>
              <w:t xml:space="preserve"> </w:t>
            </w:r>
            <w:r>
              <w:rPr>
                <w:rFonts w:hint="eastAsia"/>
                <w:sz w:val="18"/>
              </w:rPr>
              <w:t>%（或30</w:t>
            </w:r>
            <w:r>
              <w:rPr>
                <w:sz w:val="18"/>
                <w:vertAlign w:val="superscript"/>
              </w:rPr>
              <w:t xml:space="preserve"> </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畸形精子症</w:t>
            </w:r>
          </w:p>
        </w:tc>
        <w:tc>
          <w:tcPr>
            <w:tcW w:w="7076" w:type="dxa"/>
            <w:shd w:val="clear" w:color="auto" w:fill="auto"/>
            <w:vAlign w:val="center"/>
          </w:tcPr>
          <w:p>
            <w:pPr>
              <w:spacing w:line="240" w:lineRule="auto"/>
              <w:ind w:firstLine="180" w:firstLineChars="100"/>
              <w:jc w:val="center"/>
              <w:rPr>
                <w:sz w:val="18"/>
              </w:rPr>
            </w:pPr>
            <w:r>
              <w:rPr>
                <w:rFonts w:hint="eastAsia"/>
                <w:sz w:val="18"/>
              </w:rPr>
              <w:t>正常形态精子百分率＜4</w:t>
            </w:r>
            <w:r>
              <w:rPr>
                <w:sz w:val="18"/>
                <w:vertAlign w:val="superscript"/>
              </w:rPr>
              <w:t xml:space="preserve"> </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弱畸精子症</w:t>
            </w:r>
          </w:p>
        </w:tc>
        <w:tc>
          <w:tcPr>
            <w:tcW w:w="7076" w:type="dxa"/>
            <w:shd w:val="clear" w:color="auto" w:fill="auto"/>
            <w:vAlign w:val="center"/>
          </w:tcPr>
          <w:p>
            <w:pPr>
              <w:spacing w:line="240" w:lineRule="auto"/>
              <w:ind w:firstLine="180" w:firstLineChars="100"/>
              <w:jc w:val="center"/>
              <w:rPr>
                <w:sz w:val="18"/>
              </w:rPr>
            </w:pPr>
            <w:r>
              <w:rPr>
                <w:rFonts w:hint="eastAsia"/>
                <w:sz w:val="18"/>
              </w:rPr>
              <w:t>PR精子百分率和正常形态精子百分率分别＜32</w:t>
            </w:r>
            <w:r>
              <w:rPr>
                <w:sz w:val="18"/>
                <w:vertAlign w:val="superscript"/>
              </w:rPr>
              <w:t xml:space="preserve"> </w:t>
            </w:r>
            <w:r>
              <w:rPr>
                <w:rFonts w:hint="eastAsia"/>
                <w:sz w:val="18"/>
              </w:rPr>
              <w:t>%（或30</w:t>
            </w:r>
            <w:r>
              <w:rPr>
                <w:sz w:val="18"/>
                <w:vertAlign w:val="superscript"/>
              </w:rPr>
              <w:t xml:space="preserve"> </w:t>
            </w:r>
            <w:r>
              <w:rPr>
                <w:rFonts w:hint="eastAsia"/>
                <w:sz w:val="18"/>
              </w:rPr>
              <w:t>%）和4</w:t>
            </w:r>
            <w:r>
              <w:rPr>
                <w:sz w:val="18"/>
                <w:vertAlign w:val="superscript"/>
              </w:rPr>
              <w:t xml:space="preserve"> </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少弱精子症</w:t>
            </w:r>
          </w:p>
        </w:tc>
        <w:tc>
          <w:tcPr>
            <w:tcW w:w="7076" w:type="dxa"/>
            <w:shd w:val="clear" w:color="auto" w:fill="auto"/>
            <w:vAlign w:val="center"/>
          </w:tcPr>
          <w:p>
            <w:pPr>
              <w:spacing w:line="240" w:lineRule="auto"/>
              <w:rPr>
                <w:sz w:val="18"/>
              </w:rPr>
            </w:pPr>
            <w:r>
              <w:rPr>
                <w:rFonts w:hint="eastAsia"/>
                <w:sz w:val="18"/>
              </w:rPr>
              <w:t>精子总数（或浓度取决于报告结果）</w:t>
            </w:r>
            <w:r>
              <w:rPr>
                <w:rFonts w:hint="eastAsia" w:ascii="MS Mincho" w:hAnsi="MS Mincho" w:eastAsia="MS Mincho" w:cs="MS Mincho"/>
                <w:sz w:val="18"/>
              </w:rPr>
              <w:t>∗</w:t>
            </w:r>
            <w:r>
              <w:rPr>
                <w:rFonts w:hint="eastAsia"/>
                <w:sz w:val="18"/>
              </w:rPr>
              <w:t>和</w:t>
            </w:r>
            <w:r>
              <w:rPr>
                <w:sz w:val="18"/>
              </w:rPr>
              <w:t>PR</w:t>
            </w:r>
            <w:r>
              <w:rPr>
                <w:rFonts w:hint="eastAsia"/>
                <w:sz w:val="18"/>
              </w:rPr>
              <w:t>精子百分率＜</w:t>
            </w:r>
            <w:r>
              <w:rPr>
                <w:sz w:val="18"/>
              </w:rPr>
              <w:t>39×10</w:t>
            </w:r>
            <w:r>
              <w:rPr>
                <w:sz w:val="18"/>
                <w:vertAlign w:val="superscript"/>
              </w:rPr>
              <w:t>6</w:t>
            </w:r>
            <w:r>
              <w:rPr>
                <w:rFonts w:hint="eastAsia"/>
                <w:sz w:val="18"/>
              </w:rPr>
              <w:t>（</w:t>
            </w:r>
            <w:r>
              <w:rPr>
                <w:sz w:val="18"/>
              </w:rPr>
              <w:t>15</w:t>
            </w:r>
            <w:r>
              <w:rPr>
                <w:rFonts w:hint="eastAsia"/>
                <w:sz w:val="18"/>
              </w:rPr>
              <w:t>或16</w:t>
            </w:r>
            <w:r>
              <w:rPr>
                <w:sz w:val="18"/>
              </w:rPr>
              <w:t>×10</w:t>
            </w:r>
            <w:r>
              <w:rPr>
                <w:sz w:val="18"/>
                <w:vertAlign w:val="superscript"/>
              </w:rPr>
              <w:t>6</w:t>
            </w:r>
            <w:r>
              <w:rPr>
                <w:sz w:val="18"/>
              </w:rPr>
              <w:t xml:space="preserve"> /ml</w:t>
            </w:r>
            <w:r>
              <w:rPr>
                <w:rFonts w:hint="eastAsia"/>
                <w:sz w:val="18"/>
              </w:rPr>
              <w:t>）和</w:t>
            </w:r>
            <w:r>
              <w:rPr>
                <w:sz w:val="18"/>
              </w:rPr>
              <w:t>32</w:t>
            </w:r>
            <w:r>
              <w:rPr>
                <w:sz w:val="18"/>
                <w:vertAlign w:val="superscript"/>
              </w:rPr>
              <w:t xml:space="preserve"> </w:t>
            </w:r>
            <w:r>
              <w:rPr>
                <w:rFonts w:hint="eastAsia"/>
                <w:sz w:val="18"/>
              </w:rPr>
              <w:t>%或30</w:t>
            </w:r>
            <w:r>
              <w:rPr>
                <w:sz w:val="18"/>
                <w:vertAlign w:val="superscript"/>
              </w:rPr>
              <w:t xml:space="preserve"> </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少畸精子症</w:t>
            </w:r>
          </w:p>
        </w:tc>
        <w:tc>
          <w:tcPr>
            <w:tcW w:w="7076" w:type="dxa"/>
            <w:shd w:val="clear" w:color="auto" w:fill="auto"/>
            <w:vAlign w:val="center"/>
          </w:tcPr>
          <w:p>
            <w:pPr>
              <w:spacing w:line="240" w:lineRule="auto"/>
              <w:rPr>
                <w:sz w:val="18"/>
              </w:rPr>
            </w:pPr>
            <w:r>
              <w:rPr>
                <w:rFonts w:hint="eastAsia"/>
                <w:sz w:val="18"/>
              </w:rPr>
              <w:t>精子总数（或浓度取决于报告结果）</w:t>
            </w:r>
            <w:r>
              <w:rPr>
                <w:rFonts w:hint="eastAsia" w:ascii="MS Mincho" w:hAnsi="MS Mincho" w:eastAsia="MS Mincho" w:cs="MS Mincho"/>
                <w:sz w:val="18"/>
              </w:rPr>
              <w:t>∗</w:t>
            </w:r>
            <w:r>
              <w:rPr>
                <w:rFonts w:hint="eastAsia"/>
                <w:sz w:val="18"/>
              </w:rPr>
              <w:t>和正常形态精子百分率＜</w:t>
            </w:r>
            <w:r>
              <w:rPr>
                <w:sz w:val="18"/>
              </w:rPr>
              <w:t>39×10</w:t>
            </w:r>
            <w:r>
              <w:rPr>
                <w:sz w:val="18"/>
                <w:vertAlign w:val="superscript"/>
              </w:rPr>
              <w:t>6</w:t>
            </w:r>
            <w:r>
              <w:rPr>
                <w:rFonts w:hint="eastAsia"/>
                <w:sz w:val="18"/>
              </w:rPr>
              <w:t>（</w:t>
            </w:r>
            <w:r>
              <w:rPr>
                <w:sz w:val="18"/>
              </w:rPr>
              <w:t>15</w:t>
            </w:r>
            <w:r>
              <w:rPr>
                <w:rFonts w:hint="eastAsia"/>
                <w:sz w:val="18"/>
              </w:rPr>
              <w:t>或16</w:t>
            </w:r>
            <w:r>
              <w:rPr>
                <w:sz w:val="18"/>
              </w:rPr>
              <w:t>×106/ml</w:t>
            </w:r>
            <w:r>
              <w:rPr>
                <w:rFonts w:hint="eastAsia"/>
                <w:sz w:val="18"/>
              </w:rPr>
              <w:t>）和</w:t>
            </w:r>
            <w:r>
              <w:rPr>
                <w:sz w:val="18"/>
              </w:rPr>
              <w:t>4</w:t>
            </w:r>
            <w:r>
              <w:rPr>
                <w:sz w:val="18"/>
                <w:vertAlign w:val="superscript"/>
              </w:rPr>
              <w:t xml:space="preserve"> </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少弱畸精子症</w:t>
            </w:r>
          </w:p>
        </w:tc>
        <w:tc>
          <w:tcPr>
            <w:tcW w:w="7076" w:type="dxa"/>
            <w:shd w:val="clear" w:color="auto" w:fill="auto"/>
            <w:vAlign w:val="center"/>
          </w:tcPr>
          <w:p>
            <w:pPr>
              <w:spacing w:line="240" w:lineRule="auto"/>
              <w:rPr>
                <w:sz w:val="18"/>
              </w:rPr>
            </w:pPr>
            <w:r>
              <w:rPr>
                <w:rFonts w:hint="eastAsia"/>
                <w:sz w:val="18"/>
              </w:rPr>
              <w:t>精子总数（或浓度取决于报告结果）</w:t>
            </w:r>
            <w:r>
              <w:rPr>
                <w:rFonts w:hint="eastAsia" w:ascii="MS Mincho" w:hAnsi="MS Mincho" w:eastAsia="MS Mincho" w:cs="MS Mincho"/>
                <w:sz w:val="18"/>
              </w:rPr>
              <w:t>∗</w:t>
            </w:r>
            <w:r>
              <w:rPr>
                <w:rFonts w:hint="eastAsia"/>
                <w:sz w:val="18"/>
              </w:rPr>
              <w:t>、</w:t>
            </w:r>
            <w:r>
              <w:rPr>
                <w:sz w:val="18"/>
              </w:rPr>
              <w:t xml:space="preserve">PR </w:t>
            </w:r>
            <w:r>
              <w:rPr>
                <w:rFonts w:hint="eastAsia"/>
                <w:sz w:val="18"/>
              </w:rPr>
              <w:t>精子百分率和正常形态</w:t>
            </w:r>
            <w:r>
              <w:rPr>
                <w:sz w:val="18"/>
              </w:rPr>
              <w:t xml:space="preserve"> </w:t>
            </w:r>
            <w:r>
              <w:rPr>
                <w:rFonts w:hint="eastAsia"/>
                <w:sz w:val="18"/>
              </w:rPr>
              <w:t>精子百分率分别＜</w:t>
            </w:r>
            <w:r>
              <w:rPr>
                <w:sz w:val="18"/>
              </w:rPr>
              <w:t>39×10</w:t>
            </w:r>
            <w:r>
              <w:rPr>
                <w:sz w:val="18"/>
                <w:vertAlign w:val="superscript"/>
              </w:rPr>
              <w:t>6</w:t>
            </w:r>
            <w:r>
              <w:rPr>
                <w:rFonts w:hint="eastAsia"/>
                <w:sz w:val="18"/>
              </w:rPr>
              <w:t>（</w:t>
            </w:r>
            <w:r>
              <w:rPr>
                <w:sz w:val="18"/>
              </w:rPr>
              <w:t>15</w:t>
            </w:r>
            <w:r>
              <w:rPr>
                <w:rFonts w:hint="eastAsia"/>
                <w:sz w:val="18"/>
              </w:rPr>
              <w:t>或16</w:t>
            </w:r>
            <w:r>
              <w:rPr>
                <w:sz w:val="18"/>
              </w:rPr>
              <w:t>×10</w:t>
            </w:r>
            <w:r>
              <w:rPr>
                <w:sz w:val="18"/>
                <w:vertAlign w:val="superscript"/>
              </w:rPr>
              <w:t>6</w:t>
            </w:r>
            <w:r>
              <w:rPr>
                <w:sz w:val="18"/>
              </w:rPr>
              <w:t>/ml</w:t>
            </w:r>
            <w:r>
              <w:rPr>
                <w:rFonts w:hint="eastAsia"/>
                <w:sz w:val="18"/>
              </w:rPr>
              <w:t>）、</w:t>
            </w:r>
            <w:r>
              <w:rPr>
                <w:sz w:val="18"/>
              </w:rPr>
              <w:t>32</w:t>
            </w:r>
            <w:r>
              <w:rPr>
                <w:sz w:val="18"/>
                <w:vertAlign w:val="superscript"/>
              </w:rPr>
              <w:t xml:space="preserve"> </w:t>
            </w:r>
            <w:r>
              <w:rPr>
                <w:sz w:val="18"/>
              </w:rPr>
              <w:t>%</w:t>
            </w:r>
            <w:r>
              <w:rPr>
                <w:rFonts w:hint="eastAsia"/>
                <w:sz w:val="18"/>
              </w:rPr>
              <w:t>或30</w:t>
            </w:r>
            <w:r>
              <w:rPr>
                <w:sz w:val="18"/>
                <w:vertAlign w:val="subscript"/>
              </w:rPr>
              <w:t xml:space="preserve"> </w:t>
            </w:r>
            <w:r>
              <w:rPr>
                <w:rFonts w:hint="eastAsia"/>
                <w:sz w:val="18"/>
              </w:rPr>
              <w:t>%和</w:t>
            </w:r>
            <w:r>
              <w:rPr>
                <w:sz w:val="18"/>
              </w:rPr>
              <w:t>4</w:t>
            </w:r>
            <w:r>
              <w:rPr>
                <w:sz w:val="18"/>
                <w:vertAlign w:val="superscript"/>
              </w:rPr>
              <w:t xml:space="preserve"> </w:t>
            </w:r>
            <w:r>
              <w:rPr>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无精液症</w:t>
            </w:r>
          </w:p>
        </w:tc>
        <w:tc>
          <w:tcPr>
            <w:tcW w:w="7076" w:type="dxa"/>
            <w:shd w:val="clear" w:color="auto" w:fill="auto"/>
            <w:vAlign w:val="center"/>
          </w:tcPr>
          <w:p>
            <w:pPr>
              <w:spacing w:line="240" w:lineRule="auto"/>
              <w:ind w:firstLine="180" w:firstLineChars="100"/>
              <w:jc w:val="center"/>
              <w:rPr>
                <w:sz w:val="18"/>
              </w:rPr>
            </w:pPr>
            <w:r>
              <w:rPr>
                <w:rFonts w:hint="eastAsia"/>
                <w:sz w:val="18"/>
              </w:rPr>
              <w:t>无精液（有性高潮，但没有精液射出或逆行射精）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无精子症</w:t>
            </w:r>
          </w:p>
        </w:tc>
        <w:tc>
          <w:tcPr>
            <w:tcW w:w="7076" w:type="dxa"/>
            <w:shd w:val="clear" w:color="auto" w:fill="auto"/>
            <w:vAlign w:val="center"/>
          </w:tcPr>
          <w:p>
            <w:pPr>
              <w:spacing w:line="240" w:lineRule="auto"/>
              <w:ind w:firstLine="180" w:firstLineChars="100"/>
              <w:jc w:val="center"/>
              <w:rPr>
                <w:sz w:val="18"/>
              </w:rPr>
            </w:pPr>
            <w:r>
              <w:rPr>
                <w:rFonts w:hint="eastAsia"/>
                <w:sz w:val="18"/>
              </w:rPr>
              <w:t>离心后精液中无精子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隐匿精子症</w:t>
            </w:r>
          </w:p>
        </w:tc>
        <w:tc>
          <w:tcPr>
            <w:tcW w:w="7076" w:type="dxa"/>
            <w:shd w:val="clear" w:color="auto" w:fill="auto"/>
            <w:vAlign w:val="center"/>
          </w:tcPr>
          <w:p>
            <w:pPr>
              <w:spacing w:line="240" w:lineRule="auto"/>
              <w:ind w:firstLine="180" w:firstLineChars="100"/>
              <w:jc w:val="center"/>
              <w:rPr>
                <w:sz w:val="18"/>
              </w:rPr>
            </w:pPr>
            <w:r>
              <w:rPr>
                <w:rFonts w:hint="eastAsia"/>
                <w:sz w:val="18"/>
              </w:rPr>
              <w:t>新鲜精液制备的玻片中没有精子，但在离心沉淀中观察到精子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血精症</w:t>
            </w:r>
          </w:p>
        </w:tc>
        <w:tc>
          <w:tcPr>
            <w:tcW w:w="7076" w:type="dxa"/>
            <w:shd w:val="clear" w:color="auto" w:fill="auto"/>
            <w:vAlign w:val="center"/>
          </w:tcPr>
          <w:p>
            <w:pPr>
              <w:spacing w:line="240" w:lineRule="auto"/>
              <w:ind w:firstLine="180" w:firstLineChars="100"/>
              <w:jc w:val="center"/>
              <w:rPr>
                <w:sz w:val="18"/>
              </w:rPr>
            </w:pPr>
            <w:r>
              <w:rPr>
                <w:rFonts w:hint="eastAsia"/>
                <w:sz w:val="18"/>
              </w:rPr>
              <w:t>精液中有红细胞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白细胞精液症（脓性精液症）</w:t>
            </w:r>
          </w:p>
        </w:tc>
        <w:tc>
          <w:tcPr>
            <w:tcW w:w="7076" w:type="dxa"/>
            <w:shd w:val="clear" w:color="auto" w:fill="auto"/>
            <w:vAlign w:val="center"/>
          </w:tcPr>
          <w:p>
            <w:pPr>
              <w:spacing w:line="240" w:lineRule="auto"/>
              <w:ind w:firstLine="180" w:firstLineChars="100"/>
              <w:jc w:val="center"/>
              <w:rPr>
                <w:sz w:val="18"/>
              </w:rPr>
            </w:pPr>
            <w:r>
              <w:rPr>
                <w:rFonts w:hint="eastAsia"/>
                <w:sz w:val="18"/>
              </w:rPr>
              <w:t>精液中的白细胞数＞1.0×10</w:t>
            </w:r>
            <w:r>
              <w:rPr>
                <w:rFonts w:hint="eastAsia"/>
                <w:sz w:val="18"/>
                <w:vertAlign w:val="superscript"/>
              </w:rPr>
              <w:t>6</w:t>
            </w:r>
            <w:r>
              <w:rPr>
                <w:rFonts w:hint="eastAsia"/>
                <w:sz w:val="18"/>
              </w:rPr>
              <w:t>/m</w:t>
            </w:r>
            <w:r>
              <w:rPr>
                <w:sz w:val="18"/>
              </w:rPr>
              <w:t>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jc w:val="center"/>
        </w:trPr>
        <w:tc>
          <w:tcPr>
            <w:tcW w:w="2258" w:type="dxa"/>
            <w:shd w:val="clear" w:color="auto" w:fill="auto"/>
            <w:vAlign w:val="center"/>
          </w:tcPr>
          <w:p>
            <w:pPr>
              <w:spacing w:line="240" w:lineRule="auto"/>
              <w:jc w:val="center"/>
              <w:rPr>
                <w:sz w:val="18"/>
              </w:rPr>
            </w:pPr>
            <w:r>
              <w:rPr>
                <w:rFonts w:hint="eastAsia"/>
                <w:sz w:val="18"/>
              </w:rPr>
              <w:t>死精子症</w:t>
            </w:r>
          </w:p>
        </w:tc>
        <w:tc>
          <w:tcPr>
            <w:tcW w:w="7076" w:type="dxa"/>
            <w:shd w:val="clear" w:color="auto" w:fill="auto"/>
            <w:vAlign w:val="center"/>
          </w:tcPr>
          <w:p>
            <w:pPr>
              <w:spacing w:line="240" w:lineRule="auto"/>
              <w:ind w:firstLine="180" w:firstLineChars="100"/>
              <w:jc w:val="center"/>
              <w:rPr>
                <w:sz w:val="18"/>
              </w:rPr>
            </w:pPr>
            <w:r>
              <w:rPr>
                <w:rFonts w:hint="eastAsia"/>
                <w:sz w:val="18"/>
              </w:rPr>
              <w:t>精液中精子存活率＜58</w:t>
            </w:r>
            <w:r>
              <w:rPr>
                <w:sz w:val="18"/>
                <w:vertAlign w:val="superscript"/>
              </w:rPr>
              <w:t xml:space="preserve"> </w:t>
            </w:r>
            <w:r>
              <w:rPr>
                <w:rFonts w:hint="eastAsia"/>
                <w:sz w:val="18"/>
              </w:rPr>
              <w:t>%（或54</w:t>
            </w:r>
            <w:r>
              <w:rPr>
                <w:sz w:val="18"/>
                <w:vertAlign w:val="superscript"/>
              </w:rPr>
              <w:t xml:space="preserve"> </w:t>
            </w:r>
            <w:r>
              <w:rPr>
                <w:rFonts w:hint="eastAsia"/>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8" w:space="0"/>
              <w:bottom w:val="single" w:color="auto" w:sz="8" w:space="0"/>
            </w:tcBorders>
            <w:shd w:val="clear" w:color="auto" w:fill="auto"/>
            <w:vAlign w:val="center"/>
          </w:tcPr>
          <w:p>
            <w:pPr>
              <w:pStyle w:val="182"/>
            </w:pPr>
            <w:r>
              <w:rPr>
                <w:rFonts w:hint="eastAsia"/>
              </w:rPr>
              <w:t>PR．前向运动；* 优先考虑精子总数，因为精子总数优于精子浓度</w:t>
            </w:r>
          </w:p>
        </w:tc>
      </w:tr>
    </w:tbl>
    <w:p>
      <w:pPr>
        <w:pStyle w:val="59"/>
        <w:ind w:firstLine="0" w:firstLineChars="0"/>
      </w:pPr>
      <w:bookmarkStart w:id="65" w:name="_Hlk169625341"/>
    </w:p>
    <w:p>
      <w:pPr>
        <w:pStyle w:val="80"/>
        <w:spacing w:before="240" w:beforeLines="100" w:after="120"/>
      </w:pPr>
      <w:r>
        <w:rPr>
          <w:rFonts w:hint="eastAsia"/>
        </w:rPr>
        <w:t>生殖内分泌分析表</w:t>
      </w:r>
    </w:p>
    <w:bookmarkEnd w:id="65"/>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5"/>
        <w:gridCol w:w="46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5"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激素</w:t>
            </w:r>
          </w:p>
        </w:tc>
        <w:tc>
          <w:tcPr>
            <w:tcW w:w="4669" w:type="dxa"/>
            <w:tcBorders>
              <w:top w:val="single" w:color="auto" w:sz="8" w:space="0"/>
              <w:bottom w:val="single" w:color="auto" w:sz="8" w:space="0"/>
            </w:tcBorders>
            <w:shd w:val="clear" w:color="auto" w:fill="auto"/>
            <w:vAlign w:val="center"/>
          </w:tcPr>
          <w:p>
            <w:pPr>
              <w:spacing w:line="240" w:lineRule="auto"/>
              <w:jc w:val="center"/>
              <w:rPr>
                <w:sz w:val="18"/>
              </w:rPr>
            </w:pPr>
            <w:r>
              <w:rPr>
                <w:rFonts w:hint="eastAsia"/>
                <w:sz w:val="18"/>
              </w:rPr>
              <w:t>参考值下限（范围）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5" w:type="dxa"/>
            <w:tcBorders>
              <w:top w:val="single" w:color="auto" w:sz="12"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促卵泡成熟激素F</w:t>
            </w:r>
            <w:r>
              <w:rPr>
                <w:rFonts w:ascii="宋体" w:hAnsi="宋体"/>
                <w:sz w:val="18"/>
              </w:rPr>
              <w:t>SH/</w:t>
            </w:r>
            <w:r>
              <w:rPr>
                <w:rFonts w:hint="eastAsia" w:ascii="宋体" w:hAnsi="宋体"/>
                <w:sz w:val="18"/>
              </w:rPr>
              <w:t>（IU</w:t>
            </w:r>
            <w:r>
              <w:rPr>
                <w:rFonts w:ascii="宋体" w:hAnsi="宋体"/>
                <w:sz w:val="18"/>
              </w:rPr>
              <w:t>/L</w:t>
            </w:r>
            <w:r>
              <w:rPr>
                <w:rFonts w:hint="eastAsia" w:ascii="宋体" w:hAnsi="宋体"/>
                <w:sz w:val="18"/>
              </w:rPr>
              <w:t>）</w:t>
            </w:r>
          </w:p>
        </w:tc>
        <w:tc>
          <w:tcPr>
            <w:tcW w:w="4669" w:type="dxa"/>
            <w:tcBorders>
              <w:top w:val="single" w:color="auto" w:sz="12" w:space="0"/>
            </w:tcBorders>
            <w:shd w:val="clear" w:color="auto" w:fill="auto"/>
            <w:vAlign w:val="center"/>
          </w:tcPr>
          <w:p>
            <w:pPr>
              <w:spacing w:line="240" w:lineRule="auto"/>
              <w:ind w:firstLine="180" w:firstLineChars="100"/>
              <w:jc w:val="center"/>
              <w:rPr>
                <w:rFonts w:ascii="宋体" w:hAnsi="宋体"/>
                <w:sz w:val="18"/>
              </w:rPr>
            </w:pPr>
            <w:r>
              <w:rPr>
                <w:rFonts w:ascii="宋体" w:hAnsi="宋体"/>
                <w:sz w:val="18"/>
              </w:rPr>
              <w:t>1.50</w:t>
            </w:r>
            <w:r>
              <w:rPr>
                <w:rFonts w:hint="eastAsia" w:ascii="宋体" w:hAnsi="宋体"/>
                <w:sz w:val="18"/>
              </w:rPr>
              <w:t>～</w:t>
            </w:r>
            <w:r>
              <w:rPr>
                <w:rFonts w:ascii="宋体" w:hAnsi="宋体"/>
                <w:sz w:val="18"/>
              </w:rPr>
              <w:t>12.40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5"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黄体生成激素L</w:t>
            </w:r>
            <w:r>
              <w:rPr>
                <w:rFonts w:ascii="宋体" w:hAnsi="宋体"/>
                <w:sz w:val="18"/>
              </w:rPr>
              <w:t>H/</w:t>
            </w:r>
            <w:r>
              <w:rPr>
                <w:rFonts w:hint="eastAsia" w:ascii="宋体" w:hAnsi="宋体"/>
                <w:sz w:val="18"/>
              </w:rPr>
              <w:t>（IU</w:t>
            </w:r>
            <w:r>
              <w:rPr>
                <w:rFonts w:ascii="宋体" w:hAnsi="宋体"/>
                <w:sz w:val="18"/>
              </w:rPr>
              <w:t>/L</w:t>
            </w:r>
            <w:r>
              <w:rPr>
                <w:rFonts w:hint="eastAsia" w:ascii="宋体" w:hAnsi="宋体"/>
                <w:sz w:val="18"/>
              </w:rPr>
              <w:t>）</w:t>
            </w:r>
          </w:p>
        </w:tc>
        <w:tc>
          <w:tcPr>
            <w:tcW w:w="4669" w:type="dxa"/>
            <w:shd w:val="clear" w:color="auto" w:fill="auto"/>
            <w:vAlign w:val="center"/>
          </w:tcPr>
          <w:p>
            <w:pPr>
              <w:spacing w:line="240" w:lineRule="auto"/>
              <w:ind w:firstLine="180" w:firstLineChars="100"/>
              <w:jc w:val="center"/>
              <w:rPr>
                <w:rFonts w:ascii="宋体" w:hAnsi="宋体"/>
                <w:sz w:val="18"/>
              </w:rPr>
            </w:pPr>
            <w:r>
              <w:rPr>
                <w:rFonts w:ascii="宋体" w:hAnsi="宋体"/>
                <w:sz w:val="18"/>
              </w:rPr>
              <w:t>1.70</w:t>
            </w:r>
            <w:r>
              <w:rPr>
                <w:rFonts w:hint="eastAsia" w:ascii="宋体" w:hAnsi="宋体"/>
                <w:sz w:val="18"/>
              </w:rPr>
              <w:t>～</w:t>
            </w:r>
            <w:r>
              <w:rPr>
                <w:rFonts w:ascii="宋体" w:hAnsi="宋体"/>
                <w:sz w:val="18"/>
              </w:rPr>
              <w:t>8.60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5"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催乳素PRL</w:t>
            </w:r>
            <w:r>
              <w:rPr>
                <w:rFonts w:ascii="宋体" w:hAnsi="宋体"/>
                <w:sz w:val="18"/>
              </w:rPr>
              <w:t>/</w:t>
            </w:r>
            <w:r>
              <w:rPr>
                <w:rFonts w:hint="eastAsia" w:ascii="宋体" w:hAnsi="宋体"/>
                <w:sz w:val="18"/>
              </w:rPr>
              <w:t>（ng/mL）</w:t>
            </w:r>
          </w:p>
        </w:tc>
        <w:tc>
          <w:tcPr>
            <w:tcW w:w="4669" w:type="dxa"/>
            <w:shd w:val="clear" w:color="auto" w:fill="auto"/>
            <w:vAlign w:val="center"/>
          </w:tcPr>
          <w:p>
            <w:pPr>
              <w:spacing w:line="240" w:lineRule="auto"/>
              <w:ind w:firstLine="180" w:firstLineChars="100"/>
              <w:jc w:val="center"/>
              <w:rPr>
                <w:rFonts w:ascii="宋体" w:hAnsi="宋体"/>
                <w:sz w:val="18"/>
              </w:rPr>
            </w:pPr>
            <w:r>
              <w:rPr>
                <w:rFonts w:ascii="宋体" w:hAnsi="宋体"/>
                <w:sz w:val="18"/>
              </w:rPr>
              <w:t>4.04</w:t>
            </w:r>
            <w:r>
              <w:rPr>
                <w:rFonts w:hint="eastAsia" w:ascii="宋体" w:hAnsi="宋体"/>
                <w:sz w:val="18"/>
              </w:rPr>
              <w:t>～</w:t>
            </w:r>
            <w:r>
              <w:rPr>
                <w:rFonts w:ascii="宋体" w:hAnsi="宋体"/>
                <w:sz w:val="18"/>
              </w:rPr>
              <w:t>15.20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5"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雌二醇E</w:t>
            </w:r>
            <w:r>
              <w:rPr>
                <w:rFonts w:ascii="宋体" w:hAnsi="宋体"/>
                <w:sz w:val="18"/>
                <w:vertAlign w:val="subscript"/>
              </w:rPr>
              <w:t>2</w:t>
            </w:r>
            <w:r>
              <w:rPr>
                <w:rFonts w:ascii="宋体" w:hAnsi="宋体"/>
                <w:sz w:val="18"/>
              </w:rPr>
              <w:t>/</w:t>
            </w:r>
            <w:r>
              <w:rPr>
                <w:rFonts w:hint="eastAsia" w:ascii="宋体" w:hAnsi="宋体"/>
                <w:sz w:val="18"/>
              </w:rPr>
              <w:t>（pg/mL）</w:t>
            </w:r>
          </w:p>
        </w:tc>
        <w:tc>
          <w:tcPr>
            <w:tcW w:w="4669" w:type="dxa"/>
            <w:shd w:val="clear" w:color="auto" w:fill="auto"/>
            <w:vAlign w:val="center"/>
          </w:tcPr>
          <w:p>
            <w:pPr>
              <w:spacing w:line="240" w:lineRule="auto"/>
              <w:ind w:firstLine="180" w:firstLineChars="100"/>
              <w:jc w:val="center"/>
              <w:rPr>
                <w:rFonts w:ascii="宋体" w:hAnsi="宋体"/>
                <w:sz w:val="18"/>
              </w:rPr>
            </w:pPr>
            <w:r>
              <w:rPr>
                <w:rFonts w:ascii="宋体" w:hAnsi="宋体"/>
                <w:sz w:val="18"/>
              </w:rPr>
              <w:t>11.30</w:t>
            </w:r>
            <w:r>
              <w:rPr>
                <w:rFonts w:hint="eastAsia" w:ascii="宋体" w:hAnsi="宋体"/>
                <w:sz w:val="18"/>
              </w:rPr>
              <w:t>～</w:t>
            </w:r>
            <w:r>
              <w:rPr>
                <w:rFonts w:ascii="宋体" w:hAnsi="宋体"/>
                <w:sz w:val="18"/>
              </w:rPr>
              <w:t>43.20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5"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睾酮T</w:t>
            </w:r>
            <w:r>
              <w:rPr>
                <w:rFonts w:ascii="宋体" w:hAnsi="宋体"/>
                <w:sz w:val="18"/>
              </w:rPr>
              <w:t>/</w:t>
            </w:r>
            <w:r>
              <w:rPr>
                <w:rFonts w:hint="eastAsia" w:ascii="宋体" w:hAnsi="宋体"/>
                <w:sz w:val="18"/>
              </w:rPr>
              <w:t>（ng/dL）</w:t>
            </w:r>
          </w:p>
        </w:tc>
        <w:tc>
          <w:tcPr>
            <w:tcW w:w="4669" w:type="dxa"/>
            <w:shd w:val="clear" w:color="auto" w:fill="auto"/>
            <w:vAlign w:val="center"/>
          </w:tcPr>
          <w:p>
            <w:pPr>
              <w:spacing w:line="240" w:lineRule="auto"/>
              <w:ind w:firstLine="180" w:firstLineChars="100"/>
              <w:jc w:val="center"/>
              <w:rPr>
                <w:rFonts w:ascii="宋体" w:hAnsi="宋体"/>
                <w:sz w:val="18"/>
              </w:rPr>
            </w:pPr>
            <w:r>
              <w:rPr>
                <w:rFonts w:ascii="宋体" w:hAnsi="宋体"/>
                <w:sz w:val="18"/>
              </w:rPr>
              <w:t>249.00</w:t>
            </w:r>
            <w:r>
              <w:rPr>
                <w:rFonts w:hint="eastAsia" w:ascii="宋体" w:hAnsi="宋体"/>
                <w:sz w:val="18"/>
              </w:rPr>
              <w:t>～</w:t>
            </w:r>
            <w:r>
              <w:rPr>
                <w:rFonts w:ascii="宋体" w:hAnsi="宋体"/>
                <w:sz w:val="18"/>
              </w:rPr>
              <w:t>836.00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 w:hRule="atLeast"/>
          <w:jc w:val="center"/>
        </w:trPr>
        <w:tc>
          <w:tcPr>
            <w:tcW w:w="4665" w:type="dxa"/>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促甲状腺激素TSH</w:t>
            </w:r>
            <w:r>
              <w:rPr>
                <w:rFonts w:ascii="宋体" w:hAnsi="宋体"/>
                <w:sz w:val="18"/>
              </w:rPr>
              <w:t>/</w:t>
            </w:r>
            <w:r>
              <w:rPr>
                <w:rFonts w:hint="eastAsia" w:ascii="宋体" w:hAnsi="宋体"/>
                <w:sz w:val="18"/>
              </w:rPr>
              <w:t>（uIU/mL）</w:t>
            </w:r>
          </w:p>
        </w:tc>
        <w:tc>
          <w:tcPr>
            <w:tcW w:w="4669" w:type="dxa"/>
            <w:shd w:val="clear" w:color="auto" w:fill="auto"/>
            <w:vAlign w:val="center"/>
          </w:tcPr>
          <w:p>
            <w:pPr>
              <w:spacing w:line="240" w:lineRule="auto"/>
              <w:ind w:firstLine="180" w:firstLineChars="100"/>
              <w:jc w:val="center"/>
              <w:rPr>
                <w:rFonts w:ascii="宋体" w:hAnsi="宋体"/>
                <w:sz w:val="18"/>
              </w:rPr>
            </w:pPr>
            <w:r>
              <w:rPr>
                <w:rFonts w:ascii="宋体" w:hAnsi="宋体"/>
                <w:sz w:val="18"/>
              </w:rPr>
              <w:t>0.270</w:t>
            </w:r>
            <w:r>
              <w:rPr>
                <w:rFonts w:hint="eastAsia" w:ascii="宋体" w:hAnsi="宋体"/>
                <w:sz w:val="18"/>
              </w:rPr>
              <w:t>～</w:t>
            </w:r>
            <w:r>
              <w:rPr>
                <w:rFonts w:ascii="宋体" w:hAnsi="宋体"/>
                <w:sz w:val="18"/>
              </w:rPr>
              <w:t>4.200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 w:hRule="atLeast"/>
          <w:jc w:val="center"/>
        </w:trPr>
        <w:tc>
          <w:tcPr>
            <w:tcW w:w="4665"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抑制素B</w:t>
            </w:r>
            <w:r>
              <w:rPr>
                <w:rFonts w:ascii="宋体" w:hAnsi="宋体"/>
                <w:sz w:val="18"/>
              </w:rPr>
              <w:t>/</w:t>
            </w:r>
            <w:r>
              <w:rPr>
                <w:rFonts w:hint="eastAsia" w:ascii="宋体" w:hAnsi="宋体"/>
                <w:sz w:val="18"/>
              </w:rPr>
              <w:t>（</w:t>
            </w:r>
            <w:r>
              <w:rPr>
                <w:rFonts w:ascii="宋体" w:hAnsi="宋体"/>
                <w:sz w:val="18"/>
              </w:rPr>
              <w:t>pg/m</w:t>
            </w:r>
            <w:r>
              <w:rPr>
                <w:rFonts w:hint="eastAsia" w:ascii="宋体" w:hAnsi="宋体"/>
                <w:sz w:val="18"/>
              </w:rPr>
              <w:t>L）</w:t>
            </w:r>
          </w:p>
        </w:tc>
        <w:tc>
          <w:tcPr>
            <w:tcW w:w="4669" w:type="dxa"/>
            <w:tcBorders>
              <w:bottom w:val="single" w:color="auto" w:sz="8" w:space="0"/>
            </w:tcBorders>
            <w:shd w:val="clear" w:color="auto" w:fill="auto"/>
            <w:vAlign w:val="center"/>
          </w:tcPr>
          <w:p>
            <w:pPr>
              <w:spacing w:line="240" w:lineRule="auto"/>
              <w:ind w:firstLine="180" w:firstLineChars="100"/>
              <w:jc w:val="center"/>
              <w:rPr>
                <w:rFonts w:ascii="宋体" w:hAnsi="宋体"/>
                <w:sz w:val="18"/>
              </w:rPr>
            </w:pPr>
            <w:r>
              <w:rPr>
                <w:rFonts w:hint="eastAsia" w:ascii="宋体" w:hAnsi="宋体"/>
                <w:sz w:val="18"/>
              </w:rPr>
              <w:t>47.0</w:t>
            </w:r>
            <w:r>
              <w:rPr>
                <w:rFonts w:ascii="宋体" w:hAnsi="宋体"/>
                <w:sz w:val="18"/>
              </w:rPr>
              <w:t>0</w:t>
            </w:r>
            <w:r>
              <w:rPr>
                <w:rFonts w:hint="eastAsia" w:ascii="宋体" w:hAnsi="宋体"/>
                <w:sz w:val="18"/>
              </w:rPr>
              <w:t>～308</w:t>
            </w:r>
            <w:r>
              <w:rPr>
                <w:rFonts w:ascii="宋体" w:hAnsi="宋体"/>
                <w:sz w:val="18"/>
              </w:rPr>
              <w:t>.00</w:t>
            </w:r>
          </w:p>
        </w:tc>
      </w:tr>
    </w:tbl>
    <w:p>
      <w:r>
        <w:rPr>
          <w:rFonts w:hint="eastAsia"/>
        </w:rPr>
        <w:br w:type="page"/>
      </w:r>
    </w:p>
    <w:p>
      <w:pPr>
        <w:pStyle w:val="80"/>
        <w:spacing w:before="240" w:beforeLines="100" w:after="120"/>
      </w:pPr>
      <w:r>
        <w:rPr>
          <w:rFonts w:hint="eastAsia"/>
        </w:rPr>
        <w:t>Y染色体AZF基因微缺失检测位点</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3"/>
        <w:gridCol w:w="2333"/>
        <w:gridCol w:w="2334"/>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8" w:hRule="atLeast"/>
          <w:tblHeader/>
          <w:jc w:val="center"/>
        </w:trPr>
        <w:tc>
          <w:tcPr>
            <w:tcW w:w="2333" w:type="dxa"/>
            <w:vMerge w:val="restart"/>
            <w:tcBorders>
              <w:top w:val="single" w:color="auto" w:sz="8" w:space="0"/>
            </w:tcBorders>
            <w:shd w:val="clear" w:color="auto" w:fill="auto"/>
            <w:vAlign w:val="center"/>
          </w:tcPr>
          <w:p>
            <w:pPr>
              <w:pStyle w:val="181"/>
            </w:pPr>
            <w:r>
              <w:rPr>
                <w:rFonts w:hint="eastAsia"/>
              </w:rPr>
              <w:t>AZF基因微缺失</w:t>
            </w:r>
          </w:p>
        </w:tc>
        <w:tc>
          <w:tcPr>
            <w:tcW w:w="2333" w:type="dxa"/>
            <w:vMerge w:val="restart"/>
            <w:tcBorders>
              <w:top w:val="single" w:color="auto" w:sz="8" w:space="0"/>
            </w:tcBorders>
            <w:shd w:val="clear" w:color="auto" w:fill="auto"/>
            <w:vAlign w:val="center"/>
          </w:tcPr>
          <w:p>
            <w:pPr>
              <w:pStyle w:val="181"/>
            </w:pPr>
            <w:r>
              <w:rPr>
                <w:rFonts w:hint="eastAsia"/>
              </w:rPr>
              <w:t>常规检查位点</w:t>
            </w:r>
          </w:p>
        </w:tc>
        <w:tc>
          <w:tcPr>
            <w:tcW w:w="4668" w:type="dxa"/>
            <w:gridSpan w:val="2"/>
            <w:tcBorders>
              <w:top w:val="single" w:color="auto" w:sz="8" w:space="0"/>
              <w:bottom w:val="single" w:color="auto" w:sz="8" w:space="0"/>
            </w:tcBorders>
            <w:shd w:val="clear" w:color="auto" w:fill="auto"/>
            <w:vAlign w:val="center"/>
          </w:tcPr>
          <w:p>
            <w:pPr>
              <w:pStyle w:val="181"/>
            </w:pPr>
            <w:r>
              <w:rPr>
                <w:rFonts w:hint="eastAsia"/>
              </w:rPr>
              <w:t>需判断完全缺失可增加位点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181"/>
            </w:pPr>
          </w:p>
        </w:tc>
        <w:tc>
          <w:tcPr>
            <w:tcW w:w="2333" w:type="dxa"/>
            <w:vMerge w:val="continue"/>
            <w:shd w:val="clear" w:color="auto" w:fill="auto"/>
            <w:vAlign w:val="center"/>
          </w:tcPr>
          <w:p>
            <w:pPr>
              <w:pStyle w:val="181"/>
            </w:pPr>
          </w:p>
        </w:tc>
        <w:tc>
          <w:tcPr>
            <w:tcW w:w="2334" w:type="dxa"/>
            <w:tcBorders>
              <w:top w:val="single" w:color="auto" w:sz="8" w:space="0"/>
            </w:tcBorders>
            <w:shd w:val="clear" w:color="auto" w:fill="auto"/>
            <w:vAlign w:val="center"/>
          </w:tcPr>
          <w:p>
            <w:pPr>
              <w:pStyle w:val="181"/>
            </w:pPr>
            <w:r>
              <w:rPr>
                <w:rFonts w:hint="eastAsia"/>
              </w:rPr>
              <w:t>近端范围</w:t>
            </w:r>
          </w:p>
        </w:tc>
        <w:tc>
          <w:tcPr>
            <w:tcW w:w="2334" w:type="dxa"/>
            <w:tcBorders>
              <w:top w:val="single" w:color="auto" w:sz="8" w:space="0"/>
            </w:tcBorders>
            <w:shd w:val="clear" w:color="auto" w:fill="auto"/>
            <w:vAlign w:val="center"/>
          </w:tcPr>
          <w:p>
            <w:pPr>
              <w:pStyle w:val="181"/>
            </w:pPr>
            <w:r>
              <w:rPr>
                <w:rFonts w:hint="eastAsia"/>
              </w:rPr>
              <w:t>远端范围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shd w:val="clear" w:color="auto" w:fill="auto"/>
            <w:vAlign w:val="center"/>
          </w:tcPr>
          <w:p>
            <w:pPr>
              <w:pStyle w:val="181"/>
            </w:pPr>
            <w:r>
              <w:t>AZFa</w:t>
            </w:r>
          </w:p>
        </w:tc>
        <w:tc>
          <w:tcPr>
            <w:tcW w:w="2333" w:type="dxa"/>
            <w:shd w:val="clear" w:color="auto" w:fill="auto"/>
            <w:vAlign w:val="center"/>
          </w:tcPr>
          <w:p>
            <w:pPr>
              <w:pStyle w:val="181"/>
            </w:pPr>
            <w:r>
              <w:t>sY84</w:t>
            </w:r>
            <w:r>
              <w:rPr>
                <w:rFonts w:hint="eastAsia"/>
              </w:rPr>
              <w:t>a和</w:t>
            </w:r>
            <w:r>
              <w:t>sY86</w:t>
            </w:r>
          </w:p>
        </w:tc>
        <w:tc>
          <w:tcPr>
            <w:tcW w:w="2334" w:type="dxa"/>
            <w:shd w:val="clear" w:color="auto" w:fill="auto"/>
            <w:vAlign w:val="center"/>
          </w:tcPr>
          <w:p>
            <w:pPr>
              <w:pStyle w:val="181"/>
            </w:pPr>
            <w:r>
              <w:t>sY82</w:t>
            </w:r>
          </w:p>
          <w:p>
            <w:pPr>
              <w:pStyle w:val="181"/>
            </w:pPr>
            <w:r>
              <w:t>sY1065</w:t>
            </w:r>
            <w:r>
              <w:rPr>
                <w:rFonts w:hint="eastAsia"/>
              </w:rPr>
              <w:t>或</w:t>
            </w:r>
            <w:r>
              <w:t>sY1182</w:t>
            </w:r>
          </w:p>
        </w:tc>
        <w:tc>
          <w:tcPr>
            <w:tcW w:w="2334" w:type="dxa"/>
            <w:shd w:val="clear" w:color="auto" w:fill="auto"/>
            <w:vAlign w:val="center"/>
          </w:tcPr>
          <w:p>
            <w:pPr>
              <w:pStyle w:val="181"/>
            </w:pPr>
            <w:r>
              <w:t>sY1065</w:t>
            </w:r>
            <w:r>
              <w:rPr>
                <w:rFonts w:hint="eastAsia"/>
              </w:rPr>
              <w:t>或</w:t>
            </w:r>
            <w:r>
              <w:t>sY1182</w:t>
            </w:r>
          </w:p>
          <w:p>
            <w:pPr>
              <w:pStyle w:val="181"/>
            </w:pPr>
            <w:r>
              <w:t>sY88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shd w:val="clear" w:color="auto" w:fill="auto"/>
            <w:vAlign w:val="center"/>
          </w:tcPr>
          <w:p>
            <w:pPr>
              <w:pStyle w:val="181"/>
            </w:pPr>
            <w:r>
              <w:t>AZFb</w:t>
            </w:r>
          </w:p>
        </w:tc>
        <w:tc>
          <w:tcPr>
            <w:tcW w:w="2333" w:type="dxa"/>
            <w:shd w:val="clear" w:color="auto" w:fill="auto"/>
            <w:vAlign w:val="center"/>
          </w:tcPr>
          <w:p>
            <w:pPr>
              <w:pStyle w:val="181"/>
            </w:pPr>
            <w:r>
              <w:t>sY127</w:t>
            </w:r>
            <w:r>
              <w:rPr>
                <w:rFonts w:hint="eastAsia"/>
              </w:rPr>
              <w:t>和</w:t>
            </w:r>
            <w:r>
              <w:t>sY134</w:t>
            </w:r>
          </w:p>
        </w:tc>
        <w:tc>
          <w:tcPr>
            <w:tcW w:w="2334" w:type="dxa"/>
            <w:shd w:val="clear" w:color="auto" w:fill="auto"/>
            <w:vAlign w:val="center"/>
          </w:tcPr>
          <w:p>
            <w:pPr>
              <w:pStyle w:val="181"/>
            </w:pPr>
            <w:r>
              <w:t>sY105</w:t>
            </w:r>
          </w:p>
          <w:p>
            <w:pPr>
              <w:pStyle w:val="181"/>
            </w:pPr>
            <w:r>
              <w:t>sY121</w:t>
            </w:r>
            <w:r>
              <w:rPr>
                <w:rFonts w:hint="eastAsia"/>
              </w:rPr>
              <w:t>或</w:t>
            </w:r>
            <w:r>
              <w:t>sY1224</w:t>
            </w:r>
          </w:p>
        </w:tc>
        <w:tc>
          <w:tcPr>
            <w:tcW w:w="2334" w:type="dxa"/>
            <w:shd w:val="clear" w:color="auto" w:fill="auto"/>
            <w:vAlign w:val="center"/>
          </w:tcPr>
          <w:p>
            <w:pPr>
              <w:pStyle w:val="181"/>
              <w:rPr>
                <w:vertAlign w:val="superscript"/>
              </w:rPr>
            </w:pPr>
            <w:r>
              <w:t>sY143</w:t>
            </w:r>
            <w:r>
              <w:rPr>
                <w:rFonts w:hint="eastAsia"/>
              </w:rPr>
              <w:t>和</w:t>
            </w:r>
            <w:r>
              <w:t>sY1192</w:t>
            </w:r>
            <w:r>
              <w:rPr>
                <w:vertAlign w:val="superscript"/>
              </w:rPr>
              <w:t>b</w:t>
            </w:r>
          </w:p>
          <w:p>
            <w:pPr>
              <w:pStyle w:val="181"/>
            </w:pPr>
            <w:r>
              <w:t>sY153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shd w:val="clear" w:color="auto" w:fill="auto"/>
            <w:vAlign w:val="center"/>
          </w:tcPr>
          <w:p>
            <w:pPr>
              <w:pStyle w:val="181"/>
            </w:pPr>
            <w:r>
              <w:t>AZFc</w:t>
            </w:r>
          </w:p>
        </w:tc>
        <w:tc>
          <w:tcPr>
            <w:tcW w:w="2333" w:type="dxa"/>
            <w:shd w:val="clear" w:color="auto" w:fill="auto"/>
            <w:vAlign w:val="center"/>
          </w:tcPr>
          <w:p>
            <w:pPr>
              <w:pStyle w:val="181"/>
            </w:pPr>
            <w:r>
              <w:t>sY254</w:t>
            </w:r>
            <w:r>
              <w:rPr>
                <w:rFonts w:hint="eastAsia"/>
              </w:rPr>
              <w:t>和</w:t>
            </w:r>
            <w:r>
              <w:t>sY255</w:t>
            </w:r>
          </w:p>
        </w:tc>
        <w:tc>
          <w:tcPr>
            <w:tcW w:w="2334" w:type="dxa"/>
            <w:shd w:val="clear" w:color="auto" w:fill="auto"/>
            <w:vAlign w:val="center"/>
          </w:tcPr>
          <w:p>
            <w:pPr>
              <w:pStyle w:val="181"/>
            </w:pPr>
            <w:r>
              <w:t>sY1609</w:t>
            </w:r>
            <w:r>
              <w:rPr>
                <w:vertAlign w:val="superscript"/>
              </w:rPr>
              <w:t>C</w:t>
            </w:r>
          </w:p>
        </w:tc>
        <w:tc>
          <w:tcPr>
            <w:tcW w:w="2334" w:type="dxa"/>
            <w:shd w:val="clear" w:color="auto" w:fill="auto"/>
            <w:vAlign w:val="center"/>
          </w:tcPr>
          <w:p>
            <w:pPr>
              <w:pStyle w:val="181"/>
            </w:pPr>
            <w:r>
              <w:t>sY1609</w:t>
            </w:r>
            <w:r>
              <w:rPr>
                <w:vertAlign w:val="superscript"/>
              </w:rPr>
              <w:t>C</w:t>
            </w:r>
          </w:p>
        </w:tc>
      </w:tr>
    </w:tbl>
    <w:p>
      <w:pPr>
        <w:pStyle w:val="59"/>
        <w:ind w:firstLine="420"/>
      </w:pPr>
    </w:p>
    <w:p>
      <w:pPr>
        <w:pStyle w:val="80"/>
        <w:spacing w:before="240" w:beforeLines="100" w:after="120"/>
      </w:pPr>
      <w:r>
        <w:rPr>
          <w:rFonts w:hint="eastAsia"/>
        </w:rPr>
        <w:t>男性不育症推荐检测基因列表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67"/>
        <w:gridCol w:w="63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967" w:type="dxa"/>
            <w:tcBorders>
              <w:top w:val="single" w:color="auto" w:sz="8" w:space="0"/>
              <w:bottom w:val="single" w:color="auto" w:sz="8" w:space="0"/>
            </w:tcBorders>
            <w:shd w:val="clear" w:color="auto" w:fill="auto"/>
            <w:vAlign w:val="center"/>
          </w:tcPr>
          <w:p>
            <w:pPr>
              <w:pStyle w:val="181"/>
            </w:pPr>
            <w:r>
              <w:rPr>
                <w:rFonts w:hint="eastAsia"/>
              </w:rPr>
              <w:t>疾病</w:t>
            </w:r>
          </w:p>
        </w:tc>
        <w:tc>
          <w:tcPr>
            <w:tcW w:w="6367" w:type="dxa"/>
            <w:tcBorders>
              <w:top w:val="single" w:color="auto" w:sz="8" w:space="0"/>
              <w:bottom w:val="single" w:color="auto" w:sz="8" w:space="0"/>
            </w:tcBorders>
            <w:shd w:val="clear" w:color="auto" w:fill="auto"/>
            <w:vAlign w:val="center"/>
          </w:tcPr>
          <w:p>
            <w:pPr>
              <w:pStyle w:val="181"/>
            </w:pPr>
            <w:r>
              <w:rPr>
                <w:rFonts w:hint="eastAsia"/>
              </w:rPr>
              <w:t>基因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tcBorders>
              <w:top w:val="single" w:color="auto" w:sz="8" w:space="0"/>
            </w:tcBorders>
            <w:shd w:val="clear" w:color="auto" w:fill="auto"/>
            <w:vAlign w:val="center"/>
          </w:tcPr>
          <w:p>
            <w:pPr>
              <w:pStyle w:val="181"/>
            </w:pPr>
            <w:r>
              <w:rPr>
                <w:rFonts w:hint="eastAsia"/>
              </w:rPr>
              <w:t>非梗阻性无精子症</w:t>
            </w:r>
          </w:p>
        </w:tc>
        <w:tc>
          <w:tcPr>
            <w:tcW w:w="6367" w:type="dxa"/>
            <w:tcBorders>
              <w:top w:val="single" w:color="auto" w:sz="8" w:space="0"/>
            </w:tcBorders>
            <w:shd w:val="clear" w:color="auto" w:fill="auto"/>
            <w:vAlign w:val="center"/>
          </w:tcPr>
          <w:p>
            <w:pPr>
              <w:pStyle w:val="181"/>
              <w:jc w:val="left"/>
            </w:pPr>
            <w:r>
              <w:rPr>
                <w:rFonts w:hint="eastAsia"/>
              </w:rPr>
              <w:t>NANOS1、SOHLHI、SYCE1、SYCP2、SYCP3、TEX11、MEIOB、TEXI5、FANCM、TEXI4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先天性输精管缺如</w:t>
            </w:r>
          </w:p>
        </w:tc>
        <w:tc>
          <w:tcPr>
            <w:tcW w:w="6367" w:type="dxa"/>
            <w:shd w:val="clear" w:color="auto" w:fill="auto"/>
            <w:vAlign w:val="center"/>
          </w:tcPr>
          <w:p>
            <w:pPr>
              <w:pStyle w:val="181"/>
              <w:ind w:firstLine="180" w:firstLineChars="100"/>
            </w:pPr>
            <w:r>
              <w:rPr>
                <w:rFonts w:hint="eastAsia"/>
              </w:rPr>
              <w:t>CFTR、ADGRG2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常染色体显性多囊肾病</w:t>
            </w:r>
          </w:p>
        </w:tc>
        <w:tc>
          <w:tcPr>
            <w:tcW w:w="6367" w:type="dxa"/>
            <w:shd w:val="clear" w:color="auto" w:fill="auto"/>
            <w:vAlign w:val="center"/>
          </w:tcPr>
          <w:p>
            <w:pPr>
              <w:pStyle w:val="181"/>
              <w:ind w:firstLine="180" w:firstLineChars="100"/>
            </w:pPr>
            <w:r>
              <w:rPr>
                <w:rFonts w:hint="eastAsia"/>
              </w:rPr>
              <w:t>PKD1、PKD2、GANAB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畸形精子症</w:t>
            </w:r>
          </w:p>
        </w:tc>
        <w:tc>
          <w:tcPr>
            <w:tcW w:w="6367" w:type="dxa"/>
            <w:shd w:val="clear" w:color="auto" w:fill="auto"/>
            <w:vAlign w:val="center"/>
          </w:tcPr>
          <w:p>
            <w:pPr>
              <w:pStyle w:val="181"/>
              <w:ind w:firstLine="180" w:firstLineChars="100"/>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精子鞭毛多发形态异常</w:t>
            </w:r>
          </w:p>
        </w:tc>
        <w:tc>
          <w:tcPr>
            <w:tcW w:w="6367" w:type="dxa"/>
            <w:shd w:val="clear" w:color="auto" w:fill="auto"/>
            <w:vAlign w:val="center"/>
          </w:tcPr>
          <w:p>
            <w:pPr>
              <w:pStyle w:val="181"/>
            </w:pPr>
            <w:r>
              <w:rPr>
                <w:rFonts w:hint="eastAsia"/>
              </w:rPr>
              <w:t>ZMYND10、DNAH1、CCDC39、DNAH5、RSPH9、RSPH4A、RSPH3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原发性纤毛运动障碍</w:t>
            </w:r>
          </w:p>
        </w:tc>
        <w:tc>
          <w:tcPr>
            <w:tcW w:w="6367" w:type="dxa"/>
            <w:shd w:val="clear" w:color="auto" w:fill="auto"/>
            <w:vAlign w:val="center"/>
          </w:tcPr>
          <w:p>
            <w:pPr>
              <w:pStyle w:val="181"/>
              <w:jc w:val="left"/>
            </w:pPr>
            <w:r>
              <w:rPr>
                <w:rFonts w:hint="eastAsia"/>
              </w:rPr>
              <w:t>DNAAF5、DNAH1I、LRRC6、DNAI1、DNAJB13、DNAAF2、DNAL1、DNAAF4、DNAAFI、CCDC103、DNAI2、CCDC40、DNAAF3、C21orf59、RSPHI、PIHID3、DNAH9、CFAP300、GAS8、HYDIN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大头多尾精子症</w:t>
            </w:r>
          </w:p>
        </w:tc>
        <w:tc>
          <w:tcPr>
            <w:tcW w:w="6367" w:type="dxa"/>
            <w:shd w:val="clear" w:color="auto" w:fill="auto"/>
            <w:vAlign w:val="center"/>
          </w:tcPr>
          <w:p>
            <w:pPr>
              <w:pStyle w:val="181"/>
              <w:ind w:firstLine="180" w:firstLineChars="100"/>
            </w:pPr>
            <w:r>
              <w:t>AURKC</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圆头精子症</w:t>
            </w:r>
          </w:p>
        </w:tc>
        <w:tc>
          <w:tcPr>
            <w:tcW w:w="6367" w:type="dxa"/>
            <w:shd w:val="clear" w:color="auto" w:fill="auto"/>
            <w:vAlign w:val="center"/>
          </w:tcPr>
          <w:p>
            <w:pPr>
              <w:pStyle w:val="181"/>
              <w:ind w:firstLine="180" w:firstLineChars="100"/>
            </w:pPr>
            <w:r>
              <w:rPr>
                <w:rFonts w:hint="eastAsia"/>
              </w:rPr>
              <w:t>PICKI、DPY19L2、SPATA16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无头精子症</w:t>
            </w:r>
          </w:p>
        </w:tc>
        <w:tc>
          <w:tcPr>
            <w:tcW w:w="6367" w:type="dxa"/>
            <w:shd w:val="clear" w:color="auto" w:fill="auto"/>
            <w:vAlign w:val="center"/>
          </w:tcPr>
          <w:p>
            <w:pPr>
              <w:pStyle w:val="181"/>
              <w:ind w:firstLine="180" w:firstLineChars="100"/>
            </w:pPr>
            <w:r>
              <w:rPr>
                <w:rFonts w:hint="eastAsia"/>
              </w:rPr>
              <w:t>SUN5、PMFBP1、BRDT、TSGA10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46、XY性发育障碍</w:t>
            </w:r>
          </w:p>
        </w:tc>
        <w:tc>
          <w:tcPr>
            <w:tcW w:w="6367" w:type="dxa"/>
            <w:shd w:val="clear" w:color="auto" w:fill="auto"/>
            <w:vAlign w:val="center"/>
          </w:tcPr>
          <w:p>
            <w:pPr>
              <w:pStyle w:val="181"/>
              <w:ind w:firstLine="180" w:firstLineChars="100"/>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性腺发育不全</w:t>
            </w:r>
          </w:p>
        </w:tc>
        <w:tc>
          <w:tcPr>
            <w:tcW w:w="6367" w:type="dxa"/>
            <w:shd w:val="clear" w:color="auto" w:fill="auto"/>
            <w:vAlign w:val="center"/>
          </w:tcPr>
          <w:p>
            <w:pPr>
              <w:pStyle w:val="181"/>
              <w:ind w:firstLine="180" w:firstLineChars="100"/>
            </w:pPr>
            <w:r>
              <w:rPr>
                <w:rFonts w:hint="eastAsia"/>
              </w:rPr>
              <w:t>SRY、NR0B1、NR5A1、MAP3K1、DHH、SOX9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雄激素合成或功能紊乱</w:t>
            </w:r>
          </w:p>
        </w:tc>
        <w:tc>
          <w:tcPr>
            <w:tcW w:w="6367" w:type="dxa"/>
            <w:shd w:val="clear" w:color="auto" w:fill="auto"/>
            <w:vAlign w:val="center"/>
          </w:tcPr>
          <w:p>
            <w:pPr>
              <w:pStyle w:val="181"/>
              <w:jc w:val="left"/>
            </w:pPr>
            <w:r>
              <w:rPr>
                <w:rFonts w:hint="eastAsia"/>
              </w:rPr>
              <w:t>CYP114I、CYP11BI、CYP174I、CYP1941、CYP2142、HSD3B2、HSD17B3、SRD5A2、STAR、POR、AR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缪勒管永存综合征</w:t>
            </w:r>
          </w:p>
        </w:tc>
        <w:tc>
          <w:tcPr>
            <w:tcW w:w="6367" w:type="dxa"/>
            <w:shd w:val="clear" w:color="auto" w:fill="auto"/>
            <w:vAlign w:val="center"/>
          </w:tcPr>
          <w:p>
            <w:pPr>
              <w:pStyle w:val="181"/>
              <w:ind w:firstLine="180" w:firstLineChars="100"/>
            </w:pPr>
            <w:r>
              <w:rPr>
                <w:rFonts w:hint="eastAsia"/>
              </w:rPr>
              <w:t>AMH、AMHR2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46、XX性发育障碍</w:t>
            </w:r>
          </w:p>
        </w:tc>
        <w:tc>
          <w:tcPr>
            <w:tcW w:w="6367" w:type="dxa"/>
            <w:shd w:val="clear" w:color="auto" w:fill="auto"/>
            <w:vAlign w:val="center"/>
          </w:tcPr>
          <w:p>
            <w:pPr>
              <w:pStyle w:val="181"/>
              <w:ind w:firstLine="180" w:firstLineChars="100"/>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性腺发育不全</w:t>
            </w:r>
          </w:p>
        </w:tc>
        <w:tc>
          <w:tcPr>
            <w:tcW w:w="6367" w:type="dxa"/>
            <w:shd w:val="clear" w:color="auto" w:fill="auto"/>
            <w:vAlign w:val="center"/>
          </w:tcPr>
          <w:p>
            <w:pPr>
              <w:pStyle w:val="181"/>
              <w:ind w:firstLine="180" w:firstLineChars="100"/>
            </w:pPr>
            <w:r>
              <w:rPr>
                <w:rFonts w:hint="eastAsia"/>
              </w:rPr>
              <w:t>SRY、SOX9、SOX3、NR541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雄激素过多</w:t>
            </w:r>
          </w:p>
        </w:tc>
        <w:tc>
          <w:tcPr>
            <w:tcW w:w="6367" w:type="dxa"/>
            <w:shd w:val="clear" w:color="auto" w:fill="auto"/>
            <w:vAlign w:val="center"/>
          </w:tcPr>
          <w:p>
            <w:pPr>
              <w:pStyle w:val="181"/>
              <w:ind w:firstLine="180" w:firstLineChars="100"/>
            </w:pPr>
            <w:r>
              <w:rPr>
                <w:rFonts w:hint="eastAsia"/>
              </w:rPr>
              <w:t>CYP11B1、CYP1941、CYP2142、HSD3B2、POR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pPr>
              <w:pStyle w:val="181"/>
            </w:pPr>
            <w:r>
              <w:rPr>
                <w:rFonts w:hint="eastAsia"/>
              </w:rPr>
              <w:t>特发性低促性腺激素性性腺功能减退</w:t>
            </w:r>
          </w:p>
        </w:tc>
        <w:tc>
          <w:tcPr>
            <w:tcW w:w="6367" w:type="dxa"/>
            <w:shd w:val="clear" w:color="auto" w:fill="auto"/>
            <w:vAlign w:val="center"/>
          </w:tcPr>
          <w:p>
            <w:pPr>
              <w:pStyle w:val="181"/>
              <w:jc w:val="left"/>
            </w:pPr>
            <w:r>
              <w:rPr>
                <w:rFonts w:hint="eastAsia"/>
              </w:rPr>
              <w:t>ANOS1、FGFR1、PROKR2、PROK2、CHD7、FGF8、GNRHR、KISS1R、NSMF、TAC3、TACR3、GNRH1、KISS1、WDR11、HS6STI、SEMA3A、SPRY4、IL17RD、DUSP6、FGF17、FLRT3、FEZF1、LHB、FSHB、NDNF</w:t>
            </w:r>
          </w:p>
        </w:tc>
      </w:tr>
    </w:tbl>
    <w:p>
      <w:pPr>
        <w:pStyle w:val="80"/>
        <w:numPr>
          <w:ilvl w:val="0"/>
          <w:numId w:val="0"/>
        </w:numPr>
        <w:spacing w:before="120" w:after="120"/>
        <w:jc w:val="both"/>
      </w:pPr>
      <w:bookmarkStart w:id="66" w:name="_Hlk170457312"/>
    </w:p>
    <w:p>
      <w:pPr>
        <w:pStyle w:val="80"/>
        <w:spacing w:before="120" w:after="120"/>
      </w:pPr>
      <w:r>
        <w:rPr>
          <w:rFonts w:hint="eastAsia"/>
        </w:rPr>
        <w:t>少精子症的分级诊断</w:t>
      </w:r>
    </w:p>
    <w:bookmarkEnd w:id="66"/>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3"/>
        <w:gridCol w:w="46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83" w:type="dxa"/>
            <w:tcBorders>
              <w:top w:val="single" w:color="auto" w:sz="8" w:space="0"/>
              <w:bottom w:val="single" w:color="auto" w:sz="8" w:space="0"/>
            </w:tcBorders>
            <w:shd w:val="clear" w:color="auto" w:fill="auto"/>
            <w:vAlign w:val="center"/>
          </w:tcPr>
          <w:p>
            <w:pPr>
              <w:pStyle w:val="181"/>
            </w:pPr>
            <w:r>
              <w:rPr>
                <w:rFonts w:hint="eastAsia"/>
              </w:rPr>
              <w:t>少精子症程度</w:t>
            </w:r>
          </w:p>
        </w:tc>
        <w:tc>
          <w:tcPr>
            <w:tcW w:w="4691" w:type="dxa"/>
            <w:tcBorders>
              <w:top w:val="single" w:color="auto" w:sz="8" w:space="0"/>
              <w:bottom w:val="single" w:color="auto" w:sz="8" w:space="0"/>
            </w:tcBorders>
            <w:shd w:val="clear" w:color="auto" w:fill="auto"/>
            <w:vAlign w:val="center"/>
          </w:tcPr>
          <w:p>
            <w:pPr>
              <w:pStyle w:val="181"/>
            </w:pPr>
            <w:r>
              <w:rPr>
                <w:rFonts w:hint="eastAsia"/>
              </w:rPr>
              <w:t>分级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3" w:type="dxa"/>
            <w:tcBorders>
              <w:top w:val="single" w:color="auto" w:sz="8" w:space="0"/>
            </w:tcBorders>
            <w:shd w:val="clear" w:color="auto" w:fill="auto"/>
            <w:vAlign w:val="center"/>
          </w:tcPr>
          <w:p>
            <w:pPr>
              <w:pStyle w:val="181"/>
            </w:pPr>
            <w:r>
              <w:rPr>
                <w:rFonts w:hint="eastAsia"/>
              </w:rPr>
              <w:t>轻度</w:t>
            </w:r>
          </w:p>
        </w:tc>
        <w:tc>
          <w:tcPr>
            <w:tcW w:w="4691" w:type="dxa"/>
            <w:tcBorders>
              <w:top w:val="single" w:color="auto" w:sz="8" w:space="0"/>
            </w:tcBorders>
            <w:shd w:val="clear" w:color="auto" w:fill="auto"/>
            <w:vAlign w:val="center"/>
          </w:tcPr>
          <w:p>
            <w:pPr>
              <w:pStyle w:val="181"/>
            </w:pPr>
            <w:r>
              <w:rPr>
                <w:rFonts w:hint="eastAsia"/>
              </w:rPr>
              <w:t>10×10</w:t>
            </w:r>
            <w:r>
              <w:rPr>
                <w:rFonts w:hint="eastAsia"/>
                <w:vertAlign w:val="superscript"/>
              </w:rPr>
              <w:t>6</w:t>
            </w:r>
            <w:r>
              <w:rPr>
                <w:rFonts w:hint="eastAsia"/>
              </w:rPr>
              <w:t>/mL≤精子浓度＜15×10</w:t>
            </w:r>
            <w:r>
              <w:rPr>
                <w:rFonts w:hint="eastAsia"/>
                <w:vertAlign w:val="superscript"/>
              </w:rPr>
              <w:t>6</w:t>
            </w:r>
            <w:r>
              <w:rPr>
                <w:rFonts w:hint="eastAsia"/>
              </w:rPr>
              <w:t>/mL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3" w:type="dxa"/>
            <w:shd w:val="clear" w:color="auto" w:fill="auto"/>
            <w:vAlign w:val="center"/>
          </w:tcPr>
          <w:p>
            <w:pPr>
              <w:pStyle w:val="181"/>
            </w:pPr>
            <w:r>
              <w:rPr>
                <w:rFonts w:hint="eastAsia"/>
              </w:rPr>
              <w:t>中度</w:t>
            </w:r>
          </w:p>
        </w:tc>
        <w:tc>
          <w:tcPr>
            <w:tcW w:w="4691" w:type="dxa"/>
            <w:shd w:val="clear" w:color="auto" w:fill="auto"/>
            <w:vAlign w:val="center"/>
          </w:tcPr>
          <w:p>
            <w:pPr>
              <w:pStyle w:val="181"/>
            </w:pPr>
            <w:r>
              <w:rPr>
                <w:rFonts w:hint="eastAsia"/>
              </w:rPr>
              <w:t>5×10</w:t>
            </w:r>
            <w:r>
              <w:rPr>
                <w:rFonts w:hint="eastAsia"/>
                <w:vertAlign w:val="superscript"/>
              </w:rPr>
              <w:t>6</w:t>
            </w:r>
            <w:r>
              <w:rPr>
                <w:rFonts w:hint="eastAsia"/>
              </w:rPr>
              <w:t>/mL≤精子浓度＜10×10</w:t>
            </w:r>
            <w:r>
              <w:rPr>
                <w:rFonts w:hint="eastAsia"/>
                <w:vertAlign w:val="superscript"/>
              </w:rPr>
              <w:t>6</w:t>
            </w:r>
            <w:r>
              <w:rPr>
                <w:rFonts w:hint="eastAsia"/>
              </w:rPr>
              <w:t>/mL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3" w:type="dxa"/>
            <w:shd w:val="clear" w:color="auto" w:fill="auto"/>
            <w:vAlign w:val="center"/>
          </w:tcPr>
          <w:p>
            <w:pPr>
              <w:pStyle w:val="181"/>
            </w:pPr>
            <w:r>
              <w:rPr>
                <w:rFonts w:hint="eastAsia"/>
              </w:rPr>
              <w:t>重度</w:t>
            </w:r>
          </w:p>
        </w:tc>
        <w:tc>
          <w:tcPr>
            <w:tcW w:w="4691" w:type="dxa"/>
            <w:shd w:val="clear" w:color="auto" w:fill="auto"/>
            <w:vAlign w:val="center"/>
          </w:tcPr>
          <w:p>
            <w:pPr>
              <w:pStyle w:val="181"/>
            </w:pPr>
            <w:r>
              <w:rPr>
                <w:rFonts w:hint="eastAsia"/>
              </w:rPr>
              <w:t>1×10</w:t>
            </w:r>
            <w:r>
              <w:rPr>
                <w:rFonts w:hint="eastAsia"/>
                <w:vertAlign w:val="superscript"/>
              </w:rPr>
              <w:t>6</w:t>
            </w:r>
            <w:r>
              <w:rPr>
                <w:rFonts w:hint="eastAsia"/>
              </w:rPr>
              <w:t>/mL≤精子浓度＜5×10</w:t>
            </w:r>
            <w:r>
              <w:rPr>
                <w:rFonts w:hint="eastAsia"/>
                <w:vertAlign w:val="superscript"/>
              </w:rPr>
              <w:t>6</w:t>
            </w:r>
            <w:r>
              <w:rPr>
                <w:rFonts w:hint="eastAsia"/>
              </w:rPr>
              <w:t>/mL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3" w:type="dxa"/>
            <w:shd w:val="clear" w:color="auto" w:fill="auto"/>
            <w:vAlign w:val="center"/>
          </w:tcPr>
          <w:p>
            <w:pPr>
              <w:pStyle w:val="181"/>
            </w:pPr>
            <w:r>
              <w:rPr>
                <w:rFonts w:hint="eastAsia"/>
              </w:rPr>
              <w:t>极度</w:t>
            </w:r>
          </w:p>
        </w:tc>
        <w:tc>
          <w:tcPr>
            <w:tcW w:w="4691" w:type="dxa"/>
            <w:shd w:val="clear" w:color="auto" w:fill="auto"/>
            <w:vAlign w:val="center"/>
          </w:tcPr>
          <w:p>
            <w:pPr>
              <w:pStyle w:val="181"/>
            </w:pPr>
            <w:r>
              <w:rPr>
                <w:rFonts w:hint="eastAsia"/>
              </w:rPr>
              <w:t>0＜精子浓度＜1×10</w:t>
            </w:r>
            <w:r>
              <w:rPr>
                <w:rFonts w:hint="eastAsia"/>
                <w:vertAlign w:val="superscript"/>
              </w:rPr>
              <w:t>6</w:t>
            </w:r>
            <w:r>
              <w:rPr>
                <w:rFonts w:hint="eastAsia"/>
              </w:rPr>
              <w:t>/mL</w:t>
            </w:r>
          </w:p>
        </w:tc>
      </w:tr>
    </w:tbl>
    <w:p>
      <w:pPr>
        <w:pStyle w:val="59"/>
        <w:ind w:firstLine="420"/>
      </w:pPr>
    </w:p>
    <w:p>
      <w:pPr>
        <w:pStyle w:val="80"/>
        <w:spacing w:before="120" w:after="120"/>
      </w:pPr>
      <w:r>
        <w:rPr>
          <w:rFonts w:hint="eastAsia"/>
        </w:rPr>
        <w:t>弱精子症的分级诊断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2"/>
        <w:gridCol w:w="3127"/>
        <w:gridCol w:w="31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22" w:type="dxa"/>
            <w:tcBorders>
              <w:top w:val="single" w:color="auto" w:sz="8" w:space="0"/>
              <w:bottom w:val="single" w:color="auto" w:sz="8" w:space="0"/>
            </w:tcBorders>
            <w:shd w:val="clear" w:color="auto" w:fill="auto"/>
            <w:vAlign w:val="center"/>
          </w:tcPr>
          <w:p>
            <w:pPr>
              <w:pStyle w:val="181"/>
            </w:pPr>
            <w:r>
              <w:rPr>
                <w:rFonts w:hint="eastAsia"/>
              </w:rPr>
              <w:t>分级</w:t>
            </w:r>
          </w:p>
        </w:tc>
        <w:tc>
          <w:tcPr>
            <w:tcW w:w="3127" w:type="dxa"/>
            <w:tcBorders>
              <w:top w:val="single" w:color="auto" w:sz="8" w:space="0"/>
              <w:bottom w:val="single" w:color="auto" w:sz="8" w:space="0"/>
            </w:tcBorders>
            <w:shd w:val="clear" w:color="auto" w:fill="auto"/>
            <w:vAlign w:val="center"/>
          </w:tcPr>
          <w:p>
            <w:pPr>
              <w:pStyle w:val="181"/>
            </w:pPr>
            <w:r>
              <w:rPr>
                <w:rFonts w:hint="eastAsia"/>
              </w:rPr>
              <w:t>P</w:t>
            </w:r>
            <w:r>
              <w:t>R</w:t>
            </w:r>
            <w:r>
              <w:rPr>
                <w:rFonts w:hint="eastAsia"/>
              </w:rPr>
              <w:t>百分率</w:t>
            </w:r>
          </w:p>
        </w:tc>
        <w:tc>
          <w:tcPr>
            <w:tcW w:w="3125" w:type="dxa"/>
            <w:tcBorders>
              <w:top w:val="single" w:color="auto" w:sz="8" w:space="0"/>
              <w:bottom w:val="single" w:color="auto" w:sz="8" w:space="0"/>
            </w:tcBorders>
            <w:shd w:val="clear" w:color="auto" w:fill="auto"/>
            <w:vAlign w:val="center"/>
          </w:tcPr>
          <w:p>
            <w:pPr>
              <w:pStyle w:val="181"/>
            </w:pPr>
            <w:r>
              <w:rPr>
                <w:rFonts w:hint="eastAsia"/>
              </w:rPr>
              <w:t>T</w:t>
            </w:r>
            <w:r>
              <w:t>PMSC</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2" w:type="dxa"/>
            <w:tcBorders>
              <w:top w:val="single" w:color="auto" w:sz="8" w:space="0"/>
            </w:tcBorders>
            <w:shd w:val="clear" w:color="auto" w:fill="auto"/>
            <w:vAlign w:val="center"/>
          </w:tcPr>
          <w:p>
            <w:pPr>
              <w:pStyle w:val="181"/>
            </w:pPr>
            <w:r>
              <w:rPr>
                <w:rFonts w:hint="eastAsia"/>
              </w:rPr>
              <w:t>轻、中度弱精子症</w:t>
            </w:r>
          </w:p>
        </w:tc>
        <w:tc>
          <w:tcPr>
            <w:tcW w:w="3127" w:type="dxa"/>
            <w:tcBorders>
              <w:top w:val="single" w:color="auto" w:sz="8" w:space="0"/>
            </w:tcBorders>
            <w:shd w:val="clear" w:color="auto" w:fill="auto"/>
            <w:vAlign w:val="center"/>
          </w:tcPr>
          <w:p>
            <w:pPr>
              <w:pStyle w:val="181"/>
            </w:pPr>
            <w:r>
              <w:rPr>
                <w:rFonts w:hint="eastAsia"/>
              </w:rPr>
              <w:t>1</w:t>
            </w:r>
            <w:r>
              <w:t>0</w:t>
            </w:r>
            <w:r>
              <w:rPr>
                <w:vertAlign w:val="superscript"/>
              </w:rPr>
              <w:t xml:space="preserve"> </w:t>
            </w:r>
            <w:r>
              <w:t>%</w:t>
            </w:r>
            <w:r>
              <w:rPr>
                <w:rFonts w:hint="eastAsia" w:hAnsi="宋体"/>
              </w:rPr>
              <w:t>≤</w:t>
            </w:r>
            <w:r>
              <w:t>PR</w:t>
            </w:r>
            <w:r>
              <w:rPr>
                <w:rFonts w:hint="eastAsia"/>
              </w:rPr>
              <w:t>百分率＜3</w:t>
            </w:r>
            <w:r>
              <w:t>2</w:t>
            </w:r>
            <w:r>
              <w:rPr>
                <w:vertAlign w:val="superscript"/>
              </w:rPr>
              <w:t xml:space="preserve"> </w:t>
            </w:r>
            <w:r>
              <w:t>%</w:t>
            </w:r>
          </w:p>
        </w:tc>
        <w:tc>
          <w:tcPr>
            <w:tcW w:w="3125" w:type="dxa"/>
            <w:tcBorders>
              <w:top w:val="single" w:color="auto" w:sz="8" w:space="0"/>
            </w:tcBorders>
            <w:shd w:val="clear" w:color="auto" w:fill="auto"/>
            <w:vAlign w:val="center"/>
          </w:tcPr>
          <w:p>
            <w:pPr>
              <w:pStyle w:val="181"/>
            </w:pPr>
            <w:r>
              <w:rPr>
                <w:rFonts w:hint="eastAsia"/>
              </w:rPr>
              <w:t>5</w:t>
            </w:r>
            <w:r>
              <w:t>00</w:t>
            </w:r>
            <w:r>
              <w:rPr>
                <w:rFonts w:hint="eastAsia"/>
              </w:rPr>
              <w:t>万～2</w:t>
            </w:r>
            <w:r>
              <w:t>000</w:t>
            </w:r>
            <w:r>
              <w:rPr>
                <w:rFonts w:hint="eastAsia"/>
              </w:rPr>
              <w:t>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2" w:type="dxa"/>
            <w:shd w:val="clear" w:color="auto" w:fill="auto"/>
            <w:vAlign w:val="center"/>
          </w:tcPr>
          <w:p>
            <w:pPr>
              <w:pStyle w:val="181"/>
            </w:pPr>
            <w:r>
              <w:rPr>
                <w:rFonts w:hint="eastAsia"/>
              </w:rPr>
              <w:t>重度弱精子症</w:t>
            </w:r>
          </w:p>
        </w:tc>
        <w:tc>
          <w:tcPr>
            <w:tcW w:w="3127" w:type="dxa"/>
            <w:shd w:val="clear" w:color="auto" w:fill="auto"/>
            <w:vAlign w:val="center"/>
          </w:tcPr>
          <w:p>
            <w:pPr>
              <w:pStyle w:val="181"/>
            </w:pPr>
            <w:r>
              <w:rPr>
                <w:rFonts w:hint="eastAsia"/>
              </w:rPr>
              <w:t>＜1</w:t>
            </w:r>
            <w:r>
              <w:t>0</w:t>
            </w:r>
            <w:r>
              <w:rPr>
                <w:vertAlign w:val="superscript"/>
              </w:rPr>
              <w:t xml:space="preserve"> </w:t>
            </w:r>
            <w:r>
              <w:t>%</w:t>
            </w:r>
          </w:p>
        </w:tc>
        <w:tc>
          <w:tcPr>
            <w:tcW w:w="3125" w:type="dxa"/>
            <w:shd w:val="clear" w:color="auto" w:fill="auto"/>
            <w:vAlign w:val="center"/>
          </w:tcPr>
          <w:p>
            <w:pPr>
              <w:pStyle w:val="181"/>
            </w:pPr>
            <w:r>
              <w:rPr>
                <w:rFonts w:hint="eastAsia"/>
              </w:rPr>
              <w:t>1</w:t>
            </w:r>
            <w:r>
              <w:t>00</w:t>
            </w:r>
            <w:r>
              <w:rPr>
                <w:rFonts w:hint="eastAsia"/>
              </w:rPr>
              <w:t>万～5</w:t>
            </w:r>
            <w:r>
              <w:t>00</w:t>
            </w:r>
            <w:r>
              <w:rPr>
                <w:rFonts w:hint="eastAsia"/>
              </w:rPr>
              <w:t>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2" w:type="dxa"/>
            <w:tcBorders>
              <w:bottom w:val="single" w:color="auto" w:sz="8" w:space="0"/>
            </w:tcBorders>
            <w:shd w:val="clear" w:color="auto" w:fill="auto"/>
            <w:vAlign w:val="center"/>
          </w:tcPr>
          <w:p>
            <w:pPr>
              <w:pStyle w:val="181"/>
            </w:pPr>
            <w:r>
              <w:rPr>
                <w:rFonts w:hint="eastAsia"/>
              </w:rPr>
              <w:t>极重度弱精子症</w:t>
            </w:r>
          </w:p>
        </w:tc>
        <w:tc>
          <w:tcPr>
            <w:tcW w:w="3127" w:type="dxa"/>
            <w:tcBorders>
              <w:bottom w:val="single" w:color="auto" w:sz="8" w:space="0"/>
            </w:tcBorders>
            <w:shd w:val="clear" w:color="auto" w:fill="auto"/>
            <w:vAlign w:val="center"/>
          </w:tcPr>
          <w:p>
            <w:pPr>
              <w:pStyle w:val="181"/>
            </w:pPr>
            <w:r>
              <w:rPr>
                <w:rFonts w:hint="eastAsia"/>
              </w:rPr>
              <w:t>＜1</w:t>
            </w:r>
            <w:r>
              <w:rPr>
                <w:vertAlign w:val="superscript"/>
              </w:rPr>
              <w:t xml:space="preserve"> </w:t>
            </w:r>
            <w:r>
              <w:t>%</w:t>
            </w:r>
          </w:p>
        </w:tc>
        <w:tc>
          <w:tcPr>
            <w:tcW w:w="3125" w:type="dxa"/>
            <w:tcBorders>
              <w:bottom w:val="single" w:color="auto" w:sz="8" w:space="0"/>
            </w:tcBorders>
            <w:shd w:val="clear" w:color="auto" w:fill="auto"/>
            <w:vAlign w:val="center"/>
          </w:tcPr>
          <w:p>
            <w:pPr>
              <w:pStyle w:val="181"/>
            </w:pPr>
            <w:r>
              <w:rPr>
                <w:rFonts w:hint="eastAsia"/>
              </w:rPr>
              <w:t>不足1</w:t>
            </w:r>
            <w:r>
              <w:t>00</w:t>
            </w:r>
            <w:r>
              <w:rPr>
                <w:rFonts w:hint="eastAsia"/>
              </w:rPr>
              <w:t>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3"/>
            <w:tcBorders>
              <w:top w:val="single" w:color="auto" w:sz="8" w:space="0"/>
              <w:bottom w:val="single" w:color="auto" w:sz="8" w:space="0"/>
            </w:tcBorders>
            <w:shd w:val="clear" w:color="auto" w:fill="auto"/>
            <w:vAlign w:val="center"/>
          </w:tcPr>
          <w:p>
            <w:pPr>
              <w:pStyle w:val="182"/>
            </w:pPr>
            <w:r>
              <w:rPr>
                <w:rFonts w:hint="eastAsia"/>
              </w:rPr>
              <w:t>2次及以上规范的精液分析;PR示前向运动精子；TPMSC示前向运动精子总数。</w:t>
            </w:r>
          </w:p>
        </w:tc>
      </w:tr>
    </w:tbl>
    <w:p>
      <w:pPr>
        <w:rPr>
          <w:spacing w:val="105"/>
        </w:rPr>
      </w:pPr>
      <w:r>
        <w:rPr>
          <w:rFonts w:hint="eastAsia"/>
          <w:spacing w:val="105"/>
        </w:rPr>
        <w:br w:type="page"/>
      </w:r>
    </w:p>
    <w:p>
      <w:pPr>
        <w:pStyle w:val="201"/>
      </w:pPr>
    </w:p>
    <w:p>
      <w:pPr>
        <w:pStyle w:val="202"/>
      </w:pPr>
    </w:p>
    <w:p>
      <w:pPr>
        <w:pStyle w:val="79"/>
        <w:spacing w:after="120"/>
      </w:pPr>
    </w:p>
    <w:p>
      <w:pPr>
        <w:pStyle w:val="79"/>
        <w:spacing w:after="120"/>
      </w:pPr>
      <w:r>
        <w:rPr>
          <w:rFonts w:hint="eastAsia"/>
        </w:rPr>
        <w:t>（资料性）</w:t>
      </w:r>
    </w:p>
    <w:p>
      <w:pPr>
        <w:pStyle w:val="79"/>
        <w:spacing w:after="120"/>
      </w:pPr>
      <w:r>
        <w:rPr>
          <w:rFonts w:hint="eastAsia"/>
        </w:rPr>
        <w:t>BMI、腰围参考值</w:t>
      </w:r>
    </w:p>
    <w:p>
      <w:pPr>
        <w:pStyle w:val="59"/>
        <w:ind w:firstLine="420"/>
      </w:pPr>
      <w:r>
        <w:rPr>
          <w:rFonts w:hint="eastAsia"/>
        </w:rPr>
        <w:t>女性/男性成人B</w:t>
      </w:r>
      <w:r>
        <w:t>MI</w:t>
      </w:r>
      <w:r>
        <w:rPr>
          <w:rFonts w:hint="eastAsia"/>
        </w:rPr>
        <w:t>参考值表见B</w:t>
      </w:r>
      <w:r>
        <w:t>.1</w:t>
      </w:r>
      <w:r>
        <w:rPr>
          <w:rFonts w:hint="eastAsia"/>
        </w:rPr>
        <w:t>，腰围参考值见表B</w:t>
      </w:r>
      <w:r>
        <w:t>.2</w:t>
      </w:r>
      <w:r>
        <w:rPr>
          <w:rFonts w:hint="eastAsia"/>
        </w:rPr>
        <w:t>。</w:t>
      </w:r>
    </w:p>
    <w:p>
      <w:pPr>
        <w:pStyle w:val="80"/>
        <w:spacing w:before="120" w:after="120"/>
      </w:pPr>
      <w:r>
        <w:rPr>
          <w:rFonts w:hint="eastAsia"/>
        </w:rPr>
        <w:t>女性/男性成人B</w:t>
      </w:r>
      <w:r>
        <w:t>MI</w:t>
      </w:r>
      <w:r>
        <w:rPr>
          <w:rFonts w:hint="eastAsia"/>
        </w:rPr>
        <w:t>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4667" w:type="dxa"/>
            <w:tcBorders>
              <w:top w:val="single" w:color="auto" w:sz="8" w:space="0"/>
              <w:bottom w:val="single" w:color="auto" w:sz="8" w:space="0"/>
            </w:tcBorders>
            <w:shd w:val="clear" w:color="auto" w:fill="auto"/>
            <w:vAlign w:val="center"/>
          </w:tcPr>
          <w:p>
            <w:pPr>
              <w:pStyle w:val="181"/>
            </w:pPr>
            <w:bookmarkStart w:id="67" w:name="_Hlk170285716"/>
            <w:r>
              <w:t>BMI/(kg/m</w:t>
            </w:r>
            <w:r>
              <w:rPr>
                <w:rFonts w:hint="eastAsia"/>
              </w:rPr>
              <w:t>²</w:t>
            </w:r>
            <w:r>
              <w:t>)</w:t>
            </w:r>
          </w:p>
        </w:tc>
        <w:tc>
          <w:tcPr>
            <w:tcW w:w="4667" w:type="dxa"/>
            <w:tcBorders>
              <w:top w:val="single" w:color="auto" w:sz="8" w:space="0"/>
              <w:bottom w:val="single" w:color="auto" w:sz="8" w:space="0"/>
            </w:tcBorders>
            <w:shd w:val="clear" w:color="auto" w:fill="auto"/>
            <w:vAlign w:val="center"/>
          </w:tcPr>
          <w:p>
            <w:pPr>
              <w:pStyle w:val="181"/>
            </w:pPr>
            <w:r>
              <w:rPr>
                <w:rFonts w:hint="eastAsia"/>
              </w:rPr>
              <w:t>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bookmarkStart w:id="68" w:name="_Hlk170289526"/>
            <w:r>
              <w:rPr>
                <w:rFonts w:hint="eastAsia" w:hAnsi="宋体"/>
              </w:rPr>
              <w:t>＜</w:t>
            </w:r>
            <w:r>
              <w:t>18.5</w:t>
            </w:r>
          </w:p>
        </w:tc>
        <w:tc>
          <w:tcPr>
            <w:tcW w:w="4667" w:type="dxa"/>
            <w:vAlign w:val="center"/>
          </w:tcPr>
          <w:p>
            <w:pPr>
              <w:pStyle w:val="181"/>
            </w:pPr>
            <w:r>
              <w:rPr>
                <w:rFonts w:hint="eastAsia"/>
              </w:rPr>
              <w:t>偏瘦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r>
              <w:t>18.5</w:t>
            </w:r>
            <w:bookmarkStart w:id="69" w:name="_Hlk170459250"/>
            <w:r>
              <w:rPr>
                <w:rFonts w:hint="eastAsia"/>
              </w:rPr>
              <w:t>～</w:t>
            </w:r>
            <w:bookmarkEnd w:id="69"/>
            <w:r>
              <w:t>23.9</w:t>
            </w:r>
          </w:p>
        </w:tc>
        <w:tc>
          <w:tcPr>
            <w:tcW w:w="4667" w:type="dxa"/>
            <w:vAlign w:val="center"/>
          </w:tcPr>
          <w:p>
            <w:pPr>
              <w:pStyle w:val="181"/>
            </w:pPr>
            <w:r>
              <w:rPr>
                <w:rFonts w:hint="eastAsia"/>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r>
              <w:t>24</w:t>
            </w:r>
            <w:r>
              <w:rPr>
                <w:rFonts w:hint="eastAsia"/>
              </w:rPr>
              <w:t>～</w:t>
            </w:r>
            <w:r>
              <w:t>27.9</w:t>
            </w:r>
          </w:p>
        </w:tc>
        <w:tc>
          <w:tcPr>
            <w:tcW w:w="4667" w:type="dxa"/>
            <w:vAlign w:val="center"/>
          </w:tcPr>
          <w:p>
            <w:pPr>
              <w:pStyle w:val="181"/>
            </w:pPr>
            <w:r>
              <w:rPr>
                <w:rFonts w:hint="eastAsia"/>
              </w:rPr>
              <w:t>超重和肥胖前期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r>
              <w:t>28</w:t>
            </w:r>
            <w:r>
              <w:rPr>
                <w:rFonts w:hint="eastAsia"/>
              </w:rPr>
              <w:t>～</w:t>
            </w:r>
            <w:r>
              <w:t>29.9</w:t>
            </w:r>
          </w:p>
        </w:tc>
        <w:tc>
          <w:tcPr>
            <w:tcW w:w="4667" w:type="dxa"/>
            <w:vAlign w:val="center"/>
          </w:tcPr>
          <w:p>
            <w:pPr>
              <w:pStyle w:val="181"/>
            </w:pPr>
            <w:r>
              <w:rPr>
                <w:rFonts w:hint="eastAsia"/>
              </w:rPr>
              <w:t>肥胖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vAlign w:val="center"/>
          </w:tcPr>
          <w:p>
            <w:pPr>
              <w:pStyle w:val="181"/>
            </w:pPr>
            <w:r>
              <w:t>30</w:t>
            </w:r>
            <w:r>
              <w:rPr>
                <w:rFonts w:hint="eastAsia" w:hAnsi="宋体"/>
              </w:rPr>
              <w:t>～</w:t>
            </w:r>
            <w:r>
              <w:t>39.9</w:t>
            </w:r>
          </w:p>
        </w:tc>
        <w:tc>
          <w:tcPr>
            <w:tcW w:w="4667" w:type="dxa"/>
            <w:vAlign w:val="center"/>
          </w:tcPr>
          <w:p>
            <w:pPr>
              <w:pStyle w:val="181"/>
            </w:pPr>
            <w:r>
              <w:rPr>
                <w:rFonts w:hint="eastAsia"/>
              </w:rPr>
              <w:t>重度肥胖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4667" w:type="dxa"/>
            <w:vAlign w:val="center"/>
          </w:tcPr>
          <w:p>
            <w:pPr>
              <w:pStyle w:val="181"/>
            </w:pPr>
            <w:r>
              <w:rPr>
                <w:rFonts w:hint="eastAsia"/>
              </w:rPr>
              <w:t>≥</w:t>
            </w:r>
            <w:r>
              <w:t>40</w:t>
            </w:r>
          </w:p>
        </w:tc>
        <w:tc>
          <w:tcPr>
            <w:tcW w:w="4667" w:type="dxa"/>
            <w:vAlign w:val="center"/>
          </w:tcPr>
          <w:p>
            <w:pPr>
              <w:pStyle w:val="181"/>
            </w:pPr>
            <w:r>
              <w:rPr>
                <w:rFonts w:hint="eastAsia"/>
              </w:rPr>
              <w:t>极重度</w:t>
            </w:r>
          </w:p>
        </w:tc>
      </w:tr>
      <w:bookmarkEnd w:id="67"/>
      <w:bookmarkEnd w:id="68"/>
    </w:tbl>
    <w:p>
      <w:pPr>
        <w:pStyle w:val="59"/>
        <w:ind w:firstLine="420"/>
        <w:rPr>
          <w:color w:val="FF0000"/>
        </w:rPr>
      </w:pPr>
    </w:p>
    <w:p>
      <w:pPr>
        <w:pStyle w:val="80"/>
        <w:spacing w:before="120" w:after="120"/>
      </w:pPr>
      <w:r>
        <w:rPr>
          <w:rFonts w:hint="eastAsia"/>
        </w:rPr>
        <w:t>腰围参考值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1"/>
            </w:pPr>
            <w:r>
              <w:rPr>
                <w:rFonts w:hint="eastAsia"/>
              </w:rPr>
              <w:t>分类</w:t>
            </w:r>
          </w:p>
        </w:tc>
        <w:tc>
          <w:tcPr>
            <w:tcW w:w="3112" w:type="dxa"/>
            <w:tcBorders>
              <w:top w:val="single" w:color="auto" w:sz="8" w:space="0"/>
              <w:bottom w:val="single" w:color="auto" w:sz="8" w:space="0"/>
            </w:tcBorders>
            <w:shd w:val="clear" w:color="auto" w:fill="auto"/>
          </w:tcPr>
          <w:p>
            <w:pPr>
              <w:pStyle w:val="181"/>
            </w:pPr>
            <w:r>
              <w:rPr>
                <w:rFonts w:hint="eastAsia"/>
              </w:rPr>
              <w:t>男性腰围</w:t>
            </w:r>
          </w:p>
        </w:tc>
        <w:tc>
          <w:tcPr>
            <w:tcW w:w="3112" w:type="dxa"/>
            <w:tcBorders>
              <w:top w:val="single" w:color="auto" w:sz="8" w:space="0"/>
              <w:bottom w:val="single" w:color="auto" w:sz="8" w:space="0"/>
            </w:tcBorders>
            <w:shd w:val="clear" w:color="auto" w:fill="auto"/>
          </w:tcPr>
          <w:p>
            <w:pPr>
              <w:pStyle w:val="181"/>
            </w:pPr>
            <w:r>
              <w:rPr>
                <w:rFonts w:hint="eastAsia"/>
              </w:rPr>
              <w:t>女性腰围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0" w:type="dxa"/>
          </w:tcPr>
          <w:p>
            <w:pPr>
              <w:pStyle w:val="181"/>
            </w:pPr>
            <w:bookmarkStart w:id="70" w:name="OLE_LINK6"/>
            <w:r>
              <w:rPr>
                <w:rFonts w:hint="eastAsia"/>
              </w:rPr>
              <w:t>中心型肥胖</w:t>
            </w:r>
            <w:bookmarkEnd w:id="70"/>
            <w:r>
              <w:rPr>
                <w:rFonts w:hint="eastAsia"/>
              </w:rPr>
              <w:t>前期</w:t>
            </w:r>
          </w:p>
        </w:tc>
        <w:tc>
          <w:tcPr>
            <w:tcW w:w="3112" w:type="dxa"/>
          </w:tcPr>
          <w:p>
            <w:pPr>
              <w:pStyle w:val="181"/>
            </w:pPr>
            <w:r>
              <w:t>80</w:t>
            </w:r>
            <w:r>
              <w:rPr>
                <w:rFonts w:hint="eastAsia"/>
              </w:rPr>
              <w:t>～＜</w:t>
            </w:r>
            <w:r>
              <w:t>90</w:t>
            </w:r>
          </w:p>
        </w:tc>
        <w:tc>
          <w:tcPr>
            <w:tcW w:w="3112" w:type="dxa"/>
          </w:tcPr>
          <w:p>
            <w:pPr>
              <w:pStyle w:val="181"/>
            </w:pPr>
            <w:r>
              <w:t>80</w:t>
            </w:r>
            <w:r>
              <w:rPr>
                <w:rFonts w:hint="eastAsia"/>
              </w:rPr>
              <w:t>～＜</w:t>
            </w:r>
            <w: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0" w:type="dxa"/>
          </w:tcPr>
          <w:p>
            <w:pPr>
              <w:pStyle w:val="181"/>
            </w:pPr>
            <w:r>
              <w:rPr>
                <w:rFonts w:hint="eastAsia"/>
              </w:rPr>
              <w:t>中心型肥胖</w:t>
            </w:r>
          </w:p>
        </w:tc>
        <w:tc>
          <w:tcPr>
            <w:tcW w:w="3112" w:type="dxa"/>
          </w:tcPr>
          <w:p>
            <w:pPr>
              <w:pStyle w:val="181"/>
            </w:pPr>
            <w:r>
              <w:rPr>
                <w:rFonts w:hint="eastAsia"/>
              </w:rPr>
              <w:t>≥</w:t>
            </w:r>
            <w:r>
              <w:t>90</w:t>
            </w:r>
          </w:p>
        </w:tc>
        <w:tc>
          <w:tcPr>
            <w:tcW w:w="3112" w:type="dxa"/>
          </w:tcPr>
          <w:p>
            <w:pPr>
              <w:pStyle w:val="181"/>
            </w:pPr>
            <w:r>
              <w:rPr>
                <w:rFonts w:hint="eastAsia"/>
              </w:rPr>
              <w:t>≥</w:t>
            </w:r>
            <w:r>
              <w:t>85</w:t>
            </w:r>
          </w:p>
        </w:tc>
      </w:tr>
    </w:tbl>
    <w:p>
      <w:pPr>
        <w:pStyle w:val="59"/>
        <w:ind w:firstLine="420"/>
      </w:pPr>
    </w:p>
    <w:bookmarkEnd w:id="64"/>
    <w:p>
      <w:pPr>
        <w:pStyle w:val="59"/>
        <w:ind w:firstLineChars="0"/>
        <w:sectPr>
          <w:headerReference r:id="rId13" w:type="default"/>
          <w:footerReference r:id="rId15" w:type="default"/>
          <w:headerReference r:id="rId14" w:type="even"/>
          <w:footerReference r:id="rId16" w:type="even"/>
          <w:pgSz w:w="11906" w:h="16838"/>
          <w:pgMar w:top="1928" w:right="1134" w:bottom="1134" w:left="1134" w:header="1418" w:footer="1134" w:gutter="284"/>
          <w:cols w:space="425" w:num="1"/>
          <w:formProt w:val="0"/>
          <w:docGrid w:linePitch="312" w:charSpace="0"/>
        </w:sectPr>
      </w:pPr>
      <w:bookmarkStart w:id="71" w:name="BookMark6"/>
    </w:p>
    <w:p>
      <w:pPr>
        <w:pStyle w:val="66"/>
        <w:spacing w:after="120"/>
      </w:pPr>
      <w:r>
        <w:rPr>
          <w:rFonts w:hint="eastAsia"/>
          <w:spacing w:val="105"/>
        </w:rPr>
        <w:t>参考文</w:t>
      </w:r>
      <w:r>
        <w:rPr>
          <w:rFonts w:hint="eastAsia"/>
        </w:rPr>
        <w:t>献</w:t>
      </w:r>
    </w:p>
    <w:p>
      <w:pPr>
        <w:pStyle w:val="59"/>
        <w:numPr>
          <w:ilvl w:val="0"/>
          <w:numId w:val="33"/>
        </w:numPr>
        <w:ind w:left="426" w:firstLine="0" w:firstLineChars="0"/>
      </w:pPr>
      <w:r>
        <w:rPr>
          <w:rFonts w:hint="eastAsia"/>
        </w:rPr>
        <w:t xml:space="preserve"> </w:t>
      </w:r>
      <w:r>
        <w:t xml:space="preserve"> </w:t>
      </w:r>
      <w:r>
        <w:rPr>
          <w:rFonts w:hint="eastAsia"/>
        </w:rPr>
        <w:t>杨一华,黄国宁,孙海翔等.不明原因不孕症诊断与治疗中国专家共识.生殖医学杂志,2019,28(09):984-992.</w:t>
      </w:r>
    </w:p>
    <w:p>
      <w:pPr>
        <w:pStyle w:val="59"/>
        <w:numPr>
          <w:ilvl w:val="0"/>
          <w:numId w:val="33"/>
        </w:numPr>
        <w:ind w:left="426" w:firstLine="0" w:firstLineChars="0"/>
      </w:pPr>
      <w:r>
        <w:rPr>
          <w:rFonts w:hint="eastAsia"/>
        </w:rPr>
        <w:t xml:space="preserve"> </w:t>
      </w:r>
      <w:r>
        <w:t xml:space="preserve"> </w:t>
      </w:r>
      <w:r>
        <w:rPr>
          <w:rFonts w:hint="eastAsia"/>
        </w:rPr>
        <w:t>郭薇,李蓉.女性生育力的评估.中国实用妇科与产科杂志,2022,38(06):585-588.</w:t>
      </w:r>
    </w:p>
    <w:p>
      <w:pPr>
        <w:pStyle w:val="59"/>
        <w:numPr>
          <w:ilvl w:val="0"/>
          <w:numId w:val="33"/>
        </w:numPr>
        <w:ind w:left="426" w:firstLine="0" w:firstLineChars="0"/>
      </w:pPr>
      <w:r>
        <w:rPr>
          <w:rFonts w:hint="eastAsia"/>
        </w:rPr>
        <w:t xml:space="preserve"> </w:t>
      </w:r>
      <w:r>
        <w:t xml:space="preserve"> </w:t>
      </w:r>
      <w:r>
        <w:rPr>
          <w:rFonts w:hint="eastAsia"/>
        </w:rPr>
        <w:t>男性生育力评估中国专家共识.中华男科学杂志,2022,28(09):848-858.</w:t>
      </w:r>
    </w:p>
    <w:p>
      <w:pPr>
        <w:pStyle w:val="59"/>
        <w:numPr>
          <w:ilvl w:val="0"/>
          <w:numId w:val="33"/>
        </w:numPr>
        <w:ind w:left="426" w:firstLine="0" w:firstLineChars="0"/>
      </w:pPr>
      <w:r>
        <w:t xml:space="preserve">  Rodrigues V O, Soligo A, Pannain G D. Antiphospholipid Antibody Syndrome and Infertility[J].RevBrasGinecolObstet,2019,41(10):621-7.</w:t>
      </w:r>
    </w:p>
    <w:p>
      <w:pPr>
        <w:pStyle w:val="59"/>
        <w:numPr>
          <w:ilvl w:val="0"/>
          <w:numId w:val="33"/>
        </w:numPr>
        <w:ind w:left="426" w:firstLine="0" w:firstLineChars="0"/>
      </w:pPr>
      <w:r>
        <w:t xml:space="preserve">  Shibahara H, Wakimoto Y, Fukui A, et al. Anti-sperm antibodies and reproductive failures[J].AmJReprod Immunol, 2021, 85(4): e13337.</w:t>
      </w:r>
    </w:p>
    <w:p>
      <w:pPr>
        <w:pStyle w:val="59"/>
        <w:numPr>
          <w:ilvl w:val="0"/>
          <w:numId w:val="33"/>
        </w:numPr>
        <w:ind w:left="426" w:firstLine="0" w:firstLineChars="0"/>
      </w:pPr>
      <w:r>
        <w:t xml:space="preserve">  Liu Y, Wu Y, Tian M,etal. Protein Expression Profile in IVF Follicular Fluid and Pregnancy Outcome Analysis in Euthyroid Women with Thyroid Autoimmunity [J]. ACS Omega, 2020, 5(20): 11439-47.</w:t>
      </w:r>
    </w:p>
    <w:p>
      <w:pPr>
        <w:pStyle w:val="59"/>
        <w:numPr>
          <w:ilvl w:val="0"/>
          <w:numId w:val="33"/>
        </w:numPr>
        <w:ind w:left="426" w:firstLine="0" w:firstLineChars="0"/>
      </w:pPr>
      <w:r>
        <w:t xml:space="preserve">  Fu J,Yao R,Luo Y,etal.Immune Infertility Should Be Positively Diagnosed Using an Accurate Method by Monitoring the Level of Anti-ACTL7a Antibody [J]. Sci Rep, 2016, 6: 22844.</w:t>
      </w:r>
    </w:p>
    <w:p>
      <w:pPr>
        <w:pStyle w:val="59"/>
        <w:numPr>
          <w:ilvl w:val="0"/>
          <w:numId w:val="33"/>
        </w:numPr>
        <w:ind w:left="426" w:firstLine="0" w:firstLineChars="0"/>
      </w:pPr>
      <w:r>
        <w:t xml:space="preserve">  Zeng M,Wen P,Duan J. Association of antinuclear antibody with clinical outcome of patients undergoing in vitro fertilization/intracytoplasmic sperm injection treatment:Ameta-analysis[J].AmJReprodImmunol,2019,82(3):e13158.</w:t>
      </w:r>
    </w:p>
    <w:p>
      <w:pPr>
        <w:pStyle w:val="59"/>
        <w:numPr>
          <w:ilvl w:val="0"/>
          <w:numId w:val="33"/>
        </w:numPr>
        <w:ind w:left="426" w:firstLine="0" w:firstLineChars="0"/>
      </w:pPr>
      <w:r>
        <w:t xml:space="preserve">  Edassery S L, Shatavi S V, Kunkel J P, et al. Autoantigens in ovarian autoimmunity associated with unexplained infertility and premature ovarian failure [J]. Fertil Steril, 2010, 94(7): 2636-41.</w:t>
      </w:r>
    </w:p>
    <w:p>
      <w:pPr>
        <w:pStyle w:val="59"/>
        <w:numPr>
          <w:ilvl w:val="0"/>
          <w:numId w:val="33"/>
        </w:numPr>
        <w:ind w:left="425" w:firstLine="0" w:firstLineChars="0"/>
      </w:pPr>
      <w:r>
        <w:t xml:space="preserve">  Zou Y,Chen X,Wu C,etal. Platelet Antibodies in Infertility Patients [J]. Clin Lab, 2021, 67(3).</w:t>
      </w:r>
    </w:p>
    <w:p>
      <w:pPr>
        <w:pStyle w:val="59"/>
        <w:numPr>
          <w:ilvl w:val="0"/>
          <w:numId w:val="33"/>
        </w:numPr>
        <w:ind w:left="425" w:firstLine="0" w:firstLineChars="0"/>
      </w:pPr>
      <w:r>
        <w:t xml:space="preserve">  Yonezawa M, Kuwabara Y, Ono S, et al. Significance of Anti-Phosphatidylethanolamine Antibodies in the Pathogenesis of Recurrent Pregnancy Loss [J]. Reprod Sci, 2020, 27(10): 1888-93.</w:t>
      </w:r>
    </w:p>
    <w:p>
      <w:pPr>
        <w:pStyle w:val="59"/>
        <w:numPr>
          <w:ilvl w:val="0"/>
          <w:numId w:val="33"/>
        </w:numPr>
        <w:ind w:left="425" w:firstLine="0" w:firstLineChars="0"/>
      </w:pPr>
      <w:r>
        <w:t xml:space="preserve">  Tan X, Ding J, Pu D, et al. Anti-phospholipid antibody may reduce endometrial receptivity during the window of embryo implantation [J]. J Gynecol Obstet Hum Reprod, 2021, 50(6): 101912.</w:t>
      </w:r>
    </w:p>
    <w:p>
      <w:pPr>
        <w:pStyle w:val="59"/>
        <w:numPr>
          <w:ilvl w:val="0"/>
          <w:numId w:val="33"/>
        </w:numPr>
        <w:ind w:left="425" w:firstLine="0" w:firstLineChars="0"/>
      </w:pPr>
      <w:r>
        <w:t xml:space="preserve">  Ono Y, Wada S, Ota H, et al. Anti-beta2-glycoprotein I/HLA-DR antibody in infertility [J]. J Reprod Immunol, 2023, 158: 103955.</w:t>
      </w:r>
      <w:bookmarkStart w:id="72" w:name="_Hlk159404444"/>
    </w:p>
    <w:p>
      <w:pPr>
        <w:pStyle w:val="59"/>
        <w:numPr>
          <w:ilvl w:val="0"/>
          <w:numId w:val="33"/>
        </w:numPr>
        <w:ind w:left="425" w:firstLine="0" w:firstLineChars="0"/>
      </w:pPr>
      <w:r>
        <w:t xml:space="preserve">  Loyau S, Bauters A, Trillot N, et al. Association between endometriosis, infertility and autoimmune antiplatelet glycoprotein VI antibodies in two patients [J]. Platelets, 2023, 34(1): 2226756.</w:t>
      </w:r>
    </w:p>
    <w:p>
      <w:pPr>
        <w:pStyle w:val="59"/>
        <w:numPr>
          <w:ilvl w:val="0"/>
          <w:numId w:val="33"/>
        </w:numPr>
        <w:ind w:left="425" w:firstLine="0" w:firstLineChars="0"/>
      </w:pPr>
      <w:r>
        <w:t xml:space="preserve">  Fertility evaluation of infertile women: a committee opinion [J].Fertility and Sterility. Volume 116, Issue 5, November 2021, Pages 1255-1265.</w:t>
      </w:r>
    </w:p>
    <w:p>
      <w:pPr>
        <w:pStyle w:val="59"/>
        <w:numPr>
          <w:ilvl w:val="0"/>
          <w:numId w:val="33"/>
        </w:numPr>
        <w:ind w:left="425" w:firstLine="0" w:firstLineChars="0"/>
      </w:pPr>
      <w:r>
        <w:t xml:space="preserve">  Sharma</w:t>
      </w:r>
      <w:r>
        <w:rPr>
          <w:rFonts w:hint="eastAsia"/>
        </w:rPr>
        <w:t>R</w:t>
      </w:r>
      <w:r>
        <w:t xml:space="preserve">，Harlev A，Agarwal A，et al． Cigarette smoking and semen quality: A new meta-analysis examining the effect of the 2010 world health organization laboratory methods for the examination of human semen． Eur Urol，2016，70( 4) : 635-645． </w:t>
      </w:r>
    </w:p>
    <w:p>
      <w:pPr>
        <w:pStyle w:val="59"/>
        <w:numPr>
          <w:ilvl w:val="0"/>
          <w:numId w:val="33"/>
        </w:numPr>
        <w:ind w:left="425" w:firstLine="0" w:firstLineChars="0"/>
      </w:pPr>
      <w:r>
        <w:t xml:space="preserve">  </w:t>
      </w:r>
      <w:r>
        <w:rPr>
          <w:rFonts w:hint="eastAsia"/>
        </w:rPr>
        <w:t>R</w:t>
      </w:r>
      <w:r>
        <w:t xml:space="preserve">icci E，Al Beitawi S，Cipriani S，et al． Semen quality and alcohol intake: A systematic review and meta-analysis． Ｒeprod Biomed Online，2017，34( 1) : 38-47． </w:t>
      </w:r>
    </w:p>
    <w:p>
      <w:pPr>
        <w:pStyle w:val="59"/>
        <w:numPr>
          <w:ilvl w:val="0"/>
          <w:numId w:val="33"/>
        </w:numPr>
        <w:ind w:left="425" w:firstLine="0" w:firstLineChars="0"/>
      </w:pPr>
      <w:r>
        <w:t xml:space="preserve">  Gundersen TD，Jørgensen N，Andersson AM，et al． Association between use of marijuana and male reproductive hormones and semen quality: A study among 1，215 healthy young men． Am J Epidemiol，2015，182(6):473-481．</w:t>
      </w:r>
    </w:p>
    <w:p>
      <w:pPr>
        <w:pStyle w:val="59"/>
        <w:numPr>
          <w:ilvl w:val="0"/>
          <w:numId w:val="33"/>
        </w:numPr>
        <w:ind w:left="425" w:firstLine="0" w:firstLineChars="0"/>
      </w:pPr>
      <w:r>
        <w:t xml:space="preserve">  Durairajanayagam D，Agarwal A，Ong C． Causes，effects and molecular mechanisms of testicular heat stress．Ｒeprod Biomed Online，2015，30(1):14-27．</w:t>
      </w:r>
    </w:p>
    <w:p>
      <w:pPr>
        <w:pStyle w:val="59"/>
        <w:numPr>
          <w:ilvl w:val="0"/>
          <w:numId w:val="33"/>
        </w:numPr>
        <w:ind w:left="425" w:firstLine="0" w:firstLineChars="0"/>
      </w:pPr>
      <w:r>
        <w:rPr>
          <w:rFonts w:hint="eastAsia"/>
        </w:rPr>
        <w:t xml:space="preserve"> </w:t>
      </w:r>
      <w:r>
        <w:t xml:space="preserve"> 熊承良，商学军，刘继红．人类精子学．北京: 人民卫生出版社，2013． </w:t>
      </w:r>
    </w:p>
    <w:p>
      <w:pPr>
        <w:pStyle w:val="59"/>
        <w:numPr>
          <w:ilvl w:val="0"/>
          <w:numId w:val="33"/>
        </w:numPr>
        <w:ind w:left="425" w:firstLine="0" w:firstLineChars="0"/>
      </w:pPr>
      <w:r>
        <w:t xml:space="preserve">  Ma Y，He X，Qi K，etal．Effects of environmental contaminants on fertility and reproductive health．J Environ Sci ( China ) ，2019，77:210-217.</w:t>
      </w:r>
    </w:p>
    <w:p>
      <w:pPr>
        <w:pStyle w:val="59"/>
        <w:numPr>
          <w:ilvl w:val="0"/>
          <w:numId w:val="33"/>
        </w:numPr>
        <w:ind w:left="425" w:firstLine="0" w:firstLineChars="0"/>
      </w:pPr>
      <w:r>
        <w:rPr>
          <w:rFonts w:hint="eastAsia"/>
        </w:rPr>
        <w:t xml:space="preserve"> </w:t>
      </w:r>
      <w:r>
        <w:t xml:space="preserve"> </w:t>
      </w:r>
      <w:r>
        <w:rPr>
          <w:rFonts w:hint="eastAsia"/>
        </w:rPr>
        <w:t>陆金春．生殖医学实验室诊断．南京:东南大学出版社．2020.</w:t>
      </w:r>
    </w:p>
    <w:p>
      <w:pPr>
        <w:pStyle w:val="59"/>
        <w:numPr>
          <w:ilvl w:val="0"/>
          <w:numId w:val="33"/>
        </w:numPr>
        <w:ind w:left="425" w:firstLine="0" w:firstLineChars="0"/>
      </w:pPr>
      <w:r>
        <w:rPr>
          <w:rFonts w:hint="eastAsia"/>
        </w:rPr>
        <w:t xml:space="preserve"> </w:t>
      </w:r>
      <w:r>
        <w:t xml:space="preserve"> </w:t>
      </w:r>
      <w:r>
        <w:rPr>
          <w:rFonts w:hint="eastAsia"/>
        </w:rPr>
        <w:t>邓春华.</w:t>
      </w:r>
      <w:r>
        <w:t>男科疾病诊断治疗指南（2022版）</w:t>
      </w:r>
      <w:r>
        <w:rPr>
          <w:rFonts w:hint="eastAsia"/>
        </w:rPr>
        <w:t>.</w:t>
      </w:r>
      <w:r>
        <w:t>2022</w:t>
      </w:r>
    </w:p>
    <w:p>
      <w:pPr>
        <w:pStyle w:val="59"/>
        <w:numPr>
          <w:ilvl w:val="0"/>
          <w:numId w:val="33"/>
        </w:numPr>
        <w:ind w:left="425" w:firstLine="0" w:firstLineChars="0"/>
      </w:pPr>
      <w:r>
        <w:rPr>
          <w:rFonts w:hint="eastAsia"/>
        </w:rPr>
        <w:t xml:space="preserve"> </w:t>
      </w:r>
      <w:r>
        <w:t xml:space="preserve"> </w:t>
      </w:r>
      <w:r>
        <w:rPr>
          <w:rFonts w:hint="eastAsia"/>
        </w:rPr>
        <w:t>世界卫生组织．人类精液检查与处理实验室手册．第5版</w:t>
      </w:r>
      <w:r>
        <w:t>.</w:t>
      </w:r>
      <w:r>
        <w:rPr>
          <w:rFonts w:hint="eastAsia"/>
        </w:rPr>
        <w:t>北京:人民卫生出版社，2011</w:t>
      </w:r>
      <w:r>
        <w:t>.</w:t>
      </w:r>
    </w:p>
    <w:p>
      <w:pPr>
        <w:pStyle w:val="59"/>
        <w:numPr>
          <w:ilvl w:val="0"/>
          <w:numId w:val="33"/>
        </w:numPr>
        <w:ind w:left="425" w:firstLine="0" w:firstLineChars="0"/>
      </w:pPr>
      <w:r>
        <w:rPr>
          <w:rFonts w:hint="eastAsia"/>
        </w:rPr>
        <w:t xml:space="preserve"> </w:t>
      </w:r>
      <w:r>
        <w:t xml:space="preserve"> 中华医学会男科学分会，男性不育诊疗指南编写组． 男性不育诊疗指南． 中华男科学杂志，2022，28(1):66-76.</w:t>
      </w:r>
    </w:p>
    <w:p>
      <w:pPr>
        <w:pStyle w:val="59"/>
        <w:numPr>
          <w:ilvl w:val="0"/>
          <w:numId w:val="33"/>
        </w:numPr>
        <w:ind w:left="425" w:firstLine="0" w:firstLineChars="0"/>
      </w:pPr>
      <w:r>
        <w:rPr>
          <w:rFonts w:hint="eastAsia"/>
        </w:rPr>
        <w:t xml:space="preserve"> </w:t>
      </w:r>
      <w:r>
        <w:t xml:space="preserve"> 中华医学会男科学分会，血精诊断和治疗指南编写组． 血精诊断和治疗指南．中华男科学杂志，2022，28(1):77-87．</w:t>
      </w:r>
    </w:p>
    <w:p>
      <w:pPr>
        <w:pStyle w:val="59"/>
        <w:numPr>
          <w:ilvl w:val="0"/>
          <w:numId w:val="33"/>
        </w:numPr>
        <w:ind w:left="425" w:firstLine="0" w:firstLineChars="0"/>
      </w:pPr>
      <w:r>
        <w:t xml:space="preserve">  </w:t>
      </w:r>
      <w:r>
        <w:rPr>
          <w:rFonts w:hint="eastAsia"/>
        </w:rPr>
        <w:t>R</w:t>
      </w:r>
      <w:r>
        <w:t xml:space="preserve">amanathan S，Dogra V． Current status of percutaneous testicular biopsy for focal lesions．Abdom </w:t>
      </w:r>
      <w:r>
        <w:rPr>
          <w:rFonts w:hint="eastAsia"/>
        </w:rPr>
        <w:t>R</w:t>
      </w:r>
      <w:r>
        <w:t>adiol(NY)，2018，43(11):3125-3131．</w:t>
      </w:r>
    </w:p>
    <w:p>
      <w:pPr>
        <w:pStyle w:val="59"/>
        <w:numPr>
          <w:ilvl w:val="0"/>
          <w:numId w:val="33"/>
        </w:numPr>
        <w:ind w:left="425" w:firstLine="0" w:firstLineChars="0"/>
      </w:pPr>
      <w:r>
        <w:t xml:space="preserve">  </w:t>
      </w:r>
      <w:r>
        <w:rPr>
          <w:rFonts w:hint="eastAsia"/>
        </w:rPr>
        <w:t>Dohle GR , Elzanaty S , van Casteren NJ. Testicular biopsy: cliniAsian J Androl, 2012 ，14( 1) :cal practice and interpretation. 88-93</w:t>
      </w:r>
      <w:r>
        <w:t>.</w:t>
      </w:r>
    </w:p>
    <w:p>
      <w:pPr>
        <w:pStyle w:val="59"/>
        <w:numPr>
          <w:ilvl w:val="0"/>
          <w:numId w:val="33"/>
        </w:numPr>
        <w:ind w:left="425" w:firstLine="0" w:firstLineChars="0"/>
      </w:pPr>
      <w:r>
        <w:t xml:space="preserve">  Broughton D E, Moley K H. Obesity and female infertility: potential mediators of obesity's impact[J].Fertility and Sterility, 2017, 107(4): 840-7.</w:t>
      </w:r>
    </w:p>
    <w:p>
      <w:pPr>
        <w:pStyle w:val="59"/>
        <w:numPr>
          <w:ilvl w:val="0"/>
          <w:numId w:val="33"/>
        </w:numPr>
        <w:ind w:left="425" w:firstLine="0" w:firstLineChars="0"/>
      </w:pPr>
      <w:r>
        <w:t xml:space="preserve">  Practice Committee of the American Society for Reproductive Medicine. Electronic Address A a O, Practice Committee of the American Society for Reproductive M. Fertility evaluation of infertile women: a committee opinion [J]. Fertil Steril, 2021, 116(5): 1255-65.</w:t>
      </w:r>
    </w:p>
    <w:p>
      <w:pPr>
        <w:pStyle w:val="59"/>
        <w:numPr>
          <w:ilvl w:val="0"/>
          <w:numId w:val="33"/>
        </w:numPr>
        <w:ind w:left="425" w:firstLine="0" w:firstLineChars="0"/>
      </w:pPr>
      <w:r>
        <w:rPr>
          <w:rFonts w:hint="eastAsia"/>
        </w:rPr>
        <w:t xml:space="preserve"> </w:t>
      </w:r>
      <w:r>
        <w:t xml:space="preserve"> </w:t>
      </w:r>
      <w:r>
        <w:rPr>
          <w:rFonts w:hint="eastAsia"/>
        </w:rPr>
        <w:t>苏先芝,史云.卵巢储备功能评估的研究进展 [J]. 国际生殖健康/计划生育杂志, 2017, 36(03): 260-4</w:t>
      </w:r>
    </w:p>
    <w:p>
      <w:pPr>
        <w:pStyle w:val="59"/>
        <w:numPr>
          <w:ilvl w:val="0"/>
          <w:numId w:val="33"/>
        </w:numPr>
        <w:ind w:left="425" w:firstLine="0" w:firstLineChars="0"/>
      </w:pPr>
      <w:r>
        <w:rPr>
          <w:rFonts w:hint="eastAsia"/>
        </w:rPr>
        <w:t xml:space="preserve"> </w:t>
      </w:r>
      <w:r>
        <w:t xml:space="preserve"> </w:t>
      </w:r>
      <w:r>
        <w:rPr>
          <w:rFonts w:hint="eastAsia"/>
        </w:rPr>
        <w:t>吴斯瑶,郑晓林,徐秋红等.经阴道三维超声联合抗苗勒管激素在卵巢储备功能评估中的应用价值[J].中华医学超声杂志(电子版),2019,16(02):131-137.</w:t>
      </w:r>
    </w:p>
    <w:p>
      <w:pPr>
        <w:pStyle w:val="59"/>
        <w:numPr>
          <w:ilvl w:val="0"/>
          <w:numId w:val="33"/>
        </w:numPr>
        <w:ind w:left="425" w:firstLine="0" w:firstLineChars="0"/>
      </w:pPr>
      <w:r>
        <w:rPr>
          <w:rFonts w:hint="eastAsia"/>
        </w:rPr>
        <w:t xml:space="preserve"> </w:t>
      </w:r>
      <w:r>
        <w:t xml:space="preserve"> </w:t>
      </w:r>
      <w:r>
        <w:rPr>
          <w:rFonts w:hint="eastAsia"/>
        </w:rPr>
        <w:t xml:space="preserve">胡兴文,熊潜涛,洪媛.女性不孕症患者白细胞计数、凝血功能及D-二聚体检测结果分析[J].中国实验诊断学,2021,25(05):735-736. </w:t>
      </w:r>
    </w:p>
    <w:p>
      <w:pPr>
        <w:pStyle w:val="59"/>
        <w:numPr>
          <w:ilvl w:val="0"/>
          <w:numId w:val="33"/>
        </w:numPr>
        <w:ind w:left="425" w:firstLine="0" w:firstLineChars="0"/>
      </w:pPr>
      <w:r>
        <w:rPr>
          <w:rFonts w:hint="eastAsia"/>
        </w:rPr>
        <w:t>杨菁,倪媛,孙伟.甲状腺功能及其相关疾病与女性生殖关系的研究进展[J].中国性科学,2016,25(04):141-144.</w:t>
      </w:r>
    </w:p>
    <w:p>
      <w:pPr>
        <w:pStyle w:val="59"/>
        <w:numPr>
          <w:ilvl w:val="0"/>
          <w:numId w:val="33"/>
        </w:numPr>
        <w:ind w:left="425" w:firstLine="0" w:firstLineChars="0"/>
      </w:pPr>
      <w:r>
        <w:rPr>
          <w:rFonts w:hint="eastAsia"/>
        </w:rPr>
        <w:t xml:space="preserve"> </w:t>
      </w:r>
      <w:r>
        <w:t xml:space="preserve"> </w:t>
      </w:r>
      <w:r>
        <w:rPr>
          <w:rFonts w:hint="eastAsia"/>
        </w:rPr>
        <w:t>樊梓怡，刘芬婷，李蓉.生殖道菌群对女性生育力的影响［J］中华生殖与避孕杂志202040（6）515-20</w:t>
      </w:r>
    </w:p>
    <w:p>
      <w:pPr>
        <w:pStyle w:val="59"/>
        <w:numPr>
          <w:ilvl w:val="0"/>
          <w:numId w:val="33"/>
        </w:numPr>
        <w:ind w:left="425" w:firstLine="0" w:firstLineChars="0"/>
      </w:pPr>
      <w:r>
        <w:rPr>
          <w:rFonts w:hint="eastAsia"/>
        </w:rPr>
        <w:t xml:space="preserve"> </w:t>
      </w:r>
      <w:r>
        <w:t xml:space="preserve"> </w:t>
      </w:r>
      <w:r>
        <w:rPr>
          <w:rFonts w:hint="eastAsia"/>
        </w:rPr>
        <w:t>乔杰.生殖医学临床诊疗常规［M］．北京：人民军医出版社2013.</w:t>
      </w:r>
    </w:p>
    <w:p>
      <w:pPr>
        <w:pStyle w:val="59"/>
        <w:numPr>
          <w:ilvl w:val="0"/>
          <w:numId w:val="33"/>
        </w:numPr>
        <w:ind w:left="425" w:firstLine="0" w:firstLineChars="0"/>
      </w:pPr>
      <w:r>
        <w:rPr>
          <w:rFonts w:hint="eastAsia"/>
        </w:rPr>
        <w:t xml:space="preserve"> </w:t>
      </w:r>
      <w:r>
        <w:t xml:space="preserve"> </w:t>
      </w:r>
      <w:r>
        <w:rPr>
          <w:rFonts w:hint="eastAsia"/>
        </w:rPr>
        <w:t>谢孔段.妇产科学［</w:t>
      </w:r>
      <w:r>
        <w:t>M</w:t>
      </w:r>
      <w:r>
        <w:rPr>
          <w:rFonts w:hint="eastAsia"/>
        </w:rPr>
        <w:t>］.第9版．北京：人民卫生出版社2018</w:t>
      </w:r>
      <w:r>
        <w:t>.</w:t>
      </w:r>
    </w:p>
    <w:p>
      <w:pPr>
        <w:pStyle w:val="59"/>
        <w:numPr>
          <w:ilvl w:val="0"/>
          <w:numId w:val="33"/>
        </w:numPr>
        <w:ind w:left="425" w:firstLine="0" w:firstLineChars="0"/>
      </w:pPr>
      <w:r>
        <w:t xml:space="preserve">  Kofod L, Lindhard A, Hviid T V F. Implications of uterine NK cells and regulatory T cells in the endometrium of infertile women [J].Hum Immunol, 2018, 79(9): 693-701.</w:t>
      </w:r>
    </w:p>
    <w:p>
      <w:pPr>
        <w:pStyle w:val="59"/>
        <w:numPr>
          <w:ilvl w:val="0"/>
          <w:numId w:val="33"/>
        </w:numPr>
        <w:ind w:left="425" w:firstLine="0" w:firstLineChars="0"/>
      </w:pPr>
      <w:r>
        <w:t xml:space="preserve">  </w:t>
      </w:r>
      <w:r>
        <w:rPr>
          <w:rFonts w:hint="eastAsia"/>
        </w:rPr>
        <w:t>张奕文, 李蓉. 反复种植失败患者宫腔镜内膜活检术后妊娠结局相关因素分析 [J]. 国际生殖健康/计划生育杂志, 2021, 40(01): 23-8</w:t>
      </w:r>
    </w:p>
    <w:p>
      <w:pPr>
        <w:pStyle w:val="59"/>
        <w:numPr>
          <w:ilvl w:val="0"/>
          <w:numId w:val="33"/>
        </w:numPr>
        <w:ind w:left="425" w:firstLine="0" w:firstLineChars="0"/>
      </w:pPr>
      <w:r>
        <w:rPr>
          <w:rFonts w:hint="eastAsia"/>
        </w:rPr>
        <w:t xml:space="preserve"> </w:t>
      </w:r>
      <w:r>
        <w:t xml:space="preserve"> </w:t>
      </w:r>
      <w:r>
        <w:rPr>
          <w:rFonts w:hint="eastAsia"/>
        </w:rPr>
        <w:t>王迎曦，甄秀梅，乔杰.生育保留治疗与辅助生殖技术在宫颈病变患者中的应用［J］. 中华生殖与避孕杂志201939（3）234-7</w:t>
      </w:r>
    </w:p>
    <w:p>
      <w:pPr>
        <w:pStyle w:val="59"/>
        <w:numPr>
          <w:ilvl w:val="0"/>
          <w:numId w:val="33"/>
        </w:numPr>
        <w:ind w:left="425" w:firstLine="0" w:firstLineChars="0"/>
      </w:pPr>
      <w:r>
        <w:t xml:space="preserve">  Wang R,Watson A,Johnson N,etal.Tubal flushing for subfertility [J].Cochrane Database Syst Rev,2020,10(10)</w:t>
      </w:r>
      <w:bookmarkEnd w:id="72"/>
    </w:p>
    <w:p>
      <w:pPr>
        <w:pStyle w:val="59"/>
        <w:numPr>
          <w:ilvl w:val="0"/>
          <w:numId w:val="33"/>
        </w:numPr>
        <w:ind w:left="425" w:firstLine="0" w:firstLineChars="0"/>
      </w:pPr>
      <w:r>
        <w:rPr>
          <w:rFonts w:hint="eastAsia"/>
        </w:rPr>
        <w:t xml:space="preserve"> </w:t>
      </w:r>
      <w:r>
        <w:t xml:space="preserve"> </w:t>
      </w:r>
      <w:r>
        <w:rPr>
          <w:rFonts w:hint="eastAsia"/>
        </w:rPr>
        <w:t>李红,祝塔珠.肥胖症基层诊疗指南(2019年)[J].中华全科医师杂志,2020,(第2期)：95-101.</w:t>
      </w:r>
    </w:p>
    <w:p>
      <w:pPr>
        <w:pStyle w:val="59"/>
        <w:numPr>
          <w:ilvl w:val="0"/>
          <w:numId w:val="33"/>
        </w:numPr>
        <w:ind w:left="425" w:firstLine="0" w:firstLineChars="0"/>
      </w:pPr>
      <w:r>
        <w:rPr>
          <w:rFonts w:hint="eastAsia"/>
        </w:rPr>
        <w:t xml:space="preserve"> </w:t>
      </w:r>
      <w:r>
        <w:t xml:space="preserve"> </w:t>
      </w:r>
      <w:r>
        <w:rPr>
          <w:rFonts w:hint="eastAsia"/>
        </w:rPr>
        <w:t>卵巢储备功能减退临床诊治专家共识[J].生殖医学杂志,2022,31(04):425-434.</w:t>
      </w:r>
    </w:p>
    <w:p>
      <w:pPr>
        <w:pStyle w:val="59"/>
        <w:numPr>
          <w:ilvl w:val="0"/>
          <w:numId w:val="33"/>
        </w:numPr>
        <w:ind w:left="425" w:firstLine="0" w:firstLineChars="0"/>
      </w:pPr>
      <w:r>
        <w:rPr>
          <w:rFonts w:hint="eastAsia"/>
        </w:rPr>
        <w:t xml:space="preserve"> </w:t>
      </w:r>
      <w:r>
        <w:t xml:space="preserve"> </w:t>
      </w:r>
      <w:r>
        <w:rPr>
          <w:rFonts w:hint="eastAsia"/>
        </w:rPr>
        <w:t>中华医学会妇产科学分会产科学组,复发性流产诊治专家共识编写组.复发性流产诊治专家共识（2022）[J].中华妇产科杂志,2022,(第9期)：653-667.</w:t>
      </w:r>
      <w:bookmarkEnd w:id="71"/>
      <w:bookmarkStart w:id="73" w:name="BookMark8"/>
    </w:p>
    <w:p>
      <w:pPr>
        <w:pStyle w:val="59"/>
        <w:ind w:left="426" w:firstLine="0" w:firstLineChars="0"/>
        <w:jc w:val="center"/>
      </w:pPr>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9</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F479A"/>
    <w:multiLevelType w:val="multilevel"/>
    <w:tmpl w:val="006F479A"/>
    <w:lvl w:ilvl="0" w:tentative="0">
      <w:start w:val="1"/>
      <w:numFmt w:val="decimal"/>
      <w:lvlText w:val="[%1]"/>
      <w:lvlJc w:val="left"/>
      <w:pPr>
        <w:ind w:left="4107" w:hanging="420"/>
      </w:pPr>
      <w:rPr>
        <w:rFonts w:hint="eastAsia"/>
      </w:rPr>
    </w:lvl>
    <w:lvl w:ilvl="1" w:tentative="0">
      <w:start w:val="1"/>
      <w:numFmt w:val="lowerLetter"/>
      <w:lvlText w:val="%2)"/>
      <w:lvlJc w:val="left"/>
      <w:pPr>
        <w:ind w:left="977" w:hanging="420"/>
      </w:pPr>
    </w:lvl>
    <w:lvl w:ilvl="2" w:tentative="0">
      <w:start w:val="1"/>
      <w:numFmt w:val="lowerRoman"/>
      <w:lvlText w:val="%3."/>
      <w:lvlJc w:val="right"/>
      <w:pPr>
        <w:ind w:left="1397" w:hanging="420"/>
      </w:pPr>
    </w:lvl>
    <w:lvl w:ilvl="3" w:tentative="0">
      <w:start w:val="1"/>
      <w:numFmt w:val="decimal"/>
      <w:lvlText w:val="%4."/>
      <w:lvlJc w:val="left"/>
      <w:pPr>
        <w:ind w:left="1817" w:hanging="420"/>
      </w:pPr>
    </w:lvl>
    <w:lvl w:ilvl="4" w:tentative="0">
      <w:start w:val="1"/>
      <w:numFmt w:val="lowerLetter"/>
      <w:lvlText w:val="%5)"/>
      <w:lvlJc w:val="left"/>
      <w:pPr>
        <w:ind w:left="2237" w:hanging="420"/>
      </w:pPr>
    </w:lvl>
    <w:lvl w:ilvl="5" w:tentative="0">
      <w:start w:val="1"/>
      <w:numFmt w:val="lowerRoman"/>
      <w:lvlText w:val="%6."/>
      <w:lvlJc w:val="right"/>
      <w:pPr>
        <w:ind w:left="2657" w:hanging="420"/>
      </w:pPr>
    </w:lvl>
    <w:lvl w:ilvl="6" w:tentative="0">
      <w:start w:val="1"/>
      <w:numFmt w:val="decimal"/>
      <w:lvlText w:val="%7."/>
      <w:lvlJc w:val="left"/>
      <w:pPr>
        <w:ind w:left="3077" w:hanging="420"/>
      </w:pPr>
    </w:lvl>
    <w:lvl w:ilvl="7" w:tentative="0">
      <w:start w:val="1"/>
      <w:numFmt w:val="lowerLetter"/>
      <w:lvlText w:val="%8)"/>
      <w:lvlJc w:val="left"/>
      <w:pPr>
        <w:ind w:left="3497" w:hanging="420"/>
      </w:pPr>
    </w:lvl>
    <w:lvl w:ilvl="8" w:tentative="0">
      <w:start w:val="1"/>
      <w:numFmt w:val="lowerRoman"/>
      <w:lvlText w:val="%9."/>
      <w:lvlJc w:val="right"/>
      <w:pPr>
        <w:ind w:left="3917" w:hanging="420"/>
      </w:p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1135"/>
        </w:tabs>
        <w:ind w:left="1135"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4253"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2127"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ZVv4pkNirzqrdNaJfxhha+c8qmrPtpikhbELVX+rB0rlMpvo3juCHPXyB/7xh37EnVG8FyeM/LKs7R9rTNAeQg==" w:salt="aNj8SXrzD9TC+Q95GRod6Q=="/>
  <w:defaultTabStop w:val="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ZTZlMmQ3YmVjYmYyZmZjYTk0MTdlYzhjYTM0NDUifQ=="/>
  </w:docVars>
  <w:rsids>
    <w:rsidRoot w:val="00E43C69"/>
    <w:rsid w:val="0000040A"/>
    <w:rsid w:val="00000A94"/>
    <w:rsid w:val="00001972"/>
    <w:rsid w:val="00001D9A"/>
    <w:rsid w:val="00003EDD"/>
    <w:rsid w:val="00007B3A"/>
    <w:rsid w:val="000107E0"/>
    <w:rsid w:val="00011FDE"/>
    <w:rsid w:val="00012FFD"/>
    <w:rsid w:val="00014162"/>
    <w:rsid w:val="00014340"/>
    <w:rsid w:val="00016A75"/>
    <w:rsid w:val="00016A9C"/>
    <w:rsid w:val="00022184"/>
    <w:rsid w:val="00022762"/>
    <w:rsid w:val="000238E0"/>
    <w:rsid w:val="000249DB"/>
    <w:rsid w:val="0002595E"/>
    <w:rsid w:val="00026B2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67B"/>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17D00"/>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2AA"/>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B3D"/>
    <w:rsid w:val="0026148A"/>
    <w:rsid w:val="00262696"/>
    <w:rsid w:val="00263866"/>
    <w:rsid w:val="00263D25"/>
    <w:rsid w:val="002643C3"/>
    <w:rsid w:val="00264A0C"/>
    <w:rsid w:val="00264FD1"/>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FFD"/>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F23"/>
    <w:rsid w:val="00306063"/>
    <w:rsid w:val="00313B85"/>
    <w:rsid w:val="00317988"/>
    <w:rsid w:val="003221B4"/>
    <w:rsid w:val="0032258D"/>
    <w:rsid w:val="00322E62"/>
    <w:rsid w:val="00324D13"/>
    <w:rsid w:val="00324EDD"/>
    <w:rsid w:val="00327C76"/>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C7C"/>
    <w:rsid w:val="003A3D9C"/>
    <w:rsid w:val="003A4077"/>
    <w:rsid w:val="003A4AA7"/>
    <w:rsid w:val="003B09AD"/>
    <w:rsid w:val="003B1F18"/>
    <w:rsid w:val="003B5BF0"/>
    <w:rsid w:val="003B60BF"/>
    <w:rsid w:val="003B6BE3"/>
    <w:rsid w:val="003C010C"/>
    <w:rsid w:val="003C0A6C"/>
    <w:rsid w:val="003C14F8"/>
    <w:rsid w:val="003C5A43"/>
    <w:rsid w:val="003D0519"/>
    <w:rsid w:val="003D080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623"/>
    <w:rsid w:val="00470775"/>
    <w:rsid w:val="004746B1"/>
    <w:rsid w:val="0047583F"/>
    <w:rsid w:val="00475DE8"/>
    <w:rsid w:val="00480620"/>
    <w:rsid w:val="00481C44"/>
    <w:rsid w:val="00484936"/>
    <w:rsid w:val="00485C89"/>
    <w:rsid w:val="00486BE3"/>
    <w:rsid w:val="004905E4"/>
    <w:rsid w:val="00490A89"/>
    <w:rsid w:val="00490AB4"/>
    <w:rsid w:val="00492F02"/>
    <w:rsid w:val="004939AE"/>
    <w:rsid w:val="004A12DF"/>
    <w:rsid w:val="004A1842"/>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F0F"/>
    <w:rsid w:val="0050363E"/>
    <w:rsid w:val="005039BC"/>
    <w:rsid w:val="005043BB"/>
    <w:rsid w:val="00504A3D"/>
    <w:rsid w:val="00505767"/>
    <w:rsid w:val="005073F0"/>
    <w:rsid w:val="00510A7B"/>
    <w:rsid w:val="00512F6E"/>
    <w:rsid w:val="00513038"/>
    <w:rsid w:val="00514174"/>
    <w:rsid w:val="00516088"/>
    <w:rsid w:val="00516B0B"/>
    <w:rsid w:val="00517E71"/>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848"/>
    <w:rsid w:val="00593A49"/>
    <w:rsid w:val="00596160"/>
    <w:rsid w:val="005966E2"/>
    <w:rsid w:val="005968DB"/>
    <w:rsid w:val="00597007"/>
    <w:rsid w:val="005A0966"/>
    <w:rsid w:val="005A11B7"/>
    <w:rsid w:val="005A16CD"/>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791"/>
    <w:rsid w:val="00614CC1"/>
    <w:rsid w:val="00615A9D"/>
    <w:rsid w:val="00617387"/>
    <w:rsid w:val="006205D6"/>
    <w:rsid w:val="00621AE9"/>
    <w:rsid w:val="00622FE8"/>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D57"/>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1E53"/>
    <w:rsid w:val="006B2672"/>
    <w:rsid w:val="006B54BF"/>
    <w:rsid w:val="006B5F44"/>
    <w:rsid w:val="006B5F90"/>
    <w:rsid w:val="006B62E4"/>
    <w:rsid w:val="006C0501"/>
    <w:rsid w:val="006C1BBA"/>
    <w:rsid w:val="006C2079"/>
    <w:rsid w:val="006C5A62"/>
    <w:rsid w:val="006C5D68"/>
    <w:rsid w:val="006C6976"/>
    <w:rsid w:val="006C6DD0"/>
    <w:rsid w:val="006D04EA"/>
    <w:rsid w:val="006D16C4"/>
    <w:rsid w:val="006D3E96"/>
    <w:rsid w:val="006D4515"/>
    <w:rsid w:val="006D4BB1"/>
    <w:rsid w:val="006D6593"/>
    <w:rsid w:val="006D703B"/>
    <w:rsid w:val="006F03A8"/>
    <w:rsid w:val="006F2ACA"/>
    <w:rsid w:val="006F2ADC"/>
    <w:rsid w:val="006F2BFE"/>
    <w:rsid w:val="006F31E9"/>
    <w:rsid w:val="006F5293"/>
    <w:rsid w:val="006F6284"/>
    <w:rsid w:val="007002C5"/>
    <w:rsid w:val="00702F38"/>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F51"/>
    <w:rsid w:val="00742C35"/>
    <w:rsid w:val="007432CA"/>
    <w:rsid w:val="007439EB"/>
    <w:rsid w:val="00743CB4"/>
    <w:rsid w:val="00743F0A"/>
    <w:rsid w:val="007444E8"/>
    <w:rsid w:val="0074548E"/>
    <w:rsid w:val="00745773"/>
    <w:rsid w:val="00746800"/>
    <w:rsid w:val="007501A8"/>
    <w:rsid w:val="00750D61"/>
    <w:rsid w:val="00750EE1"/>
    <w:rsid w:val="0075289E"/>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64D"/>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895"/>
    <w:rsid w:val="007C2D89"/>
    <w:rsid w:val="007C4593"/>
    <w:rsid w:val="007C5309"/>
    <w:rsid w:val="007C6069"/>
    <w:rsid w:val="007C661D"/>
    <w:rsid w:val="007D06C4"/>
    <w:rsid w:val="007D1352"/>
    <w:rsid w:val="007D2508"/>
    <w:rsid w:val="007D346A"/>
    <w:rsid w:val="007D6518"/>
    <w:rsid w:val="007D76BD"/>
    <w:rsid w:val="007E0BF1"/>
    <w:rsid w:val="007F0ED8"/>
    <w:rsid w:val="007F0F63"/>
    <w:rsid w:val="007F30C8"/>
    <w:rsid w:val="007F52D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15C"/>
    <w:rsid w:val="00817325"/>
    <w:rsid w:val="008209E6"/>
    <w:rsid w:val="00821D19"/>
    <w:rsid w:val="00823303"/>
    <w:rsid w:val="008233B2"/>
    <w:rsid w:val="00823A9F"/>
    <w:rsid w:val="00823C85"/>
    <w:rsid w:val="00825138"/>
    <w:rsid w:val="008269DD"/>
    <w:rsid w:val="00830621"/>
    <w:rsid w:val="0083348C"/>
    <w:rsid w:val="00835674"/>
    <w:rsid w:val="008373D3"/>
    <w:rsid w:val="00840617"/>
    <w:rsid w:val="00840F84"/>
    <w:rsid w:val="008410B3"/>
    <w:rsid w:val="00842A47"/>
    <w:rsid w:val="00843C13"/>
    <w:rsid w:val="00843DEF"/>
    <w:rsid w:val="008454F8"/>
    <w:rsid w:val="0085173A"/>
    <w:rsid w:val="008526A9"/>
    <w:rsid w:val="008562F0"/>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0"/>
    <w:rsid w:val="00913CA9"/>
    <w:rsid w:val="009145AE"/>
    <w:rsid w:val="009146CE"/>
    <w:rsid w:val="0091495D"/>
    <w:rsid w:val="00914CA7"/>
    <w:rsid w:val="00915C3E"/>
    <w:rsid w:val="009161A8"/>
    <w:rsid w:val="009245AE"/>
    <w:rsid w:val="009245F5"/>
    <w:rsid w:val="009249EC"/>
    <w:rsid w:val="009273B3"/>
    <w:rsid w:val="009305B5"/>
    <w:rsid w:val="00930BF8"/>
    <w:rsid w:val="00930EC1"/>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5040"/>
    <w:rsid w:val="00A0096C"/>
    <w:rsid w:val="00A013EC"/>
    <w:rsid w:val="00A01757"/>
    <w:rsid w:val="00A028C0"/>
    <w:rsid w:val="00A02BAE"/>
    <w:rsid w:val="00A06A6B"/>
    <w:rsid w:val="00A07E47"/>
    <w:rsid w:val="00A129D0"/>
    <w:rsid w:val="00A12C33"/>
    <w:rsid w:val="00A138BA"/>
    <w:rsid w:val="00A14C8E"/>
    <w:rsid w:val="00A14FC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195"/>
    <w:rsid w:val="00A6339E"/>
    <w:rsid w:val="00A648CD"/>
    <w:rsid w:val="00A6537A"/>
    <w:rsid w:val="00A67866"/>
    <w:rsid w:val="00A70B07"/>
    <w:rsid w:val="00A723F8"/>
    <w:rsid w:val="00A77419"/>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B18"/>
    <w:rsid w:val="00AB6309"/>
    <w:rsid w:val="00AB6C5F"/>
    <w:rsid w:val="00AB7129"/>
    <w:rsid w:val="00AC27A6"/>
    <w:rsid w:val="00AC2B5E"/>
    <w:rsid w:val="00AC30F7"/>
    <w:rsid w:val="00AC3A5A"/>
    <w:rsid w:val="00AC4D95"/>
    <w:rsid w:val="00AC5DF4"/>
    <w:rsid w:val="00AC62E0"/>
    <w:rsid w:val="00AD0AEF"/>
    <w:rsid w:val="00AD11B7"/>
    <w:rsid w:val="00AD1A94"/>
    <w:rsid w:val="00AD1C05"/>
    <w:rsid w:val="00AD4126"/>
    <w:rsid w:val="00AD421C"/>
    <w:rsid w:val="00AD44FA"/>
    <w:rsid w:val="00AE070A"/>
    <w:rsid w:val="00AE101C"/>
    <w:rsid w:val="00AE2A69"/>
    <w:rsid w:val="00AE37E5"/>
    <w:rsid w:val="00AE52B8"/>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3B2"/>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5C4"/>
    <w:rsid w:val="00BA42B2"/>
    <w:rsid w:val="00BA58D4"/>
    <w:rsid w:val="00BA5B9E"/>
    <w:rsid w:val="00BA5DDE"/>
    <w:rsid w:val="00BA7C9A"/>
    <w:rsid w:val="00BB5F8F"/>
    <w:rsid w:val="00BB657A"/>
    <w:rsid w:val="00BC1A4E"/>
    <w:rsid w:val="00BC5939"/>
    <w:rsid w:val="00BC5DC7"/>
    <w:rsid w:val="00BC6B8B"/>
    <w:rsid w:val="00BC73D8"/>
    <w:rsid w:val="00BD06E1"/>
    <w:rsid w:val="00BD084E"/>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095E"/>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E0C"/>
    <w:rsid w:val="00D97F99"/>
    <w:rsid w:val="00DA1E08"/>
    <w:rsid w:val="00DA24F8"/>
    <w:rsid w:val="00DA28E8"/>
    <w:rsid w:val="00DA38D3"/>
    <w:rsid w:val="00DA3932"/>
    <w:rsid w:val="00DA3AFC"/>
    <w:rsid w:val="00DA491A"/>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436"/>
    <w:rsid w:val="00DF1961"/>
    <w:rsid w:val="00DF44DE"/>
    <w:rsid w:val="00E01138"/>
    <w:rsid w:val="00E02DFB"/>
    <w:rsid w:val="00E030F9"/>
    <w:rsid w:val="00E0311A"/>
    <w:rsid w:val="00E03138"/>
    <w:rsid w:val="00E06404"/>
    <w:rsid w:val="00E11A85"/>
    <w:rsid w:val="00E12495"/>
    <w:rsid w:val="00E15CCD"/>
    <w:rsid w:val="00E202EF"/>
    <w:rsid w:val="00E210B5"/>
    <w:rsid w:val="00E21C51"/>
    <w:rsid w:val="00E2552F"/>
    <w:rsid w:val="00E3137A"/>
    <w:rsid w:val="00E32CCF"/>
    <w:rsid w:val="00E34A98"/>
    <w:rsid w:val="00E35D1E"/>
    <w:rsid w:val="00E364F9"/>
    <w:rsid w:val="00E365FA"/>
    <w:rsid w:val="00E36789"/>
    <w:rsid w:val="00E43C6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A51"/>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E9C"/>
    <w:rsid w:val="00F1409D"/>
    <w:rsid w:val="00F14214"/>
    <w:rsid w:val="00F157A9"/>
    <w:rsid w:val="00F16F00"/>
    <w:rsid w:val="00F171E0"/>
    <w:rsid w:val="00F25BB6"/>
    <w:rsid w:val="00F26B7E"/>
    <w:rsid w:val="00F27A3B"/>
    <w:rsid w:val="00F32780"/>
    <w:rsid w:val="00F33817"/>
    <w:rsid w:val="00F3459E"/>
    <w:rsid w:val="00F4075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1F7"/>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1A13"/>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BF8"/>
    <w:rsid w:val="00FF7CE4"/>
    <w:rsid w:val="00FF7E39"/>
    <w:rsid w:val="03D92A5B"/>
    <w:rsid w:val="0A7F491A"/>
    <w:rsid w:val="13B74DBF"/>
    <w:rsid w:val="190C7B48"/>
    <w:rsid w:val="225A39DA"/>
    <w:rsid w:val="226A59D0"/>
    <w:rsid w:val="2BB16201"/>
    <w:rsid w:val="309003A9"/>
    <w:rsid w:val="32F753F8"/>
    <w:rsid w:val="3BD63582"/>
    <w:rsid w:val="3D9F0A33"/>
    <w:rsid w:val="4409534F"/>
    <w:rsid w:val="4B607E58"/>
    <w:rsid w:val="4CE05D2C"/>
    <w:rsid w:val="4ED5067D"/>
    <w:rsid w:val="6BDE0CD3"/>
    <w:rsid w:val="6C122A05"/>
    <w:rsid w:val="6E4F745A"/>
    <w:rsid w:val="71131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ind w:left="1418"/>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tabs>
        <w:tab w:val="left" w:pos="851"/>
        <w:tab w:val="clear" w:pos="1135"/>
      </w:tabs>
      <w:ind w:left="851"/>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styleId="233">
    <w:name w:val="List Paragraph"/>
    <w:basedOn w:val="1"/>
    <w:autoRedefine/>
    <w:qFormat/>
    <w:uiPriority w:val="99"/>
    <w:pPr>
      <w:ind w:firstLine="420" w:firstLineChars="200"/>
    </w:pPr>
  </w:style>
  <w:style w:type="character" w:customStyle="1" w:styleId="234">
    <w:name w:val="批注文字 字符"/>
    <w:basedOn w:val="30"/>
    <w:link w:val="13"/>
    <w:semiHidden/>
    <w:qFormat/>
    <w:uiPriority w:val="99"/>
    <w:rPr>
      <w:rFonts w:ascii="Calibri" w:hAnsi="Calibri"/>
      <w:kern w:val="2"/>
      <w:sz w:val="21"/>
      <w:szCs w:val="21"/>
    </w:rPr>
  </w:style>
  <w:style w:type="character" w:customStyle="1" w:styleId="235">
    <w:name w:val="批注主题 字符"/>
    <w:basedOn w:val="234"/>
    <w:link w:val="27"/>
    <w:semiHidden/>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3.jpeg"/><Relationship Id="rId28" Type="http://schemas.microsoft.com/office/2007/relationships/diagramDrawing" Target="diagrams/drawing1.xml"/><Relationship Id="rId27" Type="http://schemas.openxmlformats.org/officeDocument/2006/relationships/diagramColors" Target="diagrams/colors1.xml"/><Relationship Id="rId26" Type="http://schemas.openxmlformats.org/officeDocument/2006/relationships/diagramQuickStyle" Target="diagrams/quickStyle1.xml"/><Relationship Id="rId25" Type="http://schemas.openxmlformats.org/officeDocument/2006/relationships/diagramLayout" Target="diagrams/layout1.xml"/><Relationship Id="rId24" Type="http://schemas.openxmlformats.org/officeDocument/2006/relationships/diagramData" Target="diagrams/data1.xml"/><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A2AEC0FD-5357-4DF6-AA04-BD020D7A2298}" type="doc">
      <dgm:prSet loTypeId="urn:microsoft.com/office/officeart/2005/8/layout/orgChart1#1" loCatId="hierarchy" qsTypeId="urn:microsoft.com/office/officeart/2005/8/quickstyle/simple1#1" qsCatId="simple" csTypeId="urn:microsoft.com/office/officeart/2005/8/colors/accent0_1#1" csCatId="mainScheme" phldr="1"/>
      <dgm:spPr/>
      <dgm:t>
        <a:bodyPr/>
        <a:p>
          <a:endParaRPr lang="zh-CN" altLang="en-US"/>
        </a:p>
      </dgm:t>
    </dgm:pt>
    <dgm:pt modelId="{368DA904-3128-4BA4-A175-2ABB8A217113}">
      <dgm:prSet phldrT="[文本]"/>
      <dgm:spPr>
        <a:xfrm>
          <a:off x="2049577" y="13496"/>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夫妻双方门诊就诊</a:t>
          </a:r>
        </a:p>
      </dgm:t>
    </dgm:pt>
    <dgm:pt modelId="{43B68895-C9B9-409C-9DE2-CA95367F3C20}" cxnId="{458A2391-CEA1-48EC-AD43-219C4831A38B}" type="parTrans">
      <dgm:prSet/>
      <dgm:spPr/>
      <dgm:t>
        <a:bodyPr/>
        <a:p>
          <a:pPr algn="ctr"/>
          <a:endParaRPr lang="zh-CN" altLang="en-US"/>
        </a:p>
      </dgm:t>
    </dgm:pt>
    <dgm:pt modelId="{F84BA589-6B5E-46E4-A3D0-0B4DF2B8B80F}" cxnId="{458A2391-CEA1-48EC-AD43-219C4831A38B}" type="sibTrans">
      <dgm:prSet/>
      <dgm:spPr/>
      <dgm:t>
        <a:bodyPr/>
        <a:p>
          <a:pPr algn="ctr"/>
          <a:endParaRPr lang="zh-CN" altLang="en-US"/>
        </a:p>
      </dgm:t>
    </dgm:pt>
    <dgm:pt modelId="{0FB21EB1-7C86-40C9-BAB4-B751C99F7554}">
      <dgm:prSet phldrT="[文本]"/>
      <dgm:spPr>
        <a:xfrm>
          <a:off x="1616761" y="480748"/>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男方病史采集</a:t>
          </a:r>
        </a:p>
      </dgm:t>
    </dgm:pt>
    <dgm:pt modelId="{CBC33C52-D8CE-4950-97E3-D4F4D2F4829D}" cxnId="{D358847D-2723-4BE1-8BF2-73588F05A9CC}" type="parTrans">
      <dgm:prSet/>
      <dgm:spPr>
        <a:xfrm>
          <a:off x="1954371" y="351106"/>
          <a:ext cx="432816" cy="129642"/>
        </a:xfrm>
        <a:noFill/>
        <a:ln w="12700" cap="flat" cmpd="sng" algn="ctr">
          <a:solidFill>
            <a:sysClr val="windowText" lastClr="000000">
              <a:shade val="60000"/>
              <a:hueOff val="0"/>
              <a:satOff val="0"/>
              <a:lumOff val="0"/>
              <a:alphaOff val="0"/>
            </a:sysClr>
          </a:solidFill>
          <a:prstDash val="solid"/>
          <a:miter lim="800000"/>
        </a:ln>
        <a:effectLst/>
      </dgm:spPr>
      <dgm:t>
        <a:bodyPr/>
        <a:p>
          <a:pPr algn="ctr"/>
          <a:endParaRPr lang="zh-CN" altLang="en-US"/>
        </a:p>
      </dgm:t>
    </dgm:pt>
    <dgm:pt modelId="{28A08EA6-884E-4758-AFE9-58223D493F2B}" cxnId="{D358847D-2723-4BE1-8BF2-73588F05A9CC}" type="sibTrans">
      <dgm:prSet/>
      <dgm:spPr/>
      <dgm:t>
        <a:bodyPr/>
        <a:p>
          <a:pPr algn="ctr"/>
          <a:endParaRPr lang="zh-CN" altLang="en-US"/>
        </a:p>
      </dgm:t>
    </dgm:pt>
    <dgm:pt modelId="{037A9105-CF96-42A9-8F6E-62ADC64137DB}">
      <dgm:prSet/>
      <dgm:spPr>
        <a:xfrm>
          <a:off x="2083149" y="960516"/>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endPar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endParaRPr>
        </a:p>
      </dgm:t>
    </dgm:pt>
    <dgm:pt modelId="{072F713B-4A34-468D-BC53-7EE22AB344C1}" cxnId="{A1DDA881-2F07-4503-A165-D21D8913232E}" type="parTrans">
      <dgm:prSet/>
      <dgm:spPr>
        <a:xfrm>
          <a:off x="1954371" y="818359"/>
          <a:ext cx="466388" cy="142157"/>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8AB3639F-4AA5-42BC-BD69-08864EF2C526}" cxnId="{A1DDA881-2F07-4503-A165-D21D8913232E}" type="sibTrans">
      <dgm:prSet/>
      <dgm:spPr/>
      <dgm:t>
        <a:bodyPr/>
        <a:p>
          <a:pPr algn="ctr"/>
          <a:endParaRPr lang="zh-CN" altLang="en-US"/>
        </a:p>
      </dgm:t>
    </dgm:pt>
    <dgm:pt modelId="{C3C5F6F8-08C1-4101-BC26-F1D3CF3EB6B9}">
      <dgm:prSet phldrT="[文本]"/>
      <dgm:spPr>
        <a:xfrm>
          <a:off x="2433778" y="480748"/>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女方病史采集</a:t>
          </a:r>
        </a:p>
      </dgm:t>
    </dgm:pt>
    <dgm:pt modelId="{B9B51E67-BFB3-40C9-A828-985CC1368558}" cxnId="{10F82EFC-A7E6-45BA-8EE6-83E82D882E47}" type="parTrans">
      <dgm:prSet/>
      <dgm:spPr>
        <a:xfrm>
          <a:off x="2387187" y="351106"/>
          <a:ext cx="384200" cy="129642"/>
        </a:xfrm>
        <a:noFill/>
        <a:ln w="12700" cap="flat" cmpd="sng" algn="ctr">
          <a:solidFill>
            <a:sysClr val="windowText" lastClr="000000">
              <a:shade val="60000"/>
              <a:hueOff val="0"/>
              <a:satOff val="0"/>
              <a:lumOff val="0"/>
              <a:alphaOff val="0"/>
            </a:sysClr>
          </a:solidFill>
          <a:prstDash val="solid"/>
          <a:miter lim="800000"/>
        </a:ln>
        <a:effectLst/>
      </dgm:spPr>
      <dgm:t>
        <a:bodyPr/>
        <a:p>
          <a:pPr algn="ctr"/>
          <a:endParaRPr lang="zh-CN" altLang="en-US"/>
        </a:p>
      </dgm:t>
    </dgm:pt>
    <dgm:pt modelId="{0F368D60-2952-439F-91D7-136EE2B48D2E}" cxnId="{10F82EFC-A7E6-45BA-8EE6-83E82D882E47}" type="sibTrans">
      <dgm:prSet/>
      <dgm:spPr/>
      <dgm:t>
        <a:bodyPr/>
        <a:p>
          <a:pPr algn="ctr"/>
          <a:endParaRPr lang="zh-CN" altLang="en-US"/>
        </a:p>
      </dgm:t>
    </dgm:pt>
    <dgm:pt modelId="{99888C89-1C46-42A1-941A-921D57316317}">
      <dgm:prSet phldr="0" custT="0"/>
      <dgm:spPr>
        <a:xfrm>
          <a:off x="2083986" y="960516"/>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wrap="square"/>
        <a:p>
          <a:pPr algn="ctr">
            <a:lnSpc>
              <a:spcPct val="100000"/>
            </a:lnSpc>
            <a:spcBef>
              <a:spcPct val="0"/>
            </a:spcBef>
            <a:spcAft>
              <a:spcPct val="35000"/>
            </a:spcAft>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根据双方病史进行针对性生育力评估</a:t>
          </a:r>
          <a:endParaRPr/>
        </a:p>
      </dgm:t>
    </dgm:pt>
    <dgm:pt modelId="{87B3DFFF-AA69-4CAF-99A6-C82184E2175D}" cxnId="{497701C4-7B1B-4B70-A589-11D80ED91BBB}" type="parTrans">
      <dgm:prSet/>
      <dgm:spPr>
        <a:xfrm>
          <a:off x="2421597" y="818359"/>
          <a:ext cx="349791" cy="142157"/>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AC1AAA60-541B-4352-9C57-A2BECF94F02E}" cxnId="{497701C4-7B1B-4B70-A589-11D80ED91BBB}" type="sibTrans">
      <dgm:prSet/>
      <dgm:spPr/>
      <dgm:t>
        <a:bodyPr/>
        <a:p>
          <a:pPr algn="ctr"/>
          <a:endParaRPr lang="zh-CN" altLang="en-US"/>
        </a:p>
      </dgm:t>
    </dgm:pt>
    <dgm:pt modelId="{34F6ECBD-AC39-4E5E-BEDD-4AF94F46567E}">
      <dgm:prSet/>
      <dgm:spPr>
        <a:xfrm>
          <a:off x="923986" y="1446179"/>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男性生育力评估</a:t>
          </a:r>
        </a:p>
      </dgm:t>
    </dgm:pt>
    <dgm:pt modelId="{C96DC987-CB04-4FC7-9973-681B04DB679B}" cxnId="{67486236-E551-45C9-B6AC-37A43C692113}" type="parTrans">
      <dgm:prSet/>
      <dgm:spPr>
        <a:xfrm>
          <a:off x="1261596" y="1298126"/>
          <a:ext cx="1160000" cy="148052"/>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21C47473-BC6C-4901-9825-097830E0DDA0}" cxnId="{67486236-E551-45C9-B6AC-37A43C692113}" type="sibTrans">
      <dgm:prSet/>
      <dgm:spPr/>
      <dgm:t>
        <a:bodyPr/>
        <a:p>
          <a:pPr algn="ctr"/>
          <a:endParaRPr lang="zh-CN" altLang="en-US"/>
        </a:p>
      </dgm:t>
    </dgm:pt>
    <dgm:pt modelId="{9C7414A4-8A16-48B1-99C0-4E5C222874BE}">
      <dgm:prSet/>
      <dgm:spPr>
        <a:xfrm>
          <a:off x="270720" y="1924201"/>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必查项目</a:t>
          </a:r>
        </a:p>
      </dgm:t>
    </dgm:pt>
    <dgm:pt modelId="{D2EA0C90-9478-4306-A45E-1504BBADB01A}" cxnId="{02097ADF-A8CD-4E37-BD50-73E068B491E3}" type="parTrans">
      <dgm:prSet/>
      <dgm:spPr>
        <a:xfrm>
          <a:off x="608330" y="1783789"/>
          <a:ext cx="653265" cy="140412"/>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7E73B3CE-DCA4-4817-A6D4-21B3D86ADA6E}" cxnId="{02097ADF-A8CD-4E37-BD50-73E068B491E3}" type="sibTrans">
      <dgm:prSet/>
      <dgm:spPr/>
      <dgm:t>
        <a:bodyPr/>
        <a:p>
          <a:pPr algn="ctr"/>
          <a:endParaRPr lang="zh-CN" altLang="en-US"/>
        </a:p>
      </dgm:t>
    </dgm:pt>
    <dgm:pt modelId="{09B66337-D363-45F2-A816-070511B3A2B5}">
      <dgm:prSet phldr="0" custT="0"/>
      <dgm:spPr>
        <a:xfrm>
          <a:off x="117360" y="2399151"/>
          <a:ext cx="976632" cy="826219"/>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wrap="square"/>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1.</a:t>
          </a:r>
          <a:r>
            <a:rPr lang="zh-CN" altLang="en-US">
              <a:solidFill>
                <a:sysClr val="windowText" lastClr="000000"/>
              </a:solidFill>
              <a:latin typeface="等线" panose="02010600030101010101" charset="-122"/>
              <a:ea typeface="等线" panose="02010600030101010101" charset="-122"/>
              <a:cs typeface="+mn-cs"/>
            </a:rPr>
            <a:t>生殖系统体格检查；</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精液常规和形态学检查；</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 生殖道常见病原体检查；</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生殖内分泌检测。</a:t>
          </a:r>
          <a:endParaRPr/>
        </a:p>
      </dgm:t>
    </dgm:pt>
    <dgm:pt modelId="{C91404C8-1FE7-433F-B1F0-DFDB6D58A5F2}" cxnId="{DF667732-C72C-425A-9F15-4D32ED1E836B}" type="parTrans">
      <dgm:prSet/>
      <dgm:spPr>
        <a:xfrm>
          <a:off x="559957" y="2261811"/>
          <a:ext cx="91440" cy="137339"/>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F5452DDE-1C3C-4CE3-B9FF-3F3841E06D23}" cxnId="{DF667732-C72C-425A-9F15-4D32ED1E836B}" type="sibTrans">
      <dgm:prSet/>
      <dgm:spPr/>
      <dgm:t>
        <a:bodyPr/>
        <a:p>
          <a:pPr algn="ctr"/>
          <a:endParaRPr lang="zh-CN" altLang="en-US"/>
        </a:p>
      </dgm:t>
    </dgm:pt>
    <dgm:pt modelId="{2F96C146-C87F-4901-95B3-988F88495932}">
      <dgm:prSet/>
      <dgm:spPr>
        <a:xfrm>
          <a:off x="1466022" y="1924201"/>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选查项目</a:t>
          </a:r>
        </a:p>
      </dgm:t>
    </dgm:pt>
    <dgm:pt modelId="{7DDF18C9-9BEA-49D4-A950-22861BE2450D}" cxnId="{40125992-C7D7-4DA8-A4B9-7F7E834B55F8}" type="parTrans">
      <dgm:prSet/>
      <dgm:spPr>
        <a:xfrm>
          <a:off x="1261596" y="1783789"/>
          <a:ext cx="542036" cy="140412"/>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4E1C9CDF-0055-488C-8069-D51573C53BB6}" cxnId="{40125992-C7D7-4DA8-A4B9-7F7E834B55F8}" type="sibTrans">
      <dgm:prSet/>
      <dgm:spPr/>
      <dgm:t>
        <a:bodyPr/>
        <a:p>
          <a:pPr algn="ctr"/>
          <a:endParaRPr lang="zh-CN" altLang="en-US"/>
        </a:p>
      </dgm:t>
    </dgm:pt>
    <dgm:pt modelId="{CEFA58F9-FEB0-4BCE-916C-92B50928150C}">
      <dgm:prSet phldr="0" custT="0"/>
      <dgm:spPr>
        <a:xfrm>
          <a:off x="1227362" y="2389988"/>
          <a:ext cx="1153917" cy="83454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wrap="square"/>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1.</a:t>
          </a:r>
          <a:r>
            <a:rPr lang="zh-CN" altLang="en-US">
              <a:solidFill>
                <a:sysClr val="windowText" lastClr="000000"/>
              </a:solidFill>
              <a:latin typeface="等线" panose="02010600030101010101" charset="-122"/>
              <a:ea typeface="等线" panose="02010600030101010101" charset="-122"/>
              <a:cs typeface="+mn-cs"/>
            </a:rPr>
            <a:t>性功能评估；</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精子功能检测；</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精浆生化功能检测；</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遗传性评估和影像学评估。</a:t>
          </a:r>
          <a:endParaRPr/>
        </a:p>
      </dgm:t>
    </dgm:pt>
    <dgm:pt modelId="{BE34B3DE-D1E6-4E34-A97A-0FADDC1CDC99}" cxnId="{A7451F75-906E-4E4B-971A-D827F4B04E5D}" type="parTrans">
      <dgm:prSet/>
      <dgm:spPr>
        <a:xfrm>
          <a:off x="1757912" y="2261811"/>
          <a:ext cx="91440" cy="128177"/>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8D542D9A-3305-4C35-80DA-2EC7440BCA84}" cxnId="{A7451F75-906E-4E4B-971A-D827F4B04E5D}" type="sibTrans">
      <dgm:prSet/>
      <dgm:spPr/>
      <dgm:t>
        <a:bodyPr/>
        <a:p>
          <a:pPr algn="ctr"/>
          <a:endParaRPr lang="zh-CN" altLang="en-US"/>
        </a:p>
      </dgm:t>
    </dgm:pt>
    <dgm:pt modelId="{30B75364-EF14-4183-891C-216CED3B48B8}">
      <dgm:prSet/>
      <dgm:spPr>
        <a:xfrm>
          <a:off x="3214372" y="1445189"/>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女性生育力评估</a:t>
          </a:r>
        </a:p>
      </dgm:t>
    </dgm:pt>
    <dgm:pt modelId="{D08FF45B-7735-4AFC-A740-BD912A90F2C7}" cxnId="{2CBE56DE-3F93-4D22-8A65-D4C59767479A}" type="parTrans">
      <dgm:prSet/>
      <dgm:spPr>
        <a:xfrm>
          <a:off x="2421597" y="1298126"/>
          <a:ext cx="1130385" cy="147063"/>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98D78B29-5076-47CD-86E4-220D4F0463C8}" cxnId="{2CBE56DE-3F93-4D22-8A65-D4C59767479A}" type="sibTrans">
      <dgm:prSet/>
      <dgm:spPr/>
      <dgm:t>
        <a:bodyPr/>
        <a:p>
          <a:pPr algn="ctr"/>
          <a:endParaRPr lang="zh-CN" altLang="en-US"/>
        </a:p>
      </dgm:t>
    </dgm:pt>
    <dgm:pt modelId="{09D9A701-C05A-4806-954A-BEA971E57290}">
      <dgm:prSet/>
      <dgm:spPr>
        <a:xfrm>
          <a:off x="2685848" y="1920008"/>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必查项目</a:t>
          </a:r>
        </a:p>
      </dgm:t>
    </dgm:pt>
    <dgm:pt modelId="{1F48B59E-1095-4329-8C6C-7F93CC7E59B2}" cxnId="{101895A8-08E2-4B73-8F02-6D4601242350}" type="parTrans">
      <dgm:prSet/>
      <dgm:spPr>
        <a:xfrm>
          <a:off x="3023459" y="1782800"/>
          <a:ext cx="528523" cy="137208"/>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0D746150-B85E-4D61-8CF0-ED57B779BA07}" cxnId="{101895A8-08E2-4B73-8F02-6D4601242350}" type="sibTrans">
      <dgm:prSet/>
      <dgm:spPr/>
      <dgm:t>
        <a:bodyPr/>
        <a:p>
          <a:pPr algn="ctr"/>
          <a:endParaRPr lang="zh-CN" altLang="en-US"/>
        </a:p>
      </dgm:t>
    </dgm:pt>
    <dgm:pt modelId="{1FDB030D-D2EE-43F4-BB21-45CA897F3346}">
      <dgm:prSet phldr="0" custT="0"/>
      <dgm:spPr>
        <a:xfrm>
          <a:off x="2428086" y="2378057"/>
          <a:ext cx="1189812" cy="832212"/>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wrap="square"/>
        <a:p>
          <a:pPr algn="l">
            <a:lnSpc>
              <a:spcPct val="100000"/>
            </a:lnSpc>
            <a:spcBef>
              <a:spcPct val="0"/>
            </a:spcBef>
            <a:spcAft>
              <a:spcPct val="35000"/>
            </a:spcAft>
          </a:pPr>
          <a:r>
            <a:rPr lang="en-US" altLang="zh-CN">
              <a:solidFill>
                <a:sysClr val="windowText" lastClr="000000">
                  <a:hueOff val="0"/>
                  <a:satOff val="0"/>
                  <a:lumOff val="0"/>
                  <a:alphaOff val="0"/>
                </a:sysClr>
              </a:solidFill>
              <a:latin typeface="等线" panose="02010600030101010101" charset="-122"/>
              <a:ea typeface="等线" panose="02010600030101010101" charset="-122"/>
              <a:cs typeface="+mn-cs"/>
            </a:rPr>
            <a:t>1.</a:t>
          </a: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生殖</a:t>
          </a:r>
          <a:r>
            <a:rPr lang="zh-CN" altLang="en-US">
              <a:solidFill>
                <a:sysClr val="windowText" lastClr="000000"/>
              </a:solidFill>
              <a:latin typeface="等线" panose="02010600030101010101" charset="-122"/>
              <a:ea typeface="等线" panose="02010600030101010101" charset="-122"/>
              <a:cs typeface="+mn-cs"/>
            </a:rPr>
            <a:t>系统体格及妇科</a:t>
          </a:r>
          <a:r>
            <a:rPr lang="en-US" altLang="zh-CN">
              <a:solidFill>
                <a:sysClr val="windowText" lastClr="000000"/>
              </a:solidFill>
              <a:latin typeface="等线" panose="02010600030101010101" charset="-122"/>
              <a:ea typeface="等线" panose="02010600030101010101" charset="-122"/>
              <a:cs typeface="+mn-cs"/>
            </a:rPr>
            <a:t>B</a:t>
          </a:r>
          <a:r>
            <a:rPr lang="zh-CN" altLang="en-US">
              <a:solidFill>
                <a:sysClr val="windowText" lastClr="000000"/>
              </a:solidFill>
              <a:latin typeface="等线" panose="02010600030101010101" charset="-122"/>
              <a:ea typeface="等线" panose="02010600030101010101" charset="-122"/>
              <a:cs typeface="+mn-cs"/>
            </a:rPr>
            <a:t>超检查；</a:t>
          </a:r>
          <a:r>
            <a:rPr lang="en-US" altLang="zh-CN">
              <a:solidFill>
                <a:sysClr val="windowText" lastClr="000000"/>
              </a:solidFill>
              <a:latin typeface="等线" panose="02010600030101010101" charset="-122"/>
              <a:ea typeface="等线" panose="02010600030101010101" charset="-122"/>
              <a:cs typeface="+mn-cs"/>
            </a:rPr>
            <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排卵及卵巢储备功能检查；</a:t>
          </a:r>
          <a:r>
            <a:rPr lang="en-US" altLang="zh-CN">
              <a:solidFill>
                <a:sysClr val="windowText" lastClr="000000"/>
              </a:solidFill>
              <a:latin typeface="等线" panose="02010600030101010101" charset="-122"/>
              <a:ea typeface="等线" panose="02010600030101010101" charset="-122"/>
              <a:cs typeface="+mn-cs"/>
            </a:rPr>
            <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输卵管通畅性及功能检查（男方精液</a:t>
          </a:r>
          <a:r>
            <a:rPr lang="zh-CN" altLang="en-US">
              <a:solidFill>
                <a:sysClr val="windowText" lastClr="000000"/>
              </a:solidFill>
              <a:latin typeface="等线" panose="02010600030101010101" charset="-122"/>
              <a:ea typeface="等线" panose="02010600030101010101" charset="-122"/>
              <a:cs typeface="+mn-cs"/>
            </a:rPr>
            <a:t>重度</a:t>
          </a:r>
          <a:r>
            <a:rPr lang="zh-CN" altLang="en-US">
              <a:solidFill>
                <a:sysClr val="windowText" lastClr="000000"/>
              </a:solidFill>
              <a:latin typeface="等线" panose="02010600030101010101" charset="-122"/>
              <a:ea typeface="等线" panose="02010600030101010101" charset="-122"/>
              <a:cs typeface="+mn-cs"/>
            </a:rPr>
            <a:t>异常</a:t>
          </a:r>
          <a:r>
            <a:rPr lang="zh-CN" altLang="en-US">
              <a:solidFill>
                <a:sysClr val="windowText" lastClr="000000"/>
              </a:solidFill>
              <a:latin typeface="等线" panose="02010600030101010101" charset="-122"/>
              <a:ea typeface="等线" panose="02010600030101010101" charset="-122"/>
              <a:cs typeface="+mn-cs"/>
            </a:rPr>
            <a:t>或者</a:t>
          </a:r>
          <a:r>
            <a:rPr lang="zh-CN" altLang="en-US">
              <a:solidFill>
                <a:sysClr val="windowText" lastClr="000000"/>
              </a:solidFill>
              <a:latin typeface="等线" panose="02010600030101010101" charset="-122"/>
              <a:ea typeface="等线" panose="02010600030101010101" charset="-122"/>
              <a:cs typeface="+mn-cs"/>
            </a:rPr>
            <a:t>无精子症</a:t>
          </a:r>
          <a:r>
            <a:rPr lang="zh-CN" altLang="en-US">
              <a:solidFill>
                <a:sysClr val="windowText" lastClr="000000"/>
              </a:solidFill>
              <a:latin typeface="等线" panose="02010600030101010101" charset="-122"/>
              <a:ea typeface="等线" panose="02010600030101010101" charset="-122"/>
              <a:cs typeface="+mn-cs"/>
            </a:rPr>
            <a:t>者</a:t>
          </a:r>
          <a:r>
            <a:rPr lang="zh-CN" altLang="en-US">
              <a:solidFill>
                <a:sysClr val="windowText" lastClr="000000"/>
              </a:solidFill>
              <a:latin typeface="等线" panose="02010600030101010101" charset="-122"/>
              <a:ea typeface="等线" panose="02010600030101010101" charset="-122"/>
              <a:cs typeface="+mn-cs"/>
            </a:rPr>
            <a:t>宜</a:t>
          </a:r>
          <a:r>
            <a:rPr lang="zh-CN" altLang="en-US">
              <a:solidFill>
                <a:sysClr val="windowText" lastClr="000000"/>
              </a:solidFill>
              <a:latin typeface="等线" panose="02010600030101010101" charset="-122"/>
              <a:ea typeface="等线" panose="02010600030101010101" charset="-122"/>
              <a:cs typeface="+mn-cs"/>
            </a:rPr>
            <a:t>不查</a:t>
          </a:r>
          <a:r>
            <a:rPr lang="zh-CN" altLang="en-US">
              <a:solidFill>
                <a:sysClr val="windowText" lastClr="000000"/>
              </a:solidFill>
              <a:latin typeface="等线" panose="02010600030101010101" charset="-122"/>
              <a:ea typeface="等线" panose="02010600030101010101" charset="-122"/>
              <a:cs typeface="+mn-cs"/>
            </a:rPr>
            <a:t>）；</a:t>
          </a:r>
          <a:r>
            <a:rPr lang="en-US" altLang="zh-CN">
              <a:solidFill>
                <a:sysClr val="windowText" lastClr="000000"/>
              </a:solidFill>
              <a:latin typeface="等线" panose="02010600030101010101" charset="-122"/>
              <a:ea typeface="等线" panose="02010600030101010101" charset="-122"/>
              <a:cs typeface="+mn-cs"/>
            </a:rPr>
            <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生殖道常见病原体检查；</a:t>
          </a:r>
          <a:r>
            <a:rPr lang="en-US" altLang="zh-CN">
              <a:solidFill>
                <a:sysClr val="windowText" lastClr="000000"/>
              </a:solidFill>
              <a:latin typeface="等线" panose="02010600030101010101" charset="-122"/>
              <a:ea typeface="等线" panose="02010600030101010101" charset="-122"/>
              <a:cs typeface="+mn-cs"/>
            </a:rPr>
            <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5.</a:t>
          </a:r>
          <a:r>
            <a:rPr lang="zh-CN" altLang="en-US">
              <a:solidFill>
                <a:sysClr val="windowText" lastClr="000000"/>
              </a:solidFill>
              <a:latin typeface="等线" panose="02010600030101010101" charset="-122"/>
              <a:ea typeface="等线" panose="02010600030101010101" charset="-122"/>
              <a:cs typeface="+mn-cs"/>
            </a:rPr>
            <a:t>全身状态评估。</a:t>
          </a:r>
          <a:r>
            <a:rPr lang="en-US" altLang="zh-CN">
              <a:solidFill>
                <a:sysClr val="windowText" lastClr="000000"/>
              </a:solidFill>
              <a:latin typeface="等线" panose="02010600030101010101" charset="-122"/>
              <a:ea typeface="等线" panose="02010600030101010101" charset="-122"/>
              <a:cs typeface="+mn-cs"/>
            </a:rPr>
            <a:t/>
          </a:r>
          <a:endParaRPr lang="en-US" altLang="zh-CN">
            <a:solidFill>
              <a:sysClr val="windowText" lastClr="000000"/>
            </a:solidFill>
            <a:latin typeface="等线" panose="02010600030101010101" charset="-122"/>
            <a:ea typeface="等线" panose="02010600030101010101" charset="-122"/>
            <a:cs typeface="+mn-cs"/>
          </a:endParaRPr>
        </a:p>
      </dgm:t>
    </dgm:pt>
    <dgm:pt modelId="{831CC65D-A0D7-4CF7-B700-D7A070508494}" cxnId="{07248770-76A8-4255-BF3F-C0371D34B6AF}" type="parTrans">
      <dgm:prSet/>
      <dgm:spPr>
        <a:xfrm>
          <a:off x="2977273" y="2257618"/>
          <a:ext cx="91440" cy="120439"/>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E8B21BD4-78CC-4067-8CBE-AD2E1412E1DD}" cxnId="{07248770-76A8-4255-BF3F-C0371D34B6AF}" type="sibTrans">
      <dgm:prSet/>
      <dgm:spPr/>
      <dgm:t>
        <a:bodyPr/>
        <a:p>
          <a:pPr algn="ctr"/>
          <a:endParaRPr lang="zh-CN" altLang="en-US"/>
        </a:p>
      </dgm:t>
    </dgm:pt>
    <dgm:pt modelId="{276048AB-4D0E-415A-B6C9-D381C2FFD470}">
      <dgm:prSet/>
      <dgm:spPr>
        <a:xfrm>
          <a:off x="3819466" y="1920008"/>
          <a:ext cx="675220" cy="33761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p>
          <a:pPr algn="ctr">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选查项目</a:t>
          </a:r>
        </a:p>
      </dgm:t>
    </dgm:pt>
    <dgm:pt modelId="{099F3899-71CD-4CFE-9D6C-37DA1D85F824}" cxnId="{0BC9F90B-2F53-4DA2-817E-40758189F761}" type="parTrans">
      <dgm:prSet/>
      <dgm:spPr>
        <a:xfrm>
          <a:off x="3551982" y="1782800"/>
          <a:ext cx="605093" cy="137208"/>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BD8E6640-019F-46A4-BF7A-373FC74B036B}" cxnId="{0BC9F90B-2F53-4DA2-817E-40758189F761}" type="sibTrans">
      <dgm:prSet/>
      <dgm:spPr/>
      <dgm:t>
        <a:bodyPr/>
        <a:p>
          <a:pPr algn="ctr"/>
          <a:endParaRPr lang="zh-CN" altLang="en-US"/>
        </a:p>
      </dgm:t>
    </dgm:pt>
    <dgm:pt modelId="{EDA27B57-DB28-4447-98B8-4DD137224542}">
      <dgm:prSet phldr="0" custT="0"/>
      <dgm:spPr>
        <a:xfrm>
          <a:off x="3685637" y="2377348"/>
          <a:ext cx="940298" cy="810453"/>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wrap="square"/>
        <a:p>
          <a:pPr algn="l">
            <a:lnSpc>
              <a:spcPct val="100000"/>
            </a:lnSpc>
            <a:spcBef>
              <a:spcPct val="0"/>
            </a:spcBef>
            <a:spcAft>
              <a:spcPct val="35000"/>
            </a:spcAft>
          </a:pPr>
          <a:r>
            <a:rPr lang="en-US" altLang="zh-CN">
              <a:solidFill>
                <a:sysClr val="windowText" lastClr="000000">
                  <a:hueOff val="0"/>
                  <a:satOff val="0"/>
                  <a:lumOff val="0"/>
                  <a:alphaOff val="0"/>
                </a:sysClr>
              </a:solidFill>
              <a:latin typeface="等线" panose="02010600030101010101" charset="-122"/>
              <a:ea typeface="等线" panose="02010600030101010101" charset="-122"/>
              <a:cs typeface="+mn-cs"/>
            </a:rPr>
            <a:t>1</a:t>
          </a:r>
          <a:r>
            <a:rPr lang="en-US" altLang="zh-CN">
              <a:solidFill>
                <a:sysClr val="windowText" lastClr="000000"/>
              </a:solidFill>
              <a:latin typeface="等线" panose="02010600030101010101" charset="-122"/>
              <a:ea typeface="等线" panose="02010600030101010101" charset="-122"/>
              <a:cs typeface="+mn-cs"/>
            </a:rPr>
            <a:t>.</a:t>
          </a:r>
          <a:r>
            <a:rPr lang="zh-CN" altLang="en-US">
              <a:solidFill>
                <a:sysClr val="windowText" lastClr="000000"/>
              </a:solidFill>
              <a:latin typeface="等线" panose="02010600030101010101" charset="-122"/>
              <a:ea typeface="等线" panose="02010600030101010101" charset="-122"/>
              <a:cs typeface="+mn-cs"/>
            </a:rPr>
            <a:t> 生殖外科针对性检查；</a:t>
          </a: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免疫因素检测；</a:t>
          </a: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血栓前状态；</a:t>
          </a: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其他内分泌检测；</a:t>
          </a:r>
          <a:endParaRPr lang="en-US" altLang="zh-CN">
            <a:solidFill>
              <a:sysClr val="windowText" lastClr="000000"/>
            </a:solidFill>
            <a:latin typeface="等线" panose="02010600030101010101" charset="-122"/>
            <a:ea typeface="等线" panose="02010600030101010101" charset="-122"/>
            <a:cs typeface="+mn-cs"/>
          </a:endParaRPr>
        </a:p>
        <a:p>
          <a:pPr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5.</a:t>
          </a:r>
          <a:r>
            <a:rPr lang="zh-CN" altLang="en-US">
              <a:solidFill>
                <a:sysClr val="windowText" lastClr="000000"/>
              </a:solidFill>
              <a:latin typeface="等线" panose="02010600030101010101" charset="-122"/>
              <a:ea typeface="等线" panose="02010600030101010101" charset="-122"/>
              <a:cs typeface="+mn-cs"/>
            </a:rPr>
            <a:t>基因筛查。</a:t>
          </a:r>
          <a:endParaRPr>
            <a:solidFill>
              <a:sysClr val="windowText" lastClr="000000"/>
            </a:solidFill>
          </a:endParaRPr>
        </a:p>
      </dgm:t>
    </dgm:pt>
    <dgm:pt modelId="{CBF65A14-704B-4E6E-A867-4DAEA63FAB83}" cxnId="{1D662DA5-68EF-4920-9501-1569BD080BC7}" type="parTrans">
      <dgm:prSet/>
      <dgm:spPr>
        <a:xfrm>
          <a:off x="4110066" y="2257618"/>
          <a:ext cx="91440" cy="119730"/>
        </a:xfrm>
        <a:noFill/>
        <a:ln w="12700" cap="flat" cmpd="sng" algn="ctr">
          <a:solidFill>
            <a:sysClr val="windowText" lastClr="000000">
              <a:shade val="80000"/>
              <a:hueOff val="0"/>
              <a:satOff val="0"/>
              <a:lumOff val="0"/>
              <a:alphaOff val="0"/>
            </a:sysClr>
          </a:solidFill>
          <a:prstDash val="solid"/>
          <a:miter lim="800000"/>
        </a:ln>
        <a:effectLst/>
      </dgm:spPr>
      <dgm:t>
        <a:bodyPr/>
        <a:p>
          <a:pPr algn="ctr"/>
          <a:endParaRPr lang="zh-CN" altLang="en-US"/>
        </a:p>
      </dgm:t>
    </dgm:pt>
    <dgm:pt modelId="{82CE229B-357E-4BAF-AE08-F8DDE9C67254}" cxnId="{1D662DA5-68EF-4920-9501-1569BD080BC7}" type="sibTrans">
      <dgm:prSet/>
      <dgm:spPr/>
      <dgm:t>
        <a:bodyPr/>
        <a:p>
          <a:pPr algn="ctr"/>
          <a:endParaRPr lang="zh-CN" altLang="en-US"/>
        </a:p>
      </dgm:t>
    </dgm:pt>
    <dgm:pt modelId="{120D3BD1-011A-4F16-B4A7-6CEF75A1436D}" type="pres">
      <dgm:prSet presAssocID="{A2AEC0FD-5357-4DF6-AA04-BD020D7A2298}" presName="hierChild1" presStyleCnt="0">
        <dgm:presLayoutVars>
          <dgm:orgChart val="1"/>
          <dgm:chPref val="1"/>
          <dgm:dir/>
          <dgm:animOne val="branch"/>
          <dgm:animLvl val="lvl"/>
          <dgm:resizeHandles/>
        </dgm:presLayoutVars>
      </dgm:prSet>
      <dgm:spPr/>
    </dgm:pt>
    <dgm:pt modelId="{3BF7DC96-D3E0-4F9A-AFEB-D7102E7A8C48}" type="pres">
      <dgm:prSet presAssocID="{368DA904-3128-4BA4-A175-2ABB8A217113}" presName="hierRoot1" presStyleCnt="0">
        <dgm:presLayoutVars>
          <dgm:hierBranch val="init"/>
        </dgm:presLayoutVars>
      </dgm:prSet>
      <dgm:spPr/>
    </dgm:pt>
    <dgm:pt modelId="{5AA98CB6-C2FC-465C-9FF1-5D6C77912A96}" type="pres">
      <dgm:prSet presAssocID="{368DA904-3128-4BA4-A175-2ABB8A217113}" presName="rootComposite1" presStyleCnt="0"/>
      <dgm:spPr/>
    </dgm:pt>
    <dgm:pt modelId="{45B33024-E1CE-44C9-972C-0FBA7047005F}" type="pres">
      <dgm:prSet presAssocID="{368DA904-3128-4BA4-A175-2ABB8A217113}" presName="rootText1" presStyleLbl="node0" presStyleIdx="0" presStyleCnt="1" custLinFactNeighborX="3599" custLinFactNeighborY="3599">
        <dgm:presLayoutVars>
          <dgm:chPref val="3"/>
        </dgm:presLayoutVars>
      </dgm:prSet>
      <dgm:spPr>
        <a:prstGeom prst="roundRect">
          <a:avLst/>
        </a:prstGeom>
      </dgm:spPr>
    </dgm:pt>
    <dgm:pt modelId="{9F3E570D-C411-4DF4-B75C-7008B9D5C5A7}" type="pres">
      <dgm:prSet presAssocID="{368DA904-3128-4BA4-A175-2ABB8A217113}" presName="rootConnector1" presStyleCnt="0"/>
      <dgm:spPr/>
    </dgm:pt>
    <dgm:pt modelId="{196A6823-FA9F-400B-B34B-D518A5D0B4C7}" type="pres">
      <dgm:prSet presAssocID="{368DA904-3128-4BA4-A175-2ABB8A217113}" presName="hierChild2" presStyleCnt="0"/>
      <dgm:spPr/>
    </dgm:pt>
    <dgm:pt modelId="{E0B8DDA0-0289-4872-8AEF-FFDC9E015C11}" type="pres">
      <dgm:prSet presAssocID="{CBC33C52-D8CE-4950-97E3-D4F4D2F4829D}" presName="Name37" presStyleLbl="parChTrans1D2" presStyleIdx="0" presStyleCnt="2"/>
      <dgm:spPr>
        <a:custGeom>
          <a:avLst/>
          <a:gdLst/>
          <a:ahLst/>
          <a:cxnLst/>
          <a:rect l="0" t="0" r="0" b="0"/>
          <a:pathLst>
            <a:path>
              <a:moveTo>
                <a:pt x="432816" y="0"/>
              </a:moveTo>
              <a:lnTo>
                <a:pt x="432816" y="58744"/>
              </a:lnTo>
              <a:lnTo>
                <a:pt x="0" y="58744"/>
              </a:lnTo>
              <a:lnTo>
                <a:pt x="0" y="129642"/>
              </a:lnTo>
            </a:path>
          </a:pathLst>
        </a:custGeom>
      </dgm:spPr>
    </dgm:pt>
    <dgm:pt modelId="{B99A0CFA-836C-4143-9F8F-6289E231D29C}" type="pres">
      <dgm:prSet presAssocID="{0FB21EB1-7C86-40C9-BAB4-B751C99F7554}" presName="hierRoot2" presStyleCnt="0">
        <dgm:presLayoutVars>
          <dgm:hierBranch/>
        </dgm:presLayoutVars>
      </dgm:prSet>
      <dgm:spPr/>
    </dgm:pt>
    <dgm:pt modelId="{25627DFC-AC18-459F-86CF-0561B8A7C55B}" type="pres">
      <dgm:prSet presAssocID="{0FB21EB1-7C86-40C9-BAB4-B751C99F7554}" presName="rootComposite" presStyleCnt="0"/>
      <dgm:spPr/>
    </dgm:pt>
    <dgm:pt modelId="{C1B70AAF-A991-4005-BC16-60A33F4628C2}" type="pres">
      <dgm:prSet presAssocID="{0FB21EB1-7C86-40C9-BAB4-B751C99F7554}" presName="rootText" presStyleLbl="node2" presStyleIdx="0" presStyleCnt="2">
        <dgm:presLayoutVars>
          <dgm:chPref val="3"/>
        </dgm:presLayoutVars>
      </dgm:prSet>
      <dgm:spPr>
        <a:prstGeom prst="rect">
          <a:avLst/>
        </a:prstGeom>
      </dgm:spPr>
    </dgm:pt>
    <dgm:pt modelId="{606A5016-C99F-4DBC-BE2A-5D8FC88083FB}" type="pres">
      <dgm:prSet presAssocID="{0FB21EB1-7C86-40C9-BAB4-B751C99F7554}" presName="rootConnector" presStyleCnt="0"/>
      <dgm:spPr/>
    </dgm:pt>
    <dgm:pt modelId="{E146225E-98F7-4FE2-8BA8-1BA06EAD77B9}" type="pres">
      <dgm:prSet presAssocID="{0FB21EB1-7C86-40C9-BAB4-B751C99F7554}" presName="hierChild4" presStyleCnt="0"/>
      <dgm:spPr/>
    </dgm:pt>
    <dgm:pt modelId="{FF6E5096-19F4-463F-80DF-0A4206C1E016}" type="pres">
      <dgm:prSet presAssocID="{072F713B-4A34-468D-BC53-7EE22AB344C1}" presName="Name35" presStyleLbl="parChTrans1D3" presStyleIdx="0" presStyleCnt="2"/>
      <dgm:spPr>
        <a:custGeom>
          <a:avLst/>
          <a:gdLst/>
          <a:ahLst/>
          <a:cxnLst/>
          <a:rect l="0" t="0" r="0" b="0"/>
          <a:pathLst>
            <a:path>
              <a:moveTo>
                <a:pt x="0" y="0"/>
              </a:moveTo>
              <a:lnTo>
                <a:pt x="0" y="71259"/>
              </a:lnTo>
              <a:lnTo>
                <a:pt x="466388" y="71259"/>
              </a:lnTo>
              <a:lnTo>
                <a:pt x="466388" y="142157"/>
              </a:lnTo>
            </a:path>
          </a:pathLst>
        </a:custGeom>
      </dgm:spPr>
    </dgm:pt>
    <dgm:pt modelId="{EC6208C3-2033-42A4-878E-032E6D96EFA4}" type="pres">
      <dgm:prSet presAssocID="{037A9105-CF96-42A9-8F6E-62ADC64137DB}" presName="hierRoot2" presStyleCnt="0">
        <dgm:presLayoutVars>
          <dgm:hierBranch val="hang"/>
        </dgm:presLayoutVars>
      </dgm:prSet>
      <dgm:spPr/>
    </dgm:pt>
    <dgm:pt modelId="{F6FC71D5-BF99-48B2-9862-2F87528DB70C}" type="pres">
      <dgm:prSet presAssocID="{037A9105-CF96-42A9-8F6E-62ADC64137DB}" presName="rootComposite" presStyleCnt="0"/>
      <dgm:spPr/>
    </dgm:pt>
    <dgm:pt modelId="{7FAB8DB7-DB84-461E-A764-A59F8BE66F97}" type="pres">
      <dgm:prSet presAssocID="{037A9105-CF96-42A9-8F6E-62ADC64137DB}" presName="rootText" presStyleLbl="node3" presStyleIdx="0" presStyleCnt="2" custLinFactNeighborX="69072" custLinFactNeighborY="107">
        <dgm:presLayoutVars>
          <dgm:chPref val="3"/>
        </dgm:presLayoutVars>
      </dgm:prSet>
      <dgm:spPr>
        <a:prstGeom prst="rect">
          <a:avLst/>
        </a:prstGeom>
      </dgm:spPr>
    </dgm:pt>
    <dgm:pt modelId="{84296F03-3CDD-46CA-BDA2-716741FB9A6F}" type="pres">
      <dgm:prSet presAssocID="{037A9105-CF96-42A9-8F6E-62ADC64137DB}" presName="rootConnector" presStyleCnt="0"/>
      <dgm:spPr/>
    </dgm:pt>
    <dgm:pt modelId="{B9F524B1-CD26-4F06-91FA-FE5089D12E8C}" type="pres">
      <dgm:prSet presAssocID="{037A9105-CF96-42A9-8F6E-62ADC64137DB}" presName="hierChild4" presStyleCnt="0"/>
      <dgm:spPr/>
    </dgm:pt>
    <dgm:pt modelId="{DA4A4E98-38F7-4BD0-ACF2-7795DB8C0729}" type="pres">
      <dgm:prSet presAssocID="{037A9105-CF96-42A9-8F6E-62ADC64137DB}" presName="hierChild5" presStyleCnt="0"/>
      <dgm:spPr/>
    </dgm:pt>
    <dgm:pt modelId="{D030E8D8-CA7D-4D68-8E75-3F53A434666B}" type="pres">
      <dgm:prSet presAssocID="{0FB21EB1-7C86-40C9-BAB4-B751C99F7554}" presName="hierChild5" presStyleCnt="0"/>
      <dgm:spPr/>
    </dgm:pt>
    <dgm:pt modelId="{530AD1DF-A633-49F1-9A5D-B8028CFC16C7}" type="pres">
      <dgm:prSet presAssocID="{B9B51E67-BFB3-40C9-A828-985CC1368558}" presName="Name37" presStyleLbl="parChTrans1D2" presStyleIdx="1" presStyleCnt="2"/>
      <dgm:spPr>
        <a:custGeom>
          <a:avLst/>
          <a:gdLst/>
          <a:ahLst/>
          <a:cxnLst/>
          <a:rect l="0" t="0" r="0" b="0"/>
          <a:pathLst>
            <a:path>
              <a:moveTo>
                <a:pt x="0" y="0"/>
              </a:moveTo>
              <a:lnTo>
                <a:pt x="0" y="58744"/>
              </a:lnTo>
              <a:lnTo>
                <a:pt x="384200" y="58744"/>
              </a:lnTo>
              <a:lnTo>
                <a:pt x="384200" y="129642"/>
              </a:lnTo>
            </a:path>
          </a:pathLst>
        </a:custGeom>
      </dgm:spPr>
    </dgm:pt>
    <dgm:pt modelId="{9E5FB72B-D40C-4F9D-A40D-5439B71A1406}" type="pres">
      <dgm:prSet presAssocID="{C3C5F6F8-08C1-4101-BC26-F1D3CF3EB6B9}" presName="hierRoot2" presStyleCnt="0">
        <dgm:presLayoutVars>
          <dgm:hierBranch/>
        </dgm:presLayoutVars>
      </dgm:prSet>
      <dgm:spPr/>
    </dgm:pt>
    <dgm:pt modelId="{E43C3086-D49D-44E0-94AE-4176C6D8619D}" type="pres">
      <dgm:prSet presAssocID="{C3C5F6F8-08C1-4101-BC26-F1D3CF3EB6B9}" presName="rootComposite" presStyleCnt="0"/>
      <dgm:spPr/>
    </dgm:pt>
    <dgm:pt modelId="{E1E61435-FCFC-4DD7-A25D-B441FFAF8045}" type="pres">
      <dgm:prSet presAssocID="{C3C5F6F8-08C1-4101-BC26-F1D3CF3EB6B9}" presName="rootText" presStyleLbl="node2" presStyleIdx="1" presStyleCnt="2">
        <dgm:presLayoutVars>
          <dgm:chPref val="3"/>
        </dgm:presLayoutVars>
      </dgm:prSet>
      <dgm:spPr>
        <a:prstGeom prst="rect">
          <a:avLst/>
        </a:prstGeom>
      </dgm:spPr>
    </dgm:pt>
    <dgm:pt modelId="{1240AE66-611E-48DA-9AD8-95B65FAFED31}" type="pres">
      <dgm:prSet presAssocID="{C3C5F6F8-08C1-4101-BC26-F1D3CF3EB6B9}" presName="rootConnector" presStyleCnt="0"/>
      <dgm:spPr/>
    </dgm:pt>
    <dgm:pt modelId="{1421AAF6-3373-4152-AC0B-4AB6648C1630}" type="pres">
      <dgm:prSet presAssocID="{C3C5F6F8-08C1-4101-BC26-F1D3CF3EB6B9}" presName="hierChild4" presStyleCnt="0"/>
      <dgm:spPr/>
    </dgm:pt>
    <dgm:pt modelId="{3F0EB376-8EF9-4154-BDF0-B1EBEE59C3A7}" type="pres">
      <dgm:prSet presAssocID="{87B3DFFF-AA69-4CAF-99A6-C82184E2175D}" presName="Name35" presStyleLbl="parChTrans1D3" presStyleIdx="1" presStyleCnt="2"/>
      <dgm:spPr>
        <a:custGeom>
          <a:avLst/>
          <a:gdLst/>
          <a:ahLst/>
          <a:cxnLst/>
          <a:rect l="0" t="0" r="0" b="0"/>
          <a:pathLst>
            <a:path>
              <a:moveTo>
                <a:pt x="349791" y="0"/>
              </a:moveTo>
              <a:lnTo>
                <a:pt x="349791" y="71259"/>
              </a:lnTo>
              <a:lnTo>
                <a:pt x="0" y="71259"/>
              </a:lnTo>
              <a:lnTo>
                <a:pt x="0" y="142157"/>
              </a:lnTo>
            </a:path>
          </a:pathLst>
        </a:custGeom>
      </dgm:spPr>
    </dgm:pt>
    <dgm:pt modelId="{8CBC167F-CD6B-4C91-A62B-F62168853C75}" type="pres">
      <dgm:prSet presAssocID="{99888C89-1C46-42A1-941A-921D57316317}" presName="hierRoot2" presStyleCnt="0">
        <dgm:presLayoutVars>
          <dgm:hierBranch/>
        </dgm:presLayoutVars>
      </dgm:prSet>
      <dgm:spPr/>
    </dgm:pt>
    <dgm:pt modelId="{BF1B1257-9ECA-4B47-86C9-A4CF3CF0C90D}" type="pres">
      <dgm:prSet presAssocID="{99888C89-1C46-42A1-941A-921D57316317}" presName="rootComposite" presStyleCnt="0"/>
      <dgm:spPr/>
    </dgm:pt>
    <dgm:pt modelId="{F3D6EE9D-240B-4AF8-B9CE-8BB89B58DA85}" type="pres">
      <dgm:prSet presAssocID="{99888C89-1C46-42A1-941A-921D57316317}" presName="rootText" presStyleLbl="node3" presStyleIdx="1" presStyleCnt="2" custLinFactNeighborX="-51803" custLinFactNeighborY="107">
        <dgm:presLayoutVars>
          <dgm:chPref val="3"/>
        </dgm:presLayoutVars>
      </dgm:prSet>
      <dgm:spPr>
        <a:prstGeom prst="rect">
          <a:avLst/>
        </a:prstGeom>
      </dgm:spPr>
    </dgm:pt>
    <dgm:pt modelId="{F05D193D-06C2-4C29-A7B3-D4CF29091C65}" type="pres">
      <dgm:prSet presAssocID="{99888C89-1C46-42A1-941A-921D57316317}" presName="rootConnector" presStyleCnt="0"/>
      <dgm:spPr/>
    </dgm:pt>
    <dgm:pt modelId="{9084BAE7-F923-49BB-B382-97A389C47CF2}" type="pres">
      <dgm:prSet presAssocID="{99888C89-1C46-42A1-941A-921D57316317}" presName="hierChild4" presStyleCnt="0"/>
      <dgm:spPr/>
    </dgm:pt>
    <dgm:pt modelId="{98201598-0C6C-4BAC-9985-E230275733BD}" type="pres">
      <dgm:prSet presAssocID="{C96DC987-CB04-4FC7-9973-681B04DB679B}" presName="Name35" presStyleLbl="parChTrans1D4" presStyleIdx="0" presStyleCnt="10"/>
      <dgm:spPr>
        <a:custGeom>
          <a:avLst/>
          <a:gdLst/>
          <a:ahLst/>
          <a:cxnLst/>
          <a:rect l="0" t="0" r="0" b="0"/>
          <a:pathLst>
            <a:path>
              <a:moveTo>
                <a:pt x="1160000" y="0"/>
              </a:moveTo>
              <a:lnTo>
                <a:pt x="1160000" y="77154"/>
              </a:lnTo>
              <a:lnTo>
                <a:pt x="0" y="77154"/>
              </a:lnTo>
              <a:lnTo>
                <a:pt x="0" y="148052"/>
              </a:lnTo>
            </a:path>
          </a:pathLst>
        </a:custGeom>
      </dgm:spPr>
    </dgm:pt>
    <dgm:pt modelId="{43763AC4-9FA7-41B0-92E8-40272EA45DC6}" type="pres">
      <dgm:prSet presAssocID="{34F6ECBD-AC39-4E5E-BEDD-4AF94F46567E}" presName="hierRoot2" presStyleCnt="0">
        <dgm:presLayoutVars>
          <dgm:hierBranch/>
        </dgm:presLayoutVars>
      </dgm:prSet>
      <dgm:spPr/>
    </dgm:pt>
    <dgm:pt modelId="{F32FDCD8-13B9-46C2-AA68-5A8181FA751F}" type="pres">
      <dgm:prSet presAssocID="{34F6ECBD-AC39-4E5E-BEDD-4AF94F46567E}" presName="rootComposite" presStyleCnt="0"/>
      <dgm:spPr/>
    </dgm:pt>
    <dgm:pt modelId="{A3691879-667D-4020-B4BE-6C376597AB51}" type="pres">
      <dgm:prSet presAssocID="{34F6ECBD-AC39-4E5E-BEDD-4AF94F46567E}" presName="rootText" presStyleLbl="node4" presStyleIdx="0" presStyleCnt="10" custLinFactNeighborX="-36948" custLinFactNeighborY="1960">
        <dgm:presLayoutVars>
          <dgm:chPref val="3"/>
        </dgm:presLayoutVars>
      </dgm:prSet>
      <dgm:spPr>
        <a:prstGeom prst="rect">
          <a:avLst/>
        </a:prstGeom>
      </dgm:spPr>
    </dgm:pt>
    <dgm:pt modelId="{11C3F528-C0A6-415B-8907-62AD69614BCF}" type="pres">
      <dgm:prSet presAssocID="{34F6ECBD-AC39-4E5E-BEDD-4AF94F46567E}" presName="rootConnector" presStyleCnt="0"/>
      <dgm:spPr/>
    </dgm:pt>
    <dgm:pt modelId="{100C17D7-2D84-4915-8456-47EFA7C4E365}" type="pres">
      <dgm:prSet presAssocID="{34F6ECBD-AC39-4E5E-BEDD-4AF94F46567E}" presName="hierChild4" presStyleCnt="0"/>
      <dgm:spPr/>
    </dgm:pt>
    <dgm:pt modelId="{17D84B83-D216-42EB-B8EE-ED0F748ED9F4}" type="pres">
      <dgm:prSet presAssocID="{D2EA0C90-9478-4306-A45E-1504BBADB01A}" presName="Name35" presStyleLbl="parChTrans1D4" presStyleIdx="1" presStyleCnt="10"/>
      <dgm:spPr>
        <a:custGeom>
          <a:avLst/>
          <a:gdLst/>
          <a:ahLst/>
          <a:cxnLst/>
          <a:rect l="0" t="0" r="0" b="0"/>
          <a:pathLst>
            <a:path>
              <a:moveTo>
                <a:pt x="653265" y="0"/>
              </a:moveTo>
              <a:lnTo>
                <a:pt x="653265" y="69513"/>
              </a:lnTo>
              <a:lnTo>
                <a:pt x="0" y="69513"/>
              </a:lnTo>
              <a:lnTo>
                <a:pt x="0" y="140412"/>
              </a:lnTo>
            </a:path>
          </a:pathLst>
        </a:custGeom>
      </dgm:spPr>
    </dgm:pt>
    <dgm:pt modelId="{0D23FFF7-AC10-401A-8357-1F7A37A494BA}" type="pres">
      <dgm:prSet presAssocID="{9C7414A4-8A16-48B1-99C0-4E5C222874BE}" presName="hierRoot2" presStyleCnt="0">
        <dgm:presLayoutVars>
          <dgm:hierBranch/>
        </dgm:presLayoutVars>
      </dgm:prSet>
      <dgm:spPr/>
    </dgm:pt>
    <dgm:pt modelId="{3A3C5ECE-736A-4111-998C-2EA259B66AE6}" type="pres">
      <dgm:prSet presAssocID="{9C7414A4-8A16-48B1-99C0-4E5C222874BE}" presName="rootComposite" presStyleCnt="0"/>
      <dgm:spPr/>
    </dgm:pt>
    <dgm:pt modelId="{4AEFB816-361F-4C98-B510-D6CF0E28F287}" type="pres">
      <dgm:prSet presAssocID="{9C7414A4-8A16-48B1-99C0-4E5C222874BE}" presName="rootText" presStyleLbl="node4" presStyleIdx="1" presStyleCnt="10" custLinFactNeighborX="-44313" custLinFactNeighborY="1550">
        <dgm:presLayoutVars>
          <dgm:chPref val="3"/>
        </dgm:presLayoutVars>
      </dgm:prSet>
      <dgm:spPr>
        <a:prstGeom prst="rect">
          <a:avLst/>
        </a:prstGeom>
      </dgm:spPr>
    </dgm:pt>
    <dgm:pt modelId="{C0315C9E-3A28-4AD1-8E57-153C64BD6233}" type="pres">
      <dgm:prSet presAssocID="{9C7414A4-8A16-48B1-99C0-4E5C222874BE}" presName="rootConnector" presStyleCnt="0"/>
      <dgm:spPr/>
    </dgm:pt>
    <dgm:pt modelId="{25736819-E9D6-415A-81AB-5E546384A1EC}" type="pres">
      <dgm:prSet presAssocID="{9C7414A4-8A16-48B1-99C0-4E5C222874BE}" presName="hierChild4" presStyleCnt="0"/>
      <dgm:spPr/>
    </dgm:pt>
    <dgm:pt modelId="{1F197F1E-7BB5-4B95-A5CA-1637A4B466E4}" type="pres">
      <dgm:prSet presAssocID="{C91404C8-1FE7-433F-B1F0-DFDB6D58A5F2}" presName="Name35" presStyleLbl="parChTrans1D4" presStyleIdx="2" presStyleCnt="10"/>
      <dgm:spPr>
        <a:custGeom>
          <a:avLst/>
          <a:gdLst/>
          <a:ahLst/>
          <a:cxnLst/>
          <a:rect l="0" t="0" r="0" b="0"/>
          <a:pathLst>
            <a:path>
              <a:moveTo>
                <a:pt x="48373" y="0"/>
              </a:moveTo>
              <a:lnTo>
                <a:pt x="48373" y="66441"/>
              </a:lnTo>
              <a:lnTo>
                <a:pt x="45720" y="66441"/>
              </a:lnTo>
              <a:lnTo>
                <a:pt x="45720" y="137339"/>
              </a:lnTo>
            </a:path>
          </a:pathLst>
        </a:custGeom>
      </dgm:spPr>
    </dgm:pt>
    <dgm:pt modelId="{C368540A-7C77-4DC4-A006-9F44E013526C}" type="pres">
      <dgm:prSet presAssocID="{09B66337-D363-45F2-A816-070511B3A2B5}" presName="hierRoot2" presStyleCnt="0">
        <dgm:presLayoutVars>
          <dgm:hierBranch val="init"/>
        </dgm:presLayoutVars>
      </dgm:prSet>
      <dgm:spPr/>
    </dgm:pt>
    <dgm:pt modelId="{C6B2853F-C1E1-4B67-AE87-EF33B189B09B}" type="pres">
      <dgm:prSet presAssocID="{09B66337-D363-45F2-A816-070511B3A2B5}" presName="rootComposite" presStyleCnt="0"/>
      <dgm:spPr/>
    </dgm:pt>
    <dgm:pt modelId="{509D04CB-0FB5-4F83-8116-C96E7E09870C}" type="pres">
      <dgm:prSet presAssocID="{09B66337-D363-45F2-A816-070511B3A2B5}" presName="rootText" presStyleLbl="node4" presStyleIdx="2" presStyleCnt="10" custScaleX="158409" custScaleY="244726" custLinFactNeighborX="-44706" custLinFactNeighborY="230">
        <dgm:presLayoutVars>
          <dgm:chPref val="3"/>
        </dgm:presLayoutVars>
      </dgm:prSet>
      <dgm:spPr>
        <a:prstGeom prst="rect">
          <a:avLst/>
        </a:prstGeom>
      </dgm:spPr>
    </dgm:pt>
    <dgm:pt modelId="{B725DD45-7D5D-4267-BC77-19D2B8C733C0}" type="pres">
      <dgm:prSet presAssocID="{09B66337-D363-45F2-A816-070511B3A2B5}" presName="rootConnector" presStyleCnt="0"/>
      <dgm:spPr/>
    </dgm:pt>
    <dgm:pt modelId="{A413AD1B-79D6-4F4C-A0D0-E6A6C8347955}" type="pres">
      <dgm:prSet presAssocID="{09B66337-D363-45F2-A816-070511B3A2B5}" presName="hierChild4" presStyleCnt="0"/>
      <dgm:spPr/>
    </dgm:pt>
    <dgm:pt modelId="{DFE8B9E0-9049-4922-AB17-B603F7A591E0}" type="pres">
      <dgm:prSet presAssocID="{09B66337-D363-45F2-A816-070511B3A2B5}" presName="hierChild5" presStyleCnt="0"/>
      <dgm:spPr/>
    </dgm:pt>
    <dgm:pt modelId="{1A6C46F9-EF42-4E37-B040-7966F2E7CA31}" type="pres">
      <dgm:prSet presAssocID="{9C7414A4-8A16-48B1-99C0-4E5C222874BE}" presName="hierChild5" presStyleCnt="0"/>
      <dgm:spPr/>
    </dgm:pt>
    <dgm:pt modelId="{6D29A5B8-C804-43DA-8239-2E29A5F62CC1}" type="pres">
      <dgm:prSet presAssocID="{7DDF18C9-9BEA-49D4-A950-22861BE2450D}" presName="Name35" presStyleLbl="parChTrans1D4" presStyleIdx="3" presStyleCnt="10"/>
      <dgm:spPr>
        <a:custGeom>
          <a:avLst/>
          <a:gdLst/>
          <a:ahLst/>
          <a:cxnLst/>
          <a:rect l="0" t="0" r="0" b="0"/>
          <a:pathLst>
            <a:path>
              <a:moveTo>
                <a:pt x="0" y="0"/>
              </a:moveTo>
              <a:lnTo>
                <a:pt x="0" y="69513"/>
              </a:lnTo>
              <a:lnTo>
                <a:pt x="542036" y="69513"/>
              </a:lnTo>
              <a:lnTo>
                <a:pt x="542036" y="140412"/>
              </a:lnTo>
            </a:path>
          </a:pathLst>
        </a:custGeom>
      </dgm:spPr>
    </dgm:pt>
    <dgm:pt modelId="{E8CF0C0B-037C-4A73-AC6B-DB878FD9F5A6}" type="pres">
      <dgm:prSet presAssocID="{2F96C146-C87F-4901-95B3-988F88495932}" presName="hierRoot2" presStyleCnt="0">
        <dgm:presLayoutVars>
          <dgm:hierBranch/>
        </dgm:presLayoutVars>
      </dgm:prSet>
      <dgm:spPr/>
    </dgm:pt>
    <dgm:pt modelId="{53BDF970-ECF0-4148-ADD4-081BF8F60E5B}" type="pres">
      <dgm:prSet presAssocID="{2F96C146-C87F-4901-95B3-988F88495932}" presName="rootComposite" presStyleCnt="0"/>
      <dgm:spPr/>
    </dgm:pt>
    <dgm:pt modelId="{AB14C21F-859D-4495-9F16-5AC4DC6F847E}" type="pres">
      <dgm:prSet presAssocID="{2F96C146-C87F-4901-95B3-988F88495932}" presName="rootText" presStyleLbl="node4" presStyleIdx="3" presStyleCnt="10" custLinFactNeighborX="-46056" custLinFactNeighborY="1550">
        <dgm:presLayoutVars>
          <dgm:chPref val="3"/>
        </dgm:presLayoutVars>
      </dgm:prSet>
      <dgm:spPr>
        <a:prstGeom prst="rect">
          <a:avLst/>
        </a:prstGeom>
      </dgm:spPr>
    </dgm:pt>
    <dgm:pt modelId="{859BEB20-C870-41B2-9F1E-5ABB58637A77}" type="pres">
      <dgm:prSet presAssocID="{2F96C146-C87F-4901-95B3-988F88495932}" presName="rootConnector" presStyleCnt="0"/>
      <dgm:spPr/>
    </dgm:pt>
    <dgm:pt modelId="{511FAEDB-1C3D-4D74-82ED-6BB141DB54A8}" type="pres">
      <dgm:prSet presAssocID="{2F96C146-C87F-4901-95B3-988F88495932}" presName="hierChild4" presStyleCnt="0"/>
      <dgm:spPr/>
    </dgm:pt>
    <dgm:pt modelId="{27D37A8E-0C1C-43C5-AF6D-7C9184C98A0F}" type="pres">
      <dgm:prSet presAssocID="{BE34B3DE-D1E6-4E34-A97A-0FADDC1CDC99}" presName="Name35" presStyleLbl="parChTrans1D4" presStyleIdx="4" presStyleCnt="10"/>
      <dgm:spPr>
        <a:custGeom>
          <a:avLst/>
          <a:gdLst/>
          <a:ahLst/>
          <a:cxnLst/>
          <a:rect l="0" t="0" r="0" b="0"/>
          <a:pathLst>
            <a:path>
              <a:moveTo>
                <a:pt x="45720" y="0"/>
              </a:moveTo>
              <a:lnTo>
                <a:pt x="45720" y="57278"/>
              </a:lnTo>
              <a:lnTo>
                <a:pt x="46408" y="57278"/>
              </a:lnTo>
              <a:lnTo>
                <a:pt x="46408" y="128177"/>
              </a:lnTo>
            </a:path>
          </a:pathLst>
        </a:custGeom>
      </dgm:spPr>
    </dgm:pt>
    <dgm:pt modelId="{3BADD168-1FFA-4263-A130-F1DC5BE3AFF5}" type="pres">
      <dgm:prSet presAssocID="{CEFA58F9-FEB0-4BCE-916C-92B50928150C}" presName="hierRoot2" presStyleCnt="0">
        <dgm:presLayoutVars>
          <dgm:hierBranch val="init"/>
        </dgm:presLayoutVars>
      </dgm:prSet>
      <dgm:spPr/>
    </dgm:pt>
    <dgm:pt modelId="{A09310B0-3EB2-470F-9EAA-03AE68B18DB6}" type="pres">
      <dgm:prSet presAssocID="{CEFA58F9-FEB0-4BCE-916C-92B50928150C}" presName="rootComposite" presStyleCnt="0"/>
      <dgm:spPr/>
    </dgm:pt>
    <dgm:pt modelId="{37CDEFF4-630E-49E9-B5FA-4000B366C49F}" type="pres">
      <dgm:prSet presAssocID="{CEFA58F9-FEB0-4BCE-916C-92B50928150C}" presName="rootText" presStyleLbl="node4" presStyleIdx="4" presStyleCnt="10" custScaleX="147330" custScaleY="247193" custLinFactNeighborX="-45954" custLinFactNeighborY="-2484">
        <dgm:presLayoutVars>
          <dgm:chPref val="3"/>
        </dgm:presLayoutVars>
      </dgm:prSet>
      <dgm:spPr>
        <a:prstGeom prst="rect">
          <a:avLst/>
        </a:prstGeom>
      </dgm:spPr>
    </dgm:pt>
    <dgm:pt modelId="{01873082-453F-4E48-88E6-8FC77FD49783}" type="pres">
      <dgm:prSet presAssocID="{CEFA58F9-FEB0-4BCE-916C-92B50928150C}" presName="rootConnector" presStyleCnt="0"/>
      <dgm:spPr/>
    </dgm:pt>
    <dgm:pt modelId="{5FF9D262-2C0F-43B6-AABB-1B6F8D110AD6}" type="pres">
      <dgm:prSet presAssocID="{CEFA58F9-FEB0-4BCE-916C-92B50928150C}" presName="hierChild4" presStyleCnt="0"/>
      <dgm:spPr/>
    </dgm:pt>
    <dgm:pt modelId="{13A67E80-ADB3-4734-B153-6DED4D35E874}" type="pres">
      <dgm:prSet presAssocID="{CEFA58F9-FEB0-4BCE-916C-92B50928150C}" presName="hierChild5" presStyleCnt="0"/>
      <dgm:spPr/>
    </dgm:pt>
    <dgm:pt modelId="{CC8AEFF2-70B6-4C2D-BB16-CE9516860CD4}" type="pres">
      <dgm:prSet presAssocID="{2F96C146-C87F-4901-95B3-988F88495932}" presName="hierChild5" presStyleCnt="0"/>
      <dgm:spPr/>
    </dgm:pt>
    <dgm:pt modelId="{FFBE64D0-CDA9-49FA-B3BB-0650EE823D69}" type="pres">
      <dgm:prSet presAssocID="{34F6ECBD-AC39-4E5E-BEDD-4AF94F46567E}" presName="hierChild5" presStyleCnt="0"/>
      <dgm:spPr/>
    </dgm:pt>
    <dgm:pt modelId="{BCDE2381-2A5D-473E-9CE3-EE7CF526025F}" type="pres">
      <dgm:prSet presAssocID="{D08FF45B-7735-4AFC-A740-BD912A90F2C7}" presName="Name35" presStyleLbl="parChTrans1D4" presStyleIdx="5" presStyleCnt="10"/>
      <dgm:spPr>
        <a:custGeom>
          <a:avLst/>
          <a:gdLst/>
          <a:ahLst/>
          <a:cxnLst/>
          <a:rect l="0" t="0" r="0" b="0"/>
          <a:pathLst>
            <a:path>
              <a:moveTo>
                <a:pt x="0" y="0"/>
              </a:moveTo>
              <a:lnTo>
                <a:pt x="0" y="76164"/>
              </a:lnTo>
              <a:lnTo>
                <a:pt x="1130385" y="76164"/>
              </a:lnTo>
              <a:lnTo>
                <a:pt x="1130385" y="147063"/>
              </a:lnTo>
            </a:path>
          </a:pathLst>
        </a:custGeom>
      </dgm:spPr>
    </dgm:pt>
    <dgm:pt modelId="{0E9E5D0A-E9AC-4DEF-90AB-60EC6F4501AA}" type="pres">
      <dgm:prSet presAssocID="{30B75364-EF14-4183-891C-216CED3B48B8}" presName="hierRoot2" presStyleCnt="0">
        <dgm:presLayoutVars>
          <dgm:hierBranch/>
        </dgm:presLayoutVars>
      </dgm:prSet>
      <dgm:spPr/>
    </dgm:pt>
    <dgm:pt modelId="{6E412937-8D3B-45CF-92D5-74671022345D}" type="pres">
      <dgm:prSet presAssocID="{30B75364-EF14-4183-891C-216CED3B48B8}" presName="rootComposite" presStyleCnt="0"/>
      <dgm:spPr/>
    </dgm:pt>
    <dgm:pt modelId="{3716CEC6-C71A-4CFF-9595-9275718F952E}" type="pres">
      <dgm:prSet presAssocID="{30B75364-EF14-4183-891C-216CED3B48B8}" presName="rootText" presStyleLbl="node4" presStyleIdx="5" presStyleCnt="10" custLinFactNeighborX="-71046" custLinFactNeighborY="1667">
        <dgm:presLayoutVars>
          <dgm:chPref val="3"/>
        </dgm:presLayoutVars>
      </dgm:prSet>
      <dgm:spPr>
        <a:prstGeom prst="rect">
          <a:avLst/>
        </a:prstGeom>
      </dgm:spPr>
    </dgm:pt>
    <dgm:pt modelId="{2551E94B-25B1-4845-AC2E-77276D20ED29}" type="pres">
      <dgm:prSet presAssocID="{30B75364-EF14-4183-891C-216CED3B48B8}" presName="rootConnector" presStyleCnt="0"/>
      <dgm:spPr/>
    </dgm:pt>
    <dgm:pt modelId="{6852548C-47A1-422F-8412-FCDBCCDD51DB}" type="pres">
      <dgm:prSet presAssocID="{30B75364-EF14-4183-891C-216CED3B48B8}" presName="hierChild4" presStyleCnt="0"/>
      <dgm:spPr/>
    </dgm:pt>
    <dgm:pt modelId="{AC678330-F781-4CCE-8534-7D3CB74E6C5D}" type="pres">
      <dgm:prSet presAssocID="{1F48B59E-1095-4329-8C6C-7F93CC7E59B2}" presName="Name35" presStyleLbl="parChTrans1D4" presStyleIdx="6" presStyleCnt="10"/>
      <dgm:spPr>
        <a:custGeom>
          <a:avLst/>
          <a:gdLst/>
          <a:ahLst/>
          <a:cxnLst/>
          <a:rect l="0" t="0" r="0" b="0"/>
          <a:pathLst>
            <a:path>
              <a:moveTo>
                <a:pt x="528523" y="0"/>
              </a:moveTo>
              <a:lnTo>
                <a:pt x="528523" y="66310"/>
              </a:lnTo>
              <a:lnTo>
                <a:pt x="0" y="66310"/>
              </a:lnTo>
              <a:lnTo>
                <a:pt x="0" y="137208"/>
              </a:lnTo>
            </a:path>
          </a:pathLst>
        </a:custGeom>
      </dgm:spPr>
    </dgm:pt>
    <dgm:pt modelId="{61ADE650-EF82-4943-A027-A60A9AF28345}" type="pres">
      <dgm:prSet presAssocID="{09D9A701-C05A-4806-954A-BEA971E57290}" presName="hierRoot2" presStyleCnt="0">
        <dgm:presLayoutVars>
          <dgm:hierBranch/>
        </dgm:presLayoutVars>
      </dgm:prSet>
      <dgm:spPr/>
    </dgm:pt>
    <dgm:pt modelId="{F99AD368-8579-45E7-8E89-949DD29743BF}" type="pres">
      <dgm:prSet presAssocID="{09D9A701-C05A-4806-954A-BEA971E57290}" presName="rootComposite" presStyleCnt="0"/>
      <dgm:spPr/>
    </dgm:pt>
    <dgm:pt modelId="{0A5BCD80-DFBB-4335-9F4D-23D9C4374F2E}" type="pres">
      <dgm:prSet presAssocID="{09D9A701-C05A-4806-954A-BEA971E57290}" presName="rootText" presStyleLbl="node4" presStyleIdx="6" presStyleCnt="10" custLinFactNeighborX="-59953" custLinFactNeighborY="308">
        <dgm:presLayoutVars>
          <dgm:chPref val="3"/>
        </dgm:presLayoutVars>
      </dgm:prSet>
      <dgm:spPr>
        <a:prstGeom prst="rect">
          <a:avLst/>
        </a:prstGeom>
      </dgm:spPr>
    </dgm:pt>
    <dgm:pt modelId="{BB40C5FC-0B44-474A-983E-A1310D13002C}" type="pres">
      <dgm:prSet presAssocID="{09D9A701-C05A-4806-954A-BEA971E57290}" presName="rootConnector" presStyleCnt="0"/>
      <dgm:spPr/>
    </dgm:pt>
    <dgm:pt modelId="{49C143C6-FFF6-44DB-800F-62AAC97A7B52}" type="pres">
      <dgm:prSet presAssocID="{09D9A701-C05A-4806-954A-BEA971E57290}" presName="hierChild4" presStyleCnt="0"/>
      <dgm:spPr/>
    </dgm:pt>
    <dgm:pt modelId="{878125C5-471B-4738-AC4D-D43146FD0BAD}" type="pres">
      <dgm:prSet presAssocID="{831CC65D-A0D7-4CF7-B700-D7A070508494}" presName="Name35" presStyleLbl="parChTrans1D4" presStyleIdx="7" presStyleCnt="10"/>
      <dgm:spPr>
        <a:custGeom>
          <a:avLst/>
          <a:gdLst/>
          <a:ahLst/>
          <a:cxnLst/>
          <a:rect l="0" t="0" r="0" b="0"/>
          <a:pathLst>
            <a:path>
              <a:moveTo>
                <a:pt x="46185" y="0"/>
              </a:moveTo>
              <a:lnTo>
                <a:pt x="46185" y="49540"/>
              </a:lnTo>
              <a:lnTo>
                <a:pt x="45720" y="49540"/>
              </a:lnTo>
              <a:lnTo>
                <a:pt x="45720" y="120439"/>
              </a:lnTo>
            </a:path>
          </a:pathLst>
        </a:custGeom>
      </dgm:spPr>
    </dgm:pt>
    <dgm:pt modelId="{B3A6CBB8-E055-4886-B286-48EA13749ACA}" type="pres">
      <dgm:prSet presAssocID="{1FDB030D-D2EE-43F4-BB21-45CA897F3346}" presName="hierRoot2" presStyleCnt="0">
        <dgm:presLayoutVars>
          <dgm:hierBranch val="init"/>
        </dgm:presLayoutVars>
      </dgm:prSet>
      <dgm:spPr/>
    </dgm:pt>
    <dgm:pt modelId="{71094579-155C-46A4-BA16-72A71479A010}" type="pres">
      <dgm:prSet presAssocID="{1FDB030D-D2EE-43F4-BB21-45CA897F3346}" presName="rootComposite" presStyleCnt="0"/>
      <dgm:spPr/>
    </dgm:pt>
    <dgm:pt modelId="{F5835F42-F7FE-4EF2-B3C9-FC5A68BD8921}" type="pres">
      <dgm:prSet presAssocID="{1FDB030D-D2EE-43F4-BB21-45CA897F3346}" presName="rootText" presStyleLbl="node4" presStyleIdx="7" presStyleCnt="10" custScaleX="185240" custScaleY="246501" custLinFactNeighborX="-60022" custLinFactNeighborY="-6018">
        <dgm:presLayoutVars>
          <dgm:chPref val="3"/>
        </dgm:presLayoutVars>
      </dgm:prSet>
      <dgm:spPr>
        <a:prstGeom prst="rect">
          <a:avLst/>
        </a:prstGeom>
      </dgm:spPr>
    </dgm:pt>
    <dgm:pt modelId="{57D41D46-9A51-49EC-AF18-393F59F11422}" type="pres">
      <dgm:prSet presAssocID="{1FDB030D-D2EE-43F4-BB21-45CA897F3346}" presName="rootConnector" presStyleCnt="0"/>
      <dgm:spPr/>
    </dgm:pt>
    <dgm:pt modelId="{C330FF55-2013-4307-9D6E-FFFE56D0591D}" type="pres">
      <dgm:prSet presAssocID="{1FDB030D-D2EE-43F4-BB21-45CA897F3346}" presName="hierChild4" presStyleCnt="0"/>
      <dgm:spPr/>
    </dgm:pt>
    <dgm:pt modelId="{C9995BE0-CD02-4D5E-AC81-7A2300F9D93B}" type="pres">
      <dgm:prSet presAssocID="{1FDB030D-D2EE-43F4-BB21-45CA897F3346}" presName="hierChild5" presStyleCnt="0"/>
      <dgm:spPr/>
    </dgm:pt>
    <dgm:pt modelId="{B9BA3AAF-6E6F-4914-9256-951F6EF80E01}" type="pres">
      <dgm:prSet presAssocID="{09D9A701-C05A-4806-954A-BEA971E57290}" presName="hierChild5" presStyleCnt="0"/>
      <dgm:spPr/>
    </dgm:pt>
    <dgm:pt modelId="{2714AC7C-3E59-46BF-8461-7EAFB78AE5DC}" type="pres">
      <dgm:prSet presAssocID="{099F3899-71CD-4CFE-9D6C-37DA1D85F824}" presName="Name35" presStyleLbl="parChTrans1D4" presStyleIdx="8" presStyleCnt="10"/>
      <dgm:spPr>
        <a:custGeom>
          <a:avLst/>
          <a:gdLst/>
          <a:ahLst/>
          <a:cxnLst/>
          <a:rect l="0" t="0" r="0" b="0"/>
          <a:pathLst>
            <a:path>
              <a:moveTo>
                <a:pt x="0" y="0"/>
              </a:moveTo>
              <a:lnTo>
                <a:pt x="0" y="66310"/>
              </a:lnTo>
              <a:lnTo>
                <a:pt x="605093" y="66310"/>
              </a:lnTo>
              <a:lnTo>
                <a:pt x="605093" y="137208"/>
              </a:lnTo>
            </a:path>
          </a:pathLst>
        </a:custGeom>
      </dgm:spPr>
    </dgm:pt>
    <dgm:pt modelId="{07FCA924-3852-4613-A6BB-56086967C682}" type="pres">
      <dgm:prSet presAssocID="{276048AB-4D0E-415A-B6C9-D381C2FFD470}" presName="hierRoot2" presStyleCnt="0">
        <dgm:presLayoutVars>
          <dgm:hierBranch/>
        </dgm:presLayoutVars>
      </dgm:prSet>
      <dgm:spPr/>
    </dgm:pt>
    <dgm:pt modelId="{2E136F39-BB51-4F65-8940-2B3B496A4F0F}" type="pres">
      <dgm:prSet presAssocID="{276048AB-4D0E-415A-B6C9-D381C2FFD470}" presName="rootComposite" presStyleCnt="0"/>
      <dgm:spPr/>
    </dgm:pt>
    <dgm:pt modelId="{62DB0E37-34B7-4AEC-B4DA-54B0334F9F64}" type="pres">
      <dgm:prSet presAssocID="{276048AB-4D0E-415A-B6C9-D381C2FFD470}" presName="rootText" presStyleLbl="node4" presStyleIdx="8" presStyleCnt="10" custLinFactNeighborX="-70799" custLinFactNeighborY="308">
        <dgm:presLayoutVars>
          <dgm:chPref val="3"/>
        </dgm:presLayoutVars>
      </dgm:prSet>
      <dgm:spPr>
        <a:prstGeom prst="rect">
          <a:avLst/>
        </a:prstGeom>
      </dgm:spPr>
    </dgm:pt>
    <dgm:pt modelId="{88046AE8-041B-44D7-A64B-7EF52797B5CA}" type="pres">
      <dgm:prSet presAssocID="{276048AB-4D0E-415A-B6C9-D381C2FFD470}" presName="rootConnector" presStyleCnt="0"/>
      <dgm:spPr/>
    </dgm:pt>
    <dgm:pt modelId="{94510198-81F6-4C9D-8CA9-6CB2EBBB5078}" type="pres">
      <dgm:prSet presAssocID="{276048AB-4D0E-415A-B6C9-D381C2FFD470}" presName="hierChild4" presStyleCnt="0"/>
      <dgm:spPr/>
    </dgm:pt>
    <dgm:pt modelId="{502210D7-6FDA-4FD5-83B2-228527321BAB}" type="pres">
      <dgm:prSet presAssocID="{CBF65A14-704B-4E6E-A867-4DAEA63FAB83}" presName="Name35" presStyleLbl="parChTrans1D4" presStyleIdx="9" presStyleCnt="10"/>
      <dgm:spPr>
        <a:custGeom>
          <a:avLst/>
          <a:gdLst/>
          <a:ahLst/>
          <a:cxnLst/>
          <a:rect l="0" t="0" r="0" b="0"/>
          <a:pathLst>
            <a:path>
              <a:moveTo>
                <a:pt x="47009" y="0"/>
              </a:moveTo>
              <a:lnTo>
                <a:pt x="47009" y="48831"/>
              </a:lnTo>
              <a:lnTo>
                <a:pt x="45720" y="48831"/>
              </a:lnTo>
              <a:lnTo>
                <a:pt x="45720" y="119730"/>
              </a:lnTo>
            </a:path>
          </a:pathLst>
        </a:custGeom>
      </dgm:spPr>
    </dgm:pt>
    <dgm:pt modelId="{4C66007B-2B75-483A-8BB5-8666778BC013}" type="pres">
      <dgm:prSet presAssocID="{EDA27B57-DB28-4447-98B8-4DD137224542}" presName="hierRoot2" presStyleCnt="0">
        <dgm:presLayoutVars>
          <dgm:hierBranch val="init"/>
        </dgm:presLayoutVars>
      </dgm:prSet>
      <dgm:spPr/>
    </dgm:pt>
    <dgm:pt modelId="{85DFEEE1-7A26-48DB-92DB-B5806A3666AA}" type="pres">
      <dgm:prSet presAssocID="{EDA27B57-DB28-4447-98B8-4DD137224542}" presName="rootComposite" presStyleCnt="0"/>
      <dgm:spPr/>
    </dgm:pt>
    <dgm:pt modelId="{4C840FEE-0B93-4D94-A574-32FFEE82470C}" type="pres">
      <dgm:prSet presAssocID="{EDA27B57-DB28-4447-98B8-4DD137224542}" presName="rootText" presStyleLbl="node4" presStyleIdx="9" presStyleCnt="10" custScaleX="149598" custScaleY="251655" custLinFactNeighborX="-70990" custLinFactNeighborY="-6228">
        <dgm:presLayoutVars>
          <dgm:chPref val="3"/>
        </dgm:presLayoutVars>
      </dgm:prSet>
      <dgm:spPr>
        <a:prstGeom prst="rect">
          <a:avLst/>
        </a:prstGeom>
      </dgm:spPr>
    </dgm:pt>
    <dgm:pt modelId="{FC47ED63-4EBD-4065-8A79-237BDD4F21FA}" type="pres">
      <dgm:prSet presAssocID="{EDA27B57-DB28-4447-98B8-4DD137224542}" presName="rootConnector" presStyleCnt="0"/>
      <dgm:spPr/>
    </dgm:pt>
    <dgm:pt modelId="{A3C6429C-B610-4DA9-858E-BAB39D1D669D}" type="pres">
      <dgm:prSet presAssocID="{EDA27B57-DB28-4447-98B8-4DD137224542}" presName="hierChild4" presStyleCnt="0"/>
      <dgm:spPr/>
    </dgm:pt>
    <dgm:pt modelId="{80927095-A605-4F78-B96A-7D5CB08B84BA}" type="pres">
      <dgm:prSet presAssocID="{EDA27B57-DB28-4447-98B8-4DD137224542}" presName="hierChild5" presStyleCnt="0"/>
      <dgm:spPr/>
    </dgm:pt>
    <dgm:pt modelId="{F6C952C3-7BCF-4F25-B118-C27DCD055948}" type="pres">
      <dgm:prSet presAssocID="{276048AB-4D0E-415A-B6C9-D381C2FFD470}" presName="hierChild5" presStyleCnt="0"/>
      <dgm:spPr/>
    </dgm:pt>
    <dgm:pt modelId="{A25EA689-7102-49D1-9296-8E6B778F3321}" type="pres">
      <dgm:prSet presAssocID="{30B75364-EF14-4183-891C-216CED3B48B8}" presName="hierChild5" presStyleCnt="0"/>
      <dgm:spPr/>
    </dgm:pt>
    <dgm:pt modelId="{A76B848B-E2AE-43BF-933F-C02433186562}" type="pres">
      <dgm:prSet presAssocID="{99888C89-1C46-42A1-941A-921D57316317}" presName="hierChild5" presStyleCnt="0"/>
      <dgm:spPr/>
    </dgm:pt>
    <dgm:pt modelId="{0C2BF225-532F-471F-BBE2-D8F4BA2BD5EB}" type="pres">
      <dgm:prSet presAssocID="{C3C5F6F8-08C1-4101-BC26-F1D3CF3EB6B9}" presName="hierChild5" presStyleCnt="0"/>
      <dgm:spPr/>
    </dgm:pt>
    <dgm:pt modelId="{83AB8EF9-DE68-4EE8-A41A-544ABD1621CA}" type="pres">
      <dgm:prSet presAssocID="{368DA904-3128-4BA4-A175-2ABB8A217113}" presName="hierChild3" presStyleCnt="0"/>
      <dgm:spPr/>
    </dgm:pt>
  </dgm:ptLst>
  <dgm:cxnLst>
    <dgm:cxn modelId="{458A2391-CEA1-48EC-AD43-219C4831A38B}" srcId="{A2AEC0FD-5357-4DF6-AA04-BD020D7A2298}" destId="{368DA904-3128-4BA4-A175-2ABB8A217113}" srcOrd="0" destOrd="0" parTransId="{43B68895-C9B9-409C-9DE2-CA95367F3C20}" sibTransId="{F84BA589-6B5E-46E4-A3D0-0B4DF2B8B80F}"/>
    <dgm:cxn modelId="{D358847D-2723-4BE1-8BF2-73588F05A9CC}" srcId="{368DA904-3128-4BA4-A175-2ABB8A217113}" destId="{0FB21EB1-7C86-40C9-BAB4-B751C99F7554}" srcOrd="0" destOrd="0" parTransId="{CBC33C52-D8CE-4950-97E3-D4F4D2F4829D}" sibTransId="{28A08EA6-884E-4758-AFE9-58223D493F2B}"/>
    <dgm:cxn modelId="{A1DDA881-2F07-4503-A165-D21D8913232E}" srcId="{0FB21EB1-7C86-40C9-BAB4-B751C99F7554}" destId="{037A9105-CF96-42A9-8F6E-62ADC64137DB}" srcOrd="0" destOrd="0" parTransId="{072F713B-4A34-468D-BC53-7EE22AB344C1}" sibTransId="{8AB3639F-4AA5-42BC-BD69-08864EF2C526}"/>
    <dgm:cxn modelId="{10F82EFC-A7E6-45BA-8EE6-83E82D882E47}" srcId="{368DA904-3128-4BA4-A175-2ABB8A217113}" destId="{C3C5F6F8-08C1-4101-BC26-F1D3CF3EB6B9}" srcOrd="1" destOrd="0" parTransId="{B9B51E67-BFB3-40C9-A828-985CC1368558}" sibTransId="{0F368D60-2952-439F-91D7-136EE2B48D2E}"/>
    <dgm:cxn modelId="{497701C4-7B1B-4B70-A589-11D80ED91BBB}" srcId="{C3C5F6F8-08C1-4101-BC26-F1D3CF3EB6B9}" destId="{99888C89-1C46-42A1-941A-921D57316317}" srcOrd="0" destOrd="1" parTransId="{87B3DFFF-AA69-4CAF-99A6-C82184E2175D}" sibTransId="{AC1AAA60-541B-4352-9C57-A2BECF94F02E}"/>
    <dgm:cxn modelId="{67486236-E551-45C9-B6AC-37A43C692113}" srcId="{99888C89-1C46-42A1-941A-921D57316317}" destId="{34F6ECBD-AC39-4E5E-BEDD-4AF94F46567E}" srcOrd="0" destOrd="0" parTransId="{C96DC987-CB04-4FC7-9973-681B04DB679B}" sibTransId="{21C47473-BC6C-4901-9825-097830E0DDA0}"/>
    <dgm:cxn modelId="{02097ADF-A8CD-4E37-BD50-73E068B491E3}" srcId="{34F6ECBD-AC39-4E5E-BEDD-4AF94F46567E}" destId="{9C7414A4-8A16-48B1-99C0-4E5C222874BE}" srcOrd="0" destOrd="0" parTransId="{D2EA0C90-9478-4306-A45E-1504BBADB01A}" sibTransId="{7E73B3CE-DCA4-4817-A6D4-21B3D86ADA6E}"/>
    <dgm:cxn modelId="{DF667732-C72C-425A-9F15-4D32ED1E836B}" srcId="{9C7414A4-8A16-48B1-99C0-4E5C222874BE}" destId="{09B66337-D363-45F2-A816-070511B3A2B5}" srcOrd="0" destOrd="0" parTransId="{C91404C8-1FE7-433F-B1F0-DFDB6D58A5F2}" sibTransId="{F5452DDE-1C3C-4CE3-B9FF-3F3841E06D23}"/>
    <dgm:cxn modelId="{40125992-C7D7-4DA8-A4B9-7F7E834B55F8}" srcId="{34F6ECBD-AC39-4E5E-BEDD-4AF94F46567E}" destId="{2F96C146-C87F-4901-95B3-988F88495932}" srcOrd="1" destOrd="0" parTransId="{7DDF18C9-9BEA-49D4-A950-22861BE2450D}" sibTransId="{4E1C9CDF-0055-488C-8069-D51573C53BB6}"/>
    <dgm:cxn modelId="{A7451F75-906E-4E4B-971A-D827F4B04E5D}" srcId="{2F96C146-C87F-4901-95B3-988F88495932}" destId="{CEFA58F9-FEB0-4BCE-916C-92B50928150C}" srcOrd="0" destOrd="1" parTransId="{BE34B3DE-D1E6-4E34-A97A-0FADDC1CDC99}" sibTransId="{8D542D9A-3305-4C35-80DA-2EC7440BCA84}"/>
    <dgm:cxn modelId="{2CBE56DE-3F93-4D22-8A65-D4C59767479A}" srcId="{99888C89-1C46-42A1-941A-921D57316317}" destId="{30B75364-EF14-4183-891C-216CED3B48B8}" srcOrd="1" destOrd="0" parTransId="{D08FF45B-7735-4AFC-A740-BD912A90F2C7}" sibTransId="{98D78B29-5076-47CD-86E4-220D4F0463C8}"/>
    <dgm:cxn modelId="{101895A8-08E2-4B73-8F02-6D4601242350}" srcId="{30B75364-EF14-4183-891C-216CED3B48B8}" destId="{09D9A701-C05A-4806-954A-BEA971E57290}" srcOrd="0" destOrd="1" parTransId="{1F48B59E-1095-4329-8C6C-7F93CC7E59B2}" sibTransId="{0D746150-B85E-4D61-8CF0-ED57B779BA07}"/>
    <dgm:cxn modelId="{07248770-76A8-4255-BF3F-C0371D34B6AF}" srcId="{09D9A701-C05A-4806-954A-BEA971E57290}" destId="{1FDB030D-D2EE-43F4-BB21-45CA897F3346}" srcOrd="0" destOrd="0" parTransId="{831CC65D-A0D7-4CF7-B700-D7A070508494}" sibTransId="{E8B21BD4-78CC-4067-8CBE-AD2E1412E1DD}"/>
    <dgm:cxn modelId="{0BC9F90B-2F53-4DA2-817E-40758189F761}" srcId="{30B75364-EF14-4183-891C-216CED3B48B8}" destId="{276048AB-4D0E-415A-B6C9-D381C2FFD470}" srcOrd="1" destOrd="1" parTransId="{099F3899-71CD-4CFE-9D6C-37DA1D85F824}" sibTransId="{BD8E6640-019F-46A4-BF7A-373FC74B036B}"/>
    <dgm:cxn modelId="{1D662DA5-68EF-4920-9501-1569BD080BC7}" srcId="{276048AB-4D0E-415A-B6C9-D381C2FFD470}" destId="{EDA27B57-DB28-4447-98B8-4DD137224542}" srcOrd="0" destOrd="1" parTransId="{CBF65A14-704B-4E6E-A867-4DAEA63FAB83}" sibTransId="{82CE229B-357E-4BAF-AE08-F8DDE9C67254}"/>
    <dgm:cxn modelId="{3A7FBDBE-4069-43A7-9F92-747736A34481}" type="presOf" srcId="{A2AEC0FD-5357-4DF6-AA04-BD020D7A2298}" destId="{120D3BD1-011A-4F16-B4A7-6CEF75A1436D}" srcOrd="0" destOrd="0" presId="urn:microsoft.com/office/officeart/2005/8/layout/orgChart1#1"/>
    <dgm:cxn modelId="{91D06FBF-479B-4868-8992-D2F8A71D7F8F}" type="presParOf" srcId="{120D3BD1-011A-4F16-B4A7-6CEF75A1436D}" destId="{3BF7DC96-D3E0-4F9A-AFEB-D7102E7A8C48}" srcOrd="0" destOrd="0" presId="urn:microsoft.com/office/officeart/2005/8/layout/orgChart1#1"/>
    <dgm:cxn modelId="{502F1575-7B9C-4630-A67B-FD36B256DC97}" type="presParOf" srcId="{3BF7DC96-D3E0-4F9A-AFEB-D7102E7A8C48}" destId="{5AA98CB6-C2FC-465C-9FF1-5D6C77912A96}" srcOrd="0" destOrd="0" presId="urn:microsoft.com/office/officeart/2005/8/layout/orgChart1#1"/>
    <dgm:cxn modelId="{C2350B96-673E-48E5-BE6D-FEB99DD51F61}" type="presOf" srcId="{368DA904-3128-4BA4-A175-2ABB8A217113}" destId="{5AA98CB6-C2FC-465C-9FF1-5D6C77912A96}" srcOrd="0" destOrd="0" presId="urn:microsoft.com/office/officeart/2005/8/layout/orgChart1#1"/>
    <dgm:cxn modelId="{E7CC7320-7B10-402F-A764-3573739A3358}" type="presParOf" srcId="{5AA98CB6-C2FC-465C-9FF1-5D6C77912A96}" destId="{45B33024-E1CE-44C9-972C-0FBA7047005F}" srcOrd="0" destOrd="0" presId="urn:microsoft.com/office/officeart/2005/8/layout/orgChart1#1"/>
    <dgm:cxn modelId="{6DF354D0-451E-4C46-ABDB-EFD441225649}" type="presOf" srcId="{368DA904-3128-4BA4-A175-2ABB8A217113}" destId="{45B33024-E1CE-44C9-972C-0FBA7047005F}" srcOrd="0" destOrd="0" presId="urn:microsoft.com/office/officeart/2005/8/layout/orgChart1#1"/>
    <dgm:cxn modelId="{016D647A-6BEE-48DB-A5B8-8D341D11264D}" type="presParOf" srcId="{5AA98CB6-C2FC-465C-9FF1-5D6C77912A96}" destId="{9F3E570D-C411-4DF4-B75C-7008B9D5C5A7}" srcOrd="1" destOrd="0" presId="urn:microsoft.com/office/officeart/2005/8/layout/orgChart1#1"/>
    <dgm:cxn modelId="{8A6050A2-3C0F-466C-BE0D-0EA6A82729B3}" type="presOf" srcId="{368DA904-3128-4BA4-A175-2ABB8A217113}" destId="{9F3E570D-C411-4DF4-B75C-7008B9D5C5A7}" srcOrd="0" destOrd="0" presId="urn:microsoft.com/office/officeart/2005/8/layout/orgChart1#1"/>
    <dgm:cxn modelId="{9153F6B5-5F84-455D-B8FB-7A381F1D6399}" type="presParOf" srcId="{3BF7DC96-D3E0-4F9A-AFEB-D7102E7A8C48}" destId="{196A6823-FA9F-400B-B34B-D518A5D0B4C7}" srcOrd="1" destOrd="0" presId="urn:microsoft.com/office/officeart/2005/8/layout/orgChart1#1"/>
    <dgm:cxn modelId="{55793A82-EEB5-447B-9138-DCD1A50FF5A7}" type="presParOf" srcId="{196A6823-FA9F-400B-B34B-D518A5D0B4C7}" destId="{E0B8DDA0-0289-4872-8AEF-FFDC9E015C11}" srcOrd="0" destOrd="1" presId="urn:microsoft.com/office/officeart/2005/8/layout/orgChart1#1"/>
    <dgm:cxn modelId="{123BCB9C-011C-4ECE-9CBD-AA568F766738}" type="presOf" srcId="{CBC33C52-D8CE-4950-97E3-D4F4D2F4829D}" destId="{E0B8DDA0-0289-4872-8AEF-FFDC9E015C11}" srcOrd="0" destOrd="0" presId="urn:microsoft.com/office/officeart/2005/8/layout/orgChart1#1"/>
    <dgm:cxn modelId="{DB76221E-B1BF-4CF5-B34E-E458C125C7D1}" type="presParOf" srcId="{196A6823-FA9F-400B-B34B-D518A5D0B4C7}" destId="{B99A0CFA-836C-4143-9F8F-6289E231D29C}" srcOrd="1" destOrd="1" presId="urn:microsoft.com/office/officeart/2005/8/layout/orgChart1#1"/>
    <dgm:cxn modelId="{FADD90FD-80EA-4AB2-A41B-FC9173D2EEB9}" type="presParOf" srcId="{B99A0CFA-836C-4143-9F8F-6289E231D29C}" destId="{25627DFC-AC18-459F-86CF-0561B8A7C55B}" srcOrd="0" destOrd="1" presId="urn:microsoft.com/office/officeart/2005/8/layout/orgChart1#1"/>
    <dgm:cxn modelId="{377A9D69-DDFE-4264-954D-F47B36BE7186}" type="presOf" srcId="{0FB21EB1-7C86-40C9-BAB4-B751C99F7554}" destId="{25627DFC-AC18-459F-86CF-0561B8A7C55B}" srcOrd="0" destOrd="0" presId="urn:microsoft.com/office/officeart/2005/8/layout/orgChart1#1"/>
    <dgm:cxn modelId="{F889C847-1AAC-4C0E-B6B6-DF08DF15FE3D}" type="presParOf" srcId="{25627DFC-AC18-459F-86CF-0561B8A7C55B}" destId="{C1B70AAF-A991-4005-BC16-60A33F4628C2}" srcOrd="0" destOrd="0" presId="urn:microsoft.com/office/officeart/2005/8/layout/orgChart1#1"/>
    <dgm:cxn modelId="{9FFDBCF1-0AFF-4209-A972-696212258170}" type="presOf" srcId="{0FB21EB1-7C86-40C9-BAB4-B751C99F7554}" destId="{C1B70AAF-A991-4005-BC16-60A33F4628C2}" srcOrd="0" destOrd="0" presId="urn:microsoft.com/office/officeart/2005/8/layout/orgChart1#1"/>
    <dgm:cxn modelId="{854BEF5D-2986-4820-81A4-FE91C219A5DE}" type="presParOf" srcId="{25627DFC-AC18-459F-86CF-0561B8A7C55B}" destId="{606A5016-C99F-4DBC-BE2A-5D8FC88083FB}" srcOrd="1" destOrd="0" presId="urn:microsoft.com/office/officeart/2005/8/layout/orgChart1#1"/>
    <dgm:cxn modelId="{F0FAE02B-B0A0-4F5B-8DE3-C85BDCA123DC}" type="presOf" srcId="{0FB21EB1-7C86-40C9-BAB4-B751C99F7554}" destId="{606A5016-C99F-4DBC-BE2A-5D8FC88083FB}" srcOrd="0" destOrd="0" presId="urn:microsoft.com/office/officeart/2005/8/layout/orgChart1#1"/>
    <dgm:cxn modelId="{33640E98-DDA0-4CAF-9BF2-9B8822951D43}" type="presParOf" srcId="{B99A0CFA-836C-4143-9F8F-6289E231D29C}" destId="{E146225E-98F7-4FE2-8BA8-1BA06EAD77B9}" srcOrd="1" destOrd="1" presId="urn:microsoft.com/office/officeart/2005/8/layout/orgChart1#1"/>
    <dgm:cxn modelId="{53F18F62-C7AA-4734-B465-8A21865CFD35}" type="presParOf" srcId="{E146225E-98F7-4FE2-8BA8-1BA06EAD77B9}" destId="{FF6E5096-19F4-463F-80DF-0A4206C1E016}" srcOrd="0" destOrd="1" presId="urn:microsoft.com/office/officeart/2005/8/layout/orgChart1#1"/>
    <dgm:cxn modelId="{54A1848A-D782-4F7B-8021-7DDBA4794317}" type="presOf" srcId="{072F713B-4A34-468D-BC53-7EE22AB344C1}" destId="{FF6E5096-19F4-463F-80DF-0A4206C1E016}" srcOrd="0" destOrd="0" presId="urn:microsoft.com/office/officeart/2005/8/layout/orgChart1#1"/>
    <dgm:cxn modelId="{6059BC8B-5DAB-4447-8DE4-7F228CF764BD}" type="presParOf" srcId="{E146225E-98F7-4FE2-8BA8-1BA06EAD77B9}" destId="{EC6208C3-2033-42A4-878E-032E6D96EFA4}" srcOrd="1" destOrd="1" presId="urn:microsoft.com/office/officeart/2005/8/layout/orgChart1#1"/>
    <dgm:cxn modelId="{00241CEF-3660-4325-B61E-13A76E73B0FA}" type="presParOf" srcId="{EC6208C3-2033-42A4-878E-032E6D96EFA4}" destId="{F6FC71D5-BF99-48B2-9862-2F87528DB70C}" srcOrd="0" destOrd="1" presId="urn:microsoft.com/office/officeart/2005/8/layout/orgChart1#1"/>
    <dgm:cxn modelId="{35FD1D71-95DD-4E76-8C52-517DB6CDBEA5}" type="presOf" srcId="{037A9105-CF96-42A9-8F6E-62ADC64137DB}" destId="{F6FC71D5-BF99-48B2-9862-2F87528DB70C}" srcOrd="0" destOrd="0" presId="urn:microsoft.com/office/officeart/2005/8/layout/orgChart1#1"/>
    <dgm:cxn modelId="{EBBABAFC-87D4-4029-B8F0-6AA8864CB2BB}" type="presParOf" srcId="{F6FC71D5-BF99-48B2-9862-2F87528DB70C}" destId="{7FAB8DB7-DB84-461E-A764-A59F8BE66F97}" srcOrd="0" destOrd="0" presId="urn:microsoft.com/office/officeart/2005/8/layout/orgChart1#1"/>
    <dgm:cxn modelId="{36B81A58-ABDD-44E7-8ABD-1684F77D84A6}" type="presOf" srcId="{037A9105-CF96-42A9-8F6E-62ADC64137DB}" destId="{7FAB8DB7-DB84-461E-A764-A59F8BE66F97}" srcOrd="0" destOrd="0" presId="urn:microsoft.com/office/officeart/2005/8/layout/orgChart1#1"/>
    <dgm:cxn modelId="{42DF3447-8892-43D6-91D6-0567D6AC370F}" type="presParOf" srcId="{F6FC71D5-BF99-48B2-9862-2F87528DB70C}" destId="{84296F03-3CDD-46CA-BDA2-716741FB9A6F}" srcOrd="1" destOrd="0" presId="urn:microsoft.com/office/officeart/2005/8/layout/orgChart1#1"/>
    <dgm:cxn modelId="{0C86347A-77BE-4D71-9207-BC0FD624DABA}" type="presOf" srcId="{037A9105-CF96-42A9-8F6E-62ADC64137DB}" destId="{84296F03-3CDD-46CA-BDA2-716741FB9A6F}" srcOrd="0" destOrd="0" presId="urn:microsoft.com/office/officeart/2005/8/layout/orgChart1#1"/>
    <dgm:cxn modelId="{A56C7EDF-CAFD-4EAE-8637-4A41C239727E}" type="presParOf" srcId="{EC6208C3-2033-42A4-878E-032E6D96EFA4}" destId="{B9F524B1-CD26-4F06-91FA-FE5089D12E8C}" srcOrd="1" destOrd="1" presId="urn:microsoft.com/office/officeart/2005/8/layout/orgChart1#1"/>
    <dgm:cxn modelId="{A02B4CAA-B36E-40F9-BDCA-69B7AF3FC605}" type="presParOf" srcId="{EC6208C3-2033-42A4-878E-032E6D96EFA4}" destId="{DA4A4E98-38F7-4BD0-ACF2-7795DB8C0729}" srcOrd="2" destOrd="1" presId="urn:microsoft.com/office/officeart/2005/8/layout/orgChart1#1"/>
    <dgm:cxn modelId="{2EAD972F-19E8-414E-93F0-589DAD06FFD3}" type="presParOf" srcId="{B99A0CFA-836C-4143-9F8F-6289E231D29C}" destId="{D030E8D8-CA7D-4D68-8E75-3F53A434666B}" srcOrd="2" destOrd="1" presId="urn:microsoft.com/office/officeart/2005/8/layout/orgChart1#1"/>
    <dgm:cxn modelId="{D8E83610-662C-4265-9575-1FA17FC1C8B1}" type="presParOf" srcId="{196A6823-FA9F-400B-B34B-D518A5D0B4C7}" destId="{530AD1DF-A633-49F1-9A5D-B8028CFC16C7}" srcOrd="2" destOrd="1" presId="urn:microsoft.com/office/officeart/2005/8/layout/orgChart1#1"/>
    <dgm:cxn modelId="{B66A5D40-C4C2-48D7-98C9-33C1C3E744A0}" type="presOf" srcId="{B9B51E67-BFB3-40C9-A828-985CC1368558}" destId="{530AD1DF-A633-49F1-9A5D-B8028CFC16C7}" srcOrd="0" destOrd="0" presId="urn:microsoft.com/office/officeart/2005/8/layout/orgChart1#1"/>
    <dgm:cxn modelId="{05AE2B8D-324A-4F42-9111-872283B29CFE}" type="presParOf" srcId="{196A6823-FA9F-400B-B34B-D518A5D0B4C7}" destId="{9E5FB72B-D40C-4F9D-A40D-5439B71A1406}" srcOrd="3" destOrd="1" presId="urn:microsoft.com/office/officeart/2005/8/layout/orgChart1#1"/>
    <dgm:cxn modelId="{8F94C22F-3B99-4D43-8534-A8BF617320FB}" type="presParOf" srcId="{9E5FB72B-D40C-4F9D-A40D-5439B71A1406}" destId="{E43C3086-D49D-44E0-94AE-4176C6D8619D}" srcOrd="0" destOrd="3" presId="urn:microsoft.com/office/officeart/2005/8/layout/orgChart1#1"/>
    <dgm:cxn modelId="{104A4B22-2176-441B-9701-6F7D4315B724}" type="presOf" srcId="{C3C5F6F8-08C1-4101-BC26-F1D3CF3EB6B9}" destId="{E43C3086-D49D-44E0-94AE-4176C6D8619D}" srcOrd="0" destOrd="0" presId="urn:microsoft.com/office/officeart/2005/8/layout/orgChart1#1"/>
    <dgm:cxn modelId="{FDBF69CA-301D-432C-BDE5-4090DC618488}" type="presParOf" srcId="{E43C3086-D49D-44E0-94AE-4176C6D8619D}" destId="{E1E61435-FCFC-4DD7-A25D-B441FFAF8045}" srcOrd="0" destOrd="0" presId="urn:microsoft.com/office/officeart/2005/8/layout/orgChart1#1"/>
    <dgm:cxn modelId="{56B9A1E2-5A2A-42B6-871F-C6456E94AD66}" type="presOf" srcId="{C3C5F6F8-08C1-4101-BC26-F1D3CF3EB6B9}" destId="{E1E61435-FCFC-4DD7-A25D-B441FFAF8045}" srcOrd="0" destOrd="0" presId="urn:microsoft.com/office/officeart/2005/8/layout/orgChart1#1"/>
    <dgm:cxn modelId="{315F6762-1204-45FF-B266-C5F2B62DF504}" type="presParOf" srcId="{E43C3086-D49D-44E0-94AE-4176C6D8619D}" destId="{1240AE66-611E-48DA-9AD8-95B65FAFED31}" srcOrd="1" destOrd="0" presId="urn:microsoft.com/office/officeart/2005/8/layout/orgChart1#1"/>
    <dgm:cxn modelId="{2A8233A7-E505-4C71-A5D4-308FCF85C755}" type="presOf" srcId="{C3C5F6F8-08C1-4101-BC26-F1D3CF3EB6B9}" destId="{1240AE66-611E-48DA-9AD8-95B65FAFED31}" srcOrd="0" destOrd="0" presId="urn:microsoft.com/office/officeart/2005/8/layout/orgChart1#1"/>
    <dgm:cxn modelId="{62F552EF-AEC4-4168-94E0-EADED4E2C7E6}" type="presParOf" srcId="{9E5FB72B-D40C-4F9D-A40D-5439B71A1406}" destId="{1421AAF6-3373-4152-AC0B-4AB6648C1630}" srcOrd="1" destOrd="3" presId="urn:microsoft.com/office/officeart/2005/8/layout/orgChart1#1"/>
    <dgm:cxn modelId="{02668A59-8776-4E26-90CF-9F02374346F0}" type="presParOf" srcId="{1421AAF6-3373-4152-AC0B-4AB6648C1630}" destId="{3F0EB376-8EF9-4154-BDF0-B1EBEE59C3A7}" srcOrd="0" destOrd="1" presId="urn:microsoft.com/office/officeart/2005/8/layout/orgChart1#1"/>
    <dgm:cxn modelId="{0FDABEB5-2F76-43C6-B441-93B0F4658B41}" type="presOf" srcId="{87B3DFFF-AA69-4CAF-99A6-C82184E2175D}" destId="{3F0EB376-8EF9-4154-BDF0-B1EBEE59C3A7}" srcOrd="0" destOrd="0" presId="urn:microsoft.com/office/officeart/2005/8/layout/orgChart1#1"/>
    <dgm:cxn modelId="{22584675-BCED-4928-B28A-405B3618A267}" type="presParOf" srcId="{1421AAF6-3373-4152-AC0B-4AB6648C1630}" destId="{8CBC167F-CD6B-4C91-A62B-F62168853C75}" srcOrd="1" destOrd="1" presId="urn:microsoft.com/office/officeart/2005/8/layout/orgChart1#1"/>
    <dgm:cxn modelId="{BCF2AB7C-902B-4F98-BDB7-963AD47781AF}" type="presParOf" srcId="{8CBC167F-CD6B-4C91-A62B-F62168853C75}" destId="{BF1B1257-9ECA-4B47-86C9-A4CF3CF0C90D}" srcOrd="0" destOrd="1" presId="urn:microsoft.com/office/officeart/2005/8/layout/orgChart1#1"/>
    <dgm:cxn modelId="{CE83F077-13B4-40F4-B019-B3F31BCC838D}" type="presOf" srcId="{99888C89-1C46-42A1-941A-921D57316317}" destId="{BF1B1257-9ECA-4B47-86C9-A4CF3CF0C90D}" srcOrd="0" destOrd="0" presId="urn:microsoft.com/office/officeart/2005/8/layout/orgChart1#1"/>
    <dgm:cxn modelId="{36360375-292F-4D74-8CFA-3BEE37332730}" type="presParOf" srcId="{BF1B1257-9ECA-4B47-86C9-A4CF3CF0C90D}" destId="{F3D6EE9D-240B-4AF8-B9CE-8BB89B58DA85}" srcOrd="0" destOrd="0" presId="urn:microsoft.com/office/officeart/2005/8/layout/orgChart1#1"/>
    <dgm:cxn modelId="{6DC14457-3D8C-474B-867B-A560B97D6734}" type="presOf" srcId="{99888C89-1C46-42A1-941A-921D57316317}" destId="{F3D6EE9D-240B-4AF8-B9CE-8BB89B58DA85}" srcOrd="0" destOrd="0" presId="urn:microsoft.com/office/officeart/2005/8/layout/orgChart1#1"/>
    <dgm:cxn modelId="{4A5F4E4B-D05C-49E8-947A-867C0002A296}" type="presParOf" srcId="{BF1B1257-9ECA-4B47-86C9-A4CF3CF0C90D}" destId="{F05D193D-06C2-4C29-A7B3-D4CF29091C65}" srcOrd="1" destOrd="0" presId="urn:microsoft.com/office/officeart/2005/8/layout/orgChart1#1"/>
    <dgm:cxn modelId="{674BEF9D-5BA0-41AD-9569-04847B199A79}" type="presOf" srcId="{99888C89-1C46-42A1-941A-921D57316317}" destId="{F05D193D-06C2-4C29-A7B3-D4CF29091C65}" srcOrd="0" destOrd="0" presId="urn:microsoft.com/office/officeart/2005/8/layout/orgChart1#1"/>
    <dgm:cxn modelId="{EBABF316-2524-45A8-90E7-B8EECF80E0C5}" type="presParOf" srcId="{8CBC167F-CD6B-4C91-A62B-F62168853C75}" destId="{9084BAE7-F923-49BB-B382-97A389C47CF2}" srcOrd="1" destOrd="1" presId="urn:microsoft.com/office/officeart/2005/8/layout/orgChart1#1"/>
    <dgm:cxn modelId="{9C0AC3A6-9F9A-42DE-869F-6EFE3B8B0491}" type="presParOf" srcId="{9084BAE7-F923-49BB-B382-97A389C47CF2}" destId="{98201598-0C6C-4BAC-9985-E230275733BD}" srcOrd="0" destOrd="1" presId="urn:microsoft.com/office/officeart/2005/8/layout/orgChart1#1"/>
    <dgm:cxn modelId="{E7E209AF-7C3F-43E5-81EE-0012B8963217}" type="presOf" srcId="{C96DC987-CB04-4FC7-9973-681B04DB679B}" destId="{98201598-0C6C-4BAC-9985-E230275733BD}" srcOrd="0" destOrd="0" presId="urn:microsoft.com/office/officeart/2005/8/layout/orgChart1#1"/>
    <dgm:cxn modelId="{C013B191-74C5-4902-82BB-3678843459C2}" type="presParOf" srcId="{9084BAE7-F923-49BB-B382-97A389C47CF2}" destId="{43763AC4-9FA7-41B0-92E8-40272EA45DC6}" srcOrd="1" destOrd="1" presId="urn:microsoft.com/office/officeart/2005/8/layout/orgChart1#1"/>
    <dgm:cxn modelId="{F44EAF96-2DFD-4D66-A661-FED68ED2F9DB}" type="presParOf" srcId="{43763AC4-9FA7-41B0-92E8-40272EA45DC6}" destId="{F32FDCD8-13B9-46C2-AA68-5A8181FA751F}" srcOrd="0" destOrd="1" presId="urn:microsoft.com/office/officeart/2005/8/layout/orgChart1#1"/>
    <dgm:cxn modelId="{E5537F64-4C0F-4CF1-ADB9-F622DB36910A}" type="presOf" srcId="{34F6ECBD-AC39-4E5E-BEDD-4AF94F46567E}" destId="{F32FDCD8-13B9-46C2-AA68-5A8181FA751F}" srcOrd="0" destOrd="0" presId="urn:microsoft.com/office/officeart/2005/8/layout/orgChart1#1"/>
    <dgm:cxn modelId="{EC4D0757-220B-4BA9-BA1B-4091FD7648D2}" type="presParOf" srcId="{F32FDCD8-13B9-46C2-AA68-5A8181FA751F}" destId="{A3691879-667D-4020-B4BE-6C376597AB51}" srcOrd="0" destOrd="0" presId="urn:microsoft.com/office/officeart/2005/8/layout/orgChart1#1"/>
    <dgm:cxn modelId="{D9089B67-A7B3-4EE4-A1C7-81291B74FCBD}" type="presOf" srcId="{34F6ECBD-AC39-4E5E-BEDD-4AF94F46567E}" destId="{A3691879-667D-4020-B4BE-6C376597AB51}" srcOrd="0" destOrd="0" presId="urn:microsoft.com/office/officeart/2005/8/layout/orgChart1#1"/>
    <dgm:cxn modelId="{9A563D17-EABD-4F28-B8F0-79DD4CA06C72}" type="presParOf" srcId="{F32FDCD8-13B9-46C2-AA68-5A8181FA751F}" destId="{11C3F528-C0A6-415B-8907-62AD69614BCF}" srcOrd="1" destOrd="0" presId="urn:microsoft.com/office/officeart/2005/8/layout/orgChart1#1"/>
    <dgm:cxn modelId="{E1740C8C-6DA2-44AF-A1CC-262BDBA0DB81}" type="presOf" srcId="{34F6ECBD-AC39-4E5E-BEDD-4AF94F46567E}" destId="{11C3F528-C0A6-415B-8907-62AD69614BCF}" srcOrd="0" destOrd="0" presId="urn:microsoft.com/office/officeart/2005/8/layout/orgChart1#1"/>
    <dgm:cxn modelId="{8DCA2361-0717-4F4D-8568-5D36ED284475}" type="presParOf" srcId="{43763AC4-9FA7-41B0-92E8-40272EA45DC6}" destId="{100C17D7-2D84-4915-8456-47EFA7C4E365}" srcOrd="1" destOrd="1" presId="urn:microsoft.com/office/officeart/2005/8/layout/orgChart1#1"/>
    <dgm:cxn modelId="{441D9CCD-630E-4F6F-B686-2D2C4EF12B8F}" type="presParOf" srcId="{100C17D7-2D84-4915-8456-47EFA7C4E365}" destId="{17D84B83-D216-42EB-B8EE-ED0F748ED9F4}" srcOrd="0" destOrd="1" presId="urn:microsoft.com/office/officeart/2005/8/layout/orgChart1#1"/>
    <dgm:cxn modelId="{CDCDDF0D-EB8D-4F3E-A19D-3F6974E083E6}" type="presOf" srcId="{D2EA0C90-9478-4306-A45E-1504BBADB01A}" destId="{17D84B83-D216-42EB-B8EE-ED0F748ED9F4}" srcOrd="0" destOrd="0" presId="urn:microsoft.com/office/officeart/2005/8/layout/orgChart1#1"/>
    <dgm:cxn modelId="{9B388222-CEB9-4F1E-8A4C-B864A496BD34}" type="presParOf" srcId="{100C17D7-2D84-4915-8456-47EFA7C4E365}" destId="{0D23FFF7-AC10-401A-8357-1F7A37A494BA}" srcOrd="1" destOrd="1" presId="urn:microsoft.com/office/officeart/2005/8/layout/orgChart1#1"/>
    <dgm:cxn modelId="{8AFEF9D6-5B39-40E4-A3AD-0C226D20C9A1}" type="presParOf" srcId="{0D23FFF7-AC10-401A-8357-1F7A37A494BA}" destId="{3A3C5ECE-736A-4111-998C-2EA259B66AE6}" srcOrd="0" destOrd="1" presId="urn:microsoft.com/office/officeart/2005/8/layout/orgChart1#1"/>
    <dgm:cxn modelId="{2DFD4A40-4BDB-406C-A8D1-AA2DA78A70DE}" type="presOf" srcId="{9C7414A4-8A16-48B1-99C0-4E5C222874BE}" destId="{3A3C5ECE-736A-4111-998C-2EA259B66AE6}" srcOrd="0" destOrd="0" presId="urn:microsoft.com/office/officeart/2005/8/layout/orgChart1#1"/>
    <dgm:cxn modelId="{02E98C66-D40F-4CBD-ABBA-DB4C2B475D93}" type="presParOf" srcId="{3A3C5ECE-736A-4111-998C-2EA259B66AE6}" destId="{4AEFB816-361F-4C98-B510-D6CF0E28F287}" srcOrd="0" destOrd="0" presId="urn:microsoft.com/office/officeart/2005/8/layout/orgChart1#1"/>
    <dgm:cxn modelId="{A198825C-1F70-47B4-9D8F-F256EF5E85E9}" type="presOf" srcId="{9C7414A4-8A16-48B1-99C0-4E5C222874BE}" destId="{4AEFB816-361F-4C98-B510-D6CF0E28F287}" srcOrd="0" destOrd="0" presId="urn:microsoft.com/office/officeart/2005/8/layout/orgChart1#1"/>
    <dgm:cxn modelId="{92842C2E-B3FF-47EC-B8E9-FC953207A21B}" type="presParOf" srcId="{3A3C5ECE-736A-4111-998C-2EA259B66AE6}" destId="{C0315C9E-3A28-4AD1-8E57-153C64BD6233}" srcOrd="1" destOrd="0" presId="urn:microsoft.com/office/officeart/2005/8/layout/orgChart1#1"/>
    <dgm:cxn modelId="{4457F7DB-6CE7-4924-83BE-0F259ADB6614}" type="presOf" srcId="{9C7414A4-8A16-48B1-99C0-4E5C222874BE}" destId="{C0315C9E-3A28-4AD1-8E57-153C64BD6233}" srcOrd="0" destOrd="0" presId="urn:microsoft.com/office/officeart/2005/8/layout/orgChart1#1"/>
    <dgm:cxn modelId="{673C21F1-589D-421D-8C1B-DB3E3393C08F}" type="presParOf" srcId="{0D23FFF7-AC10-401A-8357-1F7A37A494BA}" destId="{25736819-E9D6-415A-81AB-5E546384A1EC}" srcOrd="1" destOrd="1" presId="urn:microsoft.com/office/officeart/2005/8/layout/orgChart1#1"/>
    <dgm:cxn modelId="{C398E04A-741E-4323-A5C3-80A669F2B943}" type="presParOf" srcId="{25736819-E9D6-415A-81AB-5E546384A1EC}" destId="{1F197F1E-7BB5-4B95-A5CA-1637A4B466E4}" srcOrd="0" destOrd="1" presId="urn:microsoft.com/office/officeart/2005/8/layout/orgChart1#1"/>
    <dgm:cxn modelId="{4B9A88C0-C9F7-4B13-AB11-814747B41DB5}" type="presOf" srcId="{C91404C8-1FE7-433F-B1F0-DFDB6D58A5F2}" destId="{1F197F1E-7BB5-4B95-A5CA-1637A4B466E4}" srcOrd="0" destOrd="0" presId="urn:microsoft.com/office/officeart/2005/8/layout/orgChart1#1"/>
    <dgm:cxn modelId="{D9749292-3077-4933-9BA8-86054766B3B6}" type="presParOf" srcId="{25736819-E9D6-415A-81AB-5E546384A1EC}" destId="{C368540A-7C77-4DC4-A006-9F44E013526C}" srcOrd="1" destOrd="1" presId="urn:microsoft.com/office/officeart/2005/8/layout/orgChart1#1"/>
    <dgm:cxn modelId="{164D6A1D-88B3-4E37-BF50-C2345658F287}" type="presParOf" srcId="{C368540A-7C77-4DC4-A006-9F44E013526C}" destId="{C6B2853F-C1E1-4B67-AE87-EF33B189B09B}" srcOrd="0" destOrd="1" presId="urn:microsoft.com/office/officeart/2005/8/layout/orgChart1#1"/>
    <dgm:cxn modelId="{6053E1F6-2E89-4114-B2B5-93E636A1337C}" type="presOf" srcId="{09B66337-D363-45F2-A816-070511B3A2B5}" destId="{C6B2853F-C1E1-4B67-AE87-EF33B189B09B}" srcOrd="0" destOrd="0" presId="urn:microsoft.com/office/officeart/2005/8/layout/orgChart1#1"/>
    <dgm:cxn modelId="{E9097A20-0160-4776-B580-05B6C3D8674C}" type="presParOf" srcId="{C6B2853F-C1E1-4B67-AE87-EF33B189B09B}" destId="{509D04CB-0FB5-4F83-8116-C96E7E09870C}" srcOrd="0" destOrd="0" presId="urn:microsoft.com/office/officeart/2005/8/layout/orgChart1#1"/>
    <dgm:cxn modelId="{D661AA61-F4EB-4657-9338-85762B1517C5}" type="presOf" srcId="{09B66337-D363-45F2-A816-070511B3A2B5}" destId="{509D04CB-0FB5-4F83-8116-C96E7E09870C}" srcOrd="0" destOrd="0" presId="urn:microsoft.com/office/officeart/2005/8/layout/orgChart1#1"/>
    <dgm:cxn modelId="{3BEC5099-7929-482B-B1DC-191B07197D4E}" type="presParOf" srcId="{C6B2853F-C1E1-4B67-AE87-EF33B189B09B}" destId="{B725DD45-7D5D-4267-BC77-19D2B8C733C0}" srcOrd="1" destOrd="0" presId="urn:microsoft.com/office/officeart/2005/8/layout/orgChart1#1"/>
    <dgm:cxn modelId="{9DE1304E-9724-42BD-986B-5C268090F9C8}" type="presOf" srcId="{09B66337-D363-45F2-A816-070511B3A2B5}" destId="{B725DD45-7D5D-4267-BC77-19D2B8C733C0}" srcOrd="0" destOrd="0" presId="urn:microsoft.com/office/officeart/2005/8/layout/orgChart1#1"/>
    <dgm:cxn modelId="{67A6EE49-D6E1-4A72-9D1C-F77B6489466F}" type="presParOf" srcId="{C368540A-7C77-4DC4-A006-9F44E013526C}" destId="{A413AD1B-79D6-4F4C-A0D0-E6A6C8347955}" srcOrd="1" destOrd="1" presId="urn:microsoft.com/office/officeart/2005/8/layout/orgChart1#1"/>
    <dgm:cxn modelId="{E57098CA-5822-4D0A-A1A8-457D3DB919C7}" type="presParOf" srcId="{C368540A-7C77-4DC4-A006-9F44E013526C}" destId="{DFE8B9E0-9049-4922-AB17-B603F7A591E0}" srcOrd="2" destOrd="1" presId="urn:microsoft.com/office/officeart/2005/8/layout/orgChart1#1"/>
    <dgm:cxn modelId="{5D15C168-75BC-4D00-AE1F-84053E571644}" type="presParOf" srcId="{0D23FFF7-AC10-401A-8357-1F7A37A494BA}" destId="{1A6C46F9-EF42-4E37-B040-7966F2E7CA31}" srcOrd="2" destOrd="1" presId="urn:microsoft.com/office/officeart/2005/8/layout/orgChart1#1"/>
    <dgm:cxn modelId="{8D8DE234-94A9-4267-AC4D-82E529CE33C6}" type="presParOf" srcId="{100C17D7-2D84-4915-8456-47EFA7C4E365}" destId="{6D29A5B8-C804-43DA-8239-2E29A5F62CC1}" srcOrd="2" destOrd="1" presId="urn:microsoft.com/office/officeart/2005/8/layout/orgChart1#1"/>
    <dgm:cxn modelId="{2064F988-22EF-40A3-AEF6-EEB2B34C927D}" type="presOf" srcId="{7DDF18C9-9BEA-49D4-A950-22861BE2450D}" destId="{6D29A5B8-C804-43DA-8239-2E29A5F62CC1}" srcOrd="0" destOrd="0" presId="urn:microsoft.com/office/officeart/2005/8/layout/orgChart1#1"/>
    <dgm:cxn modelId="{5B4C63C2-48B6-43E3-8399-D8D8E1B5D5C8}" type="presParOf" srcId="{100C17D7-2D84-4915-8456-47EFA7C4E365}" destId="{E8CF0C0B-037C-4A73-AC6B-DB878FD9F5A6}" srcOrd="3" destOrd="1" presId="urn:microsoft.com/office/officeart/2005/8/layout/orgChart1#1"/>
    <dgm:cxn modelId="{6174A462-4468-46C2-95EF-3F5D5B9D4AE5}" type="presParOf" srcId="{E8CF0C0B-037C-4A73-AC6B-DB878FD9F5A6}" destId="{53BDF970-ECF0-4148-ADD4-081BF8F60E5B}" srcOrd="0" destOrd="3" presId="urn:microsoft.com/office/officeart/2005/8/layout/orgChart1#1"/>
    <dgm:cxn modelId="{705BF900-3145-4F93-8385-D06900923E5F}" type="presOf" srcId="{2F96C146-C87F-4901-95B3-988F88495932}" destId="{53BDF970-ECF0-4148-ADD4-081BF8F60E5B}" srcOrd="0" destOrd="0" presId="urn:microsoft.com/office/officeart/2005/8/layout/orgChart1#1"/>
    <dgm:cxn modelId="{CBAD63DD-9FF9-4041-BF77-2CBD20398C43}" type="presParOf" srcId="{53BDF970-ECF0-4148-ADD4-081BF8F60E5B}" destId="{AB14C21F-859D-4495-9F16-5AC4DC6F847E}" srcOrd="0" destOrd="0" presId="urn:microsoft.com/office/officeart/2005/8/layout/orgChart1#1"/>
    <dgm:cxn modelId="{17F88231-D24E-4303-90AB-709545618C42}" type="presOf" srcId="{2F96C146-C87F-4901-95B3-988F88495932}" destId="{AB14C21F-859D-4495-9F16-5AC4DC6F847E}" srcOrd="0" destOrd="0" presId="urn:microsoft.com/office/officeart/2005/8/layout/orgChart1#1"/>
    <dgm:cxn modelId="{B368596A-D487-4E54-BFC3-0B95105DF013}" type="presParOf" srcId="{53BDF970-ECF0-4148-ADD4-081BF8F60E5B}" destId="{859BEB20-C870-41B2-9F1E-5ABB58637A77}" srcOrd="1" destOrd="0" presId="urn:microsoft.com/office/officeart/2005/8/layout/orgChart1#1"/>
    <dgm:cxn modelId="{B4AB9F9B-587B-4264-A9AE-48EE20844DEE}" type="presOf" srcId="{2F96C146-C87F-4901-95B3-988F88495932}" destId="{859BEB20-C870-41B2-9F1E-5ABB58637A77}" srcOrd="0" destOrd="0" presId="urn:microsoft.com/office/officeart/2005/8/layout/orgChart1#1"/>
    <dgm:cxn modelId="{E3327261-F368-4419-853F-B6A57BA7C30A}" type="presParOf" srcId="{E8CF0C0B-037C-4A73-AC6B-DB878FD9F5A6}" destId="{511FAEDB-1C3D-4D74-82ED-6BB141DB54A8}" srcOrd="1" destOrd="3" presId="urn:microsoft.com/office/officeart/2005/8/layout/orgChart1#1"/>
    <dgm:cxn modelId="{809296F0-DCB0-4A17-B4B7-B79FE42DABCD}" type="presParOf" srcId="{511FAEDB-1C3D-4D74-82ED-6BB141DB54A8}" destId="{27D37A8E-0C1C-43C5-AF6D-7C9184C98A0F}" srcOrd="0" destOrd="1" presId="urn:microsoft.com/office/officeart/2005/8/layout/orgChart1#1"/>
    <dgm:cxn modelId="{94ADAD5F-6030-425B-BA54-8DE7A4700FE7}" type="presOf" srcId="{BE34B3DE-D1E6-4E34-A97A-0FADDC1CDC99}" destId="{27D37A8E-0C1C-43C5-AF6D-7C9184C98A0F}" srcOrd="0" destOrd="0" presId="urn:microsoft.com/office/officeart/2005/8/layout/orgChart1#1"/>
    <dgm:cxn modelId="{40025AA2-4FCD-4429-AB3E-C9D1A883FA5D}" type="presParOf" srcId="{511FAEDB-1C3D-4D74-82ED-6BB141DB54A8}" destId="{3BADD168-1FFA-4263-A130-F1DC5BE3AFF5}" srcOrd="1" destOrd="1" presId="urn:microsoft.com/office/officeart/2005/8/layout/orgChart1#1"/>
    <dgm:cxn modelId="{F4D79F84-8D27-49E6-9D01-71FCC3967980}" type="presParOf" srcId="{3BADD168-1FFA-4263-A130-F1DC5BE3AFF5}" destId="{A09310B0-3EB2-470F-9EAA-03AE68B18DB6}" srcOrd="0" destOrd="1" presId="urn:microsoft.com/office/officeart/2005/8/layout/orgChart1#1"/>
    <dgm:cxn modelId="{E6E6E0F3-B242-41F5-B0CB-CA9B9E54F982}" type="presOf" srcId="{CEFA58F9-FEB0-4BCE-916C-92B50928150C}" destId="{A09310B0-3EB2-470F-9EAA-03AE68B18DB6}" srcOrd="0" destOrd="0" presId="urn:microsoft.com/office/officeart/2005/8/layout/orgChart1#1"/>
    <dgm:cxn modelId="{E392DAD4-9BF8-4B80-BD8F-EB76C06D0A18}" type="presParOf" srcId="{A09310B0-3EB2-470F-9EAA-03AE68B18DB6}" destId="{37CDEFF4-630E-49E9-B5FA-4000B366C49F}" srcOrd="0" destOrd="0" presId="urn:microsoft.com/office/officeart/2005/8/layout/orgChart1#1"/>
    <dgm:cxn modelId="{51E0E380-8ABF-4DCF-9B02-A563A868F1BC}" type="presOf" srcId="{CEFA58F9-FEB0-4BCE-916C-92B50928150C}" destId="{37CDEFF4-630E-49E9-B5FA-4000B366C49F}" srcOrd="0" destOrd="0" presId="urn:microsoft.com/office/officeart/2005/8/layout/orgChart1#1"/>
    <dgm:cxn modelId="{3429D939-9E0C-4923-AF99-83786793DC6E}" type="presParOf" srcId="{A09310B0-3EB2-470F-9EAA-03AE68B18DB6}" destId="{01873082-453F-4E48-88E6-8FC77FD49783}" srcOrd="1" destOrd="0" presId="urn:microsoft.com/office/officeart/2005/8/layout/orgChart1#1"/>
    <dgm:cxn modelId="{AA096399-8956-4A46-84F2-4E9C9CC96390}" type="presOf" srcId="{CEFA58F9-FEB0-4BCE-916C-92B50928150C}" destId="{01873082-453F-4E48-88E6-8FC77FD49783}" srcOrd="0" destOrd="0" presId="urn:microsoft.com/office/officeart/2005/8/layout/orgChart1#1"/>
    <dgm:cxn modelId="{86409013-299E-4598-97FF-7E38C3F94ADD}" type="presParOf" srcId="{3BADD168-1FFA-4263-A130-F1DC5BE3AFF5}" destId="{5FF9D262-2C0F-43B6-AABB-1B6F8D110AD6}" srcOrd="1" destOrd="1" presId="urn:microsoft.com/office/officeart/2005/8/layout/orgChart1#1"/>
    <dgm:cxn modelId="{6E99C0F2-BFD0-49CC-BDA9-D1D890E87226}" type="presParOf" srcId="{3BADD168-1FFA-4263-A130-F1DC5BE3AFF5}" destId="{13A67E80-ADB3-4734-B153-6DED4D35E874}" srcOrd="2" destOrd="1" presId="urn:microsoft.com/office/officeart/2005/8/layout/orgChart1#1"/>
    <dgm:cxn modelId="{DBCE199B-89D8-49B6-B0EC-6EF384BD74D4}" type="presParOf" srcId="{E8CF0C0B-037C-4A73-AC6B-DB878FD9F5A6}" destId="{CC8AEFF2-70B6-4C2D-BB16-CE9516860CD4}" srcOrd="2" destOrd="3" presId="urn:microsoft.com/office/officeart/2005/8/layout/orgChart1#1"/>
    <dgm:cxn modelId="{5110D317-62A4-4940-9CEE-DA9F0DBFB2AE}" type="presParOf" srcId="{43763AC4-9FA7-41B0-92E8-40272EA45DC6}" destId="{FFBE64D0-CDA9-49FA-B3BB-0650EE823D69}" srcOrd="2" destOrd="1" presId="urn:microsoft.com/office/officeart/2005/8/layout/orgChart1#1"/>
    <dgm:cxn modelId="{F0ACA59D-07CE-4FAC-9870-D3BC9BD0B58A}" type="presParOf" srcId="{9084BAE7-F923-49BB-B382-97A389C47CF2}" destId="{BCDE2381-2A5D-473E-9CE3-EE7CF526025F}" srcOrd="2" destOrd="1" presId="urn:microsoft.com/office/officeart/2005/8/layout/orgChart1#1"/>
    <dgm:cxn modelId="{58F25B10-16B9-4709-AA79-489A6D9E1F7E}" type="presOf" srcId="{D08FF45B-7735-4AFC-A740-BD912A90F2C7}" destId="{BCDE2381-2A5D-473E-9CE3-EE7CF526025F}" srcOrd="0" destOrd="0" presId="urn:microsoft.com/office/officeart/2005/8/layout/orgChart1#1"/>
    <dgm:cxn modelId="{8A593164-FD3E-458D-84DA-4A4F3FDEE7F7}" type="presParOf" srcId="{9084BAE7-F923-49BB-B382-97A389C47CF2}" destId="{0E9E5D0A-E9AC-4DEF-90AB-60EC6F4501AA}" srcOrd="3" destOrd="1" presId="urn:microsoft.com/office/officeart/2005/8/layout/orgChart1#1"/>
    <dgm:cxn modelId="{D61A78E1-153E-49BE-8F3A-81AAADE25363}" type="presParOf" srcId="{0E9E5D0A-E9AC-4DEF-90AB-60EC6F4501AA}" destId="{6E412937-8D3B-45CF-92D5-74671022345D}" srcOrd="0" destOrd="3" presId="urn:microsoft.com/office/officeart/2005/8/layout/orgChart1#1"/>
    <dgm:cxn modelId="{9DE564D9-ECC6-4903-9034-4D0F3A172CC1}" type="presOf" srcId="{30B75364-EF14-4183-891C-216CED3B48B8}" destId="{6E412937-8D3B-45CF-92D5-74671022345D}" srcOrd="0" destOrd="0" presId="urn:microsoft.com/office/officeart/2005/8/layout/orgChart1#1"/>
    <dgm:cxn modelId="{CB15EF66-B7C4-4CAF-8C9C-F2F3D49A6D2F}" type="presParOf" srcId="{6E412937-8D3B-45CF-92D5-74671022345D}" destId="{3716CEC6-C71A-4CFF-9595-9275718F952E}" srcOrd="0" destOrd="0" presId="urn:microsoft.com/office/officeart/2005/8/layout/orgChart1#1"/>
    <dgm:cxn modelId="{4E6F2575-5A6F-4108-BBF2-D1DDDAEC283E}" type="presOf" srcId="{30B75364-EF14-4183-891C-216CED3B48B8}" destId="{3716CEC6-C71A-4CFF-9595-9275718F952E}" srcOrd="0" destOrd="0" presId="urn:microsoft.com/office/officeart/2005/8/layout/orgChart1#1"/>
    <dgm:cxn modelId="{637CC103-3650-4139-9665-A390D642123E}" type="presParOf" srcId="{6E412937-8D3B-45CF-92D5-74671022345D}" destId="{2551E94B-25B1-4845-AC2E-77276D20ED29}" srcOrd="1" destOrd="0" presId="urn:microsoft.com/office/officeart/2005/8/layout/orgChart1#1"/>
    <dgm:cxn modelId="{5E53F7AA-09D8-43E6-94E5-2EFF69ADE74C}" type="presOf" srcId="{30B75364-EF14-4183-891C-216CED3B48B8}" destId="{2551E94B-25B1-4845-AC2E-77276D20ED29}" srcOrd="0" destOrd="0" presId="urn:microsoft.com/office/officeart/2005/8/layout/orgChart1#1"/>
    <dgm:cxn modelId="{4071C11C-88AD-4855-97FF-D94AB8C8417F}" type="presParOf" srcId="{0E9E5D0A-E9AC-4DEF-90AB-60EC6F4501AA}" destId="{6852548C-47A1-422F-8412-FCDBCCDD51DB}" srcOrd="1" destOrd="3" presId="urn:microsoft.com/office/officeart/2005/8/layout/orgChart1#1"/>
    <dgm:cxn modelId="{B1900EF4-3F61-4167-A9D7-31E916ACB3BD}" type="presParOf" srcId="{6852548C-47A1-422F-8412-FCDBCCDD51DB}" destId="{AC678330-F781-4CCE-8534-7D3CB74E6C5D}" srcOrd="0" destOrd="1" presId="urn:microsoft.com/office/officeart/2005/8/layout/orgChart1#1"/>
    <dgm:cxn modelId="{498D567F-B413-423F-B27C-0BC052312068}" type="presOf" srcId="{1F48B59E-1095-4329-8C6C-7F93CC7E59B2}" destId="{AC678330-F781-4CCE-8534-7D3CB74E6C5D}" srcOrd="0" destOrd="0" presId="urn:microsoft.com/office/officeart/2005/8/layout/orgChart1#1"/>
    <dgm:cxn modelId="{434E498B-E4AB-4407-AC0E-9363F44BD156}" type="presParOf" srcId="{6852548C-47A1-422F-8412-FCDBCCDD51DB}" destId="{61ADE650-EF82-4943-A027-A60A9AF28345}" srcOrd="1" destOrd="1" presId="urn:microsoft.com/office/officeart/2005/8/layout/orgChart1#1"/>
    <dgm:cxn modelId="{EE7B5C46-34B4-4C41-8423-FDAA34DB2394}" type="presParOf" srcId="{61ADE650-EF82-4943-A027-A60A9AF28345}" destId="{F99AD368-8579-45E7-8E89-949DD29743BF}" srcOrd="0" destOrd="1" presId="urn:microsoft.com/office/officeart/2005/8/layout/orgChart1#1"/>
    <dgm:cxn modelId="{5CA3AB8A-14CD-4294-879F-838FBD132948}" type="presOf" srcId="{09D9A701-C05A-4806-954A-BEA971E57290}" destId="{F99AD368-8579-45E7-8E89-949DD29743BF}" srcOrd="0" destOrd="0" presId="urn:microsoft.com/office/officeart/2005/8/layout/orgChart1#1"/>
    <dgm:cxn modelId="{109DDA43-0EEB-4922-BE18-180FC2CD8291}" type="presParOf" srcId="{F99AD368-8579-45E7-8E89-949DD29743BF}" destId="{0A5BCD80-DFBB-4335-9F4D-23D9C4374F2E}" srcOrd="0" destOrd="0" presId="urn:microsoft.com/office/officeart/2005/8/layout/orgChart1#1"/>
    <dgm:cxn modelId="{635B612E-2069-4672-A8E7-AEE2777E9B17}" type="presOf" srcId="{09D9A701-C05A-4806-954A-BEA971E57290}" destId="{0A5BCD80-DFBB-4335-9F4D-23D9C4374F2E}" srcOrd="0" destOrd="0" presId="urn:microsoft.com/office/officeart/2005/8/layout/orgChart1#1"/>
    <dgm:cxn modelId="{F8004BF2-227D-4195-9425-482C42490C64}" type="presParOf" srcId="{F99AD368-8579-45E7-8E89-949DD29743BF}" destId="{BB40C5FC-0B44-474A-983E-A1310D13002C}" srcOrd="1" destOrd="0" presId="urn:microsoft.com/office/officeart/2005/8/layout/orgChart1#1"/>
    <dgm:cxn modelId="{E194295A-E648-40FE-ABBB-8E348C09844E}" type="presOf" srcId="{09D9A701-C05A-4806-954A-BEA971E57290}" destId="{BB40C5FC-0B44-474A-983E-A1310D13002C}" srcOrd="0" destOrd="0" presId="urn:microsoft.com/office/officeart/2005/8/layout/orgChart1#1"/>
    <dgm:cxn modelId="{1FC8A301-49F3-404D-A04F-E7F32E32C18F}" type="presParOf" srcId="{61ADE650-EF82-4943-A027-A60A9AF28345}" destId="{49C143C6-FFF6-44DB-800F-62AAC97A7B52}" srcOrd="1" destOrd="1" presId="urn:microsoft.com/office/officeart/2005/8/layout/orgChart1#1"/>
    <dgm:cxn modelId="{C560BA69-0DD5-4F5C-811B-AC676B934266}" type="presParOf" srcId="{49C143C6-FFF6-44DB-800F-62AAC97A7B52}" destId="{878125C5-471B-4738-AC4D-D43146FD0BAD}" srcOrd="0" destOrd="1" presId="urn:microsoft.com/office/officeart/2005/8/layout/orgChart1#1"/>
    <dgm:cxn modelId="{FEEBBE29-878E-422F-993B-3229FF52EF55}" type="presOf" srcId="{831CC65D-A0D7-4CF7-B700-D7A070508494}" destId="{878125C5-471B-4738-AC4D-D43146FD0BAD}" srcOrd="0" destOrd="0" presId="urn:microsoft.com/office/officeart/2005/8/layout/orgChart1#1"/>
    <dgm:cxn modelId="{6BA58668-5C96-4F9E-BD5A-B33D93EA1BDB}" type="presParOf" srcId="{49C143C6-FFF6-44DB-800F-62AAC97A7B52}" destId="{B3A6CBB8-E055-4886-B286-48EA13749ACA}" srcOrd="1" destOrd="1" presId="urn:microsoft.com/office/officeart/2005/8/layout/orgChart1#1"/>
    <dgm:cxn modelId="{CB831324-58E4-4E7A-82D8-0637A9992FB7}" type="presParOf" srcId="{B3A6CBB8-E055-4886-B286-48EA13749ACA}" destId="{71094579-155C-46A4-BA16-72A71479A010}" srcOrd="0" destOrd="1" presId="urn:microsoft.com/office/officeart/2005/8/layout/orgChart1#1"/>
    <dgm:cxn modelId="{3091831C-0198-400D-ADCF-062B6B785C30}" type="presOf" srcId="{1FDB030D-D2EE-43F4-BB21-45CA897F3346}" destId="{71094579-155C-46A4-BA16-72A71479A010}" srcOrd="0" destOrd="0" presId="urn:microsoft.com/office/officeart/2005/8/layout/orgChart1#1"/>
    <dgm:cxn modelId="{4D825D14-DDEA-4057-8822-85D2A109217E}" type="presParOf" srcId="{71094579-155C-46A4-BA16-72A71479A010}" destId="{F5835F42-F7FE-4EF2-B3C9-FC5A68BD8921}" srcOrd="0" destOrd="0" presId="urn:microsoft.com/office/officeart/2005/8/layout/orgChart1#1"/>
    <dgm:cxn modelId="{F1AC9A2C-B6AD-4531-BDD1-C82A4AB8CA9C}" type="presOf" srcId="{1FDB030D-D2EE-43F4-BB21-45CA897F3346}" destId="{F5835F42-F7FE-4EF2-B3C9-FC5A68BD8921}" srcOrd="0" destOrd="0" presId="urn:microsoft.com/office/officeart/2005/8/layout/orgChart1#1"/>
    <dgm:cxn modelId="{5C4DB82C-47DB-48AB-BC5C-9EDA7988D893}" type="presParOf" srcId="{71094579-155C-46A4-BA16-72A71479A010}" destId="{57D41D46-9A51-49EC-AF18-393F59F11422}" srcOrd="1" destOrd="0" presId="urn:microsoft.com/office/officeart/2005/8/layout/orgChart1#1"/>
    <dgm:cxn modelId="{29BCB179-145B-4DDE-BBA8-674CBF376A99}" type="presOf" srcId="{1FDB030D-D2EE-43F4-BB21-45CA897F3346}" destId="{57D41D46-9A51-49EC-AF18-393F59F11422}" srcOrd="0" destOrd="0" presId="urn:microsoft.com/office/officeart/2005/8/layout/orgChart1#1"/>
    <dgm:cxn modelId="{EC784787-3FF8-4E7D-8893-48F1A2562F48}" type="presParOf" srcId="{B3A6CBB8-E055-4886-B286-48EA13749ACA}" destId="{C330FF55-2013-4307-9D6E-FFFE56D0591D}" srcOrd="1" destOrd="1" presId="urn:microsoft.com/office/officeart/2005/8/layout/orgChart1#1"/>
    <dgm:cxn modelId="{169A3760-DE5E-47CB-B3F6-92D6FAA05C6D}" type="presParOf" srcId="{B3A6CBB8-E055-4886-B286-48EA13749ACA}" destId="{C9995BE0-CD02-4D5E-AC81-7A2300F9D93B}" srcOrd="2" destOrd="1" presId="urn:microsoft.com/office/officeart/2005/8/layout/orgChart1#1"/>
    <dgm:cxn modelId="{55ED99E9-7D84-409B-A43A-22A2F6BFC76F}" type="presParOf" srcId="{61ADE650-EF82-4943-A027-A60A9AF28345}" destId="{B9BA3AAF-6E6F-4914-9256-951F6EF80E01}" srcOrd="2" destOrd="1" presId="urn:microsoft.com/office/officeart/2005/8/layout/orgChart1#1"/>
    <dgm:cxn modelId="{AB92F58B-4079-4FE1-B7AE-7D590570EA8C}" type="presParOf" srcId="{6852548C-47A1-422F-8412-FCDBCCDD51DB}" destId="{2714AC7C-3E59-46BF-8461-7EAFB78AE5DC}" srcOrd="2" destOrd="1" presId="urn:microsoft.com/office/officeart/2005/8/layout/orgChart1#1"/>
    <dgm:cxn modelId="{C66243D1-865B-4E2C-85C9-BD131A43B774}" type="presOf" srcId="{099F3899-71CD-4CFE-9D6C-37DA1D85F824}" destId="{2714AC7C-3E59-46BF-8461-7EAFB78AE5DC}" srcOrd="0" destOrd="0" presId="urn:microsoft.com/office/officeart/2005/8/layout/orgChart1#1"/>
    <dgm:cxn modelId="{7601FC41-0A3E-4218-B378-36823D5F230F}" type="presParOf" srcId="{6852548C-47A1-422F-8412-FCDBCCDD51DB}" destId="{07FCA924-3852-4613-A6BB-56086967C682}" srcOrd="3" destOrd="1" presId="urn:microsoft.com/office/officeart/2005/8/layout/orgChart1#1"/>
    <dgm:cxn modelId="{201E8D1D-0823-4300-B7A9-FDA3996FF551}" type="presParOf" srcId="{07FCA924-3852-4613-A6BB-56086967C682}" destId="{2E136F39-BB51-4F65-8940-2B3B496A4F0F}" srcOrd="0" destOrd="3" presId="urn:microsoft.com/office/officeart/2005/8/layout/orgChart1#1"/>
    <dgm:cxn modelId="{5C13D809-13C3-4E60-9E0B-CBC03EF3CC93}" type="presOf" srcId="{276048AB-4D0E-415A-B6C9-D381C2FFD470}" destId="{2E136F39-BB51-4F65-8940-2B3B496A4F0F}" srcOrd="0" destOrd="0" presId="urn:microsoft.com/office/officeart/2005/8/layout/orgChart1#1"/>
    <dgm:cxn modelId="{B52F9938-5B22-4AE2-A3FC-98F45045C36C}" type="presParOf" srcId="{2E136F39-BB51-4F65-8940-2B3B496A4F0F}" destId="{62DB0E37-34B7-4AEC-B4DA-54B0334F9F64}" srcOrd="0" destOrd="0" presId="urn:microsoft.com/office/officeart/2005/8/layout/orgChart1#1"/>
    <dgm:cxn modelId="{42218528-6004-4BA6-AB86-DDCC3BE91075}" type="presOf" srcId="{276048AB-4D0E-415A-B6C9-D381C2FFD470}" destId="{62DB0E37-34B7-4AEC-B4DA-54B0334F9F64}" srcOrd="0" destOrd="0" presId="urn:microsoft.com/office/officeart/2005/8/layout/orgChart1#1"/>
    <dgm:cxn modelId="{84057E22-F890-47DE-8F66-FB62CE7C0470}" type="presParOf" srcId="{2E136F39-BB51-4F65-8940-2B3B496A4F0F}" destId="{88046AE8-041B-44D7-A64B-7EF52797B5CA}" srcOrd="1" destOrd="0" presId="urn:microsoft.com/office/officeart/2005/8/layout/orgChart1#1"/>
    <dgm:cxn modelId="{611D7EE8-C2F2-4533-8C0C-C33FDCFC4892}" type="presOf" srcId="{276048AB-4D0E-415A-B6C9-D381C2FFD470}" destId="{88046AE8-041B-44D7-A64B-7EF52797B5CA}" srcOrd="0" destOrd="0" presId="urn:microsoft.com/office/officeart/2005/8/layout/orgChart1#1"/>
    <dgm:cxn modelId="{7D1010E6-14B9-43A4-AFB7-93A1646F20E2}" type="presParOf" srcId="{07FCA924-3852-4613-A6BB-56086967C682}" destId="{94510198-81F6-4C9D-8CA9-6CB2EBBB5078}" srcOrd="1" destOrd="3" presId="urn:microsoft.com/office/officeart/2005/8/layout/orgChart1#1"/>
    <dgm:cxn modelId="{3B6CB095-9E3A-4F56-90C3-AF9CB42C6F71}" type="presParOf" srcId="{94510198-81F6-4C9D-8CA9-6CB2EBBB5078}" destId="{502210D7-6FDA-4FD5-83B2-228527321BAB}" srcOrd="0" destOrd="1" presId="urn:microsoft.com/office/officeart/2005/8/layout/orgChart1#1"/>
    <dgm:cxn modelId="{8B8D5F26-2CBA-464D-8EB3-1B87DDA27098}" type="presOf" srcId="{CBF65A14-704B-4E6E-A867-4DAEA63FAB83}" destId="{502210D7-6FDA-4FD5-83B2-228527321BAB}" srcOrd="0" destOrd="0" presId="urn:microsoft.com/office/officeart/2005/8/layout/orgChart1#1"/>
    <dgm:cxn modelId="{35E4476F-456C-47DD-94DC-6B98B0149D37}" type="presParOf" srcId="{94510198-81F6-4C9D-8CA9-6CB2EBBB5078}" destId="{4C66007B-2B75-483A-8BB5-8666778BC013}" srcOrd="1" destOrd="1" presId="urn:microsoft.com/office/officeart/2005/8/layout/orgChart1#1"/>
    <dgm:cxn modelId="{C8800B2E-467A-42E9-8941-E4A70EFAC4A1}" type="presParOf" srcId="{4C66007B-2B75-483A-8BB5-8666778BC013}" destId="{85DFEEE1-7A26-48DB-92DB-B5806A3666AA}" srcOrd="0" destOrd="1" presId="urn:microsoft.com/office/officeart/2005/8/layout/orgChart1#1"/>
    <dgm:cxn modelId="{33C7D1B3-6236-42D5-9596-D51633FC7692}" type="presOf" srcId="{EDA27B57-DB28-4447-98B8-4DD137224542}" destId="{85DFEEE1-7A26-48DB-92DB-B5806A3666AA}" srcOrd="0" destOrd="0" presId="urn:microsoft.com/office/officeart/2005/8/layout/orgChart1#1"/>
    <dgm:cxn modelId="{76AA4BE9-B0DA-49BB-9CD3-D9C47F2ABBF9}" type="presParOf" srcId="{85DFEEE1-7A26-48DB-92DB-B5806A3666AA}" destId="{4C840FEE-0B93-4D94-A574-32FFEE82470C}" srcOrd="0" destOrd="0" presId="urn:microsoft.com/office/officeart/2005/8/layout/orgChart1#1"/>
    <dgm:cxn modelId="{EC727769-5C40-49EA-960B-4CDC772E5E98}" type="presOf" srcId="{EDA27B57-DB28-4447-98B8-4DD137224542}" destId="{4C840FEE-0B93-4D94-A574-32FFEE82470C}" srcOrd="0" destOrd="0" presId="urn:microsoft.com/office/officeart/2005/8/layout/orgChart1#1"/>
    <dgm:cxn modelId="{BA85FF47-72B3-46F5-8211-D8DB091D3659}" type="presParOf" srcId="{85DFEEE1-7A26-48DB-92DB-B5806A3666AA}" destId="{FC47ED63-4EBD-4065-8A79-237BDD4F21FA}" srcOrd="1" destOrd="0" presId="urn:microsoft.com/office/officeart/2005/8/layout/orgChart1#1"/>
    <dgm:cxn modelId="{5A001B2E-3A1F-44C8-BA36-03E0BCF0F81F}" type="presOf" srcId="{EDA27B57-DB28-4447-98B8-4DD137224542}" destId="{FC47ED63-4EBD-4065-8A79-237BDD4F21FA}" srcOrd="0" destOrd="0" presId="urn:microsoft.com/office/officeart/2005/8/layout/orgChart1#1"/>
    <dgm:cxn modelId="{971A2AAD-7FD9-4904-A14D-71A9E19716A3}" type="presParOf" srcId="{4C66007B-2B75-483A-8BB5-8666778BC013}" destId="{A3C6429C-B610-4DA9-858E-BAB39D1D669D}" srcOrd="1" destOrd="1" presId="urn:microsoft.com/office/officeart/2005/8/layout/orgChart1#1"/>
    <dgm:cxn modelId="{94A205C1-0B0F-42B6-BAB8-C3955F4AE25B}" type="presParOf" srcId="{4C66007B-2B75-483A-8BB5-8666778BC013}" destId="{80927095-A605-4F78-B96A-7D5CB08B84BA}" srcOrd="2" destOrd="1" presId="urn:microsoft.com/office/officeart/2005/8/layout/orgChart1#1"/>
    <dgm:cxn modelId="{D8A23E7C-D9E1-495E-9A45-3F841282D3DB}" type="presParOf" srcId="{07FCA924-3852-4613-A6BB-56086967C682}" destId="{F6C952C3-7BCF-4F25-B118-C27DCD055948}" srcOrd="2" destOrd="3" presId="urn:microsoft.com/office/officeart/2005/8/layout/orgChart1#1"/>
    <dgm:cxn modelId="{BDFB69A6-9039-479D-BBED-5D3373D0CC2F}" type="presParOf" srcId="{0E9E5D0A-E9AC-4DEF-90AB-60EC6F4501AA}" destId="{A25EA689-7102-49D1-9296-8E6B778F3321}" srcOrd="2" destOrd="3" presId="urn:microsoft.com/office/officeart/2005/8/layout/orgChart1#1"/>
    <dgm:cxn modelId="{1BBF998D-E598-482B-9BF5-725195AE4BAF}" type="presParOf" srcId="{8CBC167F-CD6B-4C91-A62B-F62168853C75}" destId="{A76B848B-E2AE-43BF-933F-C02433186562}" srcOrd="2" destOrd="1" presId="urn:microsoft.com/office/officeart/2005/8/layout/orgChart1#1"/>
    <dgm:cxn modelId="{7D07D02D-3A76-41A2-AB0A-3578A8145AA3}" type="presParOf" srcId="{9E5FB72B-D40C-4F9D-A40D-5439B71A1406}" destId="{0C2BF225-532F-471F-BBE2-D8F4BA2BD5EB}" srcOrd="2" destOrd="3" presId="urn:microsoft.com/office/officeart/2005/8/layout/orgChart1#1"/>
    <dgm:cxn modelId="{6D124EA3-AF13-4D4B-BFDE-B76E061E4E77}" type="presParOf" srcId="{3BF7DC96-D3E0-4F9A-AFEB-D7102E7A8C48}" destId="{83AB8EF9-DE68-4EE8-A41A-544ABD1621CA}" srcOrd="2" destOrd="0" presId="urn:microsoft.com/office/officeart/2005/8/layout/orgChart1#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6070600" cy="3804920"/>
        <a:chOff x="0" y="0"/>
        <a:chExt cx="6070600" cy="3804920"/>
      </a:xfrm>
    </dsp:grpSpPr>
    <dsp:sp modelId="{E0B8DDA0-0289-4872-8AEF-FFDC9E015C11}">
      <dsp:nvSpPr>
        <dsp:cNvPr id="5" name="任意多边形 4"/>
        <dsp:cNvSpPr/>
      </dsp:nvSpPr>
      <dsp:spPr bwMode="white">
        <a:xfrm>
          <a:off x="2066441" y="409904"/>
          <a:ext cx="507233" cy="151939"/>
        </a:xfrm>
        <a:custGeom>
          <a:avLst/>
          <a:gdLst/>
          <a:ahLst/>
          <a:cxnLst/>
          <a:rect l="0" t="0" r="0" b="0"/>
          <a:pathLst>
            <a:path>
              <a:moveTo>
                <a:pt x="432816" y="0"/>
              </a:moveTo>
              <a:lnTo>
                <a:pt x="432816" y="58744"/>
              </a:lnTo>
              <a:lnTo>
                <a:pt x="0" y="58744"/>
              </a:lnTo>
              <a:lnTo>
                <a:pt x="0" y="129642"/>
              </a:lnTo>
            </a:path>
          </a:pathLst>
        </a:custGeom>
        <a:ln w="12700" cap="flat" cmpd="sng" algn="ctr">
          <a:solidFill>
            <a:sysClr val="windowText" lastClr="000000">
              <a:shade val="60000"/>
              <a:hueOff val="0"/>
              <a:satOff val="0"/>
              <a:lumOff val="0"/>
              <a:alphaOff val="0"/>
            </a:sysClr>
          </a:solidFill>
          <a:prstDash val="solid"/>
          <a:miter lim="800000"/>
        </a:ln>
        <a:effectLst/>
      </dsp:spPr>
      <dsp:style>
        <a:lnRef idx="2">
          <a:schemeClr val="dk1">
            <a:shade val="60000"/>
          </a:schemeClr>
        </a:lnRef>
        <a:fillRef idx="0">
          <a:schemeClr val="dk1"/>
        </a:fillRef>
        <a:effectRef idx="0">
          <a:scrgbClr r="0" g="0" b="0"/>
        </a:effectRef>
        <a:fontRef idx="minor"/>
      </dsp:style>
      <dsp:txXfrm>
        <a:off x="2066441" y="409904"/>
        <a:ext cx="507233" cy="151939"/>
      </dsp:txXfrm>
    </dsp:sp>
    <dsp:sp modelId="{FF6E5096-19F4-463F-80DF-0A4206C1E016}">
      <dsp:nvSpPr>
        <dsp:cNvPr id="8" name="任意多边形 7"/>
        <dsp:cNvSpPr/>
      </dsp:nvSpPr>
      <dsp:spPr bwMode="white">
        <a:xfrm>
          <a:off x="2066441" y="957506"/>
          <a:ext cx="546586" cy="166602"/>
        </a:xfrm>
        <a:custGeom>
          <a:avLst/>
          <a:gdLst/>
          <a:ahLst/>
          <a:cxnLst/>
          <a:rect l="0" t="0" r="0" b="0"/>
          <a:pathLst>
            <a:path>
              <a:moveTo>
                <a:pt x="0" y="0"/>
              </a:moveTo>
              <a:lnTo>
                <a:pt x="0" y="71259"/>
              </a:lnTo>
              <a:lnTo>
                <a:pt x="466388" y="71259"/>
              </a:lnTo>
              <a:lnTo>
                <a:pt x="466388" y="142157"/>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2066441" y="957506"/>
        <a:ext cx="546586" cy="166602"/>
      </dsp:txXfrm>
    </dsp:sp>
    <dsp:sp modelId="{530AD1DF-A633-49F1-9A5D-B8028CFC16C7}">
      <dsp:nvSpPr>
        <dsp:cNvPr id="11" name="任意多边形 10"/>
        <dsp:cNvSpPr/>
      </dsp:nvSpPr>
      <dsp:spPr bwMode="white">
        <a:xfrm>
          <a:off x="2573674" y="409904"/>
          <a:ext cx="450273" cy="151939"/>
        </a:xfrm>
        <a:custGeom>
          <a:avLst/>
          <a:gdLst/>
          <a:ahLst/>
          <a:cxnLst/>
          <a:rect l="0" t="0" r="0" b="0"/>
          <a:pathLst>
            <a:path>
              <a:moveTo>
                <a:pt x="0" y="0"/>
              </a:moveTo>
              <a:lnTo>
                <a:pt x="0" y="58744"/>
              </a:lnTo>
              <a:lnTo>
                <a:pt x="384200" y="58744"/>
              </a:lnTo>
              <a:lnTo>
                <a:pt x="384200" y="129642"/>
              </a:lnTo>
            </a:path>
          </a:pathLst>
        </a:custGeom>
        <a:ln w="12700" cap="flat" cmpd="sng" algn="ctr">
          <a:solidFill>
            <a:sysClr val="windowText" lastClr="000000">
              <a:shade val="60000"/>
              <a:hueOff val="0"/>
              <a:satOff val="0"/>
              <a:lumOff val="0"/>
              <a:alphaOff val="0"/>
            </a:sysClr>
          </a:solidFill>
          <a:prstDash val="solid"/>
          <a:miter lim="800000"/>
        </a:ln>
        <a:effectLst/>
      </dsp:spPr>
      <dsp:style>
        <a:lnRef idx="2">
          <a:schemeClr val="dk1">
            <a:shade val="60000"/>
          </a:schemeClr>
        </a:lnRef>
        <a:fillRef idx="0">
          <a:schemeClr val="dk1"/>
        </a:fillRef>
        <a:effectRef idx="0">
          <a:scrgbClr r="0" g="0" b="0"/>
        </a:effectRef>
        <a:fontRef idx="minor"/>
      </dsp:style>
      <dsp:txXfrm>
        <a:off x="2573674" y="409904"/>
        <a:ext cx="450273" cy="151939"/>
      </dsp:txXfrm>
    </dsp:sp>
    <dsp:sp modelId="{3F0EB376-8EF9-4154-BDF0-B1EBEE59C3A7}">
      <dsp:nvSpPr>
        <dsp:cNvPr id="14" name="任意多边形 13"/>
        <dsp:cNvSpPr/>
      </dsp:nvSpPr>
      <dsp:spPr bwMode="white">
        <a:xfrm>
          <a:off x="2614016" y="957506"/>
          <a:ext cx="409931" cy="166602"/>
        </a:xfrm>
        <a:custGeom>
          <a:avLst/>
          <a:gdLst/>
          <a:ahLst/>
          <a:cxnLst/>
          <a:rect l="0" t="0" r="0" b="0"/>
          <a:pathLst>
            <a:path>
              <a:moveTo>
                <a:pt x="349791" y="0"/>
              </a:moveTo>
              <a:lnTo>
                <a:pt x="349791" y="71259"/>
              </a:lnTo>
              <a:lnTo>
                <a:pt x="0" y="71259"/>
              </a:lnTo>
              <a:lnTo>
                <a:pt x="0" y="142157"/>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2614016" y="957506"/>
        <a:ext cx="409931" cy="166602"/>
      </dsp:txXfrm>
    </dsp:sp>
    <dsp:sp modelId="{98201598-0C6C-4BAC-9985-E230275733BD}">
      <dsp:nvSpPr>
        <dsp:cNvPr id="17" name="任意多边形 16"/>
        <dsp:cNvSpPr/>
      </dsp:nvSpPr>
      <dsp:spPr bwMode="white">
        <a:xfrm>
          <a:off x="1273827" y="1519772"/>
          <a:ext cx="1340189" cy="173510"/>
        </a:xfrm>
        <a:custGeom>
          <a:avLst/>
          <a:gdLst/>
          <a:ahLst/>
          <a:cxnLst/>
          <a:rect l="0" t="0" r="0" b="0"/>
          <a:pathLst>
            <a:path>
              <a:moveTo>
                <a:pt x="1160000" y="0"/>
              </a:moveTo>
              <a:lnTo>
                <a:pt x="1160000" y="77154"/>
              </a:lnTo>
              <a:lnTo>
                <a:pt x="0" y="77154"/>
              </a:lnTo>
              <a:lnTo>
                <a:pt x="0" y="148052"/>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1273827" y="1519772"/>
        <a:ext cx="1340189" cy="173510"/>
      </dsp:txXfrm>
    </dsp:sp>
    <dsp:sp modelId="{17D84B83-D216-42EB-B8EE-ED0F748ED9F4}">
      <dsp:nvSpPr>
        <dsp:cNvPr id="20" name="任意多边形 19"/>
        <dsp:cNvSpPr/>
      </dsp:nvSpPr>
      <dsp:spPr bwMode="white">
        <a:xfrm>
          <a:off x="527607" y="2088946"/>
          <a:ext cx="746220" cy="164557"/>
        </a:xfrm>
        <a:custGeom>
          <a:avLst/>
          <a:gdLst/>
          <a:ahLst/>
          <a:cxnLst/>
          <a:rect l="0" t="0" r="0" b="0"/>
          <a:pathLst>
            <a:path>
              <a:moveTo>
                <a:pt x="653265" y="0"/>
              </a:moveTo>
              <a:lnTo>
                <a:pt x="653265" y="69513"/>
              </a:lnTo>
              <a:lnTo>
                <a:pt x="0" y="69513"/>
              </a:lnTo>
              <a:lnTo>
                <a:pt x="0" y="140412"/>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527607" y="2088946"/>
        <a:ext cx="746220" cy="164557"/>
      </dsp:txXfrm>
    </dsp:sp>
    <dsp:sp modelId="{1F197F1E-7BB5-4B95-A5CA-1637A4B466E4}">
      <dsp:nvSpPr>
        <dsp:cNvPr id="23" name="任意多边形 22"/>
        <dsp:cNvSpPr/>
      </dsp:nvSpPr>
      <dsp:spPr bwMode="white">
        <a:xfrm>
          <a:off x="527607" y="2649166"/>
          <a:ext cx="99160" cy="160956"/>
        </a:xfrm>
        <a:custGeom>
          <a:avLst/>
          <a:gdLst/>
          <a:ahLst/>
          <a:cxnLst/>
          <a:rect l="0" t="0" r="0" b="0"/>
          <a:pathLst>
            <a:path>
              <a:moveTo>
                <a:pt x="48373" y="0"/>
              </a:moveTo>
              <a:lnTo>
                <a:pt x="48373" y="66441"/>
              </a:lnTo>
              <a:lnTo>
                <a:pt x="45720" y="66441"/>
              </a:lnTo>
              <a:lnTo>
                <a:pt x="45720" y="137339"/>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527607" y="2649166"/>
        <a:ext cx="99160" cy="160956"/>
      </dsp:txXfrm>
    </dsp:sp>
    <dsp:sp modelId="{6D29A5B8-C804-43DA-8239-2E29A5F62CC1}">
      <dsp:nvSpPr>
        <dsp:cNvPr id="26" name="任意多边形 25"/>
        <dsp:cNvSpPr/>
      </dsp:nvSpPr>
      <dsp:spPr bwMode="white">
        <a:xfrm>
          <a:off x="1273827" y="2088946"/>
          <a:ext cx="615864" cy="164557"/>
        </a:xfrm>
        <a:custGeom>
          <a:avLst/>
          <a:gdLst/>
          <a:ahLst/>
          <a:cxnLst/>
          <a:rect l="0" t="0" r="0" b="0"/>
          <a:pathLst>
            <a:path>
              <a:moveTo>
                <a:pt x="0" y="0"/>
              </a:moveTo>
              <a:lnTo>
                <a:pt x="0" y="69513"/>
              </a:lnTo>
              <a:lnTo>
                <a:pt x="542036" y="69513"/>
              </a:lnTo>
              <a:lnTo>
                <a:pt x="542036" y="140412"/>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1273827" y="2088946"/>
        <a:ext cx="615864" cy="164557"/>
      </dsp:txXfrm>
    </dsp:sp>
    <dsp:sp modelId="{27D37A8E-0C1C-43C5-AF6D-7C9184C98A0F}">
      <dsp:nvSpPr>
        <dsp:cNvPr id="29" name="任意多边形 28"/>
        <dsp:cNvSpPr/>
      </dsp:nvSpPr>
      <dsp:spPr bwMode="white">
        <a:xfrm>
          <a:off x="1889691" y="2649166"/>
          <a:ext cx="807" cy="150218"/>
        </a:xfrm>
        <a:custGeom>
          <a:avLst/>
          <a:gdLst/>
          <a:ahLst/>
          <a:cxnLst/>
          <a:rect l="0" t="0" r="0" b="0"/>
          <a:pathLst>
            <a:path>
              <a:moveTo>
                <a:pt x="45720" y="0"/>
              </a:moveTo>
              <a:lnTo>
                <a:pt x="45720" y="57278"/>
              </a:lnTo>
              <a:lnTo>
                <a:pt x="46408" y="57278"/>
              </a:lnTo>
              <a:lnTo>
                <a:pt x="46408" y="128177"/>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1889691" y="2649166"/>
        <a:ext cx="807" cy="150218"/>
      </dsp:txXfrm>
    </dsp:sp>
    <dsp:sp modelId="{BCDE2381-2A5D-473E-9CE3-EE7CF526025F}">
      <dsp:nvSpPr>
        <dsp:cNvPr id="32" name="任意多边形 31"/>
        <dsp:cNvSpPr/>
      </dsp:nvSpPr>
      <dsp:spPr bwMode="white">
        <a:xfrm>
          <a:off x="2614016" y="1519772"/>
          <a:ext cx="1305466" cy="172351"/>
        </a:xfrm>
        <a:custGeom>
          <a:avLst/>
          <a:gdLst/>
          <a:ahLst/>
          <a:cxnLst/>
          <a:rect l="0" t="0" r="0" b="0"/>
          <a:pathLst>
            <a:path>
              <a:moveTo>
                <a:pt x="0" y="0"/>
              </a:moveTo>
              <a:lnTo>
                <a:pt x="0" y="76164"/>
              </a:lnTo>
              <a:lnTo>
                <a:pt x="1130385" y="76164"/>
              </a:lnTo>
              <a:lnTo>
                <a:pt x="1130385" y="147063"/>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2614016" y="1519772"/>
        <a:ext cx="1305466" cy="172351"/>
      </dsp:txXfrm>
    </dsp:sp>
    <dsp:sp modelId="{AC678330-F781-4CCE-8534-7D3CB74E6C5D}">
      <dsp:nvSpPr>
        <dsp:cNvPr id="35" name="任意多边形 34"/>
        <dsp:cNvSpPr/>
      </dsp:nvSpPr>
      <dsp:spPr bwMode="white">
        <a:xfrm>
          <a:off x="3261758" y="2087787"/>
          <a:ext cx="657724" cy="160802"/>
        </a:xfrm>
        <a:custGeom>
          <a:avLst/>
          <a:gdLst/>
          <a:ahLst/>
          <a:cxnLst/>
          <a:rect l="0" t="0" r="0" b="0"/>
          <a:pathLst>
            <a:path>
              <a:moveTo>
                <a:pt x="528523" y="0"/>
              </a:moveTo>
              <a:lnTo>
                <a:pt x="528523" y="66310"/>
              </a:lnTo>
              <a:lnTo>
                <a:pt x="0" y="66310"/>
              </a:lnTo>
              <a:lnTo>
                <a:pt x="0" y="137208"/>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3261758" y="2087787"/>
        <a:ext cx="657724" cy="160802"/>
      </dsp:txXfrm>
    </dsp:sp>
    <dsp:sp modelId="{878125C5-471B-4738-AC4D-D43146FD0BAD}">
      <dsp:nvSpPr>
        <dsp:cNvPr id="38" name="任意多边形 37"/>
        <dsp:cNvSpPr/>
      </dsp:nvSpPr>
      <dsp:spPr bwMode="white">
        <a:xfrm>
          <a:off x="3261212" y="2644252"/>
          <a:ext cx="546" cy="141149"/>
        </a:xfrm>
        <a:custGeom>
          <a:avLst/>
          <a:gdLst/>
          <a:ahLst/>
          <a:cxnLst/>
          <a:rect l="0" t="0" r="0" b="0"/>
          <a:pathLst>
            <a:path>
              <a:moveTo>
                <a:pt x="46185" y="0"/>
              </a:moveTo>
              <a:lnTo>
                <a:pt x="46185" y="49540"/>
              </a:lnTo>
              <a:lnTo>
                <a:pt x="45720" y="49540"/>
              </a:lnTo>
              <a:lnTo>
                <a:pt x="45720" y="120439"/>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3261212" y="2644252"/>
        <a:ext cx="546" cy="141149"/>
      </dsp:txXfrm>
    </dsp:sp>
    <dsp:sp modelId="{2714AC7C-3E59-46BF-8461-7EAFB78AE5DC}">
      <dsp:nvSpPr>
        <dsp:cNvPr id="41" name="任意多边形 40"/>
        <dsp:cNvSpPr/>
      </dsp:nvSpPr>
      <dsp:spPr bwMode="white">
        <a:xfrm>
          <a:off x="3919482" y="2087787"/>
          <a:ext cx="747460" cy="160802"/>
        </a:xfrm>
        <a:custGeom>
          <a:avLst/>
          <a:gdLst/>
          <a:ahLst/>
          <a:cxnLst/>
          <a:rect l="0" t="0" r="0" b="0"/>
          <a:pathLst>
            <a:path>
              <a:moveTo>
                <a:pt x="0" y="0"/>
              </a:moveTo>
              <a:lnTo>
                <a:pt x="0" y="66310"/>
              </a:lnTo>
              <a:lnTo>
                <a:pt x="605093" y="66310"/>
              </a:lnTo>
              <a:lnTo>
                <a:pt x="605093" y="137208"/>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3919482" y="2087787"/>
        <a:ext cx="747460" cy="160802"/>
      </dsp:txXfrm>
    </dsp:sp>
    <dsp:sp modelId="{502210D7-6FDA-4FD5-83B2-228527321BAB}">
      <dsp:nvSpPr>
        <dsp:cNvPr id="44" name="任意多边形 43"/>
        <dsp:cNvSpPr/>
      </dsp:nvSpPr>
      <dsp:spPr bwMode="white">
        <a:xfrm>
          <a:off x="4665431" y="2644252"/>
          <a:ext cx="1511" cy="140318"/>
        </a:xfrm>
        <a:custGeom>
          <a:avLst/>
          <a:gdLst/>
          <a:ahLst/>
          <a:cxnLst/>
          <a:rect l="0" t="0" r="0" b="0"/>
          <a:pathLst>
            <a:path>
              <a:moveTo>
                <a:pt x="47009" y="0"/>
              </a:moveTo>
              <a:lnTo>
                <a:pt x="47009" y="48831"/>
              </a:lnTo>
              <a:lnTo>
                <a:pt x="45720" y="48831"/>
              </a:lnTo>
              <a:lnTo>
                <a:pt x="45720" y="119730"/>
              </a:lnTo>
            </a:path>
          </a:pathLst>
        </a:custGeom>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0">
          <a:schemeClr val="dk1"/>
        </a:fillRef>
        <a:effectRef idx="0">
          <a:scrgbClr r="0" g="0" b="0"/>
        </a:effectRef>
        <a:fontRef idx="minor"/>
      </dsp:style>
      <dsp:txXfrm>
        <a:off x="4665431" y="2644252"/>
        <a:ext cx="1511" cy="140318"/>
      </dsp:txXfrm>
    </dsp:sp>
    <dsp:sp modelId="{45B33024-E1CE-44C9-972C-0FBA7047005F}">
      <dsp:nvSpPr>
        <dsp:cNvPr id="3" name="圆角矩形 2"/>
        <dsp:cNvSpPr/>
      </dsp:nvSpPr>
      <dsp:spPr bwMode="white">
        <a:xfrm>
          <a:off x="2178010" y="14240"/>
          <a:ext cx="791327" cy="395664"/>
        </a:xfrm>
        <a:prstGeom prst="round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夫妻双方门诊就诊</a:t>
          </a:r>
          <a:endParaRPr>
            <a:solidFill>
              <a:schemeClr val="dk1"/>
            </a:solidFill>
          </a:endParaRPr>
        </a:p>
      </dsp:txBody>
      <dsp:txXfrm>
        <a:off x="2178010" y="14240"/>
        <a:ext cx="791327" cy="395664"/>
      </dsp:txXfrm>
    </dsp:sp>
    <dsp:sp modelId="{C1B70AAF-A991-4005-BC16-60A33F4628C2}">
      <dsp:nvSpPr>
        <dsp:cNvPr id="6" name="矩形 5"/>
        <dsp:cNvSpPr/>
      </dsp:nvSpPr>
      <dsp:spPr bwMode="white">
        <a:xfrm>
          <a:off x="1670777" y="561842"/>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男方病史采集</a:t>
          </a:r>
          <a:endParaRPr>
            <a:solidFill>
              <a:schemeClr val="dk1"/>
            </a:solidFill>
          </a:endParaRPr>
        </a:p>
      </dsp:txBody>
      <dsp:txXfrm>
        <a:off x="1670777" y="561842"/>
        <a:ext cx="791327" cy="395664"/>
      </dsp:txXfrm>
    </dsp:sp>
    <dsp:sp modelId="{7FAB8DB7-DB84-461E-A764-A59F8BE66F97}">
      <dsp:nvSpPr>
        <dsp:cNvPr id="9" name="矩形 8"/>
        <dsp:cNvSpPr/>
      </dsp:nvSpPr>
      <dsp:spPr bwMode="white">
        <a:xfrm>
          <a:off x="2217363" y="1124108"/>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endPar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endParaRPr>
        </a:p>
      </dsp:txBody>
      <dsp:txXfrm>
        <a:off x="2217363" y="1124108"/>
        <a:ext cx="791327" cy="395664"/>
      </dsp:txXfrm>
    </dsp:sp>
    <dsp:sp modelId="{E1E61435-FCFC-4DD7-A25D-B441FFAF8045}">
      <dsp:nvSpPr>
        <dsp:cNvPr id="12" name="矩形 11"/>
        <dsp:cNvSpPr/>
      </dsp:nvSpPr>
      <dsp:spPr bwMode="white">
        <a:xfrm>
          <a:off x="2628284" y="561842"/>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女方病史采集</a:t>
          </a:r>
          <a:endParaRPr>
            <a:solidFill>
              <a:schemeClr val="dk1"/>
            </a:solidFill>
          </a:endParaRPr>
        </a:p>
      </dsp:txBody>
      <dsp:txXfrm>
        <a:off x="2628284" y="561842"/>
        <a:ext cx="791327" cy="395664"/>
      </dsp:txXfrm>
    </dsp:sp>
    <dsp:sp modelId="{F3D6EE9D-240B-4AF8-B9CE-8BB89B58DA85}">
      <dsp:nvSpPr>
        <dsp:cNvPr id="15" name="矩形 14"/>
        <dsp:cNvSpPr/>
      </dsp:nvSpPr>
      <dsp:spPr bwMode="white">
        <a:xfrm>
          <a:off x="2218352" y="1124108"/>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vert="horz" wrap="square"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根据双方病史进行针对性生育力评估</a:t>
          </a:r>
          <a:endParaRPr>
            <a:solidFill>
              <a:schemeClr val="dk1"/>
            </a:solidFill>
          </a:endParaRPr>
        </a:p>
      </dsp:txBody>
      <dsp:txXfrm>
        <a:off x="2218352" y="1124108"/>
        <a:ext cx="791327" cy="395664"/>
      </dsp:txXfrm>
    </dsp:sp>
    <dsp:sp modelId="{A3691879-667D-4020-B4BE-6C376597AB51}">
      <dsp:nvSpPr>
        <dsp:cNvPr id="18" name="矩形 17"/>
        <dsp:cNvSpPr/>
      </dsp:nvSpPr>
      <dsp:spPr bwMode="white">
        <a:xfrm>
          <a:off x="878163" y="1693282"/>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男性生育力评估</a:t>
          </a:r>
          <a:endParaRPr>
            <a:solidFill>
              <a:schemeClr val="dk1"/>
            </a:solidFill>
          </a:endParaRPr>
        </a:p>
      </dsp:txBody>
      <dsp:txXfrm>
        <a:off x="878163" y="1693282"/>
        <a:ext cx="791327" cy="395664"/>
      </dsp:txXfrm>
    </dsp:sp>
    <dsp:sp modelId="{4AEFB816-361F-4C98-B510-D6CF0E28F287}">
      <dsp:nvSpPr>
        <dsp:cNvPr id="21" name="矩形 20"/>
        <dsp:cNvSpPr/>
      </dsp:nvSpPr>
      <dsp:spPr bwMode="white">
        <a:xfrm>
          <a:off x="131943" y="2253503"/>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必查项目</a:t>
          </a:r>
          <a:endParaRPr>
            <a:solidFill>
              <a:schemeClr val="dk1"/>
            </a:solidFill>
          </a:endParaRPr>
        </a:p>
      </dsp:txBody>
      <dsp:txXfrm>
        <a:off x="131943" y="2253503"/>
        <a:ext cx="791327" cy="395664"/>
      </dsp:txXfrm>
    </dsp:sp>
    <dsp:sp modelId="{509D04CB-0FB5-4F83-8116-C96E7E09870C}">
      <dsp:nvSpPr>
        <dsp:cNvPr id="24" name="矩形 23"/>
        <dsp:cNvSpPr/>
      </dsp:nvSpPr>
      <dsp:spPr bwMode="white">
        <a:xfrm>
          <a:off x="0" y="2810122"/>
          <a:ext cx="1253534" cy="96829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vert="horz" wrap="square"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1.</a:t>
          </a:r>
          <a:r>
            <a:rPr lang="zh-CN" altLang="en-US">
              <a:solidFill>
                <a:sysClr val="windowText" lastClr="000000"/>
              </a:solidFill>
              <a:latin typeface="等线" panose="02010600030101010101" charset="-122"/>
              <a:ea typeface="等线" panose="02010600030101010101" charset="-122"/>
              <a:cs typeface="+mn-cs"/>
            </a:rPr>
            <a:t>生殖系统体格检查；</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精液常规和形态学检查；</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 生殖道常见病原体检查；</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生殖内分泌检测。</a:t>
          </a:r>
          <a:endParaRPr>
            <a:solidFill>
              <a:schemeClr val="dk1"/>
            </a:solidFill>
          </a:endParaRPr>
        </a:p>
      </dsp:txBody>
      <dsp:txXfrm>
        <a:off x="0" y="2810122"/>
        <a:ext cx="1253534" cy="968292"/>
      </dsp:txXfrm>
    </dsp:sp>
    <dsp:sp modelId="{AB14C21F-859D-4495-9F16-5AC4DC6F847E}">
      <dsp:nvSpPr>
        <dsp:cNvPr id="27" name="矩形 26"/>
        <dsp:cNvSpPr/>
      </dsp:nvSpPr>
      <dsp:spPr bwMode="white">
        <a:xfrm>
          <a:off x="1494028" y="2253503"/>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选查项目</a:t>
          </a:r>
          <a:endParaRPr>
            <a:solidFill>
              <a:schemeClr val="dk1"/>
            </a:solidFill>
          </a:endParaRPr>
        </a:p>
      </dsp:txBody>
      <dsp:txXfrm>
        <a:off x="1494028" y="2253503"/>
        <a:ext cx="791327" cy="395664"/>
      </dsp:txXfrm>
    </dsp:sp>
    <dsp:sp modelId="{37CDEFF4-630E-49E9-B5FA-4000B366C49F}">
      <dsp:nvSpPr>
        <dsp:cNvPr id="30" name="矩形 29"/>
        <dsp:cNvSpPr/>
      </dsp:nvSpPr>
      <dsp:spPr bwMode="white">
        <a:xfrm>
          <a:off x="1307567" y="2799384"/>
          <a:ext cx="1165863" cy="97805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vert="horz" wrap="square"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1.</a:t>
          </a:r>
          <a:r>
            <a:rPr lang="zh-CN" altLang="en-US">
              <a:solidFill>
                <a:sysClr val="windowText" lastClr="000000"/>
              </a:solidFill>
              <a:latin typeface="等线" panose="02010600030101010101" charset="-122"/>
              <a:ea typeface="等线" panose="02010600030101010101" charset="-122"/>
              <a:cs typeface="+mn-cs"/>
            </a:rPr>
            <a:t>性功能评估；</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精子功能检测；</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精浆生化功能检测；</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遗传性评估和影像学评估。</a:t>
          </a:r>
          <a:endParaRPr>
            <a:solidFill>
              <a:schemeClr val="dk1"/>
            </a:solidFill>
          </a:endParaRPr>
        </a:p>
      </dsp:txBody>
      <dsp:txXfrm>
        <a:off x="1307567" y="2799384"/>
        <a:ext cx="1165863" cy="978053"/>
      </dsp:txXfrm>
    </dsp:sp>
    <dsp:sp modelId="{3716CEC6-C71A-4CFF-9595-9275718F952E}">
      <dsp:nvSpPr>
        <dsp:cNvPr id="33" name="矩形 32"/>
        <dsp:cNvSpPr/>
      </dsp:nvSpPr>
      <dsp:spPr bwMode="white">
        <a:xfrm>
          <a:off x="3523818" y="1692123"/>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女性生育力评估</a:t>
          </a:r>
          <a:endParaRPr>
            <a:solidFill>
              <a:schemeClr val="dk1"/>
            </a:solidFill>
          </a:endParaRPr>
        </a:p>
      </dsp:txBody>
      <dsp:txXfrm>
        <a:off x="3523818" y="1692123"/>
        <a:ext cx="791327" cy="395664"/>
      </dsp:txXfrm>
    </dsp:sp>
    <dsp:sp modelId="{0A5BCD80-DFBB-4335-9F4D-23D9C4374F2E}">
      <dsp:nvSpPr>
        <dsp:cNvPr id="36" name="矩形 35"/>
        <dsp:cNvSpPr/>
      </dsp:nvSpPr>
      <dsp:spPr bwMode="white">
        <a:xfrm>
          <a:off x="2866094" y="2248589"/>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必查项目</a:t>
          </a:r>
          <a:endParaRPr>
            <a:solidFill>
              <a:schemeClr val="dk1"/>
            </a:solidFill>
          </a:endParaRPr>
        </a:p>
      </dsp:txBody>
      <dsp:txXfrm>
        <a:off x="2866094" y="2248589"/>
        <a:ext cx="791327" cy="395664"/>
      </dsp:txXfrm>
    </dsp:sp>
    <dsp:sp modelId="{F5835F42-F7FE-4EF2-B3C9-FC5A68BD8921}">
      <dsp:nvSpPr>
        <dsp:cNvPr id="39" name="矩形 38"/>
        <dsp:cNvSpPr/>
      </dsp:nvSpPr>
      <dsp:spPr bwMode="white">
        <a:xfrm>
          <a:off x="2528285" y="2785401"/>
          <a:ext cx="1465855" cy="97531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vert="horz" wrap="square"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l">
            <a:lnSpc>
              <a:spcPct val="100000"/>
            </a:lnSpc>
            <a:spcBef>
              <a:spcPct val="0"/>
            </a:spcBef>
            <a:spcAft>
              <a:spcPct val="35000"/>
            </a:spcAft>
          </a:pPr>
          <a:r>
            <a:rPr lang="en-US" altLang="zh-CN">
              <a:solidFill>
                <a:sysClr val="windowText" lastClr="000000">
                  <a:hueOff val="0"/>
                  <a:satOff val="0"/>
                  <a:lumOff val="0"/>
                  <a:alphaOff val="0"/>
                </a:sysClr>
              </a:solidFill>
              <a:latin typeface="等线" panose="02010600030101010101" charset="-122"/>
              <a:ea typeface="等线" panose="02010600030101010101" charset="-122"/>
              <a:cs typeface="+mn-cs"/>
            </a:rPr>
            <a:t>1.</a:t>
          </a: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生殖</a:t>
          </a:r>
          <a:r>
            <a:rPr lang="zh-CN" altLang="en-US">
              <a:solidFill>
                <a:sysClr val="windowText" lastClr="000000"/>
              </a:solidFill>
              <a:latin typeface="等线" panose="02010600030101010101" charset="-122"/>
              <a:ea typeface="等线" panose="02010600030101010101" charset="-122"/>
              <a:cs typeface="+mn-cs"/>
            </a:rPr>
            <a:t>系统体格及妇科</a:t>
          </a:r>
          <a:r>
            <a:rPr lang="en-US" altLang="zh-CN">
              <a:solidFill>
                <a:sysClr val="windowText" lastClr="000000"/>
              </a:solidFill>
              <a:latin typeface="等线" panose="02010600030101010101" charset="-122"/>
              <a:ea typeface="等线" panose="02010600030101010101" charset="-122"/>
              <a:cs typeface="+mn-cs"/>
            </a:rPr>
            <a:t>B</a:t>
          </a:r>
          <a:r>
            <a:rPr lang="zh-CN" altLang="en-US">
              <a:solidFill>
                <a:sysClr val="windowText" lastClr="000000"/>
              </a:solidFill>
              <a:latin typeface="等线" panose="02010600030101010101" charset="-122"/>
              <a:ea typeface="等线" panose="02010600030101010101" charset="-122"/>
              <a:cs typeface="+mn-cs"/>
            </a:rPr>
            <a:t>超检查；</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排卵及卵巢储备功能检查；</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输卵管通畅性及功能检查（男方精液</a:t>
          </a:r>
          <a:r>
            <a:rPr lang="zh-CN" altLang="en-US">
              <a:solidFill>
                <a:sysClr val="windowText" lastClr="000000"/>
              </a:solidFill>
              <a:latin typeface="等线" panose="02010600030101010101" charset="-122"/>
              <a:ea typeface="等线" panose="02010600030101010101" charset="-122"/>
              <a:cs typeface="+mn-cs"/>
            </a:rPr>
            <a:t>重度</a:t>
          </a:r>
          <a:r>
            <a:rPr lang="zh-CN" altLang="en-US">
              <a:solidFill>
                <a:sysClr val="windowText" lastClr="000000"/>
              </a:solidFill>
              <a:latin typeface="等线" panose="02010600030101010101" charset="-122"/>
              <a:ea typeface="等线" panose="02010600030101010101" charset="-122"/>
              <a:cs typeface="+mn-cs"/>
            </a:rPr>
            <a:t>异常</a:t>
          </a:r>
          <a:r>
            <a:rPr lang="zh-CN" altLang="en-US">
              <a:solidFill>
                <a:sysClr val="windowText" lastClr="000000"/>
              </a:solidFill>
              <a:latin typeface="等线" panose="02010600030101010101" charset="-122"/>
              <a:ea typeface="等线" panose="02010600030101010101" charset="-122"/>
              <a:cs typeface="+mn-cs"/>
            </a:rPr>
            <a:t>或者</a:t>
          </a:r>
          <a:r>
            <a:rPr lang="zh-CN" altLang="en-US">
              <a:solidFill>
                <a:sysClr val="windowText" lastClr="000000"/>
              </a:solidFill>
              <a:latin typeface="等线" panose="02010600030101010101" charset="-122"/>
              <a:ea typeface="等线" panose="02010600030101010101" charset="-122"/>
              <a:cs typeface="+mn-cs"/>
            </a:rPr>
            <a:t>无精子症</a:t>
          </a:r>
          <a:r>
            <a:rPr lang="zh-CN" altLang="en-US">
              <a:solidFill>
                <a:sysClr val="windowText" lastClr="000000"/>
              </a:solidFill>
              <a:latin typeface="等线" panose="02010600030101010101" charset="-122"/>
              <a:ea typeface="等线" panose="02010600030101010101" charset="-122"/>
              <a:cs typeface="+mn-cs"/>
            </a:rPr>
            <a:t>者</a:t>
          </a:r>
          <a:r>
            <a:rPr lang="zh-CN" altLang="en-US">
              <a:solidFill>
                <a:sysClr val="windowText" lastClr="000000"/>
              </a:solidFill>
              <a:latin typeface="等线" panose="02010600030101010101" charset="-122"/>
              <a:ea typeface="等线" panose="02010600030101010101" charset="-122"/>
              <a:cs typeface="+mn-cs"/>
            </a:rPr>
            <a:t>宜</a:t>
          </a:r>
          <a:r>
            <a:rPr lang="zh-CN" altLang="en-US">
              <a:solidFill>
                <a:sysClr val="windowText" lastClr="000000"/>
              </a:solidFill>
              <a:latin typeface="等线" panose="02010600030101010101" charset="-122"/>
              <a:ea typeface="等线" panose="02010600030101010101" charset="-122"/>
              <a:cs typeface="+mn-cs"/>
            </a:rPr>
            <a:t>不查</a:t>
          </a:r>
          <a:r>
            <a:rPr lang="zh-CN" altLang="en-US">
              <a:solidFill>
                <a:sysClr val="windowText" lastClr="000000"/>
              </a:solidFill>
              <a:latin typeface="等线" panose="02010600030101010101" charset="-122"/>
              <a:ea typeface="等线" panose="02010600030101010101" charset="-122"/>
              <a:cs typeface="+mn-cs"/>
            </a:rPr>
            <a:t>）；</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生殖道常见病原体检查；</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5.</a:t>
          </a:r>
          <a:r>
            <a:rPr lang="zh-CN" altLang="en-US">
              <a:solidFill>
                <a:sysClr val="windowText" lastClr="000000"/>
              </a:solidFill>
              <a:latin typeface="等线" panose="02010600030101010101" charset="-122"/>
              <a:ea typeface="等线" panose="02010600030101010101" charset="-122"/>
              <a:cs typeface="+mn-cs"/>
            </a:rPr>
            <a:t>全身状态评估。</a:t>
          </a:r>
          <a:endParaRPr lang="en-US" altLang="zh-CN">
            <a:solidFill>
              <a:sysClr val="windowText" lastClr="000000"/>
            </a:solidFill>
            <a:latin typeface="等线" panose="02010600030101010101" charset="-122"/>
            <a:ea typeface="等线" panose="02010600030101010101" charset="-122"/>
            <a:cs typeface="+mn-cs"/>
          </a:endParaRPr>
        </a:p>
      </dsp:txBody>
      <dsp:txXfrm>
        <a:off x="2528285" y="2785401"/>
        <a:ext cx="1465855" cy="975315"/>
      </dsp:txXfrm>
    </dsp:sp>
    <dsp:sp modelId="{62DB0E37-34B7-4AEC-B4DA-54B0334F9F64}">
      <dsp:nvSpPr>
        <dsp:cNvPr id="42" name="矩形 41"/>
        <dsp:cNvSpPr/>
      </dsp:nvSpPr>
      <dsp:spPr bwMode="white">
        <a:xfrm>
          <a:off x="4271278" y="2248589"/>
          <a:ext cx="791327" cy="39566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ctr">
            <a:lnSpc>
              <a:spcPct val="100000"/>
            </a:lnSpc>
            <a:spcBef>
              <a:spcPct val="0"/>
            </a:spcBef>
            <a:spcAft>
              <a:spcPct val="35000"/>
            </a:spcAft>
            <a:buNone/>
          </a:pPr>
          <a:r>
            <a:rPr lang="zh-CN" altLang="en-US">
              <a:solidFill>
                <a:sysClr val="windowText" lastClr="000000">
                  <a:hueOff val="0"/>
                  <a:satOff val="0"/>
                  <a:lumOff val="0"/>
                  <a:alphaOff val="0"/>
                </a:sysClr>
              </a:solidFill>
              <a:latin typeface="等线" panose="02010600030101010101" charset="-122"/>
              <a:ea typeface="等线" panose="02010600030101010101" charset="-122"/>
              <a:cs typeface="+mn-cs"/>
            </a:rPr>
            <a:t>选查项目</a:t>
          </a:r>
          <a:endParaRPr>
            <a:solidFill>
              <a:schemeClr val="dk1"/>
            </a:solidFill>
          </a:endParaRPr>
        </a:p>
      </dsp:txBody>
      <dsp:txXfrm>
        <a:off x="4271278" y="2248589"/>
        <a:ext cx="791327" cy="395664"/>
      </dsp:txXfrm>
    </dsp:sp>
    <dsp:sp modelId="{4C840FEE-0B93-4D94-A574-32FFEE82470C}">
      <dsp:nvSpPr>
        <dsp:cNvPr id="45" name="矩形 44"/>
        <dsp:cNvSpPr/>
      </dsp:nvSpPr>
      <dsp:spPr bwMode="white">
        <a:xfrm>
          <a:off x="4073526" y="2784571"/>
          <a:ext cx="1183810" cy="995708"/>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hemeClr val="dk1">
            <a:shade val="80000"/>
          </a:schemeClr>
        </a:lnRef>
        <a:fillRef idx="1">
          <a:schemeClr val="lt1"/>
        </a:fillRef>
        <a:effectRef idx="0">
          <a:scrgbClr r="0" g="0" b="0"/>
        </a:effectRef>
        <a:fontRef idx="minor">
          <a:schemeClr val="lt1"/>
        </a:fontRef>
      </dsp:style>
      <dsp:txBody>
        <a:bodyPr vert="horz" wrap="square" lIns="4445" tIns="4445" rIns="4445" bIns="4445" anchor="ctr"/>
        <a:lstStyle>
          <a:lvl1pPr algn="ctr">
            <a:defRPr sz="700"/>
          </a:lvl1pPr>
          <a:lvl2pPr marL="57150" indent="-57150" algn="ctr">
            <a:defRPr sz="500"/>
          </a:lvl2pPr>
          <a:lvl3pPr marL="114300" indent="-57150" algn="ctr">
            <a:defRPr sz="500"/>
          </a:lvl3pPr>
          <a:lvl4pPr marL="171450" indent="-57150" algn="ctr">
            <a:defRPr sz="500"/>
          </a:lvl4pPr>
          <a:lvl5pPr marL="228600" indent="-57150" algn="ctr">
            <a:defRPr sz="500"/>
          </a:lvl5pPr>
          <a:lvl6pPr marL="285750" indent="-57150" algn="ctr">
            <a:defRPr sz="500"/>
          </a:lvl6pPr>
          <a:lvl7pPr marL="342900" indent="-57150" algn="ctr">
            <a:defRPr sz="500"/>
          </a:lvl7pPr>
          <a:lvl8pPr marL="400050" indent="-57150" algn="ctr">
            <a:defRPr sz="500"/>
          </a:lvl8pPr>
          <a:lvl9pPr marL="457200" indent="-57150" algn="ctr">
            <a:defRPr sz="500"/>
          </a:lvl9pPr>
        </a:lstStyle>
        <a:p>
          <a:pPr lvl="0" algn="l">
            <a:lnSpc>
              <a:spcPct val="100000"/>
            </a:lnSpc>
            <a:spcBef>
              <a:spcPct val="0"/>
            </a:spcBef>
            <a:spcAft>
              <a:spcPct val="35000"/>
            </a:spcAft>
          </a:pPr>
          <a:r>
            <a:rPr lang="en-US" altLang="zh-CN">
              <a:solidFill>
                <a:sysClr val="windowText" lastClr="000000">
                  <a:hueOff val="0"/>
                  <a:satOff val="0"/>
                  <a:lumOff val="0"/>
                  <a:alphaOff val="0"/>
                </a:sysClr>
              </a:solidFill>
              <a:latin typeface="等线" panose="02010600030101010101" charset="-122"/>
              <a:ea typeface="等线" panose="02010600030101010101" charset="-122"/>
              <a:cs typeface="+mn-cs"/>
            </a:rPr>
            <a:t>1</a:t>
          </a:r>
          <a:r>
            <a:rPr lang="en-US" altLang="zh-CN">
              <a:solidFill>
                <a:sysClr val="windowText" lastClr="000000"/>
              </a:solidFill>
              <a:latin typeface="等线" panose="02010600030101010101" charset="-122"/>
              <a:ea typeface="等线" panose="02010600030101010101" charset="-122"/>
              <a:cs typeface="+mn-cs"/>
            </a:rPr>
            <a:t>.</a:t>
          </a:r>
          <a:r>
            <a:rPr lang="zh-CN" altLang="en-US">
              <a:solidFill>
                <a:sysClr val="windowText" lastClr="000000"/>
              </a:solidFill>
              <a:latin typeface="等线" panose="02010600030101010101" charset="-122"/>
              <a:ea typeface="等线" panose="02010600030101010101" charset="-122"/>
              <a:cs typeface="+mn-cs"/>
            </a:rPr>
            <a:t> 生殖外科针对性检查；</a:t>
          </a:r>
          <a:endParaRPr lang="zh-CN" altLang="en-US">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2.</a:t>
          </a:r>
          <a:r>
            <a:rPr lang="zh-CN" altLang="en-US">
              <a:solidFill>
                <a:sysClr val="windowText" lastClr="000000"/>
              </a:solidFill>
              <a:latin typeface="等线" panose="02010600030101010101" charset="-122"/>
              <a:ea typeface="等线" panose="02010600030101010101" charset="-122"/>
              <a:cs typeface="+mn-cs"/>
            </a:rPr>
            <a:t>免疫因素检测；</a:t>
          </a:r>
          <a:endParaRPr lang="zh-CN" altLang="en-US">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3.</a:t>
          </a:r>
          <a:r>
            <a:rPr lang="zh-CN" altLang="en-US">
              <a:solidFill>
                <a:sysClr val="windowText" lastClr="000000"/>
              </a:solidFill>
              <a:latin typeface="等线" panose="02010600030101010101" charset="-122"/>
              <a:ea typeface="等线" panose="02010600030101010101" charset="-122"/>
              <a:cs typeface="+mn-cs"/>
            </a:rPr>
            <a:t>血栓前状态；</a:t>
          </a:r>
          <a:endParaRPr lang="zh-CN" altLang="en-US">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4.</a:t>
          </a:r>
          <a:r>
            <a:rPr lang="zh-CN" altLang="en-US">
              <a:solidFill>
                <a:sysClr val="windowText" lastClr="000000"/>
              </a:solidFill>
              <a:latin typeface="等线" panose="02010600030101010101" charset="-122"/>
              <a:ea typeface="等线" panose="02010600030101010101" charset="-122"/>
              <a:cs typeface="+mn-cs"/>
            </a:rPr>
            <a:t>其他内分泌检测；</a:t>
          </a:r>
          <a:endParaRPr lang="en-US" altLang="zh-CN">
            <a:solidFill>
              <a:sysClr val="windowText" lastClr="000000"/>
            </a:solidFill>
            <a:latin typeface="等线" panose="02010600030101010101" charset="-122"/>
            <a:ea typeface="等线" panose="02010600030101010101" charset="-122"/>
            <a:cs typeface="+mn-cs"/>
          </a:endParaRPr>
        </a:p>
        <a:p>
          <a:pPr lvl="0" algn="l">
            <a:lnSpc>
              <a:spcPct val="100000"/>
            </a:lnSpc>
            <a:spcBef>
              <a:spcPct val="0"/>
            </a:spcBef>
            <a:spcAft>
              <a:spcPct val="35000"/>
            </a:spcAft>
          </a:pPr>
          <a:r>
            <a:rPr lang="en-US" altLang="zh-CN">
              <a:solidFill>
                <a:sysClr val="windowText" lastClr="000000"/>
              </a:solidFill>
              <a:latin typeface="等线" panose="02010600030101010101" charset="-122"/>
              <a:ea typeface="等线" panose="02010600030101010101" charset="-122"/>
              <a:cs typeface="+mn-cs"/>
            </a:rPr>
            <a:t>5.</a:t>
          </a:r>
          <a:r>
            <a:rPr lang="zh-CN" altLang="en-US">
              <a:solidFill>
                <a:sysClr val="windowText" lastClr="000000"/>
              </a:solidFill>
              <a:latin typeface="等线" panose="02010600030101010101" charset="-122"/>
              <a:ea typeface="等线" panose="02010600030101010101" charset="-122"/>
              <a:cs typeface="+mn-cs"/>
            </a:rPr>
            <a:t>基因筛查。</a:t>
          </a:r>
          <a:endParaRPr>
            <a:solidFill>
              <a:sysClr val="windowText" lastClr="000000"/>
            </a:solidFill>
          </a:endParaRPr>
        </a:p>
      </dsp:txBody>
      <dsp:txXfrm>
        <a:off x="4073526" y="2784571"/>
        <a:ext cx="1183810" cy="995708"/>
      </dsp:txXfrm>
    </dsp:sp>
    <dsp:sp modelId="{9F3E570D-C411-4DF4-B75C-7008B9D5C5A7}">
      <dsp:nvSpPr>
        <dsp:cNvPr id="4" name="矩形 3" hidden="1"/>
        <dsp:cNvSpPr/>
      </dsp:nvSpPr>
      <dsp:spPr>
        <a:xfrm>
          <a:off x="2178010" y="14240"/>
          <a:ext cx="158265" cy="395664"/>
        </a:xfrm>
        <a:prstGeom prst="rect">
          <a:avLst/>
        </a:prstGeom>
      </dsp:spPr>
      <dsp:txXfrm>
        <a:off x="2178010" y="14240"/>
        <a:ext cx="158265" cy="395664"/>
      </dsp:txXfrm>
    </dsp:sp>
    <dsp:sp modelId="{606A5016-C99F-4DBC-BE2A-5D8FC88083FB}">
      <dsp:nvSpPr>
        <dsp:cNvPr id="7" name="矩形 6" hidden="1"/>
        <dsp:cNvSpPr/>
      </dsp:nvSpPr>
      <dsp:spPr>
        <a:xfrm>
          <a:off x="2303839" y="561842"/>
          <a:ext cx="158265" cy="395664"/>
        </a:xfrm>
        <a:prstGeom prst="rect">
          <a:avLst/>
        </a:prstGeom>
      </dsp:spPr>
      <dsp:txXfrm>
        <a:off x="2303839" y="561842"/>
        <a:ext cx="158265" cy="395664"/>
      </dsp:txXfrm>
    </dsp:sp>
    <dsp:sp modelId="{84296F03-3CDD-46CA-BDA2-716741FB9A6F}">
      <dsp:nvSpPr>
        <dsp:cNvPr id="10" name="矩形 9" hidden="1"/>
        <dsp:cNvSpPr/>
      </dsp:nvSpPr>
      <dsp:spPr>
        <a:xfrm>
          <a:off x="2850425" y="1124108"/>
          <a:ext cx="158265" cy="395664"/>
        </a:xfrm>
        <a:prstGeom prst="rect">
          <a:avLst/>
        </a:prstGeom>
      </dsp:spPr>
      <dsp:txXfrm>
        <a:off x="2850425" y="1124108"/>
        <a:ext cx="158265" cy="395664"/>
      </dsp:txXfrm>
    </dsp:sp>
    <dsp:sp modelId="{1240AE66-611E-48DA-9AD8-95B65FAFED31}">
      <dsp:nvSpPr>
        <dsp:cNvPr id="13" name="矩形 12" hidden="1"/>
        <dsp:cNvSpPr/>
      </dsp:nvSpPr>
      <dsp:spPr>
        <a:xfrm>
          <a:off x="3261346" y="561842"/>
          <a:ext cx="158265" cy="395664"/>
        </a:xfrm>
        <a:prstGeom prst="rect">
          <a:avLst/>
        </a:prstGeom>
      </dsp:spPr>
      <dsp:txXfrm>
        <a:off x="3261346" y="561842"/>
        <a:ext cx="158265" cy="395664"/>
      </dsp:txXfrm>
    </dsp:sp>
    <dsp:sp modelId="{F05D193D-06C2-4C29-A7B3-D4CF29091C65}">
      <dsp:nvSpPr>
        <dsp:cNvPr id="16" name="矩形 15" hidden="1"/>
        <dsp:cNvSpPr/>
      </dsp:nvSpPr>
      <dsp:spPr>
        <a:xfrm>
          <a:off x="2851414" y="1124108"/>
          <a:ext cx="158265" cy="395664"/>
        </a:xfrm>
        <a:prstGeom prst="rect">
          <a:avLst/>
        </a:prstGeom>
      </dsp:spPr>
      <dsp:txXfrm>
        <a:off x="2851414" y="1124108"/>
        <a:ext cx="158265" cy="395664"/>
      </dsp:txXfrm>
    </dsp:sp>
    <dsp:sp modelId="{11C3F528-C0A6-415B-8907-62AD69614BCF}">
      <dsp:nvSpPr>
        <dsp:cNvPr id="19" name="矩形 18" hidden="1"/>
        <dsp:cNvSpPr/>
      </dsp:nvSpPr>
      <dsp:spPr>
        <a:xfrm>
          <a:off x="1511225" y="1693282"/>
          <a:ext cx="158265" cy="395664"/>
        </a:xfrm>
        <a:prstGeom prst="rect">
          <a:avLst/>
        </a:prstGeom>
      </dsp:spPr>
      <dsp:txXfrm>
        <a:off x="1511225" y="1693282"/>
        <a:ext cx="158265" cy="395664"/>
      </dsp:txXfrm>
    </dsp:sp>
    <dsp:sp modelId="{C0315C9E-3A28-4AD1-8E57-153C64BD6233}">
      <dsp:nvSpPr>
        <dsp:cNvPr id="22" name="矩形 21" hidden="1"/>
        <dsp:cNvSpPr/>
      </dsp:nvSpPr>
      <dsp:spPr>
        <a:xfrm>
          <a:off x="765005" y="2253503"/>
          <a:ext cx="158265" cy="395664"/>
        </a:xfrm>
        <a:prstGeom prst="rect">
          <a:avLst/>
        </a:prstGeom>
      </dsp:spPr>
      <dsp:txXfrm>
        <a:off x="765005" y="2253503"/>
        <a:ext cx="158265" cy="395664"/>
      </dsp:txXfrm>
    </dsp:sp>
    <dsp:sp modelId="{B725DD45-7D5D-4267-BC77-19D2B8C733C0}">
      <dsp:nvSpPr>
        <dsp:cNvPr id="25" name="矩形 24" hidden="1"/>
        <dsp:cNvSpPr/>
      </dsp:nvSpPr>
      <dsp:spPr>
        <a:xfrm>
          <a:off x="0" y="2810122"/>
          <a:ext cx="250707" cy="968292"/>
        </a:xfrm>
        <a:prstGeom prst="rect">
          <a:avLst/>
        </a:prstGeom>
      </dsp:spPr>
      <dsp:txXfrm>
        <a:off x="0" y="2810122"/>
        <a:ext cx="250707" cy="968292"/>
      </dsp:txXfrm>
    </dsp:sp>
    <dsp:sp modelId="{859BEB20-C870-41B2-9F1E-5ABB58637A77}">
      <dsp:nvSpPr>
        <dsp:cNvPr id="28" name="矩形 27" hidden="1"/>
        <dsp:cNvSpPr/>
      </dsp:nvSpPr>
      <dsp:spPr>
        <a:xfrm>
          <a:off x="2127090" y="2253503"/>
          <a:ext cx="158265" cy="395664"/>
        </a:xfrm>
        <a:prstGeom prst="rect">
          <a:avLst/>
        </a:prstGeom>
      </dsp:spPr>
      <dsp:txXfrm>
        <a:off x="2127090" y="2253503"/>
        <a:ext cx="158265" cy="395664"/>
      </dsp:txXfrm>
    </dsp:sp>
    <dsp:sp modelId="{01873082-453F-4E48-88E6-8FC77FD49783}">
      <dsp:nvSpPr>
        <dsp:cNvPr id="31" name="矩形 30" hidden="1"/>
        <dsp:cNvSpPr/>
      </dsp:nvSpPr>
      <dsp:spPr>
        <a:xfrm>
          <a:off x="1307567" y="2799384"/>
          <a:ext cx="233173" cy="978053"/>
        </a:xfrm>
        <a:prstGeom prst="rect">
          <a:avLst/>
        </a:prstGeom>
      </dsp:spPr>
      <dsp:txXfrm>
        <a:off x="1307567" y="2799384"/>
        <a:ext cx="233173" cy="978053"/>
      </dsp:txXfrm>
    </dsp:sp>
    <dsp:sp modelId="{2551E94B-25B1-4845-AC2E-77276D20ED29}">
      <dsp:nvSpPr>
        <dsp:cNvPr id="34" name="矩形 33" hidden="1"/>
        <dsp:cNvSpPr/>
      </dsp:nvSpPr>
      <dsp:spPr>
        <a:xfrm>
          <a:off x="4156880" y="1692123"/>
          <a:ext cx="158265" cy="395664"/>
        </a:xfrm>
        <a:prstGeom prst="rect">
          <a:avLst/>
        </a:prstGeom>
      </dsp:spPr>
      <dsp:txXfrm>
        <a:off x="4156880" y="1692123"/>
        <a:ext cx="158265" cy="395664"/>
      </dsp:txXfrm>
    </dsp:sp>
    <dsp:sp modelId="{BB40C5FC-0B44-474A-983E-A1310D13002C}">
      <dsp:nvSpPr>
        <dsp:cNvPr id="37" name="矩形 36" hidden="1"/>
        <dsp:cNvSpPr/>
      </dsp:nvSpPr>
      <dsp:spPr>
        <a:xfrm>
          <a:off x="3499156" y="2248589"/>
          <a:ext cx="158265" cy="395664"/>
        </a:xfrm>
        <a:prstGeom prst="rect">
          <a:avLst/>
        </a:prstGeom>
      </dsp:spPr>
      <dsp:txXfrm>
        <a:off x="3499156" y="2248589"/>
        <a:ext cx="158265" cy="395664"/>
      </dsp:txXfrm>
    </dsp:sp>
    <dsp:sp modelId="{57D41D46-9A51-49EC-AF18-393F59F11422}">
      <dsp:nvSpPr>
        <dsp:cNvPr id="40" name="矩形 39" hidden="1"/>
        <dsp:cNvSpPr/>
      </dsp:nvSpPr>
      <dsp:spPr>
        <a:xfrm>
          <a:off x="2528285" y="2785401"/>
          <a:ext cx="293171" cy="975315"/>
        </a:xfrm>
        <a:prstGeom prst="rect">
          <a:avLst/>
        </a:prstGeom>
      </dsp:spPr>
      <dsp:txXfrm>
        <a:off x="2528285" y="2785401"/>
        <a:ext cx="293171" cy="975315"/>
      </dsp:txXfrm>
    </dsp:sp>
    <dsp:sp modelId="{88046AE8-041B-44D7-A64B-7EF52797B5CA}">
      <dsp:nvSpPr>
        <dsp:cNvPr id="43" name="矩形 42" hidden="1"/>
        <dsp:cNvSpPr/>
      </dsp:nvSpPr>
      <dsp:spPr>
        <a:xfrm>
          <a:off x="4904340" y="2248589"/>
          <a:ext cx="158265" cy="395664"/>
        </a:xfrm>
        <a:prstGeom prst="rect">
          <a:avLst/>
        </a:prstGeom>
      </dsp:spPr>
      <dsp:txXfrm>
        <a:off x="4904340" y="2248589"/>
        <a:ext cx="158265" cy="395664"/>
      </dsp:txXfrm>
    </dsp:sp>
    <dsp:sp modelId="{FC47ED63-4EBD-4065-8A79-237BDD4F21FA}">
      <dsp:nvSpPr>
        <dsp:cNvPr id="46" name="矩形 45" hidden="1"/>
        <dsp:cNvSpPr/>
      </dsp:nvSpPr>
      <dsp:spPr>
        <a:xfrm>
          <a:off x="4073526" y="2784571"/>
          <a:ext cx="236762" cy="995708"/>
        </a:xfrm>
        <a:prstGeom prst="rect">
          <a:avLst/>
        </a:prstGeom>
      </dsp:spPr>
      <dsp:txXfrm>
        <a:off x="4073526" y="2784571"/>
        <a:ext cx="236762" cy="99570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3C9D95C144A42998C132270E00FC171"/>
        <w:style w:val=""/>
        <w:category>
          <w:name w:val="常规"/>
          <w:gallery w:val="placeholder"/>
        </w:category>
        <w:types>
          <w:type w:val="bbPlcHdr"/>
        </w:types>
        <w:behaviors>
          <w:behavior w:val="content"/>
        </w:behaviors>
        <w:description w:val=""/>
        <w:guid w:val="{1C44840D-68E8-4399-9860-6CC5E83859F7}"/>
      </w:docPartPr>
      <w:docPartBody>
        <w:p>
          <w:pPr>
            <w:pStyle w:val="5"/>
          </w:pPr>
          <w:r>
            <w:rPr>
              <w:rStyle w:val="4"/>
              <w:rFonts w:hint="eastAsia"/>
            </w:rPr>
            <w:t>单击或点击此处输入文字。</w:t>
          </w:r>
        </w:p>
      </w:docPartBody>
    </w:docPart>
    <w:docPart>
      <w:docPartPr>
        <w:name w:val="37DCD6A78CFF49E782183F61E679E97B"/>
        <w:style w:val=""/>
        <w:category>
          <w:name w:val="常规"/>
          <w:gallery w:val="placeholder"/>
        </w:category>
        <w:types>
          <w:type w:val="bbPlcHdr"/>
        </w:types>
        <w:behaviors>
          <w:behavior w:val="content"/>
        </w:behaviors>
        <w:description w:val=""/>
        <w:guid w:val="{0C2BD405-DC8A-4872-B067-5A2515D90528}"/>
      </w:docPartPr>
      <w:docPartBody>
        <w:p>
          <w:pPr>
            <w:pStyle w:val="6"/>
          </w:pPr>
          <w:r>
            <w:rPr>
              <w:rStyle w:val="4"/>
              <w:rFonts w:hint="eastAsia"/>
            </w:rPr>
            <w:t>选择一项。</w:t>
          </w:r>
        </w:p>
      </w:docPartBody>
    </w:docPart>
    <w:docPart>
      <w:docPartPr>
        <w:name w:val="DBBAD9DD89D9450EB9D8CFFE94CF8BF6"/>
        <w:style w:val=""/>
        <w:category>
          <w:name w:val="常规"/>
          <w:gallery w:val="placeholder"/>
        </w:category>
        <w:types>
          <w:type w:val="bbPlcHdr"/>
        </w:types>
        <w:behaviors>
          <w:behavior w:val="content"/>
        </w:behaviors>
        <w:description w:val=""/>
        <w:guid w:val="{A8E9061E-58EE-4DC4-ABE8-51FD2DFAE08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CEE"/>
    <w:rsid w:val="001458AF"/>
    <w:rsid w:val="001472AA"/>
    <w:rsid w:val="00223D1C"/>
    <w:rsid w:val="002261ED"/>
    <w:rsid w:val="004E0BBA"/>
    <w:rsid w:val="006B65FF"/>
    <w:rsid w:val="00706F51"/>
    <w:rsid w:val="007F3AF4"/>
    <w:rsid w:val="008F0907"/>
    <w:rsid w:val="00917723"/>
    <w:rsid w:val="00B50CEE"/>
    <w:rsid w:val="00B9371F"/>
    <w:rsid w:val="00D83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3C9D95C144A42998C132270E00FC1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7DCD6A78CFF49E782183F61E679E9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BBAD9DD89D9450EB9D8CFFE94CF8BF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E29AD-4999-4FF5-AC41-400C93E44222}">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19</Pages>
  <Words>11203</Words>
  <Characters>16334</Characters>
  <Lines>128</Lines>
  <Paragraphs>36</Paragraphs>
  <TotalTime>6</TotalTime>
  <ScaleCrop>false</ScaleCrop>
  <LinksUpToDate>false</LinksUpToDate>
  <CharactersWithSpaces>17074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2024-06-27T12:50:00Z</dcterms:created>
  <dc:creator>Administrator</dc:creator>
  <dc:description>&lt;config cover="true" show_menu="true" version="1.0.0" doctype="SDKXY"&gt;_x000d_
&lt;/config&gt;</dc:description>
  <cp:lastModifiedBy>Administrator</cp:lastModifiedBy>
  <cp:lastPrinted>2024-06-21T01:15:00Z</cp:lastPrinted>
  <dcterms:modified xsi:type="dcterms:W3CDTF">2024-06-28T11:40:21Z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76427F645B124C9788829D1F3A662517_13</vt:lpwstr>
  </property>
</Properties>
</file>