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E6561" w14:textId="77777777" w:rsidR="009C746D" w:rsidRDefault="00C1003B">
      <w:pPr>
        <w:spacing w:line="600" w:lineRule="exact"/>
        <w:ind w:firstLineChars="200" w:firstLine="880"/>
        <w:jc w:val="center"/>
        <w:outlineLvl w:val="0"/>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团体标准</w:t>
      </w:r>
    </w:p>
    <w:p w14:paraId="0D842E4E" w14:textId="54EF8B25" w:rsidR="009C746D" w:rsidRDefault="00C1003B" w:rsidP="00A03C65">
      <w:pPr>
        <w:spacing w:line="600" w:lineRule="exact"/>
        <w:jc w:val="center"/>
        <w:outlineLvl w:val="0"/>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w:t>
      </w:r>
      <w:r w:rsidR="00F07CEA">
        <w:rPr>
          <w:rFonts w:ascii="方正小标宋简体" w:eastAsia="方正小标宋简体" w:hAnsi="黑体" w:cs="黑体" w:hint="eastAsia"/>
          <w:color w:val="000000"/>
          <w:sz w:val="44"/>
          <w:szCs w:val="44"/>
        </w:rPr>
        <w:t>晚期驱动基因阴性非小细胞肺癌免疫相关性肺炎处理规范</w:t>
      </w:r>
      <w:r>
        <w:rPr>
          <w:rFonts w:ascii="方正小标宋简体" w:eastAsia="方正小标宋简体" w:hAnsi="黑体" w:cs="黑体" w:hint="eastAsia"/>
          <w:color w:val="000000"/>
          <w:sz w:val="44"/>
          <w:szCs w:val="44"/>
        </w:rPr>
        <w:t>》（</w:t>
      </w:r>
      <w:r w:rsidR="007D69EF">
        <w:rPr>
          <w:rFonts w:ascii="方正小标宋简体" w:eastAsia="方正小标宋简体" w:hAnsi="黑体" w:cs="黑体" w:hint="eastAsia"/>
          <w:color w:val="000000"/>
          <w:sz w:val="44"/>
          <w:szCs w:val="44"/>
        </w:rPr>
        <w:t>征求意见</w:t>
      </w:r>
      <w:r w:rsidR="00F07CEA">
        <w:rPr>
          <w:rFonts w:ascii="方正小标宋简体" w:eastAsia="方正小标宋简体" w:hAnsi="黑体" w:cs="黑体" w:hint="eastAsia"/>
          <w:color w:val="000000"/>
          <w:sz w:val="44"/>
          <w:szCs w:val="44"/>
        </w:rPr>
        <w:t>稿</w:t>
      </w:r>
      <w:r>
        <w:rPr>
          <w:rFonts w:ascii="方正小标宋简体" w:eastAsia="方正小标宋简体" w:hAnsi="黑体" w:cs="黑体" w:hint="eastAsia"/>
          <w:color w:val="000000"/>
          <w:sz w:val="44"/>
          <w:szCs w:val="44"/>
        </w:rPr>
        <w:t>）编制说明</w:t>
      </w:r>
    </w:p>
    <w:p w14:paraId="22F127C0" w14:textId="77777777" w:rsidR="009C746D" w:rsidRDefault="00C1003B" w:rsidP="00145245">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一、项目来源</w:t>
      </w:r>
    </w:p>
    <w:p w14:paraId="188EBA2F" w14:textId="3ECC8C4E" w:rsidR="009C746D" w:rsidRDefault="00C1003B">
      <w:pPr>
        <w:spacing w:line="560" w:lineRule="exact"/>
        <w:ind w:firstLineChars="200" w:firstLine="640"/>
        <w:rPr>
          <w:rFonts w:ascii="仿宋_GB2312" w:eastAsia="仿宋_GB2312" w:hAnsi="仿宋"/>
          <w:sz w:val="32"/>
          <w:szCs w:val="32"/>
        </w:rPr>
      </w:pPr>
      <w:r>
        <w:rPr>
          <w:rFonts w:ascii="仿宋_GB2312" w:eastAsia="仿宋_GB2312" w:hAnsi="仿宋" w:hint="eastAsia"/>
          <w:sz w:val="32"/>
          <w:szCs w:val="32"/>
        </w:rPr>
        <w:t>根据《广西标准化协会关于下达</w:t>
      </w:r>
      <w:r w:rsidR="00A03C65">
        <w:rPr>
          <w:rFonts w:ascii="仿宋_GB2312" w:eastAsia="仿宋_GB2312" w:hAnsi="仿宋" w:hint="eastAsia"/>
          <w:sz w:val="32"/>
          <w:szCs w:val="32"/>
        </w:rPr>
        <w:t>202</w:t>
      </w:r>
      <w:r w:rsidR="00174EB0">
        <w:rPr>
          <w:rFonts w:ascii="仿宋_GB2312" w:eastAsia="仿宋_GB2312" w:hAnsi="仿宋"/>
          <w:sz w:val="32"/>
          <w:szCs w:val="32"/>
        </w:rPr>
        <w:t>4</w:t>
      </w:r>
      <w:r>
        <w:rPr>
          <w:rFonts w:ascii="仿宋_GB2312" w:eastAsia="仿宋_GB2312" w:hAnsi="仿宋" w:hint="eastAsia"/>
          <w:sz w:val="32"/>
          <w:szCs w:val="32"/>
        </w:rPr>
        <w:t>年第</w:t>
      </w:r>
      <w:r w:rsidR="00174EB0">
        <w:rPr>
          <w:rFonts w:ascii="仿宋_GB2312" w:eastAsia="仿宋_GB2312" w:hAnsi="仿宋" w:hint="eastAsia"/>
          <w:sz w:val="32"/>
          <w:szCs w:val="32"/>
        </w:rPr>
        <w:t>一</w:t>
      </w:r>
      <w:r>
        <w:rPr>
          <w:rFonts w:ascii="仿宋_GB2312" w:eastAsia="仿宋_GB2312" w:hAnsi="仿宋" w:hint="eastAsia"/>
          <w:sz w:val="32"/>
          <w:szCs w:val="32"/>
        </w:rPr>
        <w:t>批团体标准制修订项目计划的通知》（桂标协〔</w:t>
      </w:r>
      <w:r w:rsidR="00A03C65">
        <w:rPr>
          <w:rFonts w:ascii="仿宋_GB2312" w:eastAsia="仿宋_GB2312" w:hAnsi="仿宋" w:hint="eastAsia"/>
          <w:sz w:val="32"/>
          <w:szCs w:val="32"/>
        </w:rPr>
        <w:t>202</w:t>
      </w:r>
      <w:r w:rsidR="00174EB0">
        <w:rPr>
          <w:rFonts w:ascii="仿宋_GB2312" w:eastAsia="仿宋_GB2312" w:hAnsi="仿宋"/>
          <w:sz w:val="32"/>
          <w:szCs w:val="32"/>
        </w:rPr>
        <w:t>4</w:t>
      </w:r>
      <w:r>
        <w:rPr>
          <w:rFonts w:ascii="仿宋_GB2312" w:eastAsia="仿宋_GB2312" w:hAnsi="仿宋" w:hint="eastAsia"/>
          <w:sz w:val="32"/>
          <w:szCs w:val="32"/>
        </w:rPr>
        <w:t>〕</w:t>
      </w:r>
      <w:r w:rsidR="00174EB0">
        <w:rPr>
          <w:rFonts w:ascii="仿宋_GB2312" w:eastAsia="仿宋_GB2312" w:hAnsi="仿宋"/>
          <w:sz w:val="32"/>
          <w:szCs w:val="32"/>
        </w:rPr>
        <w:t>8</w:t>
      </w:r>
      <w:r>
        <w:rPr>
          <w:rFonts w:ascii="仿宋_GB2312" w:eastAsia="仿宋_GB2312" w:hAnsi="仿宋" w:hint="eastAsia"/>
          <w:sz w:val="32"/>
          <w:szCs w:val="32"/>
        </w:rPr>
        <w:t>号）文件精神，</w:t>
      </w:r>
      <w:bookmarkStart w:id="0" w:name="_Hlk154153138"/>
      <w:r>
        <w:rPr>
          <w:rFonts w:ascii="仿宋_GB2312" w:eastAsia="仿宋_GB2312" w:hAnsi="仿宋" w:hint="eastAsia"/>
          <w:sz w:val="32"/>
          <w:szCs w:val="32"/>
        </w:rPr>
        <w:t>由</w:t>
      </w:r>
      <w:r w:rsidR="00F07CEA" w:rsidRPr="00F07CEA">
        <w:rPr>
          <w:rFonts w:ascii="仿宋_GB2312" w:eastAsia="仿宋_GB2312" w:hAnsi="仿宋" w:hint="eastAsia"/>
          <w:sz w:val="32"/>
          <w:szCs w:val="32"/>
        </w:rPr>
        <w:t>广西壮族自治区人民医院</w:t>
      </w:r>
      <w:r>
        <w:rPr>
          <w:rFonts w:ascii="仿宋_GB2312" w:eastAsia="仿宋_GB2312" w:hAnsi="仿宋" w:hint="eastAsia"/>
          <w:sz w:val="32"/>
          <w:szCs w:val="32"/>
        </w:rPr>
        <w:t>提出，</w:t>
      </w:r>
      <w:r w:rsidR="00F07CEA" w:rsidRPr="00F07CEA">
        <w:rPr>
          <w:rFonts w:ascii="仿宋_GB2312" w:eastAsia="仿宋_GB2312" w:hAnsi="仿宋" w:hint="eastAsia"/>
          <w:sz w:val="32"/>
          <w:szCs w:val="32"/>
        </w:rPr>
        <w:t>广西壮族自治区人民医院、广西医科大学第一附属医院、广西中医药大学附属瑞康医院、柳州市工人医院、玉林市第一人民医院、桂林医学院附属医院、防城港市第一人民医院</w:t>
      </w:r>
      <w:r>
        <w:rPr>
          <w:rFonts w:ascii="仿宋_GB2312" w:eastAsia="仿宋_GB2312" w:hAnsi="仿宋" w:hint="eastAsia"/>
          <w:sz w:val="32"/>
          <w:szCs w:val="32"/>
        </w:rPr>
        <w:t>共同起草的团体标准《</w:t>
      </w:r>
      <w:r w:rsidR="00F07CEA" w:rsidRPr="00F07CEA">
        <w:rPr>
          <w:rFonts w:ascii="仿宋_GB2312" w:eastAsia="仿宋_GB2312" w:hAnsi="仿宋" w:hint="eastAsia"/>
          <w:sz w:val="32"/>
          <w:szCs w:val="32"/>
        </w:rPr>
        <w:t>晚期驱动基因阴性非小细胞肺癌免疫相关性肺炎处理规范</w:t>
      </w:r>
      <w:r>
        <w:rPr>
          <w:rFonts w:ascii="仿宋_GB2312" w:eastAsia="仿宋_GB2312" w:hAnsi="仿宋" w:hint="eastAsia"/>
          <w:sz w:val="32"/>
          <w:szCs w:val="32"/>
        </w:rPr>
        <w:t>》</w:t>
      </w:r>
      <w:bookmarkEnd w:id="0"/>
      <w:r>
        <w:rPr>
          <w:rFonts w:ascii="仿宋_GB2312" w:eastAsia="仿宋_GB2312" w:hAnsi="仿宋" w:hint="eastAsia"/>
          <w:sz w:val="32"/>
          <w:szCs w:val="32"/>
        </w:rPr>
        <w:t>（项目编号</w:t>
      </w:r>
      <w:r w:rsidR="00A03C65">
        <w:rPr>
          <w:rFonts w:ascii="仿宋_GB2312" w:eastAsia="仿宋_GB2312" w:hAnsi="仿宋" w:hint="eastAsia"/>
          <w:sz w:val="32"/>
          <w:szCs w:val="32"/>
        </w:rPr>
        <w:t>202</w:t>
      </w:r>
      <w:r w:rsidR="00174EB0">
        <w:rPr>
          <w:rFonts w:ascii="仿宋_GB2312" w:eastAsia="仿宋_GB2312" w:hAnsi="仿宋"/>
          <w:sz w:val="32"/>
          <w:szCs w:val="32"/>
        </w:rPr>
        <w:t>4</w:t>
      </w:r>
      <w:r>
        <w:rPr>
          <w:rFonts w:ascii="仿宋_GB2312" w:eastAsia="仿宋_GB2312" w:hAnsi="仿宋" w:hint="eastAsia"/>
          <w:sz w:val="32"/>
          <w:szCs w:val="32"/>
        </w:rPr>
        <w:t>-</w:t>
      </w:r>
      <w:r w:rsidR="00174EB0">
        <w:rPr>
          <w:rFonts w:ascii="仿宋_GB2312" w:eastAsia="仿宋_GB2312" w:hAnsi="仿宋"/>
          <w:sz w:val="32"/>
          <w:szCs w:val="32"/>
        </w:rPr>
        <w:t>0111</w:t>
      </w:r>
      <w:r>
        <w:rPr>
          <w:rFonts w:ascii="仿宋_GB2312" w:eastAsia="仿宋_GB2312" w:hAnsi="仿宋" w:hint="eastAsia"/>
          <w:sz w:val="32"/>
          <w:szCs w:val="32"/>
        </w:rPr>
        <w:t>）已获立项。</w:t>
      </w:r>
    </w:p>
    <w:p w14:paraId="368950DA" w14:textId="77777777" w:rsidR="009C746D" w:rsidRDefault="00C1003B" w:rsidP="00145245">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t>二、项目背景及目的意义</w:t>
      </w:r>
    </w:p>
    <w:p w14:paraId="589469BB" w14:textId="34549B02" w:rsidR="001246F5" w:rsidRDefault="00F07CEA" w:rsidP="001246F5">
      <w:pPr>
        <w:suppressAutoHyphens/>
        <w:spacing w:line="560" w:lineRule="exact"/>
        <w:ind w:firstLineChars="200" w:firstLine="640"/>
        <w:rPr>
          <w:rFonts w:ascii="仿宋_GB2312" w:eastAsia="仿宋_GB2312" w:hAnsi="仿宋_GB2312" w:cs="仿宋_GB2312"/>
          <w:color w:val="000000" w:themeColor="text1"/>
          <w:sz w:val="32"/>
          <w:szCs w:val="32"/>
        </w:rPr>
      </w:pPr>
      <w:r w:rsidRPr="00F07CEA">
        <w:rPr>
          <w:rFonts w:ascii="仿宋_GB2312" w:eastAsia="仿宋_GB2312" w:hAnsi="仿宋_GB2312" w:cs="仿宋_GB2312" w:hint="eastAsia"/>
          <w:color w:val="000000" w:themeColor="text1"/>
          <w:sz w:val="32"/>
          <w:szCs w:val="32"/>
        </w:rPr>
        <w:t>恶性肿瘤是危害我国人民生命健康的重大疾病之一，而肺癌是我国发病率和死亡率最高的恶性肿瘤之一。随着我国人口老龄化和工业化、城镇化进程不断加快，加之慢性感染、不健康生活方式的广泛流行和环境污染、职业暴露等因素的逐渐累积，我国肺癌防控形势仍将十分严峻。</w:t>
      </w:r>
    </w:p>
    <w:p w14:paraId="2CCB715F" w14:textId="0CDA306F" w:rsidR="00F07CEA" w:rsidRDefault="00F07CEA" w:rsidP="001246F5">
      <w:pPr>
        <w:suppressAutoHyphens/>
        <w:spacing w:line="560" w:lineRule="exact"/>
        <w:ind w:firstLineChars="200" w:firstLine="640"/>
        <w:rPr>
          <w:rFonts w:ascii="仿宋_GB2312" w:eastAsia="仿宋_GB2312" w:hAnsi="仿宋_GB2312" w:cs="仿宋_GB2312"/>
          <w:color w:val="000000" w:themeColor="text1"/>
          <w:sz w:val="32"/>
          <w:szCs w:val="32"/>
        </w:rPr>
      </w:pPr>
      <w:r w:rsidRPr="00F07CEA">
        <w:rPr>
          <w:rFonts w:ascii="仿宋_GB2312" w:eastAsia="仿宋_GB2312" w:hAnsi="仿宋_GB2312" w:cs="仿宋_GB2312" w:hint="eastAsia"/>
          <w:color w:val="000000" w:themeColor="text1"/>
          <w:sz w:val="32"/>
          <w:szCs w:val="32"/>
        </w:rPr>
        <w:t>党中央、国务院高度重视恶性肿瘤防治工作。为贯彻落实《“健康中国2030”规划纲要》，深入推进我国癌症防治工作，国家卫健委同国家医保局等部门通过规范诊疗行为、改革支付方式等一系列措施，不断提高我国恶性肿瘤诊疗水平。近年来国家卫健委高度重视肿瘤防治工作，一是制定胃癌、结直肠癌、肝癌、原发性肺癌等肿瘤的诊疗规范、用药指导原则、临床路径等，并</w:t>
      </w:r>
      <w:r w:rsidRPr="00F07CEA">
        <w:rPr>
          <w:rFonts w:ascii="仿宋_GB2312" w:eastAsia="仿宋_GB2312" w:hAnsi="仿宋_GB2312" w:cs="仿宋_GB2312" w:hint="eastAsia"/>
          <w:color w:val="000000" w:themeColor="text1"/>
          <w:sz w:val="32"/>
          <w:szCs w:val="32"/>
        </w:rPr>
        <w:lastRenderedPageBreak/>
        <w:t>不断更新完善。2016年印发《关于加强肿瘤规范化诊疗管理工作的通知》，强调落实肿瘤诊疗规范和临床路径，加强抗肿瘤药物管理有关要求。2020年印发《抗肿瘤药物临床应用管理办法（试行）》《新型抗肿瘤药物临床应用指导原则（2022年版）》等文件，重点强调抗肿瘤药物合理使用要求。二是国家卫健委于2018年印发《肿瘤多学科诊疗试点工作方案》，在全国遴选231家医院开展消化系统肿瘤多学科诊疗试点工作，推广多学科诊疗模式，提升疾病综合诊疗水平。2022年，为进一步加强肿瘤诊疗管理，提高诊疗规范化水平，提升诊疗质量，国家卫健委联合国家中医药局、中央军委后勤保障部卫生局印发《关于印发肿瘤诊疗质量提升行动计划的通知》(国卫办医函[2021]513号)。</w:t>
      </w:r>
    </w:p>
    <w:p w14:paraId="2980BFBC" w14:textId="1F46801D" w:rsidR="00F07CEA" w:rsidRPr="001246F5" w:rsidRDefault="00F07CEA" w:rsidP="001246F5">
      <w:pPr>
        <w:suppressAutoHyphens/>
        <w:spacing w:line="560" w:lineRule="exact"/>
        <w:ind w:firstLineChars="200" w:firstLine="640"/>
        <w:rPr>
          <w:rFonts w:ascii="仿宋_GB2312" w:eastAsia="仿宋_GB2312" w:hAnsi="仿宋_GB2312" w:cs="仿宋_GB2312"/>
          <w:color w:val="000000" w:themeColor="text1"/>
          <w:sz w:val="32"/>
          <w:szCs w:val="32"/>
        </w:rPr>
      </w:pPr>
      <w:r w:rsidRPr="00F07CEA">
        <w:rPr>
          <w:rFonts w:ascii="仿宋_GB2312" w:eastAsia="仿宋_GB2312" w:hAnsi="仿宋_GB2312" w:cs="仿宋_GB2312" w:hint="eastAsia"/>
          <w:color w:val="000000" w:themeColor="text1"/>
          <w:sz w:val="32"/>
          <w:szCs w:val="32"/>
        </w:rPr>
        <w:t>同时广西政府也出台了一系列相关政策文件，以推动晚期驱动基因阴性非小细胞肺癌免疫相关性肺炎处理工作发展。2022年，为进一步加强我区肿瘤诊疗管理，提高诊疗规范化水平，提升诊疗质量，广西壮族自治区卫生健康委员会、广西壮族自治区中医药管理局、中国人民解放军桂林联勤保障中心卫勤处联合印发《广西壮族自治区肿瘤诊疗质量提升行动计划实施方案(2022-2024年)》，提出完善肿瘤诊疗服务体系，建立完善覆盖肿瘤诊疗全周期、全过程的医疗服务体系。</w:t>
      </w:r>
    </w:p>
    <w:p w14:paraId="61CC3E9E" w14:textId="46CCAB41" w:rsidR="001246F5" w:rsidRDefault="00F07CEA" w:rsidP="001246F5">
      <w:pPr>
        <w:suppressAutoHyphens/>
        <w:spacing w:line="560" w:lineRule="exact"/>
        <w:ind w:firstLineChars="200" w:firstLine="640"/>
        <w:rPr>
          <w:rFonts w:ascii="仿宋_GB2312" w:eastAsia="仿宋_GB2312" w:hAnsi="仿宋_GB2312" w:cs="仿宋_GB2312"/>
          <w:color w:val="000000" w:themeColor="text1"/>
          <w:sz w:val="32"/>
          <w:szCs w:val="32"/>
        </w:rPr>
      </w:pPr>
      <w:r w:rsidRPr="00F07CEA">
        <w:rPr>
          <w:rFonts w:ascii="仿宋_GB2312" w:eastAsia="仿宋_GB2312" w:hAnsi="仿宋_GB2312" w:cs="仿宋_GB2312" w:hint="eastAsia"/>
          <w:color w:val="000000" w:themeColor="text1"/>
          <w:sz w:val="32"/>
          <w:szCs w:val="32"/>
        </w:rPr>
        <w:t>世界卫生组织(world health organization，WHO)统计数据显示，在全球范围内，2020 年癌症导致大约 1000万人死亡，其中肺癌占到221万。在中国，肺癌发病率最高，2020年新发生815563例，占全国新发癌症类型17.9%。NSCLC是最常见的肺癌组织学类型，占所有肺癌的70-85%。NSCLC的发病率一般自40岁</w:t>
      </w:r>
      <w:r w:rsidRPr="00F07CEA">
        <w:rPr>
          <w:rFonts w:ascii="仿宋_GB2312" w:eastAsia="仿宋_GB2312" w:hAnsi="仿宋_GB2312" w:cs="仿宋_GB2312" w:hint="eastAsia"/>
          <w:color w:val="000000" w:themeColor="text1"/>
          <w:sz w:val="32"/>
          <w:szCs w:val="32"/>
        </w:rPr>
        <w:lastRenderedPageBreak/>
        <w:t>后迅速上升，在70岁达高峰，70岁以上略有下降。只有约15%的患者在确诊NSCLC后能生存5年或以上。肺癌分为小细胞肺癌和非小细胞肺癌，非小细胞肺癌(non-small cell lung cancer，NSCLC)是最常见的恶性肿瘤，为癌症相关死亡的主要原因。非小细胞肺癌发病人数占比约为80%。近年来我国非小细胞肺癌患者人数从2017年的71.4万人持续增长至2021年的81.1万人，五年复合增长率为3.24%。2017年广西恶性肿瘤新发病例数为34105例，世标发病率为196.51/10万，累积率（0</w:t>
      </w:r>
      <w:r w:rsidR="00EB0C09">
        <w:rPr>
          <w:rFonts w:ascii="仿宋_GB2312" w:eastAsia="仿宋_GB2312" w:hAnsi="仿宋_GB2312" w:cs="仿宋_GB2312"/>
          <w:color w:val="000000" w:themeColor="text1"/>
          <w:sz w:val="32"/>
          <w:szCs w:val="32"/>
        </w:rPr>
        <w:t>-</w:t>
      </w:r>
      <w:r w:rsidRPr="00F07CEA">
        <w:rPr>
          <w:rFonts w:ascii="仿宋_GB2312" w:eastAsia="仿宋_GB2312" w:hAnsi="仿宋_GB2312" w:cs="仿宋_GB2312" w:hint="eastAsia"/>
          <w:color w:val="000000" w:themeColor="text1"/>
          <w:sz w:val="32"/>
          <w:szCs w:val="32"/>
        </w:rPr>
        <w:t>74岁）为22.35%，恶性肿瘤发病率首位是肺癌，死亡率居所有恶性肿瘤死亡第2位，中标发病率（34.28/10万），近年来仍在逐渐增加。</w:t>
      </w:r>
    </w:p>
    <w:p w14:paraId="5EC060FD" w14:textId="77777777" w:rsidR="000060AB" w:rsidRDefault="00F07CEA" w:rsidP="001246F5">
      <w:pPr>
        <w:suppressAutoHyphens/>
        <w:spacing w:line="560" w:lineRule="exact"/>
        <w:ind w:firstLineChars="200" w:firstLine="640"/>
        <w:rPr>
          <w:rFonts w:ascii="仿宋_GB2312" w:eastAsia="仿宋_GB2312" w:hAnsi="仿宋_GB2312" w:cs="仿宋_GB2312"/>
          <w:color w:val="000000" w:themeColor="text1"/>
          <w:sz w:val="32"/>
          <w:szCs w:val="32"/>
        </w:rPr>
      </w:pPr>
      <w:r w:rsidRPr="00F07CEA">
        <w:rPr>
          <w:rFonts w:ascii="仿宋_GB2312" w:eastAsia="仿宋_GB2312" w:hAnsi="仿宋_GB2312" w:cs="仿宋_GB2312" w:hint="eastAsia"/>
          <w:color w:val="000000" w:themeColor="text1"/>
          <w:sz w:val="32"/>
          <w:szCs w:val="32"/>
        </w:rPr>
        <w:t>目前ICIs在晚期尤其是驱动基因阴性非小细胞肺癌患者中的使用比例高，免疫相关性肺炎尤其是重症肺炎的发生风险较其它类型的肺癌更高，但由于患者的个体复杂的免疫微环境，临床治疗选择也存在较多争议，亟需规范化引导。</w:t>
      </w:r>
    </w:p>
    <w:p w14:paraId="56B60D42" w14:textId="088DDAE6" w:rsidR="00F07CEA" w:rsidRDefault="000060AB" w:rsidP="001246F5">
      <w:pPr>
        <w:suppressAutoHyphens/>
        <w:spacing w:line="560" w:lineRule="exact"/>
        <w:ind w:firstLineChars="200" w:firstLine="640"/>
        <w:rPr>
          <w:rFonts w:ascii="仿宋_GB2312" w:eastAsia="仿宋_GB2312" w:hAnsi="仿宋_GB2312" w:cs="仿宋_GB2312"/>
          <w:color w:val="000000" w:themeColor="text1"/>
          <w:sz w:val="32"/>
          <w:szCs w:val="32"/>
        </w:rPr>
      </w:pPr>
      <w:r>
        <w:rPr>
          <w:rFonts w:ascii="仿宋_GB2312" w:eastAsia="仿宋_GB2312" w:hAnsi="仿宋_GB2312" w:cs="仿宋_GB2312" w:hint="eastAsia"/>
          <w:color w:val="000000" w:themeColor="text1"/>
          <w:sz w:val="32"/>
          <w:szCs w:val="32"/>
        </w:rPr>
        <w:t>因此</w:t>
      </w:r>
      <w:r w:rsidR="00F07CEA" w:rsidRPr="00F07CEA">
        <w:rPr>
          <w:rFonts w:ascii="仿宋_GB2312" w:eastAsia="仿宋_GB2312" w:hAnsi="仿宋_GB2312" w:cs="仿宋_GB2312" w:hint="eastAsia"/>
          <w:color w:val="000000" w:themeColor="text1"/>
          <w:sz w:val="32"/>
          <w:szCs w:val="32"/>
        </w:rPr>
        <w:t>，通过制定团体标准《晚期驱动基因阴性非小细胞肺癌免疫相关性肺炎处理规范》，</w:t>
      </w:r>
      <w:r w:rsidRPr="000060AB">
        <w:rPr>
          <w:rFonts w:ascii="仿宋_GB2312" w:eastAsia="仿宋_GB2312" w:hAnsi="仿宋_GB2312" w:cs="仿宋_GB2312" w:hint="eastAsia"/>
          <w:color w:val="000000" w:themeColor="text1"/>
          <w:sz w:val="32"/>
          <w:szCs w:val="32"/>
        </w:rPr>
        <w:t>能够提升医护人员及患者群体对于此不良反应的认识，在日常诊疗过程中，及时发现并积极处理，指导医疗机构实施科学、规范的晚期驱动基因阴性非小细胞肺癌免疫相关性肺炎处理措施，提高晚期驱动基因阴性非小细胞肺癌免疫相关性肺炎处理水平</w:t>
      </w:r>
      <w:r>
        <w:rPr>
          <w:rFonts w:ascii="仿宋_GB2312" w:eastAsia="仿宋_GB2312" w:hAnsi="仿宋_GB2312" w:cs="仿宋_GB2312" w:hint="eastAsia"/>
          <w:color w:val="000000" w:themeColor="text1"/>
          <w:sz w:val="32"/>
          <w:szCs w:val="32"/>
        </w:rPr>
        <w:t>。</w:t>
      </w:r>
    </w:p>
    <w:p w14:paraId="324276A2" w14:textId="77777777" w:rsidR="009C746D" w:rsidRDefault="00C1003B" w:rsidP="00145245">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14:paraId="3ACDFFAA" w14:textId="77777777" w:rsidR="009C746D" w:rsidRDefault="00C1003B" w:rsidP="00145245">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（一）成立标准编制工作组</w:t>
      </w:r>
    </w:p>
    <w:p w14:paraId="0BD5FC4B" w14:textId="2658F2E2"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团体标准《</w:t>
      </w:r>
      <w:r w:rsidR="000060AB">
        <w:rPr>
          <w:rFonts w:ascii="仿宋_GB2312" w:eastAsia="仿宋_GB2312" w:hAnsi="仿宋_GB2312" w:cs="仿宋_GB2312" w:hint="eastAsia"/>
          <w:color w:val="000000" w:themeColor="text1"/>
          <w:sz w:val="32"/>
          <w:szCs w:val="32"/>
        </w:rPr>
        <w:t>晚期驱动基因阴性非小细胞肺癌免疫相关性肺炎</w:t>
      </w:r>
      <w:r w:rsidR="000060AB">
        <w:rPr>
          <w:rFonts w:ascii="仿宋_GB2312" w:eastAsia="仿宋_GB2312" w:hAnsi="仿宋_GB2312" w:cs="仿宋_GB2312" w:hint="eastAsia"/>
          <w:color w:val="000000" w:themeColor="text1"/>
          <w:sz w:val="32"/>
          <w:szCs w:val="32"/>
        </w:rPr>
        <w:lastRenderedPageBreak/>
        <w:t>处理规范</w:t>
      </w:r>
      <w:r>
        <w:rPr>
          <w:rFonts w:ascii="仿宋_GB2312" w:eastAsia="仿宋_GB2312" w:hAnsi="宋体" w:hint="eastAsia"/>
          <w:sz w:val="32"/>
          <w:szCs w:val="32"/>
        </w:rPr>
        <w:t>》项目任务下达后，由</w:t>
      </w:r>
      <w:r w:rsidR="00A03C65">
        <w:rPr>
          <w:rFonts w:ascii="仿宋_GB2312" w:eastAsia="仿宋_GB2312" w:hAnsi="仿宋" w:hint="eastAsia"/>
          <w:sz w:val="32"/>
          <w:szCs w:val="32"/>
        </w:rPr>
        <w:t>广西壮族</w:t>
      </w:r>
      <w:r w:rsidR="00A03C65">
        <w:rPr>
          <w:rFonts w:ascii="仿宋_GB2312" w:eastAsia="仿宋_GB2312" w:hAnsi="仿宋"/>
          <w:sz w:val="32"/>
          <w:szCs w:val="32"/>
        </w:rPr>
        <w:t>自治区</w:t>
      </w:r>
      <w:r w:rsidR="000060AB">
        <w:rPr>
          <w:rFonts w:ascii="仿宋_GB2312" w:eastAsia="仿宋_GB2312" w:hAnsi="仿宋" w:hint="eastAsia"/>
          <w:sz w:val="32"/>
          <w:szCs w:val="32"/>
        </w:rPr>
        <w:t>人民</w:t>
      </w:r>
      <w:r w:rsidR="00A03C65">
        <w:rPr>
          <w:rFonts w:ascii="仿宋_GB2312" w:eastAsia="仿宋_GB2312" w:hAnsi="仿宋"/>
          <w:sz w:val="32"/>
          <w:szCs w:val="32"/>
        </w:rPr>
        <w:t>医院</w:t>
      </w:r>
      <w:r>
        <w:rPr>
          <w:rFonts w:ascii="仿宋_GB2312" w:eastAsia="仿宋_GB2312" w:hAnsi="宋体" w:hint="eastAsia"/>
          <w:sz w:val="32"/>
          <w:szCs w:val="32"/>
        </w:rPr>
        <w:t>牵头组织成立了标准编制工作组，制定了标准编写方案，明确任务职责，确定工作技术路线，开展标准研制工作。具体编制工作由</w:t>
      </w:r>
      <w:r w:rsidR="000060AB">
        <w:rPr>
          <w:rFonts w:ascii="仿宋_GB2312" w:eastAsia="仿宋_GB2312" w:hAnsi="仿宋" w:hint="eastAsia"/>
          <w:sz w:val="32"/>
          <w:szCs w:val="32"/>
        </w:rPr>
        <w:t>广西壮族</w:t>
      </w:r>
      <w:r w:rsidR="000060AB">
        <w:rPr>
          <w:rFonts w:ascii="仿宋_GB2312" w:eastAsia="仿宋_GB2312" w:hAnsi="仿宋"/>
          <w:sz w:val="32"/>
          <w:szCs w:val="32"/>
        </w:rPr>
        <w:t>自治区</w:t>
      </w:r>
      <w:r w:rsidR="000060AB">
        <w:rPr>
          <w:rFonts w:ascii="仿宋_GB2312" w:eastAsia="仿宋_GB2312" w:hAnsi="仿宋" w:hint="eastAsia"/>
          <w:sz w:val="32"/>
          <w:szCs w:val="32"/>
        </w:rPr>
        <w:t>人民</w:t>
      </w:r>
      <w:r w:rsidR="000060AB">
        <w:rPr>
          <w:rFonts w:ascii="仿宋_GB2312" w:eastAsia="仿宋_GB2312" w:hAnsi="仿宋"/>
          <w:sz w:val="32"/>
          <w:szCs w:val="32"/>
        </w:rPr>
        <w:t>医院</w:t>
      </w:r>
      <w:r>
        <w:rPr>
          <w:rFonts w:ascii="仿宋_GB2312" w:eastAsia="仿宋_GB2312" w:hAnsi="宋体" w:hint="eastAsia"/>
          <w:sz w:val="32"/>
          <w:szCs w:val="32"/>
        </w:rPr>
        <w:t>组成的标准编制工作组负责。编制工作组下设三个小组，分别是资料收集组、草案编写组、标准实施组。</w:t>
      </w:r>
    </w:p>
    <w:p w14:paraId="2B3C936D" w14:textId="18694BAF"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资料收集组：负责国内关于</w:t>
      </w:r>
      <w:r w:rsidR="000060AB">
        <w:rPr>
          <w:rFonts w:ascii="仿宋_GB2312" w:eastAsia="仿宋_GB2312" w:hAnsi="仿宋_GB2312" w:cs="仿宋_GB2312" w:hint="eastAsia"/>
          <w:color w:val="000000" w:themeColor="text1"/>
          <w:sz w:val="32"/>
          <w:szCs w:val="32"/>
        </w:rPr>
        <w:t>晚期驱动基因阴性非小细胞肺癌免疫相关性肺炎处理</w:t>
      </w:r>
      <w:r>
        <w:rPr>
          <w:rFonts w:ascii="仿宋_GB2312" w:eastAsia="仿宋_GB2312" w:hAnsi="宋体" w:hint="eastAsia"/>
          <w:sz w:val="32"/>
          <w:szCs w:val="32"/>
        </w:rPr>
        <w:t>文献资料的查询、收集和整理工作，查阅现存关于</w:t>
      </w:r>
      <w:r w:rsidR="000060AB">
        <w:rPr>
          <w:rFonts w:ascii="仿宋_GB2312" w:eastAsia="仿宋_GB2312" w:hAnsi="仿宋_GB2312" w:cs="仿宋_GB2312" w:hint="eastAsia"/>
          <w:color w:val="000000" w:themeColor="text1"/>
          <w:sz w:val="32"/>
          <w:szCs w:val="32"/>
        </w:rPr>
        <w:t>晚期驱动基因阴性非小细胞肺癌免疫相关性肺炎处理</w:t>
      </w:r>
      <w:r>
        <w:rPr>
          <w:rFonts w:ascii="仿宋_GB2312" w:eastAsia="仿宋_GB2312" w:hAnsi="宋体" w:hint="eastAsia"/>
          <w:sz w:val="32"/>
          <w:szCs w:val="32"/>
        </w:rPr>
        <w:t>的研究以及国内相关标准的制定。</w:t>
      </w:r>
    </w:p>
    <w:p w14:paraId="4DF08FB1" w14:textId="77777777"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草案编写组：负责标准立项、征求意见、审定、报批等阶段的标准文本及编制说明的起草工作，包括标准制定过程各阶段标准文本及相关材料的修改和完善。</w:t>
      </w:r>
    </w:p>
    <w:p w14:paraId="20C56400" w14:textId="0B32E3B5"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标准实施组：负责团体标准《</w:t>
      </w:r>
      <w:r w:rsidR="000060AB">
        <w:rPr>
          <w:rFonts w:ascii="仿宋_GB2312" w:eastAsia="仿宋_GB2312" w:hAnsi="仿宋_GB2312" w:cs="仿宋_GB2312" w:hint="eastAsia"/>
          <w:color w:val="000000" w:themeColor="text1"/>
          <w:sz w:val="32"/>
          <w:szCs w:val="32"/>
        </w:rPr>
        <w:t>晚期驱动基因阴性非小细胞肺癌免疫相关性肺炎处理规范</w:t>
      </w:r>
      <w:r>
        <w:rPr>
          <w:rFonts w:ascii="仿宋_GB2312" w:eastAsia="仿宋_GB2312" w:hAnsi="宋体" w:hint="eastAsia"/>
          <w:sz w:val="32"/>
          <w:szCs w:val="32"/>
        </w:rPr>
        <w:t>》标准发布后，组织相关部门、医疗机构等，开展标准宣贯培训会，对标准进行研讨和详细解读，使相关人员了解标准，熟悉标准，并能熟练运用标准；为确保标准的实施效果和综合运用率，对标准实施情况进行总结分析，对标准提出持续改进意见。</w:t>
      </w:r>
    </w:p>
    <w:p w14:paraId="4F9A20A7" w14:textId="77777777" w:rsidR="009C746D" w:rsidRDefault="00C1003B" w:rsidP="00145245">
      <w:pPr>
        <w:numPr>
          <w:ilvl w:val="0"/>
          <w:numId w:val="1"/>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14:paraId="66E37989" w14:textId="77777777" w:rsidR="009C746D" w:rsidRDefault="00C1003B">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通过资料收集组对文献资料的收集和整理，草案编写组主要参考了以下国内相关的期刊书籍。</w:t>
      </w:r>
    </w:p>
    <w:p w14:paraId="0EE1014E" w14:textId="2774050E" w:rsidR="003614D4" w:rsidRPr="003614D4" w:rsidRDefault="003614D4" w:rsidP="003614D4">
      <w:pPr>
        <w:autoSpaceDE w:val="0"/>
        <w:autoSpaceDN w:val="0"/>
        <w:adjustRightInd w:val="0"/>
        <w:spacing w:line="560" w:lineRule="exact"/>
        <w:ind w:firstLineChars="200" w:firstLine="640"/>
        <w:rPr>
          <w:rFonts w:ascii="仿宋_GB2312" w:eastAsia="仿宋_GB2312" w:hAnsi="宋体"/>
          <w:color w:val="000000"/>
          <w:sz w:val="32"/>
          <w:szCs w:val="32"/>
        </w:rPr>
      </w:pPr>
      <w:r w:rsidRPr="003614D4">
        <w:rPr>
          <w:rFonts w:ascii="仿宋_GB2312" w:eastAsia="仿宋_GB2312" w:hAnsi="宋体"/>
          <w:color w:val="000000"/>
          <w:sz w:val="32"/>
          <w:szCs w:val="32"/>
        </w:rPr>
        <w:t>MA K, LU Y, JIANG S, et al. The Relative Risk and Incidence of</w:t>
      </w:r>
      <w:r>
        <w:rPr>
          <w:rFonts w:ascii="仿宋_GB2312" w:eastAsia="仿宋_GB2312" w:hAnsi="宋体"/>
          <w:color w:val="000000"/>
          <w:sz w:val="32"/>
          <w:szCs w:val="32"/>
        </w:rPr>
        <w:t xml:space="preserve"> </w:t>
      </w:r>
      <w:r w:rsidRPr="003614D4">
        <w:rPr>
          <w:rFonts w:ascii="仿宋_GB2312" w:eastAsia="仿宋_GB2312" w:hAnsi="宋体"/>
          <w:color w:val="000000"/>
          <w:sz w:val="32"/>
          <w:szCs w:val="32"/>
        </w:rPr>
        <w:t>Immune Checkpoint Inhibitors Related  Pneumonitis in Patients With Advanced Cancer: A Meta-</w:t>
      </w:r>
      <w:r w:rsidRPr="003614D4">
        <w:rPr>
          <w:rFonts w:ascii="仿宋_GB2312" w:eastAsia="仿宋_GB2312" w:hAnsi="宋体"/>
          <w:color w:val="000000"/>
          <w:sz w:val="32"/>
          <w:szCs w:val="32"/>
        </w:rPr>
        <w:lastRenderedPageBreak/>
        <w:t xml:space="preserve">Analysis[J]. Front </w:t>
      </w:r>
      <w:proofErr w:type="spellStart"/>
      <w:r w:rsidRPr="003614D4">
        <w:rPr>
          <w:rFonts w:ascii="仿宋_GB2312" w:eastAsia="仿宋_GB2312" w:hAnsi="宋体"/>
          <w:color w:val="000000"/>
          <w:sz w:val="32"/>
          <w:szCs w:val="32"/>
        </w:rPr>
        <w:t>Pharmacol</w:t>
      </w:r>
      <w:proofErr w:type="spellEnd"/>
      <w:r w:rsidRPr="003614D4">
        <w:rPr>
          <w:rFonts w:ascii="仿宋_GB2312" w:eastAsia="仿宋_GB2312" w:hAnsi="宋体"/>
          <w:color w:val="000000"/>
          <w:sz w:val="32"/>
          <w:szCs w:val="32"/>
        </w:rPr>
        <w:t>, 2018,9: 1430.</w:t>
      </w:r>
    </w:p>
    <w:p w14:paraId="68FBB6D8" w14:textId="00BA1C2B" w:rsidR="003614D4" w:rsidRPr="003614D4" w:rsidRDefault="003614D4" w:rsidP="003614D4">
      <w:pPr>
        <w:autoSpaceDE w:val="0"/>
        <w:autoSpaceDN w:val="0"/>
        <w:adjustRightInd w:val="0"/>
        <w:spacing w:line="560" w:lineRule="exact"/>
        <w:ind w:firstLineChars="200" w:firstLine="640"/>
        <w:rPr>
          <w:rFonts w:ascii="仿宋_GB2312" w:eastAsia="仿宋_GB2312" w:hAnsi="宋体"/>
          <w:color w:val="000000"/>
          <w:sz w:val="32"/>
          <w:szCs w:val="32"/>
        </w:rPr>
      </w:pPr>
      <w:r w:rsidRPr="003614D4">
        <w:rPr>
          <w:rFonts w:ascii="仿宋_GB2312" w:eastAsia="仿宋_GB2312" w:hAnsi="宋体"/>
          <w:color w:val="000000"/>
          <w:sz w:val="32"/>
          <w:szCs w:val="32"/>
        </w:rPr>
        <w:t>NISHINO M, GIOBBIE-HURDER A, HATABU H, et al. Incidence of Programmed Cell Death 1 Inhibitor-Related Pneumonitis in Patients  With Advanced Cancer: A Systematic Review and Meta-analysis[J]. JAMA Oncol, 2016,2(12): 1607-1616.</w:t>
      </w:r>
    </w:p>
    <w:p w14:paraId="1BA26E70" w14:textId="28F2BB3C" w:rsidR="003614D4" w:rsidRPr="003614D4" w:rsidRDefault="003614D4" w:rsidP="003614D4">
      <w:pPr>
        <w:autoSpaceDE w:val="0"/>
        <w:autoSpaceDN w:val="0"/>
        <w:adjustRightInd w:val="0"/>
        <w:spacing w:line="560" w:lineRule="exact"/>
        <w:ind w:firstLineChars="200" w:firstLine="640"/>
        <w:rPr>
          <w:rFonts w:ascii="仿宋_GB2312" w:eastAsia="仿宋_GB2312" w:hAnsi="宋体"/>
          <w:color w:val="000000"/>
          <w:sz w:val="32"/>
          <w:szCs w:val="32"/>
        </w:rPr>
      </w:pPr>
      <w:r w:rsidRPr="003614D4">
        <w:rPr>
          <w:rFonts w:ascii="仿宋_GB2312" w:eastAsia="仿宋_GB2312" w:hAnsi="宋体"/>
          <w:color w:val="000000"/>
          <w:sz w:val="32"/>
          <w:szCs w:val="32"/>
        </w:rPr>
        <w:t>SONPAVDE G P, GRIVAS P, LIN Y, et al. Immune-related adverse events with PD-1 versus PD-L1 inhibitors: a meta-analysis of 8730 patients from clinical trials[J]. Future Oncol, 2021,17(19): 2545-2558.</w:t>
      </w:r>
    </w:p>
    <w:p w14:paraId="41737CBA" w14:textId="0E015FA4" w:rsidR="003614D4" w:rsidRPr="003614D4" w:rsidRDefault="003614D4" w:rsidP="003614D4">
      <w:pPr>
        <w:autoSpaceDE w:val="0"/>
        <w:autoSpaceDN w:val="0"/>
        <w:adjustRightInd w:val="0"/>
        <w:spacing w:line="560" w:lineRule="exact"/>
        <w:ind w:firstLineChars="200" w:firstLine="640"/>
        <w:rPr>
          <w:rFonts w:ascii="仿宋_GB2312" w:eastAsia="仿宋_GB2312" w:hAnsi="宋体"/>
          <w:color w:val="000000"/>
          <w:sz w:val="32"/>
          <w:szCs w:val="32"/>
        </w:rPr>
      </w:pPr>
      <w:r w:rsidRPr="003614D4">
        <w:rPr>
          <w:rFonts w:ascii="仿宋_GB2312" w:eastAsia="仿宋_GB2312" w:hAnsi="宋体"/>
          <w:color w:val="000000"/>
          <w:sz w:val="32"/>
          <w:szCs w:val="32"/>
        </w:rPr>
        <w:t>KALISZ K R, RAMAIYA N H, LAUKAMP K R, et al. Immune Checkpoint Inhibitor Therapy-related Pneumonitis: Patterns and Management[J]. Radiographics,2019,39(7):1923-1937.</w:t>
      </w:r>
    </w:p>
    <w:p w14:paraId="0684D4B3" w14:textId="3D371A36" w:rsidR="003614D4" w:rsidRPr="003614D4" w:rsidRDefault="003614D4" w:rsidP="003614D4">
      <w:pPr>
        <w:autoSpaceDE w:val="0"/>
        <w:autoSpaceDN w:val="0"/>
        <w:adjustRightInd w:val="0"/>
        <w:spacing w:line="560" w:lineRule="exact"/>
        <w:ind w:firstLineChars="200" w:firstLine="640"/>
        <w:rPr>
          <w:rFonts w:ascii="仿宋_GB2312" w:eastAsia="仿宋_GB2312" w:hAnsi="宋体"/>
          <w:color w:val="000000"/>
          <w:sz w:val="32"/>
          <w:szCs w:val="32"/>
        </w:rPr>
      </w:pPr>
      <w:r w:rsidRPr="003614D4">
        <w:rPr>
          <w:rFonts w:ascii="仿宋_GB2312" w:eastAsia="仿宋_GB2312" w:hAnsi="宋体" w:hint="eastAsia"/>
          <w:color w:val="000000"/>
          <w:sz w:val="32"/>
          <w:szCs w:val="32"/>
        </w:rPr>
        <w:t>周蓉,李丹叶,杨萌,等.免疫检查点抑制剂导致免疫相关性肺炎的诊治进展[J].中日友好医院学报,2019,33(02): 114-116.</w:t>
      </w:r>
    </w:p>
    <w:p w14:paraId="30E0846F" w14:textId="60BD9FDD" w:rsidR="003614D4" w:rsidRPr="003614D4" w:rsidRDefault="003614D4" w:rsidP="003614D4">
      <w:pPr>
        <w:autoSpaceDE w:val="0"/>
        <w:autoSpaceDN w:val="0"/>
        <w:adjustRightInd w:val="0"/>
        <w:spacing w:line="560" w:lineRule="exact"/>
        <w:ind w:firstLineChars="200" w:firstLine="640"/>
        <w:rPr>
          <w:rFonts w:ascii="仿宋_GB2312" w:eastAsia="仿宋_GB2312" w:hAnsi="宋体"/>
          <w:color w:val="000000"/>
          <w:sz w:val="32"/>
          <w:szCs w:val="32"/>
        </w:rPr>
      </w:pPr>
      <w:r w:rsidRPr="003614D4">
        <w:rPr>
          <w:rFonts w:ascii="仿宋_GB2312" w:eastAsia="仿宋_GB2312" w:hAnsi="宋体" w:hint="eastAsia"/>
          <w:color w:val="000000"/>
          <w:sz w:val="32"/>
          <w:szCs w:val="32"/>
        </w:rPr>
        <w:t>薛鹏,徐</w:t>
      </w:r>
      <w:r w:rsidRPr="003614D4">
        <w:rPr>
          <w:rFonts w:ascii="微软雅黑" w:eastAsia="微软雅黑" w:hAnsi="微软雅黑" w:cs="微软雅黑" w:hint="eastAsia"/>
          <w:color w:val="000000"/>
          <w:sz w:val="32"/>
          <w:szCs w:val="32"/>
        </w:rPr>
        <w:t>芃芃</w:t>
      </w:r>
      <w:r w:rsidRPr="003614D4">
        <w:rPr>
          <w:rFonts w:ascii="仿宋_GB2312" w:eastAsia="仿宋_GB2312" w:hAnsi="宋体" w:hint="eastAsia"/>
          <w:color w:val="000000"/>
          <w:sz w:val="32"/>
          <w:szCs w:val="32"/>
        </w:rPr>
        <w:t>,毛昀,等.非小细胞肺癌免疫检查点抑制剂相关性肺炎研究进展[J].中国肿瘤,2019,28(05):367-372.</w:t>
      </w:r>
    </w:p>
    <w:p w14:paraId="30457303" w14:textId="24302259" w:rsidR="003614D4" w:rsidRPr="003614D4" w:rsidRDefault="003614D4" w:rsidP="003614D4">
      <w:pPr>
        <w:autoSpaceDE w:val="0"/>
        <w:autoSpaceDN w:val="0"/>
        <w:adjustRightInd w:val="0"/>
        <w:spacing w:line="560" w:lineRule="exact"/>
        <w:ind w:firstLineChars="200" w:firstLine="640"/>
        <w:rPr>
          <w:rFonts w:ascii="仿宋_GB2312" w:eastAsia="仿宋_GB2312" w:hAnsi="宋体"/>
          <w:color w:val="000000"/>
          <w:sz w:val="32"/>
          <w:szCs w:val="32"/>
        </w:rPr>
      </w:pPr>
      <w:r w:rsidRPr="003614D4">
        <w:rPr>
          <w:rFonts w:ascii="仿宋_GB2312" w:eastAsia="仿宋_GB2312" w:hAnsi="宋体"/>
          <w:color w:val="000000"/>
          <w:sz w:val="32"/>
          <w:szCs w:val="32"/>
        </w:rPr>
        <w:t>NISHINO M, SHOLL L M, HODI F S, et al. Anti-PD-1-Related Pneumonitis during Cancer Immunotherapy[J]. N Engl J Med, 2015,373(3): 288-290.</w:t>
      </w:r>
    </w:p>
    <w:p w14:paraId="735A0803" w14:textId="5003285C" w:rsidR="003614D4" w:rsidRPr="003614D4" w:rsidRDefault="003614D4" w:rsidP="003614D4">
      <w:pPr>
        <w:autoSpaceDE w:val="0"/>
        <w:autoSpaceDN w:val="0"/>
        <w:adjustRightInd w:val="0"/>
        <w:spacing w:line="560" w:lineRule="exact"/>
        <w:ind w:firstLineChars="200" w:firstLine="640"/>
        <w:rPr>
          <w:rFonts w:ascii="仿宋_GB2312" w:eastAsia="仿宋_GB2312" w:hAnsi="宋体"/>
          <w:color w:val="000000"/>
          <w:sz w:val="32"/>
          <w:szCs w:val="32"/>
        </w:rPr>
      </w:pPr>
      <w:r w:rsidRPr="003614D4">
        <w:rPr>
          <w:rFonts w:ascii="仿宋_GB2312" w:eastAsia="仿宋_GB2312" w:hAnsi="宋体"/>
          <w:color w:val="000000"/>
          <w:sz w:val="32"/>
          <w:szCs w:val="32"/>
        </w:rPr>
        <w:t xml:space="preserve">NAIDOO J, WANG X, WOO K M, et al. Pneumonitis in Patients Treated With Anti-Programmed Death-1/Programmed Death  Ligand 1 Therapy[J]. J Clin Oncol, 2017,35(7): </w:t>
      </w:r>
      <w:r w:rsidRPr="003614D4">
        <w:rPr>
          <w:rFonts w:ascii="仿宋_GB2312" w:eastAsia="仿宋_GB2312" w:hAnsi="宋体"/>
          <w:color w:val="000000"/>
          <w:sz w:val="32"/>
          <w:szCs w:val="32"/>
        </w:rPr>
        <w:lastRenderedPageBreak/>
        <w:t>709-717.</w:t>
      </w:r>
    </w:p>
    <w:p w14:paraId="5FF257B2" w14:textId="13C38CF4" w:rsidR="003614D4" w:rsidRPr="003614D4" w:rsidRDefault="003614D4" w:rsidP="003614D4">
      <w:pPr>
        <w:autoSpaceDE w:val="0"/>
        <w:autoSpaceDN w:val="0"/>
        <w:adjustRightInd w:val="0"/>
        <w:spacing w:line="560" w:lineRule="exact"/>
        <w:ind w:firstLineChars="200" w:firstLine="640"/>
        <w:rPr>
          <w:rFonts w:ascii="仿宋_GB2312" w:eastAsia="仿宋_GB2312" w:hAnsi="宋体"/>
          <w:color w:val="000000"/>
          <w:sz w:val="32"/>
          <w:szCs w:val="32"/>
        </w:rPr>
      </w:pPr>
      <w:r w:rsidRPr="003614D4">
        <w:rPr>
          <w:rFonts w:ascii="仿宋_GB2312" w:eastAsia="仿宋_GB2312" w:hAnsi="宋体"/>
          <w:color w:val="000000"/>
          <w:sz w:val="32"/>
          <w:szCs w:val="32"/>
        </w:rPr>
        <w:t>SURESH K, NAIDOO J, LIN C T, et al. Immune Checkpoint Immunotherapy for Non-Small Cell Lung Cancer: Benefits and  Pulmonary Toxicities[J]. Chest, 2018,154(6): 1416-1423.</w:t>
      </w:r>
    </w:p>
    <w:p w14:paraId="6F1B2433" w14:textId="53F5B23C" w:rsidR="003614D4" w:rsidRPr="003614D4" w:rsidRDefault="003614D4" w:rsidP="003614D4">
      <w:pPr>
        <w:autoSpaceDE w:val="0"/>
        <w:autoSpaceDN w:val="0"/>
        <w:adjustRightInd w:val="0"/>
        <w:spacing w:line="560" w:lineRule="exact"/>
        <w:ind w:firstLineChars="200" w:firstLine="640"/>
        <w:rPr>
          <w:rFonts w:ascii="仿宋_GB2312" w:eastAsia="仿宋_GB2312" w:hAnsi="宋体"/>
          <w:color w:val="000000"/>
          <w:sz w:val="32"/>
          <w:szCs w:val="32"/>
        </w:rPr>
      </w:pPr>
      <w:r w:rsidRPr="003614D4">
        <w:rPr>
          <w:rFonts w:ascii="仿宋_GB2312" w:eastAsia="仿宋_GB2312" w:hAnsi="宋体"/>
          <w:color w:val="000000"/>
          <w:sz w:val="32"/>
          <w:szCs w:val="32"/>
        </w:rPr>
        <w:t xml:space="preserve">FREITES-MARTINEZ A, SANTANA N, ARIAS-SANTIAGO S, et al. Using the Common Terminology Criteria for Adverse Events (CTCAE - Version 5.0) to  Evaluate the Severity of Adverse Events of Anticancer Therapies[J]. </w:t>
      </w:r>
      <w:proofErr w:type="spellStart"/>
      <w:r w:rsidRPr="003614D4">
        <w:rPr>
          <w:rFonts w:ascii="仿宋_GB2312" w:eastAsia="仿宋_GB2312" w:hAnsi="宋体"/>
          <w:color w:val="000000"/>
          <w:sz w:val="32"/>
          <w:szCs w:val="32"/>
        </w:rPr>
        <w:t>Actas</w:t>
      </w:r>
      <w:proofErr w:type="spellEnd"/>
      <w:r w:rsidRPr="003614D4">
        <w:rPr>
          <w:rFonts w:ascii="仿宋_GB2312" w:eastAsia="仿宋_GB2312" w:hAnsi="宋体"/>
          <w:color w:val="000000"/>
          <w:sz w:val="32"/>
          <w:szCs w:val="32"/>
        </w:rPr>
        <w:t xml:space="preserve"> </w:t>
      </w:r>
      <w:proofErr w:type="spellStart"/>
      <w:r w:rsidRPr="003614D4">
        <w:rPr>
          <w:rFonts w:ascii="仿宋_GB2312" w:eastAsia="仿宋_GB2312" w:hAnsi="宋体"/>
          <w:color w:val="000000"/>
          <w:sz w:val="32"/>
          <w:szCs w:val="32"/>
        </w:rPr>
        <w:t>Dermosifiliogr</w:t>
      </w:r>
      <w:proofErr w:type="spellEnd"/>
      <w:r w:rsidRPr="003614D4">
        <w:rPr>
          <w:rFonts w:ascii="仿宋_GB2312" w:eastAsia="仿宋_GB2312" w:hAnsi="宋体"/>
          <w:color w:val="000000"/>
          <w:sz w:val="32"/>
          <w:szCs w:val="32"/>
        </w:rPr>
        <w:t xml:space="preserve"> (Engl Ed), 2021,112(1): 90-92.</w:t>
      </w:r>
    </w:p>
    <w:p w14:paraId="058DAA2C" w14:textId="44113481" w:rsidR="000060AB" w:rsidRDefault="003614D4" w:rsidP="003614D4">
      <w:pPr>
        <w:autoSpaceDE w:val="0"/>
        <w:autoSpaceDN w:val="0"/>
        <w:adjustRightInd w:val="0"/>
        <w:spacing w:line="560" w:lineRule="exact"/>
        <w:ind w:firstLineChars="200" w:firstLine="640"/>
        <w:rPr>
          <w:rFonts w:ascii="仿宋_GB2312" w:eastAsia="仿宋_GB2312" w:hAnsi="宋体"/>
          <w:color w:val="000000"/>
          <w:sz w:val="32"/>
          <w:szCs w:val="32"/>
        </w:rPr>
      </w:pPr>
      <w:r w:rsidRPr="003614D4">
        <w:rPr>
          <w:rFonts w:ascii="仿宋_GB2312" w:eastAsia="仿宋_GB2312" w:hAnsi="宋体"/>
          <w:color w:val="000000"/>
          <w:sz w:val="32"/>
          <w:szCs w:val="32"/>
        </w:rPr>
        <w:t xml:space="preserve">KALISZ K R, RAMAIYA N H, LAUKAMP K R, et al. Immune Checkpoint Inhibitor Therapy-related Pneumonitis: Patterns and Management[J]. </w:t>
      </w:r>
      <w:proofErr w:type="spellStart"/>
      <w:r w:rsidRPr="003614D4">
        <w:rPr>
          <w:rFonts w:ascii="仿宋_GB2312" w:eastAsia="仿宋_GB2312" w:hAnsi="宋体"/>
          <w:color w:val="000000"/>
          <w:sz w:val="32"/>
          <w:szCs w:val="32"/>
        </w:rPr>
        <w:t>Radiographics</w:t>
      </w:r>
      <w:proofErr w:type="spellEnd"/>
      <w:r w:rsidRPr="003614D4">
        <w:rPr>
          <w:rFonts w:ascii="仿宋_GB2312" w:eastAsia="仿宋_GB2312" w:hAnsi="宋体"/>
          <w:color w:val="000000"/>
          <w:sz w:val="32"/>
          <w:szCs w:val="32"/>
        </w:rPr>
        <w:t>, 2019,39(7): 1923-1937.</w:t>
      </w:r>
    </w:p>
    <w:p w14:paraId="63180656" w14:textId="6479A56D" w:rsidR="00A91FAC" w:rsidRPr="00370B1C" w:rsidRDefault="00A91FAC" w:rsidP="003614D4">
      <w:pPr>
        <w:autoSpaceDE w:val="0"/>
        <w:autoSpaceDN w:val="0"/>
        <w:adjustRightInd w:val="0"/>
        <w:spacing w:line="560" w:lineRule="exact"/>
        <w:ind w:firstLineChars="200" w:firstLine="640"/>
        <w:rPr>
          <w:rFonts w:ascii="仿宋_GB2312" w:eastAsia="仿宋_GB2312" w:hAnsi="宋体"/>
          <w:color w:val="000000"/>
          <w:sz w:val="32"/>
          <w:szCs w:val="32"/>
        </w:rPr>
      </w:pPr>
      <w:r w:rsidRPr="00A91FAC">
        <w:rPr>
          <w:rFonts w:ascii="仿宋_GB2312" w:eastAsia="仿宋_GB2312" w:hAnsi="宋体" w:hint="eastAsia"/>
          <w:sz w:val="32"/>
          <w:szCs w:val="32"/>
        </w:rPr>
        <w:t>邱汉波，覃凤飞，郭东霖，周尧红，赵艺蔓，张颖，郑景辉，侯恩存</w:t>
      </w:r>
      <w:r>
        <w:rPr>
          <w:rFonts w:ascii="仿宋_GB2312" w:eastAsia="仿宋_GB2312" w:hAnsi="宋体" w:hint="eastAsia"/>
          <w:sz w:val="32"/>
          <w:szCs w:val="32"/>
        </w:rPr>
        <w:t>.</w:t>
      </w:r>
      <w:r w:rsidRPr="004B11F1">
        <w:rPr>
          <w:rFonts w:ascii="仿宋_GB2312" w:eastAsia="仿宋_GB2312" w:hAnsi="宋体" w:hint="eastAsia"/>
          <w:sz w:val="32"/>
          <w:szCs w:val="32"/>
        </w:rPr>
        <w:t>六君子汤联合化疗治疗中晚期</w:t>
      </w:r>
      <w:r>
        <w:rPr>
          <w:rFonts w:ascii="仿宋_GB2312" w:eastAsia="仿宋_GB2312" w:hAnsi="宋体" w:hint="eastAsia"/>
          <w:sz w:val="32"/>
          <w:szCs w:val="32"/>
        </w:rPr>
        <w:t>NSCLC</w:t>
      </w:r>
      <w:r w:rsidRPr="004B11F1">
        <w:rPr>
          <w:rFonts w:ascii="仿宋_GB2312" w:eastAsia="仿宋_GB2312" w:hAnsi="宋体" w:hint="eastAsia"/>
          <w:sz w:val="32"/>
          <w:szCs w:val="32"/>
        </w:rPr>
        <w:t>疗效的</w:t>
      </w:r>
      <w:r>
        <w:rPr>
          <w:rFonts w:ascii="仿宋_GB2312" w:eastAsia="仿宋_GB2312" w:hAnsi="宋体" w:hint="eastAsia"/>
          <w:sz w:val="32"/>
          <w:szCs w:val="32"/>
        </w:rPr>
        <w:t>Meta</w:t>
      </w:r>
      <w:r w:rsidRPr="004B11F1">
        <w:rPr>
          <w:rFonts w:ascii="仿宋_GB2312" w:eastAsia="仿宋_GB2312" w:hAnsi="宋体" w:hint="eastAsia"/>
          <w:sz w:val="32"/>
          <w:szCs w:val="32"/>
        </w:rPr>
        <w:t>分析</w:t>
      </w:r>
      <w:r w:rsidRPr="003614D4">
        <w:rPr>
          <w:rFonts w:ascii="仿宋_GB2312" w:eastAsia="仿宋_GB2312" w:hAnsi="宋体" w:hint="eastAsia"/>
          <w:color w:val="000000"/>
          <w:sz w:val="32"/>
          <w:szCs w:val="32"/>
        </w:rPr>
        <w:t>[J]</w:t>
      </w:r>
      <w:r>
        <w:rPr>
          <w:rFonts w:ascii="仿宋_GB2312" w:eastAsia="仿宋_GB2312" w:hAnsi="宋体"/>
          <w:color w:val="000000"/>
          <w:sz w:val="32"/>
          <w:szCs w:val="32"/>
        </w:rPr>
        <w:t>.</w:t>
      </w:r>
      <w:r>
        <w:rPr>
          <w:rFonts w:ascii="仿宋_GB2312" w:eastAsia="仿宋_GB2312" w:hAnsi="宋体" w:hint="eastAsia"/>
          <w:color w:val="000000"/>
          <w:sz w:val="32"/>
          <w:szCs w:val="32"/>
        </w:rPr>
        <w:t>南京中医大学学报，2</w:t>
      </w:r>
      <w:r>
        <w:rPr>
          <w:rFonts w:ascii="仿宋_GB2312" w:eastAsia="仿宋_GB2312" w:hAnsi="宋体"/>
          <w:color w:val="000000"/>
          <w:sz w:val="32"/>
          <w:szCs w:val="32"/>
        </w:rPr>
        <w:t>021</w:t>
      </w:r>
      <w:r>
        <w:rPr>
          <w:rFonts w:ascii="仿宋_GB2312" w:eastAsia="仿宋_GB2312" w:hAnsi="宋体" w:hint="eastAsia"/>
          <w:color w:val="000000"/>
          <w:sz w:val="32"/>
          <w:szCs w:val="32"/>
        </w:rPr>
        <w:t>，3</w:t>
      </w:r>
      <w:r>
        <w:rPr>
          <w:rFonts w:ascii="仿宋_GB2312" w:eastAsia="仿宋_GB2312" w:hAnsi="宋体"/>
          <w:color w:val="000000"/>
          <w:sz w:val="32"/>
          <w:szCs w:val="32"/>
        </w:rPr>
        <w:t>7</w:t>
      </w:r>
      <w:r>
        <w:rPr>
          <w:rFonts w:ascii="仿宋_GB2312" w:eastAsia="仿宋_GB2312" w:hAnsi="宋体" w:hint="eastAsia"/>
          <w:color w:val="000000"/>
          <w:sz w:val="32"/>
          <w:szCs w:val="32"/>
        </w:rPr>
        <w:t>（6）：9</w:t>
      </w:r>
      <w:r>
        <w:rPr>
          <w:rFonts w:ascii="仿宋_GB2312" w:eastAsia="仿宋_GB2312" w:hAnsi="宋体"/>
          <w:color w:val="000000"/>
          <w:sz w:val="32"/>
          <w:szCs w:val="32"/>
        </w:rPr>
        <w:t>12-919.</w:t>
      </w:r>
    </w:p>
    <w:p w14:paraId="3D91F6EE" w14:textId="77777777" w:rsidR="009C746D" w:rsidRDefault="00C1003B" w:rsidP="00145245">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（三）研讨确定标准主体内容，形成草案</w:t>
      </w:r>
    </w:p>
    <w:p w14:paraId="23BAD078" w14:textId="5CB1922B"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标准编制工作组在对收集的资料进行整理研究之后，标准编制工作组召开了标准编制会议，对标准的整体框架结构进行了研究，并对标准的关键性内容进行了初步探讨。经过研究，标准的主体内容确定为</w:t>
      </w:r>
      <w:r w:rsidR="000060AB">
        <w:rPr>
          <w:rFonts w:ascii="仿宋_GB2312" w:eastAsia="仿宋_GB2312" w:hAnsi="仿宋_GB2312" w:cs="仿宋_GB2312" w:hint="eastAsia"/>
          <w:color w:val="000000" w:themeColor="text1"/>
          <w:sz w:val="32"/>
          <w:szCs w:val="32"/>
        </w:rPr>
        <w:t>晚期驱动基因阴性非小细胞肺癌免疫相关性肺炎处理涉及</w:t>
      </w:r>
      <w:r w:rsidR="00370B1C" w:rsidRPr="00370B1C">
        <w:rPr>
          <w:rFonts w:ascii="仿宋_GB2312" w:eastAsia="仿宋_GB2312" w:hAnsi="宋体" w:hint="eastAsia"/>
          <w:sz w:val="32"/>
          <w:szCs w:val="32"/>
        </w:rPr>
        <w:t>的</w:t>
      </w:r>
      <w:r w:rsidR="00A93C25">
        <w:rPr>
          <w:rFonts w:ascii="仿宋_GB2312" w:eastAsia="仿宋_GB2312" w:hAnsi="仿宋_GB2312" w:cs="仿宋_GB2312" w:hint="eastAsia"/>
          <w:sz w:val="32"/>
          <w:szCs w:val="32"/>
        </w:rPr>
        <w:t>术语和定义、</w:t>
      </w:r>
      <w:r w:rsidR="000060AB">
        <w:rPr>
          <w:rFonts w:ascii="仿宋_GB2312" w:eastAsia="仿宋_GB2312" w:hAnsi="宋体" w:hint="eastAsia"/>
          <w:sz w:val="32"/>
          <w:szCs w:val="32"/>
        </w:rPr>
        <w:t>诊断</w:t>
      </w:r>
      <w:r w:rsidR="00A93C25" w:rsidRPr="00816DE4">
        <w:rPr>
          <w:rFonts w:ascii="仿宋_GB2312" w:eastAsia="仿宋_GB2312" w:hAnsi="宋体" w:hint="eastAsia"/>
          <w:sz w:val="32"/>
          <w:szCs w:val="32"/>
        </w:rPr>
        <w:t>、</w:t>
      </w:r>
      <w:r w:rsidR="00174EB0">
        <w:rPr>
          <w:rFonts w:ascii="仿宋_GB2312" w:eastAsia="仿宋_GB2312" w:hAnsi="宋体" w:hint="eastAsia"/>
          <w:sz w:val="32"/>
          <w:szCs w:val="32"/>
        </w:rPr>
        <w:t>毒性分级、</w:t>
      </w:r>
      <w:r w:rsidR="000060AB">
        <w:rPr>
          <w:rFonts w:ascii="仿宋_GB2312" w:eastAsia="仿宋_GB2312" w:hAnsi="宋体" w:hint="eastAsia"/>
          <w:sz w:val="32"/>
          <w:szCs w:val="32"/>
        </w:rPr>
        <w:t>处理</w:t>
      </w:r>
      <w:r w:rsidR="00174EB0">
        <w:rPr>
          <w:rFonts w:ascii="仿宋_GB2312" w:eastAsia="仿宋_GB2312" w:hAnsi="宋体" w:hint="eastAsia"/>
          <w:sz w:val="32"/>
          <w:szCs w:val="32"/>
        </w:rPr>
        <w:t>措施</w:t>
      </w:r>
      <w:r w:rsidR="00370B1C" w:rsidRPr="00370B1C">
        <w:rPr>
          <w:rFonts w:ascii="仿宋_GB2312" w:eastAsia="仿宋_GB2312" w:hAnsi="宋体" w:hint="eastAsia"/>
          <w:sz w:val="32"/>
          <w:szCs w:val="32"/>
        </w:rPr>
        <w:t>的要求</w:t>
      </w:r>
      <w:r>
        <w:rPr>
          <w:rFonts w:ascii="仿宋_GB2312" w:eastAsia="仿宋_GB2312" w:hAnsi="宋体" w:hint="eastAsia"/>
          <w:sz w:val="32"/>
          <w:szCs w:val="32"/>
        </w:rPr>
        <w:t>。</w:t>
      </w:r>
    </w:p>
    <w:p w14:paraId="50DC546C" w14:textId="59A19DDC" w:rsidR="009C746D" w:rsidRDefault="00C1003B" w:rsidP="00145245">
      <w:pPr>
        <w:numPr>
          <w:ilvl w:val="0"/>
          <w:numId w:val="2"/>
        </w:numPr>
        <w:spacing w:beforeLines="50" w:before="156" w:afterLines="50" w:after="156" w:line="52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调研，形成草案</w:t>
      </w:r>
      <w:r w:rsidR="007D69EF">
        <w:rPr>
          <w:rFonts w:ascii="楷体" w:eastAsia="楷体" w:hAnsi="楷体" w:cs="仿宋_GB2312" w:hint="eastAsia"/>
          <w:b/>
          <w:sz w:val="32"/>
          <w:szCs w:val="32"/>
        </w:rPr>
        <w:t>、征求意见稿</w:t>
      </w:r>
    </w:p>
    <w:p w14:paraId="1A243ED9" w14:textId="0A1E1794" w:rsidR="009C746D" w:rsidRDefault="00C1003B">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lastRenderedPageBreak/>
        <w:t>2</w:t>
      </w:r>
      <w:r w:rsidR="00370B1C">
        <w:rPr>
          <w:rFonts w:ascii="仿宋_GB2312" w:eastAsia="仿宋_GB2312" w:hAnsi="宋体" w:hint="eastAsia"/>
          <w:color w:val="000000" w:themeColor="text1"/>
          <w:sz w:val="32"/>
          <w:szCs w:val="32"/>
        </w:rPr>
        <w:t>02</w:t>
      </w:r>
      <w:r w:rsidR="00370B1C">
        <w:rPr>
          <w:rFonts w:ascii="仿宋_GB2312" w:eastAsia="仿宋_GB2312" w:hAnsi="宋体"/>
          <w:color w:val="000000" w:themeColor="text1"/>
          <w:sz w:val="32"/>
          <w:szCs w:val="32"/>
        </w:rPr>
        <w:t>3</w:t>
      </w:r>
      <w:r>
        <w:rPr>
          <w:rFonts w:ascii="仿宋_GB2312" w:eastAsia="仿宋_GB2312" w:hAnsi="宋体" w:hint="eastAsia"/>
          <w:color w:val="000000" w:themeColor="text1"/>
          <w:sz w:val="32"/>
          <w:szCs w:val="32"/>
        </w:rPr>
        <w:t>年</w:t>
      </w:r>
      <w:r w:rsidR="00EF7973">
        <w:rPr>
          <w:rFonts w:ascii="仿宋_GB2312" w:eastAsia="仿宋_GB2312" w:hAnsi="宋体" w:hint="eastAsia"/>
          <w:color w:val="000000" w:themeColor="text1"/>
          <w:sz w:val="32"/>
          <w:szCs w:val="32"/>
        </w:rPr>
        <w:t>1</w:t>
      </w:r>
      <w:r w:rsidR="00EF7973">
        <w:rPr>
          <w:rFonts w:ascii="仿宋_GB2312" w:eastAsia="仿宋_GB2312" w:hAnsi="宋体"/>
          <w:color w:val="000000" w:themeColor="text1"/>
          <w:sz w:val="32"/>
          <w:szCs w:val="32"/>
        </w:rPr>
        <w:t>2</w:t>
      </w:r>
      <w:r>
        <w:rPr>
          <w:rFonts w:ascii="仿宋_GB2312" w:eastAsia="仿宋_GB2312" w:hAnsi="仿宋_GB2312" w:cs="仿宋_GB2312" w:hint="eastAsia"/>
          <w:color w:val="000000" w:themeColor="text1"/>
          <w:sz w:val="32"/>
          <w:szCs w:val="32"/>
        </w:rPr>
        <w:t>月</w:t>
      </w:r>
      <w:r>
        <w:rPr>
          <w:rFonts w:ascii="仿宋_GB2312" w:eastAsia="仿宋_GB2312" w:hAnsi="宋体"/>
          <w:color w:val="000000" w:themeColor="text1"/>
          <w:sz w:val="32"/>
          <w:szCs w:val="32"/>
        </w:rPr>
        <w:t>，</w:t>
      </w:r>
      <w:r>
        <w:rPr>
          <w:rFonts w:ascii="仿宋_GB2312" w:eastAsia="仿宋_GB2312" w:hAnsi="宋体" w:hint="eastAsia"/>
          <w:color w:val="000000" w:themeColor="text1"/>
          <w:sz w:val="32"/>
          <w:szCs w:val="32"/>
        </w:rPr>
        <w:t>标准编制工作组深入</w:t>
      </w:r>
      <w:r>
        <w:rPr>
          <w:rFonts w:ascii="仿宋_GB2312" w:eastAsia="仿宋_GB2312" w:hAnsi="宋体" w:hint="eastAsia"/>
          <w:sz w:val="32"/>
          <w:szCs w:val="32"/>
        </w:rPr>
        <w:t>到</w:t>
      </w:r>
      <w:r w:rsidR="00EF7973" w:rsidRPr="00EF7973">
        <w:rPr>
          <w:rFonts w:ascii="仿宋_GB2312" w:eastAsia="仿宋_GB2312" w:hAnsi="仿宋" w:hint="eastAsia"/>
          <w:sz w:val="32"/>
          <w:szCs w:val="32"/>
        </w:rPr>
        <w:t>广西壮族自治区人民医院、广西医科大学第一附属医院、广西中医药大学附属瑞康医院、柳州市工人医院、玉林市第一人民医院、桂林医科大学附属医院、防城港市第一人民医院</w:t>
      </w:r>
      <w:r>
        <w:rPr>
          <w:rFonts w:ascii="仿宋_GB2312" w:eastAsia="仿宋_GB2312" w:hAnsi="宋体" w:hint="eastAsia"/>
          <w:sz w:val="32"/>
          <w:szCs w:val="32"/>
        </w:rPr>
        <w:t>等进行实地调研工作，查阅了大量的国内文献资料，对</w:t>
      </w:r>
      <w:r w:rsidR="00EF7973" w:rsidRPr="00EF7973">
        <w:rPr>
          <w:rFonts w:ascii="仿宋_GB2312" w:eastAsia="仿宋_GB2312" w:hAnsi="仿宋_GB2312" w:cs="仿宋_GB2312" w:hint="eastAsia"/>
          <w:color w:val="000000" w:themeColor="text1"/>
          <w:sz w:val="32"/>
          <w:szCs w:val="32"/>
        </w:rPr>
        <w:t>晚期驱动基因阴性非小细胞肺癌免疫相关性肺炎处理</w:t>
      </w:r>
      <w:r>
        <w:rPr>
          <w:rFonts w:ascii="仿宋_GB2312" w:eastAsia="仿宋_GB2312" w:hAnsi="宋体" w:hint="eastAsia"/>
          <w:sz w:val="32"/>
          <w:szCs w:val="32"/>
        </w:rPr>
        <w:t>的相关文件进行系统总</w:t>
      </w:r>
      <w:r>
        <w:rPr>
          <w:rFonts w:ascii="仿宋_GB2312" w:eastAsia="仿宋_GB2312" w:hAnsi="宋体" w:hint="eastAsia"/>
          <w:color w:val="000000" w:themeColor="text1"/>
          <w:sz w:val="32"/>
          <w:szCs w:val="32"/>
        </w:rPr>
        <w:t>结。形成了标准的基本构架，对主要内容进行了讨论并对项目的工作进行了部署和安排。</w:t>
      </w:r>
    </w:p>
    <w:p w14:paraId="7B8BD0BD" w14:textId="2831DB83" w:rsidR="009C746D" w:rsidRDefault="00370B1C">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w:t>
      </w:r>
      <w:r w:rsidR="00EF7973">
        <w:rPr>
          <w:rFonts w:ascii="仿宋_GB2312" w:eastAsia="仿宋_GB2312" w:hAnsi="宋体"/>
          <w:color w:val="000000" w:themeColor="text1"/>
          <w:sz w:val="32"/>
          <w:szCs w:val="32"/>
        </w:rPr>
        <w:t>4</w:t>
      </w:r>
      <w:r w:rsidR="00C1003B">
        <w:rPr>
          <w:rFonts w:ascii="仿宋_GB2312" w:eastAsia="仿宋_GB2312" w:hAnsi="宋体" w:hint="eastAsia"/>
          <w:color w:val="000000" w:themeColor="text1"/>
          <w:sz w:val="32"/>
          <w:szCs w:val="32"/>
        </w:rPr>
        <w:t>年</w:t>
      </w:r>
      <w:r w:rsidR="00EF7973">
        <w:rPr>
          <w:rFonts w:ascii="仿宋_GB2312" w:eastAsia="仿宋_GB2312" w:hAnsi="宋体"/>
          <w:color w:val="000000" w:themeColor="text1"/>
          <w:sz w:val="32"/>
          <w:szCs w:val="32"/>
        </w:rPr>
        <w:t>1</w:t>
      </w:r>
      <w:r w:rsidR="00C1003B">
        <w:rPr>
          <w:rFonts w:ascii="仿宋_GB2312" w:eastAsia="仿宋_GB2312" w:hAnsi="仿宋_GB2312" w:cs="仿宋_GB2312" w:hint="eastAsia"/>
          <w:sz w:val="32"/>
          <w:szCs w:val="32"/>
        </w:rPr>
        <w:t>月</w:t>
      </w:r>
      <w:r w:rsidR="00C1003B">
        <w:rPr>
          <w:rFonts w:ascii="仿宋_GB2312" w:eastAsia="仿宋_GB2312" w:hAnsi="宋体" w:hint="eastAsia"/>
          <w:color w:val="000000" w:themeColor="text1"/>
          <w:sz w:val="32"/>
          <w:szCs w:val="32"/>
        </w:rPr>
        <w:t>，在前期工作的基础之上，通过理清逻辑脉络，整合已有参考资料中有关</w:t>
      </w:r>
      <w:r w:rsidR="00EF7973" w:rsidRPr="00EF7973">
        <w:rPr>
          <w:rFonts w:ascii="仿宋_GB2312" w:eastAsia="仿宋_GB2312" w:hAnsi="仿宋_GB2312" w:cs="仿宋_GB2312" w:hint="eastAsia"/>
          <w:color w:val="000000" w:themeColor="text1"/>
          <w:sz w:val="32"/>
          <w:szCs w:val="32"/>
        </w:rPr>
        <w:t>晚期驱动基因阴性非小细胞肺癌免疫相关性肺炎处理</w:t>
      </w:r>
      <w:r w:rsidR="00C1003B">
        <w:rPr>
          <w:rFonts w:ascii="仿宋_GB2312" w:eastAsia="仿宋_GB2312" w:hAnsi="仿宋_GB2312" w:cs="仿宋_GB2312" w:hint="eastAsia"/>
          <w:color w:val="000000" w:themeColor="text1"/>
          <w:sz w:val="32"/>
          <w:szCs w:val="32"/>
        </w:rPr>
        <w:t>的资料</w:t>
      </w:r>
      <w:r w:rsidR="00C1003B">
        <w:rPr>
          <w:rFonts w:ascii="仿宋_GB2312" w:eastAsia="仿宋_GB2312" w:hAnsi="宋体" w:hint="eastAsia"/>
          <w:color w:val="000000" w:themeColor="text1"/>
          <w:sz w:val="32"/>
          <w:szCs w:val="32"/>
        </w:rPr>
        <w:t>，并结合</w:t>
      </w:r>
      <w:r w:rsidR="00EF7973" w:rsidRPr="00EF7973">
        <w:rPr>
          <w:rFonts w:ascii="仿宋_GB2312" w:eastAsia="仿宋_GB2312" w:hAnsi="仿宋_GB2312" w:cs="仿宋_GB2312" w:hint="eastAsia"/>
          <w:color w:val="000000" w:themeColor="text1"/>
          <w:sz w:val="32"/>
          <w:szCs w:val="32"/>
        </w:rPr>
        <w:t>晚期驱动基因阴性非小细胞肺癌免疫相关性肺炎处理</w:t>
      </w:r>
      <w:r w:rsidR="00C1003B">
        <w:rPr>
          <w:rFonts w:ascii="仿宋_GB2312" w:eastAsia="仿宋_GB2312" w:hAnsi="宋体" w:hint="eastAsia"/>
          <w:color w:val="000000" w:themeColor="text1"/>
          <w:sz w:val="32"/>
          <w:szCs w:val="32"/>
        </w:rPr>
        <w:t>实际操作的基础上，按照简化、统一等原则编制完成团体标准《</w:t>
      </w:r>
      <w:r w:rsidR="00EF7973" w:rsidRPr="00EF7973">
        <w:rPr>
          <w:rFonts w:ascii="仿宋_GB2312" w:eastAsia="仿宋_GB2312" w:hAnsi="仿宋_GB2312" w:cs="仿宋_GB2312" w:hint="eastAsia"/>
          <w:color w:val="000000" w:themeColor="text1"/>
          <w:sz w:val="32"/>
          <w:szCs w:val="32"/>
        </w:rPr>
        <w:t>晚期驱动基因阴性非小细胞肺癌免疫相关性肺炎处理规范</w:t>
      </w:r>
      <w:r w:rsidR="00C1003B">
        <w:rPr>
          <w:rFonts w:ascii="仿宋_GB2312" w:eastAsia="仿宋_GB2312" w:hAnsi="宋体" w:hint="eastAsia"/>
          <w:color w:val="000000" w:themeColor="text1"/>
          <w:sz w:val="32"/>
          <w:szCs w:val="32"/>
        </w:rPr>
        <w:t>》（草案）。</w:t>
      </w:r>
    </w:p>
    <w:p w14:paraId="1BBEFB39" w14:textId="196FC583" w:rsidR="007D69EF" w:rsidRDefault="007D69EF">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w:t>
      </w:r>
      <w:r>
        <w:rPr>
          <w:rFonts w:ascii="仿宋_GB2312" w:eastAsia="仿宋_GB2312" w:hAnsi="宋体"/>
          <w:color w:val="000000" w:themeColor="text1"/>
          <w:sz w:val="32"/>
          <w:szCs w:val="32"/>
        </w:rPr>
        <w:t>024</w:t>
      </w:r>
      <w:r>
        <w:rPr>
          <w:rFonts w:ascii="仿宋_GB2312" w:eastAsia="仿宋_GB2312" w:hAnsi="宋体" w:hint="eastAsia"/>
          <w:color w:val="000000" w:themeColor="text1"/>
          <w:sz w:val="32"/>
          <w:szCs w:val="32"/>
        </w:rPr>
        <w:t>年</w:t>
      </w:r>
      <w:r w:rsidR="00FB7A38">
        <w:rPr>
          <w:rFonts w:ascii="仿宋_GB2312" w:eastAsia="仿宋_GB2312" w:hAnsi="宋体"/>
          <w:color w:val="000000" w:themeColor="text1"/>
          <w:sz w:val="32"/>
          <w:szCs w:val="32"/>
        </w:rPr>
        <w:t>2-4</w:t>
      </w:r>
      <w:r>
        <w:rPr>
          <w:rFonts w:ascii="仿宋_GB2312" w:eastAsia="仿宋_GB2312" w:hAnsi="宋体" w:hint="eastAsia"/>
          <w:color w:val="000000" w:themeColor="text1"/>
          <w:sz w:val="32"/>
          <w:szCs w:val="32"/>
        </w:rPr>
        <w:t>月，</w:t>
      </w:r>
      <w:r>
        <w:rPr>
          <w:rFonts w:ascii="仿宋_GB2312" w:eastAsia="仿宋_GB2312" w:hAnsi="宋体" w:hint="eastAsia"/>
          <w:sz w:val="32"/>
          <w:szCs w:val="32"/>
        </w:rPr>
        <w:t>标准编制工作组深入起草单位针对</w:t>
      </w:r>
      <w:r w:rsidRPr="00EF7973">
        <w:rPr>
          <w:rFonts w:ascii="仿宋_GB2312" w:eastAsia="仿宋_GB2312" w:hAnsi="仿宋_GB2312" w:cs="仿宋_GB2312" w:hint="eastAsia"/>
          <w:color w:val="000000" w:themeColor="text1"/>
          <w:sz w:val="32"/>
          <w:szCs w:val="32"/>
        </w:rPr>
        <w:t>晚期驱动基因阴性非小细胞肺癌免疫相关性肺炎处理</w:t>
      </w:r>
      <w:r>
        <w:rPr>
          <w:rFonts w:ascii="仿宋_GB2312" w:eastAsia="仿宋_GB2312" w:hAnsi="宋体" w:hint="eastAsia"/>
          <w:sz w:val="32"/>
          <w:szCs w:val="32"/>
        </w:rPr>
        <w:t>进行实地调研学习。通过实地调研，掌握了关于</w:t>
      </w:r>
      <w:r w:rsidRPr="00EF7973">
        <w:rPr>
          <w:rFonts w:ascii="仿宋_GB2312" w:eastAsia="仿宋_GB2312" w:hAnsi="仿宋_GB2312" w:cs="仿宋_GB2312" w:hint="eastAsia"/>
          <w:color w:val="000000" w:themeColor="text1"/>
          <w:sz w:val="32"/>
          <w:szCs w:val="32"/>
        </w:rPr>
        <w:t>晚期驱动基因阴性非小细胞肺癌免疫相关性肺炎处理</w:t>
      </w:r>
      <w:r>
        <w:rPr>
          <w:rFonts w:ascii="仿宋_GB2312" w:eastAsia="仿宋_GB2312" w:hAnsi="宋体" w:hint="eastAsia"/>
          <w:sz w:val="32"/>
          <w:szCs w:val="32"/>
        </w:rPr>
        <w:t>的具体要求。在开展实地调研的基础上，标准编制工作组多次组织召开座谈会，就标准文本主要技术内容进行讨论，收集标准修改意见，会后根据座谈讨论情况对标准草案进行反复修改完善，最终形成团体标准《</w:t>
      </w:r>
      <w:r w:rsidRPr="00EF7973">
        <w:rPr>
          <w:rFonts w:ascii="仿宋_GB2312" w:eastAsia="仿宋_GB2312" w:hAnsi="仿宋_GB2312" w:cs="仿宋_GB2312" w:hint="eastAsia"/>
          <w:color w:val="000000" w:themeColor="text1"/>
          <w:sz w:val="32"/>
          <w:szCs w:val="32"/>
        </w:rPr>
        <w:t>晚期驱动基因阴性非小细胞肺癌免疫相关性肺炎处理规范</w:t>
      </w:r>
      <w:r>
        <w:rPr>
          <w:rFonts w:ascii="仿宋_GB2312" w:eastAsia="仿宋_GB2312" w:hAnsi="宋体" w:hint="eastAsia"/>
          <w:sz w:val="32"/>
          <w:szCs w:val="32"/>
        </w:rPr>
        <w:t>》（征求意见稿）及其编制说明。</w:t>
      </w:r>
    </w:p>
    <w:p w14:paraId="01A80D02" w14:textId="77777777" w:rsidR="009C746D" w:rsidRDefault="00C1003B" w:rsidP="00145245">
      <w:pPr>
        <w:spacing w:beforeLines="50" w:before="156" w:afterLines="50" w:after="156" w:line="560" w:lineRule="exact"/>
        <w:ind w:firstLineChars="200" w:firstLine="640"/>
        <w:outlineLvl w:val="0"/>
        <w:rPr>
          <w:rFonts w:ascii="黑体" w:eastAsia="黑体" w:hAnsi="黑体" w:cs="仿宋_GB2312"/>
          <w:sz w:val="32"/>
          <w:szCs w:val="32"/>
        </w:rPr>
      </w:pPr>
      <w:bookmarkStart w:id="1" w:name="_Toc526940083"/>
      <w:r>
        <w:rPr>
          <w:rFonts w:ascii="黑体" w:eastAsia="黑体" w:hAnsi="黑体" w:cs="仿宋_GB2312" w:hint="eastAsia"/>
          <w:sz w:val="32"/>
          <w:szCs w:val="32"/>
        </w:rPr>
        <w:t>四、标准制定原则</w:t>
      </w:r>
      <w:bookmarkEnd w:id="1"/>
    </w:p>
    <w:p w14:paraId="2707BD07" w14:textId="77777777" w:rsidR="009C746D" w:rsidRDefault="00C1003B"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（一）实用性原则</w:t>
      </w:r>
    </w:p>
    <w:p w14:paraId="6EEB6AF7" w14:textId="306C94AA"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本文件是在充分收集相关资料，分析当前现状、调研的实际情况，在现有文献中参考与</w:t>
      </w:r>
      <w:r w:rsidR="00EF7973" w:rsidRPr="00EF7973">
        <w:rPr>
          <w:rFonts w:ascii="仿宋_GB2312" w:eastAsia="仿宋_GB2312" w:hAnsi="宋体" w:hint="eastAsia"/>
          <w:sz w:val="32"/>
          <w:szCs w:val="32"/>
        </w:rPr>
        <w:t>晚期驱动基因阴性非小细胞肺癌免疫相关性肺炎处理规范</w:t>
      </w:r>
      <w:r>
        <w:rPr>
          <w:rFonts w:ascii="仿宋_GB2312" w:eastAsia="仿宋_GB2312" w:hAnsi="宋体" w:hint="eastAsia"/>
          <w:sz w:val="32"/>
          <w:szCs w:val="32"/>
        </w:rPr>
        <w:t>相关内容的基础上，结合多年经验而总结起草的。符合当</w:t>
      </w:r>
      <w:r w:rsidR="00370B1C">
        <w:rPr>
          <w:rFonts w:ascii="仿宋_GB2312" w:eastAsia="仿宋_GB2312" w:hAnsi="宋体" w:hint="eastAsia"/>
          <w:sz w:val="32"/>
          <w:szCs w:val="32"/>
        </w:rPr>
        <w:t>前</w:t>
      </w:r>
      <w:r w:rsidR="00EF7973" w:rsidRPr="00EF7973">
        <w:rPr>
          <w:rFonts w:ascii="仿宋_GB2312" w:eastAsia="仿宋_GB2312" w:hAnsi="宋体" w:hint="eastAsia"/>
          <w:sz w:val="32"/>
          <w:szCs w:val="32"/>
        </w:rPr>
        <w:t>晚期驱动基因阴性非小细胞肺癌免疫相关性肺炎处理</w:t>
      </w:r>
      <w:r>
        <w:rPr>
          <w:rFonts w:ascii="仿宋_GB2312" w:eastAsia="仿宋_GB2312" w:hAnsi="宋体" w:hint="eastAsia"/>
          <w:sz w:val="32"/>
          <w:szCs w:val="32"/>
        </w:rPr>
        <w:t>的需要，有利于行业的长远发展，具有较强的实用性和可操作性。</w:t>
      </w:r>
    </w:p>
    <w:p w14:paraId="58737EA0" w14:textId="77777777" w:rsidR="009C746D" w:rsidRDefault="00C1003B"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（二）协调性原则</w:t>
      </w:r>
    </w:p>
    <w:p w14:paraId="61CDB024" w14:textId="6ED35E19"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本文件编写过程中注意了与</w:t>
      </w:r>
      <w:r w:rsidR="00EF7973" w:rsidRPr="00EF7973">
        <w:rPr>
          <w:rFonts w:ascii="仿宋_GB2312" w:eastAsia="仿宋_GB2312" w:hAnsi="宋体" w:hint="eastAsia"/>
          <w:sz w:val="32"/>
          <w:szCs w:val="32"/>
        </w:rPr>
        <w:t>晚期驱动基因阴性非小细胞肺癌免疫相关性肺炎处理</w:t>
      </w:r>
      <w:r>
        <w:rPr>
          <w:rFonts w:ascii="仿宋_GB2312" w:eastAsia="仿宋_GB2312" w:hAnsi="宋体" w:hint="eastAsia"/>
          <w:sz w:val="32"/>
          <w:szCs w:val="32"/>
        </w:rPr>
        <w:t>相关法律法规的协调问题，在内容上与现行法律法规、标准协调一致。</w:t>
      </w:r>
    </w:p>
    <w:p w14:paraId="2AEB4420" w14:textId="77777777" w:rsidR="009C746D" w:rsidRDefault="00C1003B"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（三）规范性原则</w:t>
      </w:r>
    </w:p>
    <w:p w14:paraId="1EA13A72" w14:textId="77777777"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本文件严格按照</w:t>
      </w:r>
      <w:r>
        <w:rPr>
          <w:rFonts w:eastAsia="仿宋_GB2312"/>
          <w:sz w:val="32"/>
          <w:szCs w:val="32"/>
        </w:rPr>
        <w:t>GB/T 1.1—2020</w:t>
      </w:r>
      <w:r>
        <w:rPr>
          <w:rFonts w:ascii="仿宋_GB2312" w:eastAsia="仿宋_GB2312" w:hAnsi="宋体" w:hint="eastAsia"/>
          <w:sz w:val="32"/>
          <w:szCs w:val="32"/>
        </w:rPr>
        <w:t>《标准化工作导则 第1部分：标准化文件的结构和起草规则》的要求和规定编写本标准的内容，保证标准的编写质量。</w:t>
      </w:r>
    </w:p>
    <w:p w14:paraId="2A4BF172" w14:textId="77777777" w:rsidR="009C746D" w:rsidRDefault="00C1003B"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（四）前瞻性原则</w:t>
      </w:r>
    </w:p>
    <w:p w14:paraId="3E7A6793" w14:textId="5BB9CDF4" w:rsidR="009C746D" w:rsidRDefault="00C1003B">
      <w:pPr>
        <w:spacing w:line="560" w:lineRule="exact"/>
        <w:ind w:firstLineChars="200" w:firstLine="640"/>
      </w:pPr>
      <w:r>
        <w:rPr>
          <w:rFonts w:ascii="仿宋_GB2312" w:eastAsia="仿宋_GB2312" w:hAnsi="宋体" w:hint="eastAsia"/>
          <w:sz w:val="32"/>
          <w:szCs w:val="32"/>
        </w:rPr>
        <w:t>本文件在兼顾当前区内</w:t>
      </w:r>
      <w:r w:rsidR="00EF7973" w:rsidRPr="00EF7973">
        <w:rPr>
          <w:rFonts w:ascii="仿宋_GB2312" w:eastAsia="仿宋_GB2312" w:hAnsi="宋体" w:hint="eastAsia"/>
          <w:sz w:val="32"/>
          <w:szCs w:val="32"/>
        </w:rPr>
        <w:t>晚期驱动基因阴性非小细胞肺癌免疫相关性肺炎处理</w:t>
      </w:r>
      <w:r>
        <w:rPr>
          <w:rFonts w:ascii="仿宋_GB2312" w:eastAsia="仿宋_GB2312" w:hAnsi="宋体" w:hint="eastAsia"/>
          <w:sz w:val="32"/>
          <w:szCs w:val="32"/>
        </w:rPr>
        <w:t>现实情况的同时，还考虑到了</w:t>
      </w:r>
      <w:r w:rsidR="00EF7973" w:rsidRPr="00EF7973">
        <w:rPr>
          <w:rFonts w:ascii="仿宋_GB2312" w:eastAsia="仿宋_GB2312" w:hAnsi="宋体" w:hint="eastAsia"/>
          <w:sz w:val="32"/>
          <w:szCs w:val="32"/>
        </w:rPr>
        <w:t>晚期驱动基因阴性非小细胞肺癌免疫相关性肺炎处理</w:t>
      </w:r>
      <w:r>
        <w:rPr>
          <w:rFonts w:ascii="仿宋_GB2312" w:eastAsia="仿宋_GB2312" w:hAnsi="宋体" w:hint="eastAsia"/>
          <w:sz w:val="32"/>
          <w:szCs w:val="32"/>
        </w:rPr>
        <w:t>快速发展的趋势和需要，在标准中体现了个别特色性、前瞻性和先进性条款，作为</w:t>
      </w:r>
      <w:r w:rsidR="00EF7973">
        <w:rPr>
          <w:rFonts w:ascii="仿宋_GB2312" w:eastAsia="仿宋_GB2312" w:hAnsi="宋体" w:hint="eastAsia"/>
          <w:sz w:val="32"/>
          <w:szCs w:val="32"/>
        </w:rPr>
        <w:t>医疗机构</w:t>
      </w:r>
      <w:r w:rsidR="00370B1C">
        <w:rPr>
          <w:rFonts w:ascii="仿宋_GB2312" w:eastAsia="仿宋_GB2312" w:hAnsi="宋体"/>
          <w:sz w:val="32"/>
          <w:szCs w:val="32"/>
        </w:rPr>
        <w:t>以</w:t>
      </w:r>
      <w:r w:rsidR="00370B1C">
        <w:rPr>
          <w:rFonts w:ascii="仿宋_GB2312" w:eastAsia="仿宋_GB2312" w:hAnsi="宋体" w:hint="eastAsia"/>
          <w:sz w:val="32"/>
          <w:szCs w:val="32"/>
        </w:rPr>
        <w:t>开展</w:t>
      </w:r>
      <w:r w:rsidR="00EF7973" w:rsidRPr="00EF7973">
        <w:rPr>
          <w:rFonts w:ascii="仿宋_GB2312" w:eastAsia="仿宋_GB2312" w:hAnsi="宋体" w:hint="eastAsia"/>
          <w:sz w:val="32"/>
          <w:szCs w:val="32"/>
        </w:rPr>
        <w:t>晚期驱动基因阴性非小细胞肺癌免疫相关性肺炎处理</w:t>
      </w:r>
      <w:r>
        <w:rPr>
          <w:rFonts w:ascii="仿宋_GB2312" w:eastAsia="仿宋_GB2312" w:hAnsi="宋体" w:hint="eastAsia"/>
          <w:sz w:val="32"/>
          <w:szCs w:val="32"/>
        </w:rPr>
        <w:t>的指导。</w:t>
      </w:r>
    </w:p>
    <w:p w14:paraId="78E43EFA" w14:textId="77777777" w:rsidR="009C746D" w:rsidRDefault="00C1003B" w:rsidP="00145245">
      <w:pPr>
        <w:numPr>
          <w:ilvl w:val="0"/>
          <w:numId w:val="3"/>
        </w:num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标准的主要指标及依据来源</w:t>
      </w:r>
    </w:p>
    <w:p w14:paraId="6750EF15" w14:textId="6F20251C" w:rsidR="009C746D" w:rsidRDefault="00C1003B">
      <w:pPr>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本标准主要指标包括：术语和定义、</w:t>
      </w:r>
      <w:r w:rsidR="00EF7973">
        <w:rPr>
          <w:rFonts w:ascii="仿宋_GB2312" w:eastAsia="仿宋_GB2312" w:hAnsi="宋体" w:hint="eastAsia"/>
          <w:sz w:val="32"/>
          <w:szCs w:val="32"/>
        </w:rPr>
        <w:t>诊断</w:t>
      </w:r>
      <w:r w:rsidR="00816DE4" w:rsidRPr="00816DE4">
        <w:rPr>
          <w:rFonts w:ascii="仿宋_GB2312" w:eastAsia="仿宋_GB2312" w:hAnsi="宋体" w:hint="eastAsia"/>
          <w:sz w:val="32"/>
          <w:szCs w:val="32"/>
        </w:rPr>
        <w:t>、</w:t>
      </w:r>
      <w:r w:rsidR="00174EB0">
        <w:rPr>
          <w:rFonts w:ascii="仿宋_GB2312" w:eastAsia="仿宋_GB2312" w:hAnsi="宋体" w:hint="eastAsia"/>
          <w:sz w:val="32"/>
          <w:szCs w:val="32"/>
        </w:rPr>
        <w:t>毒性分级</w:t>
      </w:r>
      <w:r w:rsidR="00EF7973">
        <w:rPr>
          <w:rFonts w:ascii="仿宋_GB2312" w:eastAsia="仿宋_GB2312" w:hAnsi="宋体" w:hint="eastAsia"/>
          <w:sz w:val="32"/>
          <w:szCs w:val="32"/>
        </w:rPr>
        <w:t>、处理</w:t>
      </w:r>
      <w:r w:rsidR="00174EB0">
        <w:rPr>
          <w:rFonts w:ascii="仿宋_GB2312" w:eastAsia="仿宋_GB2312" w:hAnsi="宋体" w:hint="eastAsia"/>
          <w:sz w:val="32"/>
          <w:szCs w:val="32"/>
        </w:rPr>
        <w:t>措施</w:t>
      </w:r>
      <w:r>
        <w:rPr>
          <w:rFonts w:ascii="仿宋_GB2312" w:eastAsia="仿宋_GB2312" w:hAnsi="仿宋_GB2312" w:cs="仿宋_GB2312" w:hint="eastAsia"/>
          <w:sz w:val="32"/>
          <w:szCs w:val="32"/>
        </w:rPr>
        <w:t>。标准主要指标及依据来源说明如下：</w:t>
      </w:r>
    </w:p>
    <w:p w14:paraId="26F0F8FC" w14:textId="77777777" w:rsidR="009C746D" w:rsidRDefault="00C1003B"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（一）术语和定义</w:t>
      </w:r>
    </w:p>
    <w:p w14:paraId="058C94CC" w14:textId="3A70D863" w:rsidR="006E6A78" w:rsidRDefault="00FC5E97" w:rsidP="001728CB">
      <w:pPr>
        <w:ind w:firstLineChars="200" w:firstLine="640"/>
        <w:rPr>
          <w:rFonts w:ascii="仿宋_GB2312" w:eastAsia="仿宋_GB2312"/>
          <w:sz w:val="32"/>
          <w:szCs w:val="32"/>
        </w:rPr>
      </w:pPr>
      <w:r>
        <w:rPr>
          <w:rFonts w:ascii="仿宋_GB2312" w:eastAsia="仿宋_GB2312" w:hint="eastAsia"/>
          <w:sz w:val="32"/>
          <w:szCs w:val="32"/>
        </w:rPr>
        <w:t>1</w:t>
      </w:r>
      <w:r w:rsidR="006E6A78">
        <w:rPr>
          <w:rFonts w:ascii="仿宋_GB2312" w:eastAsia="仿宋_GB2312" w:hint="eastAsia"/>
          <w:sz w:val="32"/>
          <w:szCs w:val="32"/>
        </w:rPr>
        <w:t>、</w:t>
      </w:r>
      <w:r w:rsidR="00AA170A">
        <w:rPr>
          <w:rFonts w:ascii="仿宋_GB2312" w:eastAsia="仿宋_GB2312" w:hint="eastAsia"/>
          <w:sz w:val="32"/>
          <w:szCs w:val="32"/>
        </w:rPr>
        <w:t>免疫</w:t>
      </w:r>
      <w:r w:rsidR="00D672D4">
        <w:rPr>
          <w:rFonts w:ascii="仿宋_GB2312" w:eastAsia="仿宋_GB2312" w:hint="eastAsia"/>
          <w:sz w:val="32"/>
          <w:szCs w:val="32"/>
        </w:rPr>
        <w:t>相关</w:t>
      </w:r>
      <w:r w:rsidR="00AA170A">
        <w:rPr>
          <w:rFonts w:ascii="仿宋_GB2312" w:eastAsia="仿宋_GB2312" w:hint="eastAsia"/>
          <w:sz w:val="32"/>
          <w:szCs w:val="32"/>
        </w:rPr>
        <w:t>性肺炎</w:t>
      </w:r>
    </w:p>
    <w:p w14:paraId="7D3500E4" w14:textId="7CEE39A5" w:rsidR="00AB3029" w:rsidRDefault="00DA5E17" w:rsidP="001728CB">
      <w:pPr>
        <w:ind w:firstLineChars="200" w:firstLine="640"/>
        <w:rPr>
          <w:rFonts w:ascii="仿宋_GB2312" w:eastAsia="仿宋_GB2312"/>
          <w:sz w:val="32"/>
          <w:szCs w:val="32"/>
        </w:rPr>
      </w:pPr>
      <w:r w:rsidRPr="00EC74FF">
        <w:rPr>
          <w:rFonts w:ascii="仿宋_GB2312" w:eastAsia="仿宋_GB2312" w:hAnsi="宋体" w:hint="eastAsia"/>
          <w:sz w:val="32"/>
          <w:szCs w:val="32"/>
        </w:rPr>
        <w:t>依据</w:t>
      </w:r>
      <w:r w:rsidR="00A1476A" w:rsidRPr="00D64B7A">
        <w:rPr>
          <w:rFonts w:ascii="仿宋_GB2312" w:eastAsia="仿宋_GB2312" w:hint="eastAsia"/>
          <w:sz w:val="32"/>
          <w:szCs w:val="32"/>
        </w:rPr>
        <w:t>查阅总结了相关标准、政策文件、著作、论文、科技期刊等文献资料</w:t>
      </w:r>
      <w:r>
        <w:rPr>
          <w:rFonts w:ascii="仿宋_GB2312" w:eastAsia="仿宋_GB2312" w:hAnsi="宋体" w:hint="eastAsia"/>
          <w:sz w:val="32"/>
          <w:szCs w:val="32"/>
        </w:rPr>
        <w:t>，提出了对</w:t>
      </w:r>
      <w:r w:rsidR="00D672D4">
        <w:rPr>
          <w:rFonts w:ascii="仿宋_GB2312" w:eastAsia="仿宋_GB2312" w:hint="eastAsia"/>
          <w:sz w:val="32"/>
          <w:szCs w:val="32"/>
        </w:rPr>
        <w:t>免疫相关性肺炎</w:t>
      </w:r>
      <w:r>
        <w:rPr>
          <w:rFonts w:ascii="仿宋_GB2312" w:eastAsia="仿宋_GB2312" w:hAnsi="宋体" w:hint="eastAsia"/>
          <w:sz w:val="32"/>
          <w:szCs w:val="32"/>
        </w:rPr>
        <w:t>的定义：</w:t>
      </w:r>
      <w:r w:rsidR="00D672D4" w:rsidRPr="00D672D4">
        <w:rPr>
          <w:rFonts w:ascii="仿宋_GB2312" w:eastAsia="仿宋_GB2312" w:hint="eastAsia"/>
          <w:sz w:val="32"/>
          <w:szCs w:val="32"/>
        </w:rPr>
        <w:t>近期使用免疫检查点抑制剂治疗的患者，在胸部影像学检查存在新发浸润且无新发感染（基于咳痰等呼吸道症状和/或微生物学检查）的情况下发生呼吸困难和/或其他呼吸道体征/症状</w:t>
      </w:r>
      <w:r w:rsidR="00121874" w:rsidRPr="00121874">
        <w:rPr>
          <w:rFonts w:ascii="仿宋_GB2312" w:eastAsia="仿宋_GB2312" w:hint="eastAsia"/>
          <w:sz w:val="32"/>
          <w:szCs w:val="32"/>
        </w:rPr>
        <w:t>。</w:t>
      </w:r>
    </w:p>
    <w:p w14:paraId="63AA9ABF" w14:textId="2E6F180B" w:rsidR="008175F5" w:rsidRDefault="008175F5" w:rsidP="001728CB">
      <w:pPr>
        <w:ind w:firstLineChars="200" w:firstLine="640"/>
        <w:rPr>
          <w:rFonts w:ascii="仿宋_GB2312" w:eastAsia="仿宋_GB2312"/>
          <w:sz w:val="32"/>
          <w:szCs w:val="32"/>
        </w:rPr>
      </w:pPr>
      <w:r>
        <w:rPr>
          <w:rFonts w:ascii="仿宋_GB2312" w:eastAsia="仿宋_GB2312" w:hint="eastAsia"/>
          <w:sz w:val="32"/>
          <w:szCs w:val="32"/>
        </w:rPr>
        <w:t>2、</w:t>
      </w:r>
      <w:r w:rsidR="00AA170A">
        <w:rPr>
          <w:rFonts w:ascii="仿宋_GB2312" w:eastAsia="仿宋_GB2312" w:hint="eastAsia"/>
          <w:sz w:val="32"/>
          <w:szCs w:val="32"/>
        </w:rPr>
        <w:t>免疫检查点抑制剂</w:t>
      </w:r>
    </w:p>
    <w:p w14:paraId="2D3FB313" w14:textId="6FC210EB" w:rsidR="008175F5" w:rsidRDefault="008175F5" w:rsidP="001728CB">
      <w:pPr>
        <w:ind w:firstLineChars="200" w:firstLine="640"/>
        <w:rPr>
          <w:rFonts w:ascii="仿宋_GB2312" w:eastAsia="仿宋_GB2312"/>
          <w:sz w:val="32"/>
          <w:szCs w:val="32"/>
        </w:rPr>
      </w:pPr>
      <w:r>
        <w:rPr>
          <w:rFonts w:ascii="仿宋_GB2312" w:eastAsia="仿宋_GB2312" w:hint="eastAsia"/>
          <w:sz w:val="32"/>
          <w:szCs w:val="32"/>
        </w:rPr>
        <w:t>依据查阅总结了相关标准、</w:t>
      </w:r>
      <w:r w:rsidRPr="00D64B7A">
        <w:rPr>
          <w:rFonts w:ascii="仿宋_GB2312" w:eastAsia="仿宋_GB2312" w:hint="eastAsia"/>
          <w:sz w:val="32"/>
          <w:szCs w:val="32"/>
        </w:rPr>
        <w:t>政策文件、著作、论文、科技期刊等文献资料</w:t>
      </w:r>
      <w:r>
        <w:rPr>
          <w:rFonts w:ascii="仿宋_GB2312" w:eastAsia="仿宋_GB2312" w:hAnsi="宋体" w:hint="eastAsia"/>
          <w:sz w:val="32"/>
          <w:szCs w:val="32"/>
        </w:rPr>
        <w:t>提出了对</w:t>
      </w:r>
      <w:r w:rsidR="00D672D4">
        <w:rPr>
          <w:rFonts w:ascii="仿宋_GB2312" w:eastAsia="仿宋_GB2312" w:hint="eastAsia"/>
          <w:sz w:val="32"/>
          <w:szCs w:val="32"/>
        </w:rPr>
        <w:t>免疫检查点抑制剂</w:t>
      </w:r>
      <w:r>
        <w:rPr>
          <w:rFonts w:ascii="仿宋_GB2312" w:eastAsia="仿宋_GB2312" w:hAnsi="宋体" w:hint="eastAsia"/>
          <w:sz w:val="32"/>
          <w:szCs w:val="32"/>
        </w:rPr>
        <w:t>的定义：</w:t>
      </w:r>
      <w:r w:rsidR="00D672D4" w:rsidRPr="00D672D4">
        <w:rPr>
          <w:rFonts w:ascii="仿宋_GB2312" w:eastAsia="仿宋_GB2312" w:hAnsi="宋体" w:hint="eastAsia"/>
          <w:sz w:val="32"/>
          <w:szCs w:val="32"/>
        </w:rPr>
        <w:t>一类通过抑制免疫检查点活性，恢复并提高免疫细胞识别和杀伤肿瘤细胞的能力，从而增强全身抗肿瘤免疫应答反应的药物</w:t>
      </w:r>
      <w:r w:rsidRPr="008175F5">
        <w:rPr>
          <w:rFonts w:ascii="仿宋_GB2312" w:eastAsia="仿宋_GB2312" w:hAnsi="宋体" w:hint="eastAsia"/>
          <w:sz w:val="32"/>
          <w:szCs w:val="32"/>
        </w:rPr>
        <w:t>。</w:t>
      </w:r>
    </w:p>
    <w:p w14:paraId="629242D0" w14:textId="36D97942" w:rsidR="009C746D" w:rsidRDefault="00FD04A6" w:rsidP="00145245">
      <w:pPr>
        <w:spacing w:beforeLines="50" w:before="156" w:afterLines="50" w:after="156" w:line="560" w:lineRule="exact"/>
        <w:ind w:firstLineChars="200" w:firstLine="643"/>
        <w:outlineLvl w:val="1"/>
        <w:rPr>
          <w:rFonts w:ascii="楷体_GB2312" w:eastAsia="楷体_GB2312" w:hAnsi="宋体"/>
          <w:b/>
          <w:bCs/>
          <w:sz w:val="32"/>
          <w:szCs w:val="32"/>
        </w:rPr>
      </w:pPr>
      <w:r w:rsidRPr="00F4686C">
        <w:rPr>
          <w:rFonts w:ascii="楷体_GB2312" w:eastAsia="楷体_GB2312" w:hAnsi="宋体" w:hint="eastAsia"/>
          <w:b/>
          <w:bCs/>
          <w:sz w:val="32"/>
          <w:szCs w:val="32"/>
        </w:rPr>
        <w:t>（二）</w:t>
      </w:r>
      <w:r w:rsidR="00EC49EC">
        <w:rPr>
          <w:rFonts w:ascii="楷体_GB2312" w:eastAsia="楷体_GB2312" w:hAnsi="宋体" w:hint="eastAsia"/>
          <w:b/>
          <w:bCs/>
          <w:sz w:val="32"/>
          <w:szCs w:val="32"/>
        </w:rPr>
        <w:t>诊断</w:t>
      </w:r>
    </w:p>
    <w:p w14:paraId="2CCE9E9D" w14:textId="4443824A" w:rsidR="00467636" w:rsidRDefault="00467636" w:rsidP="00EB0C09">
      <w:pPr>
        <w:spacing w:beforeLines="50" w:before="156" w:afterLines="50" w:after="156" w:line="560" w:lineRule="exact"/>
        <w:ind w:firstLineChars="200" w:firstLine="643"/>
        <w:outlineLvl w:val="1"/>
        <w:rPr>
          <w:rFonts w:ascii="仿宋_GB2312" w:eastAsia="仿宋_GB2312"/>
          <w:b/>
          <w:bCs/>
          <w:sz w:val="32"/>
          <w:szCs w:val="32"/>
        </w:rPr>
      </w:pPr>
      <w:r>
        <w:rPr>
          <w:rFonts w:ascii="仿宋_GB2312" w:eastAsia="仿宋_GB2312" w:hint="eastAsia"/>
          <w:b/>
          <w:bCs/>
          <w:sz w:val="32"/>
          <w:szCs w:val="32"/>
        </w:rPr>
        <w:t>1、辅助检查</w:t>
      </w:r>
    </w:p>
    <w:p w14:paraId="7FF9DEC4" w14:textId="4DD000FF" w:rsidR="00467636" w:rsidRPr="00467636" w:rsidRDefault="00467636" w:rsidP="00EB0C09">
      <w:pPr>
        <w:spacing w:beforeLines="50" w:before="156" w:afterLines="50" w:after="156" w:line="560" w:lineRule="exact"/>
        <w:ind w:firstLineChars="200" w:firstLine="640"/>
        <w:outlineLvl w:val="1"/>
        <w:rPr>
          <w:rFonts w:ascii="仿宋_GB2312" w:eastAsia="仿宋_GB2312"/>
          <w:sz w:val="32"/>
          <w:szCs w:val="32"/>
        </w:rPr>
      </w:pPr>
      <w:r w:rsidRPr="00467636">
        <w:rPr>
          <w:rFonts w:ascii="仿宋_GB2312" w:eastAsia="仿宋_GB2312" w:hint="eastAsia"/>
          <w:sz w:val="32"/>
          <w:szCs w:val="32"/>
        </w:rPr>
        <w:t>主要依据《免疫检查点抑制剂相关肺炎诊治专家共识》</w:t>
      </w:r>
      <w:r>
        <w:rPr>
          <w:rFonts w:ascii="仿宋_GB2312" w:eastAsia="仿宋_GB2312" w:hint="eastAsia"/>
          <w:sz w:val="32"/>
          <w:szCs w:val="32"/>
        </w:rPr>
        <w:t>的要求来确定</w:t>
      </w:r>
      <w:r w:rsidR="00D24968">
        <w:rPr>
          <w:rFonts w:ascii="仿宋_GB2312" w:eastAsia="仿宋_GB2312" w:hint="eastAsia"/>
          <w:sz w:val="32"/>
          <w:szCs w:val="32"/>
        </w:rPr>
        <w:t>，分为影像学检查和实验室检查，影响学检查能够更好的是识别CIP，</w:t>
      </w:r>
      <w:r w:rsidR="00B4720E">
        <w:rPr>
          <w:rFonts w:ascii="仿宋_GB2312" w:eastAsia="仿宋_GB2312" w:hint="eastAsia"/>
          <w:sz w:val="32"/>
          <w:szCs w:val="32"/>
        </w:rPr>
        <w:t>当怀疑发生CIP时进行血常规、血生化等实验室检查。</w:t>
      </w:r>
    </w:p>
    <w:p w14:paraId="5779F214" w14:textId="0DEE0E22" w:rsidR="00467636" w:rsidRDefault="00467636" w:rsidP="00B4720E">
      <w:pPr>
        <w:spacing w:beforeLines="50" w:before="156" w:afterLines="50" w:after="156"/>
        <w:outlineLvl w:val="1"/>
        <w:rPr>
          <w:rFonts w:ascii="仿宋_GB2312" w:eastAsia="仿宋_GB2312"/>
          <w:b/>
          <w:bCs/>
          <w:sz w:val="32"/>
          <w:szCs w:val="32"/>
        </w:rPr>
      </w:pPr>
      <w:r>
        <w:rPr>
          <w:noProof/>
        </w:rPr>
        <w:lastRenderedPageBreak/>
        <w:drawing>
          <wp:inline distT="0" distB="0" distL="0" distR="0" wp14:anchorId="6CC55ED0" wp14:editId="16066219">
            <wp:extent cx="5688330" cy="2523490"/>
            <wp:effectExtent l="19050" t="19050" r="2667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88330" cy="2523490"/>
                    </a:xfrm>
                    <a:prstGeom prst="rect">
                      <a:avLst/>
                    </a:prstGeom>
                    <a:ln>
                      <a:solidFill>
                        <a:schemeClr val="tx1"/>
                      </a:solidFill>
                    </a:ln>
                  </pic:spPr>
                </pic:pic>
              </a:graphicData>
            </a:graphic>
          </wp:inline>
        </w:drawing>
      </w:r>
    </w:p>
    <w:p w14:paraId="00A0F8E9" w14:textId="2FCFE3B8" w:rsidR="00B4720E" w:rsidRPr="00B4720E" w:rsidRDefault="00B4720E" w:rsidP="00B4720E">
      <w:pPr>
        <w:spacing w:beforeLines="50" w:before="156" w:afterLines="50" w:after="156"/>
        <w:ind w:firstLineChars="200" w:firstLine="562"/>
        <w:jc w:val="center"/>
        <w:outlineLvl w:val="1"/>
        <w:rPr>
          <w:rFonts w:ascii="楷体" w:eastAsia="楷体" w:hAnsi="楷体"/>
          <w:b/>
          <w:bCs/>
          <w:noProof/>
          <w:sz w:val="28"/>
          <w:szCs w:val="28"/>
        </w:rPr>
      </w:pPr>
      <w:r w:rsidRPr="00B4720E">
        <w:rPr>
          <w:rFonts w:ascii="楷体" w:eastAsia="楷体" w:hAnsi="楷体" w:hint="eastAsia"/>
          <w:b/>
          <w:bCs/>
          <w:noProof/>
          <w:sz w:val="28"/>
          <w:szCs w:val="28"/>
        </w:rPr>
        <w:t>来源：</w:t>
      </w:r>
      <w:r w:rsidRPr="000C277B">
        <w:rPr>
          <w:rFonts w:ascii="楷体" w:eastAsia="楷体" w:hAnsi="楷体" w:hint="eastAsia"/>
          <w:b/>
          <w:bCs/>
          <w:noProof/>
          <w:sz w:val="28"/>
          <w:szCs w:val="28"/>
        </w:rPr>
        <w:t>《免疫检查点抑制剂相关肺炎诊治专家共识》</w:t>
      </w:r>
    </w:p>
    <w:p w14:paraId="1277B2D5" w14:textId="70A373C9" w:rsidR="00EB0C09" w:rsidRPr="000C277B" w:rsidRDefault="00467636" w:rsidP="00EB0C09">
      <w:pPr>
        <w:spacing w:beforeLines="50" w:before="156" w:afterLines="50" w:after="156" w:line="560" w:lineRule="exact"/>
        <w:ind w:firstLineChars="200" w:firstLine="643"/>
        <w:outlineLvl w:val="1"/>
        <w:rPr>
          <w:rFonts w:ascii="仿宋_GB2312" w:eastAsia="仿宋_GB2312"/>
          <w:b/>
          <w:bCs/>
          <w:sz w:val="32"/>
          <w:szCs w:val="32"/>
        </w:rPr>
      </w:pPr>
      <w:r>
        <w:rPr>
          <w:rFonts w:ascii="仿宋_GB2312" w:eastAsia="仿宋_GB2312"/>
          <w:b/>
          <w:bCs/>
          <w:sz w:val="32"/>
          <w:szCs w:val="32"/>
        </w:rPr>
        <w:t>2</w:t>
      </w:r>
      <w:r w:rsidR="00EB0C09" w:rsidRPr="000C277B">
        <w:rPr>
          <w:rFonts w:ascii="仿宋_GB2312" w:eastAsia="仿宋_GB2312" w:hint="eastAsia"/>
          <w:b/>
          <w:bCs/>
          <w:sz w:val="32"/>
          <w:szCs w:val="32"/>
        </w:rPr>
        <w:t>、诊断</w:t>
      </w:r>
      <w:r>
        <w:rPr>
          <w:rFonts w:ascii="仿宋_GB2312" w:eastAsia="仿宋_GB2312" w:hint="eastAsia"/>
          <w:b/>
          <w:bCs/>
          <w:sz w:val="32"/>
          <w:szCs w:val="32"/>
        </w:rPr>
        <w:t>要点</w:t>
      </w:r>
    </w:p>
    <w:p w14:paraId="151445A3" w14:textId="285978EB" w:rsidR="00EB0C09" w:rsidRDefault="00EB0C09" w:rsidP="00EB0C09">
      <w:pPr>
        <w:spacing w:beforeLines="50" w:before="156" w:afterLines="50" w:after="156" w:line="560" w:lineRule="exact"/>
        <w:ind w:firstLineChars="200" w:firstLine="640"/>
        <w:outlineLvl w:val="1"/>
        <w:rPr>
          <w:rFonts w:ascii="仿宋_GB2312" w:eastAsia="仿宋_GB2312"/>
          <w:sz w:val="32"/>
          <w:szCs w:val="32"/>
        </w:rPr>
      </w:pPr>
      <w:r w:rsidRPr="00766839">
        <w:rPr>
          <w:rFonts w:ascii="仿宋_GB2312" w:eastAsia="仿宋_GB2312" w:hint="eastAsia"/>
          <w:sz w:val="32"/>
          <w:szCs w:val="32"/>
        </w:rPr>
        <w:t>主要是依据</w:t>
      </w:r>
      <w:bookmarkStart w:id="2" w:name="_Hlk170371714"/>
      <w:r w:rsidRPr="00766839">
        <w:rPr>
          <w:rFonts w:ascii="仿宋_GB2312" w:eastAsia="仿宋_GB2312" w:hint="eastAsia"/>
          <w:sz w:val="32"/>
          <w:szCs w:val="32"/>
        </w:rPr>
        <w:t>《免疫检查点抑制剂相关肺炎诊治专家共识》</w:t>
      </w:r>
      <w:bookmarkEnd w:id="2"/>
      <w:r>
        <w:rPr>
          <w:rFonts w:ascii="仿宋_GB2312" w:eastAsia="仿宋_GB2312" w:hint="eastAsia"/>
          <w:sz w:val="32"/>
          <w:szCs w:val="32"/>
        </w:rPr>
        <w:t>中对</w:t>
      </w:r>
      <w:r w:rsidRPr="00766839">
        <w:rPr>
          <w:rFonts w:ascii="仿宋_GB2312" w:eastAsia="仿宋_GB2312" w:hint="eastAsia"/>
          <w:sz w:val="32"/>
          <w:szCs w:val="32"/>
        </w:rPr>
        <w:t>免疫检查点抑制剂相关肺炎</w:t>
      </w:r>
      <w:r>
        <w:rPr>
          <w:rFonts w:ascii="仿宋_GB2312" w:eastAsia="仿宋_GB2312" w:hint="eastAsia"/>
          <w:sz w:val="32"/>
          <w:szCs w:val="32"/>
        </w:rPr>
        <w:t>诊断标准的要求来确定，</w:t>
      </w:r>
      <w:r w:rsidRPr="000C277B">
        <w:rPr>
          <w:rFonts w:ascii="仿宋_GB2312" w:eastAsia="仿宋_GB2312" w:hint="eastAsia"/>
          <w:sz w:val="32"/>
          <w:szCs w:val="32"/>
        </w:rPr>
        <w:t>呼吸困难、咳嗽、伴或不伴有发热、胸痛和运动耐量进行性降低</w:t>
      </w:r>
      <w:r>
        <w:rPr>
          <w:rFonts w:ascii="仿宋_GB2312" w:eastAsia="仿宋_GB2312" w:hint="eastAsia"/>
          <w:sz w:val="32"/>
          <w:szCs w:val="32"/>
        </w:rPr>
        <w:t>也是免疫相关性肺炎的主要症状，因此将该条件增加作为诊断的标准之一。</w:t>
      </w:r>
    </w:p>
    <w:p w14:paraId="45C030CB" w14:textId="7061DB13" w:rsidR="00EB0C09" w:rsidRDefault="00B4720E" w:rsidP="00B4720E">
      <w:pPr>
        <w:spacing w:beforeLines="50" w:before="156" w:afterLines="50" w:after="156"/>
        <w:jc w:val="center"/>
        <w:outlineLvl w:val="1"/>
        <w:rPr>
          <w:rFonts w:ascii="仿宋_GB2312" w:eastAsia="仿宋_GB2312"/>
          <w:sz w:val="32"/>
          <w:szCs w:val="32"/>
        </w:rPr>
      </w:pPr>
      <w:r>
        <w:rPr>
          <w:noProof/>
        </w:rPr>
        <w:drawing>
          <wp:inline distT="0" distB="0" distL="0" distR="0" wp14:anchorId="751E68A0" wp14:editId="7D6416BA">
            <wp:extent cx="5688330" cy="2908300"/>
            <wp:effectExtent l="19050" t="19050" r="26670" b="2540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88330" cy="2908300"/>
                    </a:xfrm>
                    <a:prstGeom prst="rect">
                      <a:avLst/>
                    </a:prstGeom>
                    <a:ln>
                      <a:solidFill>
                        <a:schemeClr val="tx1"/>
                      </a:solidFill>
                    </a:ln>
                  </pic:spPr>
                </pic:pic>
              </a:graphicData>
            </a:graphic>
          </wp:inline>
        </w:drawing>
      </w:r>
    </w:p>
    <w:p w14:paraId="29754228" w14:textId="4E22CE84" w:rsidR="00EB0C09" w:rsidRDefault="00EB0C09" w:rsidP="00EB0C09">
      <w:pPr>
        <w:jc w:val="center"/>
        <w:outlineLvl w:val="1"/>
        <w:rPr>
          <w:rFonts w:ascii="楷体_GB2312" w:eastAsia="楷体_GB2312" w:hAnsi="宋体"/>
          <w:b/>
          <w:bCs/>
          <w:sz w:val="32"/>
          <w:szCs w:val="32"/>
        </w:rPr>
      </w:pPr>
      <w:r w:rsidRPr="000C277B">
        <w:rPr>
          <w:rFonts w:ascii="楷体" w:eastAsia="楷体" w:hAnsi="楷体" w:hint="eastAsia"/>
          <w:b/>
          <w:bCs/>
          <w:noProof/>
          <w:sz w:val="28"/>
          <w:szCs w:val="28"/>
        </w:rPr>
        <w:t>来源：</w:t>
      </w:r>
      <w:r w:rsidR="00B4720E" w:rsidRPr="000C277B">
        <w:rPr>
          <w:rFonts w:ascii="楷体" w:eastAsia="楷体" w:hAnsi="楷体" w:hint="eastAsia"/>
          <w:b/>
          <w:bCs/>
          <w:noProof/>
          <w:sz w:val="28"/>
          <w:szCs w:val="28"/>
        </w:rPr>
        <w:t>《免疫检查点抑制剂相关肺炎诊治专家共识》</w:t>
      </w:r>
    </w:p>
    <w:p w14:paraId="0935EFA6" w14:textId="428C8AB6" w:rsidR="00467636" w:rsidRPr="000C277B" w:rsidRDefault="00893508" w:rsidP="00467636">
      <w:pPr>
        <w:spacing w:beforeLines="50" w:before="156" w:afterLines="50" w:after="156" w:line="560" w:lineRule="exact"/>
        <w:ind w:firstLineChars="200" w:firstLine="643"/>
        <w:outlineLvl w:val="1"/>
        <w:rPr>
          <w:rFonts w:ascii="仿宋_GB2312" w:eastAsia="仿宋_GB2312"/>
          <w:b/>
          <w:bCs/>
          <w:sz w:val="32"/>
          <w:szCs w:val="32"/>
        </w:rPr>
      </w:pPr>
      <w:r>
        <w:rPr>
          <w:rFonts w:ascii="仿宋_GB2312" w:eastAsia="仿宋_GB2312"/>
          <w:b/>
          <w:bCs/>
          <w:sz w:val="32"/>
          <w:szCs w:val="32"/>
        </w:rPr>
        <w:lastRenderedPageBreak/>
        <w:t>3</w:t>
      </w:r>
      <w:r w:rsidR="00467636" w:rsidRPr="000C277B">
        <w:rPr>
          <w:rFonts w:ascii="仿宋_GB2312" w:eastAsia="仿宋_GB2312" w:hint="eastAsia"/>
          <w:b/>
          <w:bCs/>
          <w:sz w:val="32"/>
          <w:szCs w:val="32"/>
        </w:rPr>
        <w:t>、鉴别诊断</w:t>
      </w:r>
    </w:p>
    <w:p w14:paraId="75376FB2" w14:textId="74E0B150" w:rsidR="00467636" w:rsidRDefault="00467636" w:rsidP="00467636">
      <w:pPr>
        <w:spacing w:beforeLines="50" w:before="156" w:afterLines="50" w:after="156" w:line="560" w:lineRule="exact"/>
        <w:ind w:firstLineChars="200" w:firstLine="640"/>
        <w:outlineLvl w:val="1"/>
        <w:rPr>
          <w:rFonts w:ascii="仿宋_GB2312" w:eastAsia="仿宋_GB2312"/>
          <w:sz w:val="32"/>
          <w:szCs w:val="32"/>
        </w:rPr>
      </w:pPr>
      <w:r w:rsidRPr="00766839">
        <w:rPr>
          <w:rFonts w:ascii="仿宋_GB2312" w:eastAsia="仿宋_GB2312" w:hint="eastAsia"/>
          <w:sz w:val="32"/>
          <w:szCs w:val="32"/>
        </w:rPr>
        <w:t>主要是依据《免疫检查点抑制剂相关肺炎诊治专家共识》</w:t>
      </w:r>
      <w:r>
        <w:rPr>
          <w:rFonts w:ascii="仿宋_GB2312" w:eastAsia="仿宋_GB2312" w:hint="eastAsia"/>
          <w:sz w:val="32"/>
          <w:szCs w:val="32"/>
        </w:rPr>
        <w:t>中对</w:t>
      </w:r>
      <w:r w:rsidRPr="00766839">
        <w:rPr>
          <w:rFonts w:ascii="仿宋_GB2312" w:eastAsia="仿宋_GB2312" w:hint="eastAsia"/>
          <w:sz w:val="32"/>
          <w:szCs w:val="32"/>
        </w:rPr>
        <w:t>免疫检查点抑制剂相关肺炎</w:t>
      </w:r>
      <w:r>
        <w:rPr>
          <w:rFonts w:ascii="仿宋_GB2312" w:eastAsia="仿宋_GB2312" w:hint="eastAsia"/>
          <w:sz w:val="32"/>
          <w:szCs w:val="32"/>
        </w:rPr>
        <w:t>鉴别诊断的要求来确定，免疫相关性肺炎没有单一特征病理学表现，但可表现为</w:t>
      </w:r>
      <w:r w:rsidRPr="00EB0DEF">
        <w:rPr>
          <w:rFonts w:ascii="仿宋_GB2312" w:eastAsia="仿宋_GB2312" w:hint="eastAsia"/>
          <w:sz w:val="32"/>
          <w:szCs w:val="32"/>
        </w:rPr>
        <w:t>肺炎弥漫性肺泡损伤、嗜酸粒细胞肺炎或以淋巴细胞浸润为主的间质性肺炎等</w:t>
      </w:r>
      <w:r>
        <w:rPr>
          <w:rFonts w:ascii="仿宋_GB2312" w:eastAsia="仿宋_GB2312" w:hint="eastAsia"/>
          <w:sz w:val="32"/>
          <w:szCs w:val="32"/>
        </w:rPr>
        <w:t>，需要医生进一步诊断，同时注意与其他疾病的诊断。</w:t>
      </w:r>
    </w:p>
    <w:p w14:paraId="1F2920F9" w14:textId="77777777" w:rsidR="00467636" w:rsidRDefault="00467636" w:rsidP="00467636">
      <w:pPr>
        <w:spacing w:beforeLines="50" w:before="156" w:afterLines="50" w:after="156"/>
        <w:jc w:val="center"/>
        <w:outlineLvl w:val="1"/>
        <w:rPr>
          <w:rFonts w:ascii="楷体_GB2312" w:eastAsia="楷体_GB2312" w:hAnsi="宋体"/>
          <w:b/>
          <w:bCs/>
          <w:sz w:val="32"/>
          <w:szCs w:val="32"/>
        </w:rPr>
      </w:pPr>
      <w:r>
        <w:rPr>
          <w:noProof/>
        </w:rPr>
        <w:drawing>
          <wp:inline distT="0" distB="0" distL="0" distR="0" wp14:anchorId="28390BBB" wp14:editId="0813A655">
            <wp:extent cx="5467425" cy="5578668"/>
            <wp:effectExtent l="19050" t="19050" r="19050" b="22225"/>
            <wp:docPr id="6611535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153551" name=""/>
                    <pic:cNvPicPr/>
                  </pic:nvPicPr>
                  <pic:blipFill>
                    <a:blip r:embed="rId9"/>
                    <a:stretch>
                      <a:fillRect/>
                    </a:stretch>
                  </pic:blipFill>
                  <pic:spPr>
                    <a:xfrm>
                      <a:off x="0" y="0"/>
                      <a:ext cx="5510425" cy="5622543"/>
                    </a:xfrm>
                    <a:prstGeom prst="rect">
                      <a:avLst/>
                    </a:prstGeom>
                    <a:ln>
                      <a:solidFill>
                        <a:schemeClr val="tx1"/>
                      </a:solidFill>
                    </a:ln>
                  </pic:spPr>
                </pic:pic>
              </a:graphicData>
            </a:graphic>
          </wp:inline>
        </w:drawing>
      </w:r>
    </w:p>
    <w:p w14:paraId="2A8D48FE" w14:textId="22A5BAE7" w:rsidR="00467636" w:rsidRDefault="00467636" w:rsidP="00467636">
      <w:pPr>
        <w:spacing w:beforeLines="50" w:before="156" w:afterLines="50" w:after="156" w:line="560" w:lineRule="exact"/>
        <w:ind w:firstLineChars="200" w:firstLine="562"/>
        <w:jc w:val="center"/>
        <w:outlineLvl w:val="1"/>
        <w:rPr>
          <w:rFonts w:ascii="楷体_GB2312" w:eastAsia="楷体_GB2312" w:hAnsi="宋体"/>
          <w:b/>
          <w:bCs/>
          <w:sz w:val="32"/>
          <w:szCs w:val="32"/>
        </w:rPr>
      </w:pPr>
      <w:r w:rsidRPr="002F74C2">
        <w:rPr>
          <w:rFonts w:ascii="楷体" w:eastAsia="楷体" w:hAnsi="楷体" w:hint="eastAsia"/>
          <w:b/>
          <w:bCs/>
          <w:noProof/>
          <w:sz w:val="28"/>
          <w:szCs w:val="28"/>
        </w:rPr>
        <w:t>来源：CSCO免疫检查点抑制剂相关的毒性管理指南（2023）</w:t>
      </w:r>
    </w:p>
    <w:p w14:paraId="649313CE" w14:textId="55A4B3A9" w:rsidR="00614920" w:rsidRDefault="00614920"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lastRenderedPageBreak/>
        <w:t>（三）</w:t>
      </w:r>
      <w:r w:rsidR="00531E73">
        <w:rPr>
          <w:rFonts w:ascii="楷体_GB2312" w:eastAsia="楷体_GB2312" w:hAnsi="宋体" w:hint="eastAsia"/>
          <w:b/>
          <w:bCs/>
          <w:sz w:val="32"/>
          <w:szCs w:val="32"/>
        </w:rPr>
        <w:t>严重程度分级</w:t>
      </w:r>
    </w:p>
    <w:p w14:paraId="6AE408A1" w14:textId="24B23512" w:rsidR="00614920" w:rsidRPr="00614920" w:rsidRDefault="00614920" w:rsidP="00145245">
      <w:pPr>
        <w:spacing w:beforeLines="50" w:before="156" w:afterLines="50" w:after="156" w:line="560" w:lineRule="exact"/>
        <w:ind w:firstLineChars="200" w:firstLine="640"/>
        <w:outlineLvl w:val="1"/>
        <w:rPr>
          <w:rFonts w:ascii="仿宋_GB2312" w:eastAsia="仿宋_GB2312" w:hAnsi="宋体"/>
          <w:sz w:val="32"/>
          <w:szCs w:val="32"/>
        </w:rPr>
      </w:pPr>
      <w:r w:rsidRPr="00614920">
        <w:rPr>
          <w:rFonts w:ascii="仿宋_GB2312" w:eastAsia="仿宋_GB2312" w:hAnsi="宋体" w:hint="eastAsia"/>
          <w:sz w:val="32"/>
          <w:szCs w:val="32"/>
        </w:rPr>
        <w:t>临床处理毒性是按照分级原则进行的</w:t>
      </w:r>
      <w:r>
        <w:rPr>
          <w:rFonts w:ascii="仿宋_GB2312" w:eastAsia="仿宋_GB2312" w:hAnsi="宋体" w:hint="eastAsia"/>
          <w:sz w:val="32"/>
          <w:szCs w:val="32"/>
        </w:rPr>
        <w:t>，本文件的分级主要是参考《</w:t>
      </w:r>
      <w:r w:rsidRPr="00614920">
        <w:rPr>
          <w:rFonts w:ascii="仿宋_GB2312" w:eastAsia="仿宋_GB2312" w:hAnsi="宋体" w:hint="eastAsia"/>
          <w:sz w:val="32"/>
          <w:szCs w:val="32"/>
        </w:rPr>
        <w:t>CSCO免疫检查点抑制剂相关的毒性管理指南（2023）</w:t>
      </w:r>
      <w:r>
        <w:rPr>
          <w:rFonts w:ascii="仿宋_GB2312" w:eastAsia="仿宋_GB2312" w:hAnsi="宋体" w:hint="eastAsia"/>
          <w:sz w:val="32"/>
          <w:szCs w:val="32"/>
        </w:rPr>
        <w:t>》中对毒性的分级，在指南中将毒性分为</w:t>
      </w:r>
      <w:r w:rsidR="002F74C2">
        <w:rPr>
          <w:rFonts w:ascii="仿宋_GB2312" w:eastAsia="仿宋_GB2312" w:hAnsi="宋体" w:hint="eastAsia"/>
          <w:sz w:val="32"/>
          <w:szCs w:val="32"/>
        </w:rPr>
        <w:t>4</w:t>
      </w:r>
      <w:r>
        <w:rPr>
          <w:rFonts w:ascii="仿宋_GB2312" w:eastAsia="仿宋_GB2312" w:hAnsi="宋体" w:hint="eastAsia"/>
          <w:sz w:val="32"/>
          <w:szCs w:val="32"/>
        </w:rPr>
        <w:t>个级别：G</w:t>
      </w:r>
      <w:r>
        <w:rPr>
          <w:rFonts w:ascii="仿宋_GB2312" w:eastAsia="仿宋_GB2312" w:hAnsi="宋体"/>
          <w:sz w:val="32"/>
          <w:szCs w:val="32"/>
        </w:rPr>
        <w:t>1</w:t>
      </w:r>
      <w:r>
        <w:rPr>
          <w:rFonts w:ascii="仿宋_GB2312" w:eastAsia="仿宋_GB2312" w:hAnsi="宋体" w:hint="eastAsia"/>
          <w:sz w:val="32"/>
          <w:szCs w:val="32"/>
        </w:rPr>
        <w:t>，轻度毒性；G</w:t>
      </w:r>
      <w:r>
        <w:rPr>
          <w:rFonts w:ascii="仿宋_GB2312" w:eastAsia="仿宋_GB2312" w:hAnsi="宋体"/>
          <w:sz w:val="32"/>
          <w:szCs w:val="32"/>
        </w:rPr>
        <w:t>2</w:t>
      </w:r>
      <w:r>
        <w:rPr>
          <w:rFonts w:ascii="仿宋_GB2312" w:eastAsia="仿宋_GB2312" w:hAnsi="宋体" w:hint="eastAsia"/>
          <w:sz w:val="32"/>
          <w:szCs w:val="32"/>
        </w:rPr>
        <w:t>，中度毒性；G</w:t>
      </w:r>
      <w:r>
        <w:rPr>
          <w:rFonts w:ascii="仿宋_GB2312" w:eastAsia="仿宋_GB2312" w:hAnsi="宋体"/>
          <w:sz w:val="32"/>
          <w:szCs w:val="32"/>
        </w:rPr>
        <w:t>3</w:t>
      </w:r>
      <w:r>
        <w:rPr>
          <w:rFonts w:ascii="仿宋_GB2312" w:eastAsia="仿宋_GB2312" w:hAnsi="宋体" w:hint="eastAsia"/>
          <w:sz w:val="32"/>
          <w:szCs w:val="32"/>
        </w:rPr>
        <w:t>，重度毒性；G</w:t>
      </w:r>
      <w:r>
        <w:rPr>
          <w:rFonts w:ascii="仿宋_GB2312" w:eastAsia="仿宋_GB2312" w:hAnsi="宋体"/>
          <w:sz w:val="32"/>
          <w:szCs w:val="32"/>
        </w:rPr>
        <w:t>4,</w:t>
      </w:r>
      <w:r>
        <w:rPr>
          <w:rFonts w:ascii="仿宋_GB2312" w:eastAsia="仿宋_GB2312" w:hAnsi="宋体" w:hint="eastAsia"/>
          <w:sz w:val="32"/>
          <w:szCs w:val="32"/>
        </w:rPr>
        <w:t>危及生命的毒性</w:t>
      </w:r>
      <w:r w:rsidR="002F74C2">
        <w:rPr>
          <w:rFonts w:ascii="仿宋_GB2312" w:eastAsia="仿宋_GB2312" w:hAnsi="宋体" w:hint="eastAsia"/>
          <w:sz w:val="32"/>
          <w:szCs w:val="32"/>
        </w:rPr>
        <w:t>，分级管理原则见图</w:t>
      </w:r>
      <w:r w:rsidR="00876A9E">
        <w:rPr>
          <w:rFonts w:ascii="仿宋_GB2312" w:eastAsia="仿宋_GB2312" w:hAnsi="宋体"/>
          <w:sz w:val="32"/>
          <w:szCs w:val="32"/>
        </w:rPr>
        <w:t>3</w:t>
      </w:r>
      <w:r w:rsidR="00234C37">
        <w:rPr>
          <w:rFonts w:ascii="仿宋_GB2312" w:eastAsia="仿宋_GB2312" w:hAnsi="宋体" w:hint="eastAsia"/>
          <w:sz w:val="32"/>
          <w:szCs w:val="32"/>
        </w:rPr>
        <w:t>，指南中对免疫性相关肺炎的毒性管理中，将免疫性相关肺炎的毒性分为4级，因此本文件中也将对免疫相关性肺炎的</w:t>
      </w:r>
      <w:r w:rsidR="00EB0C09">
        <w:rPr>
          <w:rFonts w:ascii="仿宋_GB2312" w:eastAsia="仿宋_GB2312" w:hAnsi="宋体" w:hint="eastAsia"/>
          <w:sz w:val="32"/>
          <w:szCs w:val="32"/>
        </w:rPr>
        <w:t>症状</w:t>
      </w:r>
      <w:r w:rsidR="00234C37">
        <w:rPr>
          <w:rFonts w:ascii="仿宋_GB2312" w:eastAsia="仿宋_GB2312" w:hAnsi="宋体" w:hint="eastAsia"/>
          <w:sz w:val="32"/>
          <w:szCs w:val="32"/>
        </w:rPr>
        <w:t>分为</w:t>
      </w:r>
      <w:r w:rsidR="00234C37">
        <w:rPr>
          <w:rFonts w:ascii="仿宋_GB2312" w:eastAsia="仿宋_GB2312" w:hAnsi="宋体"/>
          <w:sz w:val="32"/>
          <w:szCs w:val="32"/>
        </w:rPr>
        <w:t>4</w:t>
      </w:r>
      <w:r w:rsidR="00234C37">
        <w:rPr>
          <w:rFonts w:ascii="仿宋_GB2312" w:eastAsia="仿宋_GB2312" w:hAnsi="宋体" w:hint="eastAsia"/>
          <w:sz w:val="32"/>
          <w:szCs w:val="32"/>
        </w:rPr>
        <w:t>级。</w:t>
      </w:r>
    </w:p>
    <w:p w14:paraId="368443AF" w14:textId="28A960F0" w:rsidR="00F4686C" w:rsidRDefault="002F74C2" w:rsidP="00234C37">
      <w:pPr>
        <w:jc w:val="center"/>
        <w:outlineLvl w:val="1"/>
        <w:rPr>
          <w:noProof/>
        </w:rPr>
      </w:pPr>
      <w:r>
        <w:rPr>
          <w:noProof/>
        </w:rPr>
        <w:drawing>
          <wp:inline distT="0" distB="0" distL="0" distR="0" wp14:anchorId="5196F1AB" wp14:editId="0F6384C7">
            <wp:extent cx="5274310" cy="3614420"/>
            <wp:effectExtent l="19050" t="19050" r="21590" b="24130"/>
            <wp:docPr id="677282803" name="图片 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图片"/>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3614420"/>
                    </a:xfrm>
                    <a:prstGeom prst="rect">
                      <a:avLst/>
                    </a:prstGeom>
                    <a:noFill/>
                    <a:ln>
                      <a:solidFill>
                        <a:schemeClr val="tx1"/>
                      </a:solidFill>
                    </a:ln>
                  </pic:spPr>
                </pic:pic>
              </a:graphicData>
            </a:graphic>
          </wp:inline>
        </w:drawing>
      </w:r>
    </w:p>
    <w:p w14:paraId="7F46A8C0" w14:textId="72D90A82" w:rsidR="002F74C2" w:rsidRPr="002F74C2" w:rsidRDefault="002F74C2" w:rsidP="00234C37">
      <w:pPr>
        <w:jc w:val="center"/>
        <w:outlineLvl w:val="1"/>
        <w:rPr>
          <w:rFonts w:ascii="楷体" w:eastAsia="楷体" w:hAnsi="楷体"/>
          <w:b/>
          <w:bCs/>
          <w:noProof/>
          <w:sz w:val="28"/>
          <w:szCs w:val="28"/>
        </w:rPr>
      </w:pPr>
      <w:r w:rsidRPr="002F74C2">
        <w:rPr>
          <w:rFonts w:ascii="楷体" w:eastAsia="楷体" w:hAnsi="楷体" w:hint="eastAsia"/>
          <w:b/>
          <w:bCs/>
          <w:noProof/>
          <w:sz w:val="28"/>
          <w:szCs w:val="28"/>
        </w:rPr>
        <w:t>来源：CSCO免疫检查点抑制剂相关的毒性管理指南（2023）</w:t>
      </w:r>
    </w:p>
    <w:p w14:paraId="4818C190" w14:textId="7453BDA4" w:rsidR="002F74C2" w:rsidRDefault="002F74C2" w:rsidP="00234C37">
      <w:pPr>
        <w:jc w:val="center"/>
        <w:outlineLvl w:val="1"/>
        <w:rPr>
          <w:rFonts w:ascii="仿宋_GB2312" w:eastAsia="仿宋_GB2312" w:hAnsi="宋体"/>
          <w:sz w:val="32"/>
          <w:szCs w:val="32"/>
        </w:rPr>
      </w:pPr>
      <w:r>
        <w:rPr>
          <w:noProof/>
        </w:rPr>
        <w:lastRenderedPageBreak/>
        <w:drawing>
          <wp:inline distT="0" distB="0" distL="0" distR="0" wp14:anchorId="713A46D7" wp14:editId="63BCA302">
            <wp:extent cx="4996870" cy="3436326"/>
            <wp:effectExtent l="19050" t="19050" r="13335" b="12065"/>
            <wp:docPr id="1070260691" name="图片 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片"/>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05623" cy="3442346"/>
                    </a:xfrm>
                    <a:prstGeom prst="rect">
                      <a:avLst/>
                    </a:prstGeom>
                    <a:noFill/>
                    <a:ln>
                      <a:solidFill>
                        <a:schemeClr val="tx1"/>
                      </a:solidFill>
                    </a:ln>
                  </pic:spPr>
                </pic:pic>
              </a:graphicData>
            </a:graphic>
          </wp:inline>
        </w:drawing>
      </w:r>
    </w:p>
    <w:p w14:paraId="567FCC87" w14:textId="3C74D595" w:rsidR="00234C37" w:rsidRDefault="00234C37" w:rsidP="00F4686C">
      <w:pPr>
        <w:autoSpaceDE w:val="0"/>
        <w:autoSpaceDN w:val="0"/>
        <w:adjustRightInd w:val="0"/>
        <w:jc w:val="center"/>
        <w:rPr>
          <w:rFonts w:ascii="仿宋_GB2312" w:eastAsia="仿宋_GB2312" w:hAnsi="宋体"/>
          <w:b/>
          <w:bCs/>
          <w:color w:val="000000"/>
          <w:szCs w:val="21"/>
        </w:rPr>
      </w:pPr>
      <w:r>
        <w:rPr>
          <w:noProof/>
        </w:rPr>
        <w:drawing>
          <wp:inline distT="0" distB="0" distL="0" distR="0" wp14:anchorId="3EC20F2E" wp14:editId="28148DEC">
            <wp:extent cx="4994422" cy="3418407"/>
            <wp:effectExtent l="19050" t="19050" r="15875" b="10795"/>
            <wp:docPr id="3984796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01789" cy="3423449"/>
                    </a:xfrm>
                    <a:prstGeom prst="rect">
                      <a:avLst/>
                    </a:prstGeom>
                    <a:noFill/>
                    <a:ln>
                      <a:solidFill>
                        <a:schemeClr val="tx1"/>
                      </a:solidFill>
                    </a:ln>
                  </pic:spPr>
                </pic:pic>
              </a:graphicData>
            </a:graphic>
          </wp:inline>
        </w:drawing>
      </w:r>
    </w:p>
    <w:p w14:paraId="2019FE6E" w14:textId="16286CA0" w:rsidR="00A1476A" w:rsidRPr="002F74C2" w:rsidRDefault="00F4686C" w:rsidP="002F74C2">
      <w:pPr>
        <w:jc w:val="center"/>
        <w:outlineLvl w:val="1"/>
        <w:rPr>
          <w:rFonts w:ascii="楷体" w:eastAsia="楷体" w:hAnsi="楷体"/>
          <w:b/>
          <w:bCs/>
          <w:noProof/>
          <w:sz w:val="28"/>
          <w:szCs w:val="28"/>
        </w:rPr>
      </w:pPr>
      <w:r w:rsidRPr="002F74C2">
        <w:rPr>
          <w:rFonts w:ascii="楷体" w:eastAsia="楷体" w:hAnsi="楷体" w:hint="eastAsia"/>
          <w:b/>
          <w:bCs/>
          <w:noProof/>
          <w:sz w:val="28"/>
          <w:szCs w:val="28"/>
        </w:rPr>
        <w:t>来源：</w:t>
      </w:r>
      <w:r w:rsidR="00234C37" w:rsidRPr="002F74C2">
        <w:rPr>
          <w:rFonts w:ascii="楷体" w:eastAsia="楷体" w:hAnsi="楷体" w:hint="eastAsia"/>
          <w:b/>
          <w:bCs/>
          <w:noProof/>
          <w:sz w:val="28"/>
          <w:szCs w:val="28"/>
        </w:rPr>
        <w:t>CSCO免疫检查点抑制剂相关的毒性管理指南（2023）</w:t>
      </w:r>
    </w:p>
    <w:p w14:paraId="3EDC7298" w14:textId="29069523" w:rsidR="00234C37" w:rsidRPr="00F4686C" w:rsidRDefault="00234C37" w:rsidP="00F4686C">
      <w:pPr>
        <w:autoSpaceDE w:val="0"/>
        <w:autoSpaceDN w:val="0"/>
        <w:adjustRightInd w:val="0"/>
        <w:jc w:val="center"/>
        <w:rPr>
          <w:rFonts w:ascii="仿宋_GB2312" w:eastAsia="仿宋_GB2312" w:hAnsi="宋体"/>
          <w:b/>
          <w:bCs/>
          <w:color w:val="000000"/>
          <w:szCs w:val="21"/>
        </w:rPr>
      </w:pPr>
      <w:r>
        <w:rPr>
          <w:noProof/>
        </w:rPr>
        <w:lastRenderedPageBreak/>
        <w:drawing>
          <wp:inline distT="0" distB="0" distL="0" distR="0" wp14:anchorId="5A314E90" wp14:editId="4B37A22E">
            <wp:extent cx="5274310" cy="3418205"/>
            <wp:effectExtent l="19050" t="19050" r="21590" b="10795"/>
            <wp:docPr id="15212662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3418205"/>
                    </a:xfrm>
                    <a:prstGeom prst="rect">
                      <a:avLst/>
                    </a:prstGeom>
                    <a:noFill/>
                    <a:ln>
                      <a:solidFill>
                        <a:schemeClr val="tx1"/>
                      </a:solidFill>
                    </a:ln>
                  </pic:spPr>
                </pic:pic>
              </a:graphicData>
            </a:graphic>
          </wp:inline>
        </w:drawing>
      </w:r>
    </w:p>
    <w:p w14:paraId="713C9DF9" w14:textId="398C76E7" w:rsidR="00537385" w:rsidRPr="002F74C2" w:rsidRDefault="00234C37" w:rsidP="00537385">
      <w:pPr>
        <w:jc w:val="center"/>
        <w:outlineLvl w:val="1"/>
        <w:rPr>
          <w:rFonts w:ascii="楷体" w:eastAsia="楷体" w:hAnsi="楷体"/>
          <w:b/>
          <w:bCs/>
          <w:noProof/>
          <w:sz w:val="28"/>
          <w:szCs w:val="28"/>
        </w:rPr>
      </w:pPr>
      <w:r w:rsidRPr="002F74C2">
        <w:rPr>
          <w:rFonts w:ascii="楷体" w:eastAsia="楷体" w:hAnsi="楷体" w:hint="eastAsia"/>
          <w:b/>
          <w:bCs/>
          <w:noProof/>
          <w:sz w:val="28"/>
          <w:szCs w:val="28"/>
        </w:rPr>
        <w:t>来源：CSCO免疫检查点抑制剂相关的毒性管理指南（2023）</w:t>
      </w:r>
    </w:p>
    <w:p w14:paraId="74955858" w14:textId="75EC6037" w:rsidR="00893508" w:rsidRDefault="00893508"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（四）辩证分型</w:t>
      </w:r>
    </w:p>
    <w:p w14:paraId="46BDDDA4" w14:textId="76DD1987" w:rsidR="00893508" w:rsidRDefault="00893508" w:rsidP="00145245">
      <w:pPr>
        <w:spacing w:beforeLines="50" w:before="156" w:afterLines="50" w:after="156" w:line="560" w:lineRule="exact"/>
        <w:ind w:firstLineChars="200" w:firstLine="640"/>
        <w:outlineLvl w:val="1"/>
        <w:rPr>
          <w:rFonts w:ascii="仿宋_GB2312" w:eastAsia="仿宋_GB2312" w:hAnsi="宋体"/>
          <w:sz w:val="32"/>
          <w:szCs w:val="32"/>
        </w:rPr>
      </w:pPr>
      <w:r w:rsidRPr="006E4D2C">
        <w:rPr>
          <w:rFonts w:ascii="仿宋_GB2312" w:eastAsia="仿宋_GB2312" w:hAnsi="宋体" w:hint="eastAsia"/>
          <w:sz w:val="32"/>
          <w:szCs w:val="32"/>
        </w:rPr>
        <w:t>主要依据</w:t>
      </w:r>
      <w:r w:rsidR="009F4E23" w:rsidRPr="006E4D2C">
        <w:rPr>
          <w:rFonts w:ascii="仿宋_GB2312" w:eastAsia="仿宋_GB2312" w:hAnsi="宋体" w:hint="eastAsia"/>
          <w:sz w:val="32"/>
          <w:szCs w:val="32"/>
        </w:rPr>
        <w:t>《中医肿瘤学概论》（许玲、孙建立编著）</w:t>
      </w:r>
      <w:r w:rsidR="006E4D2C" w:rsidRPr="006E4D2C">
        <w:rPr>
          <w:rFonts w:ascii="仿宋_GB2312" w:eastAsia="仿宋_GB2312" w:hAnsi="宋体" w:hint="eastAsia"/>
          <w:sz w:val="32"/>
          <w:szCs w:val="32"/>
        </w:rPr>
        <w:t>的要求来确定，肺癌的病因机理主要是由于正气虚损，阴阳失衡，六淫之邪乘虚侵袭肺脏，邪滞胸中，肺气郁，宣降失司，气机不利，血行受阻津液失于输布,聚而成痰，痰凝气滞,瘀阻络脉，于是痰气瘀毒胶结日久成为肺部肿瘤，</w:t>
      </w:r>
      <w:r w:rsidR="00F66E02">
        <w:rPr>
          <w:rFonts w:ascii="仿宋_GB2312" w:eastAsia="仿宋_GB2312" w:hAnsi="宋体" w:hint="eastAsia"/>
          <w:sz w:val="32"/>
          <w:szCs w:val="32"/>
        </w:rPr>
        <w:t>在辩证时以辨明邪正盛衰、辨明正虚性质及所属的脏腑、辨明邪实情况为原则，依据其病因机理</w:t>
      </w:r>
      <w:r w:rsidR="009F4E23">
        <w:rPr>
          <w:rFonts w:ascii="仿宋_GB2312" w:eastAsia="仿宋_GB2312" w:hAnsi="宋体" w:hint="eastAsia"/>
          <w:sz w:val="32"/>
          <w:szCs w:val="32"/>
        </w:rPr>
        <w:t>主要有阴虚内热证、</w:t>
      </w:r>
      <w:r w:rsidR="009F4E23" w:rsidRPr="009F4E23">
        <w:rPr>
          <w:rFonts w:ascii="仿宋_GB2312" w:eastAsia="仿宋_GB2312" w:hAnsi="宋体" w:hint="eastAsia"/>
          <w:sz w:val="32"/>
          <w:szCs w:val="32"/>
        </w:rPr>
        <w:t>脾虚痰湿证</w:t>
      </w:r>
      <w:r w:rsidR="009F4E23">
        <w:rPr>
          <w:rFonts w:ascii="仿宋_GB2312" w:eastAsia="仿宋_GB2312" w:hAnsi="宋体" w:hint="eastAsia"/>
          <w:sz w:val="32"/>
          <w:szCs w:val="32"/>
        </w:rPr>
        <w:t>、</w:t>
      </w:r>
      <w:r w:rsidR="009F4E23" w:rsidRPr="009F4E23">
        <w:rPr>
          <w:rFonts w:ascii="仿宋_GB2312" w:eastAsia="仿宋_GB2312" w:hAnsi="宋体" w:hint="eastAsia"/>
          <w:sz w:val="32"/>
          <w:szCs w:val="32"/>
        </w:rPr>
        <w:t>气</w:t>
      </w:r>
      <w:r w:rsidR="009F4E23" w:rsidRPr="009F4E23">
        <w:rPr>
          <w:rFonts w:ascii="仿宋_GB2312" w:eastAsia="仿宋_GB2312" w:hAnsi="宋体"/>
          <w:sz w:val="32"/>
          <w:szCs w:val="32"/>
        </w:rPr>
        <w:t>滞血瘀证</w:t>
      </w:r>
      <w:r w:rsidR="009F4E23" w:rsidRPr="009F4E23">
        <w:rPr>
          <w:rFonts w:ascii="仿宋_GB2312" w:eastAsia="仿宋_GB2312" w:hAnsi="宋体" w:hint="eastAsia"/>
          <w:sz w:val="32"/>
          <w:szCs w:val="32"/>
        </w:rPr>
        <w:t>、气阴两虚证、阴阳两虚证、脾肾两虚证</w:t>
      </w:r>
      <w:r w:rsidR="009F4E23">
        <w:rPr>
          <w:rFonts w:ascii="仿宋_GB2312" w:eastAsia="仿宋_GB2312" w:hAnsi="宋体" w:hint="eastAsia"/>
          <w:sz w:val="32"/>
          <w:szCs w:val="32"/>
        </w:rPr>
        <w:t>等6中证型。</w:t>
      </w:r>
    </w:p>
    <w:p w14:paraId="406A13F5" w14:textId="0845AFCE" w:rsidR="009F4E23" w:rsidRDefault="009F4E23" w:rsidP="009F4E23">
      <w:pPr>
        <w:jc w:val="center"/>
        <w:outlineLvl w:val="1"/>
        <w:rPr>
          <w:rFonts w:ascii="仿宋_GB2312" w:eastAsia="仿宋_GB2312" w:hAnsi="宋体"/>
          <w:sz w:val="32"/>
          <w:szCs w:val="32"/>
        </w:rPr>
      </w:pPr>
      <w:r>
        <w:rPr>
          <w:noProof/>
        </w:rPr>
        <w:lastRenderedPageBreak/>
        <w:drawing>
          <wp:inline distT="0" distB="0" distL="0" distR="0" wp14:anchorId="72EDE174" wp14:editId="698883D6">
            <wp:extent cx="5436690" cy="1335819"/>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83423" cy="1347302"/>
                    </a:xfrm>
                    <a:prstGeom prst="rect">
                      <a:avLst/>
                    </a:prstGeom>
                  </pic:spPr>
                </pic:pic>
              </a:graphicData>
            </a:graphic>
          </wp:inline>
        </w:drawing>
      </w:r>
    </w:p>
    <w:p w14:paraId="7476302C" w14:textId="5B869743" w:rsidR="009F4E23" w:rsidRDefault="009F4E23" w:rsidP="009F4E23">
      <w:pPr>
        <w:jc w:val="center"/>
        <w:outlineLvl w:val="1"/>
        <w:rPr>
          <w:rFonts w:ascii="仿宋_GB2312" w:eastAsia="仿宋_GB2312" w:hAnsi="宋体"/>
          <w:sz w:val="32"/>
          <w:szCs w:val="32"/>
        </w:rPr>
      </w:pPr>
      <w:r w:rsidRPr="009F4E23">
        <w:rPr>
          <w:rFonts w:ascii="仿宋_GB2312" w:eastAsia="仿宋_GB2312" w:hAnsi="宋体"/>
          <w:noProof/>
          <w:sz w:val="32"/>
          <w:szCs w:val="32"/>
        </w:rPr>
        <w:drawing>
          <wp:inline distT="0" distB="0" distL="0" distR="0" wp14:anchorId="280CF918" wp14:editId="7A0B868C">
            <wp:extent cx="5394132" cy="93635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0793" cy="956607"/>
                    </a:xfrm>
                    <a:prstGeom prst="rect">
                      <a:avLst/>
                    </a:prstGeom>
                    <a:noFill/>
                    <a:ln>
                      <a:noFill/>
                    </a:ln>
                  </pic:spPr>
                </pic:pic>
              </a:graphicData>
            </a:graphic>
          </wp:inline>
        </w:drawing>
      </w:r>
    </w:p>
    <w:p w14:paraId="5565BB95" w14:textId="01D00F66" w:rsidR="009F4E23" w:rsidRDefault="009F4E23" w:rsidP="009F4E23">
      <w:pPr>
        <w:jc w:val="center"/>
        <w:outlineLvl w:val="1"/>
        <w:rPr>
          <w:rFonts w:ascii="仿宋_GB2312" w:eastAsia="仿宋_GB2312" w:hAnsi="宋体"/>
          <w:sz w:val="32"/>
          <w:szCs w:val="32"/>
        </w:rPr>
      </w:pPr>
      <w:r>
        <w:rPr>
          <w:noProof/>
        </w:rPr>
        <w:drawing>
          <wp:inline distT="0" distB="0" distL="0" distR="0" wp14:anchorId="1059F5F7" wp14:editId="7CAC4118">
            <wp:extent cx="5410034" cy="1232628"/>
            <wp:effectExtent l="0" t="0" r="635"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51592" cy="1242097"/>
                    </a:xfrm>
                    <a:prstGeom prst="rect">
                      <a:avLst/>
                    </a:prstGeom>
                  </pic:spPr>
                </pic:pic>
              </a:graphicData>
            </a:graphic>
          </wp:inline>
        </w:drawing>
      </w:r>
    </w:p>
    <w:p w14:paraId="25EB5F93" w14:textId="2E003F43" w:rsidR="009F4E23" w:rsidRDefault="009F4E23" w:rsidP="009F4E23">
      <w:pPr>
        <w:jc w:val="center"/>
        <w:outlineLvl w:val="1"/>
        <w:rPr>
          <w:rFonts w:ascii="仿宋_GB2312" w:eastAsia="仿宋_GB2312" w:hAnsi="宋体"/>
          <w:sz w:val="32"/>
          <w:szCs w:val="32"/>
        </w:rPr>
      </w:pPr>
      <w:r>
        <w:rPr>
          <w:noProof/>
        </w:rPr>
        <w:drawing>
          <wp:inline distT="0" distB="0" distL="0" distR="0" wp14:anchorId="33033052" wp14:editId="5401DAE2">
            <wp:extent cx="5378229" cy="1039263"/>
            <wp:effectExtent l="0" t="0" r="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10901" cy="1045576"/>
                    </a:xfrm>
                    <a:prstGeom prst="rect">
                      <a:avLst/>
                    </a:prstGeom>
                  </pic:spPr>
                </pic:pic>
              </a:graphicData>
            </a:graphic>
          </wp:inline>
        </w:drawing>
      </w:r>
    </w:p>
    <w:p w14:paraId="5A87C275" w14:textId="6120A5A6" w:rsidR="009F4E23" w:rsidRDefault="009F4E23" w:rsidP="009F4E23">
      <w:pPr>
        <w:jc w:val="center"/>
        <w:outlineLvl w:val="1"/>
        <w:rPr>
          <w:rFonts w:ascii="仿宋_GB2312" w:eastAsia="仿宋_GB2312" w:hAnsi="宋体"/>
          <w:sz w:val="32"/>
          <w:szCs w:val="32"/>
        </w:rPr>
      </w:pPr>
      <w:r>
        <w:rPr>
          <w:noProof/>
        </w:rPr>
        <w:drawing>
          <wp:inline distT="0" distB="0" distL="0" distR="0" wp14:anchorId="0D7C04CD" wp14:editId="6DC9A602">
            <wp:extent cx="5346424" cy="1209182"/>
            <wp:effectExtent l="0" t="0" r="698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84011" cy="1217683"/>
                    </a:xfrm>
                    <a:prstGeom prst="rect">
                      <a:avLst/>
                    </a:prstGeom>
                  </pic:spPr>
                </pic:pic>
              </a:graphicData>
            </a:graphic>
          </wp:inline>
        </w:drawing>
      </w:r>
    </w:p>
    <w:p w14:paraId="3C7FB509" w14:textId="1C86B24F" w:rsidR="009F4E23" w:rsidRDefault="009F4E23" w:rsidP="009F4E23">
      <w:pPr>
        <w:jc w:val="center"/>
        <w:outlineLvl w:val="1"/>
        <w:rPr>
          <w:rFonts w:ascii="仿宋_GB2312" w:eastAsia="仿宋_GB2312" w:hAnsi="宋体"/>
          <w:sz w:val="32"/>
          <w:szCs w:val="32"/>
        </w:rPr>
      </w:pPr>
      <w:r>
        <w:rPr>
          <w:noProof/>
        </w:rPr>
        <w:drawing>
          <wp:inline distT="0" distB="0" distL="0" distR="0" wp14:anchorId="1320BD4A" wp14:editId="37ED0FDF">
            <wp:extent cx="5346424" cy="1043263"/>
            <wp:effectExtent l="0" t="0" r="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08309" cy="1055339"/>
                    </a:xfrm>
                    <a:prstGeom prst="rect">
                      <a:avLst/>
                    </a:prstGeom>
                  </pic:spPr>
                </pic:pic>
              </a:graphicData>
            </a:graphic>
          </wp:inline>
        </w:drawing>
      </w:r>
    </w:p>
    <w:p w14:paraId="7673416F" w14:textId="1B29587D" w:rsidR="009F4E23" w:rsidRPr="009F4E23" w:rsidRDefault="009F4E23" w:rsidP="009F4E23">
      <w:pPr>
        <w:jc w:val="center"/>
        <w:outlineLvl w:val="1"/>
        <w:rPr>
          <w:rFonts w:ascii="楷体" w:eastAsia="楷体" w:hAnsi="楷体"/>
          <w:b/>
          <w:bCs/>
          <w:noProof/>
          <w:sz w:val="28"/>
          <w:szCs w:val="28"/>
        </w:rPr>
      </w:pPr>
      <w:r w:rsidRPr="009F4E23">
        <w:rPr>
          <w:rFonts w:ascii="楷体" w:eastAsia="楷体" w:hAnsi="楷体" w:hint="eastAsia"/>
          <w:b/>
          <w:bCs/>
          <w:noProof/>
          <w:sz w:val="28"/>
          <w:szCs w:val="28"/>
        </w:rPr>
        <w:t>来源：《中医肿瘤学概论》（许玲、孙建立编著）</w:t>
      </w:r>
    </w:p>
    <w:p w14:paraId="1A311BA7" w14:textId="4C8F2311" w:rsidR="009F4E23" w:rsidRDefault="009F4E23" w:rsidP="009F4E23">
      <w:pPr>
        <w:outlineLvl w:val="1"/>
        <w:rPr>
          <w:rFonts w:ascii="仿宋_GB2312" w:eastAsia="仿宋_GB2312" w:hAnsi="宋体"/>
          <w:sz w:val="32"/>
          <w:szCs w:val="32"/>
        </w:rPr>
      </w:pPr>
    </w:p>
    <w:p w14:paraId="2A411DB1" w14:textId="77777777" w:rsidR="00663A35" w:rsidRPr="006E4D2C" w:rsidRDefault="00663A35" w:rsidP="009F4E23">
      <w:pPr>
        <w:outlineLvl w:val="1"/>
        <w:rPr>
          <w:rFonts w:ascii="仿宋_GB2312" w:eastAsia="仿宋_GB2312" w:hAnsi="宋体"/>
          <w:sz w:val="32"/>
          <w:szCs w:val="32"/>
        </w:rPr>
      </w:pPr>
    </w:p>
    <w:p w14:paraId="725BA709" w14:textId="183FB159" w:rsidR="00320193" w:rsidRPr="00B4464D" w:rsidRDefault="00B4464D" w:rsidP="00145245">
      <w:pPr>
        <w:spacing w:beforeLines="50" w:before="156" w:afterLines="50" w:after="156" w:line="560" w:lineRule="exact"/>
        <w:ind w:firstLineChars="200" w:firstLine="643"/>
        <w:outlineLvl w:val="1"/>
        <w:rPr>
          <w:rFonts w:ascii="楷体_GB2312" w:eastAsia="楷体_GB2312" w:hAnsi="宋体"/>
          <w:b/>
          <w:bCs/>
          <w:sz w:val="32"/>
          <w:szCs w:val="32"/>
        </w:rPr>
      </w:pPr>
      <w:r w:rsidRPr="00F4686C">
        <w:rPr>
          <w:rFonts w:ascii="楷体_GB2312" w:eastAsia="楷体_GB2312" w:hAnsi="宋体" w:hint="eastAsia"/>
          <w:b/>
          <w:bCs/>
          <w:sz w:val="32"/>
          <w:szCs w:val="32"/>
        </w:rPr>
        <w:lastRenderedPageBreak/>
        <w:t>（</w:t>
      </w:r>
      <w:r w:rsidR="00893508">
        <w:rPr>
          <w:rFonts w:ascii="楷体_GB2312" w:eastAsia="楷体_GB2312" w:hAnsi="宋体" w:hint="eastAsia"/>
          <w:b/>
          <w:bCs/>
          <w:sz w:val="32"/>
          <w:szCs w:val="32"/>
        </w:rPr>
        <w:t>五</w:t>
      </w:r>
      <w:r w:rsidRPr="00F4686C">
        <w:rPr>
          <w:rFonts w:ascii="楷体_GB2312" w:eastAsia="楷体_GB2312" w:hAnsi="宋体"/>
          <w:b/>
          <w:bCs/>
          <w:sz w:val="32"/>
          <w:szCs w:val="32"/>
        </w:rPr>
        <w:t>）</w:t>
      </w:r>
      <w:r w:rsidR="003C27A6">
        <w:rPr>
          <w:rFonts w:ascii="楷体_GB2312" w:eastAsia="楷体_GB2312" w:hAnsi="宋体" w:hint="eastAsia"/>
          <w:b/>
          <w:bCs/>
          <w:sz w:val="32"/>
          <w:szCs w:val="32"/>
        </w:rPr>
        <w:t>处理</w:t>
      </w:r>
    </w:p>
    <w:p w14:paraId="06657B62" w14:textId="0A19A9B4" w:rsidR="003C27A6" w:rsidRPr="00271A39" w:rsidRDefault="00663A35" w:rsidP="003C27A6">
      <w:pPr>
        <w:spacing w:line="560" w:lineRule="exact"/>
        <w:ind w:firstLineChars="200" w:firstLine="643"/>
        <w:outlineLvl w:val="1"/>
        <w:rPr>
          <w:rFonts w:ascii="仿宋_GB2312" w:eastAsia="仿宋_GB2312" w:hAnsi="宋体"/>
          <w:sz w:val="32"/>
          <w:szCs w:val="32"/>
        </w:rPr>
      </w:pPr>
      <w:r w:rsidRPr="00663A35">
        <w:rPr>
          <w:rFonts w:ascii="仿宋_GB2312" w:eastAsia="仿宋_GB2312" w:hAnsi="宋体" w:hint="eastAsia"/>
          <w:b/>
          <w:bCs/>
          <w:sz w:val="32"/>
          <w:szCs w:val="32"/>
        </w:rPr>
        <w:t>西医治疗</w:t>
      </w:r>
      <w:r w:rsidR="00C5311D">
        <w:rPr>
          <w:rFonts w:ascii="仿宋_GB2312" w:eastAsia="仿宋_GB2312" w:hAnsi="宋体" w:hint="eastAsia"/>
          <w:sz w:val="32"/>
          <w:szCs w:val="32"/>
        </w:rPr>
        <w:t>主要是参考《</w:t>
      </w:r>
      <w:r w:rsidR="00C5311D" w:rsidRPr="00614920">
        <w:rPr>
          <w:rFonts w:ascii="仿宋_GB2312" w:eastAsia="仿宋_GB2312" w:hAnsi="宋体" w:hint="eastAsia"/>
          <w:sz w:val="32"/>
          <w:szCs w:val="32"/>
        </w:rPr>
        <w:t>CSCO免疫检查点抑制剂相关的毒性管理指南（2023）</w:t>
      </w:r>
      <w:r w:rsidR="00C5311D">
        <w:rPr>
          <w:rFonts w:ascii="仿宋_GB2312" w:eastAsia="仿宋_GB2312" w:hAnsi="宋体" w:hint="eastAsia"/>
          <w:sz w:val="32"/>
          <w:szCs w:val="32"/>
        </w:rPr>
        <w:t>》</w:t>
      </w:r>
      <w:r w:rsidR="003C27A6">
        <w:rPr>
          <w:rFonts w:ascii="仿宋_GB2312" w:eastAsia="仿宋_GB2312" w:hAnsi="宋体" w:hint="eastAsia"/>
          <w:sz w:val="32"/>
          <w:szCs w:val="32"/>
        </w:rPr>
        <w:t>中对免疫检查点抑制剂相关性肺炎毒性的管理措施</w:t>
      </w:r>
      <w:r w:rsidR="00D85C0F">
        <w:rPr>
          <w:rFonts w:ascii="仿宋_GB2312" w:eastAsia="仿宋_GB2312" w:hAnsi="宋体" w:hint="eastAsia"/>
          <w:sz w:val="32"/>
          <w:szCs w:val="32"/>
        </w:rPr>
        <w:t>以及起到单位多年来的治疗经验</w:t>
      </w:r>
      <w:r w:rsidR="003C27A6">
        <w:rPr>
          <w:rFonts w:ascii="仿宋_GB2312" w:eastAsia="仿宋_GB2312" w:hAnsi="宋体" w:hint="eastAsia"/>
          <w:sz w:val="32"/>
          <w:szCs w:val="32"/>
        </w:rPr>
        <w:t>来确定，指南中依据证据类型将诊疗指南推荐等级分为Ⅰ级推荐、Ⅱ级推荐、Ⅲ级推荐，</w:t>
      </w:r>
      <w:r w:rsidR="007B578B">
        <w:rPr>
          <w:rFonts w:ascii="仿宋_GB2312" w:eastAsia="仿宋_GB2312" w:hAnsi="宋体" w:hint="eastAsia"/>
          <w:sz w:val="32"/>
          <w:szCs w:val="32"/>
        </w:rPr>
        <w:t>本文件参考</w:t>
      </w:r>
      <w:r w:rsidR="005931B4">
        <w:rPr>
          <w:rFonts w:ascii="仿宋_GB2312" w:eastAsia="仿宋_GB2312" w:hAnsi="宋体" w:hint="eastAsia"/>
          <w:sz w:val="32"/>
          <w:szCs w:val="32"/>
        </w:rPr>
        <w:t>指南中给出了免疫性相关肺炎的</w:t>
      </w:r>
      <w:r w:rsidR="007B578B">
        <w:rPr>
          <w:rFonts w:ascii="仿宋_GB2312" w:eastAsia="仿宋_GB2312" w:hAnsi="宋体" w:hint="eastAsia"/>
          <w:sz w:val="32"/>
          <w:szCs w:val="32"/>
        </w:rPr>
        <w:t>不同</w:t>
      </w:r>
      <w:r w:rsidR="00A0683E">
        <w:rPr>
          <w:rFonts w:ascii="仿宋_GB2312" w:eastAsia="仿宋_GB2312" w:hAnsi="宋体" w:hint="eastAsia"/>
          <w:sz w:val="32"/>
          <w:szCs w:val="32"/>
        </w:rPr>
        <w:t>毒性</w:t>
      </w:r>
      <w:r w:rsidR="007B578B">
        <w:rPr>
          <w:rFonts w:ascii="仿宋_GB2312" w:eastAsia="仿宋_GB2312" w:hAnsi="宋体" w:hint="eastAsia"/>
          <w:sz w:val="32"/>
          <w:szCs w:val="32"/>
        </w:rPr>
        <w:t>等级的处理措施确定了</w:t>
      </w:r>
      <w:r w:rsidR="00A0683E">
        <w:rPr>
          <w:rFonts w:ascii="仿宋_GB2312" w:eastAsia="仿宋_GB2312" w:hAnsi="宋体" w:hint="eastAsia"/>
          <w:sz w:val="32"/>
          <w:szCs w:val="32"/>
        </w:rPr>
        <w:t>各级症状的</w:t>
      </w:r>
      <w:r w:rsidR="007B578B">
        <w:rPr>
          <w:rFonts w:ascii="仿宋_GB2312" w:eastAsia="仿宋_GB2312" w:hAnsi="宋体" w:hint="eastAsia"/>
          <w:sz w:val="32"/>
          <w:szCs w:val="32"/>
        </w:rPr>
        <w:t>处理要求</w:t>
      </w:r>
      <w:r w:rsidR="00D85C0F">
        <w:rPr>
          <w:rFonts w:ascii="仿宋_GB2312" w:eastAsia="仿宋_GB2312" w:hAnsi="宋体" w:hint="eastAsia"/>
          <w:sz w:val="32"/>
          <w:szCs w:val="32"/>
        </w:rPr>
        <w:t>，起草单位广西壮族自治区人民医院近三年共救治晚期驱动基因阴性非小细胞肺癌患者近5</w:t>
      </w:r>
      <w:r w:rsidR="00D85C0F">
        <w:rPr>
          <w:rFonts w:ascii="仿宋_GB2312" w:eastAsia="仿宋_GB2312" w:hAnsi="宋体"/>
          <w:sz w:val="32"/>
          <w:szCs w:val="32"/>
        </w:rPr>
        <w:t>000</w:t>
      </w:r>
      <w:r w:rsidR="00D85C0F">
        <w:rPr>
          <w:rFonts w:ascii="仿宋_GB2312" w:eastAsia="仿宋_GB2312" w:hAnsi="宋体" w:hint="eastAsia"/>
          <w:sz w:val="32"/>
          <w:szCs w:val="32"/>
        </w:rPr>
        <w:t>例，其中免疫相关性肺炎的发生率约在3</w:t>
      </w:r>
      <w:r w:rsidR="00D85C0F">
        <w:rPr>
          <w:rFonts w:ascii="仿宋_GB2312" w:eastAsia="仿宋_GB2312" w:hAnsi="宋体"/>
          <w:sz w:val="32"/>
          <w:szCs w:val="32"/>
        </w:rPr>
        <w:t>%</w:t>
      </w:r>
      <w:r w:rsidR="00D85C0F">
        <w:rPr>
          <w:rFonts w:ascii="仿宋_GB2312" w:eastAsia="仿宋_GB2312" w:hAnsi="宋体" w:hint="eastAsia"/>
          <w:sz w:val="32"/>
          <w:szCs w:val="32"/>
        </w:rPr>
        <w:t>左右，基于对非小细胞肺癌免疫相关性肺炎的处理流程熟练掌握，</w:t>
      </w:r>
      <w:r w:rsidR="00D85C0F" w:rsidRPr="00271A39">
        <w:rPr>
          <w:rFonts w:ascii="仿宋_GB2312" w:eastAsia="仿宋_GB2312" w:hAnsi="宋体" w:hint="eastAsia"/>
          <w:sz w:val="32"/>
          <w:szCs w:val="32"/>
        </w:rPr>
        <w:t>能够做到及时诊治和密切随访，使得绝大部分患者能够平稳度过，目前未发生因免疫相关性肺炎而死亡的比例</w:t>
      </w:r>
      <w:r w:rsidR="00271A39" w:rsidRPr="00271A39">
        <w:rPr>
          <w:rFonts w:ascii="仿宋_GB2312" w:eastAsia="仿宋_GB2312" w:hAnsi="宋体" w:hint="eastAsia"/>
          <w:sz w:val="32"/>
          <w:szCs w:val="32"/>
        </w:rPr>
        <w:t>。</w:t>
      </w:r>
    </w:p>
    <w:p w14:paraId="674360DC" w14:textId="07EE9251" w:rsidR="003C27A6" w:rsidRDefault="003C27A6" w:rsidP="002F74C2">
      <w:pPr>
        <w:jc w:val="center"/>
        <w:outlineLvl w:val="1"/>
        <w:rPr>
          <w:rFonts w:ascii="仿宋_GB2312" w:eastAsia="仿宋_GB2312" w:hAnsi="宋体"/>
          <w:sz w:val="32"/>
          <w:szCs w:val="32"/>
        </w:rPr>
      </w:pPr>
      <w:r w:rsidRPr="003C27A6">
        <w:rPr>
          <w:rFonts w:ascii="仿宋_GB2312" w:eastAsia="仿宋_GB2312" w:hAnsi="宋体"/>
          <w:noProof/>
          <w:sz w:val="32"/>
          <w:szCs w:val="32"/>
        </w:rPr>
        <w:drawing>
          <wp:inline distT="0" distB="0" distL="0" distR="0" wp14:anchorId="2C83FFCA" wp14:editId="33DFC461">
            <wp:extent cx="5471960" cy="3749868"/>
            <wp:effectExtent l="19050" t="19050" r="14605" b="22225"/>
            <wp:docPr id="1966191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5254" cy="3758978"/>
                    </a:xfrm>
                    <a:prstGeom prst="rect">
                      <a:avLst/>
                    </a:prstGeom>
                    <a:noFill/>
                    <a:ln>
                      <a:solidFill>
                        <a:schemeClr val="tx1"/>
                      </a:solidFill>
                    </a:ln>
                  </pic:spPr>
                </pic:pic>
              </a:graphicData>
            </a:graphic>
          </wp:inline>
        </w:drawing>
      </w:r>
    </w:p>
    <w:p w14:paraId="666FD0B7" w14:textId="78ED8B9A" w:rsidR="002F74C2" w:rsidRPr="007B578B" w:rsidRDefault="007B578B" w:rsidP="002F74C2">
      <w:pPr>
        <w:jc w:val="center"/>
        <w:outlineLvl w:val="1"/>
        <w:rPr>
          <w:rFonts w:ascii="楷体" w:eastAsia="楷体" w:hAnsi="楷体"/>
          <w:b/>
          <w:bCs/>
          <w:noProof/>
          <w:sz w:val="28"/>
          <w:szCs w:val="28"/>
        </w:rPr>
      </w:pPr>
      <w:r w:rsidRPr="002F74C2">
        <w:rPr>
          <w:rFonts w:ascii="楷体" w:eastAsia="楷体" w:hAnsi="楷体" w:hint="eastAsia"/>
          <w:b/>
          <w:bCs/>
          <w:noProof/>
          <w:sz w:val="28"/>
          <w:szCs w:val="28"/>
        </w:rPr>
        <w:t>来源：CSCO免疫检查点抑制剂相关的毒性管理指南（2023）</w:t>
      </w:r>
    </w:p>
    <w:p w14:paraId="20A654DD" w14:textId="02F72337" w:rsidR="002F74C2" w:rsidRDefault="002F74C2" w:rsidP="002F74C2">
      <w:pPr>
        <w:jc w:val="center"/>
        <w:outlineLvl w:val="1"/>
        <w:rPr>
          <w:rFonts w:ascii="仿宋_GB2312" w:eastAsia="仿宋_GB2312" w:hAnsi="宋体"/>
          <w:sz w:val="32"/>
          <w:szCs w:val="32"/>
        </w:rPr>
      </w:pPr>
      <w:r w:rsidRPr="002F74C2">
        <w:rPr>
          <w:rFonts w:ascii="仿宋_GB2312" w:eastAsia="仿宋_GB2312" w:hAnsi="宋体"/>
          <w:noProof/>
          <w:sz w:val="32"/>
          <w:szCs w:val="32"/>
        </w:rPr>
        <w:lastRenderedPageBreak/>
        <w:drawing>
          <wp:inline distT="0" distB="0" distL="0" distR="0" wp14:anchorId="25FC8D71" wp14:editId="597530C4">
            <wp:extent cx="5143891" cy="3516375"/>
            <wp:effectExtent l="19050" t="19050" r="19050" b="27305"/>
            <wp:docPr id="10569380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47838" cy="3519073"/>
                    </a:xfrm>
                    <a:prstGeom prst="rect">
                      <a:avLst/>
                    </a:prstGeom>
                    <a:noFill/>
                    <a:ln>
                      <a:solidFill>
                        <a:schemeClr val="tx1"/>
                      </a:solidFill>
                    </a:ln>
                  </pic:spPr>
                </pic:pic>
              </a:graphicData>
            </a:graphic>
          </wp:inline>
        </w:drawing>
      </w:r>
    </w:p>
    <w:p w14:paraId="7D5FECC5" w14:textId="703D9874" w:rsidR="00D16010" w:rsidRDefault="007B578B" w:rsidP="000515EE">
      <w:pPr>
        <w:jc w:val="center"/>
        <w:outlineLvl w:val="1"/>
        <w:rPr>
          <w:rFonts w:ascii="仿宋_GB2312" w:eastAsia="仿宋_GB2312" w:hAnsi="宋体"/>
          <w:sz w:val="32"/>
          <w:szCs w:val="32"/>
        </w:rPr>
      </w:pPr>
      <w:r>
        <w:rPr>
          <w:noProof/>
        </w:rPr>
        <w:drawing>
          <wp:inline distT="0" distB="0" distL="0" distR="0" wp14:anchorId="5F7C2453" wp14:editId="41198990">
            <wp:extent cx="5104530" cy="3510363"/>
            <wp:effectExtent l="19050" t="19050" r="20320" b="13970"/>
            <wp:docPr id="2146152334" name="图片 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图片"/>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10508" cy="3514474"/>
                    </a:xfrm>
                    <a:prstGeom prst="rect">
                      <a:avLst/>
                    </a:prstGeom>
                    <a:noFill/>
                    <a:ln>
                      <a:solidFill>
                        <a:schemeClr val="tx1"/>
                      </a:solidFill>
                    </a:ln>
                  </pic:spPr>
                </pic:pic>
              </a:graphicData>
            </a:graphic>
          </wp:inline>
        </w:drawing>
      </w:r>
    </w:p>
    <w:p w14:paraId="060E86B7" w14:textId="0A3B3C8B" w:rsidR="007B578B" w:rsidRDefault="007B578B" w:rsidP="000515EE">
      <w:pPr>
        <w:jc w:val="center"/>
        <w:outlineLvl w:val="1"/>
        <w:rPr>
          <w:rFonts w:ascii="仿宋_GB2312" w:eastAsia="仿宋_GB2312" w:hAnsi="宋体"/>
          <w:sz w:val="32"/>
          <w:szCs w:val="32"/>
        </w:rPr>
      </w:pPr>
      <w:r w:rsidRPr="002F74C2">
        <w:rPr>
          <w:rFonts w:ascii="楷体" w:eastAsia="楷体" w:hAnsi="楷体" w:hint="eastAsia"/>
          <w:b/>
          <w:bCs/>
          <w:noProof/>
          <w:sz w:val="28"/>
          <w:szCs w:val="28"/>
        </w:rPr>
        <w:t>来源：CSCO免疫检查点抑制剂相关的毒性管理指南（2023）</w:t>
      </w:r>
    </w:p>
    <w:p w14:paraId="44AE4A95" w14:textId="77777777" w:rsidR="007B578B" w:rsidRDefault="007B578B" w:rsidP="007B578B">
      <w:pPr>
        <w:autoSpaceDE w:val="0"/>
        <w:autoSpaceDN w:val="0"/>
        <w:adjustRightInd w:val="0"/>
        <w:jc w:val="center"/>
        <w:rPr>
          <w:rFonts w:ascii="仿宋_GB2312" w:eastAsia="仿宋_GB2312" w:hAnsi="宋体"/>
          <w:b/>
          <w:bCs/>
          <w:color w:val="000000"/>
          <w:szCs w:val="21"/>
        </w:rPr>
      </w:pPr>
      <w:r>
        <w:rPr>
          <w:noProof/>
        </w:rPr>
        <w:lastRenderedPageBreak/>
        <w:drawing>
          <wp:inline distT="0" distB="0" distL="0" distR="0" wp14:anchorId="189C806D" wp14:editId="71FAAAA1">
            <wp:extent cx="5243764" cy="3589068"/>
            <wp:effectExtent l="19050" t="19050" r="14605" b="11430"/>
            <wp:docPr id="11082107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59417" cy="3599781"/>
                    </a:xfrm>
                    <a:prstGeom prst="rect">
                      <a:avLst/>
                    </a:prstGeom>
                    <a:noFill/>
                    <a:ln>
                      <a:solidFill>
                        <a:schemeClr val="tx1"/>
                      </a:solidFill>
                    </a:ln>
                  </pic:spPr>
                </pic:pic>
              </a:graphicData>
            </a:graphic>
          </wp:inline>
        </w:drawing>
      </w:r>
    </w:p>
    <w:p w14:paraId="7DA31FF6" w14:textId="77777777" w:rsidR="007B578B" w:rsidRPr="00F4686C" w:rsidRDefault="007B578B" w:rsidP="007B578B">
      <w:pPr>
        <w:autoSpaceDE w:val="0"/>
        <w:autoSpaceDN w:val="0"/>
        <w:adjustRightInd w:val="0"/>
        <w:jc w:val="center"/>
        <w:rPr>
          <w:rFonts w:ascii="仿宋_GB2312" w:eastAsia="仿宋_GB2312" w:hAnsi="宋体"/>
          <w:b/>
          <w:bCs/>
          <w:color w:val="000000"/>
          <w:szCs w:val="21"/>
        </w:rPr>
      </w:pPr>
      <w:r>
        <w:rPr>
          <w:noProof/>
        </w:rPr>
        <w:drawing>
          <wp:inline distT="0" distB="0" distL="0" distR="0" wp14:anchorId="20D9B502" wp14:editId="5B01D462">
            <wp:extent cx="5274310" cy="3418205"/>
            <wp:effectExtent l="19050" t="19050" r="21590" b="10795"/>
            <wp:docPr id="93642866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3418205"/>
                    </a:xfrm>
                    <a:prstGeom prst="rect">
                      <a:avLst/>
                    </a:prstGeom>
                    <a:noFill/>
                    <a:ln>
                      <a:solidFill>
                        <a:schemeClr val="tx1"/>
                      </a:solidFill>
                    </a:ln>
                  </pic:spPr>
                </pic:pic>
              </a:graphicData>
            </a:graphic>
          </wp:inline>
        </w:drawing>
      </w:r>
    </w:p>
    <w:p w14:paraId="760E2B35" w14:textId="3870D01C" w:rsidR="007B578B" w:rsidRDefault="007B578B" w:rsidP="007B578B">
      <w:pPr>
        <w:jc w:val="center"/>
        <w:outlineLvl w:val="1"/>
        <w:rPr>
          <w:rFonts w:ascii="楷体" w:eastAsia="楷体" w:hAnsi="楷体"/>
          <w:b/>
          <w:bCs/>
          <w:noProof/>
          <w:sz w:val="28"/>
          <w:szCs w:val="28"/>
        </w:rPr>
      </w:pPr>
      <w:r w:rsidRPr="002F74C2">
        <w:rPr>
          <w:rFonts w:ascii="楷体" w:eastAsia="楷体" w:hAnsi="楷体" w:hint="eastAsia"/>
          <w:b/>
          <w:bCs/>
          <w:noProof/>
          <w:sz w:val="28"/>
          <w:szCs w:val="28"/>
        </w:rPr>
        <w:t>来源：CSCO免疫检查点抑制剂相关的毒性管理指南（2023）</w:t>
      </w:r>
    </w:p>
    <w:p w14:paraId="407E8B74" w14:textId="77777777" w:rsidR="003C051E" w:rsidRDefault="003C051E" w:rsidP="003C051E">
      <w:pPr>
        <w:ind w:firstLineChars="200" w:firstLine="643"/>
        <w:outlineLvl w:val="1"/>
        <w:rPr>
          <w:rFonts w:ascii="仿宋_GB2312" w:eastAsia="仿宋_GB2312" w:hAnsi="宋体"/>
          <w:b/>
          <w:bCs/>
          <w:sz w:val="32"/>
          <w:szCs w:val="32"/>
        </w:rPr>
      </w:pPr>
    </w:p>
    <w:p w14:paraId="38E9A9D6" w14:textId="77777777" w:rsidR="003C051E" w:rsidRDefault="003C051E" w:rsidP="003C051E">
      <w:pPr>
        <w:ind w:firstLineChars="200" w:firstLine="643"/>
        <w:outlineLvl w:val="1"/>
        <w:rPr>
          <w:rFonts w:ascii="仿宋_GB2312" w:eastAsia="仿宋_GB2312" w:hAnsi="宋体"/>
          <w:b/>
          <w:bCs/>
          <w:sz w:val="32"/>
          <w:szCs w:val="32"/>
        </w:rPr>
      </w:pPr>
    </w:p>
    <w:p w14:paraId="01B7A8AA" w14:textId="65279028" w:rsidR="00663A35" w:rsidRDefault="00663A35" w:rsidP="003C051E">
      <w:pPr>
        <w:ind w:firstLineChars="200" w:firstLine="643"/>
        <w:outlineLvl w:val="1"/>
        <w:rPr>
          <w:rFonts w:ascii="仿宋_GB2312" w:eastAsia="仿宋_GB2312" w:hAnsi="宋体"/>
          <w:sz w:val="32"/>
          <w:szCs w:val="32"/>
        </w:rPr>
      </w:pPr>
      <w:r w:rsidRPr="00F635D2">
        <w:rPr>
          <w:rFonts w:ascii="仿宋_GB2312" w:eastAsia="仿宋_GB2312" w:hAnsi="宋体" w:hint="eastAsia"/>
          <w:b/>
          <w:bCs/>
          <w:sz w:val="32"/>
          <w:szCs w:val="32"/>
        </w:rPr>
        <w:lastRenderedPageBreak/>
        <w:t>中医治疗</w:t>
      </w:r>
      <w:r>
        <w:rPr>
          <w:rFonts w:ascii="仿宋_GB2312" w:eastAsia="仿宋_GB2312" w:hAnsi="宋体" w:hint="eastAsia"/>
          <w:sz w:val="32"/>
          <w:szCs w:val="32"/>
        </w:rPr>
        <w:t>主要参考</w:t>
      </w:r>
      <w:r w:rsidRPr="006E4D2C">
        <w:rPr>
          <w:rFonts w:ascii="仿宋_GB2312" w:eastAsia="仿宋_GB2312" w:hAnsi="宋体" w:hint="eastAsia"/>
          <w:sz w:val="32"/>
          <w:szCs w:val="32"/>
        </w:rPr>
        <w:t>《中医肿瘤学概论》（许玲、孙建立编著）</w:t>
      </w:r>
      <w:r>
        <w:rPr>
          <w:rFonts w:ascii="仿宋_GB2312" w:eastAsia="仿宋_GB2312" w:hAnsi="宋体" w:hint="eastAsia"/>
          <w:sz w:val="32"/>
          <w:szCs w:val="32"/>
        </w:rPr>
        <w:t>并结合起草单位的实际工作经验来确定，</w:t>
      </w:r>
      <w:r w:rsidR="00D85C0F">
        <w:rPr>
          <w:rFonts w:ascii="仿宋_GB2312" w:eastAsia="仿宋_GB2312" w:hAnsi="宋体" w:hint="eastAsia"/>
          <w:sz w:val="32"/>
          <w:szCs w:val="32"/>
        </w:rPr>
        <w:t>起草单位广西中医药大学肿瘤科</w:t>
      </w:r>
      <w:r w:rsidR="00A53690" w:rsidRPr="00A53690">
        <w:rPr>
          <w:rFonts w:ascii="仿宋_GB2312" w:eastAsia="仿宋_GB2312" w:hAnsi="宋体" w:hint="eastAsia"/>
          <w:sz w:val="32"/>
          <w:szCs w:val="32"/>
        </w:rPr>
        <w:t>是国家临床重点专科，国家中医药管理局重点专科肝癌协作组副组长单位、肺癌协作组成员单位、结直肠癌协作组成员单位，广西中西医结合肿瘤治疗中心</w:t>
      </w:r>
      <w:r w:rsidR="00A53690">
        <w:rPr>
          <w:rFonts w:ascii="仿宋_GB2312" w:eastAsia="仿宋_GB2312" w:hAnsi="宋体" w:hint="eastAsia"/>
          <w:sz w:val="32"/>
          <w:szCs w:val="32"/>
        </w:rPr>
        <w:t>，</w:t>
      </w:r>
      <w:r w:rsidR="006514DF">
        <w:rPr>
          <w:rFonts w:ascii="仿宋_GB2312" w:eastAsia="仿宋_GB2312" w:hAnsi="宋体" w:hint="eastAsia"/>
          <w:sz w:val="32"/>
          <w:szCs w:val="32"/>
        </w:rPr>
        <w:t>多年以来，科室采用</w:t>
      </w:r>
      <w:r w:rsidR="006514DF" w:rsidRPr="006514DF">
        <w:rPr>
          <w:rFonts w:ascii="仿宋_GB2312" w:eastAsia="仿宋_GB2312" w:hAnsi="宋体" w:hint="eastAsia"/>
          <w:sz w:val="32"/>
          <w:szCs w:val="32"/>
        </w:rPr>
        <w:t>中医中药内服及外治、针灸、靶向治疗、免疫治疗等多种治疗手段</w:t>
      </w:r>
      <w:r w:rsidR="006514DF">
        <w:rPr>
          <w:rFonts w:ascii="仿宋_GB2312" w:eastAsia="仿宋_GB2312" w:hAnsi="宋体" w:hint="eastAsia"/>
          <w:sz w:val="32"/>
          <w:szCs w:val="32"/>
        </w:rPr>
        <w:t>，为</w:t>
      </w:r>
      <w:r w:rsidR="003C051E">
        <w:rPr>
          <w:rFonts w:ascii="仿宋_GB2312" w:eastAsia="仿宋_GB2312" w:hAnsi="宋体" w:hint="eastAsia"/>
          <w:sz w:val="32"/>
          <w:szCs w:val="32"/>
        </w:rPr>
        <w:t>众多</w:t>
      </w:r>
      <w:r w:rsidR="006514DF" w:rsidRPr="006514DF">
        <w:rPr>
          <w:rFonts w:ascii="仿宋_GB2312" w:eastAsia="仿宋_GB2312" w:hAnsi="宋体" w:hint="eastAsia"/>
          <w:sz w:val="32"/>
          <w:szCs w:val="32"/>
        </w:rPr>
        <w:t>中晚期非小细胞肺癌</w:t>
      </w:r>
      <w:r w:rsidR="006514DF">
        <w:rPr>
          <w:rFonts w:ascii="仿宋_GB2312" w:eastAsia="仿宋_GB2312" w:hAnsi="宋体" w:hint="eastAsia"/>
          <w:sz w:val="32"/>
          <w:szCs w:val="32"/>
        </w:rPr>
        <w:t>患者开展治疗，在中医治疗中晚期非小细胞肺癌方面具有丰富的经验，</w:t>
      </w:r>
      <w:r w:rsidR="003C051E">
        <w:rPr>
          <w:rFonts w:ascii="仿宋_GB2312" w:eastAsia="仿宋_GB2312" w:hAnsi="宋体" w:hint="eastAsia"/>
          <w:sz w:val="32"/>
          <w:szCs w:val="32"/>
        </w:rPr>
        <w:t>如在发表的《六君子汤联合化疗治疗中晚期NSCLC疗效的Meta分析》中，通过Meta分析系统性评价六君子汤联合化疗对中晚期非小细胞肺癌的影响，通过分析，六君子汤联合化疗能减轻中晚期非小细胞肺癌患者不良反应，改善血清肿瘤标记物、血液学指标，提高患者临床疗效以及患者生存质量等。</w:t>
      </w:r>
      <w:r w:rsidR="003C051E">
        <w:rPr>
          <w:rFonts w:ascii="仿宋_GB2312" w:eastAsia="仿宋_GB2312" w:hAnsi="宋体" w:hint="eastAsia"/>
          <w:sz w:val="32"/>
          <w:szCs w:val="32"/>
        </w:rPr>
        <w:t>因此，</w:t>
      </w:r>
      <w:r w:rsidR="006514DF">
        <w:rPr>
          <w:rFonts w:ascii="仿宋_GB2312" w:eastAsia="仿宋_GB2312" w:hAnsi="宋体" w:hint="eastAsia"/>
          <w:sz w:val="32"/>
          <w:szCs w:val="32"/>
        </w:rPr>
        <w:t>在参考</w:t>
      </w:r>
      <w:r w:rsidR="006514DF" w:rsidRPr="006E4D2C">
        <w:rPr>
          <w:rFonts w:ascii="仿宋_GB2312" w:eastAsia="仿宋_GB2312" w:hAnsi="宋体" w:hint="eastAsia"/>
          <w:sz w:val="32"/>
          <w:szCs w:val="32"/>
        </w:rPr>
        <w:t>《中医肿瘤学概论》（许玲、孙建立编著）</w:t>
      </w:r>
      <w:r w:rsidR="006514DF">
        <w:rPr>
          <w:rFonts w:ascii="仿宋_GB2312" w:eastAsia="仿宋_GB2312" w:hAnsi="宋体" w:hint="eastAsia"/>
          <w:sz w:val="32"/>
          <w:szCs w:val="32"/>
        </w:rPr>
        <w:t>的基础上，结合实际经验在药方上进行了调整，给出了阴虚内热证、</w:t>
      </w:r>
      <w:r w:rsidR="006514DF" w:rsidRPr="009F4E23">
        <w:rPr>
          <w:rFonts w:ascii="仿宋_GB2312" w:eastAsia="仿宋_GB2312" w:hAnsi="宋体" w:hint="eastAsia"/>
          <w:sz w:val="32"/>
          <w:szCs w:val="32"/>
        </w:rPr>
        <w:t>脾虚痰湿证</w:t>
      </w:r>
      <w:r w:rsidR="006514DF">
        <w:rPr>
          <w:rFonts w:ascii="仿宋_GB2312" w:eastAsia="仿宋_GB2312" w:hAnsi="宋体" w:hint="eastAsia"/>
          <w:sz w:val="32"/>
          <w:szCs w:val="32"/>
        </w:rPr>
        <w:t>、</w:t>
      </w:r>
      <w:r w:rsidR="006514DF" w:rsidRPr="009F4E23">
        <w:rPr>
          <w:rFonts w:ascii="仿宋_GB2312" w:eastAsia="仿宋_GB2312" w:hAnsi="宋体" w:hint="eastAsia"/>
          <w:sz w:val="32"/>
          <w:szCs w:val="32"/>
        </w:rPr>
        <w:t>气</w:t>
      </w:r>
      <w:r w:rsidR="006514DF" w:rsidRPr="009F4E23">
        <w:rPr>
          <w:rFonts w:ascii="仿宋_GB2312" w:eastAsia="仿宋_GB2312" w:hAnsi="宋体"/>
          <w:sz w:val="32"/>
          <w:szCs w:val="32"/>
        </w:rPr>
        <w:t>滞血瘀证</w:t>
      </w:r>
      <w:r w:rsidR="006514DF" w:rsidRPr="009F4E23">
        <w:rPr>
          <w:rFonts w:ascii="仿宋_GB2312" w:eastAsia="仿宋_GB2312" w:hAnsi="宋体" w:hint="eastAsia"/>
          <w:sz w:val="32"/>
          <w:szCs w:val="32"/>
        </w:rPr>
        <w:t>、气阴两虚证、阴阳两虚证、脾肾两虚证</w:t>
      </w:r>
      <w:r w:rsidR="006514DF">
        <w:rPr>
          <w:rFonts w:ascii="仿宋_GB2312" w:eastAsia="仿宋_GB2312" w:hAnsi="宋体" w:hint="eastAsia"/>
          <w:sz w:val="32"/>
          <w:szCs w:val="32"/>
        </w:rPr>
        <w:t>等6</w:t>
      </w:r>
      <w:r w:rsidR="0064569A">
        <w:rPr>
          <w:rFonts w:ascii="仿宋_GB2312" w:eastAsia="仿宋_GB2312" w:hAnsi="宋体" w:hint="eastAsia"/>
          <w:sz w:val="32"/>
          <w:szCs w:val="32"/>
        </w:rPr>
        <w:t>种证型的方药组成</w:t>
      </w:r>
      <w:r w:rsidR="003C051E">
        <w:rPr>
          <w:rFonts w:ascii="仿宋_GB2312" w:eastAsia="仿宋_GB2312" w:hAnsi="宋体" w:hint="eastAsia"/>
          <w:sz w:val="32"/>
          <w:szCs w:val="32"/>
        </w:rPr>
        <w:t>。</w:t>
      </w:r>
    </w:p>
    <w:p w14:paraId="599A801A" w14:textId="21A26582" w:rsidR="0064569A" w:rsidRDefault="0064569A" w:rsidP="0064569A">
      <w:pPr>
        <w:jc w:val="center"/>
        <w:outlineLvl w:val="1"/>
        <w:rPr>
          <w:rFonts w:ascii="仿宋_GB2312" w:eastAsia="仿宋_GB2312" w:hAnsi="宋体"/>
          <w:sz w:val="32"/>
          <w:szCs w:val="32"/>
        </w:rPr>
      </w:pPr>
      <w:r>
        <w:rPr>
          <w:noProof/>
        </w:rPr>
        <w:lastRenderedPageBreak/>
        <w:drawing>
          <wp:inline distT="0" distB="0" distL="0" distR="0" wp14:anchorId="6C7C98FE" wp14:editId="022E21F7">
            <wp:extent cx="5688330" cy="4097020"/>
            <wp:effectExtent l="0" t="0" r="7620" b="0"/>
            <wp:docPr id="18093390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339014" name=""/>
                    <pic:cNvPicPr/>
                  </pic:nvPicPr>
                  <pic:blipFill>
                    <a:blip r:embed="rId22"/>
                    <a:stretch>
                      <a:fillRect/>
                    </a:stretch>
                  </pic:blipFill>
                  <pic:spPr>
                    <a:xfrm>
                      <a:off x="0" y="0"/>
                      <a:ext cx="5688330" cy="4097020"/>
                    </a:xfrm>
                    <a:prstGeom prst="rect">
                      <a:avLst/>
                    </a:prstGeom>
                  </pic:spPr>
                </pic:pic>
              </a:graphicData>
            </a:graphic>
          </wp:inline>
        </w:drawing>
      </w:r>
    </w:p>
    <w:p w14:paraId="587477A1" w14:textId="2104AA20" w:rsidR="0064569A" w:rsidRDefault="0064569A" w:rsidP="0064569A">
      <w:pPr>
        <w:jc w:val="center"/>
        <w:outlineLvl w:val="1"/>
        <w:rPr>
          <w:rFonts w:ascii="仿宋_GB2312" w:eastAsia="仿宋_GB2312" w:hAnsi="宋体"/>
          <w:sz w:val="32"/>
          <w:szCs w:val="32"/>
        </w:rPr>
      </w:pPr>
      <w:r>
        <w:rPr>
          <w:noProof/>
        </w:rPr>
        <w:drawing>
          <wp:inline distT="0" distB="0" distL="0" distR="0" wp14:anchorId="0967E713" wp14:editId="530EE12D">
            <wp:extent cx="5688330" cy="4025900"/>
            <wp:effectExtent l="0" t="0" r="7620" b="0"/>
            <wp:docPr id="7265720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8330" cy="4025900"/>
                    </a:xfrm>
                    <a:prstGeom prst="rect">
                      <a:avLst/>
                    </a:prstGeom>
                    <a:noFill/>
                    <a:ln>
                      <a:noFill/>
                    </a:ln>
                  </pic:spPr>
                </pic:pic>
              </a:graphicData>
            </a:graphic>
          </wp:inline>
        </w:drawing>
      </w:r>
    </w:p>
    <w:p w14:paraId="4AFF5AA7" w14:textId="41458804" w:rsidR="004B11F1" w:rsidRDefault="004B11F1" w:rsidP="0064569A">
      <w:pPr>
        <w:jc w:val="center"/>
        <w:outlineLvl w:val="1"/>
        <w:rPr>
          <w:rFonts w:ascii="仿宋_GB2312" w:eastAsia="仿宋_GB2312" w:hAnsi="宋体"/>
          <w:sz w:val="32"/>
          <w:szCs w:val="32"/>
        </w:rPr>
      </w:pPr>
      <w:r w:rsidRPr="0064569A">
        <w:rPr>
          <w:rFonts w:ascii="楷体" w:eastAsia="楷体" w:hAnsi="楷体" w:hint="eastAsia"/>
          <w:b/>
          <w:bCs/>
          <w:noProof/>
          <w:sz w:val="28"/>
          <w:szCs w:val="28"/>
        </w:rPr>
        <w:t>来源：《中医肿瘤学概论》（许玲、孙建立编著）</w:t>
      </w:r>
    </w:p>
    <w:p w14:paraId="6CDB551B" w14:textId="6B684905" w:rsidR="0064569A" w:rsidRDefault="0064569A" w:rsidP="0064569A">
      <w:pPr>
        <w:jc w:val="center"/>
        <w:outlineLvl w:val="1"/>
        <w:rPr>
          <w:rFonts w:ascii="仿宋_GB2312" w:eastAsia="仿宋_GB2312" w:hAnsi="宋体"/>
          <w:sz w:val="32"/>
          <w:szCs w:val="32"/>
        </w:rPr>
      </w:pPr>
      <w:r>
        <w:rPr>
          <w:noProof/>
        </w:rPr>
        <w:lastRenderedPageBreak/>
        <w:drawing>
          <wp:inline distT="0" distB="0" distL="0" distR="0" wp14:anchorId="7FE60AD6" wp14:editId="33E275BC">
            <wp:extent cx="5688330" cy="3750310"/>
            <wp:effectExtent l="0" t="0" r="7620" b="2540"/>
            <wp:docPr id="7526387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638729" name=""/>
                    <pic:cNvPicPr/>
                  </pic:nvPicPr>
                  <pic:blipFill>
                    <a:blip r:embed="rId24"/>
                    <a:stretch>
                      <a:fillRect/>
                    </a:stretch>
                  </pic:blipFill>
                  <pic:spPr>
                    <a:xfrm>
                      <a:off x="0" y="0"/>
                      <a:ext cx="5688330" cy="3750310"/>
                    </a:xfrm>
                    <a:prstGeom prst="rect">
                      <a:avLst/>
                    </a:prstGeom>
                  </pic:spPr>
                </pic:pic>
              </a:graphicData>
            </a:graphic>
          </wp:inline>
        </w:drawing>
      </w:r>
    </w:p>
    <w:p w14:paraId="43B3AD70" w14:textId="095D712D" w:rsidR="0064569A" w:rsidRDefault="0064569A" w:rsidP="0064569A">
      <w:pPr>
        <w:jc w:val="center"/>
        <w:outlineLvl w:val="1"/>
        <w:rPr>
          <w:rFonts w:ascii="仿宋_GB2312" w:eastAsia="仿宋_GB2312" w:hAnsi="宋体"/>
          <w:sz w:val="32"/>
          <w:szCs w:val="32"/>
        </w:rPr>
      </w:pPr>
      <w:r>
        <w:rPr>
          <w:noProof/>
        </w:rPr>
        <w:drawing>
          <wp:inline distT="0" distB="0" distL="0" distR="0" wp14:anchorId="79DE16C6" wp14:editId="7F22BC77">
            <wp:extent cx="5688330" cy="3681730"/>
            <wp:effectExtent l="0" t="0" r="7620" b="0"/>
            <wp:docPr id="17942721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272175" name=""/>
                    <pic:cNvPicPr/>
                  </pic:nvPicPr>
                  <pic:blipFill>
                    <a:blip r:embed="rId25"/>
                    <a:stretch>
                      <a:fillRect/>
                    </a:stretch>
                  </pic:blipFill>
                  <pic:spPr>
                    <a:xfrm>
                      <a:off x="0" y="0"/>
                      <a:ext cx="5688330" cy="3681730"/>
                    </a:xfrm>
                    <a:prstGeom prst="rect">
                      <a:avLst/>
                    </a:prstGeom>
                  </pic:spPr>
                </pic:pic>
              </a:graphicData>
            </a:graphic>
          </wp:inline>
        </w:drawing>
      </w:r>
    </w:p>
    <w:p w14:paraId="60CB7875" w14:textId="78D8F84F" w:rsidR="004B11F1" w:rsidRDefault="004B11F1" w:rsidP="0064569A">
      <w:pPr>
        <w:jc w:val="center"/>
        <w:outlineLvl w:val="1"/>
        <w:rPr>
          <w:rFonts w:ascii="仿宋_GB2312" w:eastAsia="仿宋_GB2312" w:hAnsi="宋体"/>
          <w:sz w:val="32"/>
          <w:szCs w:val="32"/>
        </w:rPr>
      </w:pPr>
      <w:r w:rsidRPr="0064569A">
        <w:rPr>
          <w:rFonts w:ascii="楷体" w:eastAsia="楷体" w:hAnsi="楷体" w:hint="eastAsia"/>
          <w:b/>
          <w:bCs/>
          <w:noProof/>
          <w:sz w:val="28"/>
          <w:szCs w:val="28"/>
        </w:rPr>
        <w:t>来源：《中医肿瘤学概论》（许玲、孙建立编著）</w:t>
      </w:r>
    </w:p>
    <w:p w14:paraId="423485C3" w14:textId="561F2380" w:rsidR="0064569A" w:rsidRDefault="0064569A" w:rsidP="0064569A">
      <w:pPr>
        <w:jc w:val="center"/>
        <w:outlineLvl w:val="1"/>
        <w:rPr>
          <w:rFonts w:ascii="仿宋_GB2312" w:eastAsia="仿宋_GB2312" w:hAnsi="宋体"/>
          <w:sz w:val="32"/>
          <w:szCs w:val="32"/>
        </w:rPr>
      </w:pPr>
      <w:r>
        <w:rPr>
          <w:noProof/>
        </w:rPr>
        <w:lastRenderedPageBreak/>
        <w:drawing>
          <wp:inline distT="0" distB="0" distL="0" distR="0" wp14:anchorId="7744830C" wp14:editId="2D8A5BCA">
            <wp:extent cx="5688330" cy="4090670"/>
            <wp:effectExtent l="0" t="0" r="7620" b="5080"/>
            <wp:docPr id="2518782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88330" cy="4090670"/>
                    </a:xfrm>
                    <a:prstGeom prst="rect">
                      <a:avLst/>
                    </a:prstGeom>
                    <a:noFill/>
                    <a:ln>
                      <a:noFill/>
                    </a:ln>
                  </pic:spPr>
                </pic:pic>
              </a:graphicData>
            </a:graphic>
          </wp:inline>
        </w:drawing>
      </w:r>
    </w:p>
    <w:p w14:paraId="278CA789" w14:textId="36BADB1F" w:rsidR="0064569A" w:rsidRDefault="0064569A" w:rsidP="0064569A">
      <w:pPr>
        <w:jc w:val="center"/>
        <w:outlineLvl w:val="1"/>
        <w:rPr>
          <w:rFonts w:ascii="仿宋_GB2312" w:eastAsia="仿宋_GB2312" w:hAnsi="宋体"/>
          <w:sz w:val="32"/>
          <w:szCs w:val="32"/>
        </w:rPr>
      </w:pPr>
      <w:r>
        <w:rPr>
          <w:noProof/>
        </w:rPr>
        <w:drawing>
          <wp:inline distT="0" distB="0" distL="0" distR="0" wp14:anchorId="480C222C" wp14:editId="71C3462E">
            <wp:extent cx="5688330" cy="3415665"/>
            <wp:effectExtent l="0" t="0" r="7620" b="0"/>
            <wp:docPr id="11995837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583756" name=""/>
                    <pic:cNvPicPr/>
                  </pic:nvPicPr>
                  <pic:blipFill>
                    <a:blip r:embed="rId27"/>
                    <a:stretch>
                      <a:fillRect/>
                    </a:stretch>
                  </pic:blipFill>
                  <pic:spPr>
                    <a:xfrm>
                      <a:off x="0" y="0"/>
                      <a:ext cx="5688330" cy="3415665"/>
                    </a:xfrm>
                    <a:prstGeom prst="rect">
                      <a:avLst/>
                    </a:prstGeom>
                  </pic:spPr>
                </pic:pic>
              </a:graphicData>
            </a:graphic>
          </wp:inline>
        </w:drawing>
      </w:r>
    </w:p>
    <w:p w14:paraId="397507CF" w14:textId="147FD63E" w:rsidR="004B11F1" w:rsidRDefault="004B11F1" w:rsidP="0064569A">
      <w:pPr>
        <w:jc w:val="center"/>
        <w:outlineLvl w:val="1"/>
        <w:rPr>
          <w:rFonts w:ascii="楷体" w:eastAsia="楷体" w:hAnsi="楷体"/>
          <w:b/>
          <w:bCs/>
          <w:noProof/>
          <w:sz w:val="28"/>
          <w:szCs w:val="28"/>
        </w:rPr>
      </w:pPr>
      <w:r w:rsidRPr="0064569A">
        <w:rPr>
          <w:rFonts w:ascii="楷体" w:eastAsia="楷体" w:hAnsi="楷体" w:hint="eastAsia"/>
          <w:b/>
          <w:bCs/>
          <w:noProof/>
          <w:sz w:val="28"/>
          <w:szCs w:val="28"/>
        </w:rPr>
        <w:t>来源：《中医肿瘤学概论》（许玲、孙建立编著）</w:t>
      </w:r>
    </w:p>
    <w:p w14:paraId="074AC91E" w14:textId="5994506E" w:rsidR="004B11F1" w:rsidRDefault="004B11F1" w:rsidP="0064569A">
      <w:pPr>
        <w:jc w:val="center"/>
        <w:outlineLvl w:val="1"/>
        <w:rPr>
          <w:rFonts w:ascii="仿宋_GB2312" w:eastAsia="仿宋_GB2312" w:hAnsi="宋体"/>
          <w:sz w:val="32"/>
          <w:szCs w:val="32"/>
        </w:rPr>
      </w:pPr>
      <w:r>
        <w:rPr>
          <w:noProof/>
        </w:rPr>
        <w:lastRenderedPageBreak/>
        <w:drawing>
          <wp:inline distT="0" distB="0" distL="0" distR="0" wp14:anchorId="347CE7E0" wp14:editId="394650BE">
            <wp:extent cx="5688330" cy="4425950"/>
            <wp:effectExtent l="19050" t="19050" r="26670" b="12700"/>
            <wp:docPr id="20274957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495787" name=""/>
                    <pic:cNvPicPr/>
                  </pic:nvPicPr>
                  <pic:blipFill>
                    <a:blip r:embed="rId28"/>
                    <a:stretch>
                      <a:fillRect/>
                    </a:stretch>
                  </pic:blipFill>
                  <pic:spPr>
                    <a:xfrm>
                      <a:off x="0" y="0"/>
                      <a:ext cx="5688330" cy="4425950"/>
                    </a:xfrm>
                    <a:prstGeom prst="rect">
                      <a:avLst/>
                    </a:prstGeom>
                    <a:ln>
                      <a:solidFill>
                        <a:schemeClr val="tx1"/>
                      </a:solidFill>
                    </a:ln>
                  </pic:spPr>
                </pic:pic>
              </a:graphicData>
            </a:graphic>
          </wp:inline>
        </w:drawing>
      </w:r>
    </w:p>
    <w:p w14:paraId="29DE69C6" w14:textId="34BCC5F4" w:rsidR="004B11F1" w:rsidRPr="004B11F1" w:rsidRDefault="004B11F1" w:rsidP="004B11F1">
      <w:pPr>
        <w:jc w:val="center"/>
        <w:outlineLvl w:val="1"/>
        <w:rPr>
          <w:rFonts w:ascii="楷体" w:eastAsia="楷体" w:hAnsi="楷体"/>
          <w:b/>
          <w:bCs/>
          <w:noProof/>
          <w:sz w:val="28"/>
          <w:szCs w:val="28"/>
        </w:rPr>
      </w:pPr>
      <w:r w:rsidRPr="004B11F1">
        <w:rPr>
          <w:rFonts w:ascii="楷体" w:eastAsia="楷体" w:hAnsi="楷体" w:hint="eastAsia"/>
          <w:b/>
          <w:bCs/>
          <w:noProof/>
          <w:sz w:val="28"/>
          <w:szCs w:val="28"/>
        </w:rPr>
        <w:t>来源：《六君子汤联合化疗治疗中晚期NSCLC疗效的Meta分析》</w:t>
      </w:r>
    </w:p>
    <w:p w14:paraId="5AD7E5DC" w14:textId="77777777" w:rsidR="009C746D" w:rsidRDefault="00C1003B" w:rsidP="00145245">
      <w:pPr>
        <w:spacing w:beforeLines="20" w:before="62" w:afterLines="20" w:after="62"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t>六、国内外同类标准制修订情况及与法律法规、强制性标准关系</w:t>
      </w:r>
    </w:p>
    <w:p w14:paraId="279A06A9" w14:textId="6F9D4198" w:rsidR="009C746D" w:rsidRDefault="00C1003B">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sz w:val="32"/>
          <w:szCs w:val="32"/>
        </w:rPr>
        <w:t>经查新，</w:t>
      </w:r>
      <w:r w:rsidR="001246F5" w:rsidRPr="001246F5">
        <w:rPr>
          <w:rFonts w:ascii="仿宋_GB2312" w:eastAsia="仿宋_GB2312" w:hAnsi="宋体" w:hint="eastAsia"/>
          <w:sz w:val="32"/>
          <w:szCs w:val="32"/>
        </w:rPr>
        <w:t>目前国内与</w:t>
      </w:r>
      <w:r w:rsidR="007B578B" w:rsidRPr="007B578B">
        <w:rPr>
          <w:rFonts w:ascii="仿宋_GB2312" w:eastAsia="仿宋_GB2312" w:hAnsi="宋体" w:hint="eastAsia"/>
          <w:sz w:val="32"/>
          <w:szCs w:val="32"/>
        </w:rPr>
        <w:t>晚期驱动基因阴性非小细胞肺癌免疫相关性肺炎处理</w:t>
      </w:r>
      <w:r w:rsidR="001246F5" w:rsidRPr="001246F5">
        <w:rPr>
          <w:rFonts w:ascii="仿宋_GB2312" w:eastAsia="仿宋_GB2312" w:hAnsi="宋体" w:hint="eastAsia"/>
          <w:sz w:val="32"/>
          <w:szCs w:val="32"/>
        </w:rPr>
        <w:t>有关的国家标准、行业标准、地方标准</w:t>
      </w:r>
      <w:r w:rsidR="00B52A2D">
        <w:rPr>
          <w:rFonts w:ascii="仿宋_GB2312" w:eastAsia="仿宋_GB2312" w:hAnsi="宋体" w:hint="eastAsia"/>
          <w:sz w:val="32"/>
          <w:szCs w:val="32"/>
        </w:rPr>
        <w:t>有</w:t>
      </w:r>
      <w:r w:rsidR="006D0501" w:rsidRPr="006D0501">
        <w:rPr>
          <w:rFonts w:ascii="仿宋_GB2312" w:eastAsia="仿宋_GB2312" w:hAnsi="宋体" w:hint="eastAsia"/>
          <w:sz w:val="32"/>
          <w:szCs w:val="32"/>
        </w:rPr>
        <w:t>T/CAIM 024-2021《肺癌（非小细胞型）中西医结合诊疗专家共识》，主要是针对肺癌（非小细胞型）的发病机制与病因病机、诊断要点、中西医结合诊疗的基本指导原则、治疗方法和具体用药推荐，与晚期驱动基因阴性非小细胞肺癌免疫相关性肺炎处理无关，且目前尚未制定有团体标准《晚期驱动基因阴性非小细胞肺癌免疫相关性肺炎处理规范》。</w:t>
      </w:r>
    </w:p>
    <w:p w14:paraId="5AFE3DC9" w14:textId="77777777"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本标准的内容与现行的法律、法规及强制性标准无冲突，标准的编写符合</w:t>
      </w:r>
      <w:r>
        <w:rPr>
          <w:rFonts w:eastAsia="仿宋_GB2312"/>
          <w:sz w:val="32"/>
          <w:szCs w:val="32"/>
        </w:rPr>
        <w:t>GB/T 1.1—2020</w:t>
      </w:r>
      <w:r>
        <w:rPr>
          <w:rFonts w:ascii="仿宋_GB2312" w:eastAsia="仿宋_GB2312" w:hAnsi="宋体" w:hint="eastAsia"/>
          <w:sz w:val="32"/>
          <w:szCs w:val="32"/>
        </w:rPr>
        <w:t>的要求。</w:t>
      </w:r>
    </w:p>
    <w:p w14:paraId="6695314B" w14:textId="77777777" w:rsidR="009C746D" w:rsidRDefault="00C1003B" w:rsidP="00145245">
      <w:pPr>
        <w:autoSpaceDE w:val="0"/>
        <w:autoSpaceDN w:val="0"/>
        <w:adjustRightInd w:val="0"/>
        <w:spacing w:beforeLines="20" w:before="62" w:afterLines="20" w:after="62"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七、重大分歧意见的处理经过和依据</w:t>
      </w:r>
    </w:p>
    <w:p w14:paraId="0490EBF5" w14:textId="77777777" w:rsidR="009C746D" w:rsidRDefault="00C1003B" w:rsidP="00145245">
      <w:pPr>
        <w:spacing w:beforeLines="20" w:before="62" w:afterLines="20" w:after="62"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本标准研制过程中无重大分歧意见。</w:t>
      </w:r>
    </w:p>
    <w:p w14:paraId="46B8C416" w14:textId="77777777" w:rsidR="009C746D" w:rsidRDefault="00C1003B" w:rsidP="00145245">
      <w:pPr>
        <w:spacing w:beforeLines="20" w:before="62" w:afterLines="20" w:after="62"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t>八、自我承诺</w:t>
      </w:r>
    </w:p>
    <w:p w14:paraId="39474EAB" w14:textId="03138B0E" w:rsidR="009C746D" w:rsidRDefault="00C1003B" w:rsidP="00145245">
      <w:pPr>
        <w:spacing w:beforeLines="20" w:before="62" w:afterLines="20" w:after="62"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本标准内容与各项指标不低于强制性标准要求。</w:t>
      </w:r>
    </w:p>
    <w:p w14:paraId="1FCA3D1A" w14:textId="77777777" w:rsidR="006D0501" w:rsidRDefault="006D0501" w:rsidP="00145245">
      <w:pPr>
        <w:spacing w:beforeLines="20" w:before="62" w:afterLines="20" w:after="62" w:line="560" w:lineRule="exact"/>
        <w:ind w:firstLineChars="200" w:firstLine="640"/>
        <w:rPr>
          <w:rFonts w:ascii="仿宋_GB2312" w:eastAsia="仿宋_GB2312" w:hAnsi="宋体"/>
          <w:sz w:val="32"/>
          <w:szCs w:val="32"/>
        </w:rPr>
      </w:pPr>
    </w:p>
    <w:p w14:paraId="2F073B2A" w14:textId="77777777" w:rsidR="006D0501" w:rsidRDefault="00C1003B" w:rsidP="006D0501">
      <w:pPr>
        <w:spacing w:line="520" w:lineRule="exact"/>
        <w:ind w:firstLineChars="500" w:firstLine="1600"/>
        <w:rPr>
          <w:rFonts w:ascii="仿宋_GB2312" w:eastAsia="仿宋_GB2312" w:hAnsi="宋体"/>
          <w:sz w:val="32"/>
          <w:szCs w:val="32"/>
        </w:rPr>
      </w:pPr>
      <w:r>
        <w:rPr>
          <w:rFonts w:ascii="仿宋_GB2312" w:eastAsia="仿宋_GB2312" w:hAnsi="宋体" w:hint="eastAsia"/>
          <w:sz w:val="32"/>
          <w:szCs w:val="32"/>
        </w:rPr>
        <w:t>团体标准《</w:t>
      </w:r>
      <w:r w:rsidR="006D0501" w:rsidRPr="006D0501">
        <w:rPr>
          <w:rFonts w:ascii="仿宋_GB2312" w:eastAsia="仿宋_GB2312" w:hAnsi="宋体" w:hint="eastAsia"/>
          <w:sz w:val="32"/>
          <w:szCs w:val="32"/>
        </w:rPr>
        <w:t>晚期驱动基因阴性非小细胞肺癌免疫</w:t>
      </w:r>
    </w:p>
    <w:p w14:paraId="4DE4B68C" w14:textId="3D1A24EC" w:rsidR="009C746D" w:rsidRDefault="006D0501" w:rsidP="006D0501">
      <w:pPr>
        <w:spacing w:line="520" w:lineRule="exact"/>
        <w:ind w:firstLineChars="700" w:firstLine="2240"/>
        <w:rPr>
          <w:rFonts w:ascii="仿宋_GB2312" w:eastAsia="仿宋_GB2312" w:hAnsi="宋体"/>
          <w:sz w:val="32"/>
          <w:szCs w:val="32"/>
        </w:rPr>
      </w:pPr>
      <w:r w:rsidRPr="006D0501">
        <w:rPr>
          <w:rFonts w:ascii="仿宋_GB2312" w:eastAsia="仿宋_GB2312" w:hAnsi="宋体" w:hint="eastAsia"/>
          <w:sz w:val="32"/>
          <w:szCs w:val="32"/>
        </w:rPr>
        <w:t>相关性肺炎处理</w:t>
      </w:r>
      <w:r>
        <w:rPr>
          <w:rFonts w:ascii="仿宋_GB2312" w:eastAsia="仿宋_GB2312" w:hAnsi="宋体" w:hint="eastAsia"/>
          <w:sz w:val="32"/>
          <w:szCs w:val="32"/>
        </w:rPr>
        <w:t>规范</w:t>
      </w:r>
      <w:r w:rsidR="00C1003B">
        <w:rPr>
          <w:rFonts w:ascii="仿宋_GB2312" w:eastAsia="仿宋_GB2312" w:hAnsi="宋体" w:hint="eastAsia"/>
          <w:sz w:val="32"/>
          <w:szCs w:val="32"/>
        </w:rPr>
        <w:t>》标准编制工作组</w:t>
      </w:r>
    </w:p>
    <w:p w14:paraId="5A3BFEB0" w14:textId="748CD9AB" w:rsidR="009C746D" w:rsidRDefault="00C1003B">
      <w:pPr>
        <w:spacing w:line="52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             </w:t>
      </w:r>
      <w:r w:rsidR="00A1476A">
        <w:rPr>
          <w:rFonts w:ascii="仿宋_GB2312" w:eastAsia="仿宋_GB2312" w:hAnsi="宋体"/>
          <w:sz w:val="32"/>
          <w:szCs w:val="32"/>
        </w:rPr>
        <w:t xml:space="preserve">  </w:t>
      </w:r>
      <w:r w:rsidR="006D0501">
        <w:rPr>
          <w:rFonts w:ascii="仿宋_GB2312" w:eastAsia="仿宋_GB2312" w:hAnsi="宋体"/>
          <w:sz w:val="32"/>
          <w:szCs w:val="32"/>
        </w:rPr>
        <w:t xml:space="preserve">    </w:t>
      </w:r>
      <w:r>
        <w:rPr>
          <w:rFonts w:ascii="仿宋_GB2312" w:eastAsia="仿宋_GB2312" w:hAnsi="宋体" w:hint="eastAsia"/>
          <w:sz w:val="32"/>
          <w:szCs w:val="32"/>
        </w:rPr>
        <w:t xml:space="preserve"> 202</w:t>
      </w:r>
      <w:r w:rsidR="006D0501">
        <w:rPr>
          <w:rFonts w:ascii="仿宋_GB2312" w:eastAsia="仿宋_GB2312" w:hAnsi="宋体"/>
          <w:sz w:val="32"/>
          <w:szCs w:val="32"/>
        </w:rPr>
        <w:t>4</w:t>
      </w:r>
      <w:r>
        <w:rPr>
          <w:rFonts w:ascii="仿宋_GB2312" w:eastAsia="仿宋_GB2312" w:hAnsi="宋体" w:hint="eastAsia"/>
          <w:sz w:val="32"/>
          <w:szCs w:val="32"/>
        </w:rPr>
        <w:t>年</w:t>
      </w:r>
      <w:r w:rsidR="0064569A">
        <w:rPr>
          <w:rFonts w:ascii="仿宋_GB2312" w:eastAsia="仿宋_GB2312" w:hAnsi="宋体"/>
          <w:sz w:val="32"/>
          <w:szCs w:val="32"/>
        </w:rPr>
        <w:t>6</w:t>
      </w:r>
      <w:r>
        <w:rPr>
          <w:rFonts w:ascii="仿宋_GB2312" w:eastAsia="仿宋_GB2312" w:hAnsi="宋体" w:hint="eastAsia"/>
          <w:sz w:val="32"/>
          <w:szCs w:val="32"/>
        </w:rPr>
        <w:t>月</w:t>
      </w:r>
      <w:r w:rsidR="0064569A">
        <w:rPr>
          <w:rFonts w:ascii="仿宋_GB2312" w:eastAsia="仿宋_GB2312" w:hAnsi="宋体"/>
          <w:sz w:val="32"/>
          <w:szCs w:val="32"/>
        </w:rPr>
        <w:t>28</w:t>
      </w:r>
      <w:r>
        <w:rPr>
          <w:rFonts w:ascii="仿宋_GB2312" w:eastAsia="仿宋_GB2312" w:hAnsi="宋体" w:hint="eastAsia"/>
          <w:sz w:val="32"/>
          <w:szCs w:val="32"/>
        </w:rPr>
        <w:t>日</w:t>
      </w:r>
    </w:p>
    <w:sectPr w:rsidR="009C746D" w:rsidSect="007D69EF">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66F4C9" w14:textId="77777777" w:rsidR="004F5FB0" w:rsidRDefault="004F5FB0" w:rsidP="00A03C65">
      <w:r>
        <w:separator/>
      </w:r>
    </w:p>
  </w:endnote>
  <w:endnote w:type="continuationSeparator" w:id="0">
    <w:p w14:paraId="3CE95AC5" w14:textId="77777777" w:rsidR="004F5FB0" w:rsidRDefault="004F5FB0" w:rsidP="00A03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方正小标宋简体">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楷体_GB2312">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A6C8B7" w14:textId="77777777" w:rsidR="004F5FB0" w:rsidRDefault="004F5FB0" w:rsidP="00A03C65">
      <w:r>
        <w:separator/>
      </w:r>
    </w:p>
  </w:footnote>
  <w:footnote w:type="continuationSeparator" w:id="0">
    <w:p w14:paraId="590A64DC" w14:textId="77777777" w:rsidR="004F5FB0" w:rsidRDefault="004F5FB0" w:rsidP="00A03C6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2AB0A94"/>
    <w:multiLevelType w:val="singleLevel"/>
    <w:tmpl w:val="D2AB0A94"/>
    <w:lvl w:ilvl="0">
      <w:start w:val="4"/>
      <w:numFmt w:val="chineseCounting"/>
      <w:suff w:val="nothing"/>
      <w:lvlText w:val="（%1）"/>
      <w:lvlJc w:val="left"/>
      <w:rPr>
        <w:rFonts w:hint="eastAsia"/>
      </w:rPr>
    </w:lvl>
  </w:abstractNum>
  <w:abstractNum w:abstractNumId="1" w15:restartNumberingAfterBreak="0">
    <w:nsid w:val="25573AFE"/>
    <w:multiLevelType w:val="hybridMultilevel"/>
    <w:tmpl w:val="598E0C94"/>
    <w:lvl w:ilvl="0" w:tplc="EA1CE2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3" w15:restartNumberingAfterBreak="0">
    <w:nsid w:val="4D0BB53B"/>
    <w:multiLevelType w:val="singleLevel"/>
    <w:tmpl w:val="4D0BB53B"/>
    <w:lvl w:ilvl="0">
      <w:start w:val="5"/>
      <w:numFmt w:val="chineseCounting"/>
      <w:suff w:val="nothing"/>
      <w:lvlText w:val="%1、"/>
      <w:lvlJc w:val="left"/>
      <w:rPr>
        <w:rFonts w:hint="eastAsia"/>
      </w:rPr>
    </w:lvl>
  </w:abstractNum>
  <w:num w:numId="1" w16cid:durableId="468206994">
    <w:abstractNumId w:val="2"/>
  </w:num>
  <w:num w:numId="2" w16cid:durableId="1156645367">
    <w:abstractNumId w:val="0"/>
  </w:num>
  <w:num w:numId="3" w16cid:durableId="340354531">
    <w:abstractNumId w:val="3"/>
  </w:num>
  <w:num w:numId="4" w16cid:durableId="74903716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3"/>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jcwMzBhNDA5MWZkNjNjNjFjNmFkMDk0MGQ5YjMxZTYifQ=="/>
  </w:docVars>
  <w:rsids>
    <w:rsidRoot w:val="00347036"/>
    <w:rsid w:val="00000DCF"/>
    <w:rsid w:val="000012CB"/>
    <w:rsid w:val="000060AB"/>
    <w:rsid w:val="00023C07"/>
    <w:rsid w:val="00047EAE"/>
    <w:rsid w:val="000515EE"/>
    <w:rsid w:val="00055E63"/>
    <w:rsid w:val="00056F6C"/>
    <w:rsid w:val="00084255"/>
    <w:rsid w:val="000A722E"/>
    <w:rsid w:val="000B0D38"/>
    <w:rsid w:val="000C277B"/>
    <w:rsid w:val="000C5959"/>
    <w:rsid w:val="000F7C5D"/>
    <w:rsid w:val="00106A69"/>
    <w:rsid w:val="0011241F"/>
    <w:rsid w:val="001173FB"/>
    <w:rsid w:val="00117467"/>
    <w:rsid w:val="00121806"/>
    <w:rsid w:val="00121874"/>
    <w:rsid w:val="00121FB0"/>
    <w:rsid w:val="001246F5"/>
    <w:rsid w:val="001376EF"/>
    <w:rsid w:val="00141C7E"/>
    <w:rsid w:val="00145245"/>
    <w:rsid w:val="001657BB"/>
    <w:rsid w:val="001662A6"/>
    <w:rsid w:val="001728CB"/>
    <w:rsid w:val="00174EB0"/>
    <w:rsid w:val="00190C54"/>
    <w:rsid w:val="00197095"/>
    <w:rsid w:val="00197E57"/>
    <w:rsid w:val="001C266C"/>
    <w:rsid w:val="00207AEF"/>
    <w:rsid w:val="002108D0"/>
    <w:rsid w:val="0023089C"/>
    <w:rsid w:val="00234C37"/>
    <w:rsid w:val="002563EA"/>
    <w:rsid w:val="00263E34"/>
    <w:rsid w:val="00271A39"/>
    <w:rsid w:val="00273B40"/>
    <w:rsid w:val="002814F2"/>
    <w:rsid w:val="002B500C"/>
    <w:rsid w:val="002C0C17"/>
    <w:rsid w:val="002C1483"/>
    <w:rsid w:val="002C6FDF"/>
    <w:rsid w:val="002D1157"/>
    <w:rsid w:val="002F74C2"/>
    <w:rsid w:val="003034B4"/>
    <w:rsid w:val="00305AE4"/>
    <w:rsid w:val="0031104F"/>
    <w:rsid w:val="00312545"/>
    <w:rsid w:val="00320193"/>
    <w:rsid w:val="003351AD"/>
    <w:rsid w:val="00336606"/>
    <w:rsid w:val="00347036"/>
    <w:rsid w:val="003614D4"/>
    <w:rsid w:val="00370B1C"/>
    <w:rsid w:val="00375C4B"/>
    <w:rsid w:val="00385788"/>
    <w:rsid w:val="003A04C1"/>
    <w:rsid w:val="003A2265"/>
    <w:rsid w:val="003A5329"/>
    <w:rsid w:val="003A79A5"/>
    <w:rsid w:val="003B48E6"/>
    <w:rsid w:val="003C051E"/>
    <w:rsid w:val="003C27A6"/>
    <w:rsid w:val="003E2C55"/>
    <w:rsid w:val="003F2884"/>
    <w:rsid w:val="003F6A05"/>
    <w:rsid w:val="003F7580"/>
    <w:rsid w:val="00406082"/>
    <w:rsid w:val="00410743"/>
    <w:rsid w:val="00411A4A"/>
    <w:rsid w:val="00426F8B"/>
    <w:rsid w:val="00427E70"/>
    <w:rsid w:val="00430F26"/>
    <w:rsid w:val="00434646"/>
    <w:rsid w:val="00467636"/>
    <w:rsid w:val="00473D94"/>
    <w:rsid w:val="004846AA"/>
    <w:rsid w:val="004A0477"/>
    <w:rsid w:val="004B11F1"/>
    <w:rsid w:val="004C43A0"/>
    <w:rsid w:val="004F4B23"/>
    <w:rsid w:val="004F596E"/>
    <w:rsid w:val="004F5FB0"/>
    <w:rsid w:val="005036F4"/>
    <w:rsid w:val="00523CA7"/>
    <w:rsid w:val="0053028D"/>
    <w:rsid w:val="00531D67"/>
    <w:rsid w:val="00531E73"/>
    <w:rsid w:val="00537385"/>
    <w:rsid w:val="005460E8"/>
    <w:rsid w:val="00550CBF"/>
    <w:rsid w:val="005527D3"/>
    <w:rsid w:val="00555B46"/>
    <w:rsid w:val="005931B4"/>
    <w:rsid w:val="00593873"/>
    <w:rsid w:val="005D1F34"/>
    <w:rsid w:val="005D33CA"/>
    <w:rsid w:val="005F1691"/>
    <w:rsid w:val="006059A7"/>
    <w:rsid w:val="00606F2A"/>
    <w:rsid w:val="00614920"/>
    <w:rsid w:val="006176F5"/>
    <w:rsid w:val="00617812"/>
    <w:rsid w:val="00624716"/>
    <w:rsid w:val="0062496F"/>
    <w:rsid w:val="0064569A"/>
    <w:rsid w:val="006514DF"/>
    <w:rsid w:val="006534A8"/>
    <w:rsid w:val="00663A35"/>
    <w:rsid w:val="00667903"/>
    <w:rsid w:val="00674852"/>
    <w:rsid w:val="00681257"/>
    <w:rsid w:val="00684EA0"/>
    <w:rsid w:val="006A371D"/>
    <w:rsid w:val="006B7BBE"/>
    <w:rsid w:val="006C5F47"/>
    <w:rsid w:val="006D0501"/>
    <w:rsid w:val="006D41C2"/>
    <w:rsid w:val="006E4B2D"/>
    <w:rsid w:val="006E4D2C"/>
    <w:rsid w:val="006E6A78"/>
    <w:rsid w:val="006E7D14"/>
    <w:rsid w:val="006F4C60"/>
    <w:rsid w:val="00701C46"/>
    <w:rsid w:val="007029E3"/>
    <w:rsid w:val="00715F78"/>
    <w:rsid w:val="007227A8"/>
    <w:rsid w:val="00723004"/>
    <w:rsid w:val="00725BA8"/>
    <w:rsid w:val="00747A4D"/>
    <w:rsid w:val="00762425"/>
    <w:rsid w:val="00766839"/>
    <w:rsid w:val="00770B30"/>
    <w:rsid w:val="00772C40"/>
    <w:rsid w:val="00774809"/>
    <w:rsid w:val="0078074E"/>
    <w:rsid w:val="00782CDA"/>
    <w:rsid w:val="00795FA6"/>
    <w:rsid w:val="007B2C7F"/>
    <w:rsid w:val="007B578B"/>
    <w:rsid w:val="007D69EF"/>
    <w:rsid w:val="007D720F"/>
    <w:rsid w:val="007F4B3A"/>
    <w:rsid w:val="007F58D2"/>
    <w:rsid w:val="007F724C"/>
    <w:rsid w:val="00816DE4"/>
    <w:rsid w:val="008175F5"/>
    <w:rsid w:val="00824292"/>
    <w:rsid w:val="008254F3"/>
    <w:rsid w:val="00833A3A"/>
    <w:rsid w:val="0084783E"/>
    <w:rsid w:val="00854F93"/>
    <w:rsid w:val="00876A9E"/>
    <w:rsid w:val="00877458"/>
    <w:rsid w:val="00893508"/>
    <w:rsid w:val="00895A3E"/>
    <w:rsid w:val="008A4CAA"/>
    <w:rsid w:val="008B5931"/>
    <w:rsid w:val="008D6405"/>
    <w:rsid w:val="008F12AF"/>
    <w:rsid w:val="00900ACC"/>
    <w:rsid w:val="00957730"/>
    <w:rsid w:val="0096125E"/>
    <w:rsid w:val="00993989"/>
    <w:rsid w:val="009A3D6F"/>
    <w:rsid w:val="009A5BE5"/>
    <w:rsid w:val="009B6036"/>
    <w:rsid w:val="009C5116"/>
    <w:rsid w:val="009C71AD"/>
    <w:rsid w:val="009C746D"/>
    <w:rsid w:val="009D7D9B"/>
    <w:rsid w:val="009E392E"/>
    <w:rsid w:val="009F23BA"/>
    <w:rsid w:val="009F4E23"/>
    <w:rsid w:val="009F6DDC"/>
    <w:rsid w:val="00A036A8"/>
    <w:rsid w:val="00A03C65"/>
    <w:rsid w:val="00A0683E"/>
    <w:rsid w:val="00A1115F"/>
    <w:rsid w:val="00A1476A"/>
    <w:rsid w:val="00A27F27"/>
    <w:rsid w:val="00A31445"/>
    <w:rsid w:val="00A429FD"/>
    <w:rsid w:val="00A44A0F"/>
    <w:rsid w:val="00A44F63"/>
    <w:rsid w:val="00A53690"/>
    <w:rsid w:val="00A53EB5"/>
    <w:rsid w:val="00A62B1E"/>
    <w:rsid w:val="00A77D2A"/>
    <w:rsid w:val="00A817FF"/>
    <w:rsid w:val="00A8475F"/>
    <w:rsid w:val="00A91FAC"/>
    <w:rsid w:val="00A9332D"/>
    <w:rsid w:val="00A93C25"/>
    <w:rsid w:val="00A96C7A"/>
    <w:rsid w:val="00AA170A"/>
    <w:rsid w:val="00AA1EF8"/>
    <w:rsid w:val="00AB2151"/>
    <w:rsid w:val="00AB287E"/>
    <w:rsid w:val="00AB3029"/>
    <w:rsid w:val="00AB6035"/>
    <w:rsid w:val="00AD0B40"/>
    <w:rsid w:val="00AD675D"/>
    <w:rsid w:val="00AE72D0"/>
    <w:rsid w:val="00AF3E57"/>
    <w:rsid w:val="00B145CB"/>
    <w:rsid w:val="00B14A53"/>
    <w:rsid w:val="00B26825"/>
    <w:rsid w:val="00B37EE1"/>
    <w:rsid w:val="00B4464D"/>
    <w:rsid w:val="00B4720E"/>
    <w:rsid w:val="00B52A2D"/>
    <w:rsid w:val="00B667D7"/>
    <w:rsid w:val="00B66DF9"/>
    <w:rsid w:val="00B67428"/>
    <w:rsid w:val="00B763BA"/>
    <w:rsid w:val="00B83F37"/>
    <w:rsid w:val="00B86CA4"/>
    <w:rsid w:val="00BA6FB1"/>
    <w:rsid w:val="00BC18D2"/>
    <w:rsid w:val="00BC5BFF"/>
    <w:rsid w:val="00BD457A"/>
    <w:rsid w:val="00BD4937"/>
    <w:rsid w:val="00BD66F4"/>
    <w:rsid w:val="00BF5ADF"/>
    <w:rsid w:val="00C0696C"/>
    <w:rsid w:val="00C07A64"/>
    <w:rsid w:val="00C07B94"/>
    <w:rsid w:val="00C1003B"/>
    <w:rsid w:val="00C14495"/>
    <w:rsid w:val="00C24A27"/>
    <w:rsid w:val="00C24D5F"/>
    <w:rsid w:val="00C4096B"/>
    <w:rsid w:val="00C45C1C"/>
    <w:rsid w:val="00C51AF1"/>
    <w:rsid w:val="00C5311D"/>
    <w:rsid w:val="00C8604B"/>
    <w:rsid w:val="00CC0E18"/>
    <w:rsid w:val="00CD1BD1"/>
    <w:rsid w:val="00CD43A6"/>
    <w:rsid w:val="00D15561"/>
    <w:rsid w:val="00D16010"/>
    <w:rsid w:val="00D17BC6"/>
    <w:rsid w:val="00D24968"/>
    <w:rsid w:val="00D361B7"/>
    <w:rsid w:val="00D62A63"/>
    <w:rsid w:val="00D63042"/>
    <w:rsid w:val="00D64702"/>
    <w:rsid w:val="00D672D4"/>
    <w:rsid w:val="00D779BF"/>
    <w:rsid w:val="00D83CCB"/>
    <w:rsid w:val="00D85C0F"/>
    <w:rsid w:val="00D87ACC"/>
    <w:rsid w:val="00DA107C"/>
    <w:rsid w:val="00DA5E17"/>
    <w:rsid w:val="00DB7B7B"/>
    <w:rsid w:val="00DE5589"/>
    <w:rsid w:val="00DE61F1"/>
    <w:rsid w:val="00DF1378"/>
    <w:rsid w:val="00E14A79"/>
    <w:rsid w:val="00E20964"/>
    <w:rsid w:val="00E431D0"/>
    <w:rsid w:val="00E46053"/>
    <w:rsid w:val="00E67B86"/>
    <w:rsid w:val="00E86360"/>
    <w:rsid w:val="00E868FE"/>
    <w:rsid w:val="00E91B20"/>
    <w:rsid w:val="00EA61CD"/>
    <w:rsid w:val="00EA6654"/>
    <w:rsid w:val="00EB0C09"/>
    <w:rsid w:val="00EB0DEF"/>
    <w:rsid w:val="00EB481E"/>
    <w:rsid w:val="00EC1F73"/>
    <w:rsid w:val="00EC36D7"/>
    <w:rsid w:val="00EC49EC"/>
    <w:rsid w:val="00EC74FF"/>
    <w:rsid w:val="00EC7D74"/>
    <w:rsid w:val="00EE6F29"/>
    <w:rsid w:val="00EF4F57"/>
    <w:rsid w:val="00EF7973"/>
    <w:rsid w:val="00F045C6"/>
    <w:rsid w:val="00F07CEA"/>
    <w:rsid w:val="00F1349F"/>
    <w:rsid w:val="00F23FBD"/>
    <w:rsid w:val="00F321C6"/>
    <w:rsid w:val="00F4686C"/>
    <w:rsid w:val="00F602C4"/>
    <w:rsid w:val="00F635D2"/>
    <w:rsid w:val="00F66E02"/>
    <w:rsid w:val="00F70DFA"/>
    <w:rsid w:val="00FB0960"/>
    <w:rsid w:val="00FB7A38"/>
    <w:rsid w:val="00FC240D"/>
    <w:rsid w:val="00FC5E97"/>
    <w:rsid w:val="00FD04A6"/>
    <w:rsid w:val="00FD0FB7"/>
    <w:rsid w:val="00FD7023"/>
    <w:rsid w:val="00FE3180"/>
    <w:rsid w:val="00FE3EAA"/>
    <w:rsid w:val="00FE779C"/>
    <w:rsid w:val="00FF2496"/>
    <w:rsid w:val="0D29505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FF901D"/>
  <w15:docId w15:val="{DC10911C-B734-4F69-AA52-51714D18B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95FA6"/>
    <w:pPr>
      <w:widowControl w:val="0"/>
      <w:jc w:val="both"/>
    </w:pPr>
    <w:rPr>
      <w:rFonts w:ascii="Times New Roman" w:eastAsia="宋体" w:hAnsi="Times New Roman" w:cs="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rsid w:val="00795FA6"/>
    <w:pPr>
      <w:jc w:val="left"/>
    </w:pPr>
  </w:style>
  <w:style w:type="paragraph" w:styleId="a5">
    <w:name w:val="Balloon Text"/>
    <w:basedOn w:val="a"/>
    <w:link w:val="a6"/>
    <w:uiPriority w:val="99"/>
    <w:semiHidden/>
    <w:unhideWhenUsed/>
    <w:qFormat/>
    <w:rsid w:val="00795FA6"/>
    <w:rPr>
      <w:sz w:val="18"/>
      <w:szCs w:val="18"/>
    </w:rPr>
  </w:style>
  <w:style w:type="paragraph" w:styleId="a7">
    <w:name w:val="footer"/>
    <w:basedOn w:val="a"/>
    <w:link w:val="a8"/>
    <w:uiPriority w:val="99"/>
    <w:unhideWhenUsed/>
    <w:qFormat/>
    <w:rsid w:val="00795FA6"/>
    <w:pPr>
      <w:tabs>
        <w:tab w:val="center" w:pos="4153"/>
        <w:tab w:val="right" w:pos="8306"/>
      </w:tabs>
      <w:snapToGrid w:val="0"/>
      <w:jc w:val="left"/>
    </w:pPr>
    <w:rPr>
      <w:sz w:val="18"/>
      <w:szCs w:val="18"/>
    </w:rPr>
  </w:style>
  <w:style w:type="paragraph" w:styleId="a9">
    <w:name w:val="header"/>
    <w:basedOn w:val="a"/>
    <w:link w:val="aa"/>
    <w:uiPriority w:val="99"/>
    <w:unhideWhenUsed/>
    <w:qFormat/>
    <w:rsid w:val="00795FA6"/>
    <w:pPr>
      <w:pBdr>
        <w:bottom w:val="single" w:sz="6" w:space="1" w:color="auto"/>
      </w:pBdr>
      <w:tabs>
        <w:tab w:val="center" w:pos="4153"/>
        <w:tab w:val="right" w:pos="8306"/>
      </w:tabs>
      <w:snapToGrid w:val="0"/>
      <w:jc w:val="center"/>
    </w:pPr>
    <w:rPr>
      <w:sz w:val="18"/>
      <w:szCs w:val="18"/>
    </w:rPr>
  </w:style>
  <w:style w:type="paragraph" w:styleId="ab">
    <w:name w:val="annotation subject"/>
    <w:basedOn w:val="a3"/>
    <w:next w:val="a3"/>
    <w:link w:val="ac"/>
    <w:uiPriority w:val="99"/>
    <w:semiHidden/>
    <w:unhideWhenUsed/>
    <w:qFormat/>
    <w:rsid w:val="00795FA6"/>
    <w:rPr>
      <w:b/>
      <w:bCs/>
    </w:rPr>
  </w:style>
  <w:style w:type="character" w:styleId="ad">
    <w:name w:val="annotation reference"/>
    <w:basedOn w:val="a0"/>
    <w:uiPriority w:val="99"/>
    <w:semiHidden/>
    <w:unhideWhenUsed/>
    <w:qFormat/>
    <w:rsid w:val="00795FA6"/>
    <w:rPr>
      <w:sz w:val="21"/>
      <w:szCs w:val="21"/>
    </w:rPr>
  </w:style>
  <w:style w:type="character" w:customStyle="1" w:styleId="aa">
    <w:name w:val="页眉 字符"/>
    <w:basedOn w:val="a0"/>
    <w:link w:val="a9"/>
    <w:uiPriority w:val="99"/>
    <w:qFormat/>
    <w:rsid w:val="00795FA6"/>
    <w:rPr>
      <w:sz w:val="18"/>
      <w:szCs w:val="18"/>
    </w:rPr>
  </w:style>
  <w:style w:type="character" w:customStyle="1" w:styleId="a8">
    <w:name w:val="页脚 字符"/>
    <w:basedOn w:val="a0"/>
    <w:link w:val="a7"/>
    <w:uiPriority w:val="99"/>
    <w:qFormat/>
    <w:rsid w:val="00795FA6"/>
    <w:rPr>
      <w:sz w:val="18"/>
      <w:szCs w:val="18"/>
    </w:rPr>
  </w:style>
  <w:style w:type="paragraph" w:customStyle="1" w:styleId="BodyText2">
    <w:name w:val="BodyText2"/>
    <w:qFormat/>
    <w:rsid w:val="00795FA6"/>
    <w:pPr>
      <w:widowControl w:val="0"/>
      <w:spacing w:after="120" w:line="480" w:lineRule="auto"/>
      <w:jc w:val="both"/>
      <w:textAlignment w:val="baseline"/>
    </w:pPr>
    <w:rPr>
      <w:rFonts w:ascii="Calibri" w:eastAsia="宋体" w:hAnsi="Calibri" w:cs="Times New Roman"/>
      <w:kern w:val="2"/>
      <w:sz w:val="32"/>
      <w:szCs w:val="32"/>
    </w:rPr>
  </w:style>
  <w:style w:type="paragraph" w:styleId="ae">
    <w:name w:val="List Paragraph"/>
    <w:basedOn w:val="a"/>
    <w:uiPriority w:val="34"/>
    <w:qFormat/>
    <w:rsid w:val="00795FA6"/>
    <w:pPr>
      <w:ind w:firstLineChars="200" w:firstLine="420"/>
    </w:pPr>
  </w:style>
  <w:style w:type="character" w:customStyle="1" w:styleId="a6">
    <w:name w:val="批注框文本 字符"/>
    <w:basedOn w:val="a0"/>
    <w:link w:val="a5"/>
    <w:uiPriority w:val="99"/>
    <w:semiHidden/>
    <w:qFormat/>
    <w:rsid w:val="00795FA6"/>
    <w:rPr>
      <w:rFonts w:ascii="Times New Roman" w:eastAsia="宋体" w:hAnsi="Times New Roman" w:cs="Times New Roman"/>
      <w:sz w:val="18"/>
      <w:szCs w:val="18"/>
    </w:rPr>
  </w:style>
  <w:style w:type="character" w:customStyle="1" w:styleId="a4">
    <w:name w:val="批注文字 字符"/>
    <w:basedOn w:val="a0"/>
    <w:link w:val="a3"/>
    <w:uiPriority w:val="99"/>
    <w:semiHidden/>
    <w:qFormat/>
    <w:rsid w:val="00795FA6"/>
    <w:rPr>
      <w:rFonts w:ascii="Times New Roman" w:eastAsia="宋体" w:hAnsi="Times New Roman" w:cs="Times New Roman"/>
      <w:szCs w:val="24"/>
    </w:rPr>
  </w:style>
  <w:style w:type="character" w:customStyle="1" w:styleId="ac">
    <w:name w:val="批注主题 字符"/>
    <w:basedOn w:val="a4"/>
    <w:link w:val="ab"/>
    <w:uiPriority w:val="99"/>
    <w:semiHidden/>
    <w:qFormat/>
    <w:rsid w:val="00795FA6"/>
    <w:rPr>
      <w:rFonts w:ascii="Times New Roman" w:eastAsia="宋体" w:hAnsi="Times New Roman" w:cs="Times New Roman"/>
      <w:b/>
      <w:bCs/>
      <w:szCs w:val="24"/>
    </w:rPr>
  </w:style>
  <w:style w:type="paragraph" w:styleId="af">
    <w:name w:val="footnote text"/>
    <w:basedOn w:val="a"/>
    <w:link w:val="af0"/>
    <w:uiPriority w:val="99"/>
    <w:semiHidden/>
    <w:unhideWhenUsed/>
    <w:rsid w:val="00C07B94"/>
    <w:pPr>
      <w:snapToGrid w:val="0"/>
      <w:jc w:val="left"/>
    </w:pPr>
    <w:rPr>
      <w:sz w:val="18"/>
      <w:szCs w:val="18"/>
    </w:rPr>
  </w:style>
  <w:style w:type="character" w:customStyle="1" w:styleId="af0">
    <w:name w:val="脚注文本 字符"/>
    <w:basedOn w:val="a0"/>
    <w:link w:val="af"/>
    <w:uiPriority w:val="99"/>
    <w:semiHidden/>
    <w:rsid w:val="00C07B94"/>
    <w:rPr>
      <w:rFonts w:ascii="Times New Roman" w:eastAsia="宋体" w:hAnsi="Times New Roman" w:cs="Times New Roman"/>
      <w:kern w:val="2"/>
      <w:sz w:val="18"/>
      <w:szCs w:val="18"/>
    </w:rPr>
  </w:style>
  <w:style w:type="character" w:styleId="af1">
    <w:name w:val="footnote reference"/>
    <w:basedOn w:val="a0"/>
    <w:uiPriority w:val="99"/>
    <w:semiHidden/>
    <w:unhideWhenUsed/>
    <w:rsid w:val="00C07B94"/>
    <w:rPr>
      <w:vertAlign w:val="superscript"/>
    </w:rPr>
  </w:style>
  <w:style w:type="table" w:styleId="af2">
    <w:name w:val="Table Grid"/>
    <w:basedOn w:val="a1"/>
    <w:uiPriority w:val="39"/>
    <w:rsid w:val="003857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568850">
      <w:bodyDiv w:val="1"/>
      <w:marLeft w:val="0"/>
      <w:marRight w:val="0"/>
      <w:marTop w:val="0"/>
      <w:marBottom w:val="0"/>
      <w:divBdr>
        <w:top w:val="none" w:sz="0" w:space="0" w:color="auto"/>
        <w:left w:val="none" w:sz="0" w:space="0" w:color="auto"/>
        <w:bottom w:val="none" w:sz="0" w:space="0" w:color="auto"/>
        <w:right w:val="none" w:sz="0" w:space="0" w:color="auto"/>
      </w:divBdr>
    </w:div>
    <w:div w:id="1095828534">
      <w:bodyDiv w:val="1"/>
      <w:marLeft w:val="0"/>
      <w:marRight w:val="0"/>
      <w:marTop w:val="0"/>
      <w:marBottom w:val="0"/>
      <w:divBdr>
        <w:top w:val="none" w:sz="0" w:space="0" w:color="auto"/>
        <w:left w:val="none" w:sz="0" w:space="0" w:color="auto"/>
        <w:bottom w:val="none" w:sz="0" w:space="0" w:color="auto"/>
        <w:right w:val="none" w:sz="0" w:space="0" w:color="auto"/>
      </w:divBdr>
    </w:div>
    <w:div w:id="1399324772">
      <w:bodyDiv w:val="1"/>
      <w:marLeft w:val="0"/>
      <w:marRight w:val="0"/>
      <w:marTop w:val="0"/>
      <w:marBottom w:val="0"/>
      <w:divBdr>
        <w:top w:val="none" w:sz="0" w:space="0" w:color="auto"/>
        <w:left w:val="none" w:sz="0" w:space="0" w:color="auto"/>
        <w:bottom w:val="none" w:sz="0" w:space="0" w:color="auto"/>
        <w:right w:val="none" w:sz="0" w:space="0" w:color="auto"/>
      </w:divBdr>
    </w:div>
    <w:div w:id="21283511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204</TotalTime>
  <Pages>24</Pages>
  <Words>1230</Words>
  <Characters>7015</Characters>
  <Application>Microsoft Office Word</Application>
  <DocSecurity>0</DocSecurity>
  <Lines>58</Lines>
  <Paragraphs>16</Paragraphs>
  <ScaleCrop>false</ScaleCrop>
  <Company/>
  <LinksUpToDate>false</LinksUpToDate>
  <CharactersWithSpaces>8229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韦 立先</dc:creator>
  <cp:lastModifiedBy>韦 立先</cp:lastModifiedBy>
  <cp:revision>11</cp:revision>
  <dcterms:created xsi:type="dcterms:W3CDTF">2024-02-21T07:35:00Z</dcterms:created>
  <dcterms:modified xsi:type="dcterms:W3CDTF">2024-06-28T01:43:00Z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F67983FACCE84F919F5AB9AFFF1658C4_12</vt:lpwstr>
  </property>
</Properties>
</file>