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5FE0C">
      <w:pPr>
        <w:pStyle w:val="2"/>
        <w:jc w:val="center"/>
        <w:rPr>
          <w:rFonts w:hint="eastAsia"/>
          <w:sz w:val="28"/>
          <w:szCs w:val="28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团体</w:t>
      </w:r>
      <w:r>
        <w:rPr>
          <w:rFonts w:hint="eastAsia" w:ascii="黑体" w:hAnsi="黑体" w:eastAsia="黑体" w:cs="黑体"/>
          <w:sz w:val="36"/>
          <w:szCs w:val="36"/>
        </w:rPr>
        <w:t>标准《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三角梅</w:t>
      </w:r>
      <w:r>
        <w:rPr>
          <w:rFonts w:hint="eastAsia" w:ascii="黑体" w:hAnsi="黑体" w:eastAsia="黑体" w:cs="黑体"/>
          <w:sz w:val="36"/>
          <w:szCs w:val="36"/>
        </w:rPr>
        <w:t>扦插育苗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生产</w:t>
      </w:r>
      <w:r>
        <w:rPr>
          <w:rFonts w:hint="eastAsia" w:ascii="黑体" w:hAnsi="黑体" w:eastAsia="黑体" w:cs="黑体"/>
          <w:sz w:val="36"/>
          <w:szCs w:val="36"/>
        </w:rPr>
        <w:t>技术规程》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征求意见稿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）</w:t>
      </w:r>
      <w:r>
        <w:rPr>
          <w:rFonts w:hint="eastAsia" w:ascii="黑体" w:hAnsi="黑体" w:eastAsia="黑体" w:cs="黑体"/>
          <w:sz w:val="36"/>
          <w:szCs w:val="36"/>
        </w:rPr>
        <w:t>编制说明</w:t>
      </w:r>
    </w:p>
    <w:p w14:paraId="21EB8575">
      <w:pPr>
        <w:ind w:firstLine="562" w:firstLineChars="200"/>
        <w:outlineLvl w:val="0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一、项目来源</w:t>
      </w:r>
    </w:p>
    <w:p w14:paraId="084F0707"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根据《广西标准化协会关于下达2020年第十批团体标准制修订项目计划的通知》桂标协[2020]（30）号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文件精神，由广西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花卉协会</w:t>
      </w:r>
      <w:bookmarkStart w:id="2" w:name="_GoBack"/>
      <w:bookmarkEnd w:id="2"/>
      <w:r>
        <w:rPr>
          <w:rFonts w:hint="eastAsia" w:ascii="仿宋_GB2312" w:hAnsi="宋体" w:eastAsia="仿宋_GB2312"/>
          <w:color w:val="000000"/>
          <w:sz w:val="28"/>
          <w:szCs w:val="28"/>
        </w:rPr>
        <w:t>提出，广西壮族自治区林业科学研究院、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广西上林福人湖休闲农业集团有限公司、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广西花卉协会、南宁市绿化工程管理中心、南宁青秀山风景名胜旅游开发有限责任公司、广西为君开三角梅科技有限公司、海南省农业科学院热带园艺研究所、广西深根建设集团有限公司等单位共同起草制定团体标准《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三角梅扦插育苗技术规程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》。</w:t>
      </w:r>
    </w:p>
    <w:p w14:paraId="0F8243E3">
      <w:pPr>
        <w:ind w:firstLine="562" w:firstLineChars="200"/>
        <w:outlineLvl w:val="0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二、目的意义</w:t>
      </w:r>
    </w:p>
    <w:p w14:paraId="73642004">
      <w:pPr>
        <w:ind w:firstLine="560" w:firstLineChars="200"/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</w:pPr>
      <w:r>
        <w:rPr>
          <w:rFonts w:hint="default" w:ascii="仿宋_GB2312" w:hAnsi="宋体" w:eastAsia="仿宋_GB2312"/>
          <w:color w:val="000000"/>
          <w:sz w:val="28"/>
          <w:szCs w:val="28"/>
          <w:lang w:val="en-US" w:eastAsia="zh-CN"/>
        </w:rPr>
        <w:t>广西壮族自治区人民政府与国家林业和草原局联合印发了《广西现代林业产业示范区实施方案》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，</w:t>
      </w:r>
      <w:r>
        <w:rPr>
          <w:rFonts w:hint="default" w:ascii="仿宋_GB2312" w:hAnsi="宋体" w:eastAsia="仿宋_GB2312"/>
          <w:color w:val="000000"/>
          <w:sz w:val="28"/>
          <w:szCs w:val="28"/>
          <w:lang w:val="en-US" w:eastAsia="zh-CN"/>
        </w:rPr>
        <w:t>明确提出大力发展绿色富民产业，加快培育和发展茉莉花、金花茶、罗汉松、桂花、宝巾花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（三角梅）</w:t>
      </w:r>
      <w:r>
        <w:rPr>
          <w:rFonts w:hint="default" w:ascii="仿宋_GB2312" w:hAnsi="宋体" w:eastAsia="仿宋_GB2312"/>
          <w:color w:val="000000"/>
          <w:sz w:val="28"/>
          <w:szCs w:val="28"/>
          <w:lang w:val="en-US" w:eastAsia="zh-CN"/>
        </w:rPr>
        <w:t>等广西花卉种苗优势品种，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到2025年末全区</w:t>
      </w:r>
      <w:r>
        <w:rPr>
          <w:rFonts w:hint="default" w:ascii="仿宋_GB2312" w:hAnsi="宋体" w:eastAsia="仿宋_GB2312"/>
          <w:color w:val="000000"/>
          <w:sz w:val="28"/>
          <w:szCs w:val="28"/>
          <w:lang w:val="en-US" w:eastAsia="zh-CN"/>
        </w:rPr>
        <w:t>花卉种苗生产面积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将</w:t>
      </w:r>
      <w:r>
        <w:rPr>
          <w:rFonts w:hint="default" w:ascii="仿宋_GB2312" w:hAnsi="宋体" w:eastAsia="仿宋_GB2312"/>
          <w:color w:val="000000"/>
          <w:sz w:val="28"/>
          <w:szCs w:val="28"/>
          <w:lang w:val="en-US" w:eastAsia="zh-CN"/>
        </w:rPr>
        <w:t>达到 180 万亩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。</w:t>
      </w:r>
      <w:r>
        <w:rPr>
          <w:rFonts w:hint="default" w:ascii="仿宋_GB2312" w:hAnsi="宋体" w:eastAsia="仿宋_GB2312"/>
          <w:color w:val="000000"/>
          <w:sz w:val="28"/>
          <w:szCs w:val="28"/>
          <w:lang w:val="en-US" w:eastAsia="zh-CN"/>
        </w:rPr>
        <w:t>《广西林业草原发展“十四五”规划》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强调重点建设绿化观赏苗木、盆栽盆景等一批花卉园区。《广西花卉产业发展“十四五”规划》指出全面提升广西花卉产业化水平和“桂派”花卉影响力，鼓励发展花文化旅游，将花卉产业打造成为广西万亿元林业绿色产业的重要组成部分。</w:t>
      </w:r>
    </w:p>
    <w:p w14:paraId="21988F9D">
      <w:pPr>
        <w:ind w:firstLine="560" w:firstLineChars="200"/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三角梅是我国南方地区重要的园林绿化树种，其花量之大、花期之长，很少有植物能与之相比。三角梅易繁殖、耐粗放管理、适应性强、耐修剪、生长迅速、花期长、花色丰富、观赏价值高，在华南、西南各地都有大规模种植。目前，是海南省花及北海、梧州、玉林、深圳和厦门等多地市花。近年来，随着乡村振兴战略的大力实施，三角梅已从我国南方走向全国各地，成为改善人居环境、建设美丽乡村的主打植物之一，在建设森林城市、园林城市和宜居城市方面亦发挥着重大作用。</w:t>
      </w:r>
    </w:p>
    <w:p w14:paraId="5D57E7CC">
      <w:pPr>
        <w:ind w:firstLine="560" w:firstLineChars="200"/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三角梅生产中多采用扦插繁殖，目前关于扦插繁殖的研究有诸多报道，但都是以沙床、珍珠岩、泥炭土等为育苗基质，在沙床或育苗容器中扦插，成活后再移栽，这不但延长了育苗周期、增加育苗成本，并且移栽时也会降低出圃率。2012年，我们依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中央财政林业推广示范资金项目“南亚热带珍稀花木速生栽培技术推广示范”和广西林科院基本科研业务费“C</w:t>
      </w:r>
      <w:r>
        <w:rPr>
          <w:rFonts w:hint="eastAsia" w:ascii="仿宋" w:hAnsi="仿宋" w:eastAsia="仿宋" w:cs="仿宋"/>
          <w:sz w:val="28"/>
          <w:szCs w:val="28"/>
          <w:vertAlign w:val="subscript"/>
          <w:lang w:val="en-US" w:eastAsia="zh-CN"/>
        </w:rPr>
        <w:t>O</w:t>
      </w:r>
      <w:r>
        <w:rPr>
          <w:rFonts w:hint="default" w:ascii="Times New Roman" w:hAnsi="Times New Roman" w:eastAsia="仿宋" w:cs="Times New Roman"/>
          <w:sz w:val="28"/>
          <w:szCs w:val="28"/>
          <w:vertAlign w:val="superscript"/>
          <w:lang w:val="en-US" w:eastAsia="zh-CN"/>
        </w:rPr>
        <w:t>60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>-γ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射线辐照三角梅诱变育种研究”对三角梅开展了扦插育苗，分析了影响扦插育苗的相关因素。</w:t>
      </w:r>
      <w:r>
        <w:rPr>
          <w:rFonts w:hint="eastAsia" w:ascii="仿宋_GB2312" w:hAnsi="宋体" w:eastAsia="仿宋_GB2312"/>
          <w:color w:val="000000"/>
          <w:sz w:val="28"/>
          <w:szCs w:val="28"/>
          <w:lang w:val="en-US" w:eastAsia="zh-CN"/>
        </w:rPr>
        <w:t>为了缩短育苗周期、降低育苗成本、提高出圃率，本项目在原有三角梅扦插育苗技术基础上进行优化总结，采用露地扦插育苗进行规模化生产，并制定团体标准加以推广。本项目的实施不但对于广西三角梅产业发展具有重要促进作用，而且有利于促进实施地的经济发展，巩固脱贫攻坚成果，助力乡村振兴。</w:t>
      </w:r>
    </w:p>
    <w:p w14:paraId="26055D84">
      <w:pPr>
        <w:ind w:firstLine="562" w:firstLineChars="200"/>
        <w:outlineLvl w:val="0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三、项目编制过程</w:t>
      </w:r>
    </w:p>
    <w:p w14:paraId="7DF63716">
      <w:pPr>
        <w:ind w:firstLine="562" w:firstLineChars="200"/>
        <w:outlineLvl w:val="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（一）成立标准编制工作组</w:t>
      </w:r>
    </w:p>
    <w:p w14:paraId="7D507E0E">
      <w:pPr>
        <w:pStyle w:val="14"/>
        <w:ind w:firstLine="420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团体标准《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三角梅露地扦插育苗技术规程</w:t>
      </w:r>
      <w:r>
        <w:rPr>
          <w:rFonts w:hint="eastAsia" w:ascii="仿宋_GB2312" w:hAnsi="宋体" w:eastAsia="仿宋_GB2312"/>
          <w:sz w:val="28"/>
          <w:szCs w:val="28"/>
        </w:rPr>
        <w:t>》项目任务下达后，广西壮族自治区林业科学研究院成立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团体</w:t>
      </w:r>
      <w:r>
        <w:rPr>
          <w:rFonts w:hint="eastAsia" w:ascii="仿宋_GB2312" w:hAnsi="宋体" w:eastAsia="仿宋_GB2312"/>
          <w:sz w:val="28"/>
          <w:szCs w:val="28"/>
        </w:rPr>
        <w:t>标准编制工作组，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标准编制工作组人员认真学习《中华人民共和国标准化法》和标准编制有关文件，制定了标准编写原则、技术路线和实施方案，有序地开展标准编制工作。</w:t>
      </w:r>
      <w:r>
        <w:rPr>
          <w:rFonts w:hint="eastAsia" w:ascii="仿宋_GB2312" w:hAnsi="宋体" w:eastAsia="仿宋_GB2312"/>
          <w:sz w:val="28"/>
          <w:szCs w:val="28"/>
        </w:rPr>
        <w:t>具体标准编制工作由广西壮族自治区林业科学研究院、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广西上林福人湖休闲农业集团有限公司、广西花卉协会、南宁市绿化工程管理中心、南宁青秀山风景名胜旅游开发有限责任公司、广西为君开三角梅科技有限公司、海南省农业科学院热带园艺研究所、广西深根建设集团有限公司等起草单位组成标准编制工作组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工作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组主要成员包括孙利娜、林茂、陈尔、龚建英、杨开太、尹国平、王华新、杨舒婷、武建云、李冰、黄旭光、王宇澄、欧春园、黄业超、韦能孙、张磊、尹婷辉、钱永康、杨洪叶、杨珺、陈深根。</w:t>
      </w:r>
    </w:p>
    <w:p w14:paraId="2447ABFB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标准</w:t>
      </w:r>
      <w:r>
        <w:rPr>
          <w:rFonts w:hint="eastAsia" w:ascii="仿宋_GB2312" w:hAnsi="宋体" w:eastAsia="仿宋_GB2312"/>
          <w:sz w:val="28"/>
          <w:szCs w:val="28"/>
        </w:rPr>
        <w:t>编制工作组下设资料收集组、草案编写组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和</w:t>
      </w:r>
      <w:r>
        <w:rPr>
          <w:rFonts w:hint="eastAsia" w:ascii="仿宋_GB2312" w:hAnsi="宋体" w:eastAsia="仿宋_GB2312"/>
          <w:sz w:val="28"/>
          <w:szCs w:val="28"/>
        </w:rPr>
        <w:t>标准实施组。</w:t>
      </w:r>
    </w:p>
    <w:p w14:paraId="56EFBC2A">
      <w:pPr>
        <w:ind w:firstLine="560" w:firstLineChars="200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资料收集组负责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查阅关于三角梅扦插的国内外文献，并收集、整理，了解相关动态。</w:t>
      </w:r>
    </w:p>
    <w:p w14:paraId="7E52DB9B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草案编写组负责起草标准草案、征求意见稿和标准编制说明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及</w:t>
      </w:r>
      <w:r>
        <w:rPr>
          <w:rFonts w:hint="eastAsia" w:ascii="仿宋_GB2312" w:hAnsi="宋体" w:eastAsia="仿宋_GB2312"/>
          <w:sz w:val="28"/>
          <w:szCs w:val="28"/>
        </w:rPr>
        <w:t>送审稿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等</w:t>
      </w:r>
      <w:r>
        <w:rPr>
          <w:rFonts w:hint="eastAsia" w:ascii="仿宋_GB2312" w:hAnsi="宋体" w:eastAsia="仿宋_GB2312"/>
          <w:sz w:val="28"/>
          <w:szCs w:val="28"/>
        </w:rPr>
        <w:t>工作，包括后期召开征求意见会、网上征求意见，以及标准的不断修改和完善。</w:t>
      </w:r>
    </w:p>
    <w:p w14:paraId="1BD38473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标准实施组负责《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三角梅扦插育苗技术规程</w:t>
      </w:r>
      <w:r>
        <w:rPr>
          <w:rFonts w:hint="eastAsia" w:ascii="仿宋_GB2312" w:hAnsi="宋体" w:eastAsia="仿宋_GB2312"/>
          <w:sz w:val="28"/>
          <w:szCs w:val="28"/>
        </w:rPr>
        <w:t>》团体标准发布后，组织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三角梅</w:t>
      </w:r>
      <w:r>
        <w:rPr>
          <w:rFonts w:hint="eastAsia" w:ascii="仿宋_GB2312" w:hAnsi="宋体" w:eastAsia="仿宋_GB2312"/>
          <w:sz w:val="28"/>
          <w:szCs w:val="28"/>
        </w:rPr>
        <w:t>相关企业、农户开展标准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宣传</w:t>
      </w:r>
      <w:r>
        <w:rPr>
          <w:rFonts w:hint="eastAsia" w:ascii="仿宋_GB2312" w:hAnsi="宋体" w:eastAsia="仿宋_GB2312"/>
          <w:sz w:val="28"/>
          <w:szCs w:val="28"/>
        </w:rPr>
        <w:t>培训会，对标准进行详细解读，让农户、林业人员等相关人员了解标准，并根据标准对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三角梅扦插育苗进行</w:t>
      </w:r>
      <w:r>
        <w:rPr>
          <w:rFonts w:hint="eastAsia" w:ascii="仿宋_GB2312" w:hAnsi="宋体" w:eastAsia="仿宋_GB2312"/>
          <w:sz w:val="28"/>
          <w:szCs w:val="28"/>
        </w:rPr>
        <w:t>规范化操作，保证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三角梅</w:t>
      </w:r>
      <w:r>
        <w:rPr>
          <w:rFonts w:hint="eastAsia" w:ascii="仿宋_GB2312" w:hAnsi="宋体" w:eastAsia="仿宋_GB2312"/>
          <w:sz w:val="28"/>
          <w:szCs w:val="28"/>
        </w:rPr>
        <w:t>的生产，并对标准实施情况进行总结分析，不断对团体标准提出修正意见。</w:t>
      </w:r>
    </w:p>
    <w:p w14:paraId="5B1BE195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标准编制工作组收集了国内有关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三角梅</w:t>
      </w:r>
      <w:r>
        <w:rPr>
          <w:rFonts w:hint="eastAsia" w:ascii="仿宋_GB2312" w:hAnsi="宋体" w:eastAsia="仿宋_GB2312"/>
          <w:sz w:val="28"/>
          <w:szCs w:val="28"/>
        </w:rPr>
        <w:t>的标准和资料。主要有：</w:t>
      </w:r>
    </w:p>
    <w:p w14:paraId="4C9C72C1"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《</w:t>
      </w:r>
      <w:r>
        <w:rPr>
          <w:rFonts w:hint="default" w:ascii="仿宋_GB2312" w:hAnsi="宋体" w:eastAsia="仿宋_GB2312"/>
          <w:sz w:val="28"/>
          <w:szCs w:val="28"/>
          <w:lang w:val="en-US" w:eastAsia="zh-CN"/>
        </w:rPr>
        <w:t xml:space="preserve">DB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45/T 895-2013 宝巾花（三角梅）栽培技术规程》、《DB46/T 428-2017 三角梅扦插育苗技术规程》、《DB46/T 429-2017 三角梅容器苗木生产技术规程》、《DB3502/T 三角梅盆栽生产技术规程》。</w:t>
      </w:r>
    </w:p>
    <w:p w14:paraId="5BD74448">
      <w:pPr>
        <w:ind w:firstLine="562" w:firstLineChars="200"/>
        <w:outlineLvl w:val="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（三）研讨确定标准主体内容</w:t>
      </w:r>
    </w:p>
    <w:p w14:paraId="36DBE5E1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标准编制工作组在对收集的资料进行整理研究之后，对标准的整体框架结构进行了研究，并对标准的关键性内容进行了初步探讨。经过研究，标准的主体内容确定为采穗圃营建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与管理</w:t>
      </w:r>
      <w:r>
        <w:rPr>
          <w:rFonts w:hint="eastAsia" w:ascii="仿宋_GB2312" w:hAnsi="宋体" w:eastAsia="仿宋_GB2312"/>
          <w:sz w:val="28"/>
          <w:szCs w:val="28"/>
        </w:rPr>
        <w:t>、扦插育苗、插后管理、苗木出圃和档案管理。</w:t>
      </w:r>
    </w:p>
    <w:p w14:paraId="53E6497B">
      <w:pPr>
        <w:ind w:firstLine="562" w:firstLineChars="200"/>
        <w:outlineLvl w:val="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（四）形成草案、征求意见稿</w:t>
      </w:r>
    </w:p>
    <w:p w14:paraId="17650D16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在前期工作基础之上，理清逻辑脉络，整合已有的参考资料，并结合广西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、云南、海南</w:t>
      </w:r>
      <w:r>
        <w:rPr>
          <w:rFonts w:hint="eastAsia" w:ascii="仿宋_GB2312" w:hAnsi="宋体" w:eastAsia="仿宋_GB2312"/>
          <w:sz w:val="28"/>
          <w:szCs w:val="28"/>
        </w:rPr>
        <w:t>等地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三角梅扦插育苗要求</w:t>
      </w:r>
      <w:r>
        <w:rPr>
          <w:rFonts w:hint="eastAsia" w:ascii="仿宋_GB2312" w:hAnsi="宋体" w:eastAsia="仿宋_GB2312"/>
          <w:sz w:val="28"/>
          <w:szCs w:val="28"/>
        </w:rPr>
        <w:t>，按照简化、统一等原则编制完成团体标准《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三角梅扦插育苗生产技术规程</w:t>
      </w:r>
      <w:r>
        <w:rPr>
          <w:rFonts w:hint="eastAsia" w:ascii="仿宋_GB2312" w:hAnsi="宋体" w:eastAsia="仿宋_GB2312"/>
          <w:sz w:val="28"/>
          <w:szCs w:val="28"/>
        </w:rPr>
        <w:t>》（草案）。</w:t>
      </w:r>
    </w:p>
    <w:p w14:paraId="13FCB663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标准编制小组广泛</w:t>
      </w:r>
      <w:r>
        <w:rPr>
          <w:rFonts w:hint="eastAsia" w:ascii="仿宋_GB2312" w:hAnsi="宋体" w:eastAsia="仿宋_GB2312"/>
          <w:sz w:val="28"/>
          <w:szCs w:val="28"/>
        </w:rPr>
        <w:t>征求意见，多次召开会议，对标准草案进行反复修改和研究讨论。修改完成团体标准《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三角梅扦插育苗生产技术规程</w:t>
      </w:r>
      <w:r>
        <w:rPr>
          <w:rFonts w:hint="eastAsia" w:ascii="仿宋_GB2312" w:hAnsi="宋体" w:eastAsia="仿宋_GB2312"/>
          <w:sz w:val="28"/>
          <w:szCs w:val="28"/>
        </w:rPr>
        <w:t>》（征求意见稿）和（征求意见稿）编制说明。</w:t>
      </w:r>
    </w:p>
    <w:p w14:paraId="3D9E563C">
      <w:pPr>
        <w:ind w:firstLine="562" w:firstLineChars="200"/>
        <w:outlineLvl w:val="0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bookmarkStart w:id="0" w:name="_Toc526940083"/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四、标准制定原则</w:t>
      </w:r>
      <w:bookmarkEnd w:id="0"/>
    </w:p>
    <w:p w14:paraId="385447EE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遵循科学性、先进性、合理性和适用性原则，严格按照国家标准GB/T 1.1-2020《标准化工作导则  第1部分：标准化文件的结构和起草规则》的要求，编写标准文件。所制定的标准力求科学规范、指标准确、可操作性强，既与有关国家和行业相关标准接轨，又能满足广西生产实际需要，以便推动广西三角梅种苗生产。</w:t>
      </w:r>
    </w:p>
    <w:p w14:paraId="7C879D57">
      <w:pPr>
        <w:ind w:firstLine="562" w:firstLineChars="200"/>
        <w:outlineLvl w:val="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（一）实用性原则</w:t>
      </w:r>
    </w:p>
    <w:p w14:paraId="30B3B55B"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本文件是在充分收集相关资料和文献，分析</w:t>
      </w:r>
      <w:r>
        <w:rPr>
          <w:rFonts w:hint="eastAsia" w:ascii="仿宋" w:hAnsi="仿宋" w:eastAsia="仿宋"/>
          <w:sz w:val="28"/>
          <w:szCs w:val="28"/>
          <w:lang w:eastAsia="zh-CN"/>
        </w:rPr>
        <w:t>三角梅</w:t>
      </w:r>
      <w:r>
        <w:rPr>
          <w:rFonts w:hint="eastAsia" w:ascii="仿宋" w:hAnsi="仿宋" w:eastAsia="仿宋"/>
          <w:sz w:val="28"/>
          <w:szCs w:val="28"/>
        </w:rPr>
        <w:t>育苗技术的当前现状，调研</w:t>
      </w:r>
      <w:r>
        <w:rPr>
          <w:rFonts w:hint="eastAsia" w:ascii="仿宋" w:hAnsi="仿宋" w:eastAsia="仿宋"/>
          <w:sz w:val="28"/>
          <w:szCs w:val="28"/>
          <w:lang w:eastAsia="zh-CN"/>
        </w:rPr>
        <w:t>三角梅扦插</w:t>
      </w:r>
      <w:r>
        <w:rPr>
          <w:rFonts w:hint="eastAsia" w:ascii="仿宋" w:hAnsi="仿宋" w:eastAsia="仿宋"/>
          <w:sz w:val="28"/>
          <w:szCs w:val="28"/>
        </w:rPr>
        <w:t>育苗的应用情况，在现有国家、行业、地方标准相关技术要求的基础上，结合起草单位多年的研究经验而总结起草的。</w:t>
      </w:r>
      <w:r>
        <w:rPr>
          <w:rFonts w:hint="eastAsia" w:ascii="仿宋" w:hAnsi="仿宋" w:eastAsia="仿宋" w:cs="仿宋_GB2312"/>
          <w:sz w:val="28"/>
          <w:szCs w:val="28"/>
        </w:rPr>
        <w:t>力求做到科学规范、技术先进、指示准确、可操作性强，既与国家相关标准接轨，又符合广西区情。</w:t>
      </w:r>
      <w:r>
        <w:rPr>
          <w:rFonts w:ascii="仿宋" w:hAnsi="仿宋" w:eastAsia="仿宋"/>
          <w:sz w:val="28"/>
          <w:szCs w:val="28"/>
        </w:rPr>
        <w:t xml:space="preserve"> </w:t>
      </w:r>
    </w:p>
    <w:p w14:paraId="17831A39">
      <w:pPr>
        <w:ind w:firstLine="562" w:firstLineChars="200"/>
        <w:outlineLvl w:val="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（二）协调性原则</w:t>
      </w:r>
    </w:p>
    <w:p w14:paraId="2FF651E9">
      <w:pPr>
        <w:ind w:firstLine="560" w:firstLineChars="200"/>
        <w:rPr>
          <w:szCs w:val="21"/>
        </w:rPr>
      </w:pPr>
      <w:r>
        <w:rPr>
          <w:rFonts w:hint="eastAsia" w:ascii="仿宋_GB2312" w:hAnsi="宋体" w:eastAsia="仿宋_GB2312"/>
          <w:sz w:val="28"/>
          <w:szCs w:val="28"/>
        </w:rPr>
        <w:t>本文件编写过程中注意了与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三角梅</w:t>
      </w:r>
      <w:r>
        <w:rPr>
          <w:rFonts w:hint="eastAsia" w:ascii="仿宋_GB2312" w:hAnsi="宋体" w:eastAsia="仿宋_GB2312"/>
          <w:sz w:val="28"/>
          <w:szCs w:val="28"/>
        </w:rPr>
        <w:t>育苗技术相关法律法规的协调问题，在内容上与现行法律法规、标准协调一致。</w:t>
      </w:r>
    </w:p>
    <w:p w14:paraId="7130BA14">
      <w:pPr>
        <w:ind w:firstLine="562" w:firstLineChars="200"/>
        <w:outlineLvl w:val="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（三）规范性原则</w:t>
      </w:r>
    </w:p>
    <w:p w14:paraId="46FC06D3">
      <w:pPr>
        <w:spacing w:line="6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本文件严格按照GB/T 1.1—2020《标准化工作导则  第1部分：标准化文件的结构和起草规则》的要求和规定编写本标准的内容，保证标准的编写质量。</w:t>
      </w:r>
    </w:p>
    <w:p w14:paraId="23722D77">
      <w:pPr>
        <w:ind w:firstLine="562" w:firstLineChars="200"/>
        <w:outlineLvl w:val="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（四）前瞻性原则</w:t>
      </w:r>
    </w:p>
    <w:p w14:paraId="79D947A8">
      <w:pPr>
        <w:ind w:firstLine="560" w:firstLineChars="200"/>
        <w:rPr>
          <w:szCs w:val="21"/>
        </w:rPr>
      </w:pPr>
      <w:r>
        <w:rPr>
          <w:rFonts w:hint="eastAsia" w:ascii="仿宋_GB2312" w:hAnsi="宋体" w:eastAsia="仿宋_GB2312"/>
          <w:sz w:val="28"/>
          <w:szCs w:val="28"/>
        </w:rPr>
        <w:t>本文件参考已有的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三角梅</w:t>
      </w:r>
      <w:r>
        <w:rPr>
          <w:rFonts w:hint="eastAsia" w:ascii="仿宋_GB2312" w:hAnsi="宋体" w:eastAsia="仿宋_GB2312"/>
          <w:sz w:val="28"/>
          <w:szCs w:val="28"/>
        </w:rPr>
        <w:t>地方标准，以及公开发表的相关文献，</w:t>
      </w:r>
      <w:r>
        <w:rPr>
          <w:rFonts w:hint="eastAsia" w:ascii="仿宋" w:hAnsi="仿宋" w:eastAsia="仿宋" w:cs="仿宋_GB2312"/>
          <w:sz w:val="28"/>
          <w:szCs w:val="28"/>
        </w:rPr>
        <w:t>根据广西区域的气候、生产条件等实际情况，结合多项试验结果和生产经验，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并</w:t>
      </w:r>
      <w:r>
        <w:rPr>
          <w:rFonts w:hint="eastAsia" w:ascii="仿宋_GB2312" w:hAnsi="宋体" w:eastAsia="仿宋_GB2312"/>
          <w:sz w:val="28"/>
          <w:szCs w:val="28"/>
        </w:rPr>
        <w:t>兼顾到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三角梅</w:t>
      </w:r>
      <w:r>
        <w:rPr>
          <w:rFonts w:hint="eastAsia" w:ascii="仿宋_GB2312" w:hAnsi="宋体" w:eastAsia="仿宋_GB2312"/>
          <w:sz w:val="28"/>
          <w:szCs w:val="28"/>
        </w:rPr>
        <w:t>产业化发展的趋势和需要，</w:t>
      </w:r>
      <w:r>
        <w:rPr>
          <w:rFonts w:hint="eastAsia" w:ascii="仿宋" w:hAnsi="仿宋" w:eastAsia="仿宋" w:cs="仿宋_GB2312"/>
          <w:sz w:val="28"/>
          <w:szCs w:val="28"/>
        </w:rPr>
        <w:t>在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标准中</w:t>
      </w:r>
      <w:r>
        <w:rPr>
          <w:rFonts w:hint="eastAsia" w:ascii="仿宋_GB2312" w:hAnsi="宋体" w:eastAsia="仿宋_GB2312"/>
          <w:sz w:val="28"/>
          <w:szCs w:val="28"/>
        </w:rPr>
        <w:t>体现了特色性和前瞻性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既与有关国家和行业相关标准接轨，又能满足广西生产实际需要，以便推动广西三角梅种苗生产。</w:t>
      </w:r>
    </w:p>
    <w:p w14:paraId="17910C95">
      <w:pPr>
        <w:ind w:firstLine="562" w:firstLineChars="200"/>
        <w:outlineLvl w:val="0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bookmarkStart w:id="1" w:name="_Toc526940084"/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五、标准主要内容及依据来源</w:t>
      </w:r>
      <w:bookmarkEnd w:id="1"/>
    </w:p>
    <w:p w14:paraId="575E2FE1">
      <w:pPr>
        <w:ind w:firstLine="562" w:firstLineChars="200"/>
        <w:outlineLvl w:val="0"/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（一）主要内容</w:t>
      </w:r>
    </w:p>
    <w:p w14:paraId="22D5E9B3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line="240" w:lineRule="auto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团体标准《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三角梅扦插育苗技术规程</w:t>
      </w:r>
      <w:r>
        <w:rPr>
          <w:rFonts w:hint="eastAsia" w:ascii="仿宋_GB2312" w:hAnsi="宋体" w:eastAsia="仿宋_GB2312"/>
          <w:sz w:val="28"/>
          <w:szCs w:val="28"/>
        </w:rPr>
        <w:t>》主要内容包括：采穗圃营建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与管理</w:t>
      </w:r>
      <w:r>
        <w:rPr>
          <w:rFonts w:hint="eastAsia" w:ascii="仿宋_GB2312" w:hAnsi="宋体" w:eastAsia="仿宋_GB2312"/>
          <w:sz w:val="28"/>
          <w:szCs w:val="28"/>
        </w:rPr>
        <w:t>、扦插育苗、插后管理、苗木出圃和档案管理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。</w:t>
      </w:r>
    </w:p>
    <w:p w14:paraId="340A69B8">
      <w:pPr>
        <w:ind w:firstLine="562" w:firstLineChars="200"/>
        <w:outlineLvl w:val="0"/>
        <w:rPr>
          <w:rFonts w:hint="default" w:ascii="仿宋_GB2312" w:hAnsi="仿宋_GB2312" w:eastAsia="仿宋_GB2312" w:cs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（二）关键技术数据来源、依据</w:t>
      </w:r>
    </w:p>
    <w:p w14:paraId="2EE31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outlineLvl w:val="0"/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1、采穗圃营建与管理</w:t>
      </w:r>
    </w:p>
    <w:p w14:paraId="135B5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通过调查发现，在三角梅绿化苗木中，部分成龄植株分枝少，开花少，严重影响其观赏价值。因此，选择采穗母株时，首先需确保其具有良好的开花习性和较强的分枝力。三角梅的花量多少、花期长短因生长地区和苗木生长状况而不同。据“中国植物志”和“中国高等植物图鉴”记载，花期冬春间(广州、海南、云南)，北方温室栽培3月</w:t>
      </w:r>
      <w:r>
        <w:rPr>
          <w:rFonts w:hint="eastAsia" w:ascii="宋体" w:eastAsia="宋体"/>
          <w:color w:val="000000"/>
        </w:rPr>
        <w:t>～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7月开花。</w:t>
      </w:r>
    </w:p>
    <w:p w14:paraId="52801D71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考虑到应允许使用不同品种的三角梅优良种质资源建立采穗圃，本标准规定：建立采穗圃应选择开花量多、花期长、分枝多、冠形优美、生长良好的2</w:t>
      </w:r>
      <w:r>
        <w:rPr>
          <w:rFonts w:hint="eastAsia" w:ascii="仿宋" w:hAnsi="仿宋" w:eastAsia="仿宋" w:cs="仿宋"/>
          <w:sz w:val="28"/>
          <w:szCs w:val="28"/>
          <w:vertAlign w:val="superscript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a</w:t>
      </w:r>
      <w:r>
        <w:rPr>
          <w:rFonts w:hint="eastAsia" w:ascii="宋体" w:eastAsia="宋体"/>
          <w:color w:val="000000"/>
        </w:rPr>
        <w:t>～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vertAlign w:val="superscript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a生优良单株。同时，根据长期生产实践的经验，为了便于采集穗条，确定采穗圃定植的株行距为0.7</w:t>
      </w:r>
      <w:r>
        <w:rPr>
          <w:rFonts w:hint="eastAsia" w:ascii="仿宋" w:hAnsi="仿宋" w:eastAsia="仿宋" w:cs="仿宋"/>
          <w:sz w:val="28"/>
          <w:szCs w:val="28"/>
          <w:vertAlign w:val="superscript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cm </w:t>
      </w:r>
      <w:r>
        <w:rPr>
          <w:rFonts w:hint="default" w:ascii="Arial" w:hAnsi="Arial" w:eastAsia="仿宋" w:cs="Arial"/>
          <w:sz w:val="28"/>
          <w:szCs w:val="28"/>
          <w:lang w:val="en-US" w:eastAsia="zh-CN"/>
        </w:rPr>
        <w:t>×</w:t>
      </w:r>
      <w:r>
        <w:rPr>
          <w:rFonts w:hint="eastAsia" w:ascii="Arial" w:hAnsi="Arial" w:eastAsia="仿宋" w:cs="Arial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1.5</w:t>
      </w:r>
      <w:r>
        <w:rPr>
          <w:rFonts w:hint="eastAsia" w:ascii="仿宋" w:hAnsi="仿宋" w:eastAsia="仿宋" w:cs="仿宋"/>
          <w:sz w:val="28"/>
          <w:szCs w:val="28"/>
          <w:vertAlign w:val="superscript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m，并规定植株高度应控制在2</w:t>
      </w:r>
      <w:r>
        <w:rPr>
          <w:rFonts w:hint="eastAsia" w:ascii="仿宋" w:hAnsi="仿宋" w:eastAsia="仿宋" w:cs="仿宋"/>
          <w:sz w:val="28"/>
          <w:szCs w:val="28"/>
          <w:vertAlign w:val="superscript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m</w:t>
      </w:r>
      <w:r>
        <w:rPr>
          <w:rFonts w:hint="eastAsia" w:ascii="宋体" w:eastAsia="宋体"/>
          <w:color w:val="000000"/>
        </w:rPr>
        <w:t>～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vertAlign w:val="superscript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m以内。</w:t>
      </w:r>
    </w:p>
    <w:p w14:paraId="637A2771">
      <w:pPr>
        <w:pStyle w:val="5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napToGrid/>
        <w:spacing w:before="157" w:beforeLines="50" w:after="0" w:afterLines="0" w:line="24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kern w:val="2"/>
          <w:sz w:val="28"/>
          <w:szCs w:val="28"/>
          <w:lang w:val="en-US" w:eastAsia="zh-CN" w:bidi="ar-SA"/>
        </w:rPr>
        <w:t>扦插育苗</w:t>
      </w:r>
    </w:p>
    <w:p w14:paraId="092227FF">
      <w:pPr>
        <w:pStyle w:val="5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157" w:beforeLines="50" w:after="0" w:afterLines="0" w:line="24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28"/>
          <w:szCs w:val="28"/>
          <w:lang w:val="en-US" w:eastAsia="zh-CN" w:bidi="ar-SA"/>
        </w:rPr>
        <w:t>（1）插床准备</w:t>
      </w:r>
    </w:p>
    <w:p w14:paraId="2CF575C3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line="240" w:lineRule="auto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在育苗地起垄做床，垄高25 cm～30 cm，垄宽120 cm，步道宽80 cm；基质选择黄泥土和充分发酵过的滤泥（甘蔗渣）（体积比4:1），厚度25 cm～30 cm；扦插前24 h用0.5 ％高锰酸钾水溶液消毒插床；为了保持并抑制杂草生长，使用灰色和黑色的双色塑料膜平铺于插床，灰色朝上，薄膜边缘用竹签固定；插床上搭50cm高拱棚和遮阳网。</w:t>
      </w:r>
    </w:p>
    <w:p w14:paraId="0E150EBA">
      <w:pPr>
        <w:pStyle w:val="5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before="157" w:beforeLines="50" w:after="0" w:afterLines="0" w:line="240" w:lineRule="auto"/>
        <w:ind w:firstLine="560" w:firstLineChars="200"/>
        <w:textAlignment w:val="auto"/>
        <w:rPr>
          <w:rFonts w:hint="default" w:ascii="仿宋_GB2312" w:hAnsi="仿宋_GB2312" w:eastAsia="仿宋_GB2312" w:cs="仿宋_GB2312"/>
          <w:b w:val="0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28"/>
          <w:szCs w:val="28"/>
          <w:lang w:val="en-US" w:eastAsia="zh-CN" w:bidi="ar-SA"/>
        </w:rPr>
        <w:t>（2）扦插方法</w:t>
      </w:r>
    </w:p>
    <w:p w14:paraId="2807E21F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0" w:afterLines="0" w:line="240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仿宋"/>
          <w:b w:val="0"/>
          <w:kern w:val="2"/>
          <w:sz w:val="28"/>
          <w:szCs w:val="28"/>
          <w:lang w:val="en-US" w:eastAsia="zh-CN" w:bidi="ar-SA"/>
        </w:rPr>
        <w:t>①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en-US" w:eastAsia="zh-CN" w:bidi="ar-SA"/>
        </w:rPr>
        <w:t>扦插时间和穗条选择</w:t>
      </w:r>
    </w:p>
    <w:p w14:paraId="3CF553FC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0" w:afterLines="0" w:line="240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en-US" w:eastAsia="zh-CN" w:bidi="ar-SA"/>
        </w:rPr>
        <w:t>于春季3月～5月或秋季9月～11月，选择生长健壮、无病虫害的1 a～2 a生木质化枝条作为穗条，穗条长度为20 cm～25 cm，保留4个～6个芽。</w:t>
      </w:r>
    </w:p>
    <w:p w14:paraId="22C32CDA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0" w:afterLines="0" w:line="240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仿宋"/>
          <w:b w:val="0"/>
          <w:kern w:val="2"/>
          <w:sz w:val="28"/>
          <w:szCs w:val="28"/>
          <w:lang w:val="en-US" w:eastAsia="zh-CN" w:bidi="ar-SA"/>
        </w:rPr>
        <w:t>②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en-US" w:eastAsia="zh-CN" w:bidi="ar-SA"/>
        </w:rPr>
        <w:t>基质和激素配制</w:t>
      </w:r>
    </w:p>
    <w:p w14:paraId="6D00F44D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为了摸清适宜三角梅扦插的最适基质和激素配比，采用正交试验设计。基质分别为：黄心土：滤泥（4：1）；河沙；泥炭土；粗河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沙: 蜂窝煤灰: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黄心土（1：1：1：1）；珍珠岩: 蛭石（1：1）；泥炭土：珍珠岩：河沙（1∶1∶1）。以上比值均为体积比。</w:t>
      </w:r>
    </w:p>
    <w:p w14:paraId="0478FCA1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激素为 2,4-D和NAA，其中 2,4-D浓度分别为125mg/L、250mg/L、375mg/L，NAA浓度分别为225mg/L、425mg/L、625mg/L，CK为对照。</w:t>
      </w:r>
    </w:p>
    <w:p w14:paraId="489A9A44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3月下旬扦插，扦插株行距10 cm × 15 cm，扦插深度为插条长度的1/4～1/54月下旬调查生根率，5月统计成活率，试验结果见表1。</w:t>
      </w:r>
    </w:p>
    <w:p w14:paraId="41B17314">
      <w:pPr>
        <w:numPr>
          <w:ilvl w:val="0"/>
          <w:numId w:val="0"/>
        </w:numPr>
        <w:ind w:firstLine="482" w:firstLineChars="200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表1 不同基质不同激素浓度对三角梅扦插生根的影响</w:t>
      </w:r>
    </w:p>
    <w:tbl>
      <w:tblPr>
        <w:tblStyle w:val="8"/>
        <w:tblW w:w="92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582"/>
        <w:gridCol w:w="1580"/>
        <w:gridCol w:w="1410"/>
        <w:gridCol w:w="960"/>
        <w:gridCol w:w="960"/>
        <w:gridCol w:w="960"/>
        <w:gridCol w:w="960"/>
      </w:tblGrid>
      <w:tr w14:paraId="5A6FF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042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处理序号</w:t>
            </w:r>
          </w:p>
        </w:tc>
        <w:tc>
          <w:tcPr>
            <w:tcW w:w="1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6C81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基质</w:t>
            </w:r>
          </w:p>
        </w:tc>
        <w:tc>
          <w:tcPr>
            <w:tcW w:w="2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481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生长调节剂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D6C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扦插株数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213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生根株数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167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生根率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%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962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成活率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%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</w:p>
        </w:tc>
      </w:tr>
      <w:tr w14:paraId="0551C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72F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833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A1B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2,4-D（mg/L）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F86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NAA（mg/L）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D1D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62E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705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969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A45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5805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C56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黄心土：滤泥（4：1）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0BA0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06A5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C5C2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FB02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5451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EECD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86.67</w:t>
            </w:r>
          </w:p>
        </w:tc>
      </w:tr>
      <w:tr w14:paraId="41B5F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A3C9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E6D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0BBD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71E0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9214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A9C9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9A16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2DCF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93.33</w:t>
            </w:r>
          </w:p>
        </w:tc>
      </w:tr>
      <w:tr w14:paraId="742D3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34AB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A76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26C9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4B67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EBCE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C226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86DC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AFB1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96.67</w:t>
            </w:r>
          </w:p>
        </w:tc>
      </w:tr>
      <w:tr w14:paraId="7F60D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5BA83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CB3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C358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E09E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8517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7EB4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DDE3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9DE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83.33</w:t>
            </w:r>
          </w:p>
        </w:tc>
      </w:tr>
      <w:tr w14:paraId="1B72B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43CD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267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4AD9F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09B6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CDB9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70D38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733A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0E5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86.67</w:t>
            </w:r>
          </w:p>
        </w:tc>
      </w:tr>
      <w:tr w14:paraId="74114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E9307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CE2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BDF1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8781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0D9C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21741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4CCA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93.33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D07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92.22</w:t>
            </w:r>
          </w:p>
        </w:tc>
      </w:tr>
      <w:tr w14:paraId="4D5CE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8883C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CEF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E9A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385A8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A57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B7C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DE301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583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77.78</w:t>
            </w:r>
          </w:p>
        </w:tc>
      </w:tr>
      <w:tr w14:paraId="3AAFE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AE91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FB7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AE68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B58C6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6D5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C04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9C53A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A4C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86.67</w:t>
            </w:r>
          </w:p>
        </w:tc>
      </w:tr>
      <w:tr w14:paraId="47A98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5052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94F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142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6936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219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614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95A4E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BF1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83.33</w:t>
            </w:r>
          </w:p>
        </w:tc>
      </w:tr>
      <w:tr w14:paraId="160CF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770A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C53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C41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F192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78C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C7C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DF57B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1B1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27.78</w:t>
            </w:r>
          </w:p>
        </w:tc>
      </w:tr>
      <w:tr w14:paraId="6936B5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D1E76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A74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河沙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9B49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4730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C12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FE2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88A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A57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61.11</w:t>
            </w:r>
          </w:p>
        </w:tc>
      </w:tr>
      <w:tr w14:paraId="44C27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1BCB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1C7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6E3B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A9E7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606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79E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EEE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5D6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62.22</w:t>
            </w:r>
          </w:p>
        </w:tc>
      </w:tr>
      <w:tr w14:paraId="6B7A3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131A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4F9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557B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E79F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D1F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A79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6AC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0C8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77.78</w:t>
            </w:r>
          </w:p>
        </w:tc>
      </w:tr>
      <w:tr w14:paraId="4ED80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4FBD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4DB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27263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F5AC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3E2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D8E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D30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F9B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70.00</w:t>
            </w:r>
          </w:p>
        </w:tc>
      </w:tr>
      <w:tr w14:paraId="73F40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7D868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D80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C465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95AC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CDC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9DC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A3C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9DE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75.56</w:t>
            </w:r>
          </w:p>
        </w:tc>
      </w:tr>
      <w:tr w14:paraId="17B5E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8C85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6ED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12496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57DE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709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B71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B22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0D2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77.78</w:t>
            </w:r>
          </w:p>
        </w:tc>
      </w:tr>
      <w:tr w14:paraId="455D4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535B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43E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7C5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1DC7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322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E29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38A3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B2F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66.67</w:t>
            </w:r>
          </w:p>
        </w:tc>
      </w:tr>
      <w:tr w14:paraId="31300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092EF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B5C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294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723E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A8B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10C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F4E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A7B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70.00</w:t>
            </w:r>
          </w:p>
        </w:tc>
      </w:tr>
      <w:tr w14:paraId="210BA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EE01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07E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605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4C10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51F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99D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960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E97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72.22</w:t>
            </w:r>
          </w:p>
        </w:tc>
      </w:tr>
      <w:tr w14:paraId="48C4B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98186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5C4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358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7D3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82F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E85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3E6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F94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18.89</w:t>
            </w:r>
          </w:p>
        </w:tc>
      </w:tr>
      <w:tr w14:paraId="157F4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8B9C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710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泥炭土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3DBF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D3BAC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759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834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DF9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C11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83.33</w:t>
            </w:r>
          </w:p>
        </w:tc>
      </w:tr>
      <w:tr w14:paraId="4E586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365A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FEB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F14C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CC71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BCB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429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D73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56A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88.89</w:t>
            </w:r>
          </w:p>
        </w:tc>
      </w:tr>
      <w:tr w14:paraId="40889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34309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0BF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DB990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CB18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197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FFC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155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512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90.00</w:t>
            </w:r>
          </w:p>
        </w:tc>
      </w:tr>
      <w:tr w14:paraId="4D182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352E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92F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576CE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D0536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594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378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E16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E5E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77.78</w:t>
            </w:r>
          </w:p>
        </w:tc>
      </w:tr>
      <w:tr w14:paraId="650BE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54EF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851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EA59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6A7E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472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A50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E36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21F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81.11</w:t>
            </w:r>
          </w:p>
        </w:tc>
      </w:tr>
      <w:tr w14:paraId="30BD2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B724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4FE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D3415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DDD6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F88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8A5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91F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44F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85.56</w:t>
            </w:r>
          </w:p>
        </w:tc>
      </w:tr>
      <w:tr w14:paraId="3B419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CB38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AE3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E61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627D1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DF8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580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058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1E8C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66.67</w:t>
            </w:r>
          </w:p>
        </w:tc>
      </w:tr>
      <w:tr w14:paraId="51AE0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ED9E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27D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DBE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6CC44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77B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FF0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6EA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F1B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74.44</w:t>
            </w:r>
          </w:p>
        </w:tc>
      </w:tr>
      <w:tr w14:paraId="396E8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51F2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C5A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86E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26D1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ABC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AEF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C02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58C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80.00</w:t>
            </w:r>
          </w:p>
        </w:tc>
      </w:tr>
      <w:tr w14:paraId="1CD93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491A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348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E60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F92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AD2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A51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A37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31.11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98C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27.78</w:t>
            </w:r>
          </w:p>
        </w:tc>
      </w:tr>
      <w:tr w14:paraId="0C2D4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8232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70C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珍珠岩: 蛭石（1：1）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ABDF8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8836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B5E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8E9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AAD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FDF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43.33</w:t>
            </w:r>
          </w:p>
        </w:tc>
      </w:tr>
      <w:tr w14:paraId="2DC7E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59E9F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853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B7F3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433F2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9E7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563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DCB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97A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46.67</w:t>
            </w:r>
          </w:p>
        </w:tc>
      </w:tr>
      <w:tr w14:paraId="07F19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79EC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B70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0945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EC4AA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16B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109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BFA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195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55.56</w:t>
            </w:r>
          </w:p>
        </w:tc>
      </w:tr>
      <w:tr w14:paraId="01829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8E4D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52F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3C2C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C0AFC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153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520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7F0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47.78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8DE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33.33</w:t>
            </w:r>
          </w:p>
        </w:tc>
      </w:tr>
      <w:tr w14:paraId="6C8F1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2381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E8B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E76B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016B1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651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BE1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D44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011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36.67</w:t>
            </w:r>
          </w:p>
        </w:tc>
      </w:tr>
      <w:tr w14:paraId="1DC09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8BD4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528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B9E4B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EE476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1A7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9BA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142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D4D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51.11</w:t>
            </w:r>
          </w:p>
        </w:tc>
      </w:tr>
      <w:tr w14:paraId="3BAAC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89A8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FDD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F75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F4BD6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E58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3E9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C55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0D92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42.22</w:t>
            </w:r>
          </w:p>
        </w:tc>
      </w:tr>
      <w:tr w14:paraId="2C524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771B8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646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0CE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27FF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4AB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509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572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8D5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45.56</w:t>
            </w:r>
          </w:p>
        </w:tc>
      </w:tr>
      <w:tr w14:paraId="43EE5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4E48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A74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12A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A9E9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7B8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C9B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A88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715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55.56</w:t>
            </w:r>
          </w:p>
        </w:tc>
      </w:tr>
      <w:tr w14:paraId="02AAC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DC3C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10F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21C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74D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B95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DE3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8BB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26.67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7BE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21.11</w:t>
            </w:r>
          </w:p>
        </w:tc>
      </w:tr>
      <w:tr w14:paraId="6D589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A959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5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796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泥炭土：珍珠岩：河沙  （1∶1∶1）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BBB2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94C3B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324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6A4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FA8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A27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85.56</w:t>
            </w:r>
          </w:p>
        </w:tc>
      </w:tr>
      <w:tr w14:paraId="43A49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77CCA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26F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1C51A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B415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C32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BC2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97C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EE8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92.22</w:t>
            </w:r>
          </w:p>
        </w:tc>
      </w:tr>
      <w:tr w14:paraId="40723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2F15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1B2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23646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213F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FA9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9E3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83A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BE2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93.33</w:t>
            </w:r>
          </w:p>
        </w:tc>
      </w:tr>
      <w:tr w14:paraId="20458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8A19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DF0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5FCD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CFEC3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665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379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DEF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79E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81.11</w:t>
            </w:r>
          </w:p>
        </w:tc>
      </w:tr>
      <w:tr w14:paraId="409D3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761A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DE4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69A6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D470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163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000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2E4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88B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84.44</w:t>
            </w:r>
          </w:p>
        </w:tc>
      </w:tr>
      <w:tr w14:paraId="0C41C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6A838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48E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C968E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43D61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6B3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9F8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51E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1BE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90.00</w:t>
            </w:r>
          </w:p>
        </w:tc>
      </w:tr>
      <w:tr w14:paraId="4392F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BC9E6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741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1CF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B9261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33A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5EE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46C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7AC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83.33</w:t>
            </w:r>
          </w:p>
        </w:tc>
      </w:tr>
      <w:tr w14:paraId="332CE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F21E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FF8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A2D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A3BD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EE5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8C9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4FD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713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86.67</w:t>
            </w:r>
          </w:p>
        </w:tc>
      </w:tr>
      <w:tr w14:paraId="232DE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90C9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D0D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A58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0D1EC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BBA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810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B85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6C0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91.11</w:t>
            </w:r>
          </w:p>
        </w:tc>
      </w:tr>
      <w:tr w14:paraId="19011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984BC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5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196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B0D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51F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AA0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992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B7E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93F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23.33</w:t>
            </w:r>
          </w:p>
        </w:tc>
      </w:tr>
    </w:tbl>
    <w:p w14:paraId="759B4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由表1可知，在所有处理中，处理1即黄心土：滤泥（4：1）+125mg/L 2,4-D+625mg/L NAA扦插三角梅生根率和成活率均最高，分别达98.89%和96.67%。在相同基质配比下，激素浓度组合125mg/L 2,4-D+625mg/L NAA时的生根率和成活率均高于其他激素浓度组合，对照时的生根率和成活率最低。相同激素配比下，黄心土：滤泥（4：1）均高于其他基质。</w:t>
      </w:r>
    </w:p>
    <w:p w14:paraId="23F4666F">
      <w:pPr>
        <w:pStyle w:val="5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 w:line="24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kern w:val="2"/>
          <w:sz w:val="28"/>
          <w:szCs w:val="28"/>
          <w:lang w:val="en-US" w:eastAsia="zh-CN" w:bidi="ar-SA"/>
        </w:rPr>
        <w:t>3、插后管理</w:t>
      </w:r>
    </w:p>
    <w:p w14:paraId="08BC7B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拱棚内空气相对湿度保持在70 ％～90 ％之间，温度以20 ℃～30 ℃为宜，超过30 ℃时打开拱棚两端通风降温；苗高大于40 cm拆除塑料薄膜及遮阳网；叶面喷施0.3％磷酸二氢钾，每20 d施1次。</w:t>
      </w:r>
    </w:p>
    <w:p w14:paraId="34E90C0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三角梅苗期病虫害较少，偶尔见叶斑病、蚜虫等，叶斑病发病初期可用75％百菌清可湿性粉剂500～800倍液每隔10 d～15 d喷施1次，连续2～3次。蚜虫初发期，用10％吡虫啉可湿性粉剂1 000～1 500倍液每隔7 d～10 d喷施1次，连续2～3次。上述方法均可达到较好控制效果。</w:t>
      </w:r>
    </w:p>
    <w:p w14:paraId="30D9BC45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Chars="200"/>
        <w:textAlignment w:val="auto"/>
        <w:rPr>
          <w:rFonts w:hint="eastAsia" w:ascii="仿宋_GB2312" w:hAnsi="仿宋_GB2312" w:eastAsia="仿宋_GB2312" w:cs="仿宋_GB2312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kern w:val="2"/>
          <w:sz w:val="28"/>
          <w:szCs w:val="28"/>
          <w:lang w:val="en-US" w:eastAsia="zh-CN" w:bidi="ar-SA"/>
        </w:rPr>
        <w:t>4、苗木出圃与运输</w:t>
      </w:r>
    </w:p>
    <w:p w14:paraId="1BF71063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firstLine="560" w:firstLineChars="200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当苗木地径≧0.5 cm、苗高≧40 cm时即可起苗。运输时每捆30 株～50 株，挂标签，注明等级和数量。</w:t>
      </w:r>
    </w:p>
    <w:p w14:paraId="33A715F6">
      <w:pPr>
        <w:ind w:firstLine="562" w:firstLineChars="200"/>
        <w:outlineLvl w:val="0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 xml:space="preserve"> 六、国内同类标准制修订情况及与法律法规、强制性标准关系</w:t>
      </w:r>
    </w:p>
    <w:p w14:paraId="386CBF5F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目前，与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三角梅育苗</w:t>
      </w:r>
      <w:r>
        <w:rPr>
          <w:rFonts w:hint="eastAsia" w:ascii="仿宋_GB2312" w:hAnsi="宋体" w:eastAsia="仿宋_GB2312"/>
          <w:sz w:val="28"/>
          <w:szCs w:val="28"/>
        </w:rPr>
        <w:t>相关的标准有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DB46/T 429-2017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lang w:val="en-US" w:eastAsia="zh-CN" w:bidi="ar"/>
        </w:rPr>
        <w:t>《</w:t>
      </w:r>
      <w:r>
        <w:rPr>
          <w:rFonts w:hint="default" w:ascii="仿宋_GB2312" w:hAnsi="宋体" w:eastAsia="仿宋_GB2312"/>
          <w:sz w:val="28"/>
          <w:szCs w:val="28"/>
          <w:lang w:val="en-US" w:eastAsia="zh-CN"/>
        </w:rPr>
        <w:t>三角梅容器苗木生产技术规程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》</w:t>
      </w:r>
      <w:r>
        <w:rPr>
          <w:rFonts w:hint="eastAsia" w:ascii="仿宋_GB2312" w:hAnsi="宋体" w:eastAsia="仿宋_GB2312"/>
          <w:sz w:val="28"/>
          <w:szCs w:val="28"/>
        </w:rPr>
        <w:t>、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DB46/T 428-2017《三角梅扦插育苗技术规程》</w:t>
      </w:r>
      <w:r>
        <w:rPr>
          <w:rFonts w:hint="eastAsia" w:ascii="仿宋_GB2312" w:hAnsi="宋体" w:eastAsia="仿宋_GB2312"/>
          <w:sz w:val="28"/>
          <w:szCs w:val="28"/>
        </w:rPr>
        <w:t>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上述两个标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准均规定了三角梅育苗的相关技术内容</w:t>
      </w:r>
      <w:r>
        <w:rPr>
          <w:rFonts w:hint="eastAsia" w:ascii="仿宋_GB2312" w:hAnsi="宋体" w:eastAsia="仿宋_GB2312"/>
          <w:sz w:val="28"/>
          <w:szCs w:val="28"/>
        </w:rPr>
        <w:t>。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该标准与相关标准的对比见表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2和表3。</w:t>
      </w:r>
    </w:p>
    <w:p w14:paraId="19A9D36C">
      <w:pPr>
        <w:numPr>
          <w:ilvl w:val="0"/>
          <w:numId w:val="0"/>
        </w:numPr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表2本文件与海南地方标准</w:t>
      </w:r>
      <w: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  <w:t>DB46/T 429-2017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《</w:t>
      </w:r>
      <w: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  <w:t>三角梅容器苗木生产技术规程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》的对比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263"/>
        <w:gridCol w:w="2834"/>
        <w:gridCol w:w="2176"/>
        <w:gridCol w:w="1553"/>
      </w:tblGrid>
      <w:tr w14:paraId="50C88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</w:tcPr>
          <w:p w14:paraId="7E4CFF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1263" w:type="dxa"/>
          </w:tcPr>
          <w:p w14:paraId="74EB3B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主要内容</w:t>
            </w:r>
          </w:p>
        </w:tc>
        <w:tc>
          <w:tcPr>
            <w:tcW w:w="2834" w:type="dxa"/>
          </w:tcPr>
          <w:p w14:paraId="1AA1C9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DB46/T 429-2017</w:t>
            </w:r>
          </w:p>
        </w:tc>
        <w:tc>
          <w:tcPr>
            <w:tcW w:w="2176" w:type="dxa"/>
          </w:tcPr>
          <w:p w14:paraId="6F582E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本文件</w:t>
            </w:r>
          </w:p>
        </w:tc>
        <w:tc>
          <w:tcPr>
            <w:tcW w:w="1553" w:type="dxa"/>
          </w:tcPr>
          <w:p w14:paraId="271ECA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说明</w:t>
            </w:r>
          </w:p>
        </w:tc>
      </w:tr>
      <w:tr w14:paraId="1D718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</w:tcPr>
          <w:p w14:paraId="3D04AA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263" w:type="dxa"/>
          </w:tcPr>
          <w:p w14:paraId="1628F9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有机肥</w:t>
            </w:r>
          </w:p>
        </w:tc>
        <w:tc>
          <w:tcPr>
            <w:tcW w:w="2834" w:type="dxa"/>
          </w:tcPr>
          <w:p w14:paraId="339834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鸡粪、羊粪</w:t>
            </w:r>
          </w:p>
        </w:tc>
        <w:tc>
          <w:tcPr>
            <w:tcW w:w="2176" w:type="dxa"/>
          </w:tcPr>
          <w:p w14:paraId="722513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滤泥（蔗糖渣）</w:t>
            </w:r>
          </w:p>
        </w:tc>
        <w:tc>
          <w:tcPr>
            <w:tcW w:w="1553" w:type="dxa"/>
          </w:tcPr>
          <w:p w14:paraId="04BA47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编制小组做了基质试验，证明该方法可行。</w:t>
            </w:r>
          </w:p>
        </w:tc>
      </w:tr>
      <w:tr w14:paraId="1644B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</w:tcPr>
          <w:p w14:paraId="6B5763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63" w:type="dxa"/>
          </w:tcPr>
          <w:p w14:paraId="660388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移盆断根</w:t>
            </w:r>
          </w:p>
        </w:tc>
        <w:tc>
          <w:tcPr>
            <w:tcW w:w="2834" w:type="dxa"/>
          </w:tcPr>
          <w:p w14:paraId="4D385A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容器苗出铺前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15天移盆1次。</w:t>
            </w:r>
          </w:p>
        </w:tc>
        <w:tc>
          <w:tcPr>
            <w:tcW w:w="2176" w:type="dxa"/>
          </w:tcPr>
          <w:p w14:paraId="07436C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出铺时不需要移盆，直接从苗床起苗装盆即可。</w:t>
            </w:r>
          </w:p>
        </w:tc>
        <w:tc>
          <w:tcPr>
            <w:tcW w:w="1553" w:type="dxa"/>
          </w:tcPr>
          <w:p w14:paraId="2355EA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本文件直接插在垄上，有足够生长空间，根系生长健壮，达到起苗规格后可直接起苗。</w:t>
            </w:r>
          </w:p>
        </w:tc>
      </w:tr>
      <w:tr w14:paraId="52E7D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</w:tcPr>
          <w:p w14:paraId="50D2CC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263" w:type="dxa"/>
          </w:tcPr>
          <w:p w14:paraId="2C2787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扦插</w:t>
            </w:r>
          </w:p>
        </w:tc>
        <w:tc>
          <w:tcPr>
            <w:tcW w:w="2834" w:type="dxa"/>
          </w:tcPr>
          <w:p w14:paraId="40EECC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未涉及扦插内容</w:t>
            </w:r>
          </w:p>
        </w:tc>
        <w:tc>
          <w:tcPr>
            <w:tcW w:w="2176" w:type="dxa"/>
          </w:tcPr>
          <w:p w14:paraId="7792EB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扦插内容详细</w:t>
            </w:r>
          </w:p>
        </w:tc>
        <w:tc>
          <w:tcPr>
            <w:tcW w:w="1553" w:type="dxa"/>
          </w:tcPr>
          <w:p w14:paraId="1BAE18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本文件是关于扦插育苗的标准。</w:t>
            </w:r>
          </w:p>
        </w:tc>
      </w:tr>
    </w:tbl>
    <w:p w14:paraId="7FDF290F">
      <w:pPr>
        <w:keepNext w:val="0"/>
        <w:keepLines w:val="0"/>
        <w:widowControl/>
        <w:suppressLineNumbers w:val="0"/>
        <w:jc w:val="both"/>
        <w:rPr>
          <w:rFonts w:hint="eastAsia" w:ascii="仿宋_GB2312" w:hAnsi="宋体" w:eastAsia="仿宋_GB2312"/>
          <w:sz w:val="28"/>
          <w:szCs w:val="28"/>
        </w:rPr>
      </w:pPr>
    </w:p>
    <w:p w14:paraId="487D27C3">
      <w:pPr>
        <w:numPr>
          <w:ilvl w:val="0"/>
          <w:numId w:val="0"/>
        </w:numPr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表3本文件与海南地方标准DB46/T 428-2017《三角梅扦插育苗技术规程》的对比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33A8B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top"/>
          </w:tcPr>
          <w:p w14:paraId="710D56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1704" w:type="dxa"/>
            <w:vAlign w:val="top"/>
          </w:tcPr>
          <w:p w14:paraId="7CB7DF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主要内容</w:t>
            </w:r>
          </w:p>
        </w:tc>
        <w:tc>
          <w:tcPr>
            <w:tcW w:w="1704" w:type="dxa"/>
            <w:vAlign w:val="top"/>
          </w:tcPr>
          <w:p w14:paraId="35D2C0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DB46/T 428-2017</w:t>
            </w:r>
          </w:p>
        </w:tc>
        <w:tc>
          <w:tcPr>
            <w:tcW w:w="1705" w:type="dxa"/>
            <w:vAlign w:val="top"/>
          </w:tcPr>
          <w:p w14:paraId="44EC63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本文件</w:t>
            </w:r>
          </w:p>
        </w:tc>
        <w:tc>
          <w:tcPr>
            <w:tcW w:w="1705" w:type="dxa"/>
            <w:vAlign w:val="top"/>
          </w:tcPr>
          <w:p w14:paraId="2F6556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说明</w:t>
            </w:r>
          </w:p>
        </w:tc>
      </w:tr>
      <w:tr w14:paraId="72623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3BCA34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704" w:type="dxa"/>
          </w:tcPr>
          <w:p w14:paraId="7A9CA4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大棚</w:t>
            </w:r>
          </w:p>
        </w:tc>
        <w:tc>
          <w:tcPr>
            <w:tcW w:w="1704" w:type="dxa"/>
          </w:tcPr>
          <w:p w14:paraId="69BE93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建设大棚</w:t>
            </w:r>
          </w:p>
        </w:tc>
        <w:tc>
          <w:tcPr>
            <w:tcW w:w="1705" w:type="dxa"/>
          </w:tcPr>
          <w:p w14:paraId="357C44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无需建设大棚</w:t>
            </w:r>
          </w:p>
        </w:tc>
        <w:tc>
          <w:tcPr>
            <w:tcW w:w="1705" w:type="dxa"/>
          </w:tcPr>
          <w:p w14:paraId="6936EA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本文件在大棚外扦插节约育苗成本、缩短育苗时间。</w:t>
            </w:r>
          </w:p>
        </w:tc>
      </w:tr>
      <w:tr w14:paraId="2361A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7CB123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704" w:type="dxa"/>
          </w:tcPr>
          <w:p w14:paraId="10984B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苗床</w:t>
            </w:r>
          </w:p>
        </w:tc>
        <w:tc>
          <w:tcPr>
            <w:tcW w:w="1704" w:type="dxa"/>
          </w:tcPr>
          <w:p w14:paraId="429666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在大棚内做苗床</w:t>
            </w:r>
          </w:p>
        </w:tc>
        <w:tc>
          <w:tcPr>
            <w:tcW w:w="1705" w:type="dxa"/>
          </w:tcPr>
          <w:p w14:paraId="211212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直接在户外圃地起垄做床</w:t>
            </w:r>
          </w:p>
        </w:tc>
        <w:tc>
          <w:tcPr>
            <w:tcW w:w="1705" w:type="dxa"/>
          </w:tcPr>
          <w:p w14:paraId="1CAE6E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本文件直接在垄上做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50cm高的拱棚。</w:t>
            </w:r>
          </w:p>
        </w:tc>
      </w:tr>
      <w:tr w14:paraId="55EE2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09BB49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704" w:type="dxa"/>
          </w:tcPr>
          <w:p w14:paraId="0B29A4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基质</w:t>
            </w:r>
          </w:p>
        </w:tc>
        <w:tc>
          <w:tcPr>
            <w:tcW w:w="1704" w:type="dxa"/>
          </w:tcPr>
          <w:p w14:paraId="371481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木质化插条用泥炭：珍珠岩：红土（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3:1:1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1705" w:type="dxa"/>
          </w:tcPr>
          <w:p w14:paraId="255059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黄泥土和充分发酵过的滤泥（甘蔗渣），按体积比</w:t>
            </w:r>
            <w:r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4:1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混合，厚度</w:t>
            </w:r>
            <w:r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25 cm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～</w:t>
            </w:r>
            <w:r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30 cm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。</w:t>
            </w:r>
          </w:p>
        </w:tc>
        <w:tc>
          <w:tcPr>
            <w:tcW w:w="1705" w:type="dxa"/>
          </w:tcPr>
          <w:p w14:paraId="67B5A0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经过试验验证本文件的方法可行。</w:t>
            </w:r>
          </w:p>
        </w:tc>
      </w:tr>
      <w:tr w14:paraId="17FD1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4CEFC8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704" w:type="dxa"/>
          </w:tcPr>
          <w:p w14:paraId="258FE6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插条</w:t>
            </w:r>
          </w:p>
        </w:tc>
        <w:tc>
          <w:tcPr>
            <w:tcW w:w="1704" w:type="dxa"/>
          </w:tcPr>
          <w:p w14:paraId="0F96FB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半木质化、木质化</w:t>
            </w:r>
          </w:p>
        </w:tc>
        <w:tc>
          <w:tcPr>
            <w:tcW w:w="1705" w:type="dxa"/>
          </w:tcPr>
          <w:p w14:paraId="53C975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木质化</w:t>
            </w:r>
          </w:p>
        </w:tc>
        <w:tc>
          <w:tcPr>
            <w:tcW w:w="1705" w:type="dxa"/>
          </w:tcPr>
          <w:p w14:paraId="67FCFC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本文件全部选用木质化插条，可缩短育种周期。</w:t>
            </w:r>
          </w:p>
        </w:tc>
      </w:tr>
      <w:tr w14:paraId="1DFFE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60AAC6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704" w:type="dxa"/>
          </w:tcPr>
          <w:p w14:paraId="6B8F3B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育苗容器</w:t>
            </w:r>
          </w:p>
        </w:tc>
        <w:tc>
          <w:tcPr>
            <w:tcW w:w="1704" w:type="dxa"/>
          </w:tcPr>
          <w:p w14:paraId="2729D1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采用商用塑料薄膜容器袋和穴盘。</w:t>
            </w:r>
          </w:p>
        </w:tc>
        <w:tc>
          <w:tcPr>
            <w:tcW w:w="1705" w:type="dxa"/>
          </w:tcPr>
          <w:p w14:paraId="601B81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不需要容器</w:t>
            </w:r>
          </w:p>
        </w:tc>
        <w:tc>
          <w:tcPr>
            <w:tcW w:w="1705" w:type="dxa"/>
          </w:tcPr>
          <w:p w14:paraId="2666FD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直接扦插在垄上，株行距</w:t>
            </w:r>
            <w:r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10 cm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×</w:t>
            </w:r>
            <w:r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15 cm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，达到起苗规格即可起苗</w:t>
            </w:r>
          </w:p>
        </w:tc>
      </w:tr>
      <w:tr w14:paraId="67F72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1ACE62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704" w:type="dxa"/>
          </w:tcPr>
          <w:p w14:paraId="6A672D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促根处理</w:t>
            </w:r>
          </w:p>
        </w:tc>
        <w:tc>
          <w:tcPr>
            <w:tcW w:w="1704" w:type="dxa"/>
          </w:tcPr>
          <w:p w14:paraId="75DE10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a)用300mg/L吲哚丁酸溶液浸泡处理插穗基部，木质化插穗处理3h。</w:t>
            </w:r>
          </w:p>
          <w:p w14:paraId="603FB5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b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)用500mg/L吲哚丁酸溶液与泥和成的浆浸蘸插穗基部。</w:t>
            </w:r>
          </w:p>
          <w:p w14:paraId="0E483F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c)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  <w:t>用 400 mgL/L萘乙酸溶液和成泥浆浸蘸插穗基部。</w:t>
            </w:r>
          </w:p>
          <w:p w14:paraId="632891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05" w:type="dxa"/>
          </w:tcPr>
          <w:p w14:paraId="050612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扦插前用</w:t>
            </w:r>
            <w:r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125 ml/L 2,4-D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＋</w:t>
            </w:r>
            <w:r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 xml:space="preserve">625 ml/L NAA 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＋</w:t>
            </w:r>
            <w:r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 xml:space="preserve">8.375 g/L 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多菌灵混合液浸泡穗条基部</w:t>
            </w:r>
            <w:r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1.5 h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～</w:t>
            </w:r>
            <w:r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2 h</w:t>
            </w: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。</w:t>
            </w:r>
          </w:p>
        </w:tc>
        <w:tc>
          <w:tcPr>
            <w:tcW w:w="1705" w:type="dxa"/>
          </w:tcPr>
          <w:p w14:paraId="3B7B13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vertAlign w:val="baseline"/>
                <w:lang w:val="en-US" w:eastAsia="zh-CN"/>
              </w:rPr>
              <w:t>本文件采用的促根配方成活率高达96.67%，方法切实可行。</w:t>
            </w:r>
          </w:p>
        </w:tc>
      </w:tr>
    </w:tbl>
    <w:p w14:paraId="4FB8CAB0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</w:p>
    <w:p w14:paraId="75EDB524">
      <w:pPr>
        <w:ind w:firstLine="562" w:firstLineChars="200"/>
        <w:outlineLvl w:val="0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七、重大分歧意见的处理经过和依据</w:t>
      </w:r>
    </w:p>
    <w:p w14:paraId="15A9B71D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本标准研制过程中无重大分歧意见。</w:t>
      </w:r>
    </w:p>
    <w:p w14:paraId="7EDAD329">
      <w:pPr>
        <w:widowControl/>
        <w:ind w:firstLine="560" w:firstLineChars="200"/>
        <w:jc w:val="left"/>
        <w:rPr>
          <w:rFonts w:hint="eastAsia" w:ascii="黑体" w:hAnsi="黑体" w:eastAsia="黑体" w:cs="仿宋_GB2312"/>
          <w:sz w:val="28"/>
          <w:szCs w:val="28"/>
          <w:lang w:val="en-US" w:eastAsia="zh-CN"/>
        </w:rPr>
      </w:pPr>
      <w:r>
        <w:rPr>
          <w:rFonts w:hint="eastAsia" w:ascii="黑体" w:hAnsi="黑体" w:eastAsia="黑体" w:cs="仿宋_GB2312"/>
          <w:sz w:val="28"/>
          <w:szCs w:val="28"/>
          <w:lang w:val="en-US" w:eastAsia="zh-CN"/>
        </w:rPr>
        <w:t>八、自我承诺</w:t>
      </w:r>
    </w:p>
    <w:p w14:paraId="673512FD">
      <w:pPr>
        <w:widowControl/>
        <w:ind w:firstLine="560" w:firstLineChars="200"/>
        <w:jc w:val="left"/>
        <w:rPr>
          <w:rFonts w:hint="eastAsia" w:ascii="黑体" w:hAnsi="黑体" w:eastAsia="黑体" w:cs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本标准内容与各项指标不低于强制性标准要求。</w:t>
      </w:r>
    </w:p>
    <w:p w14:paraId="6A965D37">
      <w:pPr>
        <w:ind w:firstLine="2800" w:firstLineChars="1000"/>
        <w:rPr>
          <w:rFonts w:hint="eastAsia" w:ascii="宋体" w:hAnsi="宋体" w:eastAsia="仿宋"/>
          <w:sz w:val="28"/>
          <w:szCs w:val="28"/>
        </w:rPr>
      </w:pPr>
      <w:r>
        <w:rPr>
          <w:rFonts w:hint="eastAsia" w:eastAsia="仿宋"/>
          <w:sz w:val="28"/>
          <w:szCs w:val="28"/>
        </w:rPr>
        <w:t>团体标准《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三角梅扦插育苗技术规程</w:t>
      </w:r>
      <w:r>
        <w:rPr>
          <w:rFonts w:hint="eastAsia" w:eastAsia="仿宋"/>
          <w:sz w:val="28"/>
          <w:szCs w:val="28"/>
        </w:rPr>
        <w:t>》</w:t>
      </w:r>
    </w:p>
    <w:p w14:paraId="37A24516">
      <w:pPr>
        <w:rPr>
          <w:rFonts w:hint="eastAsia" w:eastAsia="仿宋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                          </w:t>
      </w:r>
      <w:r>
        <w:rPr>
          <w:rFonts w:hint="eastAsia" w:eastAsia="仿宋"/>
          <w:sz w:val="28"/>
          <w:szCs w:val="28"/>
        </w:rPr>
        <w:t xml:space="preserve">   标准编制工作组</w:t>
      </w:r>
    </w:p>
    <w:p w14:paraId="22724343">
      <w:pPr>
        <w:rPr>
          <w:rFonts w:hint="eastAsia" w:eastAsia="仿宋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                          </w:t>
      </w:r>
      <w:r>
        <w:rPr>
          <w:rFonts w:hint="eastAsia" w:eastAsia="仿宋"/>
          <w:sz w:val="28"/>
          <w:szCs w:val="28"/>
        </w:rPr>
        <w:t xml:space="preserve">   202</w:t>
      </w:r>
      <w:r>
        <w:rPr>
          <w:rFonts w:hint="eastAsia" w:eastAsia="仿宋"/>
          <w:sz w:val="28"/>
          <w:szCs w:val="28"/>
          <w:lang w:val="en-US" w:eastAsia="zh-CN"/>
        </w:rPr>
        <w:t>5</w:t>
      </w:r>
      <w:r>
        <w:rPr>
          <w:rFonts w:hint="eastAsia" w:eastAsia="仿宋"/>
          <w:sz w:val="28"/>
          <w:szCs w:val="28"/>
        </w:rPr>
        <w:t>年</w:t>
      </w:r>
      <w:r>
        <w:rPr>
          <w:rFonts w:hint="eastAsia" w:eastAsia="仿宋"/>
          <w:sz w:val="28"/>
          <w:szCs w:val="28"/>
          <w:lang w:val="en-US" w:eastAsia="zh-CN"/>
        </w:rPr>
        <w:t>2</w:t>
      </w:r>
      <w:r>
        <w:rPr>
          <w:rFonts w:hint="eastAsia" w:eastAsia="仿宋"/>
          <w:sz w:val="28"/>
          <w:szCs w:val="28"/>
        </w:rPr>
        <w:t>月</w:t>
      </w:r>
      <w:r>
        <w:rPr>
          <w:rFonts w:hint="eastAsia" w:eastAsia="仿宋"/>
          <w:sz w:val="28"/>
          <w:szCs w:val="28"/>
          <w:lang w:val="en-US" w:eastAsia="zh-CN"/>
        </w:rPr>
        <w:t>17</w:t>
      </w:r>
      <w:r>
        <w:rPr>
          <w:rFonts w:hint="eastAsia" w:eastAsia="仿宋"/>
          <w:sz w:val="28"/>
          <w:szCs w:val="28"/>
        </w:rPr>
        <w:t>日</w:t>
      </w:r>
    </w:p>
    <w:p w14:paraId="782AAFFD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64DCC33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73BD2692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B16CCC"/>
    <w:multiLevelType w:val="singleLevel"/>
    <w:tmpl w:val="14B16CCC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60B55DC2"/>
    <w:multiLevelType w:val="multilevel"/>
    <w:tmpl w:val="60B55DC2"/>
    <w:lvl w:ilvl="0" w:tentative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13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2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9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8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pStyle w:val="17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1418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kMzVhNWIxOTkzYjA4YmRjNGZjZWM3ZjdkNGJlYjAifQ=="/>
  </w:docVars>
  <w:rsids>
    <w:rsidRoot w:val="00000000"/>
    <w:rsid w:val="00810759"/>
    <w:rsid w:val="01012032"/>
    <w:rsid w:val="01A050EF"/>
    <w:rsid w:val="02437BD2"/>
    <w:rsid w:val="057C357B"/>
    <w:rsid w:val="05E90F97"/>
    <w:rsid w:val="0C0505A5"/>
    <w:rsid w:val="0C852BF8"/>
    <w:rsid w:val="0D615176"/>
    <w:rsid w:val="10204034"/>
    <w:rsid w:val="153B26F7"/>
    <w:rsid w:val="15B670A6"/>
    <w:rsid w:val="19EA6AAF"/>
    <w:rsid w:val="1AC60BDA"/>
    <w:rsid w:val="1B555FFF"/>
    <w:rsid w:val="20063587"/>
    <w:rsid w:val="20B614A3"/>
    <w:rsid w:val="23241284"/>
    <w:rsid w:val="240C6AA2"/>
    <w:rsid w:val="25E04A2F"/>
    <w:rsid w:val="29A64A64"/>
    <w:rsid w:val="2ABC60DD"/>
    <w:rsid w:val="306A0439"/>
    <w:rsid w:val="33EA7AAE"/>
    <w:rsid w:val="34F034A5"/>
    <w:rsid w:val="3517594B"/>
    <w:rsid w:val="388A3B36"/>
    <w:rsid w:val="38D572CB"/>
    <w:rsid w:val="398A5420"/>
    <w:rsid w:val="39BA25E5"/>
    <w:rsid w:val="3CB7260F"/>
    <w:rsid w:val="3FF12096"/>
    <w:rsid w:val="40EE7432"/>
    <w:rsid w:val="417B1525"/>
    <w:rsid w:val="43163B2F"/>
    <w:rsid w:val="48ED4849"/>
    <w:rsid w:val="49B47177"/>
    <w:rsid w:val="4A7F1DD6"/>
    <w:rsid w:val="4FD203EC"/>
    <w:rsid w:val="53FF6E2A"/>
    <w:rsid w:val="540041EB"/>
    <w:rsid w:val="56A96DCF"/>
    <w:rsid w:val="57250ACF"/>
    <w:rsid w:val="5A0158E7"/>
    <w:rsid w:val="5A77049D"/>
    <w:rsid w:val="5C8C6EAD"/>
    <w:rsid w:val="5D5775D8"/>
    <w:rsid w:val="5E9B3A3A"/>
    <w:rsid w:val="603A402A"/>
    <w:rsid w:val="606347E4"/>
    <w:rsid w:val="60822795"/>
    <w:rsid w:val="657E772D"/>
    <w:rsid w:val="65E16B4D"/>
    <w:rsid w:val="674175E4"/>
    <w:rsid w:val="690E22EE"/>
    <w:rsid w:val="6A9143DE"/>
    <w:rsid w:val="6BBE40D3"/>
    <w:rsid w:val="6C4761F2"/>
    <w:rsid w:val="6CFF7245"/>
    <w:rsid w:val="70290074"/>
    <w:rsid w:val="7292353C"/>
    <w:rsid w:val="736356F6"/>
    <w:rsid w:val="74863CBC"/>
    <w:rsid w:val="769F0F81"/>
    <w:rsid w:val="798172DB"/>
    <w:rsid w:val="7FC3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paragraph" w:customStyle="1" w:styleId="12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Calibri" w:eastAsia="宋体" w:cs="Calibri"/>
      <w:sz w:val="21"/>
      <w:lang w:val="en-US" w:eastAsia="zh-CN" w:bidi="ar-SA"/>
    </w:rPr>
  </w:style>
  <w:style w:type="paragraph" w:customStyle="1" w:styleId="13">
    <w:name w:val="附录表标题"/>
    <w:basedOn w:val="1"/>
    <w:next w:val="12"/>
    <w:qFormat/>
    <w:uiPriority w:val="0"/>
    <w:pPr>
      <w:numPr>
        <w:ilvl w:val="1"/>
        <w:numId w:val="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14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">
    <w:name w:val="标准文件_术语条二"/>
    <w:basedOn w:val="16"/>
    <w:next w:val="14"/>
    <w:qFormat/>
    <w:uiPriority w:val="0"/>
  </w:style>
  <w:style w:type="paragraph" w:customStyle="1" w:styleId="16">
    <w:name w:val="标准文件_二级无标题"/>
    <w:basedOn w:val="17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7">
    <w:name w:val="标准文件_二级条标题"/>
    <w:next w:val="14"/>
    <w:qFormat/>
    <w:uiPriority w:val="0"/>
    <w:pPr>
      <w:widowControl w:val="0"/>
      <w:numPr>
        <w:ilvl w:val="3"/>
        <w:numId w:val="2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8">
    <w:name w:val="标准文件_一级条标题"/>
    <w:basedOn w:val="19"/>
    <w:next w:val="14"/>
    <w:qFormat/>
    <w:uiPriority w:val="0"/>
    <w:pPr>
      <w:numPr>
        <w:ilvl w:val="2"/>
      </w:numPr>
      <w:spacing w:before="50" w:beforeLines="50" w:after="50" w:afterLines="50"/>
      <w:outlineLvl w:val="1"/>
    </w:pPr>
  </w:style>
  <w:style w:type="paragraph" w:customStyle="1" w:styleId="19">
    <w:name w:val="标准文件_章标题"/>
    <w:next w:val="14"/>
    <w:qFormat/>
    <w:uiPriority w:val="0"/>
    <w:pPr>
      <w:numPr>
        <w:ilvl w:val="1"/>
        <w:numId w:val="2"/>
      </w:numPr>
      <w:spacing w:before="100" w:beforeLines="100" w:after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0">
    <w:name w:val="标准文件_一级无标题"/>
    <w:basedOn w:val="18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3528</Words>
  <Characters>3732</Characters>
  <Lines>0</Lines>
  <Paragraphs>0</Paragraphs>
  <TotalTime>18</TotalTime>
  <ScaleCrop>false</ScaleCrop>
  <LinksUpToDate>false</LinksUpToDate>
  <CharactersWithSpaces>3768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2022-09-23T00:59:00Z</dcterms:created>
  <dc:creator>LENOVO</dc:creator>
  <cp:lastModifiedBy>誰念誰川</cp:lastModifiedBy>
  <dcterms:modified xsi:type="dcterms:W3CDTF">2025-03-04T13:42:49Z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FCD78D0CD9CF48DCA449A8B1D18C3EEC</vt:lpwstr>
  </property>
  <property fmtid="{D5CDD505-2E9C-101B-9397-08002B2CF9AE}" pid="4" name="KSOTemplateDocerSaveRecord">
    <vt:lpwstr>eyJoZGlkIjoiZjcwMzBhNDA5MWZkNjNjNjFjNmFkMDk0MGQ5YjMxZTYiLCJ1c2VySWQiOiIxOTA2MDI2MDgifQ==</vt:lpwstr>
  </property>
</Properties>
</file>