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4ED7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4D1CEC4">
            <w:pPr>
              <w:pStyle w:val="18"/>
              <w:framePr w:wrap="notBeside" w:vAnchor="page" w:hAnchor="page" w:x="1372" w:y="568"/>
              <w:tabs>
                <w:tab w:val="clear" w:pos="4153"/>
                <w:tab w:val="clear" w:pos="8306"/>
              </w:tabs>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C403596">
            <w:pPr>
              <w:pStyle w:val="18"/>
              <w:framePr w:wrap="notBeside" w:vAnchor="page" w:hAnchor="page" w:x="1372" w:y="568"/>
              <w:tabs>
                <w:tab w:val="clear" w:pos="4153"/>
                <w:tab w:val="clear" w:pos="8306"/>
              </w:tabs>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11.020</w:t>
            </w:r>
            <w:r>
              <w:rPr>
                <w:rFonts w:ascii="黑体" w:hAnsi="黑体" w:eastAsia="黑体"/>
                <w:sz w:val="21"/>
                <w:szCs w:val="21"/>
              </w:rPr>
              <w:fldChar w:fldCharType="end"/>
            </w:r>
            <w:bookmarkEnd w:id="0"/>
          </w:p>
        </w:tc>
      </w:tr>
      <w:tr w14:paraId="4EFE3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AC0B94A">
            <w:pPr>
              <w:pStyle w:val="18"/>
              <w:framePr w:wrap="notBeside" w:vAnchor="page" w:hAnchor="page" w:x="1372" w:y="568"/>
              <w:tabs>
                <w:tab w:val="clear" w:pos="4153"/>
                <w:tab w:val="clear" w:pos="8306"/>
              </w:tabs>
              <w:spacing w:before="40"/>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2BB04C34">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3FBCC5B9">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5A42CEB9">
            <w:pPr>
              <w:pStyle w:val="18"/>
              <w:framePr w:wrap="notBeside" w:vAnchor="page" w:hAnchor="page" w:x="1372" w:y="568"/>
              <w:tabs>
                <w:tab w:val="clear" w:pos="4153"/>
                <w:tab w:val="clear" w:pos="8306"/>
              </w:tabs>
              <w:spacing w:before="40"/>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C 05</w:t>
            </w:r>
            <w:r>
              <w:rPr>
                <w:rFonts w:ascii="黑体" w:hAnsi="黑体" w:eastAsia="黑体"/>
                <w:sz w:val="21"/>
                <w:szCs w:val="21"/>
              </w:rPr>
              <w:fldChar w:fldCharType="end"/>
            </w:r>
            <w:bookmarkEnd w:id="2"/>
          </w:p>
        </w:tc>
      </w:tr>
    </w:tbl>
    <w:p w14:paraId="5B3FBC5B">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团体标准</w:t>
      </w:r>
      <w:r>
        <w:rPr>
          <w:rFonts w:ascii="黑体" w:eastAsia="黑体"/>
          <w:b w:val="0"/>
          <w:w w:val="100"/>
          <w:sz w:val="48"/>
        </w:rPr>
        <w:fldChar w:fldCharType="end"/>
      </w:r>
      <w:bookmarkEnd w:id="4"/>
    </w:p>
    <w:bookmarkEnd w:id="3"/>
    <w:p w14:paraId="763FADB1">
      <w:pPr>
        <w:pStyle w:val="195"/>
        <w:framePr/>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35EE4B63">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5884F66C">
      <w:pPr>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48FC9B8">
      <w:pPr>
        <w:pStyle w:val="50"/>
        <w:framePr w:w="9639" w:h="6976" w:hRule="exact" w:hSpace="0" w:vSpace="0" w:wrap="around" w:hAnchor="page" w:y="6408"/>
        <w:jc w:val="center"/>
        <w:rPr>
          <w:rFonts w:ascii="黑体" w:hAnsi="黑体" w:eastAsia="黑体"/>
          <w:b w:val="0"/>
          <w:bCs w:val="0"/>
          <w:w w:val="100"/>
        </w:rPr>
      </w:pPr>
    </w:p>
    <w:p w14:paraId="430D4907">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急性冠脉综合征患者主动脉球囊反搏护理管理技术规范</w:t>
      </w:r>
      <w:r>
        <w:fldChar w:fldCharType="end"/>
      </w:r>
      <w:bookmarkEnd w:id="9"/>
    </w:p>
    <w:p w14:paraId="5FA45FF1">
      <w:pPr>
        <w:framePr w:w="9639" w:h="6974" w:hRule="exact" w:wrap="around" w:vAnchor="page" w:hAnchor="page" w:x="1419" w:y="6408" w:anchorLock="1"/>
        <w:ind w:left="-1418"/>
      </w:pPr>
    </w:p>
    <w:p w14:paraId="471BB2D0">
      <w:pPr>
        <w:pStyle w:val="125"/>
        <w:framePr w:w="9639" w:h="6974" w:hRule="exact" w:wrap="around" w:vAnchor="page" w:hAnchor="page" w:x="1419" w:y="6408" w:anchorLock="1"/>
        <w:textAlignment w:val="bottom"/>
        <w:rPr>
          <w:rFonts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ascii="黑体" w:hAnsi="黑体" w:eastAsia="黑体"/>
          <w:szCs w:val="28"/>
        </w:rPr>
        <w:t>Technical specification for nursing management of intra-aortic balloon pump in patients with acute coronary syndrome</w:t>
      </w:r>
      <w:r>
        <w:rPr>
          <w:rFonts w:ascii="黑体" w:hAnsi="黑体" w:eastAsia="黑体"/>
          <w:szCs w:val="28"/>
        </w:rPr>
        <w:fldChar w:fldCharType="end"/>
      </w:r>
      <w:bookmarkEnd w:id="10"/>
    </w:p>
    <w:p w14:paraId="3D00CD1E">
      <w:pPr>
        <w:framePr w:w="9639" w:h="6974" w:hRule="exact" w:wrap="around" w:vAnchor="page" w:hAnchor="page" w:x="1419" w:y="6408" w:anchorLock="1"/>
        <w:spacing w:line="760" w:lineRule="exact"/>
        <w:ind w:left="-1418"/>
      </w:pPr>
    </w:p>
    <w:p w14:paraId="43190D9C">
      <w:pPr>
        <w:pStyle w:val="125"/>
        <w:framePr w:w="9639" w:h="6974" w:hRule="exact" w:wrap="around" w:vAnchor="page" w:hAnchor="page" w:x="1419" w:y="6408" w:anchorLock="1"/>
        <w:textAlignment w:val="bottom"/>
        <w:rPr>
          <w:rFonts w:eastAsia="黑体"/>
          <w:szCs w:val="28"/>
        </w:rPr>
      </w:pPr>
    </w:p>
    <w:p w14:paraId="3D010D95">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45C7D9C">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3627DCA8">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0E626EEA">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7945A2AB">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6DE9033F">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w:t>
      </w:r>
      <w:r>
        <w:rPr>
          <w:rFonts w:hAnsi="黑体"/>
          <w:w w:val="100"/>
          <w:sz w:val="28"/>
        </w:rPr>
        <w:t>化协会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434FB62D">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D2EEB1B">
      <w:pPr>
        <w:pStyle w:val="91"/>
        <w:spacing w:after="360"/>
      </w:pPr>
      <w:bookmarkStart w:id="21" w:name="BookMark1"/>
      <w:bookmarkStart w:id="22" w:name="_Toc193466096"/>
      <w:r>
        <w:rPr>
          <w:rFonts w:hint="eastAsia"/>
          <w:spacing w:val="320"/>
        </w:rPr>
        <w:t>目</w:t>
      </w:r>
      <w:r>
        <w:rPr>
          <w:rFonts w:hint="eastAsia"/>
        </w:rPr>
        <w:t>次</w:t>
      </w:r>
    </w:p>
    <w:p w14:paraId="1C55257E">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"_Toc193467378" </w:instrText>
      </w:r>
      <w:r>
        <w:fldChar w:fldCharType="separate"/>
      </w:r>
      <w:r>
        <w:rPr>
          <w:rStyle w:val="32"/>
        </w:rPr>
        <w:t>前言</w:t>
      </w:r>
      <w:r>
        <w:tab/>
      </w:r>
      <w:r>
        <w:fldChar w:fldCharType="begin"/>
      </w:r>
      <w:r>
        <w:instrText xml:space="preserve"> PAGEREF _Toc193467378 \h </w:instrText>
      </w:r>
      <w:r>
        <w:fldChar w:fldCharType="separate"/>
      </w:r>
      <w:r>
        <w:t>II</w:t>
      </w:r>
      <w:r>
        <w:fldChar w:fldCharType="end"/>
      </w:r>
      <w:r>
        <w:fldChar w:fldCharType="end"/>
      </w:r>
    </w:p>
    <w:p w14:paraId="30888705">
      <w:pPr>
        <w:pStyle w:val="19"/>
        <w:tabs>
          <w:tab w:val="right" w:leader="dot" w:pos="9344"/>
        </w:tabs>
        <w:rPr>
          <w:rFonts w:asciiTheme="minorHAnsi" w:hAnsiTheme="minorHAnsi" w:eastAsiaTheme="minorEastAsia" w:cstheme="minorBidi"/>
          <w:szCs w:val="22"/>
        </w:rPr>
      </w:pPr>
      <w:r>
        <w:fldChar w:fldCharType="begin"/>
      </w:r>
      <w:r>
        <w:instrText xml:space="preserve"> HYPERLINK \l "_Toc193467379" </w:instrText>
      </w:r>
      <w:r>
        <w:fldChar w:fldCharType="separate"/>
      </w:r>
      <w:r>
        <w:rPr>
          <w:rStyle w:val="32"/>
        </w:rPr>
        <w:t>1  范围</w:t>
      </w:r>
      <w:r>
        <w:tab/>
      </w:r>
      <w:r>
        <w:fldChar w:fldCharType="begin"/>
      </w:r>
      <w:r>
        <w:instrText xml:space="preserve"> PAGEREF _Toc193467379 \h </w:instrText>
      </w:r>
      <w:r>
        <w:fldChar w:fldCharType="separate"/>
      </w:r>
      <w:r>
        <w:t>1</w:t>
      </w:r>
      <w:r>
        <w:fldChar w:fldCharType="end"/>
      </w:r>
      <w:r>
        <w:fldChar w:fldCharType="end"/>
      </w:r>
    </w:p>
    <w:p w14:paraId="5F774043">
      <w:pPr>
        <w:pStyle w:val="19"/>
        <w:tabs>
          <w:tab w:val="right" w:leader="dot" w:pos="9344"/>
        </w:tabs>
        <w:rPr>
          <w:rFonts w:asciiTheme="minorHAnsi" w:hAnsiTheme="minorHAnsi" w:eastAsiaTheme="minorEastAsia" w:cstheme="minorBidi"/>
          <w:szCs w:val="22"/>
        </w:rPr>
      </w:pPr>
      <w:r>
        <w:fldChar w:fldCharType="begin"/>
      </w:r>
      <w:r>
        <w:instrText xml:space="preserve"> HYPERLINK \l "_Toc193467380" </w:instrText>
      </w:r>
      <w:r>
        <w:fldChar w:fldCharType="separate"/>
      </w:r>
      <w:r>
        <w:rPr>
          <w:rStyle w:val="32"/>
        </w:rPr>
        <w:t>2  规范性引用文件</w:t>
      </w:r>
      <w:r>
        <w:tab/>
      </w:r>
      <w:r>
        <w:fldChar w:fldCharType="begin"/>
      </w:r>
      <w:r>
        <w:instrText xml:space="preserve"> PAGEREF _Toc193467380 \h </w:instrText>
      </w:r>
      <w:r>
        <w:fldChar w:fldCharType="separate"/>
      </w:r>
      <w:r>
        <w:t>1</w:t>
      </w:r>
      <w:r>
        <w:fldChar w:fldCharType="end"/>
      </w:r>
      <w:r>
        <w:fldChar w:fldCharType="end"/>
      </w:r>
    </w:p>
    <w:p w14:paraId="60DD694D">
      <w:pPr>
        <w:pStyle w:val="19"/>
        <w:tabs>
          <w:tab w:val="right" w:leader="dot" w:pos="9344"/>
        </w:tabs>
        <w:rPr>
          <w:rFonts w:asciiTheme="minorHAnsi" w:hAnsiTheme="minorHAnsi" w:eastAsiaTheme="minorEastAsia" w:cstheme="minorBidi"/>
          <w:szCs w:val="22"/>
        </w:rPr>
      </w:pPr>
      <w:r>
        <w:fldChar w:fldCharType="begin"/>
      </w:r>
      <w:r>
        <w:instrText xml:space="preserve"> HYPERLINK \l "_Toc193467381" </w:instrText>
      </w:r>
      <w:r>
        <w:fldChar w:fldCharType="separate"/>
      </w:r>
      <w:r>
        <w:rPr>
          <w:rStyle w:val="32"/>
        </w:rPr>
        <w:t>3  术语和定义</w:t>
      </w:r>
      <w:r>
        <w:tab/>
      </w:r>
      <w:r>
        <w:fldChar w:fldCharType="begin"/>
      </w:r>
      <w:r>
        <w:instrText xml:space="preserve"> PAGEREF _Toc193467381 \h </w:instrText>
      </w:r>
      <w:r>
        <w:fldChar w:fldCharType="separate"/>
      </w:r>
      <w:r>
        <w:t>1</w:t>
      </w:r>
      <w:r>
        <w:fldChar w:fldCharType="end"/>
      </w:r>
      <w:r>
        <w:fldChar w:fldCharType="end"/>
      </w:r>
    </w:p>
    <w:p w14:paraId="7F2388B7">
      <w:pPr>
        <w:pStyle w:val="19"/>
        <w:tabs>
          <w:tab w:val="right" w:leader="dot" w:pos="9344"/>
        </w:tabs>
        <w:rPr>
          <w:rFonts w:asciiTheme="minorHAnsi" w:hAnsiTheme="minorHAnsi" w:eastAsiaTheme="minorEastAsia" w:cstheme="minorBidi"/>
          <w:szCs w:val="22"/>
        </w:rPr>
      </w:pPr>
      <w:r>
        <w:fldChar w:fldCharType="begin"/>
      </w:r>
      <w:r>
        <w:instrText xml:space="preserve"> HYPERLINK \l "_Toc193467382" </w:instrText>
      </w:r>
      <w:r>
        <w:fldChar w:fldCharType="separate"/>
      </w:r>
      <w:r>
        <w:rPr>
          <w:rStyle w:val="32"/>
        </w:rPr>
        <w:t>4  缩略语</w:t>
      </w:r>
      <w:r>
        <w:tab/>
      </w:r>
      <w:r>
        <w:fldChar w:fldCharType="begin"/>
      </w:r>
      <w:r>
        <w:instrText xml:space="preserve"> PAGEREF _Toc193467382 \h </w:instrText>
      </w:r>
      <w:r>
        <w:fldChar w:fldCharType="separate"/>
      </w:r>
      <w:r>
        <w:t>1</w:t>
      </w:r>
      <w:r>
        <w:fldChar w:fldCharType="end"/>
      </w:r>
      <w:r>
        <w:fldChar w:fldCharType="end"/>
      </w:r>
    </w:p>
    <w:p w14:paraId="5BFC6024">
      <w:pPr>
        <w:pStyle w:val="19"/>
        <w:tabs>
          <w:tab w:val="right" w:leader="dot" w:pos="9344"/>
        </w:tabs>
        <w:rPr>
          <w:rFonts w:asciiTheme="minorHAnsi" w:hAnsiTheme="minorHAnsi" w:eastAsiaTheme="minorEastAsia" w:cstheme="minorBidi"/>
          <w:szCs w:val="22"/>
        </w:rPr>
      </w:pPr>
      <w:r>
        <w:fldChar w:fldCharType="begin"/>
      </w:r>
      <w:r>
        <w:instrText xml:space="preserve"> HYPERLINK \l "_Toc193467383" </w:instrText>
      </w:r>
      <w:r>
        <w:fldChar w:fldCharType="separate"/>
      </w:r>
      <w:r>
        <w:rPr>
          <w:rStyle w:val="32"/>
        </w:rPr>
        <w:t>5  基本要求</w:t>
      </w:r>
      <w:r>
        <w:tab/>
      </w:r>
      <w:r>
        <w:fldChar w:fldCharType="begin"/>
      </w:r>
      <w:r>
        <w:instrText xml:space="preserve"> PAGEREF _Toc193467383 \h </w:instrText>
      </w:r>
      <w:r>
        <w:fldChar w:fldCharType="separate"/>
      </w:r>
      <w:r>
        <w:t>1</w:t>
      </w:r>
      <w:r>
        <w:fldChar w:fldCharType="end"/>
      </w:r>
      <w:r>
        <w:fldChar w:fldCharType="end"/>
      </w:r>
    </w:p>
    <w:p w14:paraId="0EFF8A08">
      <w:pPr>
        <w:pStyle w:val="24"/>
        <w:rPr>
          <w:rFonts w:asciiTheme="minorHAnsi" w:hAnsiTheme="minorHAnsi" w:eastAsiaTheme="minorEastAsia" w:cstheme="minorBidi"/>
          <w:szCs w:val="22"/>
        </w:rPr>
      </w:pPr>
      <w:r>
        <w:fldChar w:fldCharType="begin"/>
      </w:r>
      <w:r>
        <w:instrText xml:space="preserve"> HYPERLINK \l "_Toc193467384" </w:instrText>
      </w:r>
      <w:r>
        <w:fldChar w:fldCharType="separate"/>
      </w:r>
      <w:r>
        <w:rPr>
          <w:rStyle w:val="32"/>
          <w14:scene3d w14:prst="orthographicFront">
            <w14:lightRig w14:rig="threePt" w14:dir="t">
              <w14:rot w14:lat="0" w14:lon="0" w14:rev="0"/>
            </w14:lightRig>
          </w14:scene3d>
        </w:rPr>
        <w:t xml:space="preserve">5.1 </w:t>
      </w:r>
      <w:r>
        <w:rPr>
          <w:rStyle w:val="32"/>
        </w:rPr>
        <w:t xml:space="preserve"> 人员</w:t>
      </w:r>
      <w:r>
        <w:tab/>
      </w:r>
      <w:r>
        <w:fldChar w:fldCharType="begin"/>
      </w:r>
      <w:r>
        <w:instrText xml:space="preserve"> PAGEREF _Toc193467384 \h </w:instrText>
      </w:r>
      <w:r>
        <w:fldChar w:fldCharType="separate"/>
      </w:r>
      <w:r>
        <w:t>1</w:t>
      </w:r>
      <w:r>
        <w:fldChar w:fldCharType="end"/>
      </w:r>
      <w:r>
        <w:fldChar w:fldCharType="end"/>
      </w:r>
    </w:p>
    <w:p w14:paraId="500F3993">
      <w:pPr>
        <w:pStyle w:val="24"/>
        <w:rPr>
          <w:rFonts w:asciiTheme="minorHAnsi" w:hAnsiTheme="minorHAnsi" w:eastAsiaTheme="minorEastAsia" w:cstheme="minorBidi"/>
          <w:szCs w:val="22"/>
        </w:rPr>
      </w:pPr>
      <w:r>
        <w:fldChar w:fldCharType="begin"/>
      </w:r>
      <w:r>
        <w:instrText xml:space="preserve"> HYPERLINK \l "_Toc193467385" </w:instrText>
      </w:r>
      <w:r>
        <w:fldChar w:fldCharType="separate"/>
      </w:r>
      <w:r>
        <w:rPr>
          <w:rStyle w:val="32"/>
          <w14:scene3d w14:prst="orthographicFront">
            <w14:lightRig w14:rig="threePt" w14:dir="t">
              <w14:rot w14:lat="0" w14:lon="0" w14:rev="0"/>
            </w14:lightRig>
          </w14:scene3d>
        </w:rPr>
        <w:t xml:space="preserve">5.2 </w:t>
      </w:r>
      <w:r>
        <w:rPr>
          <w:rStyle w:val="32"/>
        </w:rPr>
        <w:t xml:space="preserve"> 设施设备</w:t>
      </w:r>
      <w:r>
        <w:tab/>
      </w:r>
      <w:r>
        <w:fldChar w:fldCharType="begin"/>
      </w:r>
      <w:r>
        <w:instrText xml:space="preserve"> PAGEREF _Toc193467385 \h </w:instrText>
      </w:r>
      <w:r>
        <w:fldChar w:fldCharType="separate"/>
      </w:r>
      <w:r>
        <w:t>1</w:t>
      </w:r>
      <w:r>
        <w:fldChar w:fldCharType="end"/>
      </w:r>
      <w:r>
        <w:fldChar w:fldCharType="end"/>
      </w:r>
    </w:p>
    <w:p w14:paraId="181A3111">
      <w:pPr>
        <w:pStyle w:val="24"/>
        <w:rPr>
          <w:rFonts w:asciiTheme="minorHAnsi" w:hAnsiTheme="minorHAnsi" w:eastAsiaTheme="minorEastAsia" w:cstheme="minorBidi"/>
          <w:szCs w:val="22"/>
        </w:rPr>
      </w:pPr>
      <w:r>
        <w:fldChar w:fldCharType="begin"/>
      </w:r>
      <w:r>
        <w:instrText xml:space="preserve"> HYPERLINK \l "_Toc193467386" </w:instrText>
      </w:r>
      <w:r>
        <w:fldChar w:fldCharType="separate"/>
      </w:r>
      <w:r>
        <w:rPr>
          <w:rStyle w:val="32"/>
          <w14:scene3d w14:prst="orthographicFront">
            <w14:lightRig w14:rig="threePt" w14:dir="t">
              <w14:rot w14:lat="0" w14:lon="0" w14:rev="0"/>
            </w14:lightRig>
          </w14:scene3d>
        </w:rPr>
        <w:t xml:space="preserve">5.3 </w:t>
      </w:r>
      <w:r>
        <w:rPr>
          <w:rStyle w:val="32"/>
        </w:rPr>
        <w:t xml:space="preserve"> 耗材及药品</w:t>
      </w:r>
      <w:r>
        <w:tab/>
      </w:r>
      <w:r>
        <w:fldChar w:fldCharType="begin"/>
      </w:r>
      <w:r>
        <w:instrText xml:space="preserve"> PAGEREF _Toc193467386 \h </w:instrText>
      </w:r>
      <w:r>
        <w:fldChar w:fldCharType="separate"/>
      </w:r>
      <w:r>
        <w:t>1</w:t>
      </w:r>
      <w:r>
        <w:fldChar w:fldCharType="end"/>
      </w:r>
      <w:r>
        <w:fldChar w:fldCharType="end"/>
      </w:r>
    </w:p>
    <w:p w14:paraId="36BA21E4">
      <w:pPr>
        <w:pStyle w:val="19"/>
        <w:tabs>
          <w:tab w:val="right" w:leader="dot" w:pos="9344"/>
        </w:tabs>
        <w:rPr>
          <w:rFonts w:asciiTheme="minorHAnsi" w:hAnsiTheme="minorHAnsi" w:eastAsiaTheme="minorEastAsia" w:cstheme="minorBidi"/>
          <w:szCs w:val="22"/>
        </w:rPr>
      </w:pPr>
      <w:r>
        <w:fldChar w:fldCharType="begin"/>
      </w:r>
      <w:r>
        <w:instrText xml:space="preserve"> HYPERLINK \l "_Toc193467387" </w:instrText>
      </w:r>
      <w:r>
        <w:fldChar w:fldCharType="separate"/>
      </w:r>
      <w:r>
        <w:rPr>
          <w:rStyle w:val="32"/>
        </w:rPr>
        <w:t>6  禁忌症</w:t>
      </w:r>
      <w:r>
        <w:tab/>
      </w:r>
      <w:r>
        <w:fldChar w:fldCharType="begin"/>
      </w:r>
      <w:r>
        <w:instrText xml:space="preserve"> PAGEREF _Toc193467387 \h </w:instrText>
      </w:r>
      <w:r>
        <w:fldChar w:fldCharType="separate"/>
      </w:r>
      <w:r>
        <w:t>2</w:t>
      </w:r>
      <w:r>
        <w:fldChar w:fldCharType="end"/>
      </w:r>
      <w:r>
        <w:fldChar w:fldCharType="end"/>
      </w:r>
    </w:p>
    <w:p w14:paraId="684B0584">
      <w:pPr>
        <w:pStyle w:val="19"/>
        <w:tabs>
          <w:tab w:val="right" w:leader="dot" w:pos="9344"/>
        </w:tabs>
        <w:rPr>
          <w:rFonts w:asciiTheme="minorHAnsi" w:hAnsiTheme="minorHAnsi" w:eastAsiaTheme="minorEastAsia" w:cstheme="minorBidi"/>
          <w:szCs w:val="22"/>
        </w:rPr>
      </w:pPr>
      <w:r>
        <w:fldChar w:fldCharType="begin"/>
      </w:r>
      <w:r>
        <w:instrText xml:space="preserve"> HYPERLINK \l "_Toc193467388" </w:instrText>
      </w:r>
      <w:r>
        <w:fldChar w:fldCharType="separate"/>
      </w:r>
      <w:r>
        <w:rPr>
          <w:rStyle w:val="32"/>
        </w:rPr>
        <w:t>7  护理措施</w:t>
      </w:r>
      <w:r>
        <w:tab/>
      </w:r>
      <w:r>
        <w:fldChar w:fldCharType="begin"/>
      </w:r>
      <w:r>
        <w:instrText xml:space="preserve"> PAGEREF _Toc193467388 \h </w:instrText>
      </w:r>
      <w:r>
        <w:fldChar w:fldCharType="separate"/>
      </w:r>
      <w:r>
        <w:t>2</w:t>
      </w:r>
      <w:r>
        <w:fldChar w:fldCharType="end"/>
      </w:r>
      <w:r>
        <w:fldChar w:fldCharType="end"/>
      </w:r>
    </w:p>
    <w:p w14:paraId="05CD72C7">
      <w:pPr>
        <w:pStyle w:val="24"/>
        <w:rPr>
          <w:rFonts w:asciiTheme="minorHAnsi" w:hAnsiTheme="minorHAnsi" w:eastAsiaTheme="minorEastAsia" w:cstheme="minorBidi"/>
          <w:szCs w:val="22"/>
        </w:rPr>
      </w:pPr>
      <w:r>
        <w:fldChar w:fldCharType="begin"/>
      </w:r>
      <w:r>
        <w:instrText xml:space="preserve"> HYPERLINK \l "_Toc193467389" </w:instrText>
      </w:r>
      <w:r>
        <w:fldChar w:fldCharType="separate"/>
      </w:r>
      <w:r>
        <w:rPr>
          <w:rStyle w:val="32"/>
          <w14:scene3d w14:prst="orthographicFront">
            <w14:lightRig w14:rig="threePt" w14:dir="t">
              <w14:rot w14:lat="0" w14:lon="0" w14:rev="0"/>
            </w14:lightRig>
          </w14:scene3d>
        </w:rPr>
        <w:t xml:space="preserve">7.1 </w:t>
      </w:r>
      <w:r>
        <w:rPr>
          <w:rStyle w:val="32"/>
        </w:rPr>
        <w:t xml:space="preserve"> 术前护理</w:t>
      </w:r>
      <w:r>
        <w:tab/>
      </w:r>
      <w:r>
        <w:fldChar w:fldCharType="begin"/>
      </w:r>
      <w:r>
        <w:instrText xml:space="preserve"> PAGEREF _Toc193467389 \h </w:instrText>
      </w:r>
      <w:r>
        <w:fldChar w:fldCharType="separate"/>
      </w:r>
      <w:r>
        <w:t>2</w:t>
      </w:r>
      <w:r>
        <w:fldChar w:fldCharType="end"/>
      </w:r>
      <w:r>
        <w:fldChar w:fldCharType="end"/>
      </w:r>
    </w:p>
    <w:p w14:paraId="4F6C6567">
      <w:pPr>
        <w:pStyle w:val="24"/>
        <w:rPr>
          <w:rFonts w:asciiTheme="minorHAnsi" w:hAnsiTheme="minorHAnsi" w:eastAsiaTheme="minorEastAsia" w:cstheme="minorBidi"/>
          <w:szCs w:val="22"/>
        </w:rPr>
      </w:pPr>
      <w:r>
        <w:fldChar w:fldCharType="begin"/>
      </w:r>
      <w:r>
        <w:instrText xml:space="preserve"> HYPERLINK \l "_Toc193467390" </w:instrText>
      </w:r>
      <w:r>
        <w:fldChar w:fldCharType="separate"/>
      </w:r>
      <w:r>
        <w:rPr>
          <w:rStyle w:val="32"/>
          <w14:scene3d w14:prst="orthographicFront">
            <w14:lightRig w14:rig="threePt" w14:dir="t">
              <w14:rot w14:lat="0" w14:lon="0" w14:rev="0"/>
            </w14:lightRig>
          </w14:scene3d>
        </w:rPr>
        <w:t xml:space="preserve">7.2 </w:t>
      </w:r>
      <w:r>
        <w:rPr>
          <w:rStyle w:val="32"/>
        </w:rPr>
        <w:t xml:space="preserve"> 术中护理</w:t>
      </w:r>
      <w:r>
        <w:tab/>
      </w:r>
      <w:r>
        <w:fldChar w:fldCharType="begin"/>
      </w:r>
      <w:r>
        <w:instrText xml:space="preserve"> PAGEREF _Toc193467390 \h </w:instrText>
      </w:r>
      <w:r>
        <w:fldChar w:fldCharType="separate"/>
      </w:r>
      <w:r>
        <w:t>2</w:t>
      </w:r>
      <w:r>
        <w:fldChar w:fldCharType="end"/>
      </w:r>
      <w:r>
        <w:fldChar w:fldCharType="end"/>
      </w:r>
    </w:p>
    <w:p w14:paraId="1EC27C7E">
      <w:pPr>
        <w:pStyle w:val="24"/>
        <w:rPr>
          <w:rFonts w:asciiTheme="minorHAnsi" w:hAnsiTheme="minorHAnsi" w:eastAsiaTheme="minorEastAsia" w:cstheme="minorBidi"/>
          <w:szCs w:val="22"/>
        </w:rPr>
      </w:pPr>
      <w:r>
        <w:fldChar w:fldCharType="begin"/>
      </w:r>
      <w:r>
        <w:instrText xml:space="preserve"> HYPERLINK \l "_Toc193467391" </w:instrText>
      </w:r>
      <w:r>
        <w:fldChar w:fldCharType="separate"/>
      </w:r>
      <w:r>
        <w:rPr>
          <w:rStyle w:val="32"/>
          <w14:scene3d w14:prst="orthographicFront">
            <w14:lightRig w14:rig="threePt" w14:dir="t">
              <w14:rot w14:lat="0" w14:lon="0" w14:rev="0"/>
            </w14:lightRig>
          </w14:scene3d>
        </w:rPr>
        <w:t xml:space="preserve">7.3 </w:t>
      </w:r>
      <w:r>
        <w:rPr>
          <w:rStyle w:val="32"/>
        </w:rPr>
        <w:t xml:space="preserve"> 术后护理</w:t>
      </w:r>
      <w:r>
        <w:tab/>
      </w:r>
      <w:r>
        <w:fldChar w:fldCharType="begin"/>
      </w:r>
      <w:r>
        <w:instrText xml:space="preserve"> PAGEREF _Toc193467391 \h </w:instrText>
      </w:r>
      <w:r>
        <w:fldChar w:fldCharType="separate"/>
      </w:r>
      <w:r>
        <w:t>3</w:t>
      </w:r>
      <w:r>
        <w:fldChar w:fldCharType="end"/>
      </w:r>
      <w:r>
        <w:fldChar w:fldCharType="end"/>
      </w:r>
    </w:p>
    <w:p w14:paraId="3139B8DC">
      <w:pPr>
        <w:pStyle w:val="24"/>
        <w:rPr>
          <w:rFonts w:asciiTheme="minorHAnsi" w:hAnsiTheme="minorHAnsi" w:eastAsiaTheme="minorEastAsia" w:cstheme="minorBidi"/>
          <w:szCs w:val="22"/>
        </w:rPr>
      </w:pPr>
      <w:r>
        <w:fldChar w:fldCharType="begin"/>
      </w:r>
      <w:r>
        <w:instrText xml:space="preserve"> HYPERLINK \l "_Toc193467392" </w:instrText>
      </w:r>
      <w:r>
        <w:fldChar w:fldCharType="separate"/>
      </w:r>
      <w:r>
        <w:rPr>
          <w:rStyle w:val="32"/>
          <w14:scene3d w14:prst="orthographicFront">
            <w14:lightRig w14:rig="threePt" w14:dir="t">
              <w14:rot w14:lat="0" w14:lon="0" w14:rev="0"/>
            </w14:lightRig>
          </w14:scene3d>
        </w:rPr>
        <w:t xml:space="preserve">7.4 </w:t>
      </w:r>
      <w:r>
        <w:rPr>
          <w:rStyle w:val="32"/>
        </w:rPr>
        <w:t xml:space="preserve"> IABP异常处理</w:t>
      </w:r>
      <w:r>
        <w:tab/>
      </w:r>
      <w:r>
        <w:fldChar w:fldCharType="begin"/>
      </w:r>
      <w:r>
        <w:instrText xml:space="preserve"> PAGEREF _Toc193467392 \h </w:instrText>
      </w:r>
      <w:r>
        <w:fldChar w:fldCharType="separate"/>
      </w:r>
      <w:r>
        <w:t>5</w:t>
      </w:r>
      <w:r>
        <w:fldChar w:fldCharType="end"/>
      </w:r>
      <w:r>
        <w:fldChar w:fldCharType="end"/>
      </w:r>
    </w:p>
    <w:p w14:paraId="2D9C8D08">
      <w:pPr>
        <w:pStyle w:val="19"/>
        <w:tabs>
          <w:tab w:val="right" w:leader="dot" w:pos="9344"/>
        </w:tabs>
        <w:rPr>
          <w:rFonts w:asciiTheme="minorHAnsi" w:hAnsiTheme="minorHAnsi" w:eastAsiaTheme="minorEastAsia" w:cstheme="minorBidi"/>
          <w:szCs w:val="22"/>
        </w:rPr>
      </w:pPr>
      <w:r>
        <w:fldChar w:fldCharType="begin"/>
      </w:r>
      <w:r>
        <w:instrText xml:space="preserve"> HYPERLINK \l "_Toc193467393" </w:instrText>
      </w:r>
      <w:r>
        <w:fldChar w:fldCharType="separate"/>
      </w:r>
      <w:r>
        <w:rPr>
          <w:rStyle w:val="32"/>
        </w:rPr>
        <w:t>8  常见并发症处理</w:t>
      </w:r>
      <w:r>
        <w:tab/>
      </w:r>
      <w:r>
        <w:fldChar w:fldCharType="begin"/>
      </w:r>
      <w:r>
        <w:instrText xml:space="preserve"> PAGEREF _Toc193467393 \h </w:instrText>
      </w:r>
      <w:r>
        <w:fldChar w:fldCharType="separate"/>
      </w:r>
      <w:r>
        <w:t>5</w:t>
      </w:r>
      <w:r>
        <w:fldChar w:fldCharType="end"/>
      </w:r>
      <w:r>
        <w:fldChar w:fldCharType="end"/>
      </w:r>
    </w:p>
    <w:p w14:paraId="75CD93BC">
      <w:pPr>
        <w:pStyle w:val="24"/>
        <w:rPr>
          <w:rFonts w:asciiTheme="minorHAnsi" w:hAnsiTheme="minorHAnsi" w:eastAsiaTheme="minorEastAsia" w:cstheme="minorBidi"/>
          <w:szCs w:val="22"/>
        </w:rPr>
      </w:pPr>
      <w:r>
        <w:fldChar w:fldCharType="begin"/>
      </w:r>
      <w:r>
        <w:instrText xml:space="preserve"> HYPERLINK \l "_Toc193467394" </w:instrText>
      </w:r>
      <w:r>
        <w:fldChar w:fldCharType="separate"/>
      </w:r>
      <w:r>
        <w:rPr>
          <w:rStyle w:val="32"/>
          <w14:scene3d w14:prst="orthographicFront">
            <w14:lightRig w14:rig="threePt" w14:dir="t">
              <w14:rot w14:lat="0" w14:lon="0" w14:rev="0"/>
            </w14:lightRig>
          </w14:scene3d>
        </w:rPr>
        <w:t xml:space="preserve">8.1 </w:t>
      </w:r>
      <w:r>
        <w:rPr>
          <w:rStyle w:val="32"/>
        </w:rPr>
        <w:t xml:space="preserve"> 下肢动脉缺血</w:t>
      </w:r>
      <w:r>
        <w:tab/>
      </w:r>
      <w:r>
        <w:fldChar w:fldCharType="begin"/>
      </w:r>
      <w:r>
        <w:instrText xml:space="preserve"> PAGEREF _Toc193467394 \h </w:instrText>
      </w:r>
      <w:r>
        <w:fldChar w:fldCharType="separate"/>
      </w:r>
      <w:r>
        <w:t>5</w:t>
      </w:r>
      <w:r>
        <w:fldChar w:fldCharType="end"/>
      </w:r>
      <w:r>
        <w:fldChar w:fldCharType="end"/>
      </w:r>
    </w:p>
    <w:p w14:paraId="70984C05">
      <w:pPr>
        <w:pStyle w:val="24"/>
        <w:rPr>
          <w:rFonts w:asciiTheme="minorHAnsi" w:hAnsiTheme="minorHAnsi" w:eastAsiaTheme="minorEastAsia" w:cstheme="minorBidi"/>
          <w:szCs w:val="22"/>
        </w:rPr>
      </w:pPr>
      <w:r>
        <w:fldChar w:fldCharType="begin"/>
      </w:r>
      <w:r>
        <w:instrText xml:space="preserve"> HYPERLINK \l "_Toc193467395" </w:instrText>
      </w:r>
      <w:r>
        <w:fldChar w:fldCharType="separate"/>
      </w:r>
      <w:r>
        <w:rPr>
          <w:rStyle w:val="32"/>
          <w14:scene3d w14:prst="orthographicFront">
            <w14:lightRig w14:rig="threePt" w14:dir="t">
              <w14:rot w14:lat="0" w14:lon="0" w14:rev="0"/>
            </w14:lightRig>
          </w14:scene3d>
        </w:rPr>
        <w:t xml:space="preserve">8.2 </w:t>
      </w:r>
      <w:r>
        <w:rPr>
          <w:rStyle w:val="32"/>
        </w:rPr>
        <w:t xml:space="preserve"> 血栓</w:t>
      </w:r>
      <w:r>
        <w:tab/>
      </w:r>
      <w:r>
        <w:fldChar w:fldCharType="begin"/>
      </w:r>
      <w:r>
        <w:instrText xml:space="preserve"> PAGEREF _Toc193467395 \h </w:instrText>
      </w:r>
      <w:r>
        <w:fldChar w:fldCharType="separate"/>
      </w:r>
      <w:r>
        <w:t>5</w:t>
      </w:r>
      <w:r>
        <w:fldChar w:fldCharType="end"/>
      </w:r>
      <w:r>
        <w:fldChar w:fldCharType="end"/>
      </w:r>
    </w:p>
    <w:p w14:paraId="54EEA7F3">
      <w:pPr>
        <w:pStyle w:val="24"/>
        <w:rPr>
          <w:rFonts w:asciiTheme="minorHAnsi" w:hAnsiTheme="minorHAnsi" w:eastAsiaTheme="minorEastAsia" w:cstheme="minorBidi"/>
          <w:szCs w:val="22"/>
        </w:rPr>
      </w:pPr>
      <w:r>
        <w:fldChar w:fldCharType="begin"/>
      </w:r>
      <w:r>
        <w:instrText xml:space="preserve"> HYPERLINK \l "_Toc193467396" </w:instrText>
      </w:r>
      <w:r>
        <w:fldChar w:fldCharType="separate"/>
      </w:r>
      <w:r>
        <w:rPr>
          <w:rStyle w:val="32"/>
          <w14:scene3d w14:prst="orthographicFront">
            <w14:lightRig w14:rig="threePt" w14:dir="t">
              <w14:rot w14:lat="0" w14:lon="0" w14:rev="0"/>
            </w14:lightRig>
          </w14:scene3d>
        </w:rPr>
        <w:t xml:space="preserve">8.3 </w:t>
      </w:r>
      <w:r>
        <w:rPr>
          <w:rStyle w:val="32"/>
        </w:rPr>
        <w:t xml:space="preserve"> 血小板减少</w:t>
      </w:r>
      <w:r>
        <w:tab/>
      </w:r>
      <w:r>
        <w:fldChar w:fldCharType="begin"/>
      </w:r>
      <w:r>
        <w:instrText xml:space="preserve"> PAGEREF _Toc193467396 \h </w:instrText>
      </w:r>
      <w:r>
        <w:fldChar w:fldCharType="separate"/>
      </w:r>
      <w:r>
        <w:t>5</w:t>
      </w:r>
      <w:r>
        <w:fldChar w:fldCharType="end"/>
      </w:r>
      <w:r>
        <w:fldChar w:fldCharType="end"/>
      </w:r>
    </w:p>
    <w:p w14:paraId="1E83FDBC">
      <w:pPr>
        <w:pStyle w:val="24"/>
        <w:rPr>
          <w:rFonts w:asciiTheme="minorHAnsi" w:hAnsiTheme="minorHAnsi" w:eastAsiaTheme="minorEastAsia" w:cstheme="minorBidi"/>
          <w:szCs w:val="22"/>
        </w:rPr>
      </w:pPr>
      <w:r>
        <w:fldChar w:fldCharType="begin"/>
      </w:r>
      <w:r>
        <w:instrText xml:space="preserve"> HYPERLINK \l "_Toc193467397" </w:instrText>
      </w:r>
      <w:r>
        <w:fldChar w:fldCharType="separate"/>
      </w:r>
      <w:r>
        <w:rPr>
          <w:rStyle w:val="32"/>
          <w14:scene3d w14:prst="orthographicFront">
            <w14:lightRig w14:rig="threePt" w14:dir="t">
              <w14:rot w14:lat="0" w14:lon="0" w14:rev="0"/>
            </w14:lightRig>
          </w14:scene3d>
        </w:rPr>
        <w:t xml:space="preserve">8.4 </w:t>
      </w:r>
      <w:r>
        <w:rPr>
          <w:rStyle w:val="32"/>
        </w:rPr>
        <w:t xml:space="preserve"> 出血</w:t>
      </w:r>
      <w:r>
        <w:tab/>
      </w:r>
      <w:r>
        <w:fldChar w:fldCharType="begin"/>
      </w:r>
      <w:r>
        <w:instrText xml:space="preserve"> PAGEREF _Toc193467397 \h </w:instrText>
      </w:r>
      <w:r>
        <w:fldChar w:fldCharType="separate"/>
      </w:r>
      <w:r>
        <w:t>6</w:t>
      </w:r>
      <w:r>
        <w:fldChar w:fldCharType="end"/>
      </w:r>
      <w:r>
        <w:fldChar w:fldCharType="end"/>
      </w:r>
    </w:p>
    <w:p w14:paraId="42C5A74D">
      <w:pPr>
        <w:pStyle w:val="24"/>
        <w:rPr>
          <w:rFonts w:asciiTheme="minorHAnsi" w:hAnsiTheme="minorHAnsi" w:eastAsiaTheme="minorEastAsia" w:cstheme="minorBidi"/>
          <w:szCs w:val="22"/>
        </w:rPr>
      </w:pPr>
      <w:r>
        <w:fldChar w:fldCharType="begin"/>
      </w:r>
      <w:r>
        <w:instrText xml:space="preserve"> HYPERLINK \l "_Toc193467398" </w:instrText>
      </w:r>
      <w:r>
        <w:fldChar w:fldCharType="separate"/>
      </w:r>
      <w:r>
        <w:rPr>
          <w:rStyle w:val="32"/>
          <w14:scene3d w14:prst="orthographicFront">
            <w14:lightRig w14:rig="threePt" w14:dir="t">
              <w14:rot w14:lat="0" w14:lon="0" w14:rev="0"/>
            </w14:lightRig>
          </w14:scene3d>
        </w:rPr>
        <w:t xml:space="preserve">8.5 </w:t>
      </w:r>
      <w:r>
        <w:rPr>
          <w:rStyle w:val="32"/>
        </w:rPr>
        <w:t xml:space="preserve"> 感染</w:t>
      </w:r>
      <w:r>
        <w:tab/>
      </w:r>
      <w:r>
        <w:fldChar w:fldCharType="begin"/>
      </w:r>
      <w:r>
        <w:instrText xml:space="preserve"> PAGEREF _Toc193467398 \h </w:instrText>
      </w:r>
      <w:r>
        <w:fldChar w:fldCharType="separate"/>
      </w:r>
      <w:r>
        <w:t>6</w:t>
      </w:r>
      <w:r>
        <w:fldChar w:fldCharType="end"/>
      </w:r>
      <w:r>
        <w:fldChar w:fldCharType="end"/>
      </w:r>
    </w:p>
    <w:p w14:paraId="42FFC8C1">
      <w:pPr>
        <w:pStyle w:val="91"/>
        <w:spacing w:after="36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4BD568AA">
      <w:pPr>
        <w:pStyle w:val="89"/>
        <w:spacing w:before="900" w:after="360"/>
      </w:pPr>
      <w:bookmarkStart w:id="23" w:name="_Toc193467378"/>
      <w:bookmarkStart w:id="24" w:name="BookMark2"/>
      <w:r>
        <w:rPr>
          <w:spacing w:val="320"/>
        </w:rPr>
        <w:t>前</w:t>
      </w:r>
      <w:r>
        <w:t>言</w:t>
      </w:r>
      <w:bookmarkEnd w:id="22"/>
      <w:bookmarkEnd w:id="23"/>
    </w:p>
    <w:p w14:paraId="680DB44D">
      <w:pPr>
        <w:pStyle w:val="56"/>
        <w:ind w:firstLine="420"/>
      </w:pPr>
      <w:r>
        <w:rPr>
          <w:rFonts w:hint="eastAsia"/>
        </w:rPr>
        <w:t>本文件参照GB/T 1.1—2020《标准化工作导则  第1部分：标准化文件的结构和起草规则》的规定起草。</w:t>
      </w:r>
    </w:p>
    <w:p w14:paraId="1C39EE37">
      <w:pPr>
        <w:pStyle w:val="56"/>
        <w:ind w:firstLine="420"/>
      </w:pPr>
      <w:r>
        <w:rPr>
          <w:rFonts w:hint="eastAsia"/>
        </w:rPr>
        <w:t>请注意本文件的某些内容可能涉及专利。本文件的发布机构不承担识别专利的责任。</w:t>
      </w:r>
    </w:p>
    <w:p w14:paraId="6ED6F6C5">
      <w:pPr>
        <w:pStyle w:val="56"/>
        <w:ind w:firstLine="420"/>
      </w:pPr>
      <w:r>
        <w:rPr>
          <w:rFonts w:hint="eastAsia"/>
        </w:rPr>
        <w:t>本文件由广西</w:t>
      </w:r>
      <w:r>
        <w:t>护理</w:t>
      </w:r>
      <w:r>
        <w:rPr>
          <w:rFonts w:hint="eastAsia"/>
        </w:rPr>
        <w:t>学会提出、</w:t>
      </w:r>
      <w:r>
        <w:t>归口</w:t>
      </w:r>
      <w:r>
        <w:rPr>
          <w:rFonts w:hint="eastAsia"/>
        </w:rPr>
        <w:t>并宣贯。</w:t>
      </w:r>
    </w:p>
    <w:p w14:paraId="6C2DFB92">
      <w:pPr>
        <w:pStyle w:val="56"/>
        <w:ind w:firstLine="420"/>
      </w:pPr>
      <w:r>
        <w:rPr>
          <w:rFonts w:hint="eastAsia"/>
        </w:rPr>
        <w:t>本文件起草单位：柳州市工人医院、首都医科大学附属北京朝阳医院、中南大学湘雅医院、广西医科大学第一附属医院、广西壮族自治区人民医院、广西医科大学第二附属医院、桂林医学院附属医院、右江民族医学院附属医院、南宁市第二人民医院、柳州市人民医院、柳州市中医医院(柳州市壮医医院)柳州市柳铁中心医院、广西科技大学第一附属医院。</w:t>
      </w:r>
    </w:p>
    <w:p w14:paraId="1E351798">
      <w:pPr>
        <w:pStyle w:val="56"/>
        <w:ind w:firstLine="420"/>
      </w:pPr>
      <w:r>
        <w:rPr>
          <w:rFonts w:hint="eastAsia"/>
        </w:rPr>
        <w:t>本文件主要起草人：董应兰、刘小春、陆钰、王楠楠、王红、颜东、殷俊、常龙、黄德斌、黎艳、廖碧、李发娟、贺雅楠、韦阳萍、莫小源、刘海燕、朱红伟、陆艳芳、邓年华、邬庆莲、卢淑妹、刘远金、方蓉、陈美玲、潘慧玲。</w:t>
      </w:r>
    </w:p>
    <w:p w14:paraId="441F6CF5">
      <w:pPr>
        <w:pStyle w:val="56"/>
        <w:ind w:firstLine="420"/>
      </w:pPr>
    </w:p>
    <w:p w14:paraId="45498596">
      <w:pPr>
        <w:pStyle w:val="56"/>
        <w:ind w:firstLine="420"/>
        <w:sectPr>
          <w:pgSz w:w="11906" w:h="16838"/>
          <w:pgMar w:top="1928" w:right="1134" w:bottom="1134" w:left="1134" w:header="1418" w:footer="1134" w:gutter="284"/>
          <w:pgNumType w:fmt="upperRoman"/>
          <w:cols w:space="425" w:num="1"/>
          <w:formProt w:val="0"/>
          <w:docGrid w:linePitch="312" w:charSpace="0"/>
        </w:sectPr>
      </w:pPr>
    </w:p>
    <w:bookmarkEnd w:id="24"/>
    <w:p w14:paraId="0BF7C83F">
      <w:pPr>
        <w:spacing w:line="20" w:lineRule="exact"/>
        <w:jc w:val="center"/>
        <w:rPr>
          <w:rFonts w:ascii="黑体" w:hAnsi="黑体" w:eastAsia="黑体"/>
          <w:sz w:val="32"/>
          <w:szCs w:val="32"/>
        </w:rPr>
      </w:pPr>
      <w:bookmarkStart w:id="25" w:name="BookMark4"/>
    </w:p>
    <w:p w14:paraId="66361CB8">
      <w:pPr>
        <w:spacing w:line="20" w:lineRule="exact"/>
        <w:jc w:val="center"/>
        <w:rPr>
          <w:rFonts w:ascii="黑体" w:hAnsi="黑体" w:eastAsia="黑体"/>
          <w:sz w:val="32"/>
          <w:szCs w:val="32"/>
        </w:rPr>
      </w:pPr>
    </w:p>
    <w:sdt>
      <w:sdtPr>
        <w:tag w:val="NEW_STAND_NAME"/>
        <w:id w:val="595910757"/>
        <w:lock w:val="sdtLocked"/>
        <w:placeholder>
          <w:docPart w:val="E1F0EF43A3B34C268A07D989C36D1384"/>
        </w:placeholder>
      </w:sdtPr>
      <w:sdtContent>
        <w:p w14:paraId="2257EFF2">
          <w:pPr>
            <w:pStyle w:val="177"/>
            <w:spacing w:before="2" w:beforeLines="1" w:after="528" w:afterLines="220"/>
          </w:pPr>
          <w:bookmarkStart w:id="26" w:name="NEW_STAND_NAME"/>
          <w:r>
            <w:rPr>
              <w:rFonts w:hint="eastAsia"/>
            </w:rPr>
            <w:t>急性冠脉综合征患者主动脉球囊反搏护理管理技术规范</w:t>
          </w:r>
        </w:p>
      </w:sdtContent>
    </w:sdt>
    <w:bookmarkEnd w:id="26"/>
    <w:p w14:paraId="28453C89">
      <w:pPr>
        <w:pStyle w:val="104"/>
        <w:spacing w:before="240" w:after="240"/>
      </w:pPr>
      <w:bookmarkStart w:id="27" w:name="_Toc193467379"/>
      <w:bookmarkStart w:id="28" w:name="_Toc26718930"/>
      <w:bookmarkStart w:id="29" w:name="_Toc24884211"/>
      <w:bookmarkStart w:id="30" w:name="_Toc17233325"/>
      <w:bookmarkStart w:id="31" w:name="_Toc26986530"/>
      <w:bookmarkStart w:id="32" w:name="_Toc17233333"/>
      <w:bookmarkStart w:id="33" w:name="_Toc193466097"/>
      <w:bookmarkStart w:id="34" w:name="_Toc24884218"/>
      <w:bookmarkStart w:id="35" w:name="_Toc26648465"/>
      <w:bookmarkStart w:id="36" w:name="_Toc97192964"/>
      <w:bookmarkStart w:id="37" w:name="_Toc26986771"/>
      <w:r>
        <w:rPr>
          <w:rFonts w:hint="eastAsia"/>
        </w:rPr>
        <w:t>范围</w:t>
      </w:r>
      <w:bookmarkEnd w:id="27"/>
      <w:bookmarkEnd w:id="28"/>
      <w:bookmarkEnd w:id="29"/>
      <w:bookmarkEnd w:id="30"/>
      <w:bookmarkEnd w:id="31"/>
      <w:bookmarkEnd w:id="32"/>
      <w:bookmarkEnd w:id="33"/>
      <w:bookmarkEnd w:id="34"/>
      <w:bookmarkEnd w:id="35"/>
      <w:bookmarkEnd w:id="36"/>
      <w:bookmarkEnd w:id="37"/>
    </w:p>
    <w:p w14:paraId="37D2A541">
      <w:pPr>
        <w:pStyle w:val="56"/>
        <w:ind w:firstLine="420"/>
      </w:pPr>
      <w:bookmarkStart w:id="38" w:name="_Toc24884219"/>
      <w:bookmarkStart w:id="39" w:name="_Toc17233326"/>
      <w:bookmarkStart w:id="40" w:name="_Toc26648466"/>
      <w:bookmarkStart w:id="41" w:name="_Toc24884212"/>
      <w:bookmarkStart w:id="42" w:name="_Toc17233334"/>
      <w:r>
        <w:rPr>
          <w:rFonts w:hint="eastAsia"/>
        </w:rPr>
        <w:t>本文件界定了主动脉气囊反搏的缩略语，规定了急性冠脉</w:t>
      </w:r>
      <w:r>
        <w:t>综合征患者</w:t>
      </w:r>
      <w:bookmarkStart w:id="43" w:name="OLE_LINK3"/>
      <w:bookmarkStart w:id="44" w:name="OLE_LINK4"/>
      <w:r>
        <w:t>主动脉球囊反搏</w:t>
      </w:r>
      <w:bookmarkEnd w:id="43"/>
      <w:bookmarkEnd w:id="44"/>
      <w:r>
        <w:t>护理管理技术</w:t>
      </w:r>
      <w:r>
        <w:rPr>
          <w:rFonts w:hint="eastAsia"/>
        </w:rPr>
        <w:t>的基本要求、禁忌症、护理措施、常见并发症处理的要求，描述了护理管理过程信息的追溯方法。</w:t>
      </w:r>
    </w:p>
    <w:p w14:paraId="552DC09B">
      <w:pPr>
        <w:pStyle w:val="56"/>
        <w:ind w:firstLine="420"/>
      </w:pPr>
      <w:r>
        <w:rPr>
          <w:rFonts w:hint="eastAsia"/>
        </w:rPr>
        <w:t>本文件适用于医疗机构急性冠脉</w:t>
      </w:r>
      <w:r>
        <w:t>综合征患者主动脉球囊反搏护理管理</w:t>
      </w:r>
      <w:r>
        <w:rPr>
          <w:rFonts w:hint="eastAsia"/>
        </w:rPr>
        <w:t>。</w:t>
      </w:r>
    </w:p>
    <w:p w14:paraId="3153DC13">
      <w:pPr>
        <w:pStyle w:val="104"/>
        <w:spacing w:before="240" w:after="240"/>
      </w:pPr>
      <w:bookmarkStart w:id="45" w:name="_Toc26718931"/>
      <w:bookmarkStart w:id="46" w:name="_Toc97192965"/>
      <w:bookmarkStart w:id="47" w:name="_Toc26986772"/>
      <w:bookmarkStart w:id="48" w:name="_Toc193466098"/>
      <w:bookmarkStart w:id="49" w:name="_Toc26986531"/>
      <w:bookmarkStart w:id="50" w:name="_Toc193467380"/>
      <w:r>
        <w:rPr>
          <w:rFonts w:hint="eastAsia"/>
        </w:rPr>
        <w:t>规范性引用文件</w:t>
      </w:r>
      <w:bookmarkEnd w:id="38"/>
      <w:bookmarkEnd w:id="39"/>
      <w:bookmarkEnd w:id="40"/>
      <w:bookmarkEnd w:id="41"/>
      <w:bookmarkEnd w:id="42"/>
      <w:bookmarkEnd w:id="45"/>
      <w:bookmarkEnd w:id="46"/>
      <w:bookmarkEnd w:id="47"/>
      <w:bookmarkEnd w:id="48"/>
      <w:bookmarkEnd w:id="49"/>
      <w:bookmarkEnd w:id="50"/>
    </w:p>
    <w:sdt>
      <w:sdtPr>
        <w:rPr>
          <w:rFonts w:hint="eastAsia"/>
        </w:rPr>
        <w:id w:val="715848253"/>
        <w:placeholder>
          <w:docPart w:val="466FA48B240D4E29A14CC12E4D39C85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9BA08AB">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F58584D">
      <w:pPr>
        <w:pStyle w:val="56"/>
        <w:ind w:firstLine="420"/>
      </w:pPr>
      <w:r>
        <w:rPr>
          <w:rFonts w:hint="eastAsia"/>
        </w:rPr>
        <w:t>GBZ/T 213  血源性病原体职业接触防护导则</w:t>
      </w:r>
    </w:p>
    <w:p w14:paraId="06AB813F">
      <w:pPr>
        <w:pStyle w:val="56"/>
        <w:ind w:firstLine="420"/>
      </w:pPr>
      <w:r>
        <w:rPr>
          <w:rFonts w:hint="eastAsia"/>
        </w:rPr>
        <w:t>GB 15982  医院消毒卫生标准</w:t>
      </w:r>
    </w:p>
    <w:p w14:paraId="57C198D3">
      <w:pPr>
        <w:pStyle w:val="56"/>
        <w:ind w:firstLine="420"/>
      </w:pPr>
      <w:r>
        <w:rPr>
          <w:rFonts w:hint="eastAsia"/>
        </w:rPr>
        <w:t>WS/T 313  医务人员手卫生规范</w:t>
      </w:r>
    </w:p>
    <w:p w14:paraId="750177D8">
      <w:pPr>
        <w:pStyle w:val="56"/>
        <w:ind w:firstLine="420"/>
      </w:pPr>
      <w:r>
        <w:rPr>
          <w:rFonts w:hint="eastAsia"/>
        </w:rPr>
        <w:t>WS/T 367  医疗机构消毒技术规范</w:t>
      </w:r>
    </w:p>
    <w:p w14:paraId="0201B739">
      <w:pPr>
        <w:pStyle w:val="56"/>
        <w:ind w:firstLine="420"/>
      </w:pPr>
      <w:r>
        <w:rPr>
          <w:rFonts w:hint="eastAsia"/>
        </w:rPr>
        <w:t>WS/T 433  静脉治疗护理技术操作标准</w:t>
      </w:r>
    </w:p>
    <w:p w14:paraId="71CC3254">
      <w:pPr>
        <w:pStyle w:val="104"/>
        <w:spacing w:before="240" w:after="240"/>
      </w:pPr>
      <w:bookmarkStart w:id="51" w:name="_Toc97192966"/>
      <w:bookmarkStart w:id="52" w:name="_Toc193466099"/>
      <w:bookmarkStart w:id="53" w:name="_Toc193467381"/>
      <w:r>
        <w:rPr>
          <w:rFonts w:hint="eastAsia"/>
          <w:szCs w:val="21"/>
        </w:rPr>
        <w:t>术语和定义</w:t>
      </w:r>
      <w:bookmarkEnd w:id="51"/>
      <w:bookmarkEnd w:id="52"/>
      <w:bookmarkEnd w:id="53"/>
    </w:p>
    <w:sdt>
      <w:sdtPr>
        <w:id w:val="-1909835108"/>
        <w:placeholder>
          <w:docPart w:val="DD9E82EC29CB4442A74198B8506D1AE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C1222D6">
          <w:pPr>
            <w:pStyle w:val="56"/>
            <w:ind w:firstLine="420"/>
          </w:pPr>
          <w:bookmarkStart w:id="54" w:name="_Toc26986532"/>
          <w:bookmarkEnd w:id="54"/>
          <w:r>
            <w:t>本文件没有需要界定的术语和定义。</w:t>
          </w:r>
        </w:p>
      </w:sdtContent>
    </w:sdt>
    <w:p w14:paraId="5985FF08">
      <w:pPr>
        <w:pStyle w:val="104"/>
        <w:spacing w:before="240" w:after="240"/>
      </w:pPr>
      <w:bookmarkStart w:id="55" w:name="_Toc193467382"/>
      <w:bookmarkStart w:id="56" w:name="_Toc193466100"/>
      <w:r>
        <w:rPr>
          <w:rFonts w:hint="eastAsia"/>
        </w:rPr>
        <w:t>缩略语</w:t>
      </w:r>
      <w:bookmarkEnd w:id="55"/>
    </w:p>
    <w:p w14:paraId="02A654C1">
      <w:pPr>
        <w:pStyle w:val="56"/>
        <w:ind w:firstLine="420"/>
      </w:pPr>
      <w:r>
        <w:rPr>
          <w:rFonts w:hint="eastAsia"/>
        </w:rPr>
        <w:t>下列缩略语适用于本文件。</w:t>
      </w:r>
    </w:p>
    <w:p w14:paraId="730060EC">
      <w:pPr>
        <w:pStyle w:val="56"/>
        <w:ind w:firstLine="420"/>
      </w:pPr>
      <w:r>
        <w:rPr>
          <w:rFonts w:hint="eastAsia"/>
        </w:rPr>
        <w:t>IABP：主动脉气囊反搏（</w:t>
      </w:r>
      <w:r>
        <w:t>intra-aortic balloon pump</w:t>
      </w:r>
      <w:r>
        <w:rPr>
          <w:rFonts w:hint="eastAsia"/>
        </w:rPr>
        <w:t>）</w:t>
      </w:r>
    </w:p>
    <w:p w14:paraId="17B5F714">
      <w:pPr>
        <w:pStyle w:val="104"/>
        <w:spacing w:before="240" w:after="240"/>
      </w:pPr>
      <w:bookmarkStart w:id="57" w:name="_Toc193467383"/>
      <w:r>
        <w:rPr>
          <w:rFonts w:hint="eastAsia"/>
        </w:rPr>
        <w:t>基本要求</w:t>
      </w:r>
      <w:bookmarkEnd w:id="56"/>
      <w:bookmarkEnd w:id="57"/>
    </w:p>
    <w:p w14:paraId="7FEA83A2">
      <w:pPr>
        <w:pStyle w:val="105"/>
        <w:spacing w:before="120" w:after="120"/>
      </w:pPr>
      <w:bookmarkStart w:id="58" w:name="_Toc193467384"/>
      <w:bookmarkStart w:id="59" w:name="_Toc193466101"/>
      <w:r>
        <w:rPr>
          <w:rFonts w:hint="eastAsia"/>
        </w:rPr>
        <w:t>人员</w:t>
      </w:r>
      <w:bookmarkEnd w:id="58"/>
      <w:bookmarkEnd w:id="59"/>
    </w:p>
    <w:p w14:paraId="6F130BDF">
      <w:pPr>
        <w:pStyle w:val="165"/>
      </w:pPr>
      <w:r>
        <w:rPr>
          <w:rFonts w:hint="eastAsia"/>
        </w:rPr>
        <w:t>应经过</w:t>
      </w:r>
      <w:r>
        <w:t>主动脉球囊反搏护理</w:t>
      </w:r>
      <w:r>
        <w:rPr>
          <w:rFonts w:hint="eastAsia"/>
        </w:rPr>
        <w:t>专业知识和技能培训，并考核合格。</w:t>
      </w:r>
    </w:p>
    <w:p w14:paraId="39941D07">
      <w:pPr>
        <w:pStyle w:val="165"/>
      </w:pPr>
      <w:r>
        <w:rPr>
          <w:rFonts w:hint="eastAsia"/>
        </w:rPr>
        <w:t>手卫生应符合WS/T 313的规定，职业防护应符合GBZ/T 213、WS/T 433的规定。</w:t>
      </w:r>
    </w:p>
    <w:p w14:paraId="7D26CFD8">
      <w:pPr>
        <w:pStyle w:val="105"/>
        <w:spacing w:before="120" w:after="120"/>
      </w:pPr>
      <w:bookmarkStart w:id="60" w:name="_Toc193466102"/>
      <w:bookmarkStart w:id="61" w:name="_Toc193467385"/>
      <w:r>
        <w:rPr>
          <w:rFonts w:hint="eastAsia"/>
        </w:rPr>
        <w:t>设施设备</w:t>
      </w:r>
      <w:bookmarkEnd w:id="60"/>
      <w:bookmarkEnd w:id="61"/>
    </w:p>
    <w:p w14:paraId="131C84BA">
      <w:pPr>
        <w:pStyle w:val="65"/>
        <w:spacing w:before="120" w:after="120"/>
      </w:pPr>
      <w:r>
        <w:rPr>
          <w:rFonts w:hint="eastAsia"/>
        </w:rPr>
        <w:t>设施</w:t>
      </w:r>
    </w:p>
    <w:p w14:paraId="045FB960">
      <w:pPr>
        <w:pStyle w:val="56"/>
        <w:ind w:firstLine="420"/>
      </w:pPr>
      <w:r>
        <w:rPr>
          <w:rFonts w:hint="eastAsia"/>
        </w:rPr>
        <w:t>医疗机构消毒技术应符合WS/T 367的规定,</w:t>
      </w:r>
      <w:r>
        <w:t>导管室</w:t>
      </w:r>
      <w:r>
        <w:rPr>
          <w:rFonts w:hint="eastAsia"/>
        </w:rPr>
        <w:t>消毒卫生符合GB 15982的规定。</w:t>
      </w:r>
    </w:p>
    <w:p w14:paraId="48A8AD40">
      <w:pPr>
        <w:pStyle w:val="65"/>
        <w:spacing w:before="120" w:after="120"/>
      </w:pPr>
      <w:r>
        <w:rPr>
          <w:rFonts w:hint="eastAsia"/>
        </w:rPr>
        <w:t>设备</w:t>
      </w:r>
    </w:p>
    <w:p w14:paraId="47726F5C">
      <w:pPr>
        <w:pStyle w:val="164"/>
        <w:ind w:left="0"/>
      </w:pPr>
      <w:r>
        <w:rPr>
          <w:rFonts w:hint="eastAsia"/>
        </w:rPr>
        <w:t>检查IABP机处于正常工作状态，设定报警指标；检查氨气瓶压力，不应漏气；检查心电监护仪正常工作。</w:t>
      </w:r>
    </w:p>
    <w:p w14:paraId="363F7609">
      <w:pPr>
        <w:pStyle w:val="164"/>
        <w:ind w:left="0"/>
      </w:pPr>
      <w:r>
        <w:rPr>
          <w:rFonts w:hint="eastAsia"/>
        </w:rPr>
        <w:t>床旁准备气管插管设备、呼吸机、除颤仪、超声机、心电图机等。</w:t>
      </w:r>
    </w:p>
    <w:p w14:paraId="64085E07">
      <w:pPr>
        <w:pStyle w:val="105"/>
        <w:spacing w:before="120" w:after="120"/>
      </w:pPr>
      <w:bookmarkStart w:id="62" w:name="_Toc193466103"/>
      <w:bookmarkStart w:id="63" w:name="_Toc193467386"/>
      <w:r>
        <w:rPr>
          <w:rFonts w:hint="eastAsia"/>
        </w:rPr>
        <w:t>耗材及药品</w:t>
      </w:r>
      <w:bookmarkEnd w:id="62"/>
      <w:bookmarkEnd w:id="63"/>
    </w:p>
    <w:p w14:paraId="5D0BB03B">
      <w:pPr>
        <w:pStyle w:val="164"/>
        <w:ind w:left="0"/>
      </w:pPr>
      <w:r>
        <w:rPr>
          <w:rFonts w:hint="eastAsia"/>
        </w:rPr>
        <w:t>选择合适型号球囊导管，球囊的选择依据患者的身高而定：</w:t>
      </w:r>
    </w:p>
    <w:p w14:paraId="37F0635A">
      <w:pPr>
        <w:pStyle w:val="132"/>
      </w:pPr>
      <w:r>
        <w:rPr>
          <w:rFonts w:hint="eastAsia"/>
        </w:rPr>
        <w:t>身高＜165</w:t>
      </w:r>
      <w:r>
        <w:rPr>
          <w:vertAlign w:val="superscript"/>
        </w:rPr>
        <w:t xml:space="preserve"> </w:t>
      </w:r>
      <w:r>
        <w:rPr>
          <w:rFonts w:hint="eastAsia"/>
        </w:rPr>
        <w:t>cm选择34</w:t>
      </w:r>
      <w:r>
        <w:rPr>
          <w:vertAlign w:val="superscript"/>
        </w:rPr>
        <w:t xml:space="preserve"> </w:t>
      </w:r>
      <w:r>
        <w:rPr>
          <w:rFonts w:hint="eastAsia"/>
        </w:rPr>
        <w:t>m</w:t>
      </w:r>
      <w:r>
        <w:t>L</w:t>
      </w:r>
      <w:r>
        <w:rPr>
          <w:rFonts w:hint="eastAsia"/>
        </w:rPr>
        <w:t>(8F)；</w:t>
      </w:r>
    </w:p>
    <w:p w14:paraId="4B3628A5">
      <w:pPr>
        <w:pStyle w:val="132"/>
      </w:pPr>
      <w:r>
        <w:rPr>
          <w:rFonts w:hint="eastAsia"/>
        </w:rPr>
        <w:t>身高在165</w:t>
      </w:r>
      <w:r>
        <w:rPr>
          <w:vertAlign w:val="superscript"/>
        </w:rPr>
        <w:t xml:space="preserve"> </w:t>
      </w:r>
      <w:r>
        <w:rPr>
          <w:rFonts w:hint="eastAsia"/>
        </w:rPr>
        <w:t>cm～183</w:t>
      </w:r>
      <w:r>
        <w:rPr>
          <w:vertAlign w:val="superscript"/>
        </w:rPr>
        <w:t xml:space="preserve"> </w:t>
      </w:r>
      <w:r>
        <w:rPr>
          <w:rFonts w:hint="eastAsia"/>
        </w:rPr>
        <w:t>cm之间选择40</w:t>
      </w:r>
      <w:r>
        <w:rPr>
          <w:vertAlign w:val="superscript"/>
        </w:rPr>
        <w:t xml:space="preserve"> </w:t>
      </w:r>
      <w:r>
        <w:rPr>
          <w:rFonts w:hint="eastAsia"/>
        </w:rPr>
        <w:t>m</w:t>
      </w:r>
      <w:r>
        <w:t>L</w:t>
      </w:r>
      <w:r>
        <w:rPr>
          <w:rFonts w:hint="eastAsia"/>
        </w:rPr>
        <w:t>(9F)；</w:t>
      </w:r>
    </w:p>
    <w:p w14:paraId="74ED1E72">
      <w:pPr>
        <w:pStyle w:val="132"/>
      </w:pPr>
      <w:r>
        <w:rPr>
          <w:rFonts w:hint="eastAsia"/>
        </w:rPr>
        <w:t>身高＞183</w:t>
      </w:r>
      <w:r>
        <w:rPr>
          <w:vertAlign w:val="superscript"/>
        </w:rPr>
        <w:t xml:space="preserve"> </w:t>
      </w:r>
      <w:r>
        <w:rPr>
          <w:rFonts w:hint="eastAsia"/>
        </w:rPr>
        <w:t>cm选择50</w:t>
      </w:r>
      <w:r>
        <w:rPr>
          <w:vertAlign w:val="superscript"/>
        </w:rPr>
        <w:t xml:space="preserve"> </w:t>
      </w:r>
      <w:r>
        <w:rPr>
          <w:rFonts w:hint="eastAsia"/>
        </w:rPr>
        <w:t>m</w:t>
      </w:r>
      <w:r>
        <w:t>L</w:t>
      </w:r>
      <w:r>
        <w:rPr>
          <w:rFonts w:hint="eastAsia"/>
        </w:rPr>
        <w:t>(10F)。</w:t>
      </w:r>
    </w:p>
    <w:p w14:paraId="13BF7B8C">
      <w:pPr>
        <w:pStyle w:val="164"/>
        <w:ind w:left="0"/>
      </w:pPr>
      <w:r>
        <w:rPr>
          <w:rFonts w:hint="eastAsia"/>
        </w:rPr>
        <w:t>准备肝素盐水（0.9％氯化钠溶液500</w:t>
      </w:r>
      <w:r>
        <w:rPr>
          <w:vertAlign w:val="superscript"/>
        </w:rPr>
        <w:t xml:space="preserve"> </w:t>
      </w:r>
      <w:r>
        <w:rPr>
          <w:rFonts w:hint="eastAsia"/>
        </w:rPr>
        <w:t>m</w:t>
      </w:r>
      <w:r>
        <w:t>L</w:t>
      </w:r>
      <w:r>
        <w:rPr>
          <w:rFonts w:hint="eastAsia"/>
        </w:rPr>
        <w:t>+肝素钠12</w:t>
      </w:r>
      <w:r>
        <w:rPr>
          <w:vertAlign w:val="superscript"/>
        </w:rPr>
        <w:t xml:space="preserve"> </w:t>
      </w:r>
      <w:r>
        <w:rPr>
          <w:rFonts w:hint="eastAsia"/>
        </w:rPr>
        <w:t>500单位）、手术扩创包、1％利多卡因。</w:t>
      </w:r>
    </w:p>
    <w:p w14:paraId="6391D458">
      <w:pPr>
        <w:pStyle w:val="164"/>
        <w:ind w:left="0"/>
      </w:pPr>
      <w:r>
        <w:rPr>
          <w:rFonts w:hint="eastAsia"/>
        </w:rPr>
        <w:t>准备抗血小板药物（如阿司匹林、氣吡格雷）、抗凝药物（如肝素）及血管活性药物（B受体阻滞剂、他汀类药物）等药物。</w:t>
      </w:r>
    </w:p>
    <w:p w14:paraId="39C584E7">
      <w:pPr>
        <w:pStyle w:val="104"/>
        <w:spacing w:before="240" w:after="240"/>
      </w:pPr>
      <w:bookmarkStart w:id="64" w:name="_Toc193467387"/>
      <w:bookmarkStart w:id="65" w:name="_Toc193466104"/>
      <w:r>
        <w:rPr>
          <w:rFonts w:hint="eastAsia"/>
        </w:rPr>
        <w:t>禁忌症</w:t>
      </w:r>
      <w:bookmarkEnd w:id="64"/>
      <w:bookmarkEnd w:id="65"/>
    </w:p>
    <w:p w14:paraId="10894344">
      <w:pPr>
        <w:pStyle w:val="162"/>
      </w:pPr>
      <w:r>
        <w:rPr>
          <w:rFonts w:hint="eastAsia"/>
        </w:rPr>
        <w:t>主动脉瓣关闭不全。</w:t>
      </w:r>
    </w:p>
    <w:p w14:paraId="5EAA0288">
      <w:pPr>
        <w:pStyle w:val="162"/>
      </w:pPr>
      <w:r>
        <w:rPr>
          <w:rFonts w:hint="eastAsia"/>
        </w:rPr>
        <w:t>主动脉瘤或主动脉血管型的疾病。</w:t>
      </w:r>
    </w:p>
    <w:p w14:paraId="77DCBB79">
      <w:pPr>
        <w:pStyle w:val="162"/>
      </w:pPr>
      <w:r>
        <w:rPr>
          <w:rFonts w:hint="eastAsia"/>
        </w:rPr>
        <w:t>严重的周围血管疾病，如存在穿刺侧的股动脉和(或)髂动脉严重狭窄或钙化病变。</w:t>
      </w:r>
    </w:p>
    <w:p w14:paraId="10A36CCB">
      <w:pPr>
        <w:pStyle w:val="162"/>
      </w:pPr>
      <w:r>
        <w:rPr>
          <w:rFonts w:hint="eastAsia"/>
        </w:rPr>
        <w:t>血小板减少（计数＜80×10</w:t>
      </w:r>
      <w:r>
        <w:rPr>
          <w:rFonts w:hint="eastAsia"/>
          <w:vertAlign w:val="superscript"/>
        </w:rPr>
        <w:t>9</w:t>
      </w:r>
      <w:r>
        <w:rPr>
          <w:rFonts w:hint="eastAsia"/>
        </w:rPr>
        <w:t>/L）。</w:t>
      </w:r>
    </w:p>
    <w:p w14:paraId="346B8BB2">
      <w:pPr>
        <w:pStyle w:val="162"/>
      </w:pPr>
      <w:r>
        <w:rPr>
          <w:rFonts w:hint="eastAsia"/>
        </w:rPr>
        <w:t>疾病末期如癌症转移。</w:t>
      </w:r>
    </w:p>
    <w:p w14:paraId="378A792B">
      <w:pPr>
        <w:pStyle w:val="104"/>
        <w:spacing w:before="240" w:after="240"/>
      </w:pPr>
      <w:bookmarkStart w:id="66" w:name="_Toc193467388"/>
      <w:bookmarkStart w:id="67" w:name="_Toc193466105"/>
      <w:r>
        <w:rPr>
          <w:rFonts w:hint="eastAsia"/>
        </w:rPr>
        <w:t>护理措施</w:t>
      </w:r>
      <w:bookmarkEnd w:id="66"/>
      <w:bookmarkEnd w:id="67"/>
    </w:p>
    <w:p w14:paraId="52765413">
      <w:pPr>
        <w:pStyle w:val="105"/>
        <w:spacing w:before="120" w:after="120"/>
      </w:pPr>
      <w:bookmarkStart w:id="68" w:name="_Toc193466106"/>
      <w:bookmarkStart w:id="69" w:name="_Toc193467389"/>
      <w:r>
        <w:rPr>
          <w:rFonts w:hint="eastAsia"/>
        </w:rPr>
        <w:t>术前护理</w:t>
      </w:r>
      <w:bookmarkEnd w:id="68"/>
      <w:bookmarkEnd w:id="69"/>
    </w:p>
    <w:p w14:paraId="30E07109">
      <w:pPr>
        <w:pStyle w:val="65"/>
        <w:spacing w:before="120" w:after="120"/>
      </w:pPr>
      <w:r>
        <w:rPr>
          <w:rFonts w:hint="eastAsia"/>
        </w:rPr>
        <w:t>评估</w:t>
      </w:r>
    </w:p>
    <w:p w14:paraId="1441A5BF">
      <w:pPr>
        <w:pStyle w:val="56"/>
        <w:ind w:firstLine="420"/>
      </w:pPr>
      <w:r>
        <w:rPr>
          <w:rFonts w:hint="eastAsia"/>
        </w:rPr>
        <w:t>急性冠脉综合征患者应在以下时机应用IABP：</w:t>
      </w:r>
    </w:p>
    <w:p w14:paraId="2536B31A">
      <w:pPr>
        <w:pStyle w:val="132"/>
      </w:pPr>
      <w:r>
        <w:rPr>
          <w:rFonts w:hint="eastAsia"/>
        </w:rPr>
        <w:t>急性心肌梗死合并心源性休克：收缩压＜90</w:t>
      </w:r>
      <w:r>
        <w:rPr>
          <w:vertAlign w:val="superscript"/>
        </w:rPr>
        <w:t xml:space="preserve"> </w:t>
      </w:r>
      <w:r>
        <w:rPr>
          <w:rFonts w:hint="eastAsia"/>
        </w:rPr>
        <w:t>mmHg或较发病前降低30</w:t>
      </w:r>
      <w:r>
        <w:rPr>
          <w:vertAlign w:val="superscript"/>
        </w:rPr>
        <w:t xml:space="preserve"> </w:t>
      </w:r>
      <w:r>
        <w:rPr>
          <w:rFonts w:hint="eastAsia"/>
        </w:rPr>
        <w:t>mg以上，持续时间＞30</w:t>
      </w:r>
      <w:r>
        <w:rPr>
          <w:vertAlign w:val="superscript"/>
        </w:rPr>
        <w:t xml:space="preserve"> </w:t>
      </w:r>
      <w:r>
        <w:rPr>
          <w:rFonts w:hint="eastAsia"/>
        </w:rPr>
        <w:t>min；尿量＜30</w:t>
      </w:r>
      <w:r>
        <w:rPr>
          <w:vertAlign w:val="superscript"/>
        </w:rPr>
        <w:t xml:space="preserve"> </w:t>
      </w:r>
      <w:r>
        <w:rPr>
          <w:rFonts w:hint="eastAsia"/>
        </w:rPr>
        <w:t>m</w:t>
      </w:r>
      <w:r>
        <w:t>L</w:t>
      </w:r>
      <w:r>
        <w:rPr>
          <w:rFonts w:hint="eastAsia"/>
        </w:rPr>
        <w:t>/h；存在末梢循环灌注不足的表现，如皮肤湿冷、发绀，并出现神经、精神症状；多巴胺用量≥15</w:t>
      </w:r>
      <w:r>
        <w:rPr>
          <w:vertAlign w:val="superscript"/>
        </w:rPr>
        <w:t xml:space="preserve"> </w:t>
      </w:r>
      <w:r>
        <w:rPr>
          <w:rFonts w:hint="eastAsia"/>
        </w:rPr>
        <w:t>μ</w:t>
      </w:r>
      <w:r>
        <w:t>g</w:t>
      </w:r>
      <w:r>
        <w:rPr>
          <w:rFonts w:hint="eastAsia"/>
        </w:rPr>
        <w:t>/kg/min；Killip分级达到Ш级或Ⅳ级；除外其他原因引起的体克；</w:t>
      </w:r>
    </w:p>
    <w:p w14:paraId="2572DA06">
      <w:pPr>
        <w:pStyle w:val="132"/>
      </w:pPr>
      <w:r>
        <w:rPr>
          <w:rFonts w:hint="eastAsia"/>
        </w:rPr>
        <w:t>不稳定心绞痛或药物治疗无法控制的心绞痛或变异性心绞痛持续24</w:t>
      </w:r>
      <w:r>
        <w:rPr>
          <w:vertAlign w:val="superscript"/>
        </w:rPr>
        <w:t xml:space="preserve"> </w:t>
      </w:r>
      <w:r>
        <w:rPr>
          <w:rFonts w:hint="eastAsia"/>
        </w:rPr>
        <w:t>h以上并伴有明显的血流动力学障碍；</w:t>
      </w:r>
    </w:p>
    <w:p w14:paraId="2E845717">
      <w:pPr>
        <w:pStyle w:val="132"/>
      </w:pPr>
      <w:r>
        <w:rPr>
          <w:rFonts w:hint="eastAsia"/>
        </w:rPr>
        <w:t>因心脏缺血而诱发的顽固性心律失常；</w:t>
      </w:r>
    </w:p>
    <w:p w14:paraId="27360BD4">
      <w:pPr>
        <w:pStyle w:val="132"/>
      </w:pPr>
      <w:r>
        <w:rPr>
          <w:rFonts w:hint="eastAsia"/>
        </w:rPr>
        <w:t>重度左心功能不全（NYHA≥Ⅲ级）；</w:t>
      </w:r>
    </w:p>
    <w:p w14:paraId="312D4475">
      <w:pPr>
        <w:pStyle w:val="132"/>
      </w:pPr>
      <w:r>
        <w:rPr>
          <w:rFonts w:hint="eastAsia"/>
        </w:rPr>
        <w:t>左冠脉主干病变、类左主干病变或严重的多支冠脉病变。</w:t>
      </w:r>
    </w:p>
    <w:p w14:paraId="3F4BDE02">
      <w:pPr>
        <w:pStyle w:val="65"/>
        <w:spacing w:before="120" w:after="120"/>
      </w:pPr>
      <w:r>
        <w:rPr>
          <w:rFonts w:hint="eastAsia"/>
        </w:rPr>
        <w:t>术前准备</w:t>
      </w:r>
    </w:p>
    <w:p w14:paraId="5E451B7D">
      <w:pPr>
        <w:pStyle w:val="164"/>
        <w:ind w:left="0"/>
      </w:pPr>
      <w:r>
        <w:rPr>
          <w:rFonts w:hint="eastAsia"/>
        </w:rPr>
        <w:t>核对患者信息</w:t>
      </w:r>
      <w:r>
        <w:rPr>
          <w:rFonts w:hint="eastAsia"/>
          <w:lang w:eastAsia="zh-CN"/>
        </w:rPr>
        <w:t>，并</w:t>
      </w:r>
      <w:bookmarkStart w:id="93" w:name="_GoBack"/>
      <w:bookmarkEnd w:id="93"/>
      <w:r>
        <w:rPr>
          <w:rFonts w:hint="eastAsia"/>
        </w:rPr>
        <w:t>完成术前检査，如血液检査、心电图、超声心动图、胸部X射线及CT等检查，了解患者的基本状况。</w:t>
      </w:r>
    </w:p>
    <w:p w14:paraId="1A94EC40">
      <w:pPr>
        <w:pStyle w:val="164"/>
        <w:ind w:left="0"/>
      </w:pPr>
      <w:r>
        <w:rPr>
          <w:rFonts w:hint="eastAsia"/>
        </w:rPr>
        <w:t>每小时监测患者的生命体征，包括动态进行有创动脉血压、心率、呼吸、中心静脉压及心电图监测等。</w:t>
      </w:r>
    </w:p>
    <w:p w14:paraId="792AF3D1">
      <w:pPr>
        <w:pStyle w:val="105"/>
        <w:spacing w:before="120" w:after="120"/>
      </w:pPr>
      <w:bookmarkStart w:id="70" w:name="_Toc193466107"/>
      <w:bookmarkStart w:id="71" w:name="_Toc193467390"/>
      <w:r>
        <w:rPr>
          <w:rFonts w:hint="eastAsia"/>
        </w:rPr>
        <w:t>术中护理</w:t>
      </w:r>
      <w:bookmarkEnd w:id="70"/>
      <w:bookmarkEnd w:id="71"/>
    </w:p>
    <w:p w14:paraId="49C1C354">
      <w:pPr>
        <w:pStyle w:val="65"/>
        <w:spacing w:before="120" w:after="120"/>
      </w:pPr>
      <w:r>
        <w:rPr>
          <w:rFonts w:hint="eastAsia"/>
        </w:rPr>
        <w:t>核对患者信息</w:t>
      </w:r>
    </w:p>
    <w:p w14:paraId="401D64E0">
      <w:pPr>
        <w:pStyle w:val="56"/>
        <w:ind w:firstLine="420"/>
        <w:rPr>
          <w:rFonts w:hAnsi="宋体"/>
        </w:rPr>
      </w:pPr>
      <w:r>
        <w:rPr>
          <w:rFonts w:hint="eastAsia" w:hAnsi="宋体"/>
        </w:rPr>
        <w:t>护士应协助手术医师、麻醉医师核查患者科室、姓名、年龄、住院号、手术名称、手术部位、各种管道等，了解各项检验、检查结果。</w:t>
      </w:r>
    </w:p>
    <w:p w14:paraId="27373E05">
      <w:pPr>
        <w:pStyle w:val="65"/>
        <w:spacing w:before="120" w:after="120"/>
      </w:pPr>
      <w:r>
        <w:rPr>
          <w:rFonts w:hint="eastAsia"/>
        </w:rPr>
        <w:t>术中监测</w:t>
      </w:r>
    </w:p>
    <w:p w14:paraId="342F3DFE">
      <w:pPr>
        <w:pStyle w:val="56"/>
        <w:ind w:firstLine="420"/>
      </w:pPr>
      <w:r>
        <w:rPr>
          <w:rFonts w:hint="eastAsia"/>
        </w:rPr>
        <w:t>全程监护插管过程，测量记录患者的血压、心率，关注患者的主诉，并给予相应的心理支持。密切观察治疗并发症，如血栓形成、循环梗阻等，发现异常立即停止治疗并报告医生处理。</w:t>
      </w:r>
    </w:p>
    <w:p w14:paraId="195A9AC2">
      <w:pPr>
        <w:pStyle w:val="65"/>
        <w:spacing w:before="120" w:after="120"/>
      </w:pPr>
      <w:r>
        <w:rPr>
          <w:rFonts w:hint="eastAsia"/>
        </w:rPr>
        <w:t>术中配合</w:t>
      </w:r>
    </w:p>
    <w:p w14:paraId="461B79A7">
      <w:pPr>
        <w:pStyle w:val="56"/>
        <w:ind w:firstLine="420"/>
      </w:pPr>
      <w:r>
        <w:rPr>
          <w:rFonts w:hint="eastAsia"/>
        </w:rPr>
        <w:t>术中按</w:t>
      </w:r>
      <w:r>
        <w:t>下列内容配合</w:t>
      </w:r>
      <w:r>
        <w:rPr>
          <w:rFonts w:hint="eastAsia"/>
        </w:rPr>
        <w:t>操作</w:t>
      </w:r>
      <w:r>
        <w:t>：</w:t>
      </w:r>
    </w:p>
    <w:p w14:paraId="3FF5406B">
      <w:pPr>
        <w:pStyle w:val="174"/>
      </w:pPr>
      <w:r>
        <w:rPr>
          <w:rFonts w:hint="eastAsia"/>
        </w:rPr>
        <w:t>予患者平卧位，术侧下肢制动、伸直，不应弯曲，必要时可使用镇静药或约束带；当患者发生急性肺水肿时可尝试斜坡卧位70°角穿刺；</w:t>
      </w:r>
    </w:p>
    <w:p w14:paraId="25FEC6F2">
      <w:pPr>
        <w:pStyle w:val="174"/>
      </w:pPr>
      <w:r>
        <w:rPr>
          <w:rFonts w:hint="eastAsia"/>
        </w:rPr>
        <w:t>协助医生予患者皮肤消毒，消毒范围脐下至大腿上1/3处；</w:t>
      </w:r>
    </w:p>
    <w:p w14:paraId="26EC9AE8">
      <w:pPr>
        <w:pStyle w:val="174"/>
      </w:pPr>
      <w:r>
        <w:rPr>
          <w:rFonts w:hint="eastAsia"/>
        </w:rPr>
        <w:t>配合医生连接压力套组，IABP导管预冲肝素盐水；</w:t>
      </w:r>
    </w:p>
    <w:p w14:paraId="4D6159BE">
      <w:pPr>
        <w:pStyle w:val="174"/>
      </w:pPr>
      <w:r>
        <w:rPr>
          <w:rFonts w:hint="eastAsia"/>
        </w:rPr>
        <w:t>连接安全电源，打开电源及IABP开关；</w:t>
      </w:r>
    </w:p>
    <w:p w14:paraId="32259133">
      <w:pPr>
        <w:pStyle w:val="174"/>
      </w:pPr>
      <w:r>
        <w:rPr>
          <w:rFonts w:hint="eastAsia"/>
        </w:rPr>
        <w:t>打开氦气瓶，检查氦气压；</w:t>
      </w:r>
    </w:p>
    <w:p w14:paraId="2E304B47">
      <w:pPr>
        <w:pStyle w:val="174"/>
      </w:pPr>
      <w:r>
        <w:rPr>
          <w:rFonts w:hint="eastAsia"/>
        </w:rPr>
        <w:t>将IABP外部心电图信号线连接监护仪或除颤器；</w:t>
      </w:r>
    </w:p>
    <w:p w14:paraId="096540C0">
      <w:pPr>
        <w:pStyle w:val="174"/>
      </w:pPr>
      <w:r>
        <w:rPr>
          <w:rFonts w:hint="eastAsia"/>
        </w:rPr>
        <w:t>动脉压力套组连接至IABP机上，观察屏幕动脉血压波形，配合医生校对“零点”；</w:t>
      </w:r>
    </w:p>
    <w:p w14:paraId="7C80E817">
      <w:pPr>
        <w:pStyle w:val="174"/>
      </w:pPr>
      <w:r>
        <w:rPr>
          <w:rFonts w:hint="eastAsia"/>
        </w:rPr>
        <w:t>连接氦气导管；</w:t>
      </w:r>
    </w:p>
    <w:p w14:paraId="15E5DB4F">
      <w:pPr>
        <w:pStyle w:val="174"/>
      </w:pPr>
      <w:r>
        <w:rPr>
          <w:rFonts w:hint="eastAsia"/>
        </w:rPr>
        <w:t>检查连接无误，启动IABP；</w:t>
      </w:r>
    </w:p>
    <w:p w14:paraId="1706534E">
      <w:pPr>
        <w:pStyle w:val="174"/>
      </w:pPr>
      <w:r>
        <w:rPr>
          <w:rFonts w:hint="eastAsia"/>
        </w:rPr>
        <w:t>观察反搏波形并做好相关记录；</w:t>
      </w:r>
    </w:p>
    <w:p w14:paraId="1EC3BCBF">
      <w:pPr>
        <w:pStyle w:val="174"/>
      </w:pPr>
      <w:r>
        <w:rPr>
          <w:rFonts w:hint="eastAsia"/>
        </w:rPr>
        <w:t>确认IABP导管位置，即刻拍摄胸部X线确认导管尖端位置，确定位置后协助医生固定、宜用宽5</w:t>
      </w:r>
      <w:r>
        <w:rPr>
          <w:vertAlign w:val="superscript"/>
        </w:rPr>
        <w:t xml:space="preserve"> </w:t>
      </w:r>
      <w:r>
        <w:rPr>
          <w:rFonts w:hint="eastAsia"/>
        </w:rPr>
        <w:t>cm，长20</w:t>
      </w:r>
      <w:r>
        <w:rPr>
          <w:vertAlign w:val="superscript"/>
        </w:rPr>
        <w:t xml:space="preserve"> </w:t>
      </w:r>
      <w:r>
        <w:rPr>
          <w:rFonts w:hint="eastAsia"/>
        </w:rPr>
        <w:t>cm～30</w:t>
      </w:r>
      <w:r>
        <w:rPr>
          <w:vertAlign w:val="superscript"/>
        </w:rPr>
        <w:t xml:space="preserve"> </w:t>
      </w:r>
      <w:r>
        <w:rPr>
          <w:rFonts w:hint="eastAsia"/>
        </w:rPr>
        <w:t>cm的低过敏胶布沿大腿纵后方固定于大腿上，并注明置管日期。</w:t>
      </w:r>
    </w:p>
    <w:p w14:paraId="7B6F892D">
      <w:pPr>
        <w:pStyle w:val="105"/>
        <w:spacing w:before="120" w:after="120"/>
      </w:pPr>
      <w:bookmarkStart w:id="72" w:name="_Toc193467391"/>
      <w:bookmarkStart w:id="73" w:name="_Toc193466108"/>
      <w:r>
        <w:rPr>
          <w:rFonts w:hint="eastAsia"/>
        </w:rPr>
        <w:t>术后护理</w:t>
      </w:r>
      <w:bookmarkEnd w:id="72"/>
      <w:bookmarkEnd w:id="73"/>
    </w:p>
    <w:p w14:paraId="4EACB252">
      <w:pPr>
        <w:pStyle w:val="65"/>
        <w:spacing w:before="120" w:after="120"/>
      </w:pPr>
      <w:r>
        <w:rPr>
          <w:rFonts w:hint="eastAsia"/>
        </w:rPr>
        <w:t>维持IABP有效触发</w:t>
      </w:r>
    </w:p>
    <w:p w14:paraId="14E1A00F">
      <w:pPr>
        <w:pStyle w:val="94"/>
        <w:spacing w:before="120" w:after="120"/>
        <w:ind w:left="0"/>
      </w:pPr>
      <w:r>
        <w:rPr>
          <w:rFonts w:hint="eastAsia"/>
        </w:rPr>
        <w:t>患者体位</w:t>
      </w:r>
    </w:p>
    <w:p w14:paraId="5A4FC841">
      <w:pPr>
        <w:pStyle w:val="56"/>
        <w:ind w:firstLine="420"/>
      </w:pPr>
      <w:r>
        <w:rPr>
          <w:rFonts w:hint="eastAsia"/>
        </w:rPr>
        <w:t>按以下</w:t>
      </w:r>
      <w:r>
        <w:t>内容进行管理：</w:t>
      </w:r>
    </w:p>
    <w:p w14:paraId="09D17497">
      <w:pPr>
        <w:pStyle w:val="132"/>
      </w:pPr>
      <w:r>
        <w:rPr>
          <w:rFonts w:hint="eastAsia"/>
        </w:rPr>
        <w:t>协助患者采取舒适体位，床头抬高不能超过30°；</w:t>
      </w:r>
    </w:p>
    <w:p w14:paraId="27FECD5D">
      <w:pPr>
        <w:pStyle w:val="132"/>
      </w:pPr>
      <w:r>
        <w:rPr>
          <w:rFonts w:hint="eastAsia"/>
        </w:rPr>
        <w:t>体位相对固定，更换体位时由专人固定IABP导管；</w:t>
      </w:r>
    </w:p>
    <w:p w14:paraId="13048DF6">
      <w:pPr>
        <w:pStyle w:val="132"/>
      </w:pPr>
      <w:r>
        <w:rPr>
          <w:rFonts w:hint="eastAsia"/>
        </w:rPr>
        <w:t>制动术肢，要求术肢伸直，使之与躯干长轴成一直线，不应屈膝、屈髋，用宽胶布沿大腿纵向妥善固定好球囊导管。若患者自感不适，可适当抬高床头的角度(不超过30°)；</w:t>
      </w:r>
    </w:p>
    <w:p w14:paraId="19D3B444">
      <w:pPr>
        <w:pStyle w:val="132"/>
      </w:pPr>
      <w:r>
        <w:rPr>
          <w:rFonts w:hint="eastAsia"/>
        </w:rPr>
        <w:t>每隔2</w:t>
      </w:r>
      <w:r>
        <w:rPr>
          <w:vertAlign w:val="superscript"/>
        </w:rPr>
        <w:t xml:space="preserve"> </w:t>
      </w:r>
      <w:r>
        <w:rPr>
          <w:rFonts w:hint="eastAsia"/>
        </w:rPr>
        <w:t>h为患者向球囊反方向翻身一次，采用轴线翻身法，翻身幅度不超过40°，在翻身过程中适当抬高插管侧躯干，术肢保持伸直，健肢可适当活动，翻身后在患者双腿间放一软枕，在腰臀部放置一个坡型软枕，同时放一个肩部到髋部长的软枕于患者胸前，让患者抱住，使脊柱保持一条直线。</w:t>
      </w:r>
    </w:p>
    <w:p w14:paraId="301F0DA3">
      <w:pPr>
        <w:pStyle w:val="132"/>
      </w:pPr>
      <w:r>
        <w:rPr>
          <w:rFonts w:hint="eastAsia"/>
        </w:rPr>
        <w:t>可根据患者的皮肤、全身情况等适当地调整翻身频率，减少患者翻身时的不适感和护理人员的工作量。</w:t>
      </w:r>
    </w:p>
    <w:p w14:paraId="2E53BBF2">
      <w:pPr>
        <w:pStyle w:val="132"/>
      </w:pPr>
      <w:r>
        <w:rPr>
          <w:rFonts w:hint="eastAsia"/>
        </w:rPr>
        <w:t>适当地指导患者进行足背勾运动或下肢被动运动，并嘱家属或陪护每天按摩患者骨突部位(如：足踝、髋部)。</w:t>
      </w:r>
    </w:p>
    <w:p w14:paraId="29744D39">
      <w:pPr>
        <w:pStyle w:val="94"/>
        <w:spacing w:before="120" w:after="120"/>
        <w:ind w:left="0"/>
      </w:pPr>
      <w:r>
        <w:rPr>
          <w:rFonts w:hint="eastAsia"/>
        </w:rPr>
        <w:t>导管位置</w:t>
      </w:r>
    </w:p>
    <w:p w14:paraId="407032E3">
      <w:pPr>
        <w:pStyle w:val="167"/>
      </w:pPr>
      <w:r>
        <w:rPr>
          <w:rFonts w:hint="eastAsia"/>
        </w:rPr>
        <w:t>置入IABP后，应每天拍摄胸片，确定导管位置。</w:t>
      </w:r>
    </w:p>
    <w:p w14:paraId="31676A2E">
      <w:pPr>
        <w:pStyle w:val="167"/>
      </w:pPr>
      <w:r>
        <w:rPr>
          <w:rFonts w:hint="eastAsia"/>
        </w:rPr>
        <w:t>严密监测反搏压和反搏波形，观察IABP机各连接处有无松动、脱出，有无血液返流现象，及时发现导管有无移位、气囊有无破裂及触发是否失灵，管路、三通及压力换能器应连接牢固。不应使用较长的连接管和多个三通管，必要时校正零点，并做好记录。</w:t>
      </w:r>
    </w:p>
    <w:p w14:paraId="1A5B2172">
      <w:pPr>
        <w:pStyle w:val="94"/>
        <w:spacing w:before="120" w:after="120"/>
        <w:ind w:left="0"/>
      </w:pPr>
      <w:r>
        <w:rPr>
          <w:rFonts w:hint="eastAsia"/>
        </w:rPr>
        <w:t>触发方式及</w:t>
      </w:r>
      <w:r>
        <w:t>频率</w:t>
      </w:r>
    </w:p>
    <w:p w14:paraId="30E6FA6B">
      <w:pPr>
        <w:pStyle w:val="167"/>
      </w:pPr>
      <w:r>
        <w:rPr>
          <w:rFonts w:hint="eastAsia"/>
        </w:rPr>
        <w:t>选择心电图触发或压力触发。一般常用心电图R波触发模式，此时球在心电图T波中段开始充盈，在QRS波结束前排空为最佳反搏效果，若心动过速，心电信号不良可选用压力触发模式。</w:t>
      </w:r>
    </w:p>
    <w:p w14:paraId="6A64B28A">
      <w:pPr>
        <w:pStyle w:val="167"/>
      </w:pPr>
      <w:r>
        <w:rPr>
          <w:rFonts w:hint="eastAsia"/>
        </w:rPr>
        <w:t>首选IABP的1:1模式(在每一个心动周期内气囊充放气1次)触发。</w:t>
      </w:r>
    </w:p>
    <w:p w14:paraId="223CB215">
      <w:pPr>
        <w:pStyle w:val="94"/>
        <w:spacing w:before="120" w:after="120"/>
        <w:ind w:left="0"/>
      </w:pPr>
      <w:r>
        <w:rPr>
          <w:rFonts w:hint="eastAsia"/>
        </w:rPr>
        <w:t>导管固定</w:t>
      </w:r>
    </w:p>
    <w:p w14:paraId="4C94D413">
      <w:pPr>
        <w:pStyle w:val="56"/>
        <w:ind w:firstLine="420"/>
      </w:pPr>
      <w:r>
        <w:rPr>
          <w:rFonts w:hint="eastAsia"/>
        </w:rPr>
        <w:t>妥善固定IABP导管，保持管路通畅，避免导管扭曲、移位、脱出；IABP管路双重固定，缝线固定加透明贴膜固定；外露端贴上IABP管道标识，避免输注静脉药物。</w:t>
      </w:r>
    </w:p>
    <w:p w14:paraId="148284F1">
      <w:pPr>
        <w:pStyle w:val="94"/>
        <w:spacing w:before="120" w:after="120"/>
        <w:ind w:left="0"/>
      </w:pPr>
      <w:r>
        <w:rPr>
          <w:rFonts w:hint="eastAsia"/>
        </w:rPr>
        <w:t>报警处理</w:t>
      </w:r>
    </w:p>
    <w:p w14:paraId="56851516">
      <w:pPr>
        <w:pStyle w:val="56"/>
        <w:ind w:firstLine="420"/>
      </w:pPr>
      <w:r>
        <w:rPr>
          <w:rFonts w:hint="eastAsia"/>
        </w:rPr>
        <w:t>护士应熟悉IABP的工作原理和报警项目内容，如遇IABP报警或突然停止工作，应在最短时间内找到原因并及时排除。护士还应熟练掌握机器调零和重新启动，IABP的注意事项。</w:t>
      </w:r>
    </w:p>
    <w:p w14:paraId="284A88EC">
      <w:pPr>
        <w:pStyle w:val="65"/>
        <w:spacing w:before="120" w:after="120"/>
      </w:pPr>
      <w:r>
        <w:rPr>
          <w:rFonts w:hint="eastAsia"/>
        </w:rPr>
        <w:t>病情监测及护理</w:t>
      </w:r>
    </w:p>
    <w:p w14:paraId="2D059082">
      <w:pPr>
        <w:pStyle w:val="164"/>
        <w:ind w:left="0"/>
      </w:pPr>
      <w:r>
        <w:rPr>
          <w:rFonts w:hint="eastAsia"/>
        </w:rPr>
        <w:t>监测心电图、血压、平均动脉压、中心静脉压，若条件允许，宜监测肺毛细血管楔压、心排血量、心排指数。心率及心律的变化对IABP影响较大，正常窦性心律，心率80</w:t>
      </w:r>
      <w:bookmarkStart w:id="74" w:name="OLE_LINK2"/>
      <w:bookmarkStart w:id="75" w:name="OLE_LINK1"/>
      <w:r>
        <w:rPr>
          <w:rFonts w:hint="eastAsia"/>
        </w:rPr>
        <w:t>～</w:t>
      </w:r>
      <w:bookmarkEnd w:id="74"/>
      <w:bookmarkEnd w:id="75"/>
      <w:r>
        <w:rPr>
          <w:rFonts w:hint="eastAsia"/>
        </w:rPr>
        <w:t>110次/min，球囊泵反搏最有效。心率高于120次/min时，可影响舒张期压力的增加，还可造成气泵的机械问题，此时球囊泵频率可降至1:2，并遵医嘱给予适当治疗以减慢心率。房颤心律时，谨慎调节放气旋钮，使在R波顶峰时球囊放气。</w:t>
      </w:r>
    </w:p>
    <w:p w14:paraId="264D0BE4">
      <w:pPr>
        <w:pStyle w:val="164"/>
        <w:ind w:left="0"/>
      </w:pPr>
      <w:r>
        <w:rPr>
          <w:rFonts w:hint="eastAsia"/>
        </w:rPr>
        <w:t>监测IABP的参数及波形。反搏期间应使患者的心率控制在80～120次/分，反博压应高于患者血压1</w:t>
      </w:r>
      <w:r>
        <w:t>0</w:t>
      </w:r>
      <w:r>
        <w:rPr>
          <w:vertAlign w:val="superscript"/>
        </w:rPr>
        <w:t xml:space="preserve"> </w:t>
      </w:r>
      <w:r>
        <w:rPr>
          <w:rFonts w:hint="eastAsia"/>
        </w:rPr>
        <w:t>mm</w:t>
      </w:r>
      <w:r>
        <w:t>Hg</w:t>
      </w:r>
      <w:r>
        <w:rPr>
          <w:rFonts w:hint="eastAsia"/>
        </w:rPr>
        <w:t>～20</w:t>
      </w:r>
      <w:r>
        <w:rPr>
          <w:vertAlign w:val="superscript"/>
        </w:rPr>
        <w:t xml:space="preserve"> </w:t>
      </w:r>
      <w:r>
        <w:rPr>
          <w:rFonts w:hint="eastAsia"/>
        </w:rPr>
        <w:t>mm</w:t>
      </w:r>
      <w:r>
        <w:t>Hg</w:t>
      </w:r>
      <w:r>
        <w:rPr>
          <w:rFonts w:hint="eastAsia"/>
        </w:rPr>
        <w:t>。当IABP反搏压低于30</w:t>
      </w:r>
      <w:r>
        <w:rPr>
          <w:vertAlign w:val="superscript"/>
        </w:rPr>
        <w:t xml:space="preserve"> </w:t>
      </w:r>
      <w:r>
        <w:rPr>
          <w:rFonts w:hint="eastAsia"/>
        </w:rPr>
        <w:t>mm</w:t>
      </w:r>
      <w:r>
        <w:t>Hg</w:t>
      </w:r>
      <w:r>
        <w:rPr>
          <w:rFonts w:hint="eastAsia"/>
        </w:rPr>
        <w:t>时，可能表示心脏功能较差或血管阻力较高。而当IABP反搏压超过70</w:t>
      </w:r>
      <w:r>
        <w:rPr>
          <w:vertAlign w:val="superscript"/>
        </w:rPr>
        <w:t xml:space="preserve"> </w:t>
      </w:r>
      <w:r>
        <w:rPr>
          <w:rFonts w:hint="eastAsia"/>
        </w:rPr>
        <w:t>mm</w:t>
      </w:r>
      <w:r>
        <w:t>Hg</w:t>
      </w:r>
      <w:r>
        <w:rPr>
          <w:rFonts w:hint="eastAsia"/>
        </w:rPr>
        <w:t>时，可能表示心脏功能过度增强或血管阻力较低。当IABP反搏压过低时，可以适当增加气囊充气量或频率；当IABP反搏压过高时，可以适当降低气囊充气量或频率。</w:t>
      </w:r>
    </w:p>
    <w:p w14:paraId="01B9948C">
      <w:pPr>
        <w:pStyle w:val="164"/>
        <w:ind w:left="0"/>
      </w:pPr>
      <w:r>
        <w:rPr>
          <w:rFonts w:hint="eastAsia"/>
        </w:rPr>
        <w:t>记录使用血管活性药物的种类和剂量。</w:t>
      </w:r>
    </w:p>
    <w:p w14:paraId="08873AAA">
      <w:pPr>
        <w:pStyle w:val="164"/>
        <w:ind w:left="0"/>
      </w:pPr>
      <w:r>
        <w:rPr>
          <w:rFonts w:hint="eastAsia"/>
        </w:rPr>
        <w:t>监测组织灌注情况，包括意识，血压，肢端环，尿量，乳酸等。</w:t>
      </w:r>
    </w:p>
    <w:p w14:paraId="7C3390FC">
      <w:pPr>
        <w:pStyle w:val="164"/>
        <w:ind w:left="0"/>
      </w:pPr>
      <w:r>
        <w:rPr>
          <w:rFonts w:hint="eastAsia"/>
        </w:rPr>
        <w:t>观察胸痛是否缓解或加重；监测呼吸频率和氧饱和度，预防肺水肿或呼吸衰竭。</w:t>
      </w:r>
    </w:p>
    <w:p w14:paraId="6790E72E">
      <w:pPr>
        <w:pStyle w:val="164"/>
        <w:ind w:left="0"/>
      </w:pPr>
      <w:r>
        <w:rPr>
          <w:rFonts w:hint="eastAsia"/>
        </w:rPr>
        <w:t>观察患者全身有无出血或凝血功能障碍的迹象；监测IABP导管穿刺处情况，准确评估并记录出血、血肿、肿胀、皮下瘀斑等情况；</w:t>
      </w:r>
    </w:p>
    <w:p w14:paraId="2BD086A5">
      <w:pPr>
        <w:pStyle w:val="164"/>
        <w:ind w:left="0"/>
      </w:pPr>
      <w:r>
        <w:rPr>
          <w:rFonts w:hint="eastAsia"/>
        </w:rPr>
        <w:t>记录辅助检查情况。心肌酶谱：监测肌红蛋白、肌酸激酶同工酶（CK-MB）等，评估心肌损伤。监测血红蛋白、血小板、凝血酶原时间的变化。</w:t>
      </w:r>
    </w:p>
    <w:p w14:paraId="0D7DBE4B">
      <w:pPr>
        <w:pStyle w:val="164"/>
        <w:ind w:left="0"/>
      </w:pPr>
      <w:r>
        <w:rPr>
          <w:rFonts w:hint="eastAsia"/>
        </w:rPr>
        <w:t>心功能评估超声心动图评估左室射血分数(LVEF)和室壁运动异常；N末端B型利钠肽原（NT-proBNP）。</w:t>
      </w:r>
    </w:p>
    <w:p w14:paraId="57CD5BE9">
      <w:pPr>
        <w:pStyle w:val="65"/>
        <w:spacing w:before="120" w:after="120"/>
      </w:pPr>
      <w:r>
        <w:rPr>
          <w:rFonts w:hint="eastAsia"/>
        </w:rPr>
        <w:t>抗凝管理</w:t>
      </w:r>
    </w:p>
    <w:p w14:paraId="1EEE5F6B">
      <w:pPr>
        <w:pStyle w:val="164"/>
        <w:ind w:left="0"/>
      </w:pPr>
      <w:r>
        <w:rPr>
          <w:rFonts w:hint="eastAsia"/>
        </w:rPr>
        <w:t>急性冠脉综合征患者在使用IABP时，双抗治疗(阿司匹林＋P2Y12抑制剂，如氯吡格雷/替格瑞洛)与肝素联用，需根据患者具体情况权衡血栓风险与出血风险，并密切监测凝血功能及出血征象。具体管理</w:t>
      </w:r>
      <w:r>
        <w:t>内容如下：</w:t>
      </w:r>
    </w:p>
    <w:p w14:paraId="66E887BA">
      <w:pPr>
        <w:pStyle w:val="132"/>
      </w:pPr>
      <w:r>
        <w:rPr>
          <w:rFonts w:hint="eastAsia"/>
        </w:rPr>
        <w:t>每1</w:t>
      </w:r>
      <w:r>
        <w:rPr>
          <w:vertAlign w:val="superscript"/>
        </w:rPr>
        <w:t xml:space="preserve"> </w:t>
      </w:r>
      <w:r>
        <w:t>h</w:t>
      </w:r>
      <w:r>
        <w:rPr>
          <w:rFonts w:hint="eastAsia"/>
        </w:rPr>
        <w:t>～2</w:t>
      </w:r>
      <w:r>
        <w:rPr>
          <w:vertAlign w:val="superscript"/>
        </w:rPr>
        <w:t xml:space="preserve"> </w:t>
      </w:r>
      <w:r>
        <w:rPr>
          <w:rFonts w:hint="eastAsia"/>
        </w:rPr>
        <w:t>h监测活化凝血时间（ACT）1次，维持150</w:t>
      </w:r>
      <w:r>
        <w:rPr>
          <w:vertAlign w:val="superscript"/>
        </w:rPr>
        <w:t xml:space="preserve"> </w:t>
      </w:r>
      <w:r>
        <w:t>s</w:t>
      </w:r>
      <w:r>
        <w:rPr>
          <w:rFonts w:hint="eastAsia"/>
        </w:rPr>
        <w:t>～180</w:t>
      </w:r>
      <w:r>
        <w:rPr>
          <w:rFonts w:hint="eastAsia"/>
          <w:vertAlign w:val="superscript"/>
        </w:rPr>
        <w:t xml:space="preserve"> </w:t>
      </w:r>
      <w:r>
        <w:rPr>
          <w:rFonts w:hint="eastAsia"/>
        </w:rPr>
        <w:t>s，稳定后每6</w:t>
      </w:r>
      <w:r>
        <w:rPr>
          <w:vertAlign w:val="superscript"/>
        </w:rPr>
        <w:t xml:space="preserve"> </w:t>
      </w:r>
      <w:r>
        <w:rPr>
          <w:rFonts w:hint="eastAsia"/>
        </w:rPr>
        <w:t>h检测1次，高危患者采用较低目标ACT，目标值可维持在130</w:t>
      </w:r>
      <w:r>
        <w:rPr>
          <w:vertAlign w:val="superscript"/>
        </w:rPr>
        <w:t xml:space="preserve"> </w:t>
      </w:r>
      <w:r>
        <w:t>s</w:t>
      </w:r>
      <w:r>
        <w:rPr>
          <w:rFonts w:hint="eastAsia"/>
        </w:rPr>
        <w:t>～150</w:t>
      </w:r>
      <w:r>
        <w:rPr>
          <w:rFonts w:hint="eastAsia"/>
          <w:vertAlign w:val="superscript"/>
        </w:rPr>
        <w:t xml:space="preserve"> </w:t>
      </w:r>
      <w:r>
        <w:t>s</w:t>
      </w:r>
      <w:r>
        <w:rPr>
          <w:rFonts w:hint="eastAsia"/>
        </w:rPr>
        <w:t>；</w:t>
      </w:r>
    </w:p>
    <w:p w14:paraId="203D8481">
      <w:pPr>
        <w:pStyle w:val="132"/>
      </w:pPr>
      <w:r>
        <w:rPr>
          <w:rFonts w:hint="eastAsia"/>
        </w:rPr>
        <w:t>活化部分凝血活酶时间(APTT)目标为正常值的1.5～2.5倍（约50</w:t>
      </w:r>
      <w:r>
        <w:rPr>
          <w:vertAlign w:val="superscript"/>
        </w:rPr>
        <w:t xml:space="preserve"> </w:t>
      </w:r>
      <w:r>
        <w:rPr>
          <w:rFonts w:hint="eastAsia"/>
        </w:rPr>
        <w:t>s～70</w:t>
      </w:r>
      <w:r>
        <w:rPr>
          <w:vertAlign w:val="superscript"/>
        </w:rPr>
        <w:t xml:space="preserve"> </w:t>
      </w:r>
      <w:r>
        <w:rPr>
          <w:rFonts w:hint="eastAsia"/>
        </w:rPr>
        <w:t>s）；</w:t>
      </w:r>
    </w:p>
    <w:p w14:paraId="6732FA41">
      <w:pPr>
        <w:pStyle w:val="132"/>
      </w:pPr>
      <w:r>
        <w:rPr>
          <w:rFonts w:hint="eastAsia"/>
        </w:rPr>
        <w:t>血小板计数维持患者基线水平，每2</w:t>
      </w:r>
      <w:r>
        <w:rPr>
          <w:vertAlign w:val="superscript"/>
        </w:rPr>
        <w:t xml:space="preserve"> </w:t>
      </w:r>
      <w:r>
        <w:rPr>
          <w:rFonts w:hint="eastAsia"/>
        </w:rPr>
        <w:t>d～3</w:t>
      </w:r>
      <w:r>
        <w:rPr>
          <w:vertAlign w:val="superscript"/>
        </w:rPr>
        <w:t xml:space="preserve"> </w:t>
      </w:r>
      <w:r>
        <w:rPr>
          <w:rFonts w:hint="eastAsia"/>
        </w:rPr>
        <w:t>d复查；</w:t>
      </w:r>
    </w:p>
    <w:p w14:paraId="43A37396">
      <w:pPr>
        <w:pStyle w:val="132"/>
      </w:pPr>
      <w:r>
        <w:rPr>
          <w:rFonts w:hint="eastAsia"/>
        </w:rPr>
        <w:t>对于高出血风险患者，可缩短肝素使用时间，可仅在IABP置入初期抗凝，维持阶段可考虑降低肝素剂量，目标值可维持ACT在130</w:t>
      </w:r>
      <w:r>
        <w:rPr>
          <w:vertAlign w:val="superscript"/>
        </w:rPr>
        <w:t xml:space="preserve"> </w:t>
      </w:r>
      <w:r>
        <w:t>s</w:t>
      </w:r>
      <w:r>
        <w:rPr>
          <w:rFonts w:hint="eastAsia"/>
        </w:rPr>
        <w:t>～150</w:t>
      </w:r>
      <w:r>
        <w:rPr>
          <w:vertAlign w:val="superscript"/>
        </w:rPr>
        <w:t xml:space="preserve"> </w:t>
      </w:r>
      <w:r>
        <w:rPr>
          <w:rFonts w:hint="eastAsia"/>
        </w:rPr>
        <w:t>s。</w:t>
      </w:r>
    </w:p>
    <w:p w14:paraId="33AD94A4">
      <w:pPr>
        <w:pStyle w:val="164"/>
        <w:ind w:left="0"/>
      </w:pPr>
      <w:r>
        <w:rPr>
          <w:rFonts w:hint="eastAsia"/>
        </w:rPr>
        <w:t>IABP使用期间应持续进用加压袋对肝素盐水（0.9％氯化钠溶液500</w:t>
      </w:r>
      <w:r>
        <w:rPr>
          <w:vertAlign w:val="superscript"/>
        </w:rPr>
        <w:t xml:space="preserve"> </w:t>
      </w:r>
      <w:r>
        <w:rPr>
          <w:rFonts w:hint="eastAsia"/>
        </w:rPr>
        <w:t>mL+肝素钠2500</w:t>
      </w:r>
      <w:r>
        <w:rPr>
          <w:vertAlign w:val="superscript"/>
        </w:rPr>
        <w:t xml:space="preserve"> </w:t>
      </w:r>
      <w:r>
        <w:rPr>
          <w:rFonts w:hint="eastAsia"/>
        </w:rPr>
        <w:t>U）进行加压冲洗中心腔压力管，每小时冲洗管道一次，冲洗时间应大于15</w:t>
      </w:r>
      <w:r>
        <w:rPr>
          <w:vertAlign w:val="superscript"/>
        </w:rPr>
        <w:t xml:space="preserve"> </w:t>
      </w:r>
      <w:r>
        <w:rPr>
          <w:rFonts w:hint="eastAsia"/>
        </w:rPr>
        <w:t>s，加压袋压力稳定在300</w:t>
      </w:r>
      <w:r>
        <w:rPr>
          <w:vertAlign w:val="superscript"/>
        </w:rPr>
        <w:t xml:space="preserve"> </w:t>
      </w:r>
      <w:r>
        <w:rPr>
          <w:rFonts w:hint="eastAsia"/>
        </w:rPr>
        <w:t>mmHg，每天更换肝素盐水，每班交接对导管压力转换装置重新较零。随时观察动脉压力导管内有无回血，并密切观察患者有无出血倾向，皮肤黏膜瘀斑，牙龈出血，便血，血尿，痰中带血等，合理调节肝素用量。</w:t>
      </w:r>
    </w:p>
    <w:p w14:paraId="4AB5F897">
      <w:pPr>
        <w:pStyle w:val="164"/>
        <w:ind w:left="0"/>
      </w:pPr>
      <w:r>
        <w:rPr>
          <w:rFonts w:hint="eastAsia"/>
        </w:rPr>
        <w:t>若患者处于围手术期心肌缺血、房颤、瓣膜置换、持续血滤以及存在血栓形成高危因素(如外周血管病变、女性以及高龄)，给予静脉肝素或低分子肝素抗凝。</w:t>
      </w:r>
    </w:p>
    <w:p w14:paraId="2AEC3238">
      <w:pPr>
        <w:pStyle w:val="164"/>
        <w:ind w:left="0"/>
      </w:pPr>
      <w:r>
        <w:rPr>
          <w:rFonts w:hint="eastAsia"/>
        </w:rPr>
        <w:t>禁用肝素的患者可选择阿加曲班等不同抗凝机制的药物。</w:t>
      </w:r>
    </w:p>
    <w:p w14:paraId="7ABFA415">
      <w:pPr>
        <w:pStyle w:val="65"/>
        <w:spacing w:before="120" w:after="120"/>
      </w:pPr>
      <w:r>
        <w:rPr>
          <w:rFonts w:hint="eastAsia"/>
        </w:rPr>
        <w:t>拔管撤机护理</w:t>
      </w:r>
    </w:p>
    <w:p w14:paraId="00627F82">
      <w:pPr>
        <w:pStyle w:val="164"/>
        <w:ind w:left="0"/>
      </w:pPr>
      <w:r>
        <w:rPr>
          <w:rFonts w:hint="eastAsia"/>
        </w:rPr>
        <w:t>全面评估IABP符合撤机指标，出现导管相关性血流感染相关的临床指征等并发症时，立即拔除管道。撤机前，评估患者的意识状态、血流动力学指标、血管活性药物剂量、尿量、血气分析结果、乳酸B型脑钠肽、肌钙蛋白Ⅰ和超声心动图检查。</w:t>
      </w:r>
    </w:p>
    <w:p w14:paraId="7ED58583">
      <w:pPr>
        <w:pStyle w:val="164"/>
        <w:ind w:left="0"/>
      </w:pPr>
      <w:r>
        <w:rPr>
          <w:rFonts w:hint="eastAsia"/>
        </w:rPr>
        <w:t>开始撤机时，选择减少辅助频率或减少球囊容积，亦可两者结合。撤除IABP的指征如下：</w:t>
      </w:r>
    </w:p>
    <w:p w14:paraId="6FBF59BC">
      <w:pPr>
        <w:pStyle w:val="132"/>
      </w:pPr>
      <w:r>
        <w:rPr>
          <w:rFonts w:hint="eastAsia"/>
        </w:rPr>
        <w:t>停用血管活性药物且血压稳定；</w:t>
      </w:r>
    </w:p>
    <w:p w14:paraId="10D7D77F">
      <w:pPr>
        <w:pStyle w:val="132"/>
      </w:pPr>
      <w:r>
        <w:rPr>
          <w:rFonts w:hint="eastAsia"/>
        </w:rPr>
        <w:t>尿量＞1</w:t>
      </w:r>
      <w:r>
        <w:rPr>
          <w:vertAlign w:val="superscript"/>
        </w:rPr>
        <w:t xml:space="preserve"> </w:t>
      </w:r>
      <w:r>
        <w:rPr>
          <w:rFonts w:hint="eastAsia"/>
        </w:rPr>
        <w:t>mL/kg/h；</w:t>
      </w:r>
    </w:p>
    <w:p w14:paraId="756230FF">
      <w:pPr>
        <w:pStyle w:val="132"/>
      </w:pPr>
      <w:r>
        <w:rPr>
          <w:rFonts w:hint="eastAsia"/>
        </w:rPr>
        <w:t>呼吸稳定或动脉血气分析各项指标正常；</w:t>
      </w:r>
    </w:p>
    <w:p w14:paraId="15ADC8F2">
      <w:pPr>
        <w:pStyle w:val="132"/>
      </w:pPr>
      <w:r>
        <w:rPr>
          <w:rFonts w:hint="eastAsia"/>
        </w:rPr>
        <w:t>反搏频率降为1:2约1</w:t>
      </w:r>
      <w:r>
        <w:rPr>
          <w:vertAlign w:val="superscript"/>
        </w:rPr>
        <w:t xml:space="preserve"> </w:t>
      </w:r>
      <w:r>
        <w:rPr>
          <w:rFonts w:hint="eastAsia"/>
        </w:rPr>
        <w:t>h患者血流动力学参数仍然稳定。</w:t>
      </w:r>
    </w:p>
    <w:p w14:paraId="061A72F1">
      <w:pPr>
        <w:pStyle w:val="164"/>
        <w:ind w:left="0"/>
      </w:pPr>
      <w:r>
        <w:rPr>
          <w:rFonts w:hint="eastAsia"/>
        </w:rPr>
        <w:t>应按医生医嘱逐渐减少反搏次数，将反搏比由1:1调至1:2，然后逐渐调至1:3，反搏30</w:t>
      </w:r>
      <w:r>
        <w:rPr>
          <w:vertAlign w:val="superscript"/>
        </w:rPr>
        <w:t xml:space="preserve"> </w:t>
      </w:r>
      <w:r>
        <w:rPr>
          <w:rFonts w:hint="eastAsia"/>
        </w:rPr>
        <w:t>min后观察，若6</w:t>
      </w:r>
      <w:r>
        <w:rPr>
          <w:vertAlign w:val="superscript"/>
        </w:rPr>
        <w:t xml:space="preserve"> </w:t>
      </w:r>
      <w:r>
        <w:rPr>
          <w:rFonts w:hint="eastAsia"/>
        </w:rPr>
        <w:t>h生命体征平稳血流动力学稳定，病情无反复，则可停止反博，将IABP撤除。</w:t>
      </w:r>
    </w:p>
    <w:p w14:paraId="3442C3F1">
      <w:pPr>
        <w:pStyle w:val="164"/>
        <w:ind w:left="0"/>
      </w:pPr>
      <w:r>
        <w:rPr>
          <w:rFonts w:hint="eastAsia"/>
        </w:rPr>
        <w:t>撤机时，停止静脉使用肝素钠，断开并撤出球囊，用注射器抽尽球囊内气体，将套管和球囊起拔出，压迫穿刺点30</w:t>
      </w:r>
      <w:r>
        <w:rPr>
          <w:vertAlign w:val="superscript"/>
        </w:rPr>
        <w:t xml:space="preserve"> </w:t>
      </w:r>
      <w:r>
        <w:rPr>
          <w:rFonts w:hint="eastAsia"/>
        </w:rPr>
        <w:t>min，弹力绷带加压包扎，沙袋压迫6</w:t>
      </w:r>
      <w:r>
        <w:rPr>
          <w:vertAlign w:val="superscript"/>
        </w:rPr>
        <w:t xml:space="preserve"> </w:t>
      </w:r>
      <w:r>
        <w:rPr>
          <w:rFonts w:hint="eastAsia"/>
        </w:rPr>
        <w:t>h取下，术侧肢体制动24</w:t>
      </w:r>
      <w:r>
        <w:rPr>
          <w:vertAlign w:val="superscript"/>
        </w:rPr>
        <w:t xml:space="preserve"> </w:t>
      </w:r>
      <w:r>
        <w:rPr>
          <w:rFonts w:hint="eastAsia"/>
        </w:rPr>
        <w:t>h，注意观察穿刺部位有无渗血、血肿形成。</w:t>
      </w:r>
    </w:p>
    <w:p w14:paraId="23519627">
      <w:pPr>
        <w:pStyle w:val="164"/>
        <w:ind w:left="0"/>
      </w:pPr>
      <w:r>
        <w:rPr>
          <w:rFonts w:hint="eastAsia"/>
        </w:rPr>
        <w:t>撤机后6</w:t>
      </w:r>
      <w:r>
        <w:rPr>
          <w:vertAlign w:val="superscript"/>
        </w:rPr>
        <w:t xml:space="preserve"> </w:t>
      </w:r>
      <w:r>
        <w:rPr>
          <w:rFonts w:hint="eastAsia"/>
        </w:rPr>
        <w:t>h内每1</w:t>
      </w:r>
      <w:r>
        <w:rPr>
          <w:rFonts w:hint="eastAsia"/>
          <w:vertAlign w:val="superscript"/>
        </w:rPr>
        <w:t xml:space="preserve"> </w:t>
      </w:r>
      <w:r>
        <w:rPr>
          <w:rFonts w:hint="eastAsia"/>
        </w:rPr>
        <w:t>h评估患者的血流动力学是否稳定，穿刺处局部有无出血、血肿，双下肢足背动脉搏动、皮肤温度、颜色、大小腿围及肌张力是否正常，6</w:t>
      </w:r>
      <w:r>
        <w:rPr>
          <w:vertAlign w:val="superscript"/>
        </w:rPr>
        <w:t xml:space="preserve"> </w:t>
      </w:r>
      <w:r>
        <w:rPr>
          <w:rFonts w:hint="eastAsia"/>
        </w:rPr>
        <w:t>h后改为每4</w:t>
      </w:r>
      <w:r>
        <w:rPr>
          <w:vertAlign w:val="superscript"/>
        </w:rPr>
        <w:t xml:space="preserve"> </w:t>
      </w:r>
      <w:r>
        <w:rPr>
          <w:rFonts w:hint="eastAsia"/>
        </w:rPr>
        <w:t>h评估，直至24</w:t>
      </w:r>
      <w:r>
        <w:rPr>
          <w:vertAlign w:val="superscript"/>
        </w:rPr>
        <w:t xml:space="preserve"> </w:t>
      </w:r>
      <w:r>
        <w:rPr>
          <w:rFonts w:hint="eastAsia"/>
        </w:rPr>
        <w:t>h。</w:t>
      </w:r>
    </w:p>
    <w:p w14:paraId="2324E5B1">
      <w:pPr>
        <w:pStyle w:val="164"/>
        <w:ind w:left="0"/>
      </w:pPr>
      <w:r>
        <w:rPr>
          <w:rFonts w:hint="eastAsia"/>
        </w:rPr>
        <w:t>撤机后，穿刺处切口给予弹力绷带局部加压包扎24</w:t>
      </w:r>
      <w:r>
        <w:rPr>
          <w:vertAlign w:val="superscript"/>
        </w:rPr>
        <w:t xml:space="preserve"> </w:t>
      </w:r>
      <w:r>
        <w:rPr>
          <w:rFonts w:hint="eastAsia"/>
        </w:rPr>
        <w:t>h，并予1</w:t>
      </w:r>
      <w:r>
        <w:rPr>
          <w:vertAlign w:val="superscript"/>
        </w:rPr>
        <w:t xml:space="preserve"> </w:t>
      </w:r>
      <w:r>
        <w:rPr>
          <w:rFonts w:hint="eastAsia"/>
        </w:rPr>
        <w:t>kg沙袋压迫6</w:t>
      </w:r>
      <w:r>
        <w:rPr>
          <w:vertAlign w:val="superscript"/>
        </w:rPr>
        <w:t xml:space="preserve"> </w:t>
      </w:r>
      <w:r>
        <w:rPr>
          <w:rFonts w:hint="eastAsia"/>
        </w:rPr>
        <w:t>h，6</w:t>
      </w:r>
      <w:r>
        <w:rPr>
          <w:vertAlign w:val="superscript"/>
        </w:rPr>
        <w:t xml:space="preserve"> </w:t>
      </w:r>
      <w:r>
        <w:rPr>
          <w:rFonts w:hint="eastAsia"/>
        </w:rPr>
        <w:t>h后协助患者进行双下肢主动和被动活动，拔管24</w:t>
      </w:r>
      <w:r>
        <w:rPr>
          <w:vertAlign w:val="superscript"/>
        </w:rPr>
        <w:t xml:space="preserve"> </w:t>
      </w:r>
      <w:r>
        <w:rPr>
          <w:rFonts w:hint="eastAsia"/>
        </w:rPr>
        <w:t>h后无异常可下床。</w:t>
      </w:r>
    </w:p>
    <w:p w14:paraId="6287BBEF">
      <w:pPr>
        <w:pStyle w:val="164"/>
        <w:ind w:left="0"/>
      </w:pPr>
      <w:r>
        <w:rPr>
          <w:rFonts w:hint="eastAsia"/>
        </w:rPr>
        <w:t>协助患者早期进行双下肢的功能锻炼，对没有禁忌证的患者，用下肢体疗仪进行体疗或肢体被动活动，每4</w:t>
      </w:r>
      <w:r>
        <w:rPr>
          <w:vertAlign w:val="superscript"/>
        </w:rPr>
        <w:t xml:space="preserve"> </w:t>
      </w:r>
      <w:r>
        <w:rPr>
          <w:rFonts w:hint="eastAsia"/>
        </w:rPr>
        <w:t>h～6</w:t>
      </w:r>
      <w:r>
        <w:rPr>
          <w:vertAlign w:val="superscript"/>
        </w:rPr>
        <w:t xml:space="preserve"> </w:t>
      </w:r>
      <w:r>
        <w:rPr>
          <w:rFonts w:hint="eastAsia"/>
        </w:rPr>
        <w:t>h进行1次，对肢体末梢给予保暖。护士使用VTE评分量表评估患者潜在风险，≥3分采取基本预防+物理预防。每4</w:t>
      </w:r>
      <w:r>
        <w:rPr>
          <w:vertAlign w:val="superscript"/>
        </w:rPr>
        <w:t xml:space="preserve"> </w:t>
      </w:r>
      <w:r>
        <w:rPr>
          <w:rFonts w:hint="eastAsia"/>
        </w:rPr>
        <w:t>h检查患者双侧足背动脉及皮温，并做好记录。</w:t>
      </w:r>
    </w:p>
    <w:p w14:paraId="54BC5C75">
      <w:pPr>
        <w:pStyle w:val="105"/>
        <w:spacing w:before="120" w:after="120"/>
      </w:pPr>
      <w:bookmarkStart w:id="76" w:name="_Toc193467392"/>
      <w:bookmarkStart w:id="77" w:name="_Toc193466109"/>
      <w:r>
        <w:rPr>
          <w:rFonts w:hint="eastAsia"/>
        </w:rPr>
        <w:t>IABP异常处理</w:t>
      </w:r>
      <w:bookmarkEnd w:id="76"/>
      <w:bookmarkEnd w:id="77"/>
    </w:p>
    <w:p w14:paraId="788F9A61">
      <w:pPr>
        <w:pStyle w:val="65"/>
        <w:spacing w:before="120" w:after="120"/>
      </w:pPr>
      <w:r>
        <w:rPr>
          <w:rFonts w:hint="eastAsia"/>
        </w:rPr>
        <w:t>球囊破裂或漏气</w:t>
      </w:r>
    </w:p>
    <w:p w14:paraId="7A6198DD">
      <w:pPr>
        <w:pStyle w:val="164"/>
        <w:ind w:left="0"/>
      </w:pPr>
      <w:r>
        <w:rPr>
          <w:rFonts w:hint="eastAsia"/>
        </w:rPr>
        <w:t>严密监测IABP装置的工作情况和反搏波形，避免接触尖锐的器械。</w:t>
      </w:r>
    </w:p>
    <w:p w14:paraId="1519D4A3">
      <w:pPr>
        <w:pStyle w:val="164"/>
        <w:ind w:left="0"/>
      </w:pPr>
      <w:r>
        <w:rPr>
          <w:rFonts w:hint="eastAsia"/>
        </w:rPr>
        <w:t>若反搏压进行性下降，氨气管道内发现血液，提示球囊破裂，立即关闭IABP控制台，停止反搏，予患者取头低足高位，并告知医生，尽快移除导管。</w:t>
      </w:r>
    </w:p>
    <w:p w14:paraId="620C84F3">
      <w:pPr>
        <w:pStyle w:val="65"/>
        <w:spacing w:before="120" w:after="120"/>
      </w:pPr>
      <w:r>
        <w:rPr>
          <w:rFonts w:hint="eastAsia"/>
        </w:rPr>
        <w:t>球囊位置异常</w:t>
      </w:r>
    </w:p>
    <w:p w14:paraId="69356AD9">
      <w:pPr>
        <w:pStyle w:val="164"/>
        <w:ind w:left="0"/>
      </w:pPr>
      <w:r>
        <w:rPr>
          <w:rFonts w:hint="eastAsia"/>
        </w:rPr>
        <w:t>IABP置管术后体位取仰卧位，床头略抬高(＜30°)，术侧肢体适当制动。</w:t>
      </w:r>
    </w:p>
    <w:p w14:paraId="09CC2CAC">
      <w:pPr>
        <w:pStyle w:val="164"/>
        <w:ind w:left="0"/>
      </w:pPr>
      <w:r>
        <w:rPr>
          <w:rFonts w:hint="eastAsia"/>
        </w:rPr>
        <w:t>采用缝线加透明贴膜对导管进行妥善固定，透明敷贴沿大腿纵向固定，敷贴能完整覆盖穿刺口及伤口周围1倍以上的皮肤组织；再以蝶形胶布固定于大腿偏内侧及膝关节上方。</w:t>
      </w:r>
    </w:p>
    <w:p w14:paraId="251D5124">
      <w:pPr>
        <w:pStyle w:val="164"/>
        <w:ind w:left="0"/>
      </w:pPr>
      <w:r>
        <w:rPr>
          <w:rFonts w:hint="eastAsia"/>
        </w:rPr>
        <w:t>出现上肢缺血或急性肾损伤时，X线检査导管位置，确认移位时，配合医生重新调整导管位置。</w:t>
      </w:r>
    </w:p>
    <w:p w14:paraId="29FA9FC0">
      <w:pPr>
        <w:pStyle w:val="104"/>
        <w:spacing w:before="240" w:after="240"/>
      </w:pPr>
      <w:bookmarkStart w:id="78" w:name="_Toc193467393"/>
      <w:bookmarkStart w:id="79" w:name="_Toc193466110"/>
      <w:r>
        <w:rPr>
          <w:rFonts w:hint="eastAsia"/>
        </w:rPr>
        <w:t>常见并发症处理</w:t>
      </w:r>
      <w:bookmarkEnd w:id="78"/>
      <w:bookmarkEnd w:id="79"/>
    </w:p>
    <w:p w14:paraId="7B7C4C27">
      <w:pPr>
        <w:pStyle w:val="105"/>
        <w:spacing w:before="120" w:after="120"/>
      </w:pPr>
      <w:bookmarkStart w:id="80" w:name="_Toc193467394"/>
      <w:bookmarkStart w:id="81" w:name="_Toc193466111"/>
      <w:r>
        <w:rPr>
          <w:rFonts w:hint="eastAsia"/>
        </w:rPr>
        <w:t>下肢动脉缺血</w:t>
      </w:r>
      <w:bookmarkEnd w:id="80"/>
      <w:bookmarkEnd w:id="81"/>
    </w:p>
    <w:p w14:paraId="5139B62E">
      <w:pPr>
        <w:pStyle w:val="165"/>
      </w:pPr>
      <w:r>
        <w:rPr>
          <w:rFonts w:hint="eastAsia"/>
        </w:rPr>
        <w:t>24</w:t>
      </w:r>
      <w:r>
        <w:rPr>
          <w:vertAlign w:val="superscript"/>
        </w:rPr>
        <w:t xml:space="preserve"> </w:t>
      </w:r>
      <w:r>
        <w:rPr>
          <w:rFonts w:hint="eastAsia"/>
        </w:rPr>
        <w:t>h内每小时评估1次，24</w:t>
      </w:r>
      <w:r>
        <w:rPr>
          <w:rFonts w:hint="eastAsia"/>
          <w:vertAlign w:val="superscript"/>
        </w:rPr>
        <w:t xml:space="preserve"> </w:t>
      </w:r>
      <w:r>
        <w:rPr>
          <w:rFonts w:hint="eastAsia"/>
        </w:rPr>
        <w:t>h后每4</w:t>
      </w:r>
      <w:r>
        <w:rPr>
          <w:vertAlign w:val="superscript"/>
        </w:rPr>
        <w:t xml:space="preserve"> </w:t>
      </w:r>
      <w:r>
        <w:rPr>
          <w:rFonts w:hint="eastAsia"/>
        </w:rPr>
        <w:t>h评估1次；若患者出现肌肉疼痛、麻木，肢体苍白发紫、皮温冷、无脉症状，应及时告知医生，并调整为至少每30</w:t>
      </w:r>
      <w:r>
        <w:rPr>
          <w:vertAlign w:val="superscript"/>
        </w:rPr>
        <w:t xml:space="preserve"> </w:t>
      </w:r>
      <w:r>
        <w:rPr>
          <w:rFonts w:hint="eastAsia"/>
        </w:rPr>
        <w:t>min评估1次。准确评估并记录足背动脉搏动情况、温度、颜色、肌张力、围度、毛细血管回流、感觉/触觉、渗血等情况，必要时做趾端血氧饱和度监测。</w:t>
      </w:r>
    </w:p>
    <w:p w14:paraId="5FF85265">
      <w:pPr>
        <w:pStyle w:val="165"/>
      </w:pPr>
      <w:r>
        <w:rPr>
          <w:rFonts w:hint="eastAsia"/>
        </w:rPr>
        <w:t>每日交接班可用IABP自带的超声波多普勒仪评价动脉的血流频谱。</w:t>
      </w:r>
    </w:p>
    <w:p w14:paraId="46FC7FC2">
      <w:pPr>
        <w:pStyle w:val="165"/>
      </w:pPr>
      <w:r>
        <w:rPr>
          <w:rFonts w:hint="eastAsia"/>
        </w:rPr>
        <w:t>一旦出现肢体缺血症状且不能缓解，应立即停止IABP，协助医生拔除导管，若患者需要继续行IABP则选择其他路径植入。</w:t>
      </w:r>
    </w:p>
    <w:p w14:paraId="1F063088">
      <w:pPr>
        <w:pStyle w:val="105"/>
        <w:spacing w:before="120" w:after="120"/>
      </w:pPr>
      <w:bookmarkStart w:id="82" w:name="_Toc193466112"/>
      <w:bookmarkStart w:id="83" w:name="_Toc193467395"/>
      <w:r>
        <w:rPr>
          <w:rFonts w:hint="eastAsia"/>
        </w:rPr>
        <w:t>血栓</w:t>
      </w:r>
      <w:bookmarkEnd w:id="82"/>
      <w:bookmarkEnd w:id="83"/>
    </w:p>
    <w:p w14:paraId="4BC1F6CD">
      <w:pPr>
        <w:pStyle w:val="165"/>
      </w:pPr>
      <w:r>
        <w:rPr>
          <w:rFonts w:hint="eastAsia"/>
        </w:rPr>
        <w:t>观察患者胸痛，呼吸困难，心悸等症状是否加重，遵医嘱复查心电图及心肌标志物。</w:t>
      </w:r>
    </w:p>
    <w:p w14:paraId="03AB40A2">
      <w:pPr>
        <w:pStyle w:val="165"/>
      </w:pPr>
      <w:r>
        <w:rPr>
          <w:rFonts w:hint="eastAsia"/>
        </w:rPr>
        <w:t>每隔2</w:t>
      </w:r>
      <w:r>
        <w:rPr>
          <w:vertAlign w:val="superscript"/>
        </w:rPr>
        <w:t xml:space="preserve"> </w:t>
      </w:r>
      <w:r>
        <w:rPr>
          <w:rFonts w:hint="eastAsia"/>
        </w:rPr>
        <w:t>h测量双下肢周径，观察肢体颜色、皮温及水肿情况，并做好记录。</w:t>
      </w:r>
    </w:p>
    <w:p w14:paraId="79C422CB">
      <w:pPr>
        <w:pStyle w:val="165"/>
      </w:pPr>
      <w:r>
        <w:rPr>
          <w:rFonts w:hint="eastAsia"/>
        </w:rPr>
        <w:t>若患者因导管置于主动脉内压力较高，易引起血液返流至IABP管道，引起管道内血栓形成，应配置0.9％氯化钠溶液500</w:t>
      </w:r>
      <w:r>
        <w:rPr>
          <w:vertAlign w:val="superscript"/>
        </w:rPr>
        <w:t xml:space="preserve"> </w:t>
      </w:r>
      <w:r>
        <w:rPr>
          <w:rFonts w:hint="eastAsia"/>
        </w:rPr>
        <w:t>ml＋肝素钠12500</w:t>
      </w:r>
      <w:r>
        <w:rPr>
          <w:vertAlign w:val="superscript"/>
        </w:rPr>
        <w:t xml:space="preserve"> </w:t>
      </w:r>
      <w:r>
        <w:rPr>
          <w:rFonts w:hint="eastAsia"/>
        </w:rPr>
        <w:t>U冲洗液，连接密闭式冲洗装置，保持加压袋压力大于300</w:t>
      </w:r>
      <w:r>
        <w:rPr>
          <w:vertAlign w:val="superscript"/>
        </w:rPr>
        <w:t xml:space="preserve"> </w:t>
      </w:r>
      <w:r>
        <w:rPr>
          <w:rFonts w:hint="eastAsia"/>
        </w:rPr>
        <w:t>mm</w:t>
      </w:r>
      <w:r>
        <w:t>H</w:t>
      </w:r>
      <w:r>
        <w:rPr>
          <w:rFonts w:hint="eastAsia"/>
        </w:rPr>
        <w:t>g，维持加压袋2</w:t>
      </w:r>
      <w:r>
        <w:rPr>
          <w:vertAlign w:val="superscript"/>
        </w:rPr>
        <w:t xml:space="preserve"> </w:t>
      </w:r>
      <w:r>
        <w:rPr>
          <w:rFonts w:hint="eastAsia"/>
        </w:rPr>
        <w:t>m</w:t>
      </w:r>
      <w:r>
        <w:t>L</w:t>
      </w:r>
      <w:r>
        <w:rPr>
          <w:rFonts w:hint="eastAsia"/>
        </w:rPr>
        <w:t>/h～3</w:t>
      </w:r>
      <w:r>
        <w:rPr>
          <w:vertAlign w:val="superscript"/>
        </w:rPr>
        <w:t xml:space="preserve"> </w:t>
      </w:r>
      <w:r>
        <w:rPr>
          <w:rFonts w:hint="eastAsia"/>
        </w:rPr>
        <w:t>m</w:t>
      </w:r>
      <w:r>
        <w:t>L</w:t>
      </w:r>
      <w:r>
        <w:rPr>
          <w:rFonts w:hint="eastAsia"/>
        </w:rPr>
        <w:t>/h匀速冲洗。</w:t>
      </w:r>
    </w:p>
    <w:p w14:paraId="76C17A7B">
      <w:pPr>
        <w:pStyle w:val="165"/>
      </w:pPr>
      <w:r>
        <w:rPr>
          <w:rFonts w:hint="eastAsia"/>
        </w:rPr>
        <w:t>采用气垫床，在血流动力学稳定的情况下，可每2</w:t>
      </w:r>
      <w:r>
        <w:rPr>
          <w:vertAlign w:val="superscript"/>
        </w:rPr>
        <w:t xml:space="preserve"> </w:t>
      </w:r>
      <w:r>
        <w:rPr>
          <w:rFonts w:hint="eastAsia"/>
        </w:rPr>
        <w:t>h进行翻身，翻身时由专人固定IABP导管，置管侧肢体应保持功能位，抬高15°，杜绝因翻身而导致的IABP反搏导管打折或移位，对躁动不安的患者应根据医嘱给予镇静药。</w:t>
      </w:r>
    </w:p>
    <w:p w14:paraId="7A6BDD60">
      <w:pPr>
        <w:pStyle w:val="165"/>
      </w:pPr>
      <w:r>
        <w:rPr>
          <w:rFonts w:hint="eastAsia"/>
        </w:rPr>
        <w:t>对没有禁忌证的患者，早期进行双下肢的功能锻炼。IABP置管侧肢保持功能位，行被动踝泵运动。另一侧肢行下肢主动或被动运动，如卧位膝关节屈伸运动、髋关节内收外展、下肢直腿抬高、踝泵运动等。此外可使用局部按摩法改善患者受压部位血流，每日应用空气波压力治疗仪，促进静脉回流，降低血栓形成风险，每4</w:t>
      </w:r>
      <w:r>
        <w:rPr>
          <w:vertAlign w:val="superscript"/>
        </w:rPr>
        <w:t xml:space="preserve"> </w:t>
      </w:r>
      <w:r>
        <w:rPr>
          <w:rFonts w:hint="eastAsia"/>
        </w:rPr>
        <w:t>h～6</w:t>
      </w:r>
      <w:bookmarkStart w:id="84" w:name="OLE_LINK6"/>
      <w:bookmarkStart w:id="85" w:name="OLE_LINK5"/>
      <w:r>
        <w:rPr>
          <w:vertAlign w:val="superscript"/>
        </w:rPr>
        <w:t xml:space="preserve"> </w:t>
      </w:r>
      <w:r>
        <w:rPr>
          <w:rFonts w:hint="eastAsia"/>
        </w:rPr>
        <w:t>h</w:t>
      </w:r>
      <w:bookmarkEnd w:id="84"/>
      <w:bookmarkEnd w:id="85"/>
      <w:r>
        <w:rPr>
          <w:rFonts w:hint="eastAsia"/>
        </w:rPr>
        <w:t>实施1次，注意肢体的保暖。</w:t>
      </w:r>
    </w:p>
    <w:p w14:paraId="125A1AA9">
      <w:pPr>
        <w:pStyle w:val="165"/>
      </w:pPr>
      <w:r>
        <w:rPr>
          <w:rFonts w:hint="eastAsia"/>
        </w:rPr>
        <w:t>应避免因停搏因素引起球囊处血栓的形成，及时处理各种报警，避免IABP不正常工作引起停搏超过30</w:t>
      </w:r>
      <w:r>
        <w:rPr>
          <w:vertAlign w:val="superscript"/>
        </w:rPr>
        <w:t xml:space="preserve"> </w:t>
      </w:r>
      <w:r>
        <w:rPr>
          <w:rFonts w:hint="eastAsia"/>
        </w:rPr>
        <w:t>min。</w:t>
      </w:r>
    </w:p>
    <w:p w14:paraId="188DB712">
      <w:pPr>
        <w:pStyle w:val="105"/>
        <w:spacing w:before="120" w:after="120"/>
      </w:pPr>
      <w:bookmarkStart w:id="86" w:name="_Toc193466113"/>
      <w:bookmarkStart w:id="87" w:name="_Toc193467396"/>
      <w:r>
        <w:rPr>
          <w:rFonts w:hint="eastAsia"/>
        </w:rPr>
        <w:t>血小板减少</w:t>
      </w:r>
      <w:bookmarkEnd w:id="86"/>
      <w:bookmarkEnd w:id="87"/>
    </w:p>
    <w:p w14:paraId="57AB5959">
      <w:pPr>
        <w:pStyle w:val="165"/>
      </w:pPr>
      <w:r>
        <w:rPr>
          <w:rFonts w:hint="eastAsia"/>
        </w:rPr>
        <w:t>置入IABP后依照医嘱进行抗凝，密切观察全身有无皮下出血、瘀斑等情况，及时调整肝素的剂量。</w:t>
      </w:r>
    </w:p>
    <w:p w14:paraId="4D63833C">
      <w:pPr>
        <w:pStyle w:val="165"/>
      </w:pPr>
      <w:r>
        <w:rPr>
          <w:rFonts w:hint="eastAsia"/>
        </w:rPr>
        <w:t>遵医嘱密切监测血小板计数、血红蛋白和游离血红蛋白，当血小板下降（＜100×10</w:t>
      </w:r>
      <w:r>
        <w:rPr>
          <w:vertAlign w:val="superscript"/>
        </w:rPr>
        <w:t>9</w:t>
      </w:r>
      <w:r>
        <w:t>/L</w:t>
      </w:r>
      <w:r>
        <w:rPr>
          <w:rFonts w:hint="eastAsia"/>
        </w:rPr>
        <w:t>），应减少肝素计量或停用肝素，更换非肝素抗凝剂；当出现严重的血小板降低（＜50X10</w:t>
      </w:r>
      <w:r>
        <w:rPr>
          <w:vertAlign w:val="superscript"/>
        </w:rPr>
        <w:t>9</w:t>
      </w:r>
      <w:r>
        <w:t>/L</w:t>
      </w:r>
      <w:r>
        <w:rPr>
          <w:rFonts w:hint="eastAsia"/>
        </w:rPr>
        <w:t>）合并活动性出血，需配合医生排查病因，包括评估IABP的必要性。</w:t>
      </w:r>
    </w:p>
    <w:p w14:paraId="18818B2E">
      <w:pPr>
        <w:pStyle w:val="165"/>
      </w:pPr>
      <w:r>
        <w:rPr>
          <w:rFonts w:hint="eastAsia"/>
        </w:rPr>
        <w:t>避免不必要的穿刺。</w:t>
      </w:r>
    </w:p>
    <w:p w14:paraId="19A878F7">
      <w:pPr>
        <w:pStyle w:val="165"/>
      </w:pPr>
      <w:r>
        <w:rPr>
          <w:rFonts w:hint="eastAsia"/>
        </w:rPr>
        <w:t>使用软毛牙刷，不应进行鼻腔抠挖等操作。</w:t>
      </w:r>
    </w:p>
    <w:p w14:paraId="05B6EC81">
      <w:pPr>
        <w:pStyle w:val="105"/>
        <w:spacing w:before="120" w:after="120"/>
      </w:pPr>
      <w:bookmarkStart w:id="88" w:name="_Toc193466114"/>
      <w:bookmarkStart w:id="89" w:name="_Toc193467397"/>
      <w:r>
        <w:rPr>
          <w:rFonts w:hint="eastAsia"/>
        </w:rPr>
        <w:t>出血</w:t>
      </w:r>
      <w:bookmarkEnd w:id="88"/>
      <w:bookmarkEnd w:id="89"/>
    </w:p>
    <w:p w14:paraId="725EA7FF">
      <w:pPr>
        <w:pStyle w:val="165"/>
      </w:pPr>
      <w:r>
        <w:rPr>
          <w:rFonts w:hint="eastAsia"/>
        </w:rPr>
        <w:t>每日遵医嘱监测部分活化凝血活酶时间(APTT)、凝血酶原时间(PT)、纤维蛋白原和血小板计数，ACT。护士应及时查看结果并通知医生，遵医嘱调整肝素用量，必要时停用肝素和抗血小板药物。</w:t>
      </w:r>
    </w:p>
    <w:p w14:paraId="309771BC">
      <w:pPr>
        <w:pStyle w:val="165"/>
      </w:pPr>
      <w:r>
        <w:rPr>
          <w:rFonts w:hint="eastAsia"/>
        </w:rPr>
        <w:t>按时查看患者股动脉穿刺处有无出现渗血和血肿的状况，查看患者皮下、牙龈和鼻腔、胃管内胃波有无出血的倾向，并对出血点及出血量进行记录。</w:t>
      </w:r>
    </w:p>
    <w:p w14:paraId="69758187">
      <w:pPr>
        <w:pStyle w:val="165"/>
      </w:pPr>
      <w:r>
        <w:rPr>
          <w:rFonts w:hint="eastAsia"/>
        </w:rPr>
        <w:t>毎隔4</w:t>
      </w:r>
      <w:r>
        <w:rPr>
          <w:vertAlign w:val="superscript"/>
        </w:rPr>
        <w:t xml:space="preserve"> </w:t>
      </w:r>
      <w:r>
        <w:rPr>
          <w:rFonts w:hint="eastAsia"/>
        </w:rPr>
        <w:t>h～6</w:t>
      </w:r>
      <w:r>
        <w:rPr>
          <w:vertAlign w:val="superscript"/>
        </w:rPr>
        <w:t xml:space="preserve"> </w:t>
      </w:r>
      <w:r>
        <w:rPr>
          <w:rFonts w:hint="eastAsia"/>
        </w:rPr>
        <w:t>h观察记录患者意识、瞳孔、对光反射情况、球结膜水肿情况，及时报告医生，必要时行头颅</w:t>
      </w:r>
      <w:r>
        <w:t>C</w:t>
      </w:r>
      <w:r>
        <w:rPr>
          <w:rFonts w:hint="eastAsia"/>
        </w:rPr>
        <w:t>T检查以明确出血情况，及早治疗。</w:t>
      </w:r>
    </w:p>
    <w:p w14:paraId="41545D02">
      <w:pPr>
        <w:pStyle w:val="165"/>
      </w:pPr>
      <w:r>
        <w:rPr>
          <w:rFonts w:hint="eastAsia"/>
        </w:rPr>
        <w:t>进行吸痰等护理操作时动作轻柔，减少对呼吸道黏膜的破坏。</w:t>
      </w:r>
    </w:p>
    <w:p w14:paraId="2498F3C6">
      <w:pPr>
        <w:pStyle w:val="165"/>
      </w:pPr>
      <w:r>
        <w:rPr>
          <w:rFonts w:hint="eastAsia"/>
        </w:rPr>
        <w:t>详细记录大小便颜色，警惕消化道出血。</w:t>
      </w:r>
    </w:p>
    <w:p w14:paraId="438CCBD8">
      <w:pPr>
        <w:pStyle w:val="105"/>
        <w:spacing w:before="120" w:after="120"/>
      </w:pPr>
      <w:bookmarkStart w:id="90" w:name="_Toc193467398"/>
      <w:bookmarkStart w:id="91" w:name="_Toc193466115"/>
      <w:r>
        <w:rPr>
          <w:rFonts w:hint="eastAsia"/>
        </w:rPr>
        <w:t>感染</w:t>
      </w:r>
      <w:bookmarkEnd w:id="90"/>
      <w:bookmarkEnd w:id="91"/>
    </w:p>
    <w:p w14:paraId="32530A5F">
      <w:pPr>
        <w:pStyle w:val="165"/>
      </w:pPr>
      <w:r>
        <w:rPr>
          <w:rFonts w:hint="eastAsia"/>
        </w:rPr>
        <w:t>护理操作中应严格避守无菌操作原则，使用消毒液（如2％氯已定溶液）对IABP置管处进行消毒。</w:t>
      </w:r>
    </w:p>
    <w:p w14:paraId="5F92C96D">
      <w:pPr>
        <w:pStyle w:val="165"/>
      </w:pPr>
      <w:r>
        <w:rPr>
          <w:rFonts w:hint="eastAsia"/>
        </w:rPr>
        <w:t>每班对置管刻度及换药时间重点交接，纱布敷料每2</w:t>
      </w:r>
      <w:r>
        <w:rPr>
          <w:vertAlign w:val="superscript"/>
        </w:rPr>
        <w:t xml:space="preserve"> </w:t>
      </w:r>
      <w:r>
        <w:rPr>
          <w:rFonts w:hint="eastAsia"/>
        </w:rPr>
        <w:t>d更换1次，透明敷料每7</w:t>
      </w:r>
      <w:r>
        <w:rPr>
          <w:vertAlign w:val="superscript"/>
        </w:rPr>
        <w:t xml:space="preserve"> </w:t>
      </w:r>
      <w:r>
        <w:rPr>
          <w:rFonts w:hint="eastAsia"/>
        </w:rPr>
        <w:t>d更换1次，如由于出血或被大小便污染等情况，应及时更换敷料，确保敷料清洁干。</w:t>
      </w:r>
    </w:p>
    <w:p w14:paraId="63AE50F9">
      <w:pPr>
        <w:pStyle w:val="165"/>
      </w:pPr>
      <w:r>
        <w:rPr>
          <w:rFonts w:hint="eastAsia"/>
        </w:rPr>
        <w:t>辅料选择无菌纱布、弹性绷带、透明敷料、聚酯泡沫敷贴、生物酶纱布创面敷料与透明效料联合使用及贴膜与水胶体敷料联合使用等，合理根据患者穿刺口位置及状况进行选择，降低感染的发生率。</w:t>
      </w:r>
    </w:p>
    <w:p w14:paraId="5FB47AC1">
      <w:pPr>
        <w:pStyle w:val="165"/>
      </w:pPr>
      <w:r>
        <w:rPr>
          <w:rFonts w:hint="eastAsia"/>
        </w:rPr>
        <w:t>发现气囊导管内有出血现象，立即报告医生进行处置。</w:t>
      </w:r>
    </w:p>
    <w:p w14:paraId="47230A64">
      <w:pPr>
        <w:pStyle w:val="165"/>
      </w:pPr>
      <w:r>
        <w:rPr>
          <w:rFonts w:hint="eastAsia"/>
        </w:rPr>
        <w:t>每隔4</w:t>
      </w:r>
      <w:r>
        <w:rPr>
          <w:vertAlign w:val="superscript"/>
        </w:rPr>
        <w:t xml:space="preserve"> </w:t>
      </w:r>
      <w:r>
        <w:rPr>
          <w:rFonts w:hint="eastAsia"/>
        </w:rPr>
        <w:t>h监测患者的体温，必要时予患者更换测温尿管，实时监测体温变化。如患者发生明显寒战、高热等感染征象时，及时报告医生，进行血培养及痰培养检测。</w:t>
      </w:r>
    </w:p>
    <w:p w14:paraId="67B661D3">
      <w:pPr>
        <w:pStyle w:val="165"/>
      </w:pPr>
      <w:r>
        <w:rPr>
          <w:rFonts w:hint="eastAsia"/>
        </w:rPr>
        <w:t>每日检测白细胞计数及抗生素使用的效果及不良反应。</w:t>
      </w:r>
    </w:p>
    <w:p w14:paraId="2619B2AA">
      <w:pPr>
        <w:pStyle w:val="165"/>
      </w:pPr>
      <w:r>
        <w:rPr>
          <w:rFonts w:hint="eastAsia"/>
        </w:rPr>
        <w:t>每日4次口腔护理，无特殊禁忌患者每日进行1～2次全身擦拭，保持床单位、衣物整洁，皮肤的清洁。对皮肤使用预防性保护剂或保护膜，减少压疮发生。</w:t>
      </w:r>
    </w:p>
    <w:p w14:paraId="014E035A">
      <w:pPr>
        <w:pStyle w:val="105"/>
        <w:spacing w:before="120" w:after="120"/>
      </w:pPr>
      <w:r>
        <w:rPr>
          <w:rFonts w:hint="eastAsia"/>
        </w:rPr>
        <w:t>血管损伤</w:t>
      </w:r>
    </w:p>
    <w:p w14:paraId="60908A96">
      <w:pPr>
        <w:pStyle w:val="65"/>
        <w:spacing w:before="120" w:after="120"/>
      </w:pPr>
      <w:r>
        <w:rPr>
          <w:rFonts w:hint="eastAsia"/>
        </w:rPr>
        <w:t>穿刺部位血管损伤</w:t>
      </w:r>
    </w:p>
    <w:p w14:paraId="780A4828">
      <w:pPr>
        <w:pStyle w:val="56"/>
        <w:ind w:firstLine="420"/>
      </w:pPr>
      <w:r>
        <w:rPr>
          <w:rFonts w:hint="eastAsia"/>
        </w:rPr>
        <w:t>穿刺部位可见明显的新鲜血迹，可触及搏动性包块，皮下血肿≥1</w:t>
      </w:r>
      <w:r>
        <w:rPr>
          <w:vertAlign w:val="superscript"/>
        </w:rPr>
        <w:t xml:space="preserve"> </w:t>
      </w:r>
      <w:r>
        <w:rPr>
          <w:rFonts w:hint="eastAsia"/>
        </w:rPr>
        <w:t>cm，穿刺肢肿胀维度较术前≥0.5</w:t>
      </w:r>
      <w:r>
        <w:rPr>
          <w:vertAlign w:val="superscript"/>
        </w:rPr>
        <w:t xml:space="preserve"> </w:t>
      </w:r>
      <w:r>
        <w:rPr>
          <w:rFonts w:hint="eastAsia"/>
        </w:rPr>
        <w:t>cm，伴肢体疼痛时，应立即报告医生，行超生多普勒检查，并检査是否存在导管尺寸过大、术口压迫不当。</w:t>
      </w:r>
    </w:p>
    <w:p w14:paraId="1F3F9C20">
      <w:pPr>
        <w:pStyle w:val="65"/>
        <w:spacing w:before="120" w:after="120"/>
      </w:pPr>
      <w:r>
        <w:rPr>
          <w:rFonts w:hint="eastAsia"/>
        </w:rPr>
        <w:t>主动脉损伤</w:t>
      </w:r>
    </w:p>
    <w:p w14:paraId="53194035">
      <w:pPr>
        <w:pStyle w:val="164"/>
        <w:ind w:left="0"/>
      </w:pPr>
      <w:r>
        <w:rPr>
          <w:rFonts w:hint="eastAsia"/>
        </w:rPr>
        <w:t>患者出现突发撕裂样或刀割样的胸前区、背部或腹部的疼痛，并伴有血压波动和神经系统症状，应报告医生，立即进行医学影像学检查以确认是否发生了主动脉夹层或主动脉壁损伤。</w:t>
      </w:r>
    </w:p>
    <w:p w14:paraId="502C1D0C">
      <w:pPr>
        <w:pStyle w:val="164"/>
        <w:ind w:left="0"/>
      </w:pPr>
      <w:r>
        <w:rPr>
          <w:rFonts w:hint="eastAsia"/>
        </w:rPr>
        <w:t>由熟悉IABP使用的医护人员密切检测IABP系统参数及波形，监测生命体征（心率、血压、平均压力、中心静脉压），出现血压波动、心率不齐、反搏压波形突然发生变化同时伴休克状态时，立即报告医生。</w:t>
      </w:r>
    </w:p>
    <w:p w14:paraId="66B819F2">
      <w:pPr>
        <w:pStyle w:val="105"/>
        <w:spacing w:before="120" w:after="120"/>
      </w:pPr>
      <w:r>
        <w:rPr>
          <w:rFonts w:hint="eastAsia"/>
        </w:rPr>
        <w:t>心源性休克恶化</w:t>
      </w:r>
    </w:p>
    <w:p w14:paraId="3EA2F2A1">
      <w:pPr>
        <w:pStyle w:val="56"/>
        <w:ind w:firstLine="420"/>
      </w:pPr>
      <w:r>
        <w:rPr>
          <w:rFonts w:hint="eastAsia"/>
        </w:rPr>
        <w:t>患者出现严重心律失常(如室颤、高度房室传导阻滞)，IABP无法有效辅助循环，立即报告医生。纠正心律失常(电复律、起搏器)，或遵医协助医生升级循环支持（如ECMO）。</w:t>
      </w:r>
    </w:p>
    <w:bookmarkEnd w:id="25"/>
    <w:p w14:paraId="79EA36CD">
      <w:pPr>
        <w:pStyle w:val="56"/>
        <w:ind w:firstLine="0" w:firstLineChars="0"/>
        <w:jc w:val="center"/>
      </w:pPr>
      <w:bookmarkStart w:id="92"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2"/>
    </w:p>
    <w:sectPr>
      <w:pgSz w:w="11906" w:h="16838"/>
      <w:pgMar w:top="1928" w:right="1134" w:bottom="1134" w:left="1134" w:header="1418" w:footer="1134" w:gutter="284"/>
      <w:pgNumType w:start="1"/>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93CF6">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1240C1">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59D43">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3B419">
    <w:pPr>
      <w:pStyle w:val="52"/>
    </w:pPr>
    <w:r>
      <w:fldChar w:fldCharType="begin"/>
    </w:r>
    <w:r>
      <w:instrText xml:space="preserve">PAGE   \* MERGEFORMAT</w:instrText>
    </w:r>
    <w:r>
      <w:fldChar w:fldCharType="separate"/>
    </w:r>
    <w:r>
      <w:rPr>
        <w:lang w:val="zh-CN"/>
      </w:rPr>
      <w:t>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909BBD">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B00CBF">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A6EFC">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11EE30">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4DC20">
    <w:pPr>
      <w:pStyle w:val="18"/>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851"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attachedTemplate r:id="rId1"/>
  <w:documentProtection w:edit="forms" w:enforcement="1" w:cryptProviderType="rsaAES" w:cryptAlgorithmClass="hash" w:cryptAlgorithmType="typeAny" w:cryptAlgorithmSid="14" w:cryptSpinCount="100000" w:hash="+80qeCYhvHsl7uzAAKYbSJuQ4AEkLeQLa/rt9NQ6RjfYFnPRI+r0hWXqswXndLl5LhkePjbUewXnPozQjuTFDg==" w:salt="kba1kVyynN328dbyn2/6vg=="/>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69D"/>
    <w:rsid w:val="0000040A"/>
    <w:rsid w:val="00000A94"/>
    <w:rsid w:val="00001972"/>
    <w:rsid w:val="00001D9A"/>
    <w:rsid w:val="00002478"/>
    <w:rsid w:val="00007B3A"/>
    <w:rsid w:val="000107E0"/>
    <w:rsid w:val="00011FDE"/>
    <w:rsid w:val="00012FFD"/>
    <w:rsid w:val="00014162"/>
    <w:rsid w:val="00014340"/>
    <w:rsid w:val="0001674C"/>
    <w:rsid w:val="00016A9C"/>
    <w:rsid w:val="00022184"/>
    <w:rsid w:val="00022762"/>
    <w:rsid w:val="00023024"/>
    <w:rsid w:val="000238E0"/>
    <w:rsid w:val="000249DB"/>
    <w:rsid w:val="0002595E"/>
    <w:rsid w:val="000303C3"/>
    <w:rsid w:val="000331D3"/>
    <w:rsid w:val="000346A5"/>
    <w:rsid w:val="000359C3"/>
    <w:rsid w:val="00035A7D"/>
    <w:rsid w:val="000365ED"/>
    <w:rsid w:val="00037FAD"/>
    <w:rsid w:val="0004249A"/>
    <w:rsid w:val="00043282"/>
    <w:rsid w:val="00044286"/>
    <w:rsid w:val="000477A5"/>
    <w:rsid w:val="00047F28"/>
    <w:rsid w:val="000503AA"/>
    <w:rsid w:val="000506A1"/>
    <w:rsid w:val="000515DD"/>
    <w:rsid w:val="00051F80"/>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695"/>
    <w:rsid w:val="00073C8C"/>
    <w:rsid w:val="00077B64"/>
    <w:rsid w:val="00080A1C"/>
    <w:rsid w:val="00082317"/>
    <w:rsid w:val="00083D2C"/>
    <w:rsid w:val="00086AA1"/>
    <w:rsid w:val="00087A77"/>
    <w:rsid w:val="00090CA6"/>
    <w:rsid w:val="00090D90"/>
    <w:rsid w:val="00091CC1"/>
    <w:rsid w:val="00092B8A"/>
    <w:rsid w:val="00092FB0"/>
    <w:rsid w:val="000934C5"/>
    <w:rsid w:val="00093D25"/>
    <w:rsid w:val="00093DAB"/>
    <w:rsid w:val="00094D73"/>
    <w:rsid w:val="00096D63"/>
    <w:rsid w:val="000A0B60"/>
    <w:rsid w:val="000A0EB8"/>
    <w:rsid w:val="000A19FC"/>
    <w:rsid w:val="000A296B"/>
    <w:rsid w:val="000A6E12"/>
    <w:rsid w:val="000A7311"/>
    <w:rsid w:val="000B060F"/>
    <w:rsid w:val="000B1592"/>
    <w:rsid w:val="000B1FF2"/>
    <w:rsid w:val="000B3CDA"/>
    <w:rsid w:val="000B5D63"/>
    <w:rsid w:val="000B6A0B"/>
    <w:rsid w:val="000C0F6C"/>
    <w:rsid w:val="000C11DB"/>
    <w:rsid w:val="000C1492"/>
    <w:rsid w:val="000C2FBD"/>
    <w:rsid w:val="000C4B41"/>
    <w:rsid w:val="000C57D6"/>
    <w:rsid w:val="000C6362"/>
    <w:rsid w:val="000C7666"/>
    <w:rsid w:val="000D0A9C"/>
    <w:rsid w:val="000D1795"/>
    <w:rsid w:val="000D24A5"/>
    <w:rsid w:val="000D329A"/>
    <w:rsid w:val="000D4B9C"/>
    <w:rsid w:val="000D4EB6"/>
    <w:rsid w:val="000D753B"/>
    <w:rsid w:val="000E4C9E"/>
    <w:rsid w:val="000E62E0"/>
    <w:rsid w:val="000E6FD7"/>
    <w:rsid w:val="000E7144"/>
    <w:rsid w:val="000F06E1"/>
    <w:rsid w:val="000F0E3C"/>
    <w:rsid w:val="000F19D5"/>
    <w:rsid w:val="000F1E8A"/>
    <w:rsid w:val="000F4050"/>
    <w:rsid w:val="000F4AEA"/>
    <w:rsid w:val="000F67E9"/>
    <w:rsid w:val="0010210B"/>
    <w:rsid w:val="00104926"/>
    <w:rsid w:val="00113B1E"/>
    <w:rsid w:val="0011711C"/>
    <w:rsid w:val="00124E4F"/>
    <w:rsid w:val="001260B7"/>
    <w:rsid w:val="001265CB"/>
    <w:rsid w:val="001302DD"/>
    <w:rsid w:val="001317A6"/>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4665A"/>
    <w:rsid w:val="0015252B"/>
    <w:rsid w:val="001529E5"/>
    <w:rsid w:val="00152FB3"/>
    <w:rsid w:val="00153C7E"/>
    <w:rsid w:val="00156B25"/>
    <w:rsid w:val="00156E1A"/>
    <w:rsid w:val="00157894"/>
    <w:rsid w:val="00157B55"/>
    <w:rsid w:val="00160231"/>
    <w:rsid w:val="001642FA"/>
    <w:rsid w:val="001649EB"/>
    <w:rsid w:val="00164BAF"/>
    <w:rsid w:val="00164FA8"/>
    <w:rsid w:val="00165065"/>
    <w:rsid w:val="00165434"/>
    <w:rsid w:val="0016580B"/>
    <w:rsid w:val="00165F49"/>
    <w:rsid w:val="00166B88"/>
    <w:rsid w:val="0016770A"/>
    <w:rsid w:val="00170804"/>
    <w:rsid w:val="001708E9"/>
    <w:rsid w:val="0017340B"/>
    <w:rsid w:val="00173E5E"/>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353C"/>
    <w:rsid w:val="001B71D0"/>
    <w:rsid w:val="001B71EE"/>
    <w:rsid w:val="001C04A8"/>
    <w:rsid w:val="001C2C03"/>
    <w:rsid w:val="001C42F7"/>
    <w:rsid w:val="001C49E5"/>
    <w:rsid w:val="001C680C"/>
    <w:rsid w:val="001C7506"/>
    <w:rsid w:val="001C7FEA"/>
    <w:rsid w:val="001D0499"/>
    <w:rsid w:val="001D0BBE"/>
    <w:rsid w:val="001D0ED4"/>
    <w:rsid w:val="001D212F"/>
    <w:rsid w:val="001D29D7"/>
    <w:rsid w:val="001D2DE7"/>
    <w:rsid w:val="001D411C"/>
    <w:rsid w:val="001E1B6A"/>
    <w:rsid w:val="001E2484"/>
    <w:rsid w:val="001E3CC4"/>
    <w:rsid w:val="001E4882"/>
    <w:rsid w:val="001E73AB"/>
    <w:rsid w:val="001F0003"/>
    <w:rsid w:val="001F036E"/>
    <w:rsid w:val="001F092D"/>
    <w:rsid w:val="001F143A"/>
    <w:rsid w:val="001F1605"/>
    <w:rsid w:val="001F2508"/>
    <w:rsid w:val="001F4816"/>
    <w:rsid w:val="001F5FAC"/>
    <w:rsid w:val="001F69B4"/>
    <w:rsid w:val="001F77C7"/>
    <w:rsid w:val="00200183"/>
    <w:rsid w:val="00200333"/>
    <w:rsid w:val="0020107D"/>
    <w:rsid w:val="00201ADB"/>
    <w:rsid w:val="00202AA4"/>
    <w:rsid w:val="002031F7"/>
    <w:rsid w:val="00203C09"/>
    <w:rsid w:val="002040E6"/>
    <w:rsid w:val="0020527B"/>
    <w:rsid w:val="00205F2C"/>
    <w:rsid w:val="00210B15"/>
    <w:rsid w:val="002142EA"/>
    <w:rsid w:val="00215ADD"/>
    <w:rsid w:val="002176C4"/>
    <w:rsid w:val="002204BB"/>
    <w:rsid w:val="00221B79"/>
    <w:rsid w:val="00221C6B"/>
    <w:rsid w:val="00222B83"/>
    <w:rsid w:val="002253A1"/>
    <w:rsid w:val="00225CF8"/>
    <w:rsid w:val="0022794E"/>
    <w:rsid w:val="00231129"/>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121"/>
    <w:rsid w:val="00272B08"/>
    <w:rsid w:val="00277CB8"/>
    <w:rsid w:val="00281BB8"/>
    <w:rsid w:val="00281E9E"/>
    <w:rsid w:val="00282405"/>
    <w:rsid w:val="00285170"/>
    <w:rsid w:val="00285361"/>
    <w:rsid w:val="00285DC2"/>
    <w:rsid w:val="00286B8E"/>
    <w:rsid w:val="00292D60"/>
    <w:rsid w:val="002937E6"/>
    <w:rsid w:val="00293B30"/>
    <w:rsid w:val="00293D81"/>
    <w:rsid w:val="00294D34"/>
    <w:rsid w:val="00294E3B"/>
    <w:rsid w:val="00296193"/>
    <w:rsid w:val="00296C66"/>
    <w:rsid w:val="00296EBE"/>
    <w:rsid w:val="002974E3"/>
    <w:rsid w:val="002A084B"/>
    <w:rsid w:val="002A1260"/>
    <w:rsid w:val="002A1589"/>
    <w:rsid w:val="002A1608"/>
    <w:rsid w:val="002A25DC"/>
    <w:rsid w:val="002A3AAB"/>
    <w:rsid w:val="002A4CEA"/>
    <w:rsid w:val="002A5861"/>
    <w:rsid w:val="002A5977"/>
    <w:rsid w:val="002A5A13"/>
    <w:rsid w:val="002A757F"/>
    <w:rsid w:val="002A7F44"/>
    <w:rsid w:val="002B0C40"/>
    <w:rsid w:val="002B1966"/>
    <w:rsid w:val="002B4508"/>
    <w:rsid w:val="002B5779"/>
    <w:rsid w:val="002B6E80"/>
    <w:rsid w:val="002B7332"/>
    <w:rsid w:val="002B7F51"/>
    <w:rsid w:val="002C09E7"/>
    <w:rsid w:val="002C1E06"/>
    <w:rsid w:val="002C3F07"/>
    <w:rsid w:val="002C5278"/>
    <w:rsid w:val="002C7EBB"/>
    <w:rsid w:val="002D06C1"/>
    <w:rsid w:val="002D42B5"/>
    <w:rsid w:val="002D4F1A"/>
    <w:rsid w:val="002D6052"/>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07E3A"/>
    <w:rsid w:val="00313B85"/>
    <w:rsid w:val="00317988"/>
    <w:rsid w:val="003221B4"/>
    <w:rsid w:val="0032220C"/>
    <w:rsid w:val="0032258D"/>
    <w:rsid w:val="00322E62"/>
    <w:rsid w:val="00323B63"/>
    <w:rsid w:val="00324D13"/>
    <w:rsid w:val="00324EDD"/>
    <w:rsid w:val="003304BC"/>
    <w:rsid w:val="003331E4"/>
    <w:rsid w:val="00336C64"/>
    <w:rsid w:val="00337162"/>
    <w:rsid w:val="0034194F"/>
    <w:rsid w:val="003436EC"/>
    <w:rsid w:val="00344605"/>
    <w:rsid w:val="003474AA"/>
    <w:rsid w:val="00350D1D"/>
    <w:rsid w:val="00352C83"/>
    <w:rsid w:val="00352F1A"/>
    <w:rsid w:val="0036107C"/>
    <w:rsid w:val="003615D2"/>
    <w:rsid w:val="0036429C"/>
    <w:rsid w:val="00364A53"/>
    <w:rsid w:val="003654CB"/>
    <w:rsid w:val="00365AA9"/>
    <w:rsid w:val="00365E44"/>
    <w:rsid w:val="00365F86"/>
    <w:rsid w:val="00365F87"/>
    <w:rsid w:val="00366E89"/>
    <w:rsid w:val="003705F4"/>
    <w:rsid w:val="00370D58"/>
    <w:rsid w:val="00371316"/>
    <w:rsid w:val="003751AB"/>
    <w:rsid w:val="00376713"/>
    <w:rsid w:val="00381815"/>
    <w:rsid w:val="003819AF"/>
    <w:rsid w:val="003820E9"/>
    <w:rsid w:val="00382DE7"/>
    <w:rsid w:val="003841A3"/>
    <w:rsid w:val="00384FFC"/>
    <w:rsid w:val="003872FC"/>
    <w:rsid w:val="00387834"/>
    <w:rsid w:val="00387ADC"/>
    <w:rsid w:val="00390020"/>
    <w:rsid w:val="003903D6"/>
    <w:rsid w:val="003906C8"/>
    <w:rsid w:val="00390EE6"/>
    <w:rsid w:val="0039118F"/>
    <w:rsid w:val="003922BA"/>
    <w:rsid w:val="00392AD7"/>
    <w:rsid w:val="003938D9"/>
    <w:rsid w:val="00394376"/>
    <w:rsid w:val="003943FF"/>
    <w:rsid w:val="0039502E"/>
    <w:rsid w:val="0039569D"/>
    <w:rsid w:val="003974EB"/>
    <w:rsid w:val="00397CC5"/>
    <w:rsid w:val="003A11D1"/>
    <w:rsid w:val="003A1582"/>
    <w:rsid w:val="003A3D9C"/>
    <w:rsid w:val="003A4077"/>
    <w:rsid w:val="003A4AA7"/>
    <w:rsid w:val="003B09AD"/>
    <w:rsid w:val="003B0D10"/>
    <w:rsid w:val="003B1D0E"/>
    <w:rsid w:val="003B1F18"/>
    <w:rsid w:val="003B5BF0"/>
    <w:rsid w:val="003B5D15"/>
    <w:rsid w:val="003B60BF"/>
    <w:rsid w:val="003B6BE3"/>
    <w:rsid w:val="003C010C"/>
    <w:rsid w:val="003C0A6C"/>
    <w:rsid w:val="003C14F8"/>
    <w:rsid w:val="003C5A43"/>
    <w:rsid w:val="003D0519"/>
    <w:rsid w:val="003D0C8A"/>
    <w:rsid w:val="003D0FF6"/>
    <w:rsid w:val="003D1E5A"/>
    <w:rsid w:val="003D262C"/>
    <w:rsid w:val="003D6D61"/>
    <w:rsid w:val="003D7521"/>
    <w:rsid w:val="003E019F"/>
    <w:rsid w:val="003E091D"/>
    <w:rsid w:val="003E1C53"/>
    <w:rsid w:val="003E1DEC"/>
    <w:rsid w:val="003E2A69"/>
    <w:rsid w:val="003E2D49"/>
    <w:rsid w:val="003E2FD4"/>
    <w:rsid w:val="003E49F6"/>
    <w:rsid w:val="003E660F"/>
    <w:rsid w:val="003F0719"/>
    <w:rsid w:val="003F0841"/>
    <w:rsid w:val="003F23D3"/>
    <w:rsid w:val="003F3F08"/>
    <w:rsid w:val="003F49F1"/>
    <w:rsid w:val="003F6272"/>
    <w:rsid w:val="00400E72"/>
    <w:rsid w:val="00401400"/>
    <w:rsid w:val="00404869"/>
    <w:rsid w:val="00405884"/>
    <w:rsid w:val="00407D39"/>
    <w:rsid w:val="0041477A"/>
    <w:rsid w:val="004167A3"/>
    <w:rsid w:val="004261FE"/>
    <w:rsid w:val="00432DAA"/>
    <w:rsid w:val="00434305"/>
    <w:rsid w:val="00435DF7"/>
    <w:rsid w:val="0043741A"/>
    <w:rsid w:val="0044083F"/>
    <w:rsid w:val="00440A85"/>
    <w:rsid w:val="00441AE7"/>
    <w:rsid w:val="00445574"/>
    <w:rsid w:val="004467FB"/>
    <w:rsid w:val="00452D6B"/>
    <w:rsid w:val="00453DFE"/>
    <w:rsid w:val="00454484"/>
    <w:rsid w:val="0045517B"/>
    <w:rsid w:val="00463B77"/>
    <w:rsid w:val="00463C7B"/>
    <w:rsid w:val="004644A6"/>
    <w:rsid w:val="004659BD"/>
    <w:rsid w:val="00470775"/>
    <w:rsid w:val="00471148"/>
    <w:rsid w:val="00473C81"/>
    <w:rsid w:val="004746B1"/>
    <w:rsid w:val="0047583F"/>
    <w:rsid w:val="00475DE8"/>
    <w:rsid w:val="00477340"/>
    <w:rsid w:val="00481C44"/>
    <w:rsid w:val="00484936"/>
    <w:rsid w:val="00485C89"/>
    <w:rsid w:val="00486BE3"/>
    <w:rsid w:val="004905E4"/>
    <w:rsid w:val="00490A89"/>
    <w:rsid w:val="00490AB4"/>
    <w:rsid w:val="00492F02"/>
    <w:rsid w:val="004939AE"/>
    <w:rsid w:val="00497277"/>
    <w:rsid w:val="004A097A"/>
    <w:rsid w:val="004A12DF"/>
    <w:rsid w:val="004A1BA8"/>
    <w:rsid w:val="004A4B57"/>
    <w:rsid w:val="004A4F60"/>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773"/>
    <w:rsid w:val="004D7C42"/>
    <w:rsid w:val="004E0465"/>
    <w:rsid w:val="004E127B"/>
    <w:rsid w:val="004E1C0A"/>
    <w:rsid w:val="004E2D2B"/>
    <w:rsid w:val="004E30C5"/>
    <w:rsid w:val="004E4AA5"/>
    <w:rsid w:val="004E4AEE"/>
    <w:rsid w:val="004E59E3"/>
    <w:rsid w:val="004E67C0"/>
    <w:rsid w:val="004F391A"/>
    <w:rsid w:val="004F3CFB"/>
    <w:rsid w:val="004F6456"/>
    <w:rsid w:val="004F696E"/>
    <w:rsid w:val="004F6C71"/>
    <w:rsid w:val="004F73C5"/>
    <w:rsid w:val="005006C0"/>
    <w:rsid w:val="00501139"/>
    <w:rsid w:val="0050363E"/>
    <w:rsid w:val="005039BC"/>
    <w:rsid w:val="005043BB"/>
    <w:rsid w:val="00504A3D"/>
    <w:rsid w:val="00505767"/>
    <w:rsid w:val="005073F0"/>
    <w:rsid w:val="005105AB"/>
    <w:rsid w:val="00510A7B"/>
    <w:rsid w:val="00512F6E"/>
    <w:rsid w:val="00513038"/>
    <w:rsid w:val="00514174"/>
    <w:rsid w:val="00516088"/>
    <w:rsid w:val="00516B0B"/>
    <w:rsid w:val="005220EC"/>
    <w:rsid w:val="00523F95"/>
    <w:rsid w:val="00524D65"/>
    <w:rsid w:val="00525B16"/>
    <w:rsid w:val="00531341"/>
    <w:rsid w:val="00531C83"/>
    <w:rsid w:val="00533D04"/>
    <w:rsid w:val="00534804"/>
    <w:rsid w:val="00534BDF"/>
    <w:rsid w:val="005354EA"/>
    <w:rsid w:val="0053585F"/>
    <w:rsid w:val="00535EC4"/>
    <w:rsid w:val="00535ED9"/>
    <w:rsid w:val="0053692B"/>
    <w:rsid w:val="005412EC"/>
    <w:rsid w:val="00541853"/>
    <w:rsid w:val="005423CC"/>
    <w:rsid w:val="00543BDA"/>
    <w:rsid w:val="005441CC"/>
    <w:rsid w:val="005479DA"/>
    <w:rsid w:val="00547BCC"/>
    <w:rsid w:val="005500E2"/>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2A5E"/>
    <w:rsid w:val="00593A49"/>
    <w:rsid w:val="00596160"/>
    <w:rsid w:val="005966E2"/>
    <w:rsid w:val="00597007"/>
    <w:rsid w:val="00597ABC"/>
    <w:rsid w:val="005A0966"/>
    <w:rsid w:val="005A11B7"/>
    <w:rsid w:val="005A260B"/>
    <w:rsid w:val="005A2C4E"/>
    <w:rsid w:val="005A3197"/>
    <w:rsid w:val="005A4A1B"/>
    <w:rsid w:val="005A7830"/>
    <w:rsid w:val="005A7FCE"/>
    <w:rsid w:val="005B0F3F"/>
    <w:rsid w:val="005B191C"/>
    <w:rsid w:val="005B4903"/>
    <w:rsid w:val="005B51CE"/>
    <w:rsid w:val="005B5885"/>
    <w:rsid w:val="005B5CD7"/>
    <w:rsid w:val="005B6CF6"/>
    <w:rsid w:val="005B7422"/>
    <w:rsid w:val="005C0696"/>
    <w:rsid w:val="005C29B8"/>
    <w:rsid w:val="005C41ED"/>
    <w:rsid w:val="005C5F21"/>
    <w:rsid w:val="005C5FCC"/>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15E2"/>
    <w:rsid w:val="006016A9"/>
    <w:rsid w:val="00602090"/>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58F2"/>
    <w:rsid w:val="006770F4"/>
    <w:rsid w:val="00677A84"/>
    <w:rsid w:val="0068026D"/>
    <w:rsid w:val="00680A27"/>
    <w:rsid w:val="006816A4"/>
    <w:rsid w:val="006819B8"/>
    <w:rsid w:val="006840A6"/>
    <w:rsid w:val="006850CD"/>
    <w:rsid w:val="00685AAB"/>
    <w:rsid w:val="00687C08"/>
    <w:rsid w:val="00693962"/>
    <w:rsid w:val="0069572A"/>
    <w:rsid w:val="006A07AA"/>
    <w:rsid w:val="006A0B07"/>
    <w:rsid w:val="006A25E5"/>
    <w:rsid w:val="006A2B46"/>
    <w:rsid w:val="006A336D"/>
    <w:rsid w:val="006A37B9"/>
    <w:rsid w:val="006B2672"/>
    <w:rsid w:val="006B54BF"/>
    <w:rsid w:val="006B5BB2"/>
    <w:rsid w:val="006B5F44"/>
    <w:rsid w:val="006B5F90"/>
    <w:rsid w:val="006B62E4"/>
    <w:rsid w:val="006B652E"/>
    <w:rsid w:val="006C1BBA"/>
    <w:rsid w:val="006C2079"/>
    <w:rsid w:val="006C5A62"/>
    <w:rsid w:val="006C5D68"/>
    <w:rsid w:val="006C6976"/>
    <w:rsid w:val="006C6DD0"/>
    <w:rsid w:val="006D04EA"/>
    <w:rsid w:val="006D16C4"/>
    <w:rsid w:val="006D3E96"/>
    <w:rsid w:val="006D4515"/>
    <w:rsid w:val="006D4BB1"/>
    <w:rsid w:val="006D6593"/>
    <w:rsid w:val="006E0E87"/>
    <w:rsid w:val="006F03A8"/>
    <w:rsid w:val="006F1E82"/>
    <w:rsid w:val="006F2ACA"/>
    <w:rsid w:val="006F2ADC"/>
    <w:rsid w:val="006F2BFE"/>
    <w:rsid w:val="006F31E9"/>
    <w:rsid w:val="006F353E"/>
    <w:rsid w:val="006F6284"/>
    <w:rsid w:val="007002C5"/>
    <w:rsid w:val="00704387"/>
    <w:rsid w:val="00707669"/>
    <w:rsid w:val="00711CBA"/>
    <w:rsid w:val="00711FB5"/>
    <w:rsid w:val="00712A01"/>
    <w:rsid w:val="00714F58"/>
    <w:rsid w:val="00716E7A"/>
    <w:rsid w:val="00722FBF"/>
    <w:rsid w:val="00722FC2"/>
    <w:rsid w:val="00724E1B"/>
    <w:rsid w:val="00725949"/>
    <w:rsid w:val="00727FA2"/>
    <w:rsid w:val="007322D9"/>
    <w:rsid w:val="00732BC0"/>
    <w:rsid w:val="0073720F"/>
    <w:rsid w:val="00737796"/>
    <w:rsid w:val="007408A1"/>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03F2"/>
    <w:rsid w:val="00773C1F"/>
    <w:rsid w:val="00774DA4"/>
    <w:rsid w:val="007758AB"/>
    <w:rsid w:val="00776599"/>
    <w:rsid w:val="0078024A"/>
    <w:rsid w:val="0078114B"/>
    <w:rsid w:val="0078140B"/>
    <w:rsid w:val="00781DD2"/>
    <w:rsid w:val="00783ECF"/>
    <w:rsid w:val="0078413A"/>
    <w:rsid w:val="00792814"/>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0A8"/>
    <w:rsid w:val="007B68EA"/>
    <w:rsid w:val="007B7453"/>
    <w:rsid w:val="007C1809"/>
    <w:rsid w:val="007C2D89"/>
    <w:rsid w:val="007C4593"/>
    <w:rsid w:val="007C5309"/>
    <w:rsid w:val="007C6069"/>
    <w:rsid w:val="007D06C4"/>
    <w:rsid w:val="007D1352"/>
    <w:rsid w:val="007D2508"/>
    <w:rsid w:val="007D346A"/>
    <w:rsid w:val="007D6518"/>
    <w:rsid w:val="007D76BD"/>
    <w:rsid w:val="007E0BF1"/>
    <w:rsid w:val="007E1316"/>
    <w:rsid w:val="007E14F0"/>
    <w:rsid w:val="007F0ED8"/>
    <w:rsid w:val="007F0F63"/>
    <w:rsid w:val="007F75CE"/>
    <w:rsid w:val="007F76BA"/>
    <w:rsid w:val="008013A4"/>
    <w:rsid w:val="008027CE"/>
    <w:rsid w:val="00802F42"/>
    <w:rsid w:val="00804383"/>
    <w:rsid w:val="00804BB7"/>
    <w:rsid w:val="00804D41"/>
    <w:rsid w:val="00804F36"/>
    <w:rsid w:val="00810257"/>
    <w:rsid w:val="00810460"/>
    <w:rsid w:val="008104F5"/>
    <w:rsid w:val="00811072"/>
    <w:rsid w:val="00811369"/>
    <w:rsid w:val="008151F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4014"/>
    <w:rsid w:val="0084496E"/>
    <w:rsid w:val="008454F8"/>
    <w:rsid w:val="0085173A"/>
    <w:rsid w:val="008603CE"/>
    <w:rsid w:val="008620FC"/>
    <w:rsid w:val="008627A5"/>
    <w:rsid w:val="00863E05"/>
    <w:rsid w:val="00864B47"/>
    <w:rsid w:val="00865ACA"/>
    <w:rsid w:val="00865D28"/>
    <w:rsid w:val="00865F85"/>
    <w:rsid w:val="00867C10"/>
    <w:rsid w:val="00870439"/>
    <w:rsid w:val="00870DA1"/>
    <w:rsid w:val="00881845"/>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354F"/>
    <w:rsid w:val="008A57E6"/>
    <w:rsid w:val="008A6F81"/>
    <w:rsid w:val="008A769A"/>
    <w:rsid w:val="008B0C9C"/>
    <w:rsid w:val="008B166D"/>
    <w:rsid w:val="008B17F4"/>
    <w:rsid w:val="008B3615"/>
    <w:rsid w:val="008B4AC4"/>
    <w:rsid w:val="008B50C8"/>
    <w:rsid w:val="008B5281"/>
    <w:rsid w:val="008B7E05"/>
    <w:rsid w:val="008C1546"/>
    <w:rsid w:val="008C16CF"/>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6BB4"/>
    <w:rsid w:val="008F0CDC"/>
    <w:rsid w:val="008F17A3"/>
    <w:rsid w:val="008F1ED3"/>
    <w:rsid w:val="008F4C29"/>
    <w:rsid w:val="008F70BD"/>
    <w:rsid w:val="008F788F"/>
    <w:rsid w:val="008F7EA2"/>
    <w:rsid w:val="00902722"/>
    <w:rsid w:val="009027BC"/>
    <w:rsid w:val="009062E6"/>
    <w:rsid w:val="00906515"/>
    <w:rsid w:val="00911BE5"/>
    <w:rsid w:val="00912016"/>
    <w:rsid w:val="00913CA9"/>
    <w:rsid w:val="009145AE"/>
    <w:rsid w:val="009146CE"/>
    <w:rsid w:val="00914CA7"/>
    <w:rsid w:val="00915C3E"/>
    <w:rsid w:val="009161A8"/>
    <w:rsid w:val="00923BF1"/>
    <w:rsid w:val="009245AE"/>
    <w:rsid w:val="009245F5"/>
    <w:rsid w:val="009249EC"/>
    <w:rsid w:val="009273B3"/>
    <w:rsid w:val="009305B5"/>
    <w:rsid w:val="00932D04"/>
    <w:rsid w:val="009350A5"/>
    <w:rsid w:val="009378DD"/>
    <w:rsid w:val="009429D5"/>
    <w:rsid w:val="00942BF1"/>
    <w:rsid w:val="00945180"/>
    <w:rsid w:val="00945428"/>
    <w:rsid w:val="0094607B"/>
    <w:rsid w:val="00953604"/>
    <w:rsid w:val="0095496B"/>
    <w:rsid w:val="00960258"/>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D2B"/>
    <w:rsid w:val="00991F92"/>
    <w:rsid w:val="00992985"/>
    <w:rsid w:val="00993889"/>
    <w:rsid w:val="0099551B"/>
    <w:rsid w:val="00996BD2"/>
    <w:rsid w:val="00997BF1"/>
    <w:rsid w:val="009A089C"/>
    <w:rsid w:val="009A118E"/>
    <w:rsid w:val="009A21CD"/>
    <w:rsid w:val="009A278C"/>
    <w:rsid w:val="009A2BC2"/>
    <w:rsid w:val="009A2C59"/>
    <w:rsid w:val="009A4014"/>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C9"/>
    <w:rsid w:val="009D47FA"/>
    <w:rsid w:val="009D4C5B"/>
    <w:rsid w:val="009D50D2"/>
    <w:rsid w:val="009D6BCA"/>
    <w:rsid w:val="009E0F62"/>
    <w:rsid w:val="009E4A58"/>
    <w:rsid w:val="009E5A2D"/>
    <w:rsid w:val="009E5AB2"/>
    <w:rsid w:val="009E6219"/>
    <w:rsid w:val="009F03B3"/>
    <w:rsid w:val="009F2185"/>
    <w:rsid w:val="009F29A4"/>
    <w:rsid w:val="00A0096C"/>
    <w:rsid w:val="00A01757"/>
    <w:rsid w:val="00A028C0"/>
    <w:rsid w:val="00A02BAE"/>
    <w:rsid w:val="00A06A6B"/>
    <w:rsid w:val="00A07E47"/>
    <w:rsid w:val="00A129D0"/>
    <w:rsid w:val="00A12C33"/>
    <w:rsid w:val="00A138BA"/>
    <w:rsid w:val="00A13C2E"/>
    <w:rsid w:val="00A14C8E"/>
    <w:rsid w:val="00A153D9"/>
    <w:rsid w:val="00A15F09"/>
    <w:rsid w:val="00A169B6"/>
    <w:rsid w:val="00A2271D"/>
    <w:rsid w:val="00A237D5"/>
    <w:rsid w:val="00A30A5B"/>
    <w:rsid w:val="00A30EFC"/>
    <w:rsid w:val="00A31984"/>
    <w:rsid w:val="00A32D73"/>
    <w:rsid w:val="00A3367B"/>
    <w:rsid w:val="00A33C67"/>
    <w:rsid w:val="00A35188"/>
    <w:rsid w:val="00A3597D"/>
    <w:rsid w:val="00A36DD1"/>
    <w:rsid w:val="00A4006C"/>
    <w:rsid w:val="00A40091"/>
    <w:rsid w:val="00A4030F"/>
    <w:rsid w:val="00A41C79"/>
    <w:rsid w:val="00A41CB5"/>
    <w:rsid w:val="00A42CDF"/>
    <w:rsid w:val="00A4452E"/>
    <w:rsid w:val="00A4472C"/>
    <w:rsid w:val="00A44E69"/>
    <w:rsid w:val="00A4518B"/>
    <w:rsid w:val="00A4661E"/>
    <w:rsid w:val="00A51B81"/>
    <w:rsid w:val="00A55BD6"/>
    <w:rsid w:val="00A55D50"/>
    <w:rsid w:val="00A57142"/>
    <w:rsid w:val="00A63899"/>
    <w:rsid w:val="00A648CD"/>
    <w:rsid w:val="00A6537A"/>
    <w:rsid w:val="00A655CF"/>
    <w:rsid w:val="00A66001"/>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4C38"/>
    <w:rsid w:val="00AA57F5"/>
    <w:rsid w:val="00AA672E"/>
    <w:rsid w:val="00AA6EC9"/>
    <w:rsid w:val="00AB047A"/>
    <w:rsid w:val="00AB2DFE"/>
    <w:rsid w:val="00AB6309"/>
    <w:rsid w:val="00AB6C5F"/>
    <w:rsid w:val="00AB7129"/>
    <w:rsid w:val="00AC074B"/>
    <w:rsid w:val="00AC27A6"/>
    <w:rsid w:val="00AC30F7"/>
    <w:rsid w:val="00AC3A5A"/>
    <w:rsid w:val="00AC4D95"/>
    <w:rsid w:val="00AC5DF4"/>
    <w:rsid w:val="00AD0AEF"/>
    <w:rsid w:val="00AD10EE"/>
    <w:rsid w:val="00AD11B7"/>
    <w:rsid w:val="00AD1A94"/>
    <w:rsid w:val="00AD1C05"/>
    <w:rsid w:val="00AD4126"/>
    <w:rsid w:val="00AD421C"/>
    <w:rsid w:val="00AD44FA"/>
    <w:rsid w:val="00AD6FD9"/>
    <w:rsid w:val="00AE070A"/>
    <w:rsid w:val="00AE101C"/>
    <w:rsid w:val="00AE18E1"/>
    <w:rsid w:val="00AE2A69"/>
    <w:rsid w:val="00AE364A"/>
    <w:rsid w:val="00AE37E5"/>
    <w:rsid w:val="00AE5EB4"/>
    <w:rsid w:val="00AE69DE"/>
    <w:rsid w:val="00AF0C18"/>
    <w:rsid w:val="00AF3DCC"/>
    <w:rsid w:val="00AF47C5"/>
    <w:rsid w:val="00AF4B19"/>
    <w:rsid w:val="00AF5398"/>
    <w:rsid w:val="00B01BD7"/>
    <w:rsid w:val="00B02DC2"/>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1478"/>
    <w:rsid w:val="00B4346D"/>
    <w:rsid w:val="00B440F4"/>
    <w:rsid w:val="00B447A5"/>
    <w:rsid w:val="00B4654C"/>
    <w:rsid w:val="00B47293"/>
    <w:rsid w:val="00B50E50"/>
    <w:rsid w:val="00B52120"/>
    <w:rsid w:val="00B54ABC"/>
    <w:rsid w:val="00B5608C"/>
    <w:rsid w:val="00B56FBE"/>
    <w:rsid w:val="00B60ACF"/>
    <w:rsid w:val="00B62B58"/>
    <w:rsid w:val="00B65149"/>
    <w:rsid w:val="00B66567"/>
    <w:rsid w:val="00B66F52"/>
    <w:rsid w:val="00B66FE5"/>
    <w:rsid w:val="00B704BF"/>
    <w:rsid w:val="00B72880"/>
    <w:rsid w:val="00B758BF"/>
    <w:rsid w:val="00B77EC8"/>
    <w:rsid w:val="00B827A6"/>
    <w:rsid w:val="00B831CE"/>
    <w:rsid w:val="00B86677"/>
    <w:rsid w:val="00B87131"/>
    <w:rsid w:val="00B92F22"/>
    <w:rsid w:val="00B939B1"/>
    <w:rsid w:val="00B96D40"/>
    <w:rsid w:val="00B97386"/>
    <w:rsid w:val="00BA263B"/>
    <w:rsid w:val="00BA42B2"/>
    <w:rsid w:val="00BA58D4"/>
    <w:rsid w:val="00BA5B9E"/>
    <w:rsid w:val="00BA7C9A"/>
    <w:rsid w:val="00BB1E33"/>
    <w:rsid w:val="00BB5F8F"/>
    <w:rsid w:val="00BB657A"/>
    <w:rsid w:val="00BC1A4E"/>
    <w:rsid w:val="00BC26CA"/>
    <w:rsid w:val="00BC4239"/>
    <w:rsid w:val="00BC5DC7"/>
    <w:rsid w:val="00BC6B8B"/>
    <w:rsid w:val="00BC73D8"/>
    <w:rsid w:val="00BD52D7"/>
    <w:rsid w:val="00BD5AD2"/>
    <w:rsid w:val="00BE22F3"/>
    <w:rsid w:val="00BE5B52"/>
    <w:rsid w:val="00BE7B8D"/>
    <w:rsid w:val="00BF0993"/>
    <w:rsid w:val="00BF09DA"/>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33AE"/>
    <w:rsid w:val="00C24C8D"/>
    <w:rsid w:val="00C25632"/>
    <w:rsid w:val="00C25FE2"/>
    <w:rsid w:val="00C26B53"/>
    <w:rsid w:val="00C279B2"/>
    <w:rsid w:val="00C33E50"/>
    <w:rsid w:val="00C34C20"/>
    <w:rsid w:val="00C35A3E"/>
    <w:rsid w:val="00C40E3D"/>
    <w:rsid w:val="00C42130"/>
    <w:rsid w:val="00C423A4"/>
    <w:rsid w:val="00C423E3"/>
    <w:rsid w:val="00C42C6D"/>
    <w:rsid w:val="00C44BF5"/>
    <w:rsid w:val="00C521D6"/>
    <w:rsid w:val="00C55232"/>
    <w:rsid w:val="00C553A4"/>
    <w:rsid w:val="00C55A06"/>
    <w:rsid w:val="00C55D03"/>
    <w:rsid w:val="00C573C2"/>
    <w:rsid w:val="00C601BC"/>
    <w:rsid w:val="00C62766"/>
    <w:rsid w:val="00C6329F"/>
    <w:rsid w:val="00C63340"/>
    <w:rsid w:val="00C643F9"/>
    <w:rsid w:val="00C64E95"/>
    <w:rsid w:val="00C71372"/>
    <w:rsid w:val="00C72410"/>
    <w:rsid w:val="00C72848"/>
    <w:rsid w:val="00C7287F"/>
    <w:rsid w:val="00C80CB8"/>
    <w:rsid w:val="00C819F8"/>
    <w:rsid w:val="00C8248C"/>
    <w:rsid w:val="00C84E33"/>
    <w:rsid w:val="00C86D6F"/>
    <w:rsid w:val="00C905FC"/>
    <w:rsid w:val="00C924E6"/>
    <w:rsid w:val="00C92D03"/>
    <w:rsid w:val="00C9319C"/>
    <w:rsid w:val="00C9435D"/>
    <w:rsid w:val="00C94DF2"/>
    <w:rsid w:val="00C96741"/>
    <w:rsid w:val="00CA2D1B"/>
    <w:rsid w:val="00CA375D"/>
    <w:rsid w:val="00CA662A"/>
    <w:rsid w:val="00CA6BF6"/>
    <w:rsid w:val="00CA7AFD"/>
    <w:rsid w:val="00CA7C3C"/>
    <w:rsid w:val="00CB0189"/>
    <w:rsid w:val="00CB0BA2"/>
    <w:rsid w:val="00CB1A42"/>
    <w:rsid w:val="00CB1B0C"/>
    <w:rsid w:val="00CB2C0B"/>
    <w:rsid w:val="00CB517D"/>
    <w:rsid w:val="00CB6311"/>
    <w:rsid w:val="00CB784D"/>
    <w:rsid w:val="00CC0100"/>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3CDC"/>
    <w:rsid w:val="00CF686F"/>
    <w:rsid w:val="00CF6E60"/>
    <w:rsid w:val="00CF71D8"/>
    <w:rsid w:val="00CF7BCA"/>
    <w:rsid w:val="00D008FD"/>
    <w:rsid w:val="00D0321C"/>
    <w:rsid w:val="00D034CD"/>
    <w:rsid w:val="00D035EC"/>
    <w:rsid w:val="00D06AB1"/>
    <w:rsid w:val="00D06E73"/>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181"/>
    <w:rsid w:val="00D352A2"/>
    <w:rsid w:val="00D4162B"/>
    <w:rsid w:val="00D433B0"/>
    <w:rsid w:val="00D4514F"/>
    <w:rsid w:val="00D451E2"/>
    <w:rsid w:val="00D45E89"/>
    <w:rsid w:val="00D45E8D"/>
    <w:rsid w:val="00D466AE"/>
    <w:rsid w:val="00D4734F"/>
    <w:rsid w:val="00D51BF3"/>
    <w:rsid w:val="00D5201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C725F"/>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E9C"/>
    <w:rsid w:val="00E01138"/>
    <w:rsid w:val="00E02DFB"/>
    <w:rsid w:val="00E030F9"/>
    <w:rsid w:val="00E0311A"/>
    <w:rsid w:val="00E03138"/>
    <w:rsid w:val="00E04A9A"/>
    <w:rsid w:val="00E06404"/>
    <w:rsid w:val="00E11A85"/>
    <w:rsid w:val="00E12495"/>
    <w:rsid w:val="00E13839"/>
    <w:rsid w:val="00E15950"/>
    <w:rsid w:val="00E15CCD"/>
    <w:rsid w:val="00E202EF"/>
    <w:rsid w:val="00E210B5"/>
    <w:rsid w:val="00E2552F"/>
    <w:rsid w:val="00E3137A"/>
    <w:rsid w:val="00E32CCF"/>
    <w:rsid w:val="00E34A98"/>
    <w:rsid w:val="00E35D1E"/>
    <w:rsid w:val="00E364F9"/>
    <w:rsid w:val="00E365FA"/>
    <w:rsid w:val="00E36789"/>
    <w:rsid w:val="00E36999"/>
    <w:rsid w:val="00E44A83"/>
    <w:rsid w:val="00E502C1"/>
    <w:rsid w:val="00E502DD"/>
    <w:rsid w:val="00E50D3A"/>
    <w:rsid w:val="00E51387"/>
    <w:rsid w:val="00E51E68"/>
    <w:rsid w:val="00E52EFD"/>
    <w:rsid w:val="00E5408A"/>
    <w:rsid w:val="00E56800"/>
    <w:rsid w:val="00E60767"/>
    <w:rsid w:val="00E60C63"/>
    <w:rsid w:val="00E62FF9"/>
    <w:rsid w:val="00E635D6"/>
    <w:rsid w:val="00E639BC"/>
    <w:rsid w:val="00E64D6F"/>
    <w:rsid w:val="00E65592"/>
    <w:rsid w:val="00E664CC"/>
    <w:rsid w:val="00E70388"/>
    <w:rsid w:val="00E70F92"/>
    <w:rsid w:val="00E74313"/>
    <w:rsid w:val="00E745B8"/>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784"/>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6632"/>
    <w:rsid w:val="00EE0350"/>
    <w:rsid w:val="00EE0719"/>
    <w:rsid w:val="00EE0E80"/>
    <w:rsid w:val="00EE613F"/>
    <w:rsid w:val="00EE7295"/>
    <w:rsid w:val="00EE7869"/>
    <w:rsid w:val="00EF054A"/>
    <w:rsid w:val="00EF3235"/>
    <w:rsid w:val="00EF7853"/>
    <w:rsid w:val="00EF7E72"/>
    <w:rsid w:val="00F06D37"/>
    <w:rsid w:val="00F07B9D"/>
    <w:rsid w:val="00F11586"/>
    <w:rsid w:val="00F1183B"/>
    <w:rsid w:val="00F11C9F"/>
    <w:rsid w:val="00F12263"/>
    <w:rsid w:val="00F133E7"/>
    <w:rsid w:val="00F1409D"/>
    <w:rsid w:val="00F14214"/>
    <w:rsid w:val="00F157A9"/>
    <w:rsid w:val="00F16F00"/>
    <w:rsid w:val="00F202C2"/>
    <w:rsid w:val="00F20CB3"/>
    <w:rsid w:val="00F221FA"/>
    <w:rsid w:val="00F25BB6"/>
    <w:rsid w:val="00F26B7E"/>
    <w:rsid w:val="00F27A3B"/>
    <w:rsid w:val="00F32505"/>
    <w:rsid w:val="00F32780"/>
    <w:rsid w:val="00F33817"/>
    <w:rsid w:val="00F343C5"/>
    <w:rsid w:val="00F420D5"/>
    <w:rsid w:val="00F451EA"/>
    <w:rsid w:val="00F45447"/>
    <w:rsid w:val="00F456C6"/>
    <w:rsid w:val="00F4577B"/>
    <w:rsid w:val="00F46496"/>
    <w:rsid w:val="00F465CF"/>
    <w:rsid w:val="00F474D0"/>
    <w:rsid w:val="00F50179"/>
    <w:rsid w:val="00F515EE"/>
    <w:rsid w:val="00F561A0"/>
    <w:rsid w:val="00F56511"/>
    <w:rsid w:val="00F576E6"/>
    <w:rsid w:val="00F6194E"/>
    <w:rsid w:val="00F61B35"/>
    <w:rsid w:val="00F623AC"/>
    <w:rsid w:val="00F6412A"/>
    <w:rsid w:val="00F64998"/>
    <w:rsid w:val="00F65893"/>
    <w:rsid w:val="00F66A4A"/>
    <w:rsid w:val="00F67986"/>
    <w:rsid w:val="00F71E22"/>
    <w:rsid w:val="00F72142"/>
    <w:rsid w:val="00F72AE7"/>
    <w:rsid w:val="00F826D3"/>
    <w:rsid w:val="00F828C1"/>
    <w:rsid w:val="00F833BA"/>
    <w:rsid w:val="00F84FD0"/>
    <w:rsid w:val="00F859A8"/>
    <w:rsid w:val="00F86D87"/>
    <w:rsid w:val="00F9108B"/>
    <w:rsid w:val="00F91349"/>
    <w:rsid w:val="00F93A8A"/>
    <w:rsid w:val="00F93B13"/>
    <w:rsid w:val="00F95248"/>
    <w:rsid w:val="00F956A9"/>
    <w:rsid w:val="00F963ED"/>
    <w:rsid w:val="00F966CF"/>
    <w:rsid w:val="00F96CAE"/>
    <w:rsid w:val="00F97C99"/>
    <w:rsid w:val="00FA14B6"/>
    <w:rsid w:val="00FA662D"/>
    <w:rsid w:val="00FA73B1"/>
    <w:rsid w:val="00FB0CB9"/>
    <w:rsid w:val="00FB231D"/>
    <w:rsid w:val="00FB45F1"/>
    <w:rsid w:val="00FB4A72"/>
    <w:rsid w:val="00FB54E8"/>
    <w:rsid w:val="00FB7054"/>
    <w:rsid w:val="00FC17B7"/>
    <w:rsid w:val="00FC1FB8"/>
    <w:rsid w:val="00FC2CB7"/>
    <w:rsid w:val="00FC4090"/>
    <w:rsid w:val="00FC55B4"/>
    <w:rsid w:val="00FC5777"/>
    <w:rsid w:val="00FD00E6"/>
    <w:rsid w:val="00FD09A1"/>
    <w:rsid w:val="00FD2A7C"/>
    <w:rsid w:val="00FD59EB"/>
    <w:rsid w:val="00FD7299"/>
    <w:rsid w:val="00FD7408"/>
    <w:rsid w:val="00FD7660"/>
    <w:rsid w:val="00FE1FBE"/>
    <w:rsid w:val="00FE3901"/>
    <w:rsid w:val="00FE39D3"/>
    <w:rsid w:val="00FE4BCE"/>
    <w:rsid w:val="00FE54AE"/>
    <w:rsid w:val="00FE576A"/>
    <w:rsid w:val="00FE7E79"/>
    <w:rsid w:val="00FE7FD2"/>
    <w:rsid w:val="00FF3E7D"/>
    <w:rsid w:val="00FF5B99"/>
    <w:rsid w:val="00FF730C"/>
    <w:rsid w:val="00FF73F4"/>
    <w:rsid w:val="00FF7CE4"/>
    <w:rsid w:val="00FF7E39"/>
    <w:rsid w:val="0D1E5513"/>
    <w:rsid w:val="121B6B9B"/>
    <w:rsid w:val="18EC4114"/>
    <w:rsid w:val="1A985C07"/>
    <w:rsid w:val="1C3E30E2"/>
    <w:rsid w:val="2E071E2B"/>
    <w:rsid w:val="30C56424"/>
    <w:rsid w:val="47515EB8"/>
    <w:rsid w:val="54EA7388"/>
    <w:rsid w:val="59EB4145"/>
    <w:rsid w:val="5B415B12"/>
    <w:rsid w:val="61F761CE"/>
    <w:rsid w:val="7B164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spacing w:before="280" w:after="290" w:line="376" w:lineRule="auto"/>
      <w:outlineLvl w:val="4"/>
    </w:pPr>
    <w:rPr>
      <w:b/>
      <w:bCs/>
      <w:sz w:val="28"/>
      <w:szCs w:val="28"/>
    </w:rPr>
  </w:style>
  <w:style w:type="paragraph" w:styleId="7">
    <w:name w:val="heading 6"/>
    <w:basedOn w:val="1"/>
    <w:next w:val="1"/>
    <w:link w:val="39"/>
    <w:qFormat/>
    <w:uiPriority w:val="0"/>
    <w:pPr>
      <w:keepNext/>
      <w:keepLines/>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spacing w:before="240" w:after="64" w:line="320" w:lineRule="auto"/>
      <w:outlineLvl w:val="6"/>
    </w:pPr>
    <w:rPr>
      <w:b/>
      <w:bCs/>
      <w:sz w:val="24"/>
      <w:szCs w:val="24"/>
    </w:rPr>
  </w:style>
  <w:style w:type="paragraph" w:styleId="9">
    <w:name w:val="heading 8"/>
    <w:basedOn w:val="1"/>
    <w:next w:val="1"/>
    <w:link w:val="41"/>
    <w:qFormat/>
    <w:uiPriority w:val="0"/>
    <w:pPr>
      <w:keepNext/>
      <w:keepLines/>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snapToGrid w:val="0"/>
      <w:jc w:val="right"/>
    </w:pPr>
    <w:rPr>
      <w:rFonts w:ascii="宋体"/>
      <w:sz w:val="18"/>
      <w:szCs w:val="18"/>
    </w:rPr>
  </w:style>
  <w:style w:type="paragraph" w:styleId="18">
    <w:name w:val="header"/>
    <w:basedOn w:val="1"/>
    <w:link w:val="43"/>
    <w:qFormat/>
    <w:uiPriority w:val="99"/>
    <w:pPr>
      <w:tabs>
        <w:tab w:val="center" w:pos="4153"/>
        <w:tab w:val="right" w:pos="8306"/>
      </w:tabs>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snapToGrid w:val="0"/>
      <w:spacing w:line="300" w:lineRule="exact"/>
      <w:ind w:left="400" w:leftChars="200" w:hanging="200" w:hangingChars="200"/>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shd w:val="clear" w:color="FFFFFF" w:fill="FFFFFF"/>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shd w:val="clear" w:color="FFFFFF" w:fill="FFFFFF"/>
      <w:spacing w:before="560" w:after="50" w:afterLines="50"/>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jc w:val="center"/>
    </w:pPr>
    <w:rPr>
      <w:rFonts w:ascii="黑体" w:eastAsia="黑体"/>
      <w:kern w:val="0"/>
      <w:sz w:val="52"/>
    </w:rPr>
  </w:style>
  <w:style w:type="paragraph" w:customStyle="1" w:styleId="71">
    <w:name w:val="标准文件_封面标准英文名称"/>
    <w:basedOn w:val="1"/>
    <w:qFormat/>
    <w:uiPriority w:val="0"/>
    <w:pPr>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snapToGrid/>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ordWrap w:val="0"/>
      <w:overflowPunct w:val="0"/>
      <w:autoSpaceDE w:val="0"/>
      <w:autoSpaceDN w:val="0"/>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rPr>
      <w:bCs/>
      <w:iCs/>
    </w:rPr>
  </w:style>
  <w:style w:type="paragraph" w:customStyle="1" w:styleId="143">
    <w:name w:val="目录 31"/>
    <w:basedOn w:val="1"/>
    <w:next w:val="1"/>
    <w:autoRedefine/>
    <w:semiHidden/>
    <w:qFormat/>
    <w:uiPriority w:val="0"/>
    <w:rPr>
      <w:rFonts w:ascii="宋体" w:hAnsi="宋体"/>
      <w:iCs/>
    </w:rPr>
  </w:style>
  <w:style w:type="paragraph" w:customStyle="1" w:styleId="144">
    <w:name w:val="目录 41"/>
    <w:basedOn w:val="1"/>
    <w:next w:val="1"/>
    <w:autoRedefine/>
    <w:semiHidden/>
    <w:qFormat/>
    <w:uiPriority w:val="0"/>
  </w:style>
  <w:style w:type="paragraph" w:customStyle="1" w:styleId="145">
    <w:name w:val="目录 51"/>
    <w:basedOn w:val="1"/>
    <w:next w:val="1"/>
    <w:autoRedefine/>
    <w:semiHidden/>
    <w:qFormat/>
    <w:uiPriority w:val="0"/>
    <w:rPr>
      <w:rFonts w:ascii="宋体" w:hAnsi="宋体"/>
    </w:rPr>
  </w:style>
  <w:style w:type="paragraph" w:customStyle="1" w:styleId="146">
    <w:name w:val="目录 61"/>
    <w:basedOn w:val="1"/>
    <w:next w:val="1"/>
    <w:autoRedefine/>
    <w:semiHidden/>
    <w:qFormat/>
    <w:uiPriority w:val="0"/>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pPr>
    <w:rPr>
      <w:szCs w:val="24"/>
    </w:rPr>
  </w:style>
  <w:style w:type="paragraph" w:customStyle="1" w:styleId="159">
    <w:name w:val="一级无标题条"/>
    <w:basedOn w:val="1"/>
    <w:qFormat/>
    <w:uiPriority w:val="0"/>
    <w:pPr>
      <w:numPr>
        <w:ilvl w:val="2"/>
        <w:numId w:val="20"/>
      </w:numPr>
      <w:spacing w:before="10" w:after="10"/>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numPr>
        <w:ilvl w:val="0"/>
        <w:numId w:val="29"/>
      </w:numPr>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jpe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1F0EF43A3B34C268A07D989C36D1384"/>
        <w:style w:val=""/>
        <w:category>
          <w:name w:val="常规"/>
          <w:gallery w:val="placeholder"/>
        </w:category>
        <w:types>
          <w:type w:val="bbPlcHdr"/>
        </w:types>
        <w:behaviors>
          <w:behavior w:val="content"/>
        </w:behaviors>
        <w:description w:val=""/>
        <w:guid w:val="{5AF2252A-4FA8-4C75-B96D-5585BEE9A673}"/>
      </w:docPartPr>
      <w:docPartBody>
        <w:p w14:paraId="23D74E43">
          <w:pPr>
            <w:pStyle w:val="5"/>
          </w:pPr>
          <w:r>
            <w:rPr>
              <w:rStyle w:val="4"/>
              <w:rFonts w:hint="eastAsia"/>
            </w:rPr>
            <w:t>单击或点击此处输入文字。</w:t>
          </w:r>
        </w:p>
      </w:docPartBody>
    </w:docPart>
    <w:docPart>
      <w:docPartPr>
        <w:name w:val="466FA48B240D4E29A14CC12E4D39C856"/>
        <w:style w:val=""/>
        <w:category>
          <w:name w:val="常规"/>
          <w:gallery w:val="placeholder"/>
        </w:category>
        <w:types>
          <w:type w:val="bbPlcHdr"/>
        </w:types>
        <w:behaviors>
          <w:behavior w:val="content"/>
        </w:behaviors>
        <w:description w:val=""/>
        <w:guid w:val="{590E7D88-5F02-489E-A20A-ED69DE8F983C}"/>
      </w:docPartPr>
      <w:docPartBody>
        <w:p w14:paraId="6389EB35">
          <w:pPr>
            <w:pStyle w:val="6"/>
          </w:pPr>
          <w:r>
            <w:rPr>
              <w:rStyle w:val="4"/>
              <w:rFonts w:hint="eastAsia"/>
            </w:rPr>
            <w:t>选择一项。</w:t>
          </w:r>
        </w:p>
      </w:docPartBody>
    </w:docPart>
    <w:docPart>
      <w:docPartPr>
        <w:name w:val="DD9E82EC29CB4442A74198B8506D1AE0"/>
        <w:style w:val=""/>
        <w:category>
          <w:name w:val="常规"/>
          <w:gallery w:val="placeholder"/>
        </w:category>
        <w:types>
          <w:type w:val="bbPlcHdr"/>
        </w:types>
        <w:behaviors>
          <w:behavior w:val="content"/>
        </w:behaviors>
        <w:description w:val=""/>
        <w:guid w:val="{8232064E-6853-4F52-AB14-3CAF755D9FB1}"/>
      </w:docPartPr>
      <w:docPartBody>
        <w:p w14:paraId="149B2DD5">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A5F"/>
    <w:rsid w:val="00554CE8"/>
    <w:rsid w:val="00963A5F"/>
    <w:rsid w:val="00A81064"/>
    <w:rsid w:val="00BD77F6"/>
    <w:rsid w:val="00DF3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1F0EF43A3B34C268A07D989C36D138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66FA48B240D4E29A14CC12E4D39C85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D9E82EC29CB4442A74198B8506D1AE0"/>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13AA3F-40BC-426F-9D4F-7A2FE35374E2}">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9</Pages>
  <Words>6825</Words>
  <Characters>7493</Characters>
  <Lines>67</Lines>
  <Paragraphs>19</Paragraphs>
  <TotalTime>0</TotalTime>
  <ScaleCrop>false</ScaleCrop>
  <LinksUpToDate>false</LinksUpToDate>
  <CharactersWithSpaces>7689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2025-03-20T02:54:00Z</dcterms:created>
  <dc:creator>USER</dc:creator>
  <dc:description>&lt;config cover="true" show_menu="true" version="1.0.0" doctype="SDKXY"&gt;_x000d_
&lt;/config&gt;</dc:description>
  <cp:lastModifiedBy>树年强</cp:lastModifiedBy>
  <cp:lastPrinted>2021-02-02T08:22:00Z</cp:lastPrinted>
  <dcterms:modified xsi:type="dcterms:W3CDTF">2025-03-28T07:48:56Z</dcterms:modified>
  <dc:title>团体标准</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eyJoZGlkIjoiNmU0OWNhMGUyYzc2MTI5ZWY2NzM4MTVkMDAwODg0YzMiLCJ1c2VySWQiOiI2Mzk4NzAxMjYifQ==</vt:lpwstr>
  </property>
  <property fmtid="{D5CDD505-2E9C-101B-9397-08002B2CF9AE}" pid="15" name="KSOProductBuildVer">
    <vt:lpwstr>2052-12.1.0.20305</vt:lpwstr>
  </property>
  <property fmtid="{D5CDD505-2E9C-101B-9397-08002B2CF9AE}" pid="16" name="ICV">
    <vt:lpwstr>A1CC5061723B44CABECA1FD00252705E_12</vt:lpwstr>
  </property>
</Properties>
</file>